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ind w:left="0" w:hanging="0"/>
        <w:jc w:val="center"/>
        <w:outlineLvl w:val="1"/>
        <w:rPr>
          <w:rFonts w:ascii="Arial" w:hAnsi="Arial" w:cs="Arial"/>
          <w:b/>
          <w:b/>
          <w:bCs/>
          <w:sz w:val="20"/>
        </w:rPr>
      </w:pPr>
      <w:r>
        <w:rPr>
          <w:rFonts w:cs="Arial" w:ascii="Arial" w:hAnsi="Arial"/>
          <w:b/>
          <w:bCs/>
          <w:sz w:val="20"/>
        </w:rPr>
        <w:t>K 31.12.201</w:t>
      </w:r>
      <w:r>
        <w:rPr>
          <w:rFonts w:eastAsia="Times New Roman" w:cs="Arial" w:ascii="Arial" w:hAnsi="Arial"/>
          <w:b/>
          <w:bCs/>
          <w:color w:val="auto"/>
          <w:kern w:val="0"/>
          <w:sz w:val="20"/>
          <w:szCs w:val="24"/>
          <w:lang w:val="sk-SK" w:eastAsia="sk-SK" w:bidi="ar-SA"/>
        </w:rPr>
        <w:t>9</w:t>
      </w:r>
    </w:p>
    <w:p>
      <w:pPr>
        <w:pStyle w:val="Normal"/>
        <w:keepNext w:val="true"/>
        <w:numPr>
          <w:ilvl w:val="0"/>
          <w:numId w:val="0"/>
        </w:numPr>
        <w:ind w:left="0" w:hanging="0"/>
        <w:jc w:val="center"/>
        <w:outlineLvl w:val="1"/>
        <w:rPr>
          <w:rFonts w:ascii="Arial" w:hAnsi="Arial" w:cs="Arial"/>
          <w:b/>
          <w:b/>
          <w:bCs/>
          <w:sz w:val="20"/>
        </w:rPr>
      </w:pPr>
      <w:r>
        <w:rPr>
          <w:rFonts w:cs="Arial" w:ascii="Arial" w:hAnsi="Arial"/>
          <w:b/>
          <w:bCs/>
          <w:sz w:val="20"/>
        </w:rPr>
        <w:t>Čl. I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ind w:left="0" w:hanging="0"/>
        <w:outlineLvl w:val="1"/>
        <w:rPr>
          <w:rFonts w:ascii="Arial" w:hAnsi="Arial" w:cs="Arial"/>
          <w:b/>
          <w:b/>
          <w:bCs/>
          <w:sz w:val="20"/>
        </w:rPr>
      </w:pPr>
      <w:r>
        <w:rPr>
          <w:rFonts w:cs="Arial" w:ascii="Arial" w:hAnsi="Arial"/>
          <w:b/>
          <w:bCs/>
          <w:sz w:val="20"/>
        </w:rPr>
        <w:tab/>
        <w:tab/>
        <w:t>Všeobecné údaje</w:t>
      </w:r>
    </w:p>
    <w:p>
      <w:pPr>
        <w:pStyle w:val="Normal"/>
        <w:keepNext w:val="true"/>
        <w:numPr>
          <w:ilvl w:val="0"/>
          <w:numId w:val="0"/>
        </w:numPr>
        <w:ind w:left="0" w:hanging="0"/>
        <w:jc w:val="center"/>
        <w:outlineLvl w:val="1"/>
        <w:rPr>
          <w:rFonts w:ascii="Arial" w:hAnsi="Arial" w:cs="Arial"/>
          <w:b/>
          <w:b/>
          <w:bCs/>
          <w:sz w:val="18"/>
          <w:szCs w:val="22"/>
        </w:rPr>
      </w:pPr>
      <w:r>
        <w:rPr>
          <w:rFonts w:cs="Arial" w:ascii="Arial" w:hAnsi="Arial"/>
          <w:b/>
          <w:bCs/>
          <w:sz w:val="18"/>
          <w:szCs w:val="22"/>
        </w:rPr>
      </w:r>
    </w:p>
    <w:p>
      <w:pPr>
        <w:pStyle w:val="Normal"/>
        <w:numPr>
          <w:ilvl w:val="0"/>
          <w:numId w:val="8"/>
        </w:numPr>
        <w:ind w:left="1481" w:hanging="1339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Názov právnickej osoby a jej sídlo alebo meno a priezvisko fyzickej osoby.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  <w:p>
            <w:pPr>
              <w:pStyle w:val="Normal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Obchodné meno: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 </w:t>
            </w:r>
            <w:r>
              <w:rPr>
                <w:rFonts w:cs="Arial" w:ascii="Arial" w:hAnsi="Arial"/>
                <w:sz w:val="20"/>
                <w:szCs w:val="22"/>
              </w:rPr>
              <w:t>Frodoplast s.r.o.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Sídlo: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Seberíniho 10, 821 03 Bratislava</w:t>
            </w:r>
            <w:bookmarkStart w:id="0" w:name="_GoBack"/>
            <w:bookmarkEnd w:id="0"/>
          </w:p>
        </w:tc>
      </w:tr>
    </w:tbl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8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 xml:space="preserve">Údaje o konsolidovanom celku:   Účtovná jednotka </w:t>
      </w:r>
      <w:r>
        <w:rPr>
          <w:rFonts w:cs="Arial" w:ascii="Arial" w:hAnsi="Arial"/>
          <w:b/>
          <w:sz w:val="20"/>
        </w:rPr>
        <w:t>nie je</w:t>
      </w:r>
      <w:r>
        <w:rPr>
          <w:rFonts w:cs="Arial" w:ascii="Arial" w:hAnsi="Arial"/>
          <w:sz w:val="20"/>
        </w:rPr>
        <w:t xml:space="preserve"> súčasťou konsolidovaného celku.</w:t>
      </w:r>
    </w:p>
    <w:p>
      <w:pPr>
        <w:pStyle w:val="Normal"/>
        <w:numPr>
          <w:ilvl w:val="0"/>
          <w:numId w:val="8"/>
        </w:numPr>
        <w:ind w:left="1481" w:hanging="1339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 xml:space="preserve">Priemerný prepočítaný počet zamestnancov:      </w:t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jc w:val="center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</w:rPr>
        <w:t>Čl. II</w:t>
      </w:r>
    </w:p>
    <w:p>
      <w:pPr>
        <w:pStyle w:val="Normal"/>
        <w:jc w:val="center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</w:rPr>
        <w:t>Informácie o prijatých postupoch</w:t>
      </w:r>
    </w:p>
    <w:p>
      <w:pPr>
        <w:pStyle w:val="Normal"/>
        <w:ind w:left="1121" w:hanging="0"/>
        <w:jc w:val="both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</w:rPr>
      </w:r>
    </w:p>
    <w:p>
      <w:pPr>
        <w:pStyle w:val="Normal"/>
        <w:numPr>
          <w:ilvl w:val="0"/>
          <w:numId w:val="10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 xml:space="preserve">Účtovná závierka zostavená za splnenia predpokladu, že účtovná jednotka </w:t>
      </w:r>
      <w:r>
        <w:rPr>
          <w:rFonts w:cs="Arial" w:ascii="Arial" w:hAnsi="Arial"/>
          <w:b/>
          <w:sz w:val="20"/>
          <w:u w:val="single"/>
        </w:rPr>
        <w:t>bude</w:t>
      </w:r>
      <w:r>
        <w:rPr>
          <w:rFonts w:cs="Arial" w:ascii="Arial" w:hAnsi="Arial"/>
          <w:sz w:val="20"/>
        </w:rPr>
        <w:t xml:space="preserve"> nepretržite</w:t>
      </w:r>
    </w:p>
    <w:p>
      <w:pPr>
        <w:pStyle w:val="Normal"/>
        <w:ind w:left="709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 xml:space="preserve"> </w:t>
      </w:r>
      <w:r>
        <w:rPr>
          <w:rFonts w:cs="Arial" w:ascii="Arial" w:hAnsi="Arial"/>
          <w:sz w:val="20"/>
        </w:rPr>
        <w:t>pokračovať vo svojej činnosti</w:t>
      </w:r>
    </w:p>
    <w:p>
      <w:pPr>
        <w:pStyle w:val="Normal"/>
        <w:numPr>
          <w:ilvl w:val="0"/>
          <w:numId w:val="10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 xml:space="preserve">Spôsob oceňovania jednotlivých položiek majetku a záväzkov 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Obstarávacou cenou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right="-468" w:hanging="0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right="-468" w:hanging="0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right="-468" w:hanging="0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Reálnou hodnotou 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ind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ind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Daň z príjmov splatná – daň sa  určuje z účtovného zisku pred zdanením, po úpravách na daňové účelypodľa zákona o daniach z príjmov pri sadzbe 22 %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ind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>
            <w:pPr>
              <w:pStyle w:val="Normal"/>
              <w:ind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ind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Autospacing="1" w:after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p>
      <w:pPr>
        <w:pStyle w:val="Normal"/>
        <w:numPr>
          <w:ilvl w:val="0"/>
          <w:numId w:val="10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Spôsob zostavenia odpisového plánu pre jednotlivé druhy dlhodobého hmotného</w:t>
      </w:r>
    </w:p>
    <w:p>
      <w:pPr>
        <w:pStyle w:val="Normal"/>
        <w:ind w:left="709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 xml:space="preserve"> </w:t>
      </w:r>
      <w:r>
        <w:rPr>
          <w:rFonts w:cs="Arial" w:ascii="Arial" w:hAnsi="Arial"/>
          <w:sz w:val="20"/>
        </w:rPr>
        <w:t xml:space="preserve">majetku  a dlhodobého nehmotného majetku,doba odpisovania, použité sadzby </w:t>
      </w:r>
    </w:p>
    <w:p>
      <w:pPr>
        <w:pStyle w:val="Normal"/>
        <w:ind w:left="709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 xml:space="preserve">odpisov a odpisové metódy pri určení odpisov 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8"/>
        <w:gridCol w:w="1667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  <w:p>
            <w:pPr>
              <w:pStyle w:val="Normal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  <w:p>
            <w:pPr>
              <w:pStyle w:val="Normal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 w:ascii="Arial" w:hAnsi="Arial"/>
                <w:b/>
                <w:sz w:val="20"/>
                <w:szCs w:val="22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 w:ascii="Arial" w:hAnsi="Arial"/>
                <w:b/>
                <w:sz w:val="20"/>
                <w:szCs w:val="22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64" w:hRule="atLeast"/>
        </w:trPr>
        <w:tc>
          <w:tcPr>
            <w:tcW w:w="7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37"/>
        <w:gridCol w:w="1061"/>
        <w:gridCol w:w="1284"/>
        <w:gridCol w:w="1163"/>
        <w:gridCol w:w="1094"/>
        <w:gridCol w:w="1532"/>
      </w:tblGrid>
      <w:tr>
        <w:trPr/>
        <w:tc>
          <w:tcPr>
            <w:tcW w:w="2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20"/>
              </w:rPr>
              <w:t>Majetok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 xml:space="preserve">Odpisová skupina 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Doba odpisovania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Lineárne odpisy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Zrýchlené odpisy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2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b/>
                <w:bCs/>
                <w:kern w:val="2"/>
                <w:sz w:val="20"/>
                <w:lang w:eastAsia="en-US"/>
              </w:rPr>
              <w:t>Nemá obsahovú náplň.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2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2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2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2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2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ind w:left="709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10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 xml:space="preserve">Zmeny účtovných zásad a zmeny účtovných metód s uvedením dôvodu týchto zmien </w:t>
      </w:r>
    </w:p>
    <w:p>
      <w:pPr>
        <w:pStyle w:val="Normal"/>
        <w:ind w:left="709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a vyčíslením ich vplyvu na finančnú hodnotu majetku, záväzkov, základného imania</w:t>
      </w:r>
    </w:p>
    <w:p>
      <w:pPr>
        <w:pStyle w:val="Normal"/>
        <w:ind w:left="709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 xml:space="preserve"> </w:t>
      </w:r>
      <w:r>
        <w:rPr>
          <w:rFonts w:cs="Arial" w:ascii="Arial" w:hAnsi="Arial"/>
          <w:sz w:val="20"/>
        </w:rPr>
        <w:t>a výsledku hospodárenia ÚJ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3"/>
        <w:gridCol w:w="291"/>
        <w:gridCol w:w="578"/>
        <w:gridCol w:w="293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Zmeny účtovných zásad a metód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NIE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X</w:t>
            </w:r>
          </w:p>
        </w:tc>
      </w:tr>
    </w:tbl>
    <w:p>
      <w:pPr>
        <w:pStyle w:val="ListParagraph"/>
        <w:rPr>
          <w:rFonts w:ascii="Arial" w:hAnsi="Arial" w:cs="Arial"/>
          <w:sz w:val="20"/>
          <w:lang w:val="sk-SK"/>
        </w:rPr>
      </w:pPr>
      <w:r>
        <w:rPr>
          <w:rFonts w:cs="Arial" w:ascii="Arial" w:hAnsi="Arial"/>
          <w:sz w:val="20"/>
          <w:lang w:val="sk-SK"/>
        </w:rPr>
      </w:r>
    </w:p>
    <w:p>
      <w:pPr>
        <w:pStyle w:val="ListParagraph"/>
        <w:rPr>
          <w:rFonts w:ascii="Arial" w:hAnsi="Arial" w:cs="Arial"/>
          <w:sz w:val="20"/>
          <w:lang w:val="sk-SK"/>
        </w:rPr>
      </w:pPr>
      <w:r>
        <w:rPr>
          <w:rFonts w:cs="Arial" w:ascii="Arial" w:hAnsi="Arial"/>
          <w:sz w:val="20"/>
          <w:lang w:val="sk-SK"/>
        </w:rPr>
      </w:r>
    </w:p>
    <w:p>
      <w:pPr>
        <w:pStyle w:val="Normal"/>
        <w:numPr>
          <w:ilvl w:val="0"/>
          <w:numId w:val="10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 xml:space="preserve">Informácie o dotáciách a ich oceňovanie v účtovníctve 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b/>
                <w:bCs/>
                <w:kern w:val="2"/>
                <w:sz w:val="20"/>
                <w:lang w:eastAsia="en-US"/>
              </w:rPr>
              <w:t>Nemá obsahovú náplň.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" w:hAnsi="Arial" w:cs="Arial"/>
          <w:sz w:val="18"/>
          <w:szCs w:val="22"/>
        </w:rPr>
      </w:pPr>
      <w:r>
        <w:rPr>
          <w:rFonts w:cs="Arial" w:ascii="Arial" w:hAnsi="Arial"/>
          <w:sz w:val="18"/>
          <w:szCs w:val="22"/>
        </w:rPr>
      </w:r>
    </w:p>
    <w:p>
      <w:pPr>
        <w:pStyle w:val="Normal"/>
        <w:ind w:left="709" w:hanging="0"/>
        <w:jc w:val="both"/>
        <w:rPr>
          <w:rFonts w:ascii="Arial" w:hAnsi="Arial" w:cs="Arial"/>
          <w:sz w:val="18"/>
          <w:szCs w:val="22"/>
        </w:rPr>
      </w:pPr>
      <w:r>
        <w:rPr>
          <w:rFonts w:cs="Arial" w:ascii="Arial" w:hAnsi="Arial"/>
          <w:sz w:val="18"/>
          <w:szCs w:val="22"/>
        </w:rPr>
      </w:r>
    </w:p>
    <w:p>
      <w:pPr>
        <w:pStyle w:val="Normal"/>
        <w:numPr>
          <w:ilvl w:val="0"/>
          <w:numId w:val="10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Informácie o účtovaní významných opráv chýb minulých účtovných období v bežnom</w:t>
      </w:r>
    </w:p>
    <w:p>
      <w:pPr>
        <w:pStyle w:val="Normal"/>
        <w:ind w:left="709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 xml:space="preserve"> </w:t>
      </w:r>
      <w:r>
        <w:rPr>
          <w:rFonts w:cs="Arial" w:ascii="Arial" w:hAnsi="Arial"/>
          <w:sz w:val="20"/>
        </w:rPr>
        <w:t xml:space="preserve">účtovnom období </w:t>
      </w:r>
    </w:p>
    <w:tbl>
      <w:tblPr>
        <w:tblW w:w="949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5"/>
        <w:gridCol w:w="994"/>
        <w:gridCol w:w="851"/>
        <w:gridCol w:w="2124"/>
        <w:gridCol w:w="2554"/>
      </w:tblGrid>
      <w:tr>
        <w:trPr/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Opravy minulého obdobia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Účet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Účtované na účet HV min. období (EUR)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b/>
                <w:bCs/>
                <w:kern w:val="2"/>
                <w:sz w:val="20"/>
                <w:lang w:eastAsia="en-US"/>
              </w:rPr>
              <w:t>Nemá obsahovú náplň.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18"/>
          <w:szCs w:val="22"/>
        </w:rPr>
      </w:pPr>
      <w:r>
        <w:rPr>
          <w:rFonts w:cs="Arial" w:ascii="Arial" w:hAnsi="Arial"/>
          <w:sz w:val="18"/>
          <w:szCs w:val="22"/>
        </w:rPr>
      </w:r>
    </w:p>
    <w:p>
      <w:pPr>
        <w:pStyle w:val="Normal"/>
        <w:ind w:left="360" w:hanging="0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jc w:val="center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</w:rPr>
        <w:t>Čl. III</w:t>
      </w:r>
    </w:p>
    <w:p>
      <w:pPr>
        <w:pStyle w:val="Normal"/>
        <w:jc w:val="center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</w:rPr>
        <w:t>Informácie, ktoré vysvetľujú a dopĺňajú súvahu a výkaz ziskov a strát</w:t>
      </w:r>
    </w:p>
    <w:p>
      <w:pPr>
        <w:pStyle w:val="Normal"/>
        <w:ind w:left="1841" w:hanging="0"/>
        <w:jc w:val="center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</w:rPr>
      </w:r>
    </w:p>
    <w:p>
      <w:pPr>
        <w:pStyle w:val="Normal"/>
        <w:numPr>
          <w:ilvl w:val="0"/>
          <w:numId w:val="11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 xml:space="preserve">Informácia o sume a dôvodoch vzniku jednotlivých položiek </w:t>
      </w:r>
      <w:r>
        <w:rPr>
          <w:rFonts w:cs="Arial" w:ascii="Arial" w:hAnsi="Arial"/>
          <w:b/>
          <w:sz w:val="20"/>
        </w:rPr>
        <w:t>nákladov alebo výnosov, ktoré majú výnimočný rozsah alebo výskyt</w:t>
      </w:r>
      <w:r>
        <w:rPr>
          <w:rFonts w:cs="Arial" w:ascii="Arial" w:hAnsi="Arial"/>
          <w:sz w:val="20"/>
        </w:rPr>
        <w:t>, napríklad výnosy z predaja podniku alebo časti podniku, náklady z dôvodu predaja podniku alebo časti podniku, škody z dôvodu živelných pohrôm</w:t>
      </w:r>
    </w:p>
    <w:tbl>
      <w:tblPr>
        <w:tblW w:w="949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 xml:space="preserve">Popis nákladov ,výnosov </w:t>
            </w:r>
          </w:p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b/>
                <w:bCs/>
                <w:kern w:val="2"/>
                <w:sz w:val="20"/>
                <w:lang w:eastAsia="en-US"/>
              </w:rPr>
              <w:t>Nemá obsahovú náplň.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Normal"/>
        <w:ind w:left="1481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ind w:left="1134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11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>
        <w:rPr>
          <w:rFonts w:cs="Arial" w:ascii="Arial" w:hAnsi="Arial"/>
          <w:bCs/>
          <w:sz w:val="20"/>
          <w:szCs w:val="20"/>
        </w:rPr>
        <w:t>Informácie o záväzkoch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007"/>
        <w:gridCol w:w="1459"/>
      </w:tblGrid>
      <w:tr>
        <w:trPr>
          <w:trHeight w:val="397" w:hRule="atLeast"/>
        </w:trPr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76"/>
              <w:ind w:left="357" w:hanging="0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 </w:t>
            </w:r>
          </w:p>
          <w:p>
            <w:pPr>
              <w:pStyle w:val="Normal"/>
              <w:jc w:val="center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94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ind w:left="357" w:hanging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>
            <w:pPr>
              <w:pStyle w:val="TopHeader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Spôsob zabezpečenia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Inak zabezpečené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Inak zabezpečené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0</w:t>
            </w:r>
          </w:p>
        </w:tc>
      </w:tr>
    </w:tbl>
    <w:p>
      <w:pPr>
        <w:pStyle w:val="Normal"/>
        <w:ind w:left="1134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11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bCs/>
          <w:kern w:val="2"/>
          <w:sz w:val="20"/>
          <w:lang w:eastAsia="en-US"/>
        </w:rPr>
        <w:t>Informácie o vlastných akciách, a to</w:t>
        <w:tab/>
        <w:tab/>
      </w:r>
      <w:r>
        <w:rPr>
          <w:rFonts w:cs="Arial" w:ascii="Arial" w:hAnsi="Arial"/>
          <w:b/>
          <w:bCs/>
          <w:kern w:val="2"/>
          <w:sz w:val="20"/>
          <w:lang w:eastAsia="en-US"/>
        </w:rPr>
        <w:t>Nemá obsahovú náplň.</w:t>
      </w:r>
    </w:p>
    <w:p>
      <w:pPr>
        <w:pStyle w:val="Normal"/>
        <w:numPr>
          <w:ilvl w:val="0"/>
          <w:numId w:val="2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dôvod nadobudnutia vlastných akcií počas účtovného obdobia,</w:t>
      </w:r>
    </w:p>
    <w:p>
      <w:pPr>
        <w:pStyle w:val="Normal"/>
        <w:numPr>
          <w:ilvl w:val="0"/>
          <w:numId w:val="2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informácie</w:t>
      </w:r>
    </w:p>
    <w:p>
      <w:pPr>
        <w:pStyle w:val="Normal"/>
        <w:numPr>
          <w:ilvl w:val="0"/>
          <w:numId w:val="9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4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kern w:val="2"/>
          <w:sz w:val="20"/>
          <w:lang w:eastAsia="en-US"/>
        </w:rPr>
      </w:pPr>
      <w:r>
        <w:rPr>
          <w:rFonts w:cs="Arial" w:ascii="Arial" w:hAnsi="Arial"/>
          <w:sz w:val="20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 w:ascii="Arial" w:hAnsi="Arial"/>
          <w:bCs/>
          <w:kern w:val="2"/>
          <w:sz w:val="20"/>
          <w:lang w:eastAsia="en-US"/>
        </w:rPr>
        <w:t>uvádza  sa aj ich percentuálny podiel na upísanom základnom imaní.</w:t>
      </w:r>
    </w:p>
    <w:p>
      <w:pPr>
        <w:pStyle w:val="Normal"/>
        <w:ind w:left="1276" w:hanging="0"/>
        <w:jc w:val="both"/>
        <w:rPr>
          <w:rFonts w:ascii="Arial" w:hAnsi="Arial" w:cs="Arial"/>
          <w:bCs/>
          <w:kern w:val="2"/>
          <w:sz w:val="20"/>
          <w:lang w:eastAsia="en-US"/>
        </w:rPr>
      </w:pPr>
      <w:r>
        <w:rPr>
          <w:rFonts w:cs="Arial" w:ascii="Arial" w:hAnsi="Arial"/>
          <w:bCs/>
          <w:kern w:val="2"/>
          <w:sz w:val="20"/>
          <w:lang w:eastAsia="en-US"/>
        </w:rPr>
      </w:r>
    </w:p>
    <w:p>
      <w:pPr>
        <w:pStyle w:val="Normal"/>
        <w:ind w:left="1276" w:hanging="0"/>
        <w:jc w:val="both"/>
        <w:rPr>
          <w:rFonts w:ascii="Arial" w:hAnsi="Arial" w:cs="Arial"/>
          <w:bCs/>
          <w:kern w:val="2"/>
          <w:sz w:val="20"/>
          <w:lang w:eastAsia="en-US"/>
        </w:rPr>
      </w:pPr>
      <w:r>
        <w:rPr>
          <w:rFonts w:cs="Arial" w:ascii="Arial" w:hAnsi="Arial"/>
          <w:bCs/>
          <w:kern w:val="2"/>
          <w:sz w:val="20"/>
          <w:lang w:eastAsia="en-US"/>
        </w:rPr>
      </w:r>
    </w:p>
    <w:p>
      <w:pPr>
        <w:pStyle w:val="Normal"/>
        <w:numPr>
          <w:ilvl w:val="0"/>
          <w:numId w:val="11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Informácie o orgánoch účtovnej jednotky</w:t>
      </w:r>
    </w:p>
    <w:tbl>
      <w:tblPr>
        <w:tblW w:w="949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669"/>
        <w:gridCol w:w="1560"/>
        <w:gridCol w:w="426"/>
        <w:gridCol w:w="417"/>
        <w:gridCol w:w="1425"/>
      </w:tblGrid>
      <w:tr>
        <w:trPr>
          <w:trHeight w:val="283" w:hRule="atLeast"/>
        </w:trPr>
        <w:tc>
          <w:tcPr>
            <w:tcW w:w="949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a</w:t>
            </w:r>
            <w:r>
              <w:rPr>
                <w:rFonts w:cs="Arial" w:ascii="Arial" w:hAnsi="Arial"/>
                <w:b/>
                <w:sz w:val="20"/>
              </w:rPr>
              <w:t>)</w:t>
            </w:r>
            <w:r>
              <w:rPr>
                <w:rFonts w:cs="Arial" w:ascii="Arial" w:hAnsi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Druh záruky</w:t>
            </w:r>
          </w:p>
        </w:tc>
        <w:tc>
          <w:tcPr>
            <w:tcW w:w="19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Štatutárny orgán</w:t>
            </w:r>
          </w:p>
        </w:tc>
        <w:tc>
          <w:tcPr>
            <w:tcW w:w="1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9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9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949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Štatutárny orgán</w:t>
            </w:r>
          </w:p>
        </w:tc>
        <w:tc>
          <w:tcPr>
            <w:tcW w:w="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Úrok v %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49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49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49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Plnenie na súkromné účely k vyúčtovaniu</w:t>
            </w:r>
          </w:p>
        </w:tc>
        <w:tc>
          <w:tcPr>
            <w:tcW w:w="19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Štatutárny orgán</w:t>
            </w:r>
          </w:p>
        </w:tc>
        <w:tc>
          <w:tcPr>
            <w:tcW w:w="1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9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9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Informácie o povinnostiach účtovnej jednotky, a to</w:t>
        <w:tab/>
        <w:tab/>
      </w:r>
      <w:r>
        <w:rPr>
          <w:rFonts w:cs="Arial" w:ascii="Arial" w:hAnsi="Arial"/>
          <w:b/>
          <w:bCs/>
          <w:kern w:val="2"/>
          <w:sz w:val="20"/>
          <w:lang w:eastAsia="en-US"/>
        </w:rPr>
        <w:t>Nemá obsahovú náplň.</w:t>
      </w:r>
    </w:p>
    <w:p>
      <w:pPr>
        <w:pStyle w:val="Normal"/>
        <w:jc w:val="both"/>
        <w:rPr>
          <w:rFonts w:ascii="Arial" w:hAnsi="Arial" w:cs="Arial"/>
          <w:b/>
          <w:b/>
          <w:bCs/>
          <w:kern w:val="2"/>
          <w:sz w:val="20"/>
          <w:lang w:eastAsia="en-US"/>
        </w:rPr>
      </w:pPr>
      <w:r>
        <w:rPr>
          <w:rFonts w:cs="Arial" w:ascii="Arial" w:hAnsi="Arial"/>
          <w:b/>
          <w:bCs/>
          <w:kern w:val="2"/>
          <w:sz w:val="20"/>
          <w:lang w:eastAsia="en-US"/>
        </w:rPr>
      </w:r>
    </w:p>
    <w:p>
      <w:pPr>
        <w:pStyle w:val="Normal"/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celková suma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>
      <w:pPr>
        <w:pStyle w:val="Normal"/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celková suma významných podmienených záväzkov, ktorými sa rozumie</w:t>
      </w:r>
    </w:p>
    <w:p>
      <w:pPr>
        <w:pStyle w:val="Normal"/>
        <w:numPr>
          <w:ilvl w:val="0"/>
          <w:numId w:val="6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>
      <w:pPr>
        <w:pStyle w:val="Normal"/>
        <w:numPr>
          <w:ilvl w:val="0"/>
          <w:numId w:val="6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existujúca povinnosť, ktorá vznikla ako dôsledok minulej udalosti, ale ktorá sa nevykazuje v súvahe, pretože</w:t>
      </w:r>
    </w:p>
    <w:p>
      <w:pPr>
        <w:pStyle w:val="Normal"/>
        <w:numPr>
          <w:ilvl w:val="0"/>
          <w:numId w:val="5"/>
        </w:numPr>
        <w:ind w:left="2127" w:hanging="426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nie je pravdepodobné, že na splnenie tejto povinnosti bude potrebný úbytok ekonomických úžitkov, alebo</w:t>
      </w:r>
    </w:p>
    <w:p>
      <w:pPr>
        <w:pStyle w:val="Normal"/>
        <w:numPr>
          <w:ilvl w:val="0"/>
          <w:numId w:val="7"/>
        </w:numPr>
        <w:tabs>
          <w:tab w:val="clear" w:pos="709"/>
          <w:tab w:val="left" w:pos="851" w:leader="none"/>
        </w:tabs>
        <w:ind w:left="2510" w:hanging="809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výška tejto povinnosti sa nedá spoľahlivo oceniť,</w:t>
      </w:r>
    </w:p>
    <w:p>
      <w:pPr>
        <w:pStyle w:val="Normal"/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opise významných finančných povinností a významných podmienených záväzkov,</w:t>
      </w:r>
    </w:p>
    <w:p>
      <w:pPr>
        <w:pStyle w:val="Normal"/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>
      <w:pPr>
        <w:pStyle w:val="Normal"/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11"/>
        </w:numPr>
        <w:ind w:left="709" w:hanging="567"/>
        <w:jc w:val="both"/>
        <w:rPr>
          <w:rFonts w:ascii="Arial" w:hAnsi="Arial" w:cs="Arial"/>
          <w:b/>
          <w:b/>
          <w:sz w:val="20"/>
        </w:rPr>
      </w:pPr>
      <w:bookmarkStart w:id="1" w:name="OLE_LINK1"/>
      <w:r>
        <w:rPr>
          <w:rFonts w:cs="Arial" w:ascii="Arial" w:hAnsi="Arial"/>
          <w:sz w:val="20"/>
        </w:rPr>
        <w:t>Informácie o udelení výlučného práva alebo osobitného práva, ktorým sa udelilo právo poskytovať služby vo verejnom záujme</w:t>
      </w:r>
      <w:bookmarkEnd w:id="1"/>
      <w:r>
        <w:rPr>
          <w:rFonts w:cs="Arial" w:ascii="Arial" w:hAnsi="Arial"/>
          <w:sz w:val="20"/>
        </w:rPr>
        <w:tab/>
        <w:tab/>
      </w:r>
      <w:r>
        <w:rPr>
          <w:rFonts w:cs="Arial" w:ascii="Arial" w:hAnsi="Arial"/>
          <w:b/>
          <w:bCs/>
          <w:kern w:val="2"/>
          <w:sz w:val="20"/>
          <w:lang w:eastAsia="en-US"/>
        </w:rPr>
        <w:t>Nemá obsahovú náplň.</w:t>
      </w:r>
    </w:p>
    <w:p>
      <w:pPr>
        <w:pStyle w:val="Normal"/>
        <w:jc w:val="right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Údaje v poznámkach sú uvádzané za bežne účtovné obdobie. Sumy sú uvádzané v celých eurách.</w:t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 xml:space="preserve">ÚJ - účtovná jednotka; BO- bežné obdobie; X= ÚJ má náplň pre jednotlivú položku </w:t>
      </w:r>
    </w:p>
    <w:p>
      <w:pPr>
        <w:pStyle w:val="Normal"/>
        <w:rPr>
          <w:rFonts w:ascii="Arial" w:hAnsi="Arial" w:cs="Arial"/>
          <w:sz w:val="20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418" w:header="567" w:top="1418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4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311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708"/>
      <w:gridCol w:w="709"/>
      <w:gridCol w:w="350"/>
      <w:gridCol w:w="347"/>
      <w:gridCol w:w="345"/>
      <w:gridCol w:w="345"/>
      <w:gridCol w:w="347"/>
      <w:gridCol w:w="345"/>
      <w:gridCol w:w="348"/>
      <w:gridCol w:w="345"/>
      <w:gridCol w:w="681"/>
      <w:gridCol w:w="344"/>
      <w:gridCol w:w="344"/>
      <w:gridCol w:w="346"/>
      <w:gridCol w:w="342"/>
      <w:gridCol w:w="346"/>
      <w:gridCol w:w="344"/>
      <w:gridCol w:w="344"/>
      <w:gridCol w:w="345"/>
      <w:gridCol w:w="343"/>
      <w:gridCol w:w="340"/>
    </w:tblGrid>
    <w:tr>
      <w:trPr>
        <w:trHeight w:val="330" w:hRule="atLeast"/>
      </w:trPr>
      <w:tc>
        <w:tcPr>
          <w:tcW w:w="270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9" w:type="dxa"/>
          <w:tcBorders>
            <w:left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left w:val="single" w:sz="4" w:space="0" w:color="000000"/>
          </w:tcBorders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smallCaps w:val="false"/>
        <w:caps w:val="false"/>
        <w:outline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shadow w:val="false"/>
        <w:u w:val="none" w:color="000000"/>
        <w:b/>
        <w:kern w:val="0"/>
        <w:effect w:val="none"/>
        <w:szCs w:val="24"/>
        <w:iCs w:val="false"/>
        <w:bCs w:val="false"/>
        <w:em w:val="none"/>
        <w:w w:val="100"/>
        <w:emboss w:val="false"/>
        <w:imprint w:val="false"/>
        <w:vanish w:val="false"/>
        <w:highlight w:val="black"/>
        <w:rFonts w:cs="Times New Roman"/>
        <w:color w:val="000000"/>
        <w:lang w:val="x-none" w:eastAsia="x-none" w:bidi="x-none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lowerLetter"/>
      <w:lvlText w:val="%1)"/>
      <w:lvlJc w:val="left"/>
      <w:pPr>
        <w:ind w:left="1920" w:hanging="360"/>
      </w:pPr>
      <w:rPr>
        <w:sz w:val="24"/>
        <w:szCs w:val="24"/>
        <w:rFonts w:cs="Times New Roman"/>
      </w:rPr>
    </w:lvl>
    <w:lvl w:ilvl="1">
      <w:start w:val="1"/>
      <w:numFmt w:val="lowerLetter"/>
      <w:lvlText w:val="%2."/>
      <w:lvlJc w:val="left"/>
      <w:pPr>
        <w:ind w:left="2640" w:hanging="360"/>
      </w:pPr>
    </w:lvl>
    <w:lvl w:ilvl="2">
      <w:start w:val="1"/>
      <w:numFmt w:val="lowerRoman"/>
      <w:lvlText w:val="%3."/>
      <w:lvlJc w:val="right"/>
      <w:pPr>
        <w:ind w:left="3360" w:hanging="180"/>
      </w:pPr>
    </w:lvl>
    <w:lvl w:ilvl="3">
      <w:start w:val="1"/>
      <w:numFmt w:val="decimal"/>
      <w:lvlText w:val="%4."/>
      <w:lvlJc w:val="left"/>
      <w:pPr>
        <w:ind w:left="4080" w:hanging="360"/>
      </w:pPr>
    </w:lvl>
    <w:lvl w:ilvl="4">
      <w:start w:val="1"/>
      <w:numFmt w:val="lowerLetter"/>
      <w:lvlText w:val="%5."/>
      <w:lvlJc w:val="left"/>
      <w:pPr>
        <w:ind w:left="4800" w:hanging="360"/>
      </w:pPr>
    </w:lvl>
    <w:lvl w:ilvl="5">
      <w:start w:val="1"/>
      <w:numFmt w:val="lowerRoman"/>
      <w:lvlText w:val="%6."/>
      <w:lvlJc w:val="right"/>
      <w:pPr>
        <w:ind w:left="5520" w:hanging="180"/>
      </w:pPr>
    </w:lvl>
    <w:lvl w:ilvl="6">
      <w:start w:val="1"/>
      <w:numFmt w:val="decimal"/>
      <w:lvlText w:val="%7."/>
      <w:lvlJc w:val="left"/>
      <w:pPr>
        <w:ind w:left="6240" w:hanging="360"/>
      </w:pPr>
    </w:lvl>
    <w:lvl w:ilvl="7">
      <w:start w:val="1"/>
      <w:numFmt w:val="lowerLetter"/>
      <w:lvlText w:val="%8."/>
      <w:lvlJc w:val="left"/>
      <w:pPr>
        <w:ind w:left="6960" w:hanging="360"/>
      </w:pPr>
    </w:lvl>
    <w:lvl w:ilvl="8">
      <w:start w:val="1"/>
      <w:numFmt w:val="lowerRoman"/>
      <w:lvlText w:val="%9."/>
      <w:lvlJc w:val="right"/>
      <w:pPr>
        <w:ind w:left="7680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1841" w:hanging="360"/>
      </w:pPr>
      <w:rPr>
        <w:sz w:val="24"/>
        <w:szCs w:val="24"/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2"/>
      <w:numFmt w:val="decimal"/>
      <w:lvlText w:val="%1a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decimal"/>
      <w:lvlText w:val="%1."/>
      <w:lvlJc w:val="left"/>
      <w:pPr>
        <w:ind w:left="2561" w:hanging="360"/>
      </w:pPr>
    </w:lvl>
    <w:lvl w:ilvl="1">
      <w:start w:val="1"/>
      <w:numFmt w:val="lowerLetter"/>
      <w:lvlText w:val="%2."/>
      <w:lvlJc w:val="left"/>
      <w:pPr>
        <w:ind w:left="3281" w:hanging="360"/>
      </w:pPr>
    </w:lvl>
    <w:lvl w:ilvl="2">
      <w:start w:val="1"/>
      <w:numFmt w:val="lowerRoman"/>
      <w:lvlText w:val="%3."/>
      <w:lvlJc w:val="right"/>
      <w:pPr>
        <w:ind w:left="4001" w:hanging="180"/>
      </w:pPr>
    </w:lvl>
    <w:lvl w:ilvl="3">
      <w:start w:val="1"/>
      <w:numFmt w:val="decimal"/>
      <w:lvlText w:val="%4."/>
      <w:lvlJc w:val="left"/>
      <w:pPr>
        <w:ind w:left="4721" w:hanging="360"/>
      </w:pPr>
    </w:lvl>
    <w:lvl w:ilvl="4">
      <w:start w:val="1"/>
      <w:numFmt w:val="lowerLetter"/>
      <w:lvlText w:val="%5."/>
      <w:lvlJc w:val="left"/>
      <w:pPr>
        <w:ind w:left="5441" w:hanging="360"/>
      </w:pPr>
    </w:lvl>
    <w:lvl w:ilvl="5">
      <w:start w:val="1"/>
      <w:numFmt w:val="lowerRoman"/>
      <w:lvlText w:val="%6."/>
      <w:lvlJc w:val="right"/>
      <w:pPr>
        <w:ind w:left="6161" w:hanging="180"/>
      </w:pPr>
    </w:lvl>
    <w:lvl w:ilvl="6">
      <w:start w:val="1"/>
      <w:numFmt w:val="decimal"/>
      <w:lvlText w:val="%7."/>
      <w:lvlJc w:val="left"/>
      <w:pPr>
        <w:ind w:left="6881" w:hanging="360"/>
      </w:pPr>
    </w:lvl>
    <w:lvl w:ilvl="7">
      <w:start w:val="1"/>
      <w:numFmt w:val="lowerLetter"/>
      <w:lvlText w:val="%8."/>
      <w:lvlJc w:val="left"/>
      <w:pPr>
        <w:ind w:left="7601" w:hanging="360"/>
      </w:pPr>
    </w:lvl>
    <w:lvl w:ilvl="8">
      <w:start w:val="1"/>
      <w:numFmt w:val="lowerRoman"/>
      <w:lvlText w:val="%9."/>
      <w:lvlJc w:val="right"/>
      <w:pPr>
        <w:ind w:left="8321" w:hanging="180"/>
      </w:pPr>
    </w:lvl>
  </w:abstractNum>
  <w:abstractNum w:abstractNumId="7">
    <w:lvl w:ilvl="0">
      <w:start w:val="2"/>
      <w:numFmt w:val="decimal"/>
      <w:lvlText w:val="%1b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decimal"/>
      <w:lvlText w:val="(%1)"/>
      <w:lvlJc w:val="left"/>
      <w:pPr>
        <w:ind w:left="1481" w:hanging="360"/>
      </w:pPr>
      <w:rPr>
        <w:sz w:val="20"/>
        <w:i w:val="false"/>
        <w:b w:val="false"/>
        <w:szCs w:val="24"/>
        <w:rFonts w:cs="Times New Roman"/>
      </w:rPr>
    </w:lvl>
    <w:lvl w:ilvl="1">
      <w:start w:val="1"/>
      <w:numFmt w:val="lowerLetter"/>
      <w:lvlText w:val="%2."/>
      <w:lvlJc w:val="left"/>
      <w:pPr>
        <w:ind w:left="2201" w:hanging="360"/>
      </w:pPr>
    </w:lvl>
    <w:lvl w:ilvl="2">
      <w:start w:val="1"/>
      <w:numFmt w:val="lowerRoman"/>
      <w:lvlText w:val="%3."/>
      <w:lvlJc w:val="right"/>
      <w:pPr>
        <w:ind w:left="2921" w:hanging="180"/>
      </w:pPr>
    </w:lvl>
    <w:lvl w:ilvl="3">
      <w:start w:val="1"/>
      <w:numFmt w:val="decimal"/>
      <w:lvlText w:val="%4."/>
      <w:lvlJc w:val="left"/>
      <w:pPr>
        <w:ind w:left="3641" w:hanging="360"/>
      </w:pPr>
    </w:lvl>
    <w:lvl w:ilvl="4">
      <w:start w:val="1"/>
      <w:numFmt w:val="lowerLetter"/>
      <w:lvlText w:val="%5."/>
      <w:lvlJc w:val="left"/>
      <w:pPr>
        <w:ind w:left="4361" w:hanging="360"/>
      </w:pPr>
    </w:lvl>
    <w:lvl w:ilvl="5">
      <w:start w:val="1"/>
      <w:numFmt w:val="lowerRoman"/>
      <w:lvlText w:val="%6."/>
      <w:lvlJc w:val="right"/>
      <w:pPr>
        <w:ind w:left="5081" w:hanging="180"/>
      </w:pPr>
    </w:lvl>
    <w:lvl w:ilvl="6">
      <w:start w:val="1"/>
      <w:numFmt w:val="decimal"/>
      <w:lvlText w:val="%7."/>
      <w:lvlJc w:val="left"/>
      <w:pPr>
        <w:ind w:left="5801" w:hanging="360"/>
      </w:pPr>
    </w:lvl>
    <w:lvl w:ilvl="7">
      <w:start w:val="1"/>
      <w:numFmt w:val="lowerLetter"/>
      <w:lvlText w:val="%8."/>
      <w:lvlJc w:val="left"/>
      <w:pPr>
        <w:ind w:left="6521" w:hanging="360"/>
      </w:pPr>
    </w:lvl>
    <w:lvl w:ilvl="8">
      <w:start w:val="1"/>
      <w:numFmt w:val="lowerRoman"/>
      <w:lvlText w:val="%9."/>
      <w:lvlJc w:val="right"/>
      <w:pPr>
        <w:ind w:left="7241" w:hanging="180"/>
      </w:pPr>
    </w:lvl>
  </w:abstractNum>
  <w:abstractNum w:abstractNumId="9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10">
    <w:lvl w:ilvl="0">
      <w:start w:val="1"/>
      <w:numFmt w:val="decimal"/>
      <w:lvlText w:val="(%1)"/>
      <w:lvlJc w:val="left"/>
      <w:pPr>
        <w:ind w:left="3479" w:hanging="360"/>
      </w:pPr>
      <w:rPr>
        <w:sz w:val="20"/>
        <w:i w:val="false"/>
        <w:b w:val="false"/>
        <w:szCs w:val="24"/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decimal"/>
      <w:lvlText w:val="(%1)"/>
      <w:lvlJc w:val="left"/>
      <w:pPr>
        <w:ind w:left="1481" w:hanging="360"/>
      </w:pPr>
      <w:rPr>
        <w:sz w:val="20"/>
        <w:i w:val="false"/>
        <w:b w:val="false"/>
        <w:szCs w:val="24"/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sk-SK" w:bidi="ar-SA"/>
    </w:rPr>
  </w:style>
  <w:style w:type="paragraph" w:styleId="Nadpis1">
    <w:name w:val="Heading 1"/>
    <w:next w:val="Nadpis2"/>
    <w:qFormat/>
    <w:pPr>
      <w:keepNext w:val="true"/>
      <w:widowControl/>
      <w:numPr>
        <w:ilvl w:val="0"/>
        <w:numId w:val="1"/>
      </w:numPr>
      <w:suppressAutoHyphens w:val="true"/>
      <w:bidi w:val="0"/>
      <w:spacing w:before="240" w:after="60"/>
      <w:jc w:val="center"/>
      <w:outlineLvl w:val="0"/>
    </w:pPr>
    <w:rPr>
      <w:rFonts w:ascii="Times New Roman" w:hAnsi="Times New Roman" w:eastAsia="Times New Roman" w:cs="Arial"/>
      <w:b/>
      <w:bCs/>
      <w:color w:val="auto"/>
      <w:kern w:val="2"/>
      <w:sz w:val="24"/>
      <w:szCs w:val="32"/>
      <w:lang w:val="sk-SK" w:eastAsia="sk-SK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Ukotveniepoznmkypodiarou">
    <w:name w:val="Ukotvenie poznámky pod čiarou"/>
    <w:rPr>
      <w:vertAlign w:val="superscript"/>
    </w:rPr>
  </w:style>
  <w:style w:type="character" w:styleId="FootnoteCharacters">
    <w:name w:val="Footnote Characters"/>
    <w:semiHidden/>
    <w:qFormat/>
    <w:rPr>
      <w:vertAlign w:val="superscript"/>
    </w:rPr>
  </w:style>
  <w:style w:type="character" w:styleId="Pagenumber">
    <w:name w:val="page number"/>
    <w:basedOn w:val="DefaultParagraphFont"/>
    <w:semiHidden/>
    <w:qFormat/>
    <w:rPr/>
  </w:style>
  <w:style w:type="character" w:styleId="PtaChar" w:customStyle="1">
    <w:name w:val="Päta Char"/>
    <w:link w:val="Pta"/>
    <w:uiPriority w:val="99"/>
    <w:qFormat/>
    <w:rsid w:val="00f570bd"/>
    <w:rPr>
      <w:sz w:val="24"/>
      <w:szCs w:val="24"/>
      <w:lang w:eastAsia="x-none"/>
    </w:rPr>
  </w:style>
  <w:style w:type="character" w:styleId="TextvysvetlivkyChar" w:customStyle="1">
    <w:name w:val="Text vysvetlivky Char"/>
    <w:basedOn w:val="DefaultParagraphFont"/>
    <w:link w:val="Textvysvetlivky"/>
    <w:uiPriority w:val="99"/>
    <w:semiHidden/>
    <w:qFormat/>
    <w:rsid w:val="009502d0"/>
    <w:rPr/>
  </w:style>
  <w:style w:type="character" w:styleId="Ukotveniekoncovejpoznmky">
    <w:name w:val="Ukotvenie koncovej poznámky"/>
    <w:rPr>
      <w:vertAlign w:val="superscript"/>
    </w:rPr>
  </w:style>
  <w:style w:type="character" w:styleId="EndnoteCharacters">
    <w:name w:val="Endnote Characters"/>
    <w:uiPriority w:val="99"/>
    <w:semiHidden/>
    <w:unhideWhenUsed/>
    <w:qFormat/>
    <w:rsid w:val="009502d0"/>
    <w:rPr>
      <w:vertAlign w:val="superscript"/>
    </w:rPr>
  </w:style>
  <w:style w:type="character" w:styleId="HlavikaChar" w:customStyle="1">
    <w:name w:val="Hlavička Char"/>
    <w:link w:val="Hlavika"/>
    <w:uiPriority w:val="99"/>
    <w:qFormat/>
    <w:rsid w:val="006c0f8a"/>
    <w:rPr>
      <w:sz w:val="24"/>
      <w:szCs w:val="24"/>
    </w:rPr>
  </w:style>
  <w:style w:type="character" w:styleId="TextbublinyChar" w:customStyle="1">
    <w:name w:val="Text bubliny Char"/>
    <w:link w:val="Textbubliny"/>
    <w:uiPriority w:val="99"/>
    <w:semiHidden/>
    <w:qFormat/>
    <w:rsid w:val="005e6d20"/>
    <w:rPr>
      <w:rFonts w:ascii="Tahoma" w:hAnsi="Tahoma" w:cs="Tahoma"/>
      <w:sz w:val="16"/>
      <w:szCs w:val="16"/>
    </w:rPr>
  </w:style>
  <w:style w:type="character" w:styleId="Tl" w:customStyle="1">
    <w:name w:val="tl"/>
    <w:basedOn w:val="DefaultParagraphFont"/>
    <w:qFormat/>
    <w:rsid w:val="000a4158"/>
    <w:rPr/>
  </w:style>
  <w:style w:type="character" w:styleId="Tl1Char" w:customStyle="1">
    <w:name w:val="Štýl1 Char"/>
    <w:basedOn w:val="PtaChar"/>
    <w:link w:val="tl1"/>
    <w:qFormat/>
    <w:rsid w:val="007b7ebe"/>
    <w:rPr>
      <w:sz w:val="24"/>
      <w:szCs w:val="24"/>
      <w:lang w:eastAsia="x-none"/>
    </w:rPr>
  </w:style>
  <w:style w:type="character" w:styleId="Ra" w:customStyle="1">
    <w:name w:val="ra"/>
    <w:basedOn w:val="DefaultParagraphFont"/>
    <w:qFormat/>
    <w:rsid w:val="000a4158"/>
    <w:rPr/>
  </w:style>
  <w:style w:type="character" w:styleId="OdsekzoznamuChar" w:customStyle="1">
    <w:name w:val="Odsek zoznamu Char"/>
    <w:link w:val="Odsekzoznamu"/>
    <w:uiPriority w:val="34"/>
    <w:qFormat/>
    <w:locked/>
    <w:rsid w:val="00cd1488"/>
    <w:rPr>
      <w:sz w:val="24"/>
      <w:szCs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semiHidden/>
    <w:pPr/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Zkladntext1" w:customStyle="1">
    <w:name w:val="Základní text1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sk-SK" w:bidi="ar-SA"/>
    </w:rPr>
  </w:style>
  <w:style w:type="paragraph" w:styleId="Poznmkapodiarou">
    <w:name w:val="Footnote Text"/>
    <w:basedOn w:val="Normal"/>
    <w:semiHidden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link w:val="PtaChar"/>
    <w:uiPriority w:val="99"/>
    <w:rsid w:val="00f570bd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x-none" w:eastAsia="x-none"/>
    </w:rPr>
  </w:style>
  <w:style w:type="paragraph" w:styleId="BodyText2">
    <w:name w:val="Body Text 2"/>
    <w:basedOn w:val="Normal"/>
    <w:semiHidden/>
    <w:qFormat/>
    <w:pPr>
      <w:jc w:val="both"/>
    </w:pPr>
    <w:rPr/>
  </w:style>
  <w:style w:type="paragraph" w:styleId="Odsadenietelatextu">
    <w:name w:val="Body Text Indent"/>
    <w:basedOn w:val="Normal"/>
    <w:semiHidden/>
    <w:pPr>
      <w:ind w:firstLine="360"/>
      <w:jc w:val="both"/>
    </w:pPr>
    <w:rPr/>
  </w:style>
  <w:style w:type="paragraph" w:styleId="BodyTextIndent2">
    <w:name w:val="Body Text Indent 2"/>
    <w:basedOn w:val="Normal"/>
    <w:semiHidden/>
    <w:qFormat/>
    <w:pPr>
      <w:ind w:firstLine="360"/>
    </w:pPr>
    <w:rPr/>
  </w:style>
  <w:style w:type="paragraph" w:styleId="BodyText3">
    <w:name w:val="Body Text 3"/>
    <w:basedOn w:val="Normal"/>
    <w:semiHidden/>
    <w:qFormat/>
    <w:pPr>
      <w:ind w:right="-468" w:hanging="0"/>
      <w:jc w:val="both"/>
    </w:pPr>
    <w:rPr>
      <w:b/>
      <w:bCs/>
    </w:rPr>
  </w:style>
  <w:style w:type="paragraph" w:styleId="BlockText">
    <w:name w:val="Block Text"/>
    <w:basedOn w:val="Normal"/>
    <w:semiHidden/>
    <w:qFormat/>
    <w:pPr>
      <w:ind w:left="1680" w:right="-468" w:hanging="240"/>
    </w:pPr>
    <w:rPr/>
  </w:style>
  <w:style w:type="paragraph" w:styleId="BodyTextIndent3">
    <w:name w:val="Body Text Indent 3"/>
    <w:basedOn w:val="Normal"/>
    <w:semiHidden/>
    <w:qFormat/>
    <w:pPr>
      <w:ind w:right="-468" w:firstLine="720"/>
      <w:jc w:val="both"/>
    </w:pPr>
    <w:rPr>
      <w:bCs/>
    </w:rPr>
  </w:style>
  <w:style w:type="paragraph" w:styleId="Hlavika">
    <w:name w:val="Header"/>
    <w:basedOn w:val="Normal"/>
    <w:link w:val="HlavikaChar"/>
    <w:uiPriority w:val="99"/>
    <w:pPr>
      <w:tabs>
        <w:tab w:val="clear" w:pos="709"/>
        <w:tab w:val="center" w:pos="4703" w:leader="none"/>
        <w:tab w:val="right" w:pos="9406" w:leader="none"/>
      </w:tabs>
    </w:pPr>
    <w:rPr>
      <w:lang w:val="x-none" w:eastAsia="x-none"/>
    </w:rPr>
  </w:style>
  <w:style w:type="paragraph" w:styleId="ListParagraph">
    <w:name w:val="List Paragraph"/>
    <w:basedOn w:val="Normal"/>
    <w:link w:val="OdsekzoznamuChar"/>
    <w:uiPriority w:val="34"/>
    <w:qFormat/>
    <w:rsid w:val="00ab5218"/>
    <w:pPr>
      <w:ind w:left="708" w:hanging="0"/>
    </w:pPr>
    <w:rPr>
      <w:lang w:val="x-none" w:eastAsia="x-none"/>
    </w:rPr>
  </w:style>
  <w:style w:type="paragraph" w:styleId="Koncovpoznmka">
    <w:name w:val="Endnote Text"/>
    <w:basedOn w:val="Normal"/>
    <w:link w:val="TextvysvetlivkyChar"/>
    <w:uiPriority w:val="99"/>
    <w:semiHidden/>
    <w:unhideWhenUsed/>
    <w:rsid w:val="009502d0"/>
    <w:pPr/>
    <w:rPr>
      <w:sz w:val="20"/>
      <w:szCs w:val="20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5e6d20"/>
    <w:pPr/>
    <w:rPr>
      <w:rFonts w:ascii="Tahoma" w:hAnsi="Tahoma"/>
      <w:sz w:val="16"/>
      <w:szCs w:val="16"/>
      <w:lang w:val="x-none" w:eastAsia="x-none"/>
    </w:rPr>
  </w:style>
  <w:style w:type="paragraph" w:styleId="Tl1" w:customStyle="1">
    <w:name w:val="Štýl1"/>
    <w:basedOn w:val="Pta"/>
    <w:link w:val="tl1Char"/>
    <w:qFormat/>
    <w:rsid w:val="007b7ebe"/>
    <w:pPr/>
    <w:rPr/>
  </w:style>
  <w:style w:type="paragraph" w:styleId="TopHeader" w:customStyle="1">
    <w:name w:val="Top Header"/>
    <w:basedOn w:val="Norma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6c0f8a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LibreOffice/6.4.4.2$Windows_X86_64 LibreOffice_project/3d775be2011f3886db32dfd395a6a6d1ca2630ff</Application>
  <Pages>4</Pages>
  <Words>1307</Words>
  <Characters>7668</Characters>
  <CharactersWithSpaces>8842</CharactersWithSpaces>
  <Paragraphs>179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2019-03-20T10:16:00Z</dcterms:created>
  <dc:creator>maria</dc:creator>
  <dc:description/>
  <dc:language>sk-SK</dc:language>
  <cp:lastModifiedBy/>
  <cp:lastPrinted>2017-03-06T09:29:00Z</cp:lastPrinted>
  <dcterms:modified xsi:type="dcterms:W3CDTF">2020-06-25T11:32:30Z</dcterms:modified>
  <cp:revision>5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