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7D73" w:rsidRDefault="00274BFA">
      <w:pPr>
        <w:spacing w:after="95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 </w:t>
      </w:r>
    </w:p>
    <w:p w:rsidR="00A67D73" w:rsidRDefault="00274BF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 w:line="259" w:lineRule="auto"/>
        <w:ind w:left="0" w:right="4" w:firstLine="0"/>
        <w:jc w:val="center"/>
      </w:pPr>
      <w:r>
        <w:rPr>
          <w:b/>
        </w:rPr>
        <w:t>Poznámky k mikro účtovnej závierke za rok 201</w:t>
      </w:r>
      <w:r w:rsidR="002A3597">
        <w:rPr>
          <w:b/>
        </w:rPr>
        <w:t>9</w:t>
      </w:r>
      <w:r>
        <w:rPr>
          <w:b/>
        </w:rPr>
        <w:t xml:space="preserve"> </w:t>
      </w:r>
      <w:r>
        <w:t xml:space="preserve">  </w:t>
      </w:r>
    </w:p>
    <w:p w:rsidR="00A67D73" w:rsidRDefault="00274BF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" w:line="252" w:lineRule="auto"/>
        <w:ind w:right="4"/>
        <w:jc w:val="center"/>
      </w:pPr>
      <w:r>
        <w:t xml:space="preserve">zostavené podľa Opatrenia Ministerstva financií SR č.MF/15464/2013-74, ktorým sa ustanovujú podrobnosti   </w:t>
      </w:r>
    </w:p>
    <w:p w:rsidR="00A67D73" w:rsidRDefault="00274BF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" w:line="252" w:lineRule="auto"/>
        <w:ind w:right="4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 xml:space="preserve">mikro účtovné </w:t>
      </w:r>
      <w:r>
        <w:t xml:space="preserve"> </w:t>
      </w:r>
    </w:p>
    <w:p w:rsidR="00A67D73" w:rsidRDefault="00274BF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9" w:lineRule="auto"/>
        <w:ind w:left="0" w:right="4" w:firstLine="0"/>
        <w:jc w:val="right"/>
      </w:pPr>
      <w:r>
        <w:rPr>
          <w:b/>
        </w:rPr>
        <w:t>jednotky</w:t>
      </w:r>
      <w:r>
        <w:t xml:space="preserve"> v znení neskorších predpisov (ostatná novela č.MF/18008/2014-74</w:t>
      </w:r>
      <w:r>
        <w:t xml:space="preserve"> – FS č.10/2014)   </w:t>
      </w:r>
    </w:p>
    <w:p w:rsidR="00A67D73" w:rsidRDefault="00274BFA">
      <w:pPr>
        <w:spacing w:after="77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spacing w:after="0" w:line="259" w:lineRule="auto"/>
        <w:ind w:right="841"/>
        <w:jc w:val="center"/>
      </w:pPr>
      <w:r>
        <w:rPr>
          <w:b/>
        </w:rPr>
        <w:t>Článok I</w:t>
      </w:r>
      <w:r>
        <w:t xml:space="preserve"> </w:t>
      </w:r>
      <w:r>
        <w:rPr>
          <w:b/>
        </w:rPr>
        <w:t>Všeobecné údaje</w:t>
      </w:r>
      <w:r>
        <w:t xml:space="preserve"> </w:t>
      </w:r>
      <w:r>
        <w:rPr>
          <w:b/>
        </w:rPr>
        <w:t xml:space="preserve">  </w:t>
      </w:r>
    </w:p>
    <w:p w:rsidR="00A67D73" w:rsidRDefault="00274BFA">
      <w:pPr>
        <w:spacing w:after="94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 </w:t>
      </w:r>
    </w:p>
    <w:p w:rsidR="00A67D73" w:rsidRDefault="00274BFA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694" w:type="dxa"/>
        <w:tblInd w:w="-98" w:type="dxa"/>
        <w:tblCellMar>
          <w:top w:w="1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6607"/>
      </w:tblGrid>
      <w:tr w:rsidR="00A67D73">
        <w:trPr>
          <w:trHeight w:val="372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Názov: 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A3597" w:rsidP="002A3597">
            <w:pPr>
              <w:spacing w:after="0" w:line="259" w:lineRule="auto"/>
              <w:ind w:left="0" w:firstLine="0"/>
              <w:jc w:val="left"/>
            </w:pPr>
            <w:r>
              <w:t>ELEKTRA-NR</w:t>
            </w:r>
            <w:r w:rsidR="00274BFA">
              <w:t xml:space="preserve"> s.r.o.   </w:t>
            </w:r>
          </w:p>
        </w:tc>
      </w:tr>
      <w:tr w:rsidR="00A67D73">
        <w:trPr>
          <w:trHeight w:val="37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36548201   </w:t>
            </w:r>
          </w:p>
        </w:tc>
      </w:tr>
      <w:tr w:rsidR="00A67D73">
        <w:trPr>
          <w:trHeight w:val="370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A3597" w:rsidP="002A3597">
            <w:pPr>
              <w:spacing w:after="0" w:line="259" w:lineRule="auto"/>
              <w:ind w:left="0" w:firstLine="0"/>
              <w:jc w:val="left"/>
            </w:pPr>
            <w:r>
              <w:t>Nábrežie Mládeže 95    949 01 NITRA</w:t>
            </w:r>
            <w:r w:rsidR="00274BFA">
              <w:t xml:space="preserve">    </w:t>
            </w:r>
          </w:p>
        </w:tc>
      </w:tr>
    </w:tbl>
    <w:p w:rsidR="00A67D73" w:rsidRDefault="00274BFA">
      <w:pPr>
        <w:spacing w:after="2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</w:t>
      </w:r>
      <w:r>
        <w:t xml:space="preserve">obchodné meno a sídlo konsolidujúcej účtovnej jednotky:       </w:t>
      </w:r>
    </w:p>
    <w:p w:rsidR="00A67D73" w:rsidRDefault="00274BFA">
      <w:pPr>
        <w:ind w:left="258" w:right="81"/>
      </w:pPr>
      <w:r>
        <w:t xml:space="preserve">spoločnosť nie je súčasťou konsolidujúcej účtovej jednotky , nie je materskou účtovnou jednotkou .   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   </w:t>
      </w:r>
    </w:p>
    <w:p w:rsidR="00A67D73" w:rsidRDefault="00274BFA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694" w:type="dxa"/>
        <w:tblInd w:w="-98" w:type="dxa"/>
        <w:tblCellMar>
          <w:top w:w="106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3"/>
        <w:gridCol w:w="2129"/>
        <w:gridCol w:w="3342"/>
      </w:tblGrid>
      <w:tr w:rsidR="00A67D73">
        <w:trPr>
          <w:trHeight w:val="888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7" w:line="243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:rsidR="00A67D73" w:rsidRDefault="00274B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 </w:t>
            </w:r>
          </w:p>
        </w:tc>
      </w:tr>
      <w:tr w:rsidR="00A67D73">
        <w:trPr>
          <w:trHeight w:val="643"/>
        </w:trPr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 w:rsidP="002A3597">
            <w:pPr>
              <w:spacing w:after="0" w:line="259" w:lineRule="auto"/>
              <w:ind w:left="5" w:firstLine="0"/>
              <w:jc w:val="left"/>
            </w:pPr>
            <w:r>
              <w:t xml:space="preserve">         </w:t>
            </w:r>
            <w:r w:rsidR="002A3597">
              <w:t>10</w:t>
            </w:r>
            <w:r>
              <w:t xml:space="preserve">  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 w:rsidP="002A3597">
            <w:pPr>
              <w:spacing w:after="0" w:line="259" w:lineRule="auto"/>
              <w:ind w:left="0" w:firstLine="0"/>
              <w:jc w:val="left"/>
            </w:pPr>
            <w:r>
              <w:t xml:space="preserve">                     </w:t>
            </w:r>
            <w:r w:rsidR="002A3597">
              <w:t>1</w:t>
            </w:r>
            <w:r>
              <w:t xml:space="preserve">   </w:t>
            </w:r>
          </w:p>
        </w:tc>
      </w:tr>
    </w:tbl>
    <w:p w:rsidR="00A67D73" w:rsidRDefault="00274BFA">
      <w:pPr>
        <w:spacing w:after="10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spacing w:after="2" w:line="259" w:lineRule="auto"/>
        <w:ind w:left="2098" w:firstLine="0"/>
        <w:jc w:val="left"/>
      </w:pPr>
      <w:r>
        <w:rPr>
          <w:b/>
        </w:rPr>
        <w:t>Článok II</w:t>
      </w:r>
      <w:r>
        <w:t xml:space="preserve"> </w:t>
      </w:r>
      <w:r>
        <w:rPr>
          <w:b/>
        </w:rPr>
        <w:t xml:space="preserve"> Informácie o prijatých postupoch</w:t>
      </w:r>
      <w:r>
        <w:t xml:space="preserve">  </w:t>
      </w:r>
      <w:r>
        <w:rPr>
          <w:b/>
        </w:rPr>
        <w:t xml:space="preserve">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 </w:t>
      </w:r>
    </w:p>
    <w:p w:rsidR="00A67D73" w:rsidRDefault="00274BFA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694" w:type="dxa"/>
        <w:tblInd w:w="-98" w:type="dxa"/>
        <w:tblCellMar>
          <w:top w:w="10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50"/>
        <w:gridCol w:w="4844"/>
      </w:tblGrid>
      <w:tr w:rsidR="00A67D73">
        <w:trPr>
          <w:trHeight w:val="355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55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Dlhodobý finančný majetok: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Vlastné náklady   </w:t>
            </w:r>
          </w:p>
        </w:tc>
      </w:tr>
      <w:tr w:rsidR="00A67D73">
        <w:trPr>
          <w:trHeight w:val="355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Menovitá hodnota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60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Obstarávacia cena   </w:t>
            </w:r>
          </w:p>
        </w:tc>
      </w:tr>
      <w:tr w:rsidR="00A67D73">
        <w:trPr>
          <w:trHeight w:val="355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Menovitá hodnota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Menovitá hodnota   </w:t>
            </w:r>
          </w:p>
        </w:tc>
      </w:tr>
      <w:tr w:rsidR="00A67D73">
        <w:trPr>
          <w:trHeight w:val="35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Menovitá hodnota   </w:t>
            </w:r>
          </w:p>
        </w:tc>
      </w:tr>
      <w:tr w:rsidR="00A67D73">
        <w:trPr>
          <w:trHeight w:val="355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D73" w:rsidRDefault="00274BFA">
            <w:pPr>
              <w:spacing w:after="0" w:line="259" w:lineRule="auto"/>
              <w:ind w:left="0" w:firstLine="0"/>
              <w:jc w:val="left"/>
            </w:pPr>
            <w:r>
              <w:t xml:space="preserve">Menovitá hodnota   </w:t>
            </w:r>
          </w:p>
        </w:tc>
      </w:tr>
    </w:tbl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</w:t>
      </w:r>
      <w:r>
        <w:t>pre jednotlivé druhy dlhodobého hmotného majetku a dlhodobého nehmotného majetku, pričom sa uvádza doba odpisovania, použité sadzby odpisov a odpisové metódy pri určení odpisov</w:t>
      </w:r>
      <w:r w:rsidR="00AA633A">
        <w:t>:</w:t>
      </w:r>
      <w:r>
        <w:t xml:space="preserve">   </w:t>
      </w:r>
    </w:p>
    <w:tbl>
      <w:tblPr>
        <w:tblW w:w="0" w:type="auto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327"/>
        <w:gridCol w:w="1604"/>
      </w:tblGrid>
      <w:tr w:rsidR="001C1A76" w:rsidRPr="001C1A76" w:rsidTr="00CF7D24">
        <w:trPr>
          <w:trHeight w:val="64"/>
        </w:trPr>
        <w:tc>
          <w:tcPr>
            <w:tcW w:w="7327" w:type="dxa"/>
            <w:tcBorders>
              <w:right w:val="single" w:sz="4" w:space="0" w:color="auto"/>
            </w:tcBorders>
          </w:tcPr>
          <w:p w:rsidR="001C1A76" w:rsidRPr="001C1A76" w:rsidRDefault="001C1A76" w:rsidP="001C1A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eastAsia="Times New Roman" w:hAnsi="Arial" w:cs="Arial"/>
                <w:color w:val="auto"/>
                <w:sz w:val="20"/>
              </w:rPr>
            </w:pPr>
            <w:r w:rsidRPr="001C1A76">
              <w:rPr>
                <w:rFonts w:ascii="Arial" w:eastAsia="Times New Roman" w:hAnsi="Arial" w:cs="Arial"/>
                <w:color w:val="auto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1C1A76" w:rsidRPr="001C1A76" w:rsidRDefault="001C1A76" w:rsidP="001C1A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eastAsia="Times New Roman" w:hAnsi="Arial" w:cs="Arial"/>
                <w:color w:val="auto"/>
                <w:sz w:val="20"/>
              </w:rPr>
            </w:pPr>
            <w:r w:rsidRPr="001C1A76">
              <w:rPr>
                <w:rFonts w:ascii="Arial" w:eastAsia="Times New Roman" w:hAnsi="Arial" w:cs="Arial"/>
                <w:color w:val="auto"/>
                <w:sz w:val="20"/>
              </w:rPr>
              <w:t>1700,-eur</w:t>
            </w:r>
          </w:p>
        </w:tc>
      </w:tr>
    </w:tbl>
    <w:p w:rsidR="001C1A76" w:rsidRPr="0045237F" w:rsidRDefault="00274BFA" w:rsidP="00AA633A">
      <w:pPr>
        <w:widowControl w:val="0"/>
        <w:autoSpaceDE w:val="0"/>
        <w:autoSpaceDN w:val="0"/>
        <w:adjustRightInd w:val="0"/>
        <w:ind w:left="0" w:firstLine="0"/>
        <w:jc w:val="left"/>
        <w:rPr>
          <w:rFonts w:ascii="Arial" w:hAnsi="Arial" w:cs="Arial"/>
          <w:sz w:val="20"/>
        </w:rPr>
      </w:pPr>
      <w:r>
        <w:t xml:space="preserve">   </w:t>
      </w:r>
    </w:p>
    <w:p w:rsidR="001C1A76" w:rsidRPr="0045237F" w:rsidRDefault="001C1A76" w:rsidP="00AA633A">
      <w:pPr>
        <w:widowControl w:val="0"/>
        <w:autoSpaceDE w:val="0"/>
        <w:autoSpaceDN w:val="0"/>
        <w:adjustRightInd w:val="0"/>
        <w:ind w:left="0" w:firstLine="0"/>
        <w:jc w:val="left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327"/>
        <w:gridCol w:w="1604"/>
      </w:tblGrid>
      <w:tr w:rsidR="001C1A76" w:rsidRPr="001C1A76" w:rsidTr="00CF7D24">
        <w:trPr>
          <w:trHeight w:val="64"/>
        </w:trPr>
        <w:tc>
          <w:tcPr>
            <w:tcW w:w="7327" w:type="dxa"/>
            <w:tcBorders>
              <w:right w:val="single" w:sz="4" w:space="0" w:color="auto"/>
            </w:tcBorders>
          </w:tcPr>
          <w:p w:rsidR="001C1A76" w:rsidRPr="001C1A76" w:rsidRDefault="001C1A76" w:rsidP="001C1A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eastAsia="Times New Roman" w:hAnsi="Arial" w:cs="Arial"/>
                <w:color w:val="auto"/>
                <w:sz w:val="20"/>
              </w:rPr>
            </w:pPr>
            <w:r w:rsidRPr="001C1A76">
              <w:rPr>
                <w:rFonts w:ascii="Arial" w:eastAsia="Times New Roman" w:hAnsi="Arial" w:cs="Arial"/>
                <w:color w:val="auto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1C1A76" w:rsidRPr="001C1A76" w:rsidRDefault="001C1A76" w:rsidP="001C1A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ascii="Arial" w:eastAsia="Times New Roman" w:hAnsi="Arial" w:cs="Arial"/>
                <w:color w:val="auto"/>
                <w:sz w:val="20"/>
              </w:rPr>
            </w:pPr>
            <w:r w:rsidRPr="001C1A76">
              <w:rPr>
                <w:rFonts w:ascii="Arial" w:eastAsia="Times New Roman" w:hAnsi="Arial" w:cs="Arial"/>
                <w:color w:val="auto"/>
                <w:sz w:val="20"/>
              </w:rPr>
              <w:t>2400,-eur</w:t>
            </w:r>
          </w:p>
        </w:tc>
      </w:tr>
    </w:tbl>
    <w:p w:rsidR="00A67D73" w:rsidRDefault="00AA633A">
      <w:pPr>
        <w:spacing w:after="1" w:line="259" w:lineRule="auto"/>
        <w:ind w:left="0" w:firstLine="0"/>
        <w:jc w:val="left"/>
      </w:pPr>
      <w:r w:rsidRPr="0045237F">
        <w:rPr>
          <w:rFonts w:ascii="Arial" w:hAnsi="Arial" w:cs="Arial"/>
          <w:sz w:val="20"/>
        </w:rPr>
        <w:t>Dlhodobý hmotný majetok sa odpisuje s ohľadom na opotrebovanie zodpovedajúce bežným podmienkam jeho používania. Pri tvorbe odpisového plánu sa zohľadňuje doba použiteľnosti</w:t>
      </w:r>
      <w:r>
        <w:rPr>
          <w:rFonts w:ascii="Arial" w:hAnsi="Arial" w:cs="Arial"/>
          <w:sz w:val="20"/>
        </w:rPr>
        <w:t>.</w:t>
      </w:r>
      <w:r w:rsidRPr="0045237F">
        <w:rPr>
          <w:rFonts w:ascii="Arial" w:hAnsi="Arial" w:cs="Arial"/>
          <w:sz w:val="20"/>
        </w:rPr>
        <w:t xml:space="preserve">  Účtovné a daňové odpisy sa </w:t>
      </w:r>
      <w:r w:rsidRPr="0045237F">
        <w:rPr>
          <w:rFonts w:ascii="Arial" w:hAnsi="Arial" w:cs="Arial"/>
          <w:b/>
          <w:sz w:val="20"/>
        </w:rPr>
        <w:t>rovnajú.</w:t>
      </w:r>
      <w:r w:rsidR="001C1A76">
        <w:t xml:space="preserve">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</w:t>
      </w:r>
      <w:r>
        <w:t xml:space="preserve">odu  týchto  zmien a vyčíslením ich  vplyvu  na  finančnú  hodnotu  majetku,  záväzkov,  základného  imania a výsledku hospodárenia účtovnej jednotky:   žiadne zmeny 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 žiadne dotácie      </w:t>
      </w:r>
    </w:p>
    <w:p w:rsidR="00A67D73" w:rsidRDefault="00274BFA">
      <w:pPr>
        <w:spacing w:after="75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2"/>
        </w:numPr>
        <w:ind w:right="2" w:hanging="248"/>
      </w:pPr>
      <w:r>
        <w:t>I</w:t>
      </w:r>
      <w:r>
        <w:t xml:space="preserve">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</w:t>
      </w:r>
      <w:r>
        <w:t xml:space="preserve">ých období v bežnom účtovnom období s uvedením vplyvu na výsledok hospodárenia bežného účtovného obdobia:    neúčtované o významných chybách     </w:t>
      </w:r>
    </w:p>
    <w:p w:rsidR="00A67D73" w:rsidRDefault="00274BFA">
      <w:pPr>
        <w:spacing w:after="12" w:line="259" w:lineRule="auto"/>
        <w:ind w:left="0" w:firstLine="0"/>
        <w:jc w:val="left"/>
      </w:pPr>
      <w:r>
        <w:t xml:space="preserve">                         </w:t>
      </w:r>
    </w:p>
    <w:p w:rsidR="00A67D73" w:rsidRDefault="00274BFA">
      <w:pPr>
        <w:spacing w:after="0" w:line="259" w:lineRule="auto"/>
        <w:ind w:right="165"/>
        <w:jc w:val="center"/>
      </w:pPr>
      <w:r>
        <w:rPr>
          <w:b/>
        </w:rPr>
        <w:t>Článok III</w:t>
      </w:r>
      <w:r>
        <w:t xml:space="preserve"> </w:t>
      </w:r>
      <w:r>
        <w:rPr>
          <w:b/>
        </w:rPr>
        <w:t>Informácie, ktoré vysvetľujú a dopĺňajú súvahu a výkaz ziskov a strát</w:t>
      </w:r>
      <w:r>
        <w:t xml:space="preserve"> </w:t>
      </w:r>
      <w:r>
        <w:rPr>
          <w:b/>
        </w:rPr>
        <w:t xml:space="preserve">  </w:t>
      </w:r>
    </w:p>
    <w:p w:rsidR="00A67D73" w:rsidRDefault="00274BFA">
      <w:pPr>
        <w:spacing w:after="72" w:line="259" w:lineRule="auto"/>
        <w:ind w:left="0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3"/>
        </w:numPr>
        <w:ind w:right="240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</w:t>
      </w:r>
      <w:r>
        <w:lastRenderedPageBreak/>
        <w:t>podniku, náklady z dôvodu predaja podniku alebo časti podniku, škody z dôvodu živ</w:t>
      </w:r>
      <w:r>
        <w:t xml:space="preserve">elných pohrôm:  0      </w:t>
      </w:r>
    </w:p>
    <w:p w:rsidR="00A67D73" w:rsidRDefault="00274BFA">
      <w:pPr>
        <w:spacing w:after="77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3"/>
        </w:numPr>
        <w:spacing w:after="1" w:line="259" w:lineRule="auto"/>
        <w:ind w:right="240" w:hanging="233"/>
        <w:jc w:val="left"/>
      </w:pPr>
      <w:r>
        <w:rPr>
          <w:u w:val="single" w:color="000000"/>
        </w:rPr>
        <w:t>Informácie o záväzkoch</w:t>
      </w:r>
      <w:r>
        <w:t xml:space="preserve">, a to: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4"/>
        </w:numPr>
        <w:ind w:right="81" w:hanging="134"/>
      </w:pPr>
      <w:r>
        <w:t xml:space="preserve">celkovej sume záväzkov so zostatkovou dobou splatnosti dlhšou ako päť rokov:  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4"/>
        </w:numPr>
        <w:ind w:right="81" w:hanging="134"/>
      </w:pPr>
      <w:r>
        <w:t xml:space="preserve">celkovej sume zabezpečených záväzkov, opis a spôsoby zabezpečenia záväzkov: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5"/>
        </w:numPr>
        <w:spacing w:after="6" w:line="254" w:lineRule="auto"/>
        <w:ind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</w:t>
      </w:r>
      <w:r>
        <w:t>upísanom základnom imaní. Počet a hodnota, za ktorú sa vlastné akcie počas účtovného obdobia nadobudli a počet a hodnota, za ktorú sa vlastné akcie počas účtovného obdobia previedli na inú osobu. Počet a menovitá hodnota a hodnote, za ktorú sa vlastné akci</w:t>
      </w:r>
      <w:r>
        <w:t xml:space="preserve">e nadobudli a ktoré účtovná jednotka má v držbe k poslednému dňu účtovného obdobia; uvádza sa aj ich percentuálny podiel na upísanom základnom imaní:   0   </w:t>
      </w:r>
    </w:p>
    <w:p w:rsidR="00A67D73" w:rsidRDefault="00274BFA">
      <w:pPr>
        <w:spacing w:after="74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5"/>
        </w:numPr>
        <w:spacing w:after="1" w:line="259" w:lineRule="auto"/>
        <w:ind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  </w:t>
      </w:r>
    </w:p>
    <w:p w:rsidR="00A67D73" w:rsidRDefault="00274BFA">
      <w:pPr>
        <w:spacing w:after="0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6"/>
        </w:numPr>
        <w:ind w:left="694" w:right="81" w:hanging="622"/>
      </w:pPr>
      <w:r>
        <w:t>výške jednotlivých druhov záruk alebo iný</w:t>
      </w:r>
      <w:r>
        <w:t xml:space="preserve">ch zabezpečení poskytnutých pre členov štatutárneho orgánu,  dozorného  orgánu  a  iného  orgánu  účtovnej  jednotky,  a to v členení za jednotlivé orgány:  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6"/>
        </w:numPr>
        <w:ind w:left="694" w:right="81" w:hanging="622"/>
      </w:pPr>
      <w:r>
        <w:t>pôžičkách  poskytnutých  členom  štatutárneho  orgánu,  dozorného  orgánu  a iného orgánu</w:t>
      </w:r>
      <w:r>
        <w:t xml:space="preserve">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</w:t>
      </w:r>
      <w:r>
        <w:t xml:space="preserve">stených  pôžičiek  a odpísaných  pôžičiek  k poslednému  dňu účtovného obdobia v členení za jednotlivé orgány: 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6"/>
        </w:numPr>
        <w:ind w:left="694" w:right="81" w:hanging="622"/>
      </w:pPr>
      <w:r>
        <w:t xml:space="preserve">hlavných podmienkach, na základe ktorých im boli záruky alebo iné zabezpečenie a  </w:t>
      </w:r>
      <w:r>
        <w:t xml:space="preserve">pôžičky poskytnuté; pri pôžičkách sa uvádzajú úrokové sadzby: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6"/>
        </w:numPr>
        <w:ind w:left="694" w:right="81" w:hanging="622"/>
      </w:pPr>
      <w:r>
        <w:t>celkovej sume použitých finančných prostriedkov alebo iného plnenia na súkromné účely členmi štatutárneho orgánu, dozorného orgánu a iného orgánu účtovnej jednotky, ktoré je potrebné vy</w:t>
      </w:r>
      <w:r>
        <w:t xml:space="preserve">účtovať: 0   </w:t>
      </w:r>
    </w:p>
    <w:p w:rsidR="00A67D73" w:rsidRDefault="00274BFA">
      <w:pPr>
        <w:spacing w:after="0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ind w:left="82" w:right="81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7"/>
        </w:numPr>
        <w:ind w:left="694" w:right="81" w:hanging="622"/>
      </w:pPr>
      <w:r>
        <w:t xml:space="preserve">celkovej sume </w:t>
      </w:r>
      <w:r>
        <w:rPr>
          <w:u w:val="single" w:color="000000"/>
        </w:rPr>
        <w:t>finančných povinností</w:t>
      </w:r>
      <w:r>
        <w:t>, ktoré sa nevykazujú v súvahe, ale sú významné na posúdenie finančnej situácie účtovnej jednotky, napríklad povinnosti nájomcu vyplývajúce z</w:t>
      </w:r>
      <w:r>
        <w:t xml:space="preserve"> operatívneho prenájmu, z uzatvorených zmlúv na poskytnutie úveru alebo pôžičky, ktoré ešte neboli poskytnuté, finančné povinnosti vyplývajúce z licenčných a koncesionárskych zmlúv s uvedením sumy poplatku za celé zostávajúce obdobie platnosti zmluvy: 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7"/>
        </w:numPr>
        <w:ind w:left="694" w:right="81" w:hanging="622"/>
      </w:pPr>
      <w:r>
        <w:lastRenderedPageBreak/>
        <w:t xml:space="preserve">celkovej sume významných </w:t>
      </w:r>
      <w:r>
        <w:rPr>
          <w:u w:val="single" w:color="000000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</w:t>
      </w:r>
      <w:r>
        <w:t>nik nezávisí od účtovnej jednotky, alebo existujúca povinnosť, ktorá vznikla ako dôsledok minulej udalosti, ale ktorá sa nevykazuje v súvahe, pretože nie je pravdepodobné, že na splnenie tejto povinnosti bude potrebný úbytok ekonomických úžitkov, alebo výš</w:t>
      </w:r>
      <w:r>
        <w:t xml:space="preserve">ka tejto povinnosti sa nedá spoľahlivo oceniť:0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7"/>
        </w:numPr>
        <w:ind w:left="694" w:right="81" w:hanging="622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</w:t>
      </w:r>
      <w:r>
        <w:t xml:space="preserve">vnej jednotke s podstatným vplyvom: </w:t>
      </w:r>
    </w:p>
    <w:p w:rsidR="00A67D73" w:rsidRDefault="00274BFA">
      <w:pPr>
        <w:ind w:left="718" w:right="81"/>
      </w:pPr>
      <w:r>
        <w:t xml:space="preserve">žiadne povinnosti    </w:t>
      </w:r>
    </w:p>
    <w:p w:rsidR="00A67D73" w:rsidRDefault="00274BFA">
      <w:pPr>
        <w:spacing w:after="75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numPr>
          <w:ilvl w:val="0"/>
          <w:numId w:val="7"/>
        </w:numPr>
        <w:ind w:left="694" w:right="81" w:hanging="622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 pre zamestnancov:  žiadne povinnosti    </w:t>
      </w:r>
    </w:p>
    <w:p w:rsidR="00A67D73" w:rsidRDefault="00274BFA">
      <w:pPr>
        <w:spacing w:after="17" w:line="259" w:lineRule="auto"/>
        <w:ind w:left="101" w:firstLine="0"/>
        <w:jc w:val="left"/>
      </w:pPr>
      <w:r>
        <w:t xml:space="preserve">   </w:t>
      </w:r>
    </w:p>
    <w:p w:rsidR="00A67D73" w:rsidRDefault="00274BFA">
      <w:pPr>
        <w:ind w:left="82" w:right="81"/>
      </w:pPr>
      <w:r>
        <w:t>6. Informácie o udelení výlučného práva alebo osobitného práva</w:t>
      </w:r>
      <w:r>
        <w:t xml:space="preserve">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</w:t>
      </w:r>
      <w:r>
        <w:t xml:space="preserve">tých pri prideľovaní nákladov a výnosov, všetkých druhoch činnosti účtovnej jednotky: </w:t>
      </w:r>
      <w:r w:rsidR="005911E6">
        <w:t xml:space="preserve">žiadne </w:t>
      </w:r>
      <w:bookmarkStart w:id="0" w:name="_GoBack"/>
      <w:bookmarkEnd w:id="0"/>
      <w:r>
        <w:t xml:space="preserve">  </w:t>
      </w:r>
      <w:r>
        <w:t xml:space="preserve">  </w:t>
      </w:r>
    </w:p>
    <w:p w:rsidR="00A67D73" w:rsidRDefault="00274BFA">
      <w:pPr>
        <w:spacing w:after="0" w:line="259" w:lineRule="auto"/>
        <w:ind w:left="101" w:firstLine="0"/>
        <w:jc w:val="left"/>
      </w:pPr>
      <w:r>
        <w:t xml:space="preserve">    </w:t>
      </w:r>
    </w:p>
    <w:sectPr w:rsidR="00A67D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858" w:right="1292" w:bottom="1366" w:left="1061" w:header="118" w:footer="64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BFA" w:rsidRDefault="00274BFA">
      <w:pPr>
        <w:spacing w:after="0" w:line="240" w:lineRule="auto"/>
      </w:pPr>
      <w:r>
        <w:separator/>
      </w:r>
    </w:p>
  </w:endnote>
  <w:endnote w:type="continuationSeparator" w:id="0">
    <w:p w:rsidR="00274BFA" w:rsidRDefault="00274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D73" w:rsidRDefault="00274BFA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D73" w:rsidRDefault="00274BFA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5911E6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D73" w:rsidRDefault="00274BFA">
    <w:pPr>
      <w:tabs>
        <w:tab w:val="right" w:pos="9553"/>
      </w:tabs>
      <w:spacing w:after="0" w:line="259" w:lineRule="auto"/>
      <w:ind w:left="0" w:right="-1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BFA" w:rsidRDefault="00274BFA">
      <w:pPr>
        <w:spacing w:after="0" w:line="240" w:lineRule="auto"/>
      </w:pPr>
      <w:r>
        <w:separator/>
      </w:r>
    </w:p>
  </w:footnote>
  <w:footnote w:type="continuationSeparator" w:id="0">
    <w:p w:rsidR="00274BFA" w:rsidRDefault="00274B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60" w:tblpY="821"/>
      <w:tblOverlap w:val="never"/>
      <w:tblW w:w="3723" w:type="dxa"/>
      <w:tblInd w:w="0" w:type="dxa"/>
      <w:tblCellMar>
        <w:top w:w="10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  <w:gridCol w:w="72"/>
      <w:gridCol w:w="1788"/>
    </w:tblGrid>
    <w:tr w:rsidR="00A67D73">
      <w:trPr>
        <w:trHeight w:val="355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0" w:firstLine="0"/>
          </w:pPr>
          <w:r>
            <w:t xml:space="preserve"> IČO: 36548201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3" w:firstLine="0"/>
          </w:pPr>
          <w:r>
            <w:t xml:space="preserve"> </w:t>
          </w:r>
        </w:p>
      </w:tc>
      <w:tc>
        <w:tcPr>
          <w:tcW w:w="17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2" w:right="-1" w:firstLine="0"/>
          </w:pPr>
          <w:r>
            <w:t xml:space="preserve"> DIČ: 2021669804</w:t>
          </w:r>
        </w:p>
      </w:tc>
    </w:tr>
  </w:tbl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37" w:line="259" w:lineRule="auto"/>
      <w:ind w:left="0" w:right="1031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127" w:line="259" w:lineRule="auto"/>
      <w:ind w:left="701" w:right="1031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60" w:tblpY="821"/>
      <w:tblOverlap w:val="never"/>
      <w:tblW w:w="3723" w:type="dxa"/>
      <w:tblInd w:w="0" w:type="dxa"/>
      <w:tblCellMar>
        <w:top w:w="10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  <w:gridCol w:w="72"/>
      <w:gridCol w:w="1788"/>
    </w:tblGrid>
    <w:tr w:rsidR="00A67D73">
      <w:trPr>
        <w:trHeight w:val="355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0" w:firstLine="0"/>
          </w:pPr>
          <w:r>
            <w:t xml:space="preserve"> IČO: 36548201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3" w:firstLine="0"/>
          </w:pPr>
          <w:r>
            <w:t xml:space="preserve"> </w:t>
          </w:r>
        </w:p>
      </w:tc>
      <w:tc>
        <w:tcPr>
          <w:tcW w:w="17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2" w:right="-1" w:firstLine="0"/>
          </w:pPr>
          <w:r>
            <w:t xml:space="preserve"> DIČ: 2021669804</w:t>
          </w:r>
        </w:p>
      </w:tc>
    </w:tr>
  </w:tbl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37" w:line="259" w:lineRule="auto"/>
      <w:ind w:left="0" w:right="1031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127" w:line="259" w:lineRule="auto"/>
      <w:ind w:left="701" w:right="1031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60" w:tblpY="821"/>
      <w:tblOverlap w:val="never"/>
      <w:tblW w:w="3723" w:type="dxa"/>
      <w:tblInd w:w="0" w:type="dxa"/>
      <w:tblCellMar>
        <w:top w:w="103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3"/>
      <w:gridCol w:w="72"/>
      <w:gridCol w:w="1788"/>
    </w:tblGrid>
    <w:tr w:rsidR="00A67D73">
      <w:trPr>
        <w:trHeight w:val="355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0" w:firstLine="0"/>
          </w:pPr>
          <w:r>
            <w:t xml:space="preserve"> IČO: 36548201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3" w:firstLine="0"/>
          </w:pPr>
          <w:r>
            <w:t xml:space="preserve"> </w:t>
          </w:r>
        </w:p>
      </w:tc>
      <w:tc>
        <w:tcPr>
          <w:tcW w:w="17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67D73" w:rsidRDefault="00274BFA">
          <w:pPr>
            <w:spacing w:after="0" w:line="259" w:lineRule="auto"/>
            <w:ind w:left="2" w:right="-1" w:firstLine="0"/>
          </w:pPr>
          <w:r>
            <w:t xml:space="preserve"> DIČ: 2021669804</w:t>
          </w:r>
        </w:p>
      </w:tc>
    </w:tr>
  </w:tbl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37" w:line="259" w:lineRule="auto"/>
      <w:ind w:left="0" w:right="1031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A67D73" w:rsidRDefault="00274BFA">
    <w:pPr>
      <w:spacing w:after="127" w:line="259" w:lineRule="auto"/>
      <w:ind w:left="701" w:right="1031" w:firstLine="0"/>
      <w:jc w:val="left"/>
    </w:pPr>
    <w:r>
      <w:rPr>
        <w:bdr w:val="single" w:sz="29" w:space="0" w:color="000000"/>
      </w:rPr>
      <w:t>Poznámky Úč MÚJ 3 – 01</w:t>
    </w:r>
    <w:r>
      <w:t xml:space="preserve">                         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  <w:p w:rsidR="00A67D73" w:rsidRDefault="00274BF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76F54"/>
    <w:multiLevelType w:val="hybridMultilevel"/>
    <w:tmpl w:val="569ACC08"/>
    <w:lvl w:ilvl="0" w:tplc="C74C6BC0">
      <w:start w:val="1"/>
      <w:numFmt w:val="decimal"/>
      <w:lvlText w:val="%1."/>
      <w:lvlJc w:val="left"/>
      <w:pPr>
        <w:ind w:left="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B40262">
      <w:start w:val="1"/>
      <w:numFmt w:val="lowerLetter"/>
      <w:lvlText w:val="%2"/>
      <w:lvlJc w:val="left"/>
      <w:pPr>
        <w:ind w:left="11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3078E2">
      <w:start w:val="1"/>
      <w:numFmt w:val="lowerRoman"/>
      <w:lvlText w:val="%3"/>
      <w:lvlJc w:val="left"/>
      <w:pPr>
        <w:ind w:left="18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F6CBA56">
      <w:start w:val="1"/>
      <w:numFmt w:val="decimal"/>
      <w:lvlText w:val="%4"/>
      <w:lvlJc w:val="left"/>
      <w:pPr>
        <w:ind w:left="26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4C09E4">
      <w:start w:val="1"/>
      <w:numFmt w:val="lowerLetter"/>
      <w:lvlText w:val="%5"/>
      <w:lvlJc w:val="left"/>
      <w:pPr>
        <w:ind w:left="33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9C1804">
      <w:start w:val="1"/>
      <w:numFmt w:val="lowerRoman"/>
      <w:lvlText w:val="%6"/>
      <w:lvlJc w:val="left"/>
      <w:pPr>
        <w:ind w:left="404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0C2B42">
      <w:start w:val="1"/>
      <w:numFmt w:val="decimal"/>
      <w:lvlText w:val="%7"/>
      <w:lvlJc w:val="left"/>
      <w:pPr>
        <w:ind w:left="47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5E631E">
      <w:start w:val="1"/>
      <w:numFmt w:val="lowerLetter"/>
      <w:lvlText w:val="%8"/>
      <w:lvlJc w:val="left"/>
      <w:pPr>
        <w:ind w:left="54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72B8B4">
      <w:start w:val="1"/>
      <w:numFmt w:val="lowerRoman"/>
      <w:lvlText w:val="%9"/>
      <w:lvlJc w:val="left"/>
      <w:pPr>
        <w:ind w:left="62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536783"/>
    <w:multiLevelType w:val="hybridMultilevel"/>
    <w:tmpl w:val="B03A44EA"/>
    <w:lvl w:ilvl="0" w:tplc="22DEFDF6">
      <w:start w:val="1"/>
      <w:numFmt w:val="lowerLetter"/>
      <w:lvlText w:val="%1)"/>
      <w:lvlJc w:val="left"/>
      <w:pPr>
        <w:ind w:left="6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84456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0615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F6F25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9C152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26E5E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DCF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90FD1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E6788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42558C"/>
    <w:multiLevelType w:val="hybridMultilevel"/>
    <w:tmpl w:val="42589478"/>
    <w:lvl w:ilvl="0" w:tplc="26DADFBC">
      <w:start w:val="1"/>
      <w:numFmt w:val="bullet"/>
      <w:lvlText w:val="-"/>
      <w:lvlJc w:val="left"/>
      <w:pPr>
        <w:ind w:left="20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C4EBCC">
      <w:start w:val="1"/>
      <w:numFmt w:val="bullet"/>
      <w:lvlText w:val="o"/>
      <w:lvlJc w:val="left"/>
      <w:pPr>
        <w:ind w:left="11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DADF90">
      <w:start w:val="1"/>
      <w:numFmt w:val="bullet"/>
      <w:lvlText w:val="▪"/>
      <w:lvlJc w:val="left"/>
      <w:pPr>
        <w:ind w:left="18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490CA">
      <w:start w:val="1"/>
      <w:numFmt w:val="bullet"/>
      <w:lvlText w:val="•"/>
      <w:lvlJc w:val="left"/>
      <w:pPr>
        <w:ind w:left="26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B968CF4">
      <w:start w:val="1"/>
      <w:numFmt w:val="bullet"/>
      <w:lvlText w:val="o"/>
      <w:lvlJc w:val="left"/>
      <w:pPr>
        <w:ind w:left="33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D4EEC06">
      <w:start w:val="1"/>
      <w:numFmt w:val="bullet"/>
      <w:lvlText w:val="▪"/>
      <w:lvlJc w:val="left"/>
      <w:pPr>
        <w:ind w:left="404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D6FDFC">
      <w:start w:val="1"/>
      <w:numFmt w:val="bullet"/>
      <w:lvlText w:val="•"/>
      <w:lvlJc w:val="left"/>
      <w:pPr>
        <w:ind w:left="47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F6AFE8">
      <w:start w:val="1"/>
      <w:numFmt w:val="bullet"/>
      <w:lvlText w:val="o"/>
      <w:lvlJc w:val="left"/>
      <w:pPr>
        <w:ind w:left="54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962EC8">
      <w:start w:val="1"/>
      <w:numFmt w:val="bullet"/>
      <w:lvlText w:val="▪"/>
      <w:lvlJc w:val="left"/>
      <w:pPr>
        <w:ind w:left="62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B03F4B"/>
    <w:multiLevelType w:val="hybridMultilevel"/>
    <w:tmpl w:val="C35E7964"/>
    <w:lvl w:ilvl="0" w:tplc="5CACBC42">
      <w:start w:val="1"/>
      <w:numFmt w:val="lowerLetter"/>
      <w:lvlText w:val="%1)"/>
      <w:lvlJc w:val="left"/>
      <w:pPr>
        <w:ind w:left="6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F0B4A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BC25A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24AC1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50C8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1EE28B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70615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48DB2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0CCB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DA363C1"/>
    <w:multiLevelType w:val="hybridMultilevel"/>
    <w:tmpl w:val="739EE902"/>
    <w:lvl w:ilvl="0" w:tplc="99AE507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70FB5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EE33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B2AD5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30670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2E558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D61D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9236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36D2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7B36BD7"/>
    <w:multiLevelType w:val="hybridMultilevel"/>
    <w:tmpl w:val="AC26A7DC"/>
    <w:lvl w:ilvl="0" w:tplc="5082F86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428F83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B2DD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EAEDB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1ED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E148DD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564D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56526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68D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9836ACE"/>
    <w:multiLevelType w:val="hybridMultilevel"/>
    <w:tmpl w:val="578C2B54"/>
    <w:lvl w:ilvl="0" w:tplc="B7A6121A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E8DB2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804F2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98232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26AB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A43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48C2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8E93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A885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D73"/>
    <w:rsid w:val="001C1A76"/>
    <w:rsid w:val="00274BFA"/>
    <w:rsid w:val="002A3597"/>
    <w:rsid w:val="005911E6"/>
    <w:rsid w:val="00A67D73"/>
    <w:rsid w:val="00AA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6B7ABD-91C0-4D29-8C05-423E8B69B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60" w:lineRule="auto"/>
      <w:ind w:left="10" w:hanging="10"/>
      <w:jc w:val="both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1133</Words>
  <Characters>6462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dcterms:created xsi:type="dcterms:W3CDTF">2020-06-25T15:56:00Z</dcterms:created>
  <dcterms:modified xsi:type="dcterms:W3CDTF">2020-06-25T15:56:00Z</dcterms:modified>
</cp:coreProperties>
</file>