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0"/>
          <w:shd w:fill="FFFFFF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caps w:val="true"/>
          <w:color w:val="auto"/>
          <w:spacing w:val="0"/>
          <w:position w:val="0"/>
          <w:sz w:val="20"/>
          <w:shd w:fill="FFFFFF" w:val="clear"/>
        </w:rPr>
      </w:pPr>
    </w:p>
    <w:p>
      <w:pPr>
        <w:numPr>
          <w:ilvl w:val="0"/>
          <w:numId w:val="2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INFORMÁCIE O Ú</w:t>
      </w: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ČTOVNEJ JEDNOTKE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4"/>
        </w:numPr>
        <w:tabs>
          <w:tab w:val="left" w:pos="6804" w:leader="none"/>
        </w:tabs>
        <w:spacing w:before="0" w:after="0" w:line="240"/>
        <w:ind w:right="566" w:left="454" w:hanging="454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šeobecn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é informácie o spolo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čnosti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Názov 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čnosti: 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JOP-C s. r. o.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 (ďalej len Spoločnosť)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Sídlo 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čnosti: ul. J. Cub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ínka 1952/3, 900 21 Svätý Jur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čnosť bola založen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1.10.2019 a do obchodného registra bola zapísaná 16.10.2019 (Obchodný register Okresného súdu v Bratislava I, oddiel Sro, vlo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žka 140990/B).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6"/>
        </w:numPr>
        <w:tabs>
          <w:tab w:val="left" w:pos="6804" w:leader="none"/>
        </w:tabs>
        <w:spacing w:before="0" w:after="0" w:line="240"/>
        <w:ind w:right="566" w:left="454" w:hanging="454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Predmet 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činnosti Spoločnosti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8"/>
        </w:numPr>
        <w:spacing w:before="0" w:after="0" w:line="240"/>
        <w:ind w:right="0" w:left="426" w:hanging="36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Vedenie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íctva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0"/>
        </w:numPr>
        <w:tabs>
          <w:tab w:val="left" w:pos="6804" w:leader="none"/>
        </w:tabs>
        <w:spacing w:before="0" w:after="0" w:line="240"/>
        <w:ind w:right="566" w:left="454" w:hanging="454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Schválenie ú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ávierky zostavenej za predchádzajúce obdobie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čnosť bola založen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ňa 1.10.2019.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2"/>
        </w:numPr>
        <w:tabs>
          <w:tab w:val="left" w:pos="6804" w:leader="none"/>
        </w:tabs>
        <w:spacing w:before="0" w:after="0" w:line="240"/>
        <w:ind w:right="566" w:left="454" w:hanging="454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Právny dôvod zostavenia ú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ávierky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závierka 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čnosti je zostaven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k poslednému 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ého obdobia ako riadna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závierka pod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ľa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§17 ods. 6 zákona NR SR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č. 431/2002 Z. z. o 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íctve za obdobie od 16.10.2019 do 31.12.2019. </w:t>
        <w:tab/>
        <w:tab/>
        <w:tab/>
        <w:tab/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4"/>
        </w:numPr>
        <w:tabs>
          <w:tab w:val="left" w:pos="6804" w:leader="none"/>
        </w:tabs>
        <w:spacing w:before="0" w:after="0" w:line="240"/>
        <w:ind w:right="566" w:left="454" w:hanging="454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Údaje o skupine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čnosť sa nezahŕňa do konsolidovanej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ávierky ani nemá povinnos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ť zostavovať konsolidovan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 závierku.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6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INFORMÁCE O PRIJATÝCH Ú</w:t>
      </w: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ÝCH POSTUPOCH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8"/>
        </w:numPr>
        <w:tabs>
          <w:tab w:val="left" w:pos="6804" w:leader="none"/>
        </w:tabs>
        <w:spacing w:before="0" w:after="0" w:line="240"/>
        <w:ind w:right="566" w:left="454" w:hanging="454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Východiská pre zostavenie ú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ávierky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závierka bola zostavená za predpokladu,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že Spoločnosť bude nepretržite pokračovať vo svojej činnosti.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20"/>
        </w:numPr>
        <w:tabs>
          <w:tab w:val="left" w:pos="6804" w:leader="none"/>
        </w:tabs>
        <w:spacing w:before="0" w:after="0" w:line="240"/>
        <w:ind w:right="566" w:left="454" w:hanging="454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é zásady a ú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é metódy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čnosť uplatnila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zásady a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metódy v súlade s platnými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ými predpismi.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709" w:leader="none"/>
        </w:tabs>
        <w:suppressAutoHyphens w:val="true"/>
        <w:spacing w:before="0" w:after="0" w:line="240"/>
        <w:ind w:right="-79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čnosť vedie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íctvo na základe dodr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žania časovej a vecnej s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úvislosti nákladov a výnosov. Za základ sa berú 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šetky 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áklady a výnosy, ktoré sa vz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ťahuj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 na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obdobie bez oh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ľadu na 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átum ich platenia.</w:t>
      </w:r>
    </w:p>
    <w:p>
      <w:pPr>
        <w:tabs>
          <w:tab w:val="left" w:pos="709" w:leader="none"/>
        </w:tabs>
        <w:suppressAutoHyphens w:val="true"/>
        <w:spacing w:before="0" w:after="0" w:line="240"/>
        <w:ind w:right="-79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metódy a 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šeobecn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zásady boli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čtovnou jednotkou konzistentne aplikovan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24"/>
        </w:numPr>
        <w:tabs>
          <w:tab w:val="left" w:pos="6804" w:leader="none"/>
        </w:tabs>
        <w:spacing w:before="0" w:after="0" w:line="240"/>
        <w:ind w:right="566" w:left="454" w:hanging="454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Zmeny oproti predchádzajúcemu ú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ému obdobiu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čnosť bola založen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ňa 1.10.2019.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26"/>
        </w:numPr>
        <w:tabs>
          <w:tab w:val="left" w:pos="6804" w:leader="none"/>
        </w:tabs>
        <w:spacing w:before="0" w:after="0" w:line="240"/>
        <w:ind w:right="566" w:left="454" w:hanging="454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Informácie o významných transakciách neuvádzaných v súvahe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V be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žnom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čtovnom obdob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neboli realizované transakcie, ktoré by mali významný vplyv na posúdenie finan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čnej situ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áciu 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čnosti.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00FF00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28"/>
        </w:numPr>
        <w:tabs>
          <w:tab w:val="left" w:pos="6804" w:leader="none"/>
        </w:tabs>
        <w:spacing w:before="0" w:after="0" w:line="240"/>
        <w:ind w:right="566" w:left="454" w:hanging="454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Spôsob a ur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čenie ocenenia jednotliv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žiek majetku a z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áväzkov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30"/>
        </w:numPr>
        <w:tabs>
          <w:tab w:val="left" w:pos="601" w:leader="none"/>
        </w:tabs>
        <w:spacing w:before="0" w:after="0" w:line="240"/>
        <w:ind w:right="1469" w:left="567" w:hanging="567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Dlhodobý nehmotný majetok a dlhodobý hmotný majetok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Dlhodobý majetok nakupovaný sa oce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ňuje obstar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ávacou cenou, ktorá zah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ŕňa cenu obstarania a 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áklady súvisiace s obstaraním (clo, prepravu, montá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ž, poistn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a pod.).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709" w:leader="none"/>
        </w:tabs>
        <w:suppressAutoHyphens w:val="true"/>
        <w:spacing w:before="0" w:after="0" w:line="240"/>
        <w:ind w:right="-79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časťou obstar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ávacej ceny dlhodobého hmotného majetku od 1. januára 2003 nie sú úroky z cudzích zdrojov ani realizované kurzové rozdiely, ktoré vznikli do momentu uvedenia dlhodobého majetku do pou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ívania.</w:t>
      </w:r>
    </w:p>
    <w:p>
      <w:pPr>
        <w:tabs>
          <w:tab w:val="left" w:pos="709" w:leader="none"/>
        </w:tabs>
        <w:suppressAutoHyphens w:val="true"/>
        <w:spacing w:before="0" w:after="0" w:line="240"/>
        <w:ind w:right="-79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časťou obstar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ávacej ceny dlhodobého nehmotného majetku nie sú od 1. júla 2010 úroky z cudzích zdrojov, ktoré vznikli do momentu zaradenia dlhodobého nehmotného majetku do pou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ívania.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34"/>
        </w:numPr>
        <w:tabs>
          <w:tab w:val="left" w:pos="601" w:leader="none"/>
        </w:tabs>
        <w:spacing w:before="0" w:after="0" w:line="240"/>
        <w:ind w:right="1469" w:left="567" w:hanging="567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Spôsob zostavenia odpisového plánu (ú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é odpisy)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Predpokladaná doba pou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ívania, metóda odpisovania a odpisová sadzba dlhodobého majetku sú uvedené v nasledujúcej tabu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ľke: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FF0000"/>
          <w:spacing w:val="0"/>
          <w:position w:val="0"/>
          <w:sz w:val="20"/>
          <w:shd w:fill="auto" w:val="clear"/>
        </w:rPr>
      </w:pPr>
    </w:p>
    <w:tbl>
      <w:tblPr>
        <w:tblInd w:w="30" w:type="dxa"/>
      </w:tblPr>
      <w:tblGrid>
        <w:gridCol w:w="2976"/>
        <w:gridCol w:w="1255"/>
        <w:gridCol w:w="1985"/>
        <w:gridCol w:w="1414"/>
        <w:gridCol w:w="1701"/>
        <w:gridCol w:w="1596"/>
        <w:gridCol w:w="1701"/>
      </w:tblGrid>
      <w:tr>
        <w:trPr>
          <w:trHeight w:val="250" w:hRule="auto"/>
          <w:jc w:val="left"/>
        </w:trPr>
        <w:tc>
          <w:tcPr>
            <w:tcW w:w="4231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-456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Predpokladaná</w:t>
            </w:r>
          </w:p>
        </w:tc>
        <w:tc>
          <w:tcPr>
            <w:tcW w:w="141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Metóda</w:t>
            </w:r>
          </w:p>
        </w:tc>
        <w:tc>
          <w:tcPr>
            <w:tcW w:w="159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Ro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á odpisová</w:t>
            </w:r>
          </w:p>
        </w:tc>
      </w:tr>
      <w:tr>
        <w:trPr>
          <w:trHeight w:val="250" w:hRule="auto"/>
          <w:jc w:val="left"/>
        </w:trPr>
        <w:tc>
          <w:tcPr>
            <w:tcW w:w="297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5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doba pou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ívania v rokoch</w:t>
            </w:r>
          </w:p>
        </w:tc>
        <w:tc>
          <w:tcPr>
            <w:tcW w:w="141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odpisovania</w:t>
            </w:r>
          </w:p>
        </w:tc>
        <w:tc>
          <w:tcPr>
            <w:tcW w:w="15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sadzba v %</w:t>
            </w:r>
          </w:p>
        </w:tc>
      </w:tr>
      <w:tr>
        <w:trPr>
          <w:trHeight w:val="250" w:hRule="auto"/>
          <w:jc w:val="left"/>
        </w:trPr>
        <w:tc>
          <w:tcPr>
            <w:tcW w:w="4231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Dopravné prostriedky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  <w:tc>
          <w:tcPr>
            <w:tcW w:w="198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4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</w:p>
        </w:tc>
        <w:tc>
          <w:tcPr>
            <w:tcW w:w="141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Lineárne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</w:p>
        </w:tc>
        <w:tc>
          <w:tcPr>
            <w:tcW w:w="159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0"/>
                <w:shd w:fill="auto" w:val="clear"/>
              </w:rPr>
              <w:t xml:space="preserve">20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49"/>
        </w:numPr>
        <w:tabs>
          <w:tab w:val="left" w:pos="601" w:leader="none"/>
        </w:tabs>
        <w:spacing w:before="0" w:after="0" w:line="240"/>
        <w:ind w:right="1469" w:left="567" w:hanging="567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Odpisy dlhodobého nehmotného majetku vychádzajú:</w:t>
      </w:r>
    </w:p>
    <w:p>
      <w:pPr>
        <w:spacing w:before="0" w:after="0" w:line="240"/>
        <w:ind w:right="0" w:left="708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Z predpokladanej doby pou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ívania a predpokladaného prebiehajúceho opotrebenia a odpisova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ť sa zač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ína prvým 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ňom mesiaca, v ktorom bol majetok uveden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 do pou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ívania.</w:t>
        <w:tab/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Drobný dlhodobý nehmotný majetok, ktorého obstarávacia cena (resp. vlastné náklady) je 2 400 EUR a ni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žšia, sa odpisuje jednorazovo pri uveden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do pou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ívania.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a da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odpisy dlhodobého nehmotného majetku sa rovnajú.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52"/>
        </w:numPr>
        <w:tabs>
          <w:tab w:val="left" w:pos="601" w:leader="none"/>
        </w:tabs>
        <w:spacing w:before="0" w:after="0" w:line="240"/>
        <w:ind w:right="1469" w:left="567" w:hanging="567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Odpisy dlhodobého hmotného majetku vychádzajú:</w:t>
      </w:r>
    </w:p>
    <w:p>
      <w:pPr>
        <w:spacing w:before="0" w:after="0" w:line="240"/>
        <w:ind w:right="0" w:left="708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Z predpokladanej doby pou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ívania a predpokladaného prebiehajúceho opotrebenia a odpisova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ť sa zač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ína prvým 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ňom mesiaca, v ktorom bol majetok uveden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 do pou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ívania.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Drobný dlhodobý hmotný majetok, ktorého obstarávacia cena (resp. vlastné náklady) je 1 700 EUR a ni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žšia, sa odpisuje jednorazovo pri uveden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do pou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ívania. Pozemky sa neodpisujú.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709" w:leader="none"/>
        </w:tabs>
        <w:suppressAutoHyphens w:val="true"/>
        <w:spacing w:before="0" w:after="0" w:line="240"/>
        <w:ind w:right="-79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Hodnota obstarávaného dlhodobého hmotného majetku, ktorý sa pou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íva, sa zní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ži o opravn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 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žku vo 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ške zodpovedaj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úcej opotrebeniu.</w:t>
      </w:r>
    </w:p>
    <w:p>
      <w:pPr>
        <w:tabs>
          <w:tab w:val="left" w:pos="709" w:leader="none"/>
        </w:tabs>
        <w:suppressAutoHyphens w:val="true"/>
        <w:spacing w:before="0" w:after="0" w:line="240"/>
        <w:ind w:right="-79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V prípade prechodného zní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ženia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žitkovej hodnoty dlhodob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ého majetku, ktorá bola zistená pri inventarizácii a je výrazne ni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žšia ako jeho ocenenie v 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íctve po odpo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ítaní oprávok, je vytvorená opravná 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žka na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úrove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 jeho zistenej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žitkovej hodnoty.</w:t>
      </w:r>
    </w:p>
    <w:p>
      <w:pPr>
        <w:tabs>
          <w:tab w:val="left" w:pos="709" w:leader="none"/>
        </w:tabs>
        <w:suppressAutoHyphens w:val="true"/>
        <w:spacing w:before="0" w:after="0" w:line="240"/>
        <w:ind w:right="-79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57"/>
        </w:numPr>
        <w:tabs>
          <w:tab w:val="left" w:pos="601" w:leader="none"/>
        </w:tabs>
        <w:spacing w:before="0" w:after="0" w:line="240"/>
        <w:ind w:right="1469" w:left="567" w:hanging="567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Zásoby</w:t>
      </w:r>
    </w:p>
    <w:p>
      <w:pPr>
        <w:spacing w:before="0" w:after="0" w:line="240"/>
        <w:ind w:right="0" w:left="708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Zásoby sa oce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 ni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žšou z nasleduj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úcich hodnôt: obstarávacou cenou (nakupované zásoby) alebo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čistou realizačnou hodnotou.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Obstarávacia cena zah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ŕňa cenu 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ásob a náklady súvisiace s obstaraním (clo, prepravu, poistné, provízie, skonto, 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ľavy z ceny a pod.).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Úroky z cudzích zdrojov nie sú sú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časťou obstar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ávacej ceny. </w:t>
      </w:r>
    </w:p>
    <w:p>
      <w:pPr>
        <w:tabs>
          <w:tab w:val="left" w:pos="709" w:leader="none"/>
        </w:tabs>
        <w:suppressAutoHyphens w:val="true"/>
        <w:spacing w:before="0" w:after="0" w:line="240"/>
        <w:ind w:right="-79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709" w:leader="none"/>
        </w:tabs>
        <w:suppressAutoHyphens w:val="true"/>
        <w:spacing w:before="0" w:after="0" w:line="240"/>
        <w:ind w:right="-79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ľavy z ceny s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 sú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časťou ocenenia 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ásob na sklade. 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ľava z ceny poskytnut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k 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 predan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ým alebo spotrebovaným zásobám sa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čtuje ako zn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ženie 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ákladov na predané alebo spotrebované zásoby. </w:t>
      </w:r>
    </w:p>
    <w:p>
      <w:pPr>
        <w:tabs>
          <w:tab w:val="left" w:pos="709" w:leader="none"/>
        </w:tabs>
        <w:suppressAutoHyphens w:val="true"/>
        <w:spacing w:before="0" w:after="0" w:line="240"/>
        <w:ind w:right="-79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709" w:leader="none"/>
        </w:tabs>
        <w:suppressAutoHyphens w:val="true"/>
        <w:spacing w:before="0" w:after="0" w:line="240"/>
        <w:ind w:right="-79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čnosť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čtuje o 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ásobách spôsobom B tak, ako to definujú postupy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čtovania.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Úbytok zásob sa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čtuje met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ódou FIFO.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62"/>
        </w:numPr>
        <w:tabs>
          <w:tab w:val="left" w:pos="601" w:leader="none"/>
        </w:tabs>
        <w:spacing w:before="0" w:after="0" w:line="240"/>
        <w:ind w:right="1469" w:left="567" w:hanging="567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Poh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ávky</w:t>
      </w:r>
    </w:p>
    <w:p>
      <w:pPr>
        <w:spacing w:before="0" w:after="0" w:line="240"/>
        <w:ind w:right="0" w:left="708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Poh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ávky pri ich vzniku sa oce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 ich menovitou hodnotou; postúpené poh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ávky a poh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ávky nadobudnuté vkladom do základného imania sa oce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 obstarávacou cenou vrátane nákladov súvisiacich s obstaraním.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Toto ocenenie sa zni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žuje prostredn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íctvom tvorby opravnej 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žky k o pochybn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ým a nevymo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žiteľn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ým poh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ávkam.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Ak je zostatková doba splatnosti poh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ávky dlh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šia než jeden rok, vytv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ára sa opravná 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žka, ktor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predstavuje rozdiel medzi menovitou a sú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časnou hodnotou pohľad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ávky. Sú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časn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hodnota poh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ávky sa po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íta ako sú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čet s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činov bud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úcich pe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ých príjmov a príslu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ých diskontných faktorov.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65"/>
        </w:numPr>
        <w:tabs>
          <w:tab w:val="left" w:pos="601" w:leader="none"/>
        </w:tabs>
        <w:spacing w:before="0" w:after="0" w:line="240"/>
        <w:ind w:right="1469" w:left="567" w:hanging="567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Pe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é prostriedky a ceniny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Pe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prostriedky a ceniny sa oce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 ich menovitou hodnotou. Zní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ženie ich hodnoty sa vyjadruje opravnou položkou.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67"/>
        </w:numPr>
        <w:tabs>
          <w:tab w:val="left" w:pos="601" w:leader="none"/>
        </w:tabs>
        <w:spacing w:before="0" w:after="0" w:line="240"/>
        <w:ind w:right="1469" w:left="567" w:hanging="567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Náklady budúcich období a príjmy budúcich období</w:t>
      </w:r>
    </w:p>
    <w:p>
      <w:pPr>
        <w:spacing w:before="0" w:after="0" w:line="240"/>
        <w:ind w:right="0" w:left="708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Náklady budúcich období a príjmy budúcich období sa vykazujú vo vý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ške, ktor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je potrebná na dodr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žanie 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ásady vecnej a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časovej s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úvislosti s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ým obdobím.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70"/>
        </w:numPr>
        <w:tabs>
          <w:tab w:val="left" w:pos="601" w:leader="none"/>
        </w:tabs>
        <w:spacing w:before="0" w:after="0" w:line="240"/>
        <w:ind w:right="1469" w:left="567" w:hanging="567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Rezervy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Rezerva je záväzok predstavujúci existujúcu povinnos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ť Spoločnosti, ktor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vznikla z minulých udalostí a je pravdepodobné,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že v bud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úcnosti zní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ži jej ekonomick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žitky. Rezervy s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 záväzky s neur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čit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ým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časov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ým vymedzením alebo vý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škou; tvoria sa na krytie zn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ámych rizík alebo strát z podnikania. Oce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 sa v 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čak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ávanej vý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ške 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áväzku.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709" w:leader="none"/>
        </w:tabs>
        <w:suppressAutoHyphens w:val="true"/>
        <w:spacing w:before="0" w:after="0" w:line="240"/>
        <w:ind w:right="-79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Tvorba rezervy sa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čtuje na vecne pr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íslu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 nákladový alebo majetkový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čet, ku ktor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ému záväzok prislúcha. Pou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žitie rezervy sa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čtuje na ťarchu vecne pr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íslu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ého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čtu rezerv so s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úvz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ťažn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ým zápisom v prospech vecne príslu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ého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čtu 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áväzkov. Rozpustenie nepotrebnej rezervy alebo jej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časti sa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čtuje opačn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ým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ým zápisom ako sa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čtovala tvorba rezervy.</w:t>
      </w:r>
    </w:p>
    <w:p>
      <w:pPr>
        <w:tabs>
          <w:tab w:val="left" w:pos="709" w:leader="none"/>
        </w:tabs>
        <w:suppressAutoHyphens w:val="true"/>
        <w:spacing w:before="0" w:after="0" w:line="240"/>
        <w:ind w:right="-79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709" w:leader="none"/>
        </w:tabs>
        <w:suppressAutoHyphens w:val="true"/>
        <w:spacing w:before="0" w:after="0" w:line="240"/>
        <w:ind w:right="-79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73"/>
        </w:numPr>
        <w:tabs>
          <w:tab w:val="left" w:pos="601" w:leader="none"/>
        </w:tabs>
        <w:spacing w:before="0" w:after="0" w:line="240"/>
        <w:ind w:right="1469" w:left="567" w:hanging="567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Záväzky pri ich vzniku sa oce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 menovitou hodnotou. Záväzky pri ich prevzatí sa oce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 obstarávacou cenou. Ak sa pri inventarizácii zistí,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že suma 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áväzkov je iná ako ich vý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ška v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íctve, uvedú sa záväzky v 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íctve a v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ávierke v tomto zistenom ocenení.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75"/>
        </w:numPr>
        <w:tabs>
          <w:tab w:val="left" w:pos="601" w:leader="none"/>
        </w:tabs>
        <w:spacing w:before="0" w:after="0" w:line="240"/>
        <w:ind w:right="1469" w:left="567" w:hanging="567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Zamestnanecké po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žitky</w:t>
      </w: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Platy, mzdy, príspevky do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št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átnych dôchodkových a poistných fondov, platená ro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dovolenka a platená zdravotná dovolenka, bonusy a ostatné nepe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po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žitky (napr. zdravotn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starostlivos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ť) sa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čtuj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 v 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čtovnom obdob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í, v ktorom ich zamestnanci 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čnosti využili.</w:t>
      </w:r>
    </w:p>
    <w:p>
      <w:pPr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uppressAutoHyphens w:val="true"/>
        <w:spacing w:before="0" w:after="0" w:line="240"/>
        <w:ind w:right="0" w:left="425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79"/>
        </w:numPr>
        <w:tabs>
          <w:tab w:val="left" w:pos="601" w:leader="none"/>
        </w:tabs>
        <w:spacing w:before="0" w:after="0" w:line="240"/>
        <w:ind w:right="1469" w:left="567" w:hanging="567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Splatná da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ň z pr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íjmov</w:t>
      </w:r>
    </w:p>
    <w:p>
      <w:pPr>
        <w:suppressAutoHyphens w:val="true"/>
        <w:spacing w:before="0" w:after="0" w:line="240"/>
        <w:ind w:right="0" w:left="425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709" w:leader="none"/>
        </w:tabs>
        <w:suppressAutoHyphens w:val="true"/>
        <w:spacing w:before="0" w:after="0" w:line="240"/>
        <w:ind w:right="-79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Da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 z pr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íjmov sa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čtuje do 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ákladov 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čnosti v obdob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vzniku da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ňovej povinnosti a v priloženom 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ýkaze ziskov a strát 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čnosti je vypoč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ítaná zo základu vyplývajúceho z hospodárskeho výsledku pred zdanením, ktorý bol upravený o pripo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ítate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a odpo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ítate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žky z titulu trval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ých a do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časn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ých úprav da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ého základu a umorenia straty. Da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 záväzok je uvedený po zní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 o preddavky na da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 z pr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íjmov, ktoré 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čnosť uhradila v priebehu roka. V pr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ípade,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že uhraden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preddavky na da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 z pr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íjmu v priebehu roka sú vy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ššie ako daňov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povinnos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ť za tento rok, Spoločnosť vykazuje 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ýslednú da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 poh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ávku.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83"/>
        </w:numPr>
        <w:tabs>
          <w:tab w:val="left" w:pos="601" w:leader="none"/>
        </w:tabs>
        <w:spacing w:before="0" w:after="0" w:line="240"/>
        <w:ind w:right="1469" w:left="567" w:hanging="567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Lízing</w:t>
      </w:r>
    </w:p>
    <w:p>
      <w:pPr>
        <w:spacing w:before="0" w:after="0" w:line="240"/>
        <w:ind w:right="0" w:left="708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Operatívny prenájom. Majetok prenajatý na základe operatívneho prenájmu vykazuje ako svoj majetok jeho vlastník, nie nájomca. Majetok obstaraný formou operatívneho leasingu sa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čtuje do 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ákladov rovnomerne po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čas doby trvania leasingovej zmluvy.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86"/>
        </w:numPr>
        <w:tabs>
          <w:tab w:val="left" w:pos="601" w:leader="none"/>
        </w:tabs>
        <w:spacing w:before="0" w:after="0" w:line="240"/>
        <w:ind w:right="1469" w:left="567" w:hanging="567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Výnosy</w:t>
      </w:r>
    </w:p>
    <w:p>
      <w:pPr>
        <w:spacing w:before="0" w:after="0" w:line="240"/>
        <w:ind w:right="0" w:left="708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709" w:leader="none"/>
        </w:tabs>
        <w:suppressAutoHyphens w:val="true"/>
        <w:spacing w:before="0" w:after="0" w:line="240"/>
        <w:ind w:right="-79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Výnosy z predaja tovarov sa vykazujú v momente prenosu rizika a vlastníctva tovaru, obvykle po dodávke. Ak sa 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čnosť zaviaže dopraviť 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ýrobky na ur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čit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miesto, výnosy sa vykazujú v momente doru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čenia 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ýrobku do cie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ľov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ého miesta.</w:t>
      </w:r>
    </w:p>
    <w:p>
      <w:pPr>
        <w:tabs>
          <w:tab w:val="left" w:pos="709" w:leader="none"/>
        </w:tabs>
        <w:suppressAutoHyphens w:val="true"/>
        <w:spacing w:before="0" w:after="0" w:line="240"/>
        <w:ind w:right="-79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709" w:leader="none"/>
        </w:tabs>
        <w:suppressAutoHyphens w:val="true"/>
        <w:spacing w:before="0" w:after="0" w:line="240"/>
        <w:ind w:right="-79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Výnosy z predaja slu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žieb sa vykazuj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 v 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čtovnom obdob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í, v ktorom boli slu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žby poskytnut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s oh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ľadom na stav rozpracovanosti danej služby. Tento je zisten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 na základe skuto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čne poskytnut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ých slu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žieb ako pomernej časti k celkov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ému rozsahu dohodnutých slu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žieb.</w:t>
      </w:r>
    </w:p>
    <w:p>
      <w:pPr>
        <w:tabs>
          <w:tab w:val="left" w:pos="709" w:leader="none"/>
        </w:tabs>
        <w:suppressAutoHyphens w:val="true"/>
        <w:spacing w:before="0" w:after="0" w:line="240"/>
        <w:ind w:right="-79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709" w:leader="none"/>
        </w:tabs>
        <w:suppressAutoHyphens w:val="true"/>
        <w:spacing w:before="0" w:after="0" w:line="240"/>
        <w:ind w:right="-79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89"/>
        </w:numPr>
        <w:tabs>
          <w:tab w:val="left" w:pos="601" w:leader="none"/>
        </w:tabs>
        <w:spacing w:before="0" w:after="0" w:line="240"/>
        <w:ind w:right="1469" w:left="567" w:hanging="567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Prepo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čet 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údajov v cudzích menách na euro menu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Majetok a záväzky vyjadrené v cudzích menách sú prepo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ítané na euro menu referen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ým výmenným  kurzom ur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ým a vyhláseným Európskou centrálnou bankou alebo Národnou bankou Slovenska  v de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 predch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ádzajúci 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ňu uskutočnenia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ého prípadu.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Pri uzavieraní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ých kníh sú majetok a záväzky v cudzích menách, okrem prijatých a poskytnutých preddavkov prepo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ítané na euro menu referen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ým výmenným kurzom k dátumu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ávierky ur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ým a vyhláseným Európskou centrálnou bankou alebo Národnou bankou Slovenska. Vzniknuté kurzové rozdiely sú zú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čtovan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v zmysle § 24 platných postupov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čtovania pre podnikateľov, s vplyvom na 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ýsledok hospodárenia.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Prijaté a poskytnuté preddavky v cudzej mene prostredníctvom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čtu veden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ého v tejto cudzej mene sa prepo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ítavajú na menu euro referen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ým výmenným kurzom ur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ým a vyhláseným Európskou centrálnou bankou alebo Národnou bankou Slovenska v de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 predch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ádzajúci 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ňu uskutočnenia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ého prípadu. Prijaté a poskytnuté preddavky v cudzej mene na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čet zriaden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 v eurách a z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čtu zriaden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ého v eurách sa prepo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ítavajú na menu euro kurzom, za ktorý boli tieto hodnoty nakúpené alebo predané.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Ku 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ňu, ku ktor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ému sa zostavuje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závierka, sa na menu euro 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 neprepoč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ítavajú.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Na ocenenie prírastku cudzej meny nakúpenej za euro sa pou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žije kurz, za ktor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 bola táto cudzia mena nakúpená.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Na úbytok rovnakej cudzej meny v hotovosti alebo z devízového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čtu sa na prepočet cudzej meny na eur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pou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žije referenčn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 výmenný kurz ur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 a vyhlásený Európskou centrálnou bankou alebo Národnou bankou Slovenska v de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 predch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ádzajúci 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ňu uskutočnenia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ého prípadu.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91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INFORMÁCIE O AKTÍVACH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93"/>
        </w:numPr>
        <w:tabs>
          <w:tab w:val="left" w:pos="6804" w:leader="none"/>
        </w:tabs>
        <w:spacing w:before="0" w:after="0" w:line="240"/>
        <w:ind w:right="566" w:left="454" w:hanging="454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á jednotka vykazuje v ú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ávierke dlhodobý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ý majetok</w:t>
      </w:r>
    </w:p>
    <w:p>
      <w:pPr>
        <w:spacing w:before="0" w:after="0" w:line="240"/>
        <w:ind w:right="0" w:left="708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čnosť neeviduje finančn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 majetok, na ktorý je zriadené zálo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právo, pri ktorom má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jednotka obmedzené právo s ním naklada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ť.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96"/>
        </w:numPr>
        <w:tabs>
          <w:tab w:val="left" w:pos="6804" w:leader="none"/>
        </w:tabs>
        <w:spacing w:before="0" w:after="0" w:line="240"/>
        <w:ind w:right="566" w:left="454" w:hanging="454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Vlastné akcie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čnosť neeviduje</w:t>
      </w:r>
    </w:p>
    <w:p>
      <w:pPr>
        <w:spacing w:before="0" w:after="0" w:line="240"/>
        <w:ind w:right="0" w:left="72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72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99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INFORMÁCIE O PASÍVACH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01"/>
        </w:numPr>
        <w:tabs>
          <w:tab w:val="left" w:pos="6804" w:leader="none"/>
        </w:tabs>
        <w:spacing w:before="0" w:after="0" w:line="240"/>
        <w:ind w:right="566" w:left="454" w:hanging="454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Údaje o záväzkoch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FF0000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čnosť neeviduje 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áväzky so zostatkovou dobou splatnosti dlh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šou ako p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ť rokov.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03"/>
        </w:numPr>
        <w:tabs>
          <w:tab w:val="left" w:pos="601" w:leader="none"/>
        </w:tabs>
        <w:spacing w:before="0" w:after="0" w:line="240"/>
        <w:ind w:right="1469" w:left="567" w:hanging="567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á jednotka vykazuje v ú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ávierke záväzky,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5954" w:leader="none"/>
          <w:tab w:val="left" w:pos="7371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čnosť neeviduje.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07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INFORMÁCIE O VÝNOSOCH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FF0000"/>
          <w:spacing w:val="0"/>
          <w:position w:val="0"/>
          <w:sz w:val="20"/>
          <w:shd w:fill="FFFF00" w:val="clear"/>
        </w:rPr>
      </w:pPr>
    </w:p>
    <w:p>
      <w:pPr>
        <w:tabs>
          <w:tab w:val="left" w:pos="5954" w:leader="none"/>
          <w:tab w:val="left" w:pos="7371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FFFF00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čnosť neeviduje 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ýnosy, ktoré majú výnimo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 rozsah alebo výskyt.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11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ÚDAJE O NÁKLADOCH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FF0000"/>
          <w:spacing w:val="0"/>
          <w:position w:val="0"/>
          <w:sz w:val="20"/>
          <w:shd w:fill="FFFF00" w:val="clear"/>
        </w:rPr>
      </w:pPr>
    </w:p>
    <w:p>
      <w:pPr>
        <w:tabs>
          <w:tab w:val="left" w:pos="5954" w:leader="none"/>
          <w:tab w:val="left" w:pos="7371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FFFF00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čnosť neeviduje 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áklady, ktoré majú výnimo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 rozsah alebo výskyt.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15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INFORMÁCIE O INÝCH AKTÍVACH A PASÍVACH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17"/>
        </w:numPr>
        <w:tabs>
          <w:tab w:val="left" w:pos="6804" w:leader="none"/>
        </w:tabs>
        <w:spacing w:before="0" w:after="0" w:line="240"/>
        <w:ind w:right="566" w:left="454" w:hanging="454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Podmienený majetok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čnosť neeviduje podmienen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 majetok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19"/>
        </w:numPr>
        <w:tabs>
          <w:tab w:val="left" w:pos="6804" w:leader="none"/>
        </w:tabs>
        <w:spacing w:before="0" w:after="0" w:line="240"/>
        <w:ind w:right="566" w:left="454" w:hanging="454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  <w:t xml:space="preserve">Podmienené záväzky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čnosť neeviduje podmienen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záväzky.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21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INFORMÁCIE O SKUTO</w:t>
      </w: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ČNOSTIACH, KTOR</w:t>
      </w: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É NASTALI PO DNI, KU KTORÉMU SA ZOSTAVUJE Ú</w:t>
      </w: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Á ZÁVIERKA DO D</w:t>
      </w: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ŇA ZOSTAVENIA </w:t>
      </w: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ávierky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Po 31.12.2019 nenastali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žiadne udalosti, ktor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majú významný vplyv na verné zobrazenie skuto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čnost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í, ktoré sú predmetom 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íctva: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Na konci roku 2019 sa prvýkrát objavili správy týkajúce sa COVID-19 (Coronavirus). V prvých mesiacoch roku 2020 sa vírus roz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íril do celého sveta v rátane Slovenska a negatívne tak ovplyvnil chod ekonomiky na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šej krajiny. Manažment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čtovnej jednotky neust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ále monitoruje situáciu a h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spôsoby, ako minimalizova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ť dopad na Spoločnosť ako tak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ú. V Sú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časnej dobe nie je možn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s presnos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ťou určiť, či t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áto situácia bude ma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ť 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ýznamne negatívny dopad na nej chod.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b/>
          <w:color w:val="auto"/>
          <w:spacing w:val="0"/>
          <w:position w:val="0"/>
          <w:sz w:val="20"/>
          <w:shd w:fill="auto" w:val="clear"/>
        </w:rPr>
      </w:pPr>
    </w:p>
    <w:p>
      <w:pPr>
        <w:numPr>
          <w:ilvl w:val="0"/>
          <w:numId w:val="123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INFORMÁCIE O PRÍJMOCH A VÝHODÁCH </w:t>
      </w: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ČLENOV ŠTATUT</w:t>
      </w: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ÁRNYCH ORGÁNOV, DOZORNÝCH ORGÁNOV A INÝCH ORGÁNOV Ú</w:t>
      </w:r>
      <w:r>
        <w:rPr>
          <w:rFonts w:ascii="Arial" w:hAnsi="Arial" w:cs="Arial" w:eastAsia="Arial"/>
          <w:b/>
          <w:caps w:val="true"/>
          <w:color w:val="auto"/>
          <w:spacing w:val="0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i/>
          <w:color w:val="FF0000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čnosť nevypl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ácala v roku 2019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žiadne pr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íjmy orgánom 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čnosti.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abstractNum w:abstractNumId="222">
    <w:lvl w:ilvl="0">
      <w:start w:val="1"/>
      <w:numFmt w:val="bullet"/>
      <w:lvlText w:val="•"/>
    </w:lvl>
  </w:abstractNum>
  <w:abstractNum w:abstractNumId="228">
    <w:lvl w:ilvl="0">
      <w:start w:val="1"/>
      <w:numFmt w:val="bullet"/>
      <w:lvlText w:val="•"/>
    </w:lvl>
  </w:abstractNum>
  <w:abstractNum w:abstractNumId="234">
    <w:lvl w:ilvl="0">
      <w:start w:val="1"/>
      <w:numFmt w:val="bullet"/>
      <w:lvlText w:val="•"/>
    </w:lvl>
  </w:abstractNum>
  <w:abstractNum w:abstractNumId="240">
    <w:lvl w:ilvl="0">
      <w:start w:val="1"/>
      <w:numFmt w:val="bullet"/>
      <w:lvlText w:val="•"/>
    </w:lvl>
  </w:abstractNum>
  <w:num w:numId="2">
    <w:abstractNumId w:val="240"/>
  </w:num>
  <w:num w:numId="4">
    <w:abstractNumId w:val="234"/>
  </w:num>
  <w:num w:numId="6">
    <w:abstractNumId w:val="228"/>
  </w:num>
  <w:num w:numId="8">
    <w:abstractNumId w:val="222"/>
  </w:num>
  <w:num w:numId="10">
    <w:abstractNumId w:val="216"/>
  </w:num>
  <w:num w:numId="12">
    <w:abstractNumId w:val="210"/>
  </w:num>
  <w:num w:numId="14">
    <w:abstractNumId w:val="204"/>
  </w:num>
  <w:num w:numId="16">
    <w:abstractNumId w:val="198"/>
  </w:num>
  <w:num w:numId="18">
    <w:abstractNumId w:val="192"/>
  </w:num>
  <w:num w:numId="20">
    <w:abstractNumId w:val="186"/>
  </w:num>
  <w:num w:numId="24">
    <w:abstractNumId w:val="180"/>
  </w:num>
  <w:num w:numId="26">
    <w:abstractNumId w:val="174"/>
  </w:num>
  <w:num w:numId="28">
    <w:abstractNumId w:val="168"/>
  </w:num>
  <w:num w:numId="30">
    <w:abstractNumId w:val="162"/>
  </w:num>
  <w:num w:numId="34">
    <w:abstractNumId w:val="156"/>
  </w:num>
  <w:num w:numId="49">
    <w:abstractNumId w:val="150"/>
  </w:num>
  <w:num w:numId="52">
    <w:abstractNumId w:val="144"/>
  </w:num>
  <w:num w:numId="57">
    <w:abstractNumId w:val="138"/>
  </w:num>
  <w:num w:numId="62">
    <w:abstractNumId w:val="132"/>
  </w:num>
  <w:num w:numId="65">
    <w:abstractNumId w:val="126"/>
  </w:num>
  <w:num w:numId="67">
    <w:abstractNumId w:val="120"/>
  </w:num>
  <w:num w:numId="70">
    <w:abstractNumId w:val="114"/>
  </w:num>
  <w:num w:numId="73">
    <w:abstractNumId w:val="108"/>
  </w:num>
  <w:num w:numId="75">
    <w:abstractNumId w:val="102"/>
  </w:num>
  <w:num w:numId="79">
    <w:abstractNumId w:val="96"/>
  </w:num>
  <w:num w:numId="83">
    <w:abstractNumId w:val="90"/>
  </w:num>
  <w:num w:numId="86">
    <w:abstractNumId w:val="84"/>
  </w:num>
  <w:num w:numId="89">
    <w:abstractNumId w:val="78"/>
  </w:num>
  <w:num w:numId="91">
    <w:abstractNumId w:val="72"/>
  </w:num>
  <w:num w:numId="93">
    <w:abstractNumId w:val="66"/>
  </w:num>
  <w:num w:numId="96">
    <w:abstractNumId w:val="60"/>
  </w:num>
  <w:num w:numId="99">
    <w:abstractNumId w:val="54"/>
  </w:num>
  <w:num w:numId="101">
    <w:abstractNumId w:val="48"/>
  </w:num>
  <w:num w:numId="103">
    <w:abstractNumId w:val="42"/>
  </w:num>
  <w:num w:numId="107">
    <w:abstractNumId w:val="36"/>
  </w:num>
  <w:num w:numId="111">
    <w:abstractNumId w:val="30"/>
  </w:num>
  <w:num w:numId="115">
    <w:abstractNumId w:val="24"/>
  </w:num>
  <w:num w:numId="117">
    <w:abstractNumId w:val="18"/>
  </w:num>
  <w:num w:numId="119">
    <w:abstractNumId w:val="12"/>
  </w:num>
  <w:num w:numId="121">
    <w:abstractNumId w:val="6"/>
  </w:num>
  <w:num w:numId="12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