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000000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36"/>
          <w:shd w:fill="auto" w:val="clear"/>
        </w:rPr>
        <w:t xml:space="preserve">Poznámky Ú</w:t>
      </w:r>
      <w:r>
        <w:rPr>
          <w:rFonts w:ascii="Arial" w:hAnsi="Arial" w:cs="Arial" w:eastAsia="Arial"/>
          <w:b/>
          <w:color w:val="000000"/>
          <w:spacing w:val="0"/>
          <w:position w:val="0"/>
          <w:sz w:val="36"/>
          <w:shd w:fill="auto" w:val="clear"/>
        </w:rPr>
        <w:t xml:space="preserve">č M</w:t>
      </w:r>
      <w:r>
        <w:rPr>
          <w:rFonts w:ascii="Arial" w:hAnsi="Arial" w:cs="Arial" w:eastAsia="Arial"/>
          <w:b/>
          <w:color w:val="000000"/>
          <w:spacing w:val="0"/>
          <w:position w:val="0"/>
          <w:sz w:val="36"/>
          <w:shd w:fill="auto" w:val="clear"/>
        </w:rPr>
        <w:t xml:space="preserve">ÚJ 3-01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I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ČO:  46620702                                                                    DIČ: 2023544138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4248" w:firstLine="0"/>
        <w:jc w:val="left"/>
        <w:rPr>
          <w:rFonts w:ascii="Arial" w:hAnsi="Arial" w:cs="Arial" w:eastAsia="Arial"/>
          <w:b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3"/>
          <w:shd w:fill="auto" w:val="clear"/>
        </w:rPr>
        <w:t xml:space="preserve">Čl. I </w:t>
      </w:r>
    </w:p>
    <w:p>
      <w:pPr>
        <w:spacing w:before="0" w:after="0" w:line="240"/>
        <w:ind w:right="0" w:left="354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3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000000"/>
          <w:spacing w:val="0"/>
          <w:position w:val="0"/>
          <w:sz w:val="23"/>
          <w:shd w:fill="auto" w:val="clear"/>
        </w:rPr>
        <w:t xml:space="preserve">šeobecn</w:t>
      </w:r>
      <w:r>
        <w:rPr>
          <w:rFonts w:ascii="Arial" w:hAnsi="Arial" w:cs="Arial" w:eastAsia="Arial"/>
          <w:b/>
          <w:color w:val="000000"/>
          <w:spacing w:val="0"/>
          <w:position w:val="0"/>
          <w:sz w:val="23"/>
          <w:shd w:fill="auto" w:val="clear"/>
        </w:rPr>
        <w:t xml:space="preserve">é údaje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 1) Názov právnickej osoby a jej sídlo: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dynecore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  s.r.o. </w:t>
      </w: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Wolkrova 19</w:t>
      </w: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 851 01 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BRATISLAVA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 ORSR Okresný súd Bratislava I.</w:t>
      </w: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 Oddiel: Sro, Vlo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žka č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íslo: 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81778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/B</w:t>
      </w:r>
    </w:p>
    <w:p>
      <w:pPr>
        <w:spacing w:before="0" w:after="0" w:line="240"/>
        <w:ind w:right="0" w:left="-142" w:firstLine="0"/>
        <w:jc w:val="left"/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 Dátum zápisu: </w:t>
      </w:r>
      <w:r>
        <w:rPr>
          <w:rFonts w:ascii="Arial" w:hAnsi="Arial" w:cs="Arial" w:eastAsia="Arial"/>
          <w:color w:val="auto"/>
          <w:spacing w:val="0"/>
          <w:position w:val="0"/>
          <w:sz w:val="23"/>
          <w:shd w:fill="auto" w:val="clear"/>
        </w:rPr>
        <w:t xml:space="preserve">30.02.2012</w:t>
      </w:r>
    </w:p>
    <w:tbl>
      <w:tblPr/>
      <w:tblGrid>
        <w:gridCol w:w="7729"/>
        <w:gridCol w:w="672"/>
        <w:gridCol w:w="6067"/>
        <w:gridCol w:w="2688"/>
        <w:gridCol w:w="1345"/>
        <w:gridCol w:w="1343"/>
        <w:gridCol w:w="673"/>
        <w:gridCol w:w="2017"/>
      </w:tblGrid>
      <w:tr>
        <w:trPr>
          <w:trHeight w:val="112" w:hRule="auto"/>
          <w:jc w:val="left"/>
        </w:trPr>
        <w:tc>
          <w:tcPr>
            <w:tcW w:w="14468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3980" w:left="0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23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3"/>
                <w:shd w:fill="auto" w:val="clear"/>
              </w:rPr>
              <w:t xml:space="preserve">Preva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3"/>
                <w:shd w:fill="auto" w:val="clear"/>
              </w:rPr>
              <w:t xml:space="preserve">žuj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3"/>
                <w:shd w:fill="auto" w:val="clear"/>
              </w:rPr>
              <w:t xml:space="preserve">úca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3"/>
                <w:shd w:fill="auto" w:val="clear"/>
              </w:rPr>
              <w:t xml:space="preserve">činnosť v r.2019: 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3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3"/>
                <w:shd w:fill="auto" w:val="clear"/>
              </w:rPr>
              <w:t xml:space="preserve">pa tpvaru na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3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3"/>
                <w:shd w:fill="auto" w:val="clear"/>
              </w:rPr>
              <w:t xml:space="preserve">čely jeho predaja konečn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3"/>
                <w:shd w:fill="auto" w:val="clear"/>
              </w:rPr>
              <w:t xml:space="preserve">é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3"/>
                <w:shd w:fill="auto" w:val="clear"/>
              </w:rPr>
              <w:t xml:space="preserve">mu spotrebite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3"/>
                <w:shd w:fill="auto" w:val="clear"/>
              </w:rPr>
              <w:t xml:space="preserve">ľovi</w:t>
            </w:r>
          </w:p>
          <w:p>
            <w:pPr>
              <w:spacing w:before="0" w:after="0" w:line="240"/>
              <w:ind w:right="-398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3"/>
                <w:shd w:fill="auto" w:val="clear"/>
              </w:rPr>
              <w:t xml:space="preserve">Štatut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3"/>
                <w:shd w:fill="auto" w:val="clear"/>
              </w:rPr>
              <w:t xml:space="preserve">árny zástupca:  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3"/>
                <w:shd w:fill="auto" w:val="clear"/>
              </w:rPr>
              <w:t xml:space="preserve">Mgr.Miroslav M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3"/>
                <w:shd w:fill="auto" w:val="clear"/>
              </w:rPr>
              <w:t xml:space="preserve">ô</w:t>
            </w: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3"/>
                <w:shd w:fill="auto" w:val="clear"/>
              </w:rPr>
              <w:t xml:space="preserve">c</w:t>
            </w:r>
          </w:p>
        </w:tc>
        <w:tc>
          <w:tcPr>
            <w:tcW w:w="4033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33" w:type="dxa"/>
            <w:gridSpan w:val="3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color w:val="000000"/>
                <w:spacing w:val="0"/>
                <w:position w:val="0"/>
                <w:sz w:val="23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3"/>
                <w:shd w:fill="auto" w:val="clear"/>
              </w:rPr>
              <w:t xml:space="preserve">Mgr. Miroslav Môc, Juraj Dörr </w:t>
            </w:r>
          </w:p>
        </w:tc>
      </w:tr>
      <w:tr>
        <w:trPr>
          <w:trHeight w:val="112" w:hRule="auto"/>
          <w:jc w:val="left"/>
        </w:trPr>
        <w:tc>
          <w:tcPr>
            <w:tcW w:w="77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5954" w:leader="none"/>
              </w:tabs>
              <w:spacing w:before="0" w:after="160" w:line="259"/>
              <w:ind w:right="-2058" w:left="0" w:firstLine="0"/>
              <w:jc w:val="left"/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3"/>
                <w:shd w:fill="auto" w:val="clear"/>
              </w:rPr>
              <w:t xml:space="preserve">Štatut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3"/>
                <w:shd w:fill="auto" w:val="clear"/>
              </w:rPr>
              <w:t xml:space="preserve">árny zástupca - konate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3"/>
                <w:shd w:fill="auto" w:val="clear"/>
              </w:rPr>
              <w:t xml:space="preserve">ľ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4"/>
                <w:shd w:fill="auto" w:val="clear"/>
              </w:rPr>
              <w:t xml:space="preserve">: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Mgr.Miroslav M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c     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ZI  100%        5000,-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2"/>
                <w:shd w:fill="auto" w:val="clear"/>
              </w:rPr>
              <w:t xml:space="preserve">€ </w:t>
            </w:r>
          </w:p>
          <w:p>
            <w:pPr>
              <w:spacing w:before="0" w:after="160" w:line="259"/>
              <w:ind w:right="0" w:left="0" w:firstLine="0"/>
              <w:jc w:val="left"/>
              <w:rPr>
                <w:rFonts w:ascii="Calibri" w:hAnsi="Calibri" w:cs="Calibri" w:eastAsia="Calibri"/>
                <w:spacing w:val="0"/>
                <w:position w:val="0"/>
                <w:shd w:fill="auto" w:val="clear"/>
              </w:rPr>
            </w:pPr>
          </w:p>
        </w:tc>
        <w:tc>
          <w:tcPr>
            <w:tcW w:w="6739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33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1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3"/>
                <w:shd w:fill="auto" w:val="clear"/>
              </w:rPr>
              <w:t xml:space="preserve">ZI </w:t>
            </w:r>
          </w:p>
        </w:tc>
        <w:tc>
          <w:tcPr>
            <w:tcW w:w="2017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3"/>
                <w:shd w:fill="auto" w:val="clear"/>
              </w:rPr>
              <w:t xml:space="preserve">2 500.- EUR </w:t>
            </w:r>
          </w:p>
        </w:tc>
      </w:tr>
      <w:tr>
        <w:trPr>
          <w:trHeight w:val="112" w:hRule="auto"/>
          <w:jc w:val="left"/>
        </w:trPr>
        <w:tc>
          <w:tcPr>
            <w:tcW w:w="8401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-2838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55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8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3"/>
                <w:shd w:fill="auto" w:val="clear"/>
              </w:rPr>
              <w:t xml:space="preserve">ZI </w:t>
            </w:r>
          </w:p>
        </w:tc>
        <w:tc>
          <w:tcPr>
            <w:tcW w:w="2690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Arial" w:hAnsi="Arial" w:cs="Arial" w:eastAsia="Arial"/>
                <w:color w:val="000000"/>
                <w:spacing w:val="0"/>
                <w:position w:val="0"/>
                <w:sz w:val="23"/>
                <w:shd w:fill="auto" w:val="clear"/>
              </w:rPr>
              <w:t xml:space="preserve">2 500.- EUR 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UJ nie je sú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časťou žiadneho konsolidovan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ého celku a nezostavuje konsolidovanú 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ú závierku, nako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ľko nespĺňa podmienky podľa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§ 22 odst 10 Zákona o 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íctve.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UJ sp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ĺňa v zmysle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§ 2 odst.6 Zákona o 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íctve podmienky zatriedenia do mikro 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čtovnej jednotky.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2) Priemerný prepo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ítaný po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čet zamestnancov: 0</w:t>
      </w:r>
    </w:p>
    <w:p>
      <w:pPr>
        <w:spacing w:before="0" w:after="0" w:line="240"/>
        <w:ind w:right="0" w:left="3540" w:firstLine="708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3540" w:firstLine="708"/>
        <w:jc w:val="left"/>
        <w:rPr>
          <w:rFonts w:ascii="Arial" w:hAnsi="Arial" w:cs="Arial" w:eastAsia="Arial"/>
          <w:b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3"/>
          <w:shd w:fill="auto" w:val="clear"/>
        </w:rPr>
        <w:t xml:space="preserve">Čl. II </w:t>
      </w:r>
    </w:p>
    <w:p>
      <w:pPr>
        <w:spacing w:before="0" w:after="0" w:line="240"/>
        <w:ind w:right="0" w:left="2124" w:firstLine="708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3"/>
          <w:shd w:fill="auto" w:val="clear"/>
        </w:rPr>
        <w:t xml:space="preserve">Informácie o prijatých postupoch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1) 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á závierka je zostavená za splnenia predpokladu,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že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žite pokračovať vo svojej činnosti.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2) Spôsob oce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ňovania jednotliv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ých polo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žiek majetku a z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áväzkov, a to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a) dlhodobého nehmotného majetku, dlhodobého hmotného majetku a dlhodobého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finan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ého majetku. UJ oce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ňuje dlhodob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ý nehmotný a hmotný majetok obstarávacou cenou. Nehmotný majetok s obstarávacou cenou ni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žšou ako 1700,-EUR za kus UJ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čtuje ako ostatn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ú slu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žbu na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čet 518 priamo do 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ákladov. Hmotný majetok s obstarávacou cenou ni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žšou ako 1700,-EUR za kus UJ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čtuje ako spotrebu materi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álu na 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čet 501 priamo do 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ákladov,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b) zásob tovaru obstaraných kúpou, ktoré UJ oce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ňuje obstar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ávacou cenou, vrátane dopravných nákladov a iných súvisiacich nákladov obstarania, ktoré sú rozpo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ítavané na mernú jednotku nakupovanej zásoby. Skladové zásoby sa 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čtuj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ú spôsobom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B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,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v r. 2019 UJ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ne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nakupovala zásoby tovaru a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ani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ne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čtovala,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c) poh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ľad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ávok, ktoré UJ oce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ňuje menovitou hodnotou pri ich vzniku,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d) krátkodobého finan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ého majetku, pe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ňažn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é prostriedky a ceniny oce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ňuje UJ menovitou hodnotou. Cudzia mena sa prepoč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ítava kurzom ECB ku d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ňu uskutočnenia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ého prípadu a v 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čtovnej z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ávierke ku d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ňu jej zostavenia,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e) záväzkov, ktoré UJ oce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ňuje menovitou hodnotou pri ich vzniku.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3) Dlhodobý hmotný a nehmotný majetok sa odpisuje pod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ľa odpisov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ého plánu. Spôsob zostavenia odpisového plánu pre jednotlivé druhy dlhodobého hmotného majetku a dlhodobého nehmotného majetku, pri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ádza doba odpisovania, pou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žit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é sadzby odpisov a odpisové metódy pri ur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čen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í odpisov UJ v priebehu r. 2019 neevidovala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žiadne pr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írastky ani úbytky dlhodobého nehmotného a hmotného majetku.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4) UJ neú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čtovala v priebehu r. 2019 o v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ýznamných opravách chýb minulých 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ých období v be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žnom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čtovnom obdob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í s vplyvom na nerozdelený zisk minulých rokov alebo neuhradenú stratu minulých rokov a sú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časne UJ ne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čtovala ani o nev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ýznamných chybách minulých 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ých období v be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žnom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čtovnom obdob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í s vplyvom na výsledok hospodárenia be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žn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ého 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ého obdobia.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3540" w:firstLine="708"/>
        <w:jc w:val="left"/>
        <w:rPr>
          <w:rFonts w:ascii="Arial" w:hAnsi="Arial" w:cs="Arial" w:eastAsia="Arial"/>
          <w:b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3"/>
          <w:shd w:fill="auto" w:val="clear"/>
        </w:rPr>
        <w:t xml:space="preserve">Čl. III </w:t>
      </w:r>
    </w:p>
    <w:p>
      <w:pPr>
        <w:spacing w:before="0" w:after="0" w:line="240"/>
        <w:ind w:right="0" w:left="0" w:firstLine="708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b/>
          <w:color w:val="000000"/>
          <w:spacing w:val="0"/>
          <w:position w:val="0"/>
          <w:sz w:val="23"/>
          <w:shd w:fill="auto" w:val="clear"/>
        </w:rPr>
        <w:t xml:space="preserve">Informácie, ktoré vysvet</w:t>
      </w:r>
      <w:r>
        <w:rPr>
          <w:rFonts w:ascii="Arial" w:hAnsi="Arial" w:cs="Arial" w:eastAsia="Arial"/>
          <w:b/>
          <w:color w:val="000000"/>
          <w:spacing w:val="0"/>
          <w:position w:val="0"/>
          <w:sz w:val="23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000000"/>
          <w:spacing w:val="0"/>
          <w:position w:val="0"/>
          <w:sz w:val="23"/>
          <w:shd w:fill="auto" w:val="clear"/>
        </w:rPr>
        <w:t xml:space="preserve">ú a dop</w:t>
      </w:r>
      <w:r>
        <w:rPr>
          <w:rFonts w:ascii="Arial" w:hAnsi="Arial" w:cs="Arial" w:eastAsia="Arial"/>
          <w:b/>
          <w:color w:val="000000"/>
          <w:spacing w:val="0"/>
          <w:position w:val="0"/>
          <w:sz w:val="23"/>
          <w:shd w:fill="auto" w:val="clear"/>
        </w:rPr>
        <w:t xml:space="preserve">ĺňaj</w:t>
      </w:r>
      <w:r>
        <w:rPr>
          <w:rFonts w:ascii="Arial" w:hAnsi="Arial" w:cs="Arial" w:eastAsia="Arial"/>
          <w:b/>
          <w:color w:val="000000"/>
          <w:spacing w:val="0"/>
          <w:position w:val="0"/>
          <w:sz w:val="23"/>
          <w:shd w:fill="auto" w:val="clear"/>
        </w:rPr>
        <w:t xml:space="preserve">ú súvahu a výkaz ziskov a strát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1) UJ neú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čtovala v priebehu r. 2019 o žiadnych položk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ách nákladov alebo výnosov, ktoré majú výnimo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ý rozsah alebo výskyt, napríklad výnosy z predaja podniku alebo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časti podniku, 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áklady z dôvodu predaja podniku alebo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časti podniku, škody z d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ôvodu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živeln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ých pohrôm.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2) UJ neú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čtovala o z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áväzkoch, ktoré by mali zostatkovú dobu splatnosti dlh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šiu ako p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ä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ť rokov a o žiadnych zabezpečen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ých záväzkoch. UJ nemala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žiadny majetok prenajat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ý formou finan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ého prenájmu.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3) UJ nevyplácala v priebehu r. 2019 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žiadne podiely na zisku a ani neposkytla žiadne p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ô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  <w:t xml:space="preserve">árneho orgánu. 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3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