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CD0101" w:rsidRPr="005877C7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5877C7">
        <w:rPr>
          <w:rFonts w:ascii="Times New Roman" w:hAnsi="Times New Roman" w:cs="Times New Roman"/>
          <w:b/>
          <w:color w:val="4472C4" w:themeColor="accent1"/>
        </w:rPr>
        <w:t>Čl. I </w:t>
      </w:r>
      <w:r w:rsidRPr="005877C7">
        <w:rPr>
          <w:rFonts w:ascii="Times New Roman" w:hAnsi="Times New Roman" w:cs="Times New Roman"/>
          <w:b/>
          <w:color w:val="4472C4" w:themeColor="accent1"/>
        </w:rPr>
        <w:tab/>
        <w:t>Všeobecné informácie</w:t>
      </w:r>
    </w:p>
    <w:p w:rsidR="00CD0101" w:rsidRPr="002E2695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I.1 </w:t>
      </w:r>
      <w:r w:rsidRPr="00F730ED">
        <w:rPr>
          <w:rFonts w:ascii="Times New Roman" w:hAnsi="Times New Roman" w:cs="Times New Roman"/>
          <w:b/>
        </w:rPr>
        <w:tab/>
        <w:t>Obchodné meno účtovnej jednotky: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ab/>
      </w:r>
      <w:r w:rsidR="006961A0">
        <w:rPr>
          <w:rFonts w:ascii="Times New Roman" w:hAnsi="Times New Roman" w:cs="Times New Roman"/>
        </w:rPr>
        <w:t>Go-</w:t>
      </w:r>
      <w:proofErr w:type="spellStart"/>
      <w:r w:rsidR="006961A0">
        <w:rPr>
          <w:rFonts w:ascii="Times New Roman" w:hAnsi="Times New Roman" w:cs="Times New Roman"/>
        </w:rPr>
        <w:t>Solar</w:t>
      </w:r>
      <w:proofErr w:type="spellEnd"/>
      <w:r>
        <w:rPr>
          <w:rFonts w:ascii="Times New Roman" w:hAnsi="Times New Roman" w:cs="Times New Roman"/>
        </w:rPr>
        <w:t xml:space="preserve">  </w:t>
      </w:r>
      <w:proofErr w:type="spellStart"/>
      <w:r>
        <w:rPr>
          <w:rFonts w:ascii="Times New Roman" w:hAnsi="Times New Roman" w:cs="Times New Roman"/>
        </w:rPr>
        <w:t>s.r.o</w:t>
      </w:r>
      <w:proofErr w:type="spellEnd"/>
      <w:r>
        <w:rPr>
          <w:rFonts w:ascii="Times New Roman" w:hAnsi="Times New Roman" w:cs="Times New Roman"/>
        </w:rPr>
        <w:t>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Sídlo účtovnej jednotky:</w:t>
      </w:r>
    </w:p>
    <w:p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Cintorínska 1938/2</w:t>
      </w:r>
    </w:p>
    <w:p w:rsidR="00CD0101" w:rsidRDefault="006961A0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927 05 Šaľa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Opis hospodárskej činnosti účtovnej jednotky:</w:t>
      </w:r>
    </w:p>
    <w:p w:rsidR="00CD0101" w:rsidRDefault="006961A0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Výroba ostatných elektrických zariadení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I.2</w:t>
      </w:r>
      <w:r w:rsidRPr="00F730ED">
        <w:rPr>
          <w:rFonts w:ascii="Times New Roman" w:hAnsi="Times New Roman" w:cs="Times New Roman"/>
          <w:b/>
        </w:rPr>
        <w:tab/>
        <w:t>Dátum schválenia účtovnej závierky za bezprostredne predchádzajúce účtovné obdobie:</w:t>
      </w:r>
    </w:p>
    <w:p w:rsidR="00594DFC" w:rsidRPr="00F730ED" w:rsidRDefault="006961A0" w:rsidP="00594DFC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- </w:t>
      </w:r>
      <w:r w:rsidR="00594DFC" w:rsidRPr="00F730ED">
        <w:rPr>
          <w:rFonts w:ascii="Times New Roman" w:hAnsi="Times New Roman" w:cs="Times New Roman"/>
        </w:rPr>
        <w:t>Účtovná závierka Spoločnosti k 31. decembru 201</w:t>
      </w:r>
      <w:r w:rsidR="00594DFC">
        <w:rPr>
          <w:rFonts w:ascii="Times New Roman" w:hAnsi="Times New Roman" w:cs="Times New Roman"/>
        </w:rPr>
        <w:t>8</w:t>
      </w:r>
      <w:r w:rsidR="00594DFC" w:rsidRPr="00F730ED">
        <w:rPr>
          <w:rFonts w:ascii="Times New Roman" w:hAnsi="Times New Roman" w:cs="Times New Roman"/>
        </w:rPr>
        <w:t xml:space="preserve">, za predchádzajúce účtovné obdobie, bola schválená valným zhromaždením Spoločnosti dňa </w:t>
      </w:r>
      <w:r w:rsidR="00594DFC">
        <w:rPr>
          <w:rFonts w:ascii="Times New Roman" w:hAnsi="Times New Roman" w:cs="Times New Roman"/>
        </w:rPr>
        <w:t>2</w:t>
      </w:r>
      <w:r w:rsidR="00594DFC">
        <w:rPr>
          <w:rFonts w:ascii="Times New Roman" w:hAnsi="Times New Roman" w:cs="Times New Roman"/>
        </w:rPr>
        <w:t>7</w:t>
      </w:r>
      <w:r w:rsidR="00594DFC">
        <w:rPr>
          <w:rFonts w:ascii="Times New Roman" w:hAnsi="Times New Roman" w:cs="Times New Roman"/>
        </w:rPr>
        <w:t>.06.2019.</w:t>
      </w: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I.3</w:t>
      </w:r>
      <w:r w:rsidRPr="00F730ED">
        <w:rPr>
          <w:rFonts w:ascii="Times New Roman" w:hAnsi="Times New Roman" w:cs="Times New Roman"/>
          <w:b/>
        </w:rPr>
        <w:tab/>
        <w:t>Právny dôvod na zostavenie účtovnej závierky: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0A0CFE" w:rsidP="00CD0101">
      <w:pPr>
        <w:pStyle w:val="Odsekzoznamu"/>
        <w:tabs>
          <w:tab w:val="left" w:pos="1604"/>
          <w:tab w:val="left" w:pos="2815"/>
        </w:tabs>
        <w:spacing w:after="0" w:line="276" w:lineRule="auto"/>
        <w:ind w:left="0"/>
        <w:jc w:val="both"/>
        <w:rPr>
          <w:rFonts w:ascii="Times New Roman" w:hAnsi="Times New Roman" w:cs="Times New Roman"/>
        </w:rPr>
      </w:pP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523526714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Riadna    </w:t>
      </w:r>
      <w:sdt>
        <w:sdtPr>
          <w:rPr>
            <w:rFonts w:ascii="Times New Roman" w:eastAsia="MS Gothic" w:hAnsi="Times New Roman" w:cs="Times New Roman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69383099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CD0101" w:rsidRPr="00F730ED">
            <w:rPr>
              <w:rFonts w:ascii="Segoe UI Symbol" w:eastAsia="MS Gothic" w:hAnsi="Segoe UI Symbol" w:cs="Segoe UI Symbol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="00CD0101"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Mimoriadna</w:t>
      </w: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pStyle w:val="Odsekzoznamu"/>
        <w:spacing w:after="0" w:line="276" w:lineRule="auto"/>
        <w:ind w:left="0"/>
        <w:jc w:val="both"/>
        <w:rPr>
          <w:rFonts w:ascii="Times New Roman" w:hAnsi="Times New Roman" w:cs="Times New Roman"/>
          <w:b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I.4 </w:t>
      </w:r>
      <w:r w:rsidRPr="00F730ED">
        <w:rPr>
          <w:rFonts w:ascii="Times New Roman" w:hAnsi="Times New Roman" w:cs="Times New Roman"/>
          <w:b/>
        </w:rPr>
        <w:tab/>
        <w:t>Informácie o skupine účtovných jednotiek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CC0138">
        <w:rPr>
          <w:rFonts w:ascii="Times New Roman" w:hAnsi="Times New Roman" w:cs="Times New Roman"/>
        </w:rPr>
        <w:t xml:space="preserve">             Nie je - nemá</w:t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  <w:b/>
        </w:rPr>
        <w:tab/>
      </w:r>
    </w:p>
    <w:p w:rsidR="00CD0101" w:rsidRDefault="00CD0101" w:rsidP="00CD0101">
      <w:pPr>
        <w:spacing w:after="0" w:line="276" w:lineRule="auto"/>
        <w:ind w:left="709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709" w:hanging="1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I.5 </w:t>
      </w:r>
      <w:r w:rsidRPr="00F730ED">
        <w:rPr>
          <w:rFonts w:ascii="Times New Roman" w:hAnsi="Times New Roman" w:cs="Times New Roman"/>
          <w:b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32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788"/>
      </w:tblGrid>
      <w:tr w:rsidR="00CD0101" w:rsidRPr="00F730ED" w:rsidTr="008C4389">
        <w:tc>
          <w:tcPr>
            <w:tcW w:w="4126" w:type="dxa"/>
            <w:tcBorders>
              <w:top w:val="single" w:sz="18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Názov položky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Bežné účtovné obdobie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</w:tcPr>
          <w:p w:rsidR="00CD0101" w:rsidRPr="00F730ED" w:rsidRDefault="00CD0101" w:rsidP="008C4389">
            <w:pPr>
              <w:spacing w:line="276" w:lineRule="auto"/>
              <w:jc w:val="center"/>
              <w:rPr>
                <w:rFonts w:ascii="Times New Roman" w:hAnsi="Times New Roman" w:cs="Times New Roman"/>
                <w:b/>
              </w:rPr>
            </w:pPr>
            <w:r w:rsidRPr="00F730ED">
              <w:rPr>
                <w:rFonts w:ascii="Times New Roman" w:hAnsi="Times New Roman" w:cs="Times New Roman"/>
                <w:b/>
              </w:rPr>
              <w:t>Bezprostredne predchádzajúce účtovné obdobie</w:t>
            </w:r>
          </w:p>
        </w:tc>
      </w:tr>
      <w:tr w:rsidR="00CD0101" w:rsidRPr="00F730ED" w:rsidTr="008C4389">
        <w:trPr>
          <w:trHeight w:val="454"/>
        </w:trPr>
        <w:tc>
          <w:tcPr>
            <w:tcW w:w="4126" w:type="dxa"/>
            <w:tcBorders>
              <w:top w:val="single" w:sz="18" w:space="0" w:color="auto"/>
              <w:right w:val="single" w:sz="12" w:space="0" w:color="auto"/>
            </w:tcBorders>
          </w:tcPr>
          <w:p w:rsidR="00CD0101" w:rsidRPr="00F730ED" w:rsidRDefault="00CD0101" w:rsidP="008C4389">
            <w:pPr>
              <w:spacing w:line="276" w:lineRule="auto"/>
              <w:rPr>
                <w:rFonts w:ascii="Times New Roman" w:hAnsi="Times New Roman" w:cs="Times New Roman"/>
              </w:rPr>
            </w:pPr>
            <w:r w:rsidRPr="00F730ED">
              <w:rPr>
                <w:rFonts w:ascii="Times New Roman" w:hAnsi="Times New Roman" w:cs="Times New Roman"/>
              </w:rPr>
              <w:t>Priemerný prepočítaný počet zamestnancov počas účtovného obdobia</w:t>
            </w:r>
          </w:p>
        </w:tc>
        <w:tc>
          <w:tcPr>
            <w:tcW w:w="2410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  <w:right w:val="single" w:sz="12" w:space="0" w:color="auto"/>
            </w:tcBorders>
            <w:vAlign w:val="center"/>
          </w:tcPr>
          <w:p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  <w:tc>
          <w:tcPr>
            <w:tcW w:w="2788" w:type="dxa"/>
            <w:tcBorders>
              <w:top w:val="single" w:sz="18" w:space="0" w:color="auto"/>
              <w:left w:val="single" w:sz="12" w:space="0" w:color="auto"/>
              <w:bottom w:val="single" w:sz="18" w:space="0" w:color="auto"/>
            </w:tcBorders>
            <w:vAlign w:val="center"/>
          </w:tcPr>
          <w:p w:rsidR="00CD0101" w:rsidRPr="00F730ED" w:rsidRDefault="006961A0" w:rsidP="008C4389">
            <w:pPr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0</w:t>
            </w:r>
          </w:p>
        </w:tc>
      </w:tr>
    </w:tbl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ind w:left="1418" w:hanging="709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orgánoch spoločnosti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Členom štatutárneho orgánu, ani členom dozorných orgánov  neboli v roku 201</w:t>
      </w:r>
      <w:r w:rsidR="00594DFC">
        <w:rPr>
          <w:rFonts w:ascii="Times New Roman" w:hAnsi="Times New Roman" w:cs="Times New Roman"/>
        </w:rPr>
        <w:t>9</w:t>
      </w:r>
      <w:r w:rsidRPr="00F730ED">
        <w:rPr>
          <w:rFonts w:ascii="Times New Roman" w:hAnsi="Times New Roman" w:cs="Times New Roman"/>
        </w:rPr>
        <w:t xml:space="preserve"> poskytnuté žiadne pôžičky, záruky alebo iné formy zabezpečenia, ani finančné prostriedky alebo iné plnenia na súkromné účely členov, ktoré sa vyúčtovávajú (v roku 20</w:t>
      </w:r>
      <w:r>
        <w:rPr>
          <w:rFonts w:ascii="Times New Roman" w:hAnsi="Times New Roman" w:cs="Times New Roman"/>
        </w:rPr>
        <w:t>1</w:t>
      </w:r>
      <w:r w:rsidR="00594DFC">
        <w:rPr>
          <w:rFonts w:ascii="Times New Roman" w:hAnsi="Times New Roman" w:cs="Times New Roman"/>
        </w:rPr>
        <w:t>8</w:t>
      </w:r>
      <w:r w:rsidRPr="00F730ED">
        <w:rPr>
          <w:rFonts w:ascii="Times New Roman" w:hAnsi="Times New Roman" w:cs="Times New Roman"/>
        </w:rPr>
        <w:t>: žiadne).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lastRenderedPageBreak/>
        <w:t>Čl. III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prijatých postupoch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>III. 1</w:t>
      </w:r>
      <w:r w:rsidRPr="00F730ED">
        <w:rPr>
          <w:rFonts w:ascii="Times New Roman" w:hAnsi="Times New Roman" w:cs="Times New Roman"/>
          <w:b/>
        </w:rPr>
        <w:tab/>
        <w:t>Účtovná jednotka bude nepretržite pokračovať vo svojej činnosti: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hAnsi="Times New Roman" w:cs="Times New Roman"/>
          <w:b/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áno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F730ED">
            <w:rPr>
              <w:rFonts w:ascii="Segoe UI Symbol" w:eastAsia="MS Gothic" w:hAnsi="Segoe UI Symbol" w:cs="Segoe UI Symbol"/>
              <w:b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:rsidR="00CD0101" w:rsidRPr="00F730ED" w:rsidRDefault="00CD0101" w:rsidP="00CD0101">
      <w:pPr>
        <w:spacing w:after="0" w:line="276" w:lineRule="auto"/>
        <w:ind w:left="708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Účtovná závierka bola zostavená za predpokladu nepretržitého trvania Spoločnosti (</w:t>
      </w:r>
      <w:proofErr w:type="spellStart"/>
      <w:r w:rsidRPr="00F730ED">
        <w:rPr>
          <w:rFonts w:ascii="Times New Roman" w:hAnsi="Times New Roman" w:cs="Times New Roman"/>
        </w:rPr>
        <w:t>going</w:t>
      </w:r>
      <w:proofErr w:type="spellEnd"/>
      <w:r w:rsidRPr="00F730ED">
        <w:rPr>
          <w:rFonts w:ascii="Times New Roman" w:hAnsi="Times New Roman" w:cs="Times New Roman"/>
        </w:rPr>
        <w:t xml:space="preserve"> </w:t>
      </w:r>
      <w:proofErr w:type="spellStart"/>
      <w:r w:rsidRPr="00F730ED">
        <w:rPr>
          <w:rFonts w:ascii="Times New Roman" w:hAnsi="Times New Roman" w:cs="Times New Roman"/>
        </w:rPr>
        <w:t>concern</w:t>
      </w:r>
      <w:proofErr w:type="spellEnd"/>
      <w:r w:rsidRPr="00F730ED">
        <w:rPr>
          <w:rFonts w:ascii="Times New Roman" w:hAnsi="Times New Roman" w:cs="Times New Roman"/>
        </w:rPr>
        <w:t>). Účtovné metódy a všeobecné účtovné zásady boli účtovnou jednotkou konzistentne aplikované.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</w:rPr>
      </w:pPr>
      <w:r w:rsidRPr="00F730ED">
        <w:rPr>
          <w:rFonts w:ascii="Times New Roman" w:hAnsi="Times New Roman" w:cs="Times New Roman"/>
          <w:b/>
        </w:rPr>
        <w:t xml:space="preserve">III. 2  </w:t>
      </w:r>
      <w:r w:rsidRPr="00F730ED">
        <w:rPr>
          <w:rFonts w:ascii="Times New Roman" w:hAnsi="Times New Roman" w:cs="Times New Roman"/>
          <w:b/>
        </w:rPr>
        <w:tab/>
        <w:t>Dlhodobý nehmotný majetok a dlhodobý hmotný majetok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nakupovaný sa oceňuje obstarávacou cenou, ktorá zahŕňa cenu obstarania a náklady súvisiace s obstaraním (clo, prepravu, montáž, poistné a pod.).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Súčasťou obstarávacej ceny dlhodobého hmotného a nehmotného majetku nie sú úroky z cudzích zdrojov ani realizované kurzové rozdiely, ktoré vznikli do momentu uvedenia dlhodobého majetku do používania.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Dlhodobý majetok vytvorený vlastnou činnosťou sa oceňuje vlastnými nákladmi. Vlastnými nákladmi sú všetky priame náklady vynaložené na výrobu alebo inú činnosť a nepriame náklady, ktoré sa vzťahujú na výrobu alebo inú činnosť.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Odpisy dlhodobého nehmotného majetku sú stanovené vychádzajúc z predpokladanej doby jeho používania a predpokladaného priebehu jeho opotrebenia. Odpisovať sa začína prvým dňom mesiaca nasledujúceho po uvedení dlhodobého majetku do používania. Drobný dlhodobý nehmotný majetok, ktorého obstarávacia cena (resp. vlastné náklady) je 2 400 EUR a nižšia, sa odpisuje jednorazovo pri uvedení do používania. 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Odpisy dlhodobého hmotného majetku sú stanovené vychádzajúc z predpokladanej doby jeho používania a predpokladaného priebehu jeho opotrebenia. Odpisovať sa začína prvým dňom mesiaca nasledujúceho po uvedení dlhodobého majetku do používania. Drobný dlhodobý hmotný majetok, ktorého obstarávacia cena (resp. vlastné náklady) je 1 700 EUR a nižšia, sa odpisuje jednorazovo pri uvedení do používania. Pozemky sa neodpisujú. Predpokladaná doba používania, metóda odpisovania a odpisová sadzba sú uvedené v nasledujúcej tabuľke: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tbl>
      <w:tblPr>
        <w:tblW w:w="0" w:type="auto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2269"/>
      </w:tblGrid>
      <w:tr w:rsidR="00CD0101" w:rsidRPr="00F730ED" w:rsidTr="008C4389">
        <w:trPr>
          <w:trHeight w:val="250"/>
        </w:trPr>
        <w:tc>
          <w:tcPr>
            <w:tcW w:w="3118" w:type="dxa"/>
            <w:gridSpan w:val="2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Predpokladaná</w:t>
            </w:r>
          </w:p>
        </w:tc>
        <w:tc>
          <w:tcPr>
            <w:tcW w:w="14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Metóda</w:t>
            </w:r>
          </w:p>
        </w:tc>
        <w:tc>
          <w:tcPr>
            <w:tcW w:w="142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Ročná odpisová</w:t>
            </w:r>
          </w:p>
        </w:tc>
      </w:tr>
      <w:tr w:rsidR="00CD0101" w:rsidRPr="00F730ED" w:rsidTr="008C4389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doba 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bottom w:val="single" w:sz="4" w:space="0" w:color="auto"/>
            </w:tcBorders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sadzba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Stavby</w:t>
            </w:r>
            <w:r>
              <w:rPr>
                <w:color w:val="auto"/>
                <w:sz w:val="22"/>
                <w:szCs w:val="22"/>
              </w:rPr>
              <w:t xml:space="preserve"> - vlastné</w:t>
            </w:r>
          </w:p>
        </w:tc>
        <w:tc>
          <w:tcPr>
            <w:tcW w:w="1985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60</w:t>
            </w:r>
          </w:p>
        </w:tc>
        <w:tc>
          <w:tcPr>
            <w:tcW w:w="14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tcBorders>
              <w:top w:val="single" w:sz="4" w:space="0" w:color="auto"/>
            </w:tcBorders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1,6667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Stavby - prenajaté a ich technické zhodnotenie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20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>
              <w:rPr>
                <w:color w:val="auto"/>
                <w:sz w:val="22"/>
                <w:szCs w:val="22"/>
              </w:rPr>
              <w:t>5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Stroje, prístroje a zariadenia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6 až 12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16,6 až 8,3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Dopravné prostriedky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4 až 6</w:t>
            </w: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lineárna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25 až 16,6</w:t>
            </w:r>
          </w:p>
        </w:tc>
      </w:tr>
      <w:tr w:rsidR="00CD0101" w:rsidRPr="00F730ED" w:rsidTr="008C4389">
        <w:trPr>
          <w:trHeight w:val="250"/>
        </w:trPr>
        <w:tc>
          <w:tcPr>
            <w:tcW w:w="3118" w:type="dxa"/>
            <w:gridSpan w:val="2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Drobný dlhodobý hmotný majetok</w:t>
            </w:r>
          </w:p>
        </w:tc>
        <w:tc>
          <w:tcPr>
            <w:tcW w:w="1985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4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jednorazový odpis</w:t>
            </w:r>
          </w:p>
        </w:tc>
        <w:tc>
          <w:tcPr>
            <w:tcW w:w="142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</w:p>
        </w:tc>
        <w:tc>
          <w:tcPr>
            <w:tcW w:w="2269" w:type="dxa"/>
            <w:vAlign w:val="center"/>
          </w:tcPr>
          <w:p w:rsidR="00CD0101" w:rsidRPr="00F730ED" w:rsidRDefault="00CD0101" w:rsidP="008C4389">
            <w:pPr>
              <w:pStyle w:val="Tabulka"/>
              <w:spacing w:line="276" w:lineRule="auto"/>
              <w:jc w:val="center"/>
              <w:rPr>
                <w:color w:val="auto"/>
                <w:sz w:val="22"/>
                <w:szCs w:val="22"/>
              </w:rPr>
            </w:pPr>
            <w:r w:rsidRPr="00F730ED">
              <w:rPr>
                <w:color w:val="auto"/>
                <w:sz w:val="22"/>
                <w:szCs w:val="22"/>
              </w:rPr>
              <w:t>100</w:t>
            </w:r>
          </w:p>
        </w:tc>
      </w:tr>
    </w:tbl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ab/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Metódy odpisovania, doby použiteľnosti a zostatkové hodnoty sa prehodnocujú ku dňu, ku ktorému sa zostavuje účtovná závierka, a ak je potrebné urobia sa úpravy.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  <w:b/>
          <w:i/>
        </w:rPr>
      </w:pPr>
      <w:r w:rsidRPr="00F730ED">
        <w:rPr>
          <w:rFonts w:ascii="Times New Roman" w:hAnsi="Times New Roman" w:cs="Times New Roman"/>
          <w:b/>
          <w:i/>
        </w:rPr>
        <w:t>Posúdenie zníženia hodnoty majetku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Opravné položky sa tvoria na základe zásady opatrnosti, ak je opodstatnené predpokladať, že došlo k zníženiu hodnoty majetku oproti jeho oceneniu v účtovníctve. Opravná položka sa účtuje v sume opodstatneného predpokladu zníženia hodnoty majetku oproti jeho oceneniu v účtovníctve.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 xml:space="preserve">Faktory, ktoré sú považované za dôležité pri  posudzovaní zníženia hodnoty majetku sú: 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technologický pokrok,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významne nedostatočné prevádzkové výsledky v porovnaní s historickými alebo plánovanými prevádzkovými výsledkami,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  <w:t>významné zmeny v spôsobe použitia majetku Spoločnosti alebo celkovej zmeny stratégie Spoločnosti,</w:t>
      </w:r>
    </w:p>
    <w:p w:rsidR="00CD0101" w:rsidRPr="00F730ED" w:rsidRDefault="00CD0101" w:rsidP="00CD0101">
      <w:pPr>
        <w:tabs>
          <w:tab w:val="left" w:pos="426"/>
        </w:tabs>
        <w:spacing w:after="0" w:line="276" w:lineRule="auto"/>
        <w:ind w:left="426" w:hanging="426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•</w:t>
      </w:r>
      <w:r w:rsidRPr="00F730ED">
        <w:rPr>
          <w:rFonts w:ascii="Times New Roman" w:hAnsi="Times New Roman" w:cs="Times New Roman"/>
        </w:rPr>
        <w:tab/>
      </w:r>
      <w:proofErr w:type="spellStart"/>
      <w:r w:rsidRPr="00F730ED">
        <w:rPr>
          <w:rFonts w:ascii="Times New Roman" w:hAnsi="Times New Roman" w:cs="Times New Roman"/>
        </w:rPr>
        <w:t>zastaralosť</w:t>
      </w:r>
      <w:proofErr w:type="spellEnd"/>
      <w:r w:rsidRPr="00F730ED">
        <w:rPr>
          <w:rFonts w:ascii="Times New Roman" w:hAnsi="Times New Roman" w:cs="Times New Roman"/>
        </w:rPr>
        <w:t xml:space="preserve"> produktov.</w:t>
      </w: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tabs>
          <w:tab w:val="left" w:pos="709"/>
        </w:tabs>
        <w:spacing w:after="0" w:line="276" w:lineRule="auto"/>
        <w:jc w:val="both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t>Ak Spoločnosť zistí, že na základe existencie jedného alebo viacerých indikátorov zníženia hodnoty majetku možno predpokladať, že došlo k zníženiu hodnoty majetku oproti jeho oceneniu v účtovníctve, vypočíta zníženie hodnoty majetku na základe odhadov projektovaných čistých diskontovaných peňažných tokov, ktoré sa očakávajú z daného majetku, vrátane jeho prípadného predaja. Odhadované zníženie hodnoty by sa mohlo preukázať ako nedostatočné, ak by analýzy nadhodnotili peňažné toky alebo ak sa zmenia podmienky.</w:t>
      </w: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hAnsi="Times New Roman" w:cs="Times New Roman"/>
        </w:rPr>
      </w:pPr>
    </w:p>
    <w:p w:rsidR="00CD0101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2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Dotácie poskytnuté na obstaranie majetku:</w:t>
      </w:r>
    </w:p>
    <w:p w:rsidR="00CD0101" w:rsidRPr="00CC0138" w:rsidRDefault="00CD0101" w:rsidP="00CD0101">
      <w:pPr>
        <w:pStyle w:val="Odsekzoznamu"/>
        <w:numPr>
          <w:ilvl w:val="0"/>
          <w:numId w:val="1"/>
        </w:num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žiadne</w:t>
      </w:r>
    </w:p>
    <w:p w:rsidR="00CD0101" w:rsidRPr="00F730ED" w:rsidRDefault="00CD0101" w:rsidP="00CD0101">
      <w:pPr>
        <w:spacing w:after="0" w:line="276" w:lineRule="auto"/>
        <w:ind w:left="992" w:hanging="992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Pohľadávky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Pohľadávky pri ich vzniku sa oceňujú ich menovitou hodnotou; postúpené pohľadávky a pohľadávky nadobudnuté vkladom do základného imania sa oceňujú obstarávacou cenou vrátane nákladov súvisiacich s obstaraním. Toto ocenenie sa znižuje o pochybné a nevymožiteľné pohľadávky.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 4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Finančné účty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Finančné účty tvorí peňažná hotovosť, ceniny, zostatky na bankových účtoch a oceňujú sa menovitou hodnotou. Zníženie ich hodnoty sa vyjadruje opravnou položkou.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III.5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Náklady budúcich období a príjmy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Náklady budúcich období a príjmy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III.6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Rezervy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Rezerva je záväzok predstavujúci existujúcu povinnosť Spoločnosti, ktorá vznikla z minulých udalostí a je pravdepodobné, že v budúcnosti zníži jej ekonomické úžitky. Rezervy sú záväzky s neurčitým časovým vymedzením alebo výškou a oceňujú sa odhadom v sume potrebnej na splnenie existujúcej povinnosti ku dňu, ku ktorému sa zostavuje účtovná závierka.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Tvorba rezervy sa účtuje na vecne príslušný nákladový alebo majetkový účet, ku ktorému záväzok prislúcha. Použitie rezervy sa účtuje na ťarchu vecne príslušného účtu rezerv so súvzťažným zápisom v prospech vecne príslušného účtu záväzkov. Rozpustenie nepotrebnej rezervy alebo jej časti sa účtuje opačným účtovným zápisom ako sa účtovala tvorba rezervy.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lastRenderedPageBreak/>
        <w:t xml:space="preserve">Tvorba rezervy na bonusy, rabaty, skontá a vrátenie kúpnej ceny pri reklamácii sa účtuje ako zníženie pôvodne dosiahnutých výnosov so súvzťažným zápisom v prospech účtu rezerv.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Rezervy na nevyfakturované dodávky majetku sa nevykazujú s vplyvom na výsledok hospodárenia a oceňujú sa v odhadovanej výške záväzku.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III.7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Záväzky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III.8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Výdavky budúcich období a výnosy budúcich období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Výdavky budúcich období a výnosy budúcich období sa vykazujú vo výške, ktorá je potrebná na dodržanie zásady vecnej a časovej súvislosti s účtovným obdobím.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9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Výnosy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za vlastné výkony a tovar neobsahujú daň z pridanej hodnoty. Sú tiež znížené o zľavy a zrážky (rabaty, bonusy, skontá, dobropisy a pod.), bez ohľadu na to, či zákazník mal vopred na zľavu nárok, alebo či ide o dodatočne uznanú zľavu.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Tržby z predaja výrobkov a tovaru sa vykazujú v deň splnenia dodávky podľa Obchodného zákonníka, podľa </w:t>
      </w:r>
      <w:proofErr w:type="spellStart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Incoterms</w:t>
      </w:r>
      <w:proofErr w:type="spellEnd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alebo iných podmienok dohodnutých v zmluve.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Tržby z predaja služieb sa vykazujú v účtovnom období, v ktorom boli služby poskytnuté.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Výnosové úroky sa účtujú rovnomerne v účtovných obdobiach, ktorých sa vecne a časovo týkajú / na základe časového rozlíšenia metódou efektívnej úrokovej miery.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Výnosy z dividend sa zaúčtujú v čase vzniku práva Spoločnosti na prijatie platby.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III. 10 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Porovnateľné údaje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Ak v dôsledku zmeny účtovných metód a účtovných zásad nie sú hodnoty za bezprostredne predchádzajúce účtovné obdobie v jednotlivých súčastiach účtovnej závierky porovnateľné, uvádza sa vysvetlenie o neporovnateľných hodnotách v poznámkach. 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 dôsledku zmeny zákona o dani z príjmov je rezerva na overenie účtovnej závierky a zostavenie daňového priznania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8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vykázaná ako krátkodobá ostatná rezerva, k 31. decembru 201</w:t>
      </w:r>
      <w:r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7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ako krátkodobá zákonná rezerva.</w:t>
      </w:r>
    </w:p>
    <w:p w:rsidR="00CD0101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center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2" w:hanging="992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IV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Informácie, ktoré vysvetľujú a dopĺňajú položky súvahy a výkazu ziskov a strát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IV. 1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 záväzkoch </w:t>
      </w:r>
    </w:p>
    <w:p w:rsidR="00CD0101" w:rsidRDefault="00CD0101" w:rsidP="00CD0101">
      <w:pPr>
        <w:pStyle w:val="Zkladntext"/>
        <w:ind w:left="0"/>
        <w:rPr>
          <w:sz w:val="22"/>
          <w:szCs w:val="22"/>
        </w:rPr>
      </w:pPr>
    </w:p>
    <w:p w:rsidR="00CD0101" w:rsidRPr="00F730ED" w:rsidRDefault="00CD0101" w:rsidP="00CD0101">
      <w:pPr>
        <w:pStyle w:val="Zkladntext"/>
        <w:ind w:left="0"/>
        <w:rPr>
          <w:sz w:val="22"/>
          <w:szCs w:val="22"/>
        </w:rPr>
      </w:pPr>
      <w:r w:rsidRPr="00F730ED">
        <w:rPr>
          <w:sz w:val="22"/>
          <w:szCs w:val="22"/>
        </w:rPr>
        <w:lastRenderedPageBreak/>
        <w:t>Štruktúra záväzkov (okrem záväzkov zo sociálneho fondu a odloženého daňového záväzku) podľa zostatkovej doby splatnosti je uvedená v nasledujúcom prehľade:</w:t>
      </w:r>
    </w:p>
    <w:p w:rsidR="00CD0101" w:rsidRPr="00F730ED" w:rsidRDefault="00CD0101" w:rsidP="00CD0101">
      <w:pPr>
        <w:pStyle w:val="Zkladntext"/>
        <w:rPr>
          <w:sz w:val="22"/>
          <w:szCs w:val="22"/>
        </w:rPr>
      </w:pPr>
    </w:p>
    <w:bookmarkStart w:id="0" w:name="_MON_1450595791"/>
    <w:bookmarkEnd w:id="0"/>
    <w:p w:rsidR="00CD0101" w:rsidRPr="00F730ED" w:rsidRDefault="00594DFC" w:rsidP="00CD0101">
      <w:pPr>
        <w:ind w:left="426"/>
        <w:rPr>
          <w:rFonts w:ascii="Times New Roman" w:hAnsi="Times New Roman" w:cs="Times New Roman"/>
        </w:rPr>
      </w:pPr>
      <w:r w:rsidRPr="00F730ED">
        <w:rPr>
          <w:rFonts w:ascii="Times New Roman" w:hAnsi="Times New Roman" w:cs="Times New Roman"/>
        </w:rPr>
        <w:object w:dxaOrig="8972" w:dyaOrig="2357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9" type="#_x0000_t75" style="width:440.25pt;height:129pt" o:ole="" o:preferrelative="f">
            <v:imagedata r:id="rId7" o:title=""/>
            <o:lock v:ext="edit" aspectratio="f"/>
          </v:shape>
          <o:OLEObject Type="Embed" ProgID="Excel.Sheet.12" ShapeID="_x0000_i1029" DrawAspect="Content" ObjectID="_1655020808" r:id="rId8"/>
        </w:object>
      </w:r>
    </w:p>
    <w:p w:rsidR="00CD0101" w:rsidRPr="00F730ED" w:rsidRDefault="00CD0101" w:rsidP="00A910FC">
      <w:pPr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Informácie o iných aktívach a iných pasívach</w:t>
      </w: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a)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podmienenom majetku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neeviduje podmienený majetok.</w:t>
      </w: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1 b)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podmienených záväzkoch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Vzhľadom na to, že mnohé oblasti slovenského daňového práva doteraz neboli dostatočne overené praxou, existuje neistota v tom, ako ich budú daňové orgány aplikovať. Mieru tejto neistoty nie je možné kvantifikovať a zanikne až potom, keď budú k dispozícii právne precedensy, prípadne oficiálne interpretácie príslušných orgánov. Vedenie Spoločnosti si nie je vedomé žiadnych okolností, v dôsledku ktorých by jej vznikol významný náklad.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V. 3</w:t>
      </w: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údajoch na podsúvahových účtoch</w:t>
      </w:r>
    </w:p>
    <w:p w:rsidR="00CD0101" w:rsidRPr="00CC0138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C0138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                 - žiadne</w:t>
      </w: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:b/>
          <w:color w:val="4472C4" w:themeColor="accent1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:rsidR="00CD0101" w:rsidRPr="00F730ED" w:rsidRDefault="00CD0101" w:rsidP="00CD0101">
      <w:pPr>
        <w:spacing w:after="0" w:line="276" w:lineRule="auto"/>
        <w:ind w:left="993" w:hanging="993"/>
        <w:rPr>
          <w:rFonts w:ascii="Times New Roman" w:hAnsi="Times New Roman" w:cs="Times New Roman"/>
          <w:b/>
          <w:color w:val="4472C4" w:themeColor="accent1"/>
        </w:rPr>
      </w:pPr>
      <w:r w:rsidRPr="00F730ED">
        <w:rPr>
          <w:rFonts w:ascii="Times New Roman" w:hAnsi="Times New Roman" w:cs="Times New Roman"/>
          <w:b/>
          <w:color w:val="4472C4" w:themeColor="accent1"/>
        </w:rPr>
        <w:t>Čl. VI</w:t>
      </w:r>
      <w:r w:rsidRPr="00F730ED">
        <w:rPr>
          <w:rFonts w:ascii="Times New Roman" w:hAnsi="Times New Roman" w:cs="Times New Roman"/>
          <w:b/>
          <w:color w:val="4472C4" w:themeColor="accent1"/>
        </w:rPr>
        <w:tab/>
        <w:t> Udalosti, ktoré nastali po dni, ku ktorému sa zostavuje účtovná závierka</w:t>
      </w:r>
    </w:p>
    <w:p w:rsidR="00CD0101" w:rsidRPr="00F730ED" w:rsidRDefault="00CD0101" w:rsidP="00CD0101">
      <w:pPr>
        <w:spacing w:after="0" w:line="276" w:lineRule="auto"/>
        <w:ind w:left="1134" w:hanging="1134"/>
        <w:jc w:val="both"/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:b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VI. a) – j)   Udalosti, ktoré nastali po dni, ku ktorému sa zostavuje účtovná závierka</w:t>
      </w:r>
    </w:p>
    <w:p w:rsidR="00CD0101" w:rsidRPr="00F730ED" w:rsidRDefault="00CD0101" w:rsidP="00CD0101">
      <w:pPr>
        <w:tabs>
          <w:tab w:val="left" w:pos="3150"/>
        </w:tabs>
        <w:spacing w:after="0" w:line="276" w:lineRule="auto"/>
        <w:rPr>
          <w:rFonts w:ascii="Times New Roman" w:eastAsia="MS Gothic" w:hAnsi="Times New Roman" w:cs="Times New Roman"/>
        </w:rPr>
      </w:pPr>
    </w:p>
    <w:p w:rsidR="00CD0101" w:rsidRPr="00F730ED" w:rsidRDefault="00CD0101" w:rsidP="00CD0101">
      <w:pPr>
        <w:spacing w:after="0" w:line="276" w:lineRule="auto"/>
        <w:jc w:val="both"/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Spoločnosť neidentifikovala žiadne skutočnosti medzi dňom, ku ktorému sa účtovná závierka zostavuje a dňom zostavenia účtovnej závierky, ktoré by mali významný vplyv na výsledok hospodárenia Spoločnosti prípadne na celkovú finančnú situáciu Spoločnosti za obdobie od 1. januára 201</w:t>
      </w:r>
      <w:r w:rsidR="00594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do 31. decembra 201</w:t>
      </w:r>
      <w:r w:rsidR="00594DFC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9</w:t>
      </w:r>
      <w:bookmarkStart w:id="1" w:name="_GoBack"/>
      <w:bookmarkEnd w:id="1"/>
      <w:r w:rsidRPr="00F730ED">
        <w:rPr>
          <w:rFonts w:ascii="Times New Roman" w:eastAsia="MS Gothic" w:hAnsi="Times New Roman" w:cs="Times New Roman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:rsidR="00726BBB" w:rsidRDefault="00726BBB"/>
    <w:sectPr w:rsidR="00726BBB" w:rsidSect="00FB3281">
      <w:headerReference w:type="default" r:id="rId9"/>
      <w:footerReference w:type="default" r:id="rId10"/>
      <w:pgSz w:w="11906" w:h="16838"/>
      <w:pgMar w:top="1417" w:right="1133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0A0CFE" w:rsidRDefault="000A0CFE">
      <w:pPr>
        <w:spacing w:after="0" w:line="240" w:lineRule="auto"/>
      </w:pPr>
      <w:r>
        <w:separator/>
      </w:r>
    </w:p>
  </w:endnote>
  <w:endnote w:type="continuationSeparator" w:id="0">
    <w:p w:rsidR="000A0CFE" w:rsidRDefault="000A0CF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06F" w:usb1="1200FBEF" w:usb2="0064C000" w:usb3="00000000" w:csb0="00000001" w:csb1="00000000"/>
  </w:font>
  <w:font w:name="Calibri Light">
    <w:panose1 w:val="020F0302020204030204"/>
    <w:charset w:val="EE"/>
    <w:family w:val="swiss"/>
    <w:pitch w:val="variable"/>
    <w:sig w:usb0="A00002EF" w:usb1="4000207B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B8325F" w:rsidRPr="00F17E37" w:rsidRDefault="00993620" w:rsidP="00195651">
    <w:pPr>
      <w:pStyle w:val="Pta"/>
      <w:jc w:val="center"/>
      <w:rPr>
        <w:rFonts w:ascii="Times New Roman" w:hAnsi="Times New Roman" w:cs="Times New Roman"/>
        <w:color w:val="808080" w:themeColor="background1" w:themeShade="80"/>
        <w:sz w:val="16"/>
        <w:szCs w:val="16"/>
      </w:rPr>
    </w:pP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Strana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PAGE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5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  <w:r w:rsidRPr="00F17E37">
      <w:rPr>
        <w:rFonts w:ascii="Times New Roman" w:hAnsi="Times New Roman" w:cs="Times New Roman"/>
        <w:color w:val="808080" w:themeColor="background1" w:themeShade="80"/>
        <w:sz w:val="16"/>
        <w:szCs w:val="16"/>
      </w:rPr>
      <w:t xml:space="preserve"> z 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begin"/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instrText>NUMPAGES  \* Arabic  \* MERGEFORMAT</w:instrTex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separate"/>
    </w:r>
    <w:r>
      <w:rPr>
        <w:rFonts w:ascii="Times New Roman" w:hAnsi="Times New Roman" w:cs="Times New Roman"/>
        <w:b/>
        <w:bCs/>
        <w:noProof/>
        <w:color w:val="808080" w:themeColor="background1" w:themeShade="80"/>
        <w:sz w:val="16"/>
        <w:szCs w:val="16"/>
      </w:rPr>
      <w:t>6</w:t>
    </w:r>
    <w:r w:rsidRPr="00F17E37">
      <w:rPr>
        <w:rFonts w:ascii="Times New Roman" w:hAnsi="Times New Roman" w:cs="Times New Roman"/>
        <w:b/>
        <w:bCs/>
        <w:color w:val="808080" w:themeColor="background1" w:themeShade="80"/>
        <w:sz w:val="16"/>
        <w:szCs w:val="16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0A0CFE" w:rsidRDefault="000A0CFE">
      <w:pPr>
        <w:spacing w:after="0" w:line="240" w:lineRule="auto"/>
      </w:pPr>
      <w:r>
        <w:separator/>
      </w:r>
    </w:p>
  </w:footnote>
  <w:footnote w:type="continuationSeparator" w:id="0">
    <w:p w:rsidR="000A0CFE" w:rsidRDefault="000A0CF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9614" w:type="dxa"/>
      <w:tblLayout w:type="fixed"/>
      <w:tblLook w:val="04A0" w:firstRow="1" w:lastRow="0" w:firstColumn="1" w:lastColumn="0" w:noHBand="0" w:noVBand="1"/>
    </w:tblPr>
    <w:tblGrid>
      <w:gridCol w:w="2694"/>
      <w:gridCol w:w="708"/>
      <w:gridCol w:w="297"/>
      <w:gridCol w:w="297"/>
      <w:gridCol w:w="297"/>
      <w:gridCol w:w="297"/>
      <w:gridCol w:w="297"/>
      <w:gridCol w:w="297"/>
      <w:gridCol w:w="297"/>
      <w:gridCol w:w="297"/>
      <w:gridCol w:w="866"/>
      <w:gridCol w:w="297"/>
      <w:gridCol w:w="297"/>
      <w:gridCol w:w="297"/>
      <w:gridCol w:w="297"/>
      <w:gridCol w:w="297"/>
      <w:gridCol w:w="297"/>
      <w:gridCol w:w="297"/>
      <w:gridCol w:w="297"/>
      <w:gridCol w:w="297"/>
      <w:gridCol w:w="297"/>
    </w:tblGrid>
    <w:tr w:rsidR="00B8325F" w:rsidTr="003B6528">
      <w:trPr>
        <w:trHeight w:val="138"/>
      </w:trPr>
      <w:tc>
        <w:tcPr>
          <w:tcW w:w="2694" w:type="dxa"/>
          <w:tcBorders>
            <w:top w:val="nil"/>
            <w:left w:val="nil"/>
            <w:bottom w:val="nil"/>
            <w:right w:val="nil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ind w:left="-108" w:right="-121"/>
            <w:rPr>
              <w:rFonts w:ascii="Times New Roman" w:hAnsi="Times New Roman" w:cs="Times New Roman"/>
              <w:szCs w:val="24"/>
            </w:rPr>
          </w:pPr>
          <w:r w:rsidRPr="0018540B">
            <w:rPr>
              <w:rFonts w:ascii="Times New Roman" w:hAnsi="Times New Roman" w:cs="Times New Roman"/>
              <w:szCs w:val="24"/>
            </w:rPr>
            <w:t>Poznámky Úč PODV 3 – 01</w:t>
          </w:r>
        </w:p>
      </w:tc>
      <w:tc>
        <w:tcPr>
          <w:tcW w:w="708" w:type="dxa"/>
          <w:tcBorders>
            <w:top w:val="nil"/>
            <w:left w:val="nil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IČO: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5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8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  <w:tcBorders>
            <w:righ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866" w:type="dxa"/>
          <w:tcBorders>
            <w:top w:val="nil"/>
            <w:left w:val="single" w:sz="4" w:space="0" w:color="auto"/>
            <w:bottom w:val="nil"/>
            <w:right w:val="single" w:sz="4" w:space="0" w:color="auto"/>
          </w:tcBorders>
        </w:tcPr>
        <w:p w:rsidR="00B8325F" w:rsidRPr="0018540B" w:rsidRDefault="00993620" w:rsidP="003B6528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 xml:space="preserve">  DIČ:</w:t>
          </w:r>
        </w:p>
      </w:tc>
      <w:tc>
        <w:tcPr>
          <w:tcW w:w="297" w:type="dxa"/>
          <w:tcBorders>
            <w:left w:val="single" w:sz="4" w:space="0" w:color="auto"/>
          </w:tcBorders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1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2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6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7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0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szCs w:val="24"/>
            </w:rPr>
          </w:pPr>
          <w:r>
            <w:rPr>
              <w:rFonts w:ascii="Times New Roman" w:hAnsi="Times New Roman" w:cs="Times New Roman"/>
              <w:szCs w:val="24"/>
            </w:rPr>
            <w:t>4</w:t>
          </w:r>
        </w:p>
      </w:tc>
      <w:tc>
        <w:tcPr>
          <w:tcW w:w="297" w:type="dxa"/>
        </w:tcPr>
        <w:p w:rsidR="00B8325F" w:rsidRPr="0018540B" w:rsidRDefault="006961A0" w:rsidP="0018540B">
          <w:pPr>
            <w:pStyle w:val="Hlavika"/>
            <w:tabs>
              <w:tab w:val="clear" w:pos="4536"/>
              <w:tab w:val="clear" w:pos="9072"/>
              <w:tab w:val="left" w:pos="5106"/>
            </w:tabs>
            <w:jc w:val="center"/>
            <w:rPr>
              <w:rFonts w:ascii="Times New Roman" w:hAnsi="Times New Roman" w:cs="Times New Roman"/>
              <w:position w:val="2"/>
              <w:szCs w:val="24"/>
            </w:rPr>
          </w:pPr>
          <w:r>
            <w:rPr>
              <w:rFonts w:ascii="Times New Roman" w:hAnsi="Times New Roman" w:cs="Times New Roman"/>
              <w:position w:val="2"/>
              <w:szCs w:val="24"/>
            </w:rPr>
            <w:t>6</w:t>
          </w:r>
        </w:p>
      </w:tc>
    </w:tr>
  </w:tbl>
  <w:p w:rsidR="00B8325F" w:rsidRPr="00CE03EC" w:rsidRDefault="000A0CFE" w:rsidP="00E84CA1">
    <w:pPr>
      <w:pStyle w:val="Hlavika"/>
      <w:tabs>
        <w:tab w:val="clear" w:pos="4536"/>
        <w:tab w:val="clear" w:pos="9072"/>
        <w:tab w:val="left" w:pos="5106"/>
      </w:tabs>
      <w:spacing w:before="80"/>
      <w:rPr>
        <w:rFonts w:ascii="Times New Roman" w:hAnsi="Times New Roman" w:cs="Times New Roman"/>
        <w:sz w:val="24"/>
        <w:szCs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7A7E0AB7"/>
    <w:multiLevelType w:val="hybridMultilevel"/>
    <w:tmpl w:val="72D865A6"/>
    <w:lvl w:ilvl="0" w:tplc="B76671AC">
      <w:start w:val="1"/>
      <w:numFmt w:val="bullet"/>
      <w:lvlText w:val="-"/>
      <w:lvlJc w:val="left"/>
      <w:pPr>
        <w:ind w:left="1068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D0101"/>
    <w:rsid w:val="000A0CFE"/>
    <w:rsid w:val="002D1E37"/>
    <w:rsid w:val="004405D3"/>
    <w:rsid w:val="004E2FB5"/>
    <w:rsid w:val="00594DFC"/>
    <w:rsid w:val="006961A0"/>
    <w:rsid w:val="00726BBB"/>
    <w:rsid w:val="008F2CC3"/>
    <w:rsid w:val="00993620"/>
    <w:rsid w:val="00A910FC"/>
    <w:rsid w:val="00BB6843"/>
    <w:rsid w:val="00C738C9"/>
    <w:rsid w:val="00CD01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E71487"/>
  <w15:chartTrackingRefBased/>
  <w15:docId w15:val="{1E98B808-7D31-40AB-8160-CFEF8BB48BB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D0101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D0101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D0101"/>
  </w:style>
  <w:style w:type="paragraph" w:styleId="Pta">
    <w:name w:val="footer"/>
    <w:basedOn w:val="Normlny"/>
    <w:link w:val="PtaChar"/>
    <w:uiPriority w:val="99"/>
    <w:unhideWhenUsed/>
    <w:rsid w:val="00CD0101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D0101"/>
  </w:style>
  <w:style w:type="table" w:styleId="Mriekatabuky">
    <w:name w:val="Table Grid"/>
    <w:basedOn w:val="Normlnatabuka"/>
    <w:uiPriority w:val="39"/>
    <w:rsid w:val="00CD010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ulka">
    <w:name w:val="Tabulka"/>
    <w:basedOn w:val="Normlny"/>
    <w:rsid w:val="00CD0101"/>
    <w:pPr>
      <w:spacing w:after="0" w:line="240" w:lineRule="auto"/>
    </w:pPr>
    <w:rPr>
      <w:rFonts w:ascii="Times New Roman" w:eastAsia="Times New Roman" w:hAnsi="Times New Roman" w:cs="Times New Roman"/>
      <w:color w:val="000000"/>
      <w:sz w:val="18"/>
      <w:szCs w:val="20"/>
    </w:rPr>
  </w:style>
  <w:style w:type="paragraph" w:styleId="Zkladntext">
    <w:name w:val="Body Text"/>
    <w:basedOn w:val="Normlny"/>
    <w:link w:val="ZkladntextChar"/>
    <w:rsid w:val="00CD0101"/>
    <w:pPr>
      <w:spacing w:after="0" w:line="240" w:lineRule="auto"/>
      <w:ind w:left="426"/>
      <w:jc w:val="both"/>
    </w:pPr>
    <w:rPr>
      <w:rFonts w:ascii="Times New Roman" w:eastAsia="Times New Roman" w:hAnsi="Times New Roman" w:cs="Times New Roman"/>
      <w:sz w:val="18"/>
      <w:szCs w:val="20"/>
    </w:rPr>
  </w:style>
  <w:style w:type="character" w:customStyle="1" w:styleId="ZkladntextChar">
    <w:name w:val="Základný text Char"/>
    <w:basedOn w:val="Predvolenpsmoodseku"/>
    <w:link w:val="Zkladntext"/>
    <w:rsid w:val="00CD0101"/>
    <w:rPr>
      <w:rFonts w:ascii="Times New Roman" w:eastAsia="Times New Roman" w:hAnsi="Times New Roman" w:cs="Times New Roman"/>
      <w:sz w:val="18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D1E37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D1E37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package" Target="embeddings/Microsoft_Excel_Worksheet.xlsx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1457</Words>
  <Characters>8309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9747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Milena Miklošíková</dc:creator>
  <cp:keywords/>
  <dc:description/>
  <cp:lastModifiedBy>Milena Miklošíková</cp:lastModifiedBy>
  <cp:revision>2</cp:revision>
  <cp:lastPrinted>2019-03-20T13:29:00Z</cp:lastPrinted>
  <dcterms:created xsi:type="dcterms:W3CDTF">2020-06-30T09:14:00Z</dcterms:created>
  <dcterms:modified xsi:type="dcterms:W3CDTF">2020-06-30T09:14:00Z</dcterms:modified>
</cp:coreProperties>
</file>