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Šaľa,s. r. 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Hlavná 20, 92700 Šaľa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51636620</w:t>
      </w:r>
      <w:bookmarkStart w:id="5" w:name="ICOSID_END"/>
      <w:bookmarkEnd w:id="5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4"/>
        </w:rPr>
        <w:t>zapísaná do obchodného registra dňa:   24.4.2018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 xml:space="preserve">Hlavné činnosti spoločnosti: 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  <w:szCs w:val="24"/>
        </w:rPr>
        <w:t>Sprostredkovanie predaja, prenájmu a kúpy nehnuteľností (realitná činnosť)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/>
      </w:pPr>
      <w:r>
        <w:rPr>
          <w:rFonts w:cs="Arial Narrow" w:ascii="Arial Narrow" w:hAnsi="Arial Narrow"/>
          <w:b w:val="false"/>
          <w:bCs w:val="false"/>
          <w:i/>
          <w:sz w:val="22"/>
          <w:szCs w:val="24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/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b/>
          <w:b/>
          <w:i/>
          <w:i/>
          <w:sz w:val="22"/>
          <w:szCs w:val="24"/>
        </w:rPr>
      </w:pPr>
      <w:r>
        <w:rPr/>
      </w:r>
    </w:p>
    <w:p>
      <w:pPr>
        <w:pStyle w:val="Normalpodnadpis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  <w:szCs w:val="24"/>
        </w:rPr>
        <w:t>(3) Priemerný prepočítaný počet zamestnancov</w:t>
      </w:r>
    </w:p>
    <w:p>
      <w:pPr>
        <w:pStyle w:val="Normalpodnadpis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  <w:szCs w:val="24"/>
        </w:rPr>
        <w:t>Tabuľka k zamestnancom</w:t>
      </w:r>
    </w:p>
    <w:tbl>
      <w:tblPr>
        <w:tblW w:w="9924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5"/>
        <w:gridCol w:w="2562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 účtovné obdobie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Priemerný prepočítaný počet zamestnancov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Počet vedúcich zamestnancov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  <w:szCs w:val="24"/>
        </w:rPr>
        <w:t>ČL. II  INFORMÁCIE O PRIJATÝCH POSTUPOCH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(1) Účtovná závierka je zostavená za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splnenia predpokladu, že účtovná jednotka bude nepretržite pokračovať vo svojej činnosti. 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(2) Spôsob oceňovania jednotlivých položiek majetku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záväzkov, a to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a) dlhodobého nehmotného majetku, dlhodobého hmotného majetku a dlhodobého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Obstarávacia cena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b) zásob obstaraných kúpou, zásob vytvorených vlastnou činnosťou,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Obstarávacia cena, vlastné náklady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c) pohľadávok,</w:t>
      </w:r>
    </w:p>
    <w:p>
      <w:pPr>
        <w:pStyle w:val="Normalpodnadpis"/>
        <w:bidi w:val="0"/>
        <w:spacing w:lineRule="auto" w:line="360" w:before="0" w:after="120"/>
        <w:ind w:left="360" w:right="0" w:hanging="0"/>
        <w:rPr/>
      </w:pPr>
      <w:r>
        <w:rPr>
          <w:sz w:val="22"/>
          <w:szCs w:val="24"/>
        </w:rPr>
        <w:t xml:space="preserve">    </w:t>
      </w:r>
      <w:r>
        <w:rPr>
          <w:sz w:val="22"/>
          <w:szCs w:val="24"/>
        </w:rPr>
        <w:t>Nominálna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d) krátkodobého finančného majetku,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e) záväzkov vrátane rezerv, dlhopisov, pôžičiek a úverov,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Menovitá hodnota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f) derivátových operácií</w:t>
      </w:r>
      <w:r>
        <w:rPr>
          <w:rFonts w:cs="Times New Roman"/>
          <w:sz w:val="22"/>
          <w:szCs w:val="24"/>
        </w:rPr>
        <w:t>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Reálna hodnota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(3) Spôsob zostavenia odpisového plánu pre jednotlivé druhy dlhodobého hmotného majetku 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dlhodobého nehmotného majetku, pričom sa uvádza doba odpisovania, použité sadzby odpisov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 xml:space="preserve">odpisové metódy pri určení odpisov. </w:t>
      </w:r>
    </w:p>
    <w:p>
      <w:pPr>
        <w:pStyle w:val="Normalpodnadpis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998" w:type="dxa"/>
        <w:jc w:val="left"/>
        <w:tblInd w:w="-10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6"/>
        <w:gridCol w:w="927"/>
        <w:gridCol w:w="1881"/>
        <w:gridCol w:w="1936"/>
        <w:gridCol w:w="1738"/>
      </w:tblGrid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Dlhodobý hmotný a nehmotný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číslo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účtu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Doba odpisovania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 xml:space="preserve">Ročná odpisová sadzba </w:t>
            </w:r>
          </w:p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(%)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4"/>
              </w:rPr>
              <w:t>Metóda odpisovania</w:t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  <w:szCs w:val="24"/>
              </w:rPr>
              <w:t>013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  <w:szCs w:val="24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sz w:val="22"/>
                <w:szCs w:val="24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cs="Times New Roman"/>
                <w:sz w:val="22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019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021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4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Počítače s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sz w:val="22"/>
                <w:szCs w:val="24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  <w:tr>
        <w:trPr/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  <w:szCs w:val="24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029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cs="Times New Roman"/>
                <w:sz w:val="22"/>
                <w:szCs w:val="24"/>
                <w:lang w:val="cs-CZ"/>
              </w:rPr>
            </w:pPr>
            <w:r>
              <w:rPr>
                <w:rFonts w:cs="Times New Roman"/>
                <w:sz w:val="22"/>
                <w:szCs w:val="24"/>
                <w:lang w:val="cs-CZ"/>
              </w:rPr>
            </w:r>
          </w:p>
        </w:tc>
      </w:tr>
    </w:tbl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K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žiadnym zmenám účtovných zásad a</w:t>
      </w:r>
      <w:r>
        <w:rPr>
          <w:rFonts w:cs="Times New Roman"/>
          <w:sz w:val="22"/>
          <w:szCs w:val="24"/>
        </w:rPr>
        <w:t> </w:t>
      </w:r>
      <w:r>
        <w:rPr>
          <w:sz w:val="22"/>
          <w:szCs w:val="24"/>
        </w:rPr>
        <w:t>účtovných metód nedošlo.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(5) Informácie o dotáciách a ich oceňovanie v účtovníctve.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 w:before="0" w:after="120"/>
        <w:ind w:left="0" w:right="0" w:hanging="0"/>
        <w:rPr>
          <w:rFonts w:cs="Times New Roman"/>
          <w:b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b/>
          <w:sz w:val="24"/>
          <w:szCs w:val="24"/>
        </w:rPr>
        <w:t>ČL. III  INFORMÁCIE, KTORÉ DOPĹŇAJÚ A</w:t>
      </w:r>
      <w:r>
        <w:rPr>
          <w:rFonts w:cs="Times New Roman"/>
          <w:b/>
          <w:sz w:val="24"/>
          <w:szCs w:val="24"/>
        </w:rPr>
        <w:t> </w:t>
      </w:r>
      <w:r>
        <w:rPr>
          <w:b/>
          <w:sz w:val="24"/>
          <w:szCs w:val="24"/>
        </w:rPr>
        <w:t>VYSVETĽUJÚ SÚVAHU A</w:t>
      </w:r>
      <w:r>
        <w:rPr>
          <w:rFonts w:cs="Times New Roman"/>
          <w:b/>
          <w:sz w:val="24"/>
          <w:szCs w:val="24"/>
        </w:rPr>
        <w:t> </w:t>
      </w:r>
      <w:r>
        <w:rPr>
          <w:b/>
          <w:sz w:val="24"/>
          <w:szCs w:val="24"/>
        </w:rPr>
        <w:t>VÝKAZ ZISKOV A STRÁT</w:t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"/>
        <w:bidi w:val="0"/>
        <w:spacing w:lineRule="auto" w:line="360" w:before="0" w:after="12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 w:before="0" w:after="12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0" w:right="0" w:hanging="0"/>
        <w:rPr/>
      </w:pPr>
      <w:r>
        <w:rPr>
          <w:sz w:val="22"/>
          <w:szCs w:val="24"/>
        </w:rPr>
        <w:t xml:space="preserve"> </w:t>
      </w:r>
      <w:r>
        <w:rPr>
          <w:sz w:val="22"/>
          <w:szCs w:val="24"/>
        </w:rPr>
        <w:t>Informácie o záväzkoch,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celkovej sume záväzkov so zostatkovou dobou splatnosti dlhšou ako päť rokov:         0,- EUR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celkovej sume zabezpečených záväzkov, opis a spôsoby zabezpečenia záväzkov:     0,- EUR</w:t>
      </w:r>
    </w:p>
    <w:p>
      <w:pPr>
        <w:pStyle w:val="Normalpodnadpis"/>
        <w:bidi w:val="0"/>
        <w:spacing w:lineRule="auto" w:line="360"/>
        <w:ind w:left="284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  <w:szCs w:val="24"/>
        </w:rPr>
        <w:t>Tabuľka k</w:t>
      </w:r>
      <w:r>
        <w:rPr>
          <w:rFonts w:cs="Times New Roman"/>
          <w:b/>
          <w:sz w:val="22"/>
          <w:szCs w:val="24"/>
        </w:rPr>
        <w:t> </w:t>
      </w:r>
      <w:r>
        <w:rPr>
          <w:b/>
          <w:sz w:val="22"/>
          <w:szCs w:val="24"/>
        </w:rPr>
        <w:t>záväzkom</w:t>
      </w:r>
    </w:p>
    <w:tbl>
      <w:tblPr>
        <w:tblW w:w="10170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7"/>
        <w:gridCol w:w="2813"/>
        <w:gridCol w:w="3200"/>
      </w:tblGrid>
      <w:tr>
        <w:trPr/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účtovné obdobie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szCs w:val="24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  <w:lang w:val="cs-CZ" w:eastAsia="sk-SK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  <w:lang w:val="cs-CZ" w:eastAsia="sk-SK"/>
              </w:rPr>
              <w:t>240</w:t>
            </w:r>
          </w:p>
        </w:tc>
      </w:tr>
      <w:tr>
        <w:trPr>
          <w:trHeight w:val="447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  <w:szCs w:val="24"/>
              </w:rPr>
              <w:t>159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  <w:szCs w:val="24"/>
              </w:rPr>
              <w:t>240</w:t>
            </w:r>
          </w:p>
        </w:tc>
      </w:tr>
      <w:tr>
        <w:trPr/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  <w:szCs w:val="24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szCs w:val="24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</w:rPr>
              <w:t>3 591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Krátkodobé a</w:t>
            </w:r>
            <w:r>
              <w:rPr>
                <w:rFonts w:cs="Times New Roman"/>
                <w:b/>
                <w:sz w:val="18"/>
                <w:szCs w:val="24"/>
              </w:rPr>
              <w:t> </w:t>
            </w:r>
            <w:r>
              <w:rPr>
                <w:b/>
                <w:sz w:val="18"/>
                <w:szCs w:val="24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  <w:lang w:val="cs-CZ"/>
              </w:rPr>
              <w:t>3 750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  <w:szCs w:val="24"/>
                <w:lang w:val="cs-CZ"/>
              </w:rPr>
              <w:t>240</w:t>
            </w:r>
          </w:p>
        </w:tc>
      </w:tr>
    </w:tbl>
    <w:p>
      <w:pPr>
        <w:pStyle w:val="Normalpodnadpis"/>
        <w:bidi w:val="0"/>
        <w:spacing w:lineRule="auto" w:line="360"/>
        <w:ind w:left="567" w:right="0" w:hanging="0"/>
        <w:rPr/>
      </w:pPr>
      <w:r>
        <w:rPr/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  <w:szCs w:val="24"/>
        </w:rPr>
        <w:t>(3) Informácie o vlastných akciách, a to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180" w:right="0" w:hanging="180"/>
        <w:rPr/>
      </w:pPr>
      <w:r>
        <w:rPr>
          <w:sz w:val="22"/>
          <w:szCs w:val="24"/>
        </w:rPr>
        <w:t>(4) Informácie o orgánoch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Členom štatutárneho orgánu neboli poskytnuté záruky alebo iné zabezpečenie.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 xml:space="preserve">b) pôžičkách poskytnutých členom štatutárneho orgánu, dozorného orgánu a iného orgánu účtovnej jednotky 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Členom štatutárneho orgánu neboli poskytnuté pôžičky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cs="Times New Roman"/>
          <w:sz w:val="22"/>
          <w:szCs w:val="24"/>
        </w:rPr>
        <w:t>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>(5) Informácie o povinnostiach účtovnej jednotky, a to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b) celkovej sume významných podmienených záväzkov, ktorými sa rozumie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  <w:szCs w:val="24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"/>
        <w:bidi w:val="0"/>
        <w:spacing w:lineRule="auto" w:line="360"/>
        <w:ind w:left="426" w:right="0" w:hanging="0"/>
        <w:rPr/>
      </w:pPr>
      <w:r>
        <w:rPr>
          <w:sz w:val="22"/>
          <w:szCs w:val="24"/>
        </w:rPr>
        <w:t>2. existujúca povinnosť, ktorá vznikla ako dôsledok minulej udalosti, ale ktorá sa nevykazuje v súvahe, pretože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2a. nie je pravdepodobné, že na splnenie tejto povinnosti bude potrebný úbytok ekonomických úžitkov, alebo</w:t>
      </w:r>
    </w:p>
    <w:p>
      <w:pPr>
        <w:pStyle w:val="Normalpodnadpis"/>
        <w:bidi w:val="0"/>
        <w:spacing w:lineRule="auto" w:line="360"/>
        <w:ind w:left="567" w:right="0" w:hanging="0"/>
        <w:rPr/>
      </w:pPr>
      <w:r>
        <w:rPr>
          <w:sz w:val="22"/>
          <w:szCs w:val="24"/>
        </w:rPr>
        <w:t>2b. výška tejto povinnosti sa nedá spoľahlivo oceniť</w:t>
      </w:r>
      <w:r>
        <w:rPr>
          <w:rFonts w:cs="Times New Roman"/>
          <w:sz w:val="22"/>
          <w:szCs w:val="24"/>
        </w:rPr>
        <w:t>,</w:t>
      </w:r>
    </w:p>
    <w:p>
      <w:pPr>
        <w:pStyle w:val="Normalpodnadpis"/>
        <w:bidi w:val="0"/>
        <w:spacing w:lineRule="auto" w:line="360"/>
        <w:ind w:left="0" w:right="0" w:hanging="0"/>
        <w:rPr/>
      </w:pPr>
      <w:r>
        <w:rPr>
          <w:sz w:val="22"/>
          <w:szCs w:val="24"/>
        </w:rPr>
        <w:t xml:space="preserve">  </w:t>
      </w:r>
      <w:r>
        <w:rPr>
          <w:sz w:val="22"/>
          <w:szCs w:val="24"/>
        </w:rPr>
        <w:tab/>
        <w:t xml:space="preserve">   Nie je plnenie.</w:t>
      </w:r>
    </w:p>
    <w:p>
      <w:pPr>
        <w:pStyle w:val="Normalpodnadpis"/>
        <w:bidi w:val="0"/>
        <w:spacing w:lineRule="auto" w:line="360"/>
        <w:ind w:left="0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c) opise významných finančných povinností a významných podmienených záväzkov,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e) opise významných povinností účtovnej jednotky vyplývajúcich z dôchodkových programov pre zamestnancov.</w:t>
      </w:r>
    </w:p>
    <w:p>
      <w:pPr>
        <w:pStyle w:val="Normalpodnadpis"/>
        <w:bidi w:val="0"/>
        <w:spacing w:lineRule="auto" w:line="360"/>
        <w:ind w:left="284" w:right="0" w:hanging="0"/>
        <w:rPr/>
      </w:pPr>
      <w:r>
        <w:rPr>
          <w:sz w:val="22"/>
          <w:szCs w:val="24"/>
        </w:rPr>
        <w:t>Nie je plnenie.</w:t>
      </w:r>
    </w:p>
    <w:p>
      <w:pPr>
        <w:pStyle w:val="Normalpodnadpis"/>
        <w:bidi w:val="0"/>
        <w:spacing w:lineRule="auto" w:line="360"/>
        <w:ind w:left="567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cs="Times New Roman"/>
          <w:sz w:val="22"/>
          <w:szCs w:val="24"/>
        </w:rPr>
      </w:pPr>
      <w:r>
        <w:rPr>
          <w:rFonts w:cs="Times New Roman"/>
          <w:sz w:val="22"/>
          <w:szCs w:val="24"/>
        </w:rPr>
      </w:r>
    </w:p>
    <w:p>
      <w:pPr>
        <w:pStyle w:val="Normalpodnadpis"/>
        <w:bidi w:val="0"/>
        <w:spacing w:before="0" w:after="0"/>
        <w:ind w:left="0" w:right="0" w:hanging="0"/>
        <w:jc w:val="left"/>
        <w:rPr>
          <w:rFonts w:ascii="Liberation Serif" w:hAnsi="Liberation Serif" w:cs="Times New Roman"/>
          <w:sz w:val="24"/>
          <w:szCs w:val="24"/>
          <w:lang w:val="cs-CZ"/>
        </w:rPr>
      </w:pPr>
      <w:r>
        <w:rPr>
          <w:rFonts w:cs="Times New Roman" w:ascii="Liberation Serif" w:hAnsi="Liberation Serif"/>
          <w:sz w:val="24"/>
          <w:szCs w:val="24"/>
          <w:lang w:val="cs-CZ"/>
        </w:rPr>
      </w:r>
    </w:p>
    <w:p>
      <w:pPr>
        <w:pStyle w:val="Normalpodnadpis"/>
        <w:widowControl/>
        <w:suppressAutoHyphens w:val="true"/>
        <w:bidi w:val="0"/>
        <w:spacing w:lineRule="auto" w:line="360" w:before="120" w:after="120"/>
        <w:ind w:left="0" w:right="0" w:hanging="0"/>
        <w:jc w:val="both"/>
        <w:textAlignment w:val="auto"/>
        <w:rPr>
          <w:lang w:val="cs-CZ"/>
        </w:rPr>
      </w:pPr>
      <w:r>
        <w:rPr>
          <w:rFonts w:eastAsia="Times New Roman" w:cs="Arial Narrow" w:ascii="Arial" w:hAnsi="Arial"/>
          <w:kern w:val="2"/>
          <w:sz w:val="20"/>
          <w:szCs w:val="20"/>
          <w:lang w:val="cs-CZ" w:eastAsia="cs-CZ" w:bidi="ar-SA"/>
        </w:rPr>
        <w:t xml:space="preserve">DIČ: 2120747321 </w:t>
      </w:r>
    </w:p>
    <w:p>
      <w:pPr>
        <w:pStyle w:val="Normalpodnadpis"/>
        <w:widowControl/>
        <w:suppressAutoHyphens w:val="true"/>
        <w:bidi w:val="0"/>
        <w:spacing w:lineRule="auto" w:line="360" w:before="120" w:after="120"/>
        <w:ind w:left="0" w:right="0" w:firstLine="1"/>
        <w:jc w:val="left"/>
        <w:textAlignment w:val="auto"/>
        <w:rPr>
          <w:lang w:val="cs-CZ"/>
        </w:rPr>
      </w:pPr>
      <w:r>
        <w:rPr>
          <w:rFonts w:eastAsia="Times New Roman" w:cs="Times New Roman" w:ascii="Arial" w:hAnsi="Arial"/>
          <w:kern w:val="2"/>
          <w:sz w:val="20"/>
          <w:szCs w:val="24"/>
          <w:lang w:val="cs-CZ" w:eastAsia="cs-CZ" w:bidi="ar-SA"/>
        </w:rPr>
        <w:t>Poznámky Úč MÚJ 3 – 01</w:t>
      </w:r>
    </w:p>
    <w:p>
      <w:pPr>
        <w:pStyle w:val="Normalpodnadpis"/>
        <w:widowControl/>
        <w:suppressAutoHyphens w:val="true"/>
        <w:bidi w:val="0"/>
        <w:spacing w:lineRule="auto" w:line="360" w:before="120" w:after="120"/>
        <w:ind w:left="0" w:right="0" w:hanging="0"/>
        <w:jc w:val="both"/>
        <w:textAlignment w:val="auto"/>
        <w:rPr>
          <w:lang w:val="cs-CZ"/>
        </w:rPr>
      </w:pPr>
      <w:r>
        <w:rPr>
          <w:rFonts w:eastAsia="Times New Roman" w:cs="Times New Roman" w:ascii="Arial" w:hAnsi="Arial"/>
          <w:kern w:val="2"/>
          <w:sz w:val="20"/>
          <w:szCs w:val="24"/>
          <w:lang w:val="cs-CZ" w:eastAsia="cs-CZ" w:bidi="ar-SA"/>
        </w:rPr>
        <w:t>IČO:     51636620</w:t>
      </w:r>
    </w:p>
    <w:p>
      <w:pPr>
        <w:pStyle w:val="Header"/>
        <w:bidi w:val="0"/>
        <w:spacing w:before="0" w:after="0"/>
        <w:ind w:left="284" w:right="0" w:hanging="0"/>
        <w:jc w:val="left"/>
        <w:rPr/>
      </w:pPr>
      <w:r>
        <w:rPr/>
      </w:r>
      <w:bookmarkStart w:id="6" w:name="ICOHLAV_END4"/>
      <w:bookmarkStart w:id="7" w:name="ICOHLAV4"/>
      <w:bookmarkStart w:id="8" w:name="DICHLAV_END4"/>
      <w:bookmarkStart w:id="9" w:name="DICHLAV4"/>
      <w:bookmarkStart w:id="10" w:name="__DdeLink__1773_768820155112"/>
      <w:bookmarkStart w:id="11" w:name="__DdeLink__1773_76882015514"/>
      <w:bookmarkStart w:id="12" w:name="__DdeLink__1773_76882015511"/>
      <w:bookmarkStart w:id="13" w:name="__DdeLink__1773_7688201552"/>
      <w:bookmarkStart w:id="14" w:name="__DdeLink__1773_7688201551"/>
      <w:bookmarkStart w:id="15" w:name="__DdeLink__1773_76882015512"/>
      <w:bookmarkStart w:id="16" w:name="__DdeLink__1773_768820155111"/>
      <w:bookmarkStart w:id="17" w:name="__DdeLink__1773_76882015513"/>
      <w:bookmarkStart w:id="18" w:name="__DdeLink__1773_768820155"/>
      <w:bookmarkStart w:id="19" w:name="ICOHLAV_END4"/>
      <w:bookmarkStart w:id="20" w:name="ICOHLAV4"/>
      <w:bookmarkStart w:id="21" w:name="DICHLAV_END4"/>
      <w:bookmarkStart w:id="22" w:name="DICHLAV4"/>
      <w:bookmarkStart w:id="23" w:name="__DdeLink__1773_768820155112"/>
      <w:bookmarkStart w:id="24" w:name="__DdeLink__1773_76882015514"/>
      <w:bookmarkStart w:id="25" w:name="__DdeLink__1773_76882015511"/>
      <w:bookmarkStart w:id="26" w:name="__DdeLink__1773_7688201552"/>
      <w:bookmarkStart w:id="27" w:name="__DdeLink__1773_7688201551"/>
      <w:bookmarkStart w:id="28" w:name="__DdeLink__1773_76882015512"/>
      <w:bookmarkStart w:id="29" w:name="__DdeLink__1773_768820155111"/>
      <w:bookmarkStart w:id="30" w:name="__DdeLink__1773_76882015513"/>
      <w:bookmarkStart w:id="31" w:name="__DdeLink__1773_768820155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32" w:name="DICHLAV"/>
                          <w:bookmarkEnd w:id="32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2120747321</w:t>
                          </w:r>
                          <w:bookmarkStart w:id="33" w:name="DICHLAV_END"/>
                          <w:bookmarkEnd w:id="33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34" w:name="DICHLAV"/>
                    <w:bookmarkEnd w:id="34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2120747321</w:t>
                    </w:r>
                    <w:bookmarkStart w:id="35" w:name="DICHLAV_END"/>
                    <w:bookmarkEnd w:id="35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36" w:name="ICOHLAV"/>
                          <w:bookmarkEnd w:id="3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51636620</w:t>
                          </w:r>
                          <w:bookmarkStart w:id="37" w:name="ICOHLAV_END"/>
                          <w:bookmarkEnd w:id="37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38" w:name="ICOHLAV"/>
                    <w:bookmarkEnd w:id="3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51636620</w:t>
                    </w:r>
                    <w:bookmarkStart w:id="39" w:name="ICOHLAV_END"/>
                    <w:bookmarkEnd w:id="39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</TotalTime>
  <Application>LibreOffice/6.2.3.2$Windows_X86_64 LibreOffice_project/aecc05fe267cc68dde00352a451aa867b3b546ac</Application>
  <Pages>5</Pages>
  <Words>914</Words>
  <Characters>5552</Characters>
  <CharactersWithSpaces>6375</CharactersWithSpaces>
  <Paragraphs>152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2020-06-30T12:11:06Z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