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podnadpis"/>
        <w:keepNext w:val="true"/>
        <w:bidi w:val="0"/>
        <w:spacing w:lineRule="auto" w:line="360" w:before="0" w:after="120"/>
        <w:ind w:left="0" w:right="0" w:hanging="0"/>
        <w:rPr/>
      </w:pPr>
      <w:r>
        <w:rPr>
          <w:b/>
          <w:sz w:val="24"/>
        </w:rPr>
        <w:t>ČL. I  VŠEOBECNÉ ÚDAJE</w:t>
      </w:r>
    </w:p>
    <w:p>
      <w:pPr>
        <w:pStyle w:val="Default"/>
        <w:bidi w:val="0"/>
        <w:ind w:left="0" w:right="0" w:hanging="0"/>
        <w:rPr/>
      </w:pPr>
      <w:r>
        <w:rPr>
          <w:rFonts w:cs="Arial Narrow" w:ascii="Arial Narrow" w:hAnsi="Arial Narrow"/>
          <w:sz w:val="22"/>
        </w:rPr>
        <w:t xml:space="preserve">(1) </w:t>
      </w:r>
      <w:r>
        <w:rPr>
          <w:rFonts w:cs="Arial Narrow" w:ascii="Arial Narrow" w:hAnsi="Arial Narrow"/>
          <w:sz w:val="23"/>
        </w:rPr>
        <w:t>Názov právnickej osoby a jej sídlo alebo meno a priezvisko fyzickej osoby</w:t>
      </w:r>
      <w:r>
        <w:rPr>
          <w:rFonts w:cs="Arial Narrow" w:ascii="Arial Narrow" w:hAnsi="Arial Narrow"/>
          <w:sz w:val="22"/>
        </w:rPr>
        <w:t>.</w:t>
      </w:r>
    </w:p>
    <w:p>
      <w:pPr>
        <w:pStyle w:val="Normalpodnadpis"/>
        <w:tabs>
          <w:tab w:val="clear" w:pos="708"/>
          <w:tab w:val="left" w:pos="0" w:leader="none"/>
        </w:tabs>
        <w:bidi w:val="0"/>
        <w:spacing w:lineRule="auto" w:line="360" w:before="0" w:after="0"/>
        <w:ind w:left="0" w:right="0" w:hanging="0"/>
        <w:jc w:val="left"/>
        <w:rPr>
          <w:rFonts w:eastAsia="Arial Narrow"/>
          <w:sz w:val="18"/>
          <w:lang w:eastAsia="sk-SK"/>
        </w:rPr>
      </w:pPr>
      <w:r>
        <w:rPr>
          <w:rFonts w:eastAsia="Arial Narrow"/>
          <w:sz w:val="18"/>
          <w:lang w:eastAsia="sk-SK"/>
        </w:rPr>
      </w:r>
    </w:p>
    <w:p>
      <w:pPr>
        <w:pStyle w:val="Normalpodnadpis"/>
        <w:bidi w:val="0"/>
        <w:spacing w:lineRule="auto" w:line="360" w:before="0" w:after="0"/>
        <w:ind w:left="284" w:right="0" w:hanging="0"/>
        <w:jc w:val="left"/>
        <w:rPr/>
      </w:pPr>
      <w:r>
        <w:rPr>
          <w:sz w:val="22"/>
          <w:lang w:eastAsia="sk-SK"/>
        </w:rPr>
        <w:t xml:space="preserve">Názov spoločnosti: </w:t>
      </w:r>
      <w:bookmarkStart w:id="0" w:name="ONAME_END"/>
      <w:bookmarkStart w:id="1" w:name="ONAME"/>
      <w:bookmarkEnd w:id="0"/>
      <w:bookmarkEnd w:id="1"/>
      <w:r>
        <w:rPr>
          <w:sz w:val="22"/>
          <w:lang w:eastAsia="sk-SK"/>
        </w:rPr>
        <w:t>ASK Reality Prievidza,s. r. o.</w:t>
      </w:r>
    </w:p>
    <w:p>
      <w:pPr>
        <w:pStyle w:val="Normalpodnadpis"/>
        <w:bidi w:val="0"/>
        <w:spacing w:lineRule="auto" w:line="360" w:before="0" w:after="0"/>
        <w:ind w:left="284" w:right="0" w:hanging="0"/>
        <w:jc w:val="left"/>
        <w:rPr/>
      </w:pPr>
      <w:r>
        <w:rPr>
          <w:sz w:val="22"/>
          <w:lang w:eastAsia="sk-SK"/>
        </w:rPr>
        <w:t xml:space="preserve">Sídlo: </w:t>
      </w:r>
      <w:bookmarkStart w:id="2" w:name="ADRESA_END"/>
      <w:bookmarkStart w:id="3" w:name="ADRESA"/>
      <w:bookmarkEnd w:id="2"/>
      <w:bookmarkEnd w:id="3"/>
      <w:r>
        <w:rPr>
          <w:sz w:val="22"/>
          <w:lang w:eastAsia="sk-SK"/>
        </w:rPr>
        <w:t>Stropkovská 3, 82103 Bratislava</w:t>
      </w:r>
    </w:p>
    <w:p>
      <w:pPr>
        <w:pStyle w:val="Normalpodnadpis"/>
        <w:bidi w:val="0"/>
        <w:spacing w:lineRule="auto" w:line="360" w:before="0" w:after="0"/>
        <w:ind w:left="284" w:right="0" w:hanging="0"/>
        <w:jc w:val="left"/>
        <w:rPr>
          <w:lang w:val="cs-CZ"/>
        </w:rPr>
      </w:pPr>
      <w:r>
        <w:rPr>
          <w:sz w:val="22"/>
          <w:lang w:val="cs-CZ"/>
        </w:rPr>
        <w:t xml:space="preserve">IČO: </w:t>
      </w:r>
      <w:bookmarkStart w:id="4" w:name="ICOSID_END"/>
      <w:bookmarkStart w:id="5" w:name="ICOSID"/>
      <w:bookmarkEnd w:id="4"/>
      <w:bookmarkEnd w:id="5"/>
      <w:r>
        <w:rPr>
          <w:sz w:val="22"/>
          <w:lang w:val="cs-CZ"/>
        </w:rPr>
        <w:t>52177548</w:t>
      </w:r>
    </w:p>
    <w:p>
      <w:pPr>
        <w:pStyle w:val="Normalpodnadpis"/>
        <w:bidi w:val="0"/>
        <w:spacing w:lineRule="auto" w:line="360" w:before="0" w:after="0"/>
        <w:ind w:left="284" w:right="0" w:hanging="0"/>
        <w:jc w:val="left"/>
        <w:rPr/>
      </w:pPr>
      <w:r>
        <w:rPr>
          <w:rFonts w:eastAsia="Arial Narrow"/>
          <w:sz w:val="22"/>
        </w:rPr>
        <w:t>zapísaná do obchodného registra dňa:  8.2.2019</w:t>
      </w:r>
    </w:p>
    <w:p>
      <w:pPr>
        <w:pStyle w:val="Normalpodnadpis"/>
        <w:bidi w:val="0"/>
        <w:spacing w:lineRule="auto" w:line="360" w:before="0" w:after="12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Hlavné činnosti spoločnosti:  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Sprostredkovanie predaja, prenájmu a kúpy nehnuteľností (realitná činnosť)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>
          <w:rFonts w:eastAsia="Arial"/>
          <w:sz w:val="22"/>
        </w:rPr>
      </w:pPr>
      <w:r>
        <w:rPr>
          <w:rFonts w:eastAsia="Arial"/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lang w:val="sk-SK"/>
        </w:rPr>
      </w:pPr>
      <w:r>
        <w:rPr>
          <w:rFonts w:eastAsia="Arial Narrow" w:cs="Arial Narrow" w:ascii="Arial Narrow" w:hAnsi="Arial Narrow"/>
          <w:i/>
          <w:sz w:val="22"/>
          <w:lang w:val="sk-SK" w:eastAsia="cs-CZ"/>
        </w:rPr>
        <w:t xml:space="preserve">(2) </w:t>
      </w:r>
      <w:r>
        <w:rPr>
          <w:lang w:val="sk-SK" w:eastAsia="cs-CZ"/>
        </w:rPr>
        <w:t>Ú</w:t>
      </w:r>
      <w:r>
        <w:rPr>
          <w:rFonts w:eastAsia="Arial Narrow" w:cs="Arial Narrow" w:ascii="Arial Narrow" w:hAnsi="Arial Narrow"/>
          <w:lang w:val="sk-SK" w:eastAsia="cs-CZ"/>
        </w:rPr>
        <w:t>daje o konsolidovanom celku:</w:t>
      </w:r>
    </w:p>
    <w:p>
      <w:pPr>
        <w:pStyle w:val="Normal"/>
        <w:keepNext w:val="true"/>
        <w:bidi w:val="0"/>
        <w:spacing w:lineRule="auto" w:line="360" w:before="240" w:after="6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 w:eastAsia="cs-CZ"/>
        </w:rPr>
        <w:t>Účtovná jednotka je súčasťou konsolidovaného celku Allrisk Slovakia.</w:t>
      </w:r>
    </w:p>
    <w:p>
      <w:pPr>
        <w:pStyle w:val="Normal"/>
        <w:keepNext w:val="true"/>
        <w:bidi w:val="0"/>
        <w:spacing w:lineRule="auto" w:line="360" w:before="240" w:after="6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 w:eastAsia="cs-CZ"/>
        </w:rPr>
        <w:t>Konsoliduj</w:t>
      </w:r>
      <w:r>
        <w:rPr>
          <w:lang w:val="sk-SK" w:eastAsia="cs-CZ"/>
        </w:rPr>
        <w:t>ú</w:t>
      </w:r>
      <w:r>
        <w:rPr>
          <w:rFonts w:eastAsia="Arial Narrow" w:cs="Arial Narrow" w:ascii="Arial Narrow" w:hAnsi="Arial Narrow"/>
          <w:lang w:val="sk-SK" w:eastAsia="cs-CZ"/>
        </w:rPr>
        <w:t xml:space="preserve">ca </w:t>
      </w:r>
      <w:r>
        <w:rPr>
          <w:lang w:val="sk-SK" w:eastAsia="cs-CZ"/>
        </w:rPr>
        <w:t>úč</w:t>
      </w:r>
      <w:r>
        <w:rPr>
          <w:rFonts w:eastAsia="Arial Narrow" w:cs="Arial Narrow" w:ascii="Arial Narrow" w:hAnsi="Arial Narrow"/>
          <w:lang w:val="sk-SK" w:eastAsia="cs-CZ"/>
        </w:rPr>
        <w:t>tovná jednotka, ktor</w:t>
      </w:r>
      <w:r>
        <w:rPr>
          <w:lang w:val="sk-SK" w:eastAsia="cs-CZ"/>
        </w:rPr>
        <w:t>á</w:t>
      </w:r>
      <w:r>
        <w:rPr>
          <w:rFonts w:eastAsia="Arial Narrow" w:cs="Arial Narrow" w:ascii="Arial Narrow" w:hAnsi="Arial Narrow"/>
          <w:lang w:val="sk-SK" w:eastAsia="cs-CZ"/>
        </w:rPr>
        <w:t xml:space="preserve"> zostavuje konsolidovan</w:t>
      </w:r>
      <w:r>
        <w:rPr>
          <w:lang w:val="sk-SK" w:eastAsia="cs-CZ"/>
        </w:rPr>
        <w:t>ú</w:t>
      </w:r>
      <w:r>
        <w:rPr>
          <w:rFonts w:eastAsia="Arial Narrow" w:cs="Arial Narrow" w:ascii="Arial Narrow" w:hAnsi="Arial Narrow"/>
          <w:lang w:val="sk-SK" w:eastAsia="cs-CZ"/>
        </w:rPr>
        <w:t xml:space="preserve"> </w:t>
      </w:r>
      <w:r>
        <w:rPr>
          <w:lang w:val="sk-SK" w:eastAsia="cs-CZ"/>
        </w:rPr>
        <w:t>úč</w:t>
      </w:r>
      <w:r>
        <w:rPr>
          <w:rFonts w:eastAsia="Arial Narrow" w:cs="Arial Narrow" w:ascii="Arial Narrow" w:hAnsi="Arial Narrow"/>
          <w:lang w:val="sk-SK" w:eastAsia="cs-CZ"/>
        </w:rPr>
        <w:t>tovn</w:t>
      </w:r>
      <w:r>
        <w:rPr>
          <w:lang w:val="sk-SK" w:eastAsia="cs-CZ"/>
        </w:rPr>
        <w:t>ú</w:t>
      </w:r>
      <w:r>
        <w:rPr>
          <w:rFonts w:eastAsia="Arial Narrow" w:cs="Arial Narrow" w:ascii="Arial Narrow" w:hAnsi="Arial Narrow"/>
          <w:lang w:val="sk-SK" w:eastAsia="cs-CZ"/>
        </w:rPr>
        <w:t xml:space="preserve"> z</w:t>
      </w:r>
      <w:r>
        <w:rPr>
          <w:lang w:val="sk-SK" w:eastAsia="cs-CZ"/>
        </w:rPr>
        <w:t>á</w:t>
      </w:r>
      <w:r>
        <w:rPr>
          <w:rFonts w:eastAsia="Arial Narrow" w:cs="Arial Narrow" w:ascii="Arial Narrow" w:hAnsi="Arial Narrow"/>
          <w:lang w:val="sk-SK" w:eastAsia="cs-CZ"/>
        </w:rPr>
        <w:t xml:space="preserve">vierku skupinu </w:t>
      </w:r>
      <w:r>
        <w:rPr>
          <w:lang w:val="sk-SK" w:eastAsia="cs-CZ"/>
        </w:rPr>
        <w:t>úč</w:t>
      </w:r>
      <w:r>
        <w:rPr>
          <w:rFonts w:eastAsia="Arial Narrow" w:cs="Arial Narrow" w:ascii="Arial Narrow" w:hAnsi="Arial Narrow"/>
          <w:lang w:val="sk-SK" w:eastAsia="cs-CZ"/>
        </w:rPr>
        <w:t>tovn</w:t>
      </w:r>
      <w:r>
        <w:rPr>
          <w:lang w:val="sk-SK" w:eastAsia="cs-CZ"/>
        </w:rPr>
        <w:t>ý</w:t>
      </w:r>
      <w:r>
        <w:rPr>
          <w:rFonts w:eastAsia="Arial Narrow" w:cs="Arial Narrow" w:ascii="Arial Narrow" w:hAnsi="Arial Narrow"/>
          <w:lang w:val="sk-SK" w:eastAsia="cs-CZ"/>
        </w:rPr>
        <w:t>ch jednotiek konsolidovan</w:t>
      </w:r>
      <w:r>
        <w:rPr>
          <w:lang w:val="sk-SK" w:eastAsia="cs-CZ"/>
        </w:rPr>
        <w:t>é</w:t>
      </w:r>
      <w:r>
        <w:rPr>
          <w:rFonts w:eastAsia="Arial Narrow" w:cs="Arial Narrow" w:ascii="Arial Narrow" w:hAnsi="Arial Narrow"/>
          <w:lang w:val="sk-SK" w:eastAsia="cs-CZ"/>
        </w:rPr>
        <w:t>ho celku Allrisk Slovakia: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 w:eastAsia="cs-CZ"/>
        </w:rPr>
        <w:t>Obchodn</w:t>
      </w:r>
      <w:r>
        <w:rPr>
          <w:lang w:val="sk-SK" w:eastAsia="cs-CZ"/>
        </w:rPr>
        <w:t>é</w:t>
      </w:r>
      <w:r>
        <w:rPr>
          <w:rFonts w:eastAsia="Arial Narrow" w:cs="Arial Narrow" w:ascii="Arial Narrow" w:hAnsi="Arial Narrow"/>
          <w:lang w:val="sk-SK" w:eastAsia="cs-CZ"/>
        </w:rPr>
        <w:t xml:space="preserve"> meno:</w:t>
        <w:tab/>
        <w:t>Allrisk Slovakia, s.r.o.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 w:eastAsia="cs-CZ"/>
        </w:rPr>
        <w:t>S</w:t>
      </w:r>
      <w:r>
        <w:rPr>
          <w:lang w:val="sk-SK" w:eastAsia="cs-CZ"/>
        </w:rPr>
        <w:t>í</w:t>
      </w:r>
      <w:r>
        <w:rPr>
          <w:rFonts w:eastAsia="Arial Narrow" w:cs="Arial Narrow" w:ascii="Arial Narrow" w:hAnsi="Arial Narrow"/>
          <w:lang w:val="sk-SK" w:eastAsia="cs-CZ"/>
        </w:rPr>
        <w:t>dlo:</w:t>
        <w:tab/>
        <w:tab/>
        <w:t>Prievozská 4B, 821 09  Bratislava – Ružinov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 w:eastAsia="cs-CZ"/>
        </w:rPr>
        <w:t>IČO:</w:t>
        <w:tab/>
        <w:tab/>
        <w:t>35 947 501</w:t>
        <w:tab/>
        <w:tab/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bCs/>
          <w:iCs/>
          <w:sz w:val="22"/>
        </w:rPr>
      </w:pPr>
      <w:r>
        <w:rPr>
          <w:bCs/>
          <w:iCs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jc w:val="left"/>
        <w:rPr/>
      </w:pPr>
      <w:r>
        <w:rPr>
          <w:sz w:val="22"/>
        </w:rPr>
        <w:t>(3) Priemerný prepočítaný počet zamestnancov</w:t>
      </w:r>
    </w:p>
    <w:p>
      <w:pPr>
        <w:pStyle w:val="Normalpodnadpis1"/>
        <w:bidi w:val="0"/>
        <w:spacing w:lineRule="auto" w:line="360" w:before="0" w:after="120"/>
        <w:ind w:left="142" w:right="0" w:hanging="0"/>
        <w:jc w:val="left"/>
        <w:rPr/>
      </w:pPr>
      <w:r>
        <w:rPr>
          <w:b/>
          <w:sz w:val="22"/>
        </w:rPr>
        <w:t>Tabuľka k zamestnancom</w:t>
      </w:r>
    </w:p>
    <w:tbl>
      <w:tblPr>
        <w:tblW w:w="9923" w:type="dxa"/>
        <w:jc w:val="left"/>
        <w:tblInd w:w="-74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54"/>
        <w:gridCol w:w="2403"/>
        <w:gridCol w:w="2566"/>
      </w:tblGrid>
      <w:tr>
        <w:trPr>
          <w:trHeight w:val="558" w:hRule="atLeast"/>
        </w:trPr>
        <w:tc>
          <w:tcPr>
            <w:tcW w:w="4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Bežné  účtovné obdobie</w:t>
            </w:r>
          </w:p>
        </w:tc>
        <w:tc>
          <w:tcPr>
            <w:tcW w:w="2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Bezprostredne predchádzajúce účtovné obdobie</w:t>
            </w:r>
          </w:p>
        </w:tc>
      </w:tr>
      <w:tr>
        <w:trPr>
          <w:trHeight w:val="391" w:hRule="atLeast"/>
        </w:trPr>
        <w:tc>
          <w:tcPr>
            <w:tcW w:w="4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/>
              <w:t>Priemerný prepočítaný počet zamestnancov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/>
              <w:t>0</w:t>
            </w:r>
          </w:p>
        </w:tc>
        <w:tc>
          <w:tcPr>
            <w:tcW w:w="2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/>
              <w:t>0</w:t>
            </w:r>
          </w:p>
        </w:tc>
      </w:tr>
      <w:tr>
        <w:trPr>
          <w:trHeight w:val="391" w:hRule="atLeast"/>
        </w:trPr>
        <w:tc>
          <w:tcPr>
            <w:tcW w:w="4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/>
              <w:t>Stav zamestnancov ku dňu, ku ktorému sa zostavuje účtovná závierka, z toho: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/>
              <w:t>0</w:t>
            </w:r>
          </w:p>
        </w:tc>
        <w:tc>
          <w:tcPr>
            <w:tcW w:w="2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/>
              <w:t>0</w:t>
            </w:r>
          </w:p>
        </w:tc>
      </w:tr>
      <w:tr>
        <w:trPr>
          <w:trHeight w:val="391" w:hRule="atLeast"/>
        </w:trPr>
        <w:tc>
          <w:tcPr>
            <w:tcW w:w="4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/>
              <w:t>Počet vedúcich zamestnancov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/>
              <w:t>0</w:t>
            </w:r>
          </w:p>
        </w:tc>
        <w:tc>
          <w:tcPr>
            <w:tcW w:w="2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/>
              <w:t>0</w:t>
            </w:r>
          </w:p>
        </w:tc>
      </w:tr>
    </w:tbl>
    <w:p>
      <w:pPr>
        <w:pStyle w:val="Normalpodnadpis1"/>
        <w:bidi w:val="0"/>
        <w:spacing w:lineRule="auto" w:line="360" w:before="0" w:after="120"/>
        <w:ind w:left="567" w:right="0" w:hanging="0"/>
        <w:rPr>
          <w:rFonts w:eastAsia="Arial"/>
          <w:sz w:val="22"/>
        </w:rPr>
      </w:pPr>
      <w:r>
        <w:rPr>
          <w:rFonts w:eastAsia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b/>
          <w:sz w:val="24"/>
        </w:rPr>
        <w:t>ČL. II  INFORMÁCIE O PRIJATÝCH POSTUPOCH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(1) Účtovná závierka je zostavená za splnenia predpokladu, že účtovná jednotka bude nepretržite pokračovať vo svojej činnosti. 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eastAsia="Arial"/>
          <w:sz w:val="22"/>
        </w:rPr>
      </w:pPr>
      <w:r>
        <w:rPr>
          <w:rFonts w:eastAsia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(2) Spôsob oceňovania jednotlivých položiek majetku a záväzkov, a to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a) dlhodobého nehmotného majetku, dlhodobého hmotného majetku a dlhodobého finančného majetku,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Obstarávacia cena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b) zásob obstaraných kúpou, zásob vytvorených vlastnou činnosťou,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Obstarávacia cena, vlastné náklady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c) pohľadávok,</w:t>
      </w:r>
    </w:p>
    <w:p>
      <w:pPr>
        <w:pStyle w:val="Normalpodnadpis1"/>
        <w:bidi w:val="0"/>
        <w:spacing w:lineRule="auto" w:line="360" w:before="0" w:after="120"/>
        <w:ind w:left="360" w:right="0" w:hanging="0"/>
        <w:rPr/>
      </w:pPr>
      <w:r>
        <w:rPr>
          <w:sz w:val="22"/>
        </w:rPr>
        <w:t xml:space="preserve">    </w:t>
      </w:r>
      <w:r>
        <w:rPr>
          <w:sz w:val="22"/>
        </w:rPr>
        <w:t>Nominálna hodnota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d) krátkodobého finančného majetku,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Menovitá hodnota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e) záväzkov vrátane rezerv, dlhopisov, pôžičiek a úverov,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Menovitá hodnota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f) derivátových operácií.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Reálna hodnota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eastAsia="Arial"/>
          <w:sz w:val="22"/>
        </w:rPr>
      </w:pPr>
      <w:r>
        <w:rPr>
          <w:rFonts w:eastAsia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 xml:space="preserve">(3) Spôsob zostavenia odpisového plánu pre jednotlivé druhy dlhodobého hmotného majetku  a dlhodobého nehmotného majetku, pričom sa uvádza doba odpisovania, použité sadzby odpisov a odpisové metódy pri určení odpisov. 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tbl>
      <w:tblPr>
        <w:tblW w:w="9998" w:type="dxa"/>
        <w:jc w:val="left"/>
        <w:tblInd w:w="-248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3514"/>
        <w:gridCol w:w="927"/>
        <w:gridCol w:w="1879"/>
        <w:gridCol w:w="1936"/>
        <w:gridCol w:w="1742"/>
      </w:tblGrid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Dlhodobý hmotný a nehmotný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odpisovaný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číslo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účtu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Doba odpisovania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(počet rokov)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 xml:space="preserve">Ročná odpisová sadzba 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(%)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Metóda odpisovania</w:t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Software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sz w:val="22"/>
              </w:rPr>
              <w:t>013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sz w:val="22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sz w:val="22"/>
              </w:rPr>
              <w:t>25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>
                <w:rFonts w:eastAsia="Arial"/>
                <w:sz w:val="22"/>
              </w:rPr>
            </w:pPr>
            <w:r>
              <w:rPr>
                <w:rFonts w:eastAsia="Arial"/>
                <w:sz w:val="22"/>
              </w:rPr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 xml:space="preserve">Ostatný DNM 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Liberation Serif"/>
                <w:sz w:val="22"/>
                <w:lang w:val="cs-CZ"/>
              </w:rPr>
              <w:t>019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Liberation Serif"/>
                <w:sz w:val="22"/>
                <w:lang w:val="cs-CZ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Liberation Serif"/>
                <w:sz w:val="22"/>
                <w:lang w:val="cs-CZ"/>
              </w:rPr>
              <w:t>25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rFonts w:eastAsia="Liberation Serif"/>
                <w:sz w:val="22"/>
                <w:lang w:val="cs-CZ"/>
              </w:rPr>
            </w:pPr>
            <w:r>
              <w:rPr>
                <w:rFonts w:eastAsia="Liberation Serif"/>
                <w:sz w:val="22"/>
                <w:lang w:val="cs-CZ"/>
              </w:rPr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Stavby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Liberation Serif"/>
                <w:sz w:val="22"/>
                <w:lang w:val="cs-CZ"/>
              </w:rPr>
              <w:t>021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Liberation Serif"/>
                <w:sz w:val="22"/>
                <w:lang w:val="cs-CZ"/>
              </w:rPr>
              <w:t>25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Liberation Serif"/>
                <w:sz w:val="22"/>
                <w:lang w:val="cs-CZ"/>
              </w:rPr>
              <w:t>4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rFonts w:eastAsia="Liberation Serif"/>
                <w:sz w:val="22"/>
                <w:lang w:val="cs-CZ"/>
              </w:rPr>
            </w:pPr>
            <w:r>
              <w:rPr>
                <w:rFonts w:eastAsia="Liberation Serif"/>
                <w:sz w:val="22"/>
                <w:lang w:val="cs-CZ"/>
              </w:rPr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Počítače s príslušenstvom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Liberation Serif"/>
                <w:sz w:val="22"/>
                <w:lang w:val="cs-CZ"/>
              </w:rPr>
              <w:t>022.A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Liberation Serif"/>
                <w:sz w:val="22"/>
                <w:lang w:val="cs-CZ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Liberation Serif"/>
                <w:sz w:val="22"/>
                <w:lang w:val="cs-CZ"/>
              </w:rPr>
              <w:t>20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rFonts w:eastAsia="Liberation Serif"/>
                <w:sz w:val="22"/>
                <w:lang w:val="cs-CZ"/>
              </w:rPr>
            </w:pPr>
            <w:r>
              <w:rPr>
                <w:rFonts w:eastAsia="Liberation Serif"/>
                <w:sz w:val="22"/>
                <w:lang w:val="cs-CZ"/>
              </w:rPr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Dopravné prostriedky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Liberation Serif"/>
                <w:sz w:val="22"/>
                <w:lang w:val="cs-CZ"/>
              </w:rPr>
              <w:t>023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Liberation Serif"/>
                <w:sz w:val="22"/>
                <w:lang w:val="cs-CZ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Liberation Serif"/>
                <w:sz w:val="22"/>
                <w:lang w:val="cs-CZ"/>
              </w:rPr>
              <w:t>14,3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rFonts w:eastAsia="Liberation Serif"/>
                <w:sz w:val="22"/>
                <w:lang w:val="cs-CZ"/>
              </w:rPr>
            </w:pPr>
            <w:r>
              <w:rPr>
                <w:rFonts w:eastAsia="Liberation Serif"/>
                <w:sz w:val="22"/>
                <w:lang w:val="cs-CZ"/>
              </w:rPr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Ostatné stroje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Liberation Serif"/>
                <w:sz w:val="22"/>
                <w:lang w:val="cs-CZ"/>
              </w:rPr>
              <w:t>022.A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Liberation Serif"/>
                <w:sz w:val="22"/>
                <w:lang w:val="cs-CZ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Liberation Serif"/>
                <w:sz w:val="22"/>
                <w:lang w:val="cs-CZ"/>
              </w:rPr>
              <w:t>14,3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rFonts w:eastAsia="Liberation Serif"/>
                <w:sz w:val="22"/>
                <w:lang w:val="cs-CZ"/>
              </w:rPr>
            </w:pPr>
            <w:r>
              <w:rPr>
                <w:rFonts w:eastAsia="Liberation Serif"/>
                <w:sz w:val="22"/>
                <w:lang w:val="cs-CZ"/>
              </w:rPr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Ostatný dlhodobý hmotný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Liberation Serif"/>
                <w:sz w:val="22"/>
                <w:lang w:val="cs-CZ"/>
              </w:rPr>
              <w:t>029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Liberation Serif"/>
                <w:sz w:val="22"/>
                <w:lang w:val="cs-CZ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Liberation Serif"/>
                <w:sz w:val="22"/>
                <w:lang w:val="cs-CZ"/>
              </w:rPr>
              <w:t>20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rFonts w:eastAsia="Liberation Serif"/>
                <w:sz w:val="22"/>
                <w:lang w:val="cs-CZ"/>
              </w:rPr>
            </w:pPr>
            <w:r>
              <w:rPr>
                <w:rFonts w:eastAsia="Liberation Serif"/>
                <w:sz w:val="22"/>
                <w:lang w:val="cs-CZ"/>
              </w:rPr>
            </w:r>
          </w:p>
        </w:tc>
      </w:tr>
    </w:tbl>
    <w:p>
      <w:pPr>
        <w:pStyle w:val="Normalpodnadpis1"/>
        <w:bidi w:val="0"/>
        <w:spacing w:lineRule="auto" w:line="360" w:before="0" w:after="120"/>
        <w:ind w:left="567" w:right="0" w:hanging="0"/>
        <w:rPr>
          <w:rFonts w:eastAsia="Arial"/>
          <w:sz w:val="22"/>
        </w:rPr>
      </w:pPr>
      <w:r>
        <w:rPr>
          <w:rFonts w:eastAsia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eastAsia="Arial"/>
          <w:sz w:val="22"/>
        </w:rPr>
      </w:pPr>
      <w:r>
        <w:rPr>
          <w:rFonts w:eastAsia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K žiadnym zmenám účtovných zásad a účtovných metód nedošlo.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eastAsia="Arial"/>
          <w:sz w:val="22"/>
        </w:rPr>
      </w:pPr>
      <w:r>
        <w:rPr>
          <w:rFonts w:eastAsia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(5) Informácie o dotáciách a ich oceňovanie v účtovníctve.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eastAsia="Arial"/>
          <w:sz w:val="22"/>
        </w:rPr>
      </w:pPr>
      <w:r>
        <w:rPr>
          <w:rFonts w:eastAsia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 w:before="0" w:after="120"/>
        <w:ind w:left="0" w:right="0" w:hanging="0"/>
        <w:rPr>
          <w:rFonts w:eastAsia="Arial"/>
          <w:b/>
          <w:b/>
          <w:sz w:val="24"/>
        </w:rPr>
      </w:pPr>
      <w:r>
        <w:rPr>
          <w:rFonts w:eastAsia="Arial"/>
          <w:b/>
          <w:sz w:val="24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b/>
          <w:sz w:val="24"/>
        </w:rPr>
        <w:t>ČL. III  INFORMÁCIE, KTORÉ DOPĹŇAJÚ A VYSVETĽUJÚ SÚVAHU A VÝKAZ ZISKOV A STRÁT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eastAsia="Arial"/>
          <w:sz w:val="22"/>
        </w:rPr>
      </w:pPr>
      <w:r>
        <w:rPr>
          <w:rFonts w:eastAsia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Informácie o záväzkoch, a to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a) celkovej sume záväzkov so zostatkovou dobou splatnosti dlhšou ako päť rokov:         0,- EUR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b) celkovej sume zabezpečených záväzkov, opis a spôsoby zabezpečenia záväzkov:     0,- EUR</w:t>
      </w:r>
    </w:p>
    <w:p>
      <w:pPr>
        <w:pStyle w:val="Normalpodnadpis1"/>
        <w:bidi w:val="0"/>
        <w:spacing w:lineRule="auto" w:line="360"/>
        <w:ind w:left="284" w:right="0" w:hanging="0"/>
        <w:rPr>
          <w:rFonts w:eastAsia="Arial"/>
          <w:sz w:val="22"/>
        </w:rPr>
      </w:pPr>
      <w:r>
        <w:rPr>
          <w:rFonts w:eastAsia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142" w:right="0" w:hanging="0"/>
        <w:rPr/>
      </w:pPr>
      <w:r>
        <w:rPr>
          <w:b/>
          <w:sz w:val="22"/>
        </w:rPr>
        <w:t>Tabuľka k záväzkom</w:t>
      </w:r>
    </w:p>
    <w:tbl>
      <w:tblPr>
        <w:tblW w:w="10170" w:type="dxa"/>
        <w:jc w:val="left"/>
        <w:tblInd w:w="-74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55"/>
        <w:gridCol w:w="2813"/>
        <w:gridCol w:w="3202"/>
      </w:tblGrid>
      <w:tr>
        <w:trPr/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Bežné účtovné obdobie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Bezprostredne predchádzajúce</w:t>
            </w:r>
            <w:r>
              <w:rPr/>
              <w:br/>
            </w:r>
            <w:r>
              <w:rPr>
                <w:b/>
                <w:sz w:val="18"/>
                <w:lang w:eastAsia="sk-SK"/>
              </w:rPr>
              <w:t>účtovné obdobie</w:t>
            </w:r>
          </w:p>
        </w:tc>
      </w:tr>
      <w:tr>
        <w:trPr>
          <w:trHeight w:val="391" w:hRule="atLeast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Arial"/>
                <w:sz w:val="18"/>
                <w:lang w:eastAsia="sk-SK"/>
              </w:rPr>
              <w:t>0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Arial"/>
                <w:sz w:val="18"/>
                <w:lang w:eastAsia="sk-SK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>Záväzky do lehoty splatnosti so zostatkovou dobou splatnosti do jedného  roka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right"/>
              <w:rPr>
                <w:lang w:val="cs-CZ"/>
              </w:rPr>
            </w:pPr>
            <w:r>
              <w:rPr>
                <w:rFonts w:eastAsia="Liberation Serif"/>
                <w:sz w:val="18"/>
                <w:lang w:val="cs-CZ"/>
              </w:rPr>
              <w:t>325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right"/>
              <w:rPr>
                <w:lang w:val="cs-CZ"/>
              </w:rPr>
            </w:pPr>
            <w:r>
              <w:rPr>
                <w:rFonts w:eastAsia="Liberation Serif"/>
                <w:sz w:val="18"/>
                <w:lang w:val="cs-CZ"/>
              </w:rPr>
              <w:t>0</w:t>
            </w:r>
          </w:p>
        </w:tc>
      </w:tr>
      <w:tr>
        <w:trPr>
          <w:trHeight w:val="447" w:hRule="atLeast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325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0</w:t>
            </w:r>
          </w:p>
        </w:tc>
      </w:tr>
      <w:tr>
        <w:trPr/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 xml:space="preserve">Záväzky so zostatkovou dobou splatnosti od jedného do piatich rokov vrátane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Arial"/>
                <w:sz w:val="18"/>
              </w:rPr>
              <w:t>12 141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Arial"/>
                <w:sz w:val="18"/>
              </w:rPr>
              <w:t>0</w:t>
            </w:r>
          </w:p>
        </w:tc>
      </w:tr>
      <w:tr>
        <w:trPr>
          <w:trHeight w:val="478" w:hRule="atLeast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 xml:space="preserve">Záväzky so zostatkovou dobou splatnosti viac ako päť rokov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Arial"/>
                <w:sz w:val="18"/>
              </w:rPr>
              <w:t>0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Arial"/>
                <w:sz w:val="18"/>
              </w:rPr>
              <w:t>0</w:t>
            </w:r>
          </w:p>
        </w:tc>
      </w:tr>
      <w:tr>
        <w:trPr>
          <w:trHeight w:val="409" w:hRule="atLeast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Arial"/>
                <w:b/>
                <w:sz w:val="18"/>
              </w:rPr>
              <w:t>12 141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Arial"/>
                <w:b/>
                <w:sz w:val="18"/>
              </w:rPr>
              <w:t>0</w:t>
            </w:r>
          </w:p>
        </w:tc>
      </w:tr>
      <w:tr>
        <w:trPr>
          <w:trHeight w:val="409" w:hRule="atLeast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Krátkodobé a 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right"/>
              <w:rPr>
                <w:lang w:val="cs-CZ"/>
              </w:rPr>
            </w:pPr>
            <w:r>
              <w:rPr>
                <w:rFonts w:eastAsia="Liberation Serif"/>
                <w:b/>
                <w:sz w:val="18"/>
                <w:lang w:val="cs-CZ"/>
              </w:rPr>
              <w:t>12 466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right"/>
              <w:rPr>
                <w:lang w:val="cs-CZ"/>
              </w:rPr>
            </w:pPr>
            <w:r>
              <w:rPr>
                <w:rFonts w:eastAsia="Liberation Serif"/>
                <w:b/>
                <w:sz w:val="18"/>
                <w:lang w:val="cs-CZ"/>
              </w:rPr>
              <w:t>0</w:t>
            </w:r>
          </w:p>
        </w:tc>
      </w:tr>
    </w:tbl>
    <w:p>
      <w:pPr>
        <w:pStyle w:val="Normalpodnadpis1"/>
        <w:bidi w:val="0"/>
        <w:spacing w:lineRule="auto" w:line="360"/>
        <w:ind w:left="567" w:right="0" w:hanging="0"/>
        <w:rPr>
          <w:rFonts w:eastAsia="Arial"/>
        </w:rPr>
      </w:pPr>
      <w:r>
        <w:rPr>
          <w:rFonts w:eastAsia="Arial"/>
        </w:rPr>
      </w:r>
    </w:p>
    <w:p>
      <w:pPr>
        <w:pStyle w:val="Normalpodnadpis1"/>
        <w:bidi w:val="0"/>
        <w:spacing w:lineRule="auto" w:line="360"/>
        <w:ind w:left="180" w:right="0" w:hanging="180"/>
        <w:rPr/>
      </w:pPr>
      <w:r>
        <w:rPr>
          <w:sz w:val="22"/>
        </w:rPr>
        <w:t>(3) Informácie o vlastných akciách, a to</w:t>
      </w:r>
    </w:p>
    <w:p>
      <w:pPr>
        <w:pStyle w:val="Normalpodnadpis1"/>
        <w:bidi w:val="0"/>
        <w:spacing w:lineRule="auto" w:line="36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eastAsia="Arial"/>
          <w:sz w:val="22"/>
        </w:rPr>
      </w:pPr>
      <w:r>
        <w:rPr>
          <w:rFonts w:eastAsia="Arial"/>
          <w:sz w:val="22"/>
        </w:rPr>
      </w:r>
    </w:p>
    <w:p>
      <w:pPr>
        <w:pStyle w:val="Normalpodnadpis1"/>
        <w:bidi w:val="0"/>
        <w:spacing w:lineRule="auto" w:line="360"/>
        <w:ind w:left="180" w:right="0" w:hanging="180"/>
        <w:rPr/>
      </w:pPr>
      <w:r>
        <w:rPr>
          <w:sz w:val="22"/>
        </w:rPr>
        <w:t>(4) Informácie o orgánoch účtovnej jednotky, a to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a) výške jednotlivých druhov záruk alebo iných zabezpečení poskytnutých pre členov štatutárneho orgánu, dozorného orgánu a iného orgánu účtovnej jednotky, a to v členení za jednotlivé orgány.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Členom štatutárneho orgánu neboli poskytnuté záruky alebo iné zabezpečenie.</w:t>
      </w:r>
    </w:p>
    <w:p>
      <w:pPr>
        <w:pStyle w:val="Normalpodnadpis1"/>
        <w:bidi w:val="0"/>
        <w:spacing w:lineRule="auto" w:line="360"/>
        <w:ind w:left="567" w:right="0" w:hanging="0"/>
        <w:rPr>
          <w:rFonts w:eastAsia="Arial"/>
          <w:sz w:val="22"/>
        </w:rPr>
      </w:pPr>
      <w:r>
        <w:rPr>
          <w:rFonts w:eastAsia="Arial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 xml:space="preserve">b) pôžičkách poskytnutých členom štatutárneho orgánu, dozorného orgánu a iného orgánu účtovnej jednotky 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Členom štatutárneho orgánu neboli poskytnuté pôžičky</w:t>
      </w:r>
    </w:p>
    <w:p>
      <w:pPr>
        <w:pStyle w:val="Normalpodnadpis1"/>
        <w:bidi w:val="0"/>
        <w:spacing w:lineRule="auto" w:line="360"/>
        <w:ind w:left="567" w:right="0" w:hanging="0"/>
        <w:rPr>
          <w:rFonts w:eastAsia="Arial"/>
          <w:sz w:val="22"/>
        </w:rPr>
      </w:pPr>
      <w:r>
        <w:rPr>
          <w:rFonts w:eastAsia="Arial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c) hlavných podmienkach, na základe ktorých im boli záruky alebo iné zabezpečenie a pôžičky poskytnuté; pri pôžičkách sa uvádzajú úrokové sadzby,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eastAsia="Arial"/>
          <w:sz w:val="22"/>
        </w:rPr>
      </w:pPr>
      <w:r>
        <w:rPr>
          <w:rFonts w:eastAsia="Arial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eastAsia="Arial"/>
          <w:sz w:val="22"/>
        </w:rPr>
      </w:pPr>
      <w:r>
        <w:rPr>
          <w:rFonts w:eastAsia="Arial"/>
          <w:sz w:val="22"/>
        </w:rPr>
      </w:r>
    </w:p>
    <w:p>
      <w:pPr>
        <w:pStyle w:val="Normalpodnadpis1"/>
        <w:bidi w:val="0"/>
        <w:spacing w:lineRule="auto" w:line="360"/>
        <w:ind w:left="0" w:right="0" w:hanging="0"/>
        <w:rPr/>
      </w:pPr>
      <w:r>
        <w:rPr>
          <w:sz w:val="22"/>
        </w:rPr>
        <w:t>(5) Informácie o povinnostiach účtovnej jednotky, a to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eastAsia="Arial"/>
          <w:sz w:val="22"/>
        </w:rPr>
      </w:pPr>
      <w:r>
        <w:rPr>
          <w:rFonts w:eastAsia="Arial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b) celkovej sume významných podmienených záväzkov, ktorými sa rozumie</w:t>
      </w:r>
    </w:p>
    <w:p>
      <w:pPr>
        <w:pStyle w:val="Normalpodnadpis1"/>
        <w:bidi w:val="0"/>
        <w:spacing w:lineRule="auto" w:line="360"/>
        <w:ind w:left="426" w:right="0" w:hanging="0"/>
        <w:rPr/>
      </w:pPr>
      <w:r>
        <w:rPr>
          <w:sz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Normalpodnadpis1"/>
        <w:bidi w:val="0"/>
        <w:spacing w:lineRule="auto" w:line="360"/>
        <w:ind w:left="426" w:right="0" w:hanging="0"/>
        <w:rPr/>
      </w:pPr>
      <w:r>
        <w:rPr>
          <w:sz w:val="22"/>
        </w:rPr>
        <w:t>2. existujúca povinnosť, ktorá vznikla ako dôsledok minulej udalosti, ale ktorá sa nevykazuje v súvahe, pretože</w:t>
      </w:r>
    </w:p>
    <w:p>
      <w:pPr>
        <w:pStyle w:val="Normalpodnadpis1"/>
        <w:bidi w:val="0"/>
        <w:spacing w:lineRule="auto" w:line="360"/>
        <w:ind w:left="567" w:right="0" w:hanging="0"/>
        <w:rPr/>
      </w:pPr>
      <w:r>
        <w:rPr>
          <w:sz w:val="22"/>
        </w:rPr>
        <w:t>2a. nie je pravdepodobné, že na splnenie tejto povinnosti bude potrebný úbytok ekonomických úžitkov, alebo</w:t>
      </w:r>
    </w:p>
    <w:p>
      <w:pPr>
        <w:pStyle w:val="Normalpodnadpis1"/>
        <w:bidi w:val="0"/>
        <w:spacing w:lineRule="auto" w:line="360"/>
        <w:ind w:left="567" w:right="0" w:hanging="0"/>
        <w:rPr/>
      </w:pPr>
      <w:r>
        <w:rPr>
          <w:sz w:val="22"/>
        </w:rPr>
        <w:t>2b. výška tejto povinnosti sa nedá spoľahlivo oceniť,</w:t>
      </w:r>
    </w:p>
    <w:p>
      <w:pPr>
        <w:pStyle w:val="Normalpodnadpis1"/>
        <w:bidi w:val="0"/>
        <w:spacing w:lineRule="auto" w:line="360"/>
        <w:ind w:left="0" w:right="0" w:hanging="0"/>
        <w:rPr/>
      </w:pPr>
      <w:r>
        <w:rPr>
          <w:sz w:val="22"/>
        </w:rPr>
        <w:t xml:space="preserve">  </w:t>
      </w:r>
      <w:r>
        <w:rPr>
          <w:sz w:val="22"/>
        </w:rPr>
        <w:tab/>
        <w:t xml:space="preserve">   Nie je plnenie.</w:t>
      </w:r>
    </w:p>
    <w:p>
      <w:pPr>
        <w:pStyle w:val="Normalpodnadpis1"/>
        <w:bidi w:val="0"/>
        <w:spacing w:lineRule="auto" w:line="360"/>
        <w:ind w:left="0" w:right="0" w:hanging="0"/>
        <w:rPr>
          <w:rFonts w:eastAsia="Arial"/>
          <w:sz w:val="22"/>
        </w:rPr>
      </w:pPr>
      <w:r>
        <w:rPr>
          <w:rFonts w:eastAsia="Arial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c) opise významných finančných povinností a významných podmienených záväzkov,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eastAsia="Arial"/>
          <w:sz w:val="22"/>
        </w:rPr>
      </w:pPr>
      <w:r>
        <w:rPr>
          <w:rFonts w:eastAsia="Arial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d) celkovej sume významných finančných povinností a významných podmienených záväzkoch voči dcérskej účtovnej jednotke a účtovnej jednotke s podstatným vplyvom,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eastAsia="Arial"/>
          <w:sz w:val="22"/>
        </w:rPr>
      </w:pPr>
      <w:r>
        <w:rPr>
          <w:rFonts w:eastAsia="Arial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e) opise významných povinností účtovnej jednotky vyplývajúcich z dôchodkových programov pre zamestnancov.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eastAsia="Arial"/>
          <w:sz w:val="22"/>
        </w:rPr>
      </w:pPr>
      <w:r>
        <w:rPr>
          <w:rFonts w:eastAsia="Arial"/>
          <w:sz w:val="22"/>
        </w:rPr>
      </w:r>
    </w:p>
    <w:p>
      <w:pPr>
        <w:pStyle w:val="Normalpodnadpis1"/>
        <w:tabs>
          <w:tab w:val="clear" w:pos="708"/>
          <w:tab w:val="left" w:pos="0" w:leader="none"/>
        </w:tabs>
        <w:bidi w:val="0"/>
        <w:spacing w:lineRule="auto" w:line="360" w:before="120" w:after="120"/>
        <w:ind w:left="0" w:right="0" w:hanging="0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851" w:right="851" w:header="709" w:top="1560" w:footer="373" w:bottom="851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swiss"/>
    <w:pitch w:val="variable"/>
  </w:font>
  <w:font w:name="Cambria">
    <w:charset w:val="ee"/>
    <w:family w:val="swiss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Arial Narrow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Footer"/>
      <w:widowControl/>
      <w:tabs>
        <w:tab w:val="center" w:pos="4536" w:leader="none"/>
        <w:tab w:val="right" w:pos="9072" w:leader="none"/>
      </w:tabs>
      <w:bidi w:val="0"/>
      <w:spacing w:lineRule="auto" w:line="360" w:before="120" w:after="120"/>
      <w:ind w:left="0" w:right="0" w:hanging="0"/>
      <w:jc w:val="right"/>
      <w:textAlignment w:val="auto"/>
      <w:rPr/>
    </w:pPr>
    <w:r>
      <w:rPr>
        <w:rFonts w:eastAsia="Arial" w:cs="Arial" w:ascii="Arial" w:hAnsi="Arial"/>
        <w:sz w:val="20"/>
        <w:lang w:val="sk-SK" w:eastAsia="ar-SA"/>
      </w:rPr>
      <w:t xml:space="preserve">Strana </w:t>
    </w:r>
    <w:r>
      <w:rPr>
        <w:rFonts w:eastAsia="Arial" w:cs="Arial" w:ascii="Arial" w:hAnsi="Arial"/>
        <w:sz w:val="20"/>
        <w:lang w:val="cs-CZ" w:eastAsia="ar-SA"/>
      </w:rPr>
      <w:fldChar w:fldCharType="begin"/>
    </w:r>
    <w:r>
      <w:rPr>
        <w:sz w:val="20"/>
        <w:rFonts w:eastAsia="Arial" w:cs="Arial" w:ascii="Arial" w:hAnsi="Arial"/>
      </w:rPr>
      <w:instrText> PAGE </w:instrText>
    </w:r>
    <w:r>
      <w:rPr>
        <w:sz w:val="20"/>
        <w:rFonts w:eastAsia="Arial" w:cs="Arial" w:ascii="Arial" w:hAnsi="Arial"/>
      </w:rPr>
      <w:fldChar w:fldCharType="separate"/>
    </w:r>
    <w:r>
      <w:rPr>
        <w:sz w:val="20"/>
        <w:rFonts w:eastAsia="Arial" w:cs="Arial" w:ascii="Arial" w:hAnsi="Arial"/>
      </w:rPr>
      <w:t>5</w:t>
    </w:r>
    <w:r>
      <w:rPr>
        <w:sz w:val="20"/>
        <w:rFonts w:eastAsia="Arial" w:cs="Arial" w:ascii="Arial" w:hAnsi="Arial"/>
      </w:rPr>
      <w:fldChar w:fldCharType="end"/>
    </w:r>
    <w:r>
      <w:rPr>
        <w:rFonts w:eastAsia="Arial" w:cs="Arial" w:ascii="Arial" w:hAnsi="Arial"/>
        <w:sz w:val="20"/>
        <w:lang w:val="sk-SK" w:eastAsia="ar-SA"/>
      </w:rPr>
      <w:t xml:space="preserve"> z </w:t>
    </w:r>
    <w:r>
      <w:rPr>
        <w:rFonts w:eastAsia="Arial" w:cs="Arial" w:ascii="Arial" w:hAnsi="Arial"/>
        <w:sz w:val="20"/>
        <w:lang w:val="cs-CZ" w:eastAsia="ar-SA"/>
      </w:rPr>
      <w:fldChar w:fldCharType="begin"/>
    </w:r>
    <w:r>
      <w:rPr>
        <w:sz w:val="20"/>
        <w:rFonts w:eastAsia="Arial" w:cs="Arial" w:ascii="Arial" w:hAnsi="Arial"/>
      </w:rPr>
      <w:instrText> NUMPAGES </w:instrText>
    </w:r>
    <w:r>
      <w:rPr>
        <w:sz w:val="20"/>
        <w:rFonts w:eastAsia="Arial" w:cs="Arial" w:ascii="Arial" w:hAnsi="Arial"/>
      </w:rPr>
      <w:fldChar w:fldCharType="separate"/>
    </w:r>
    <w:r>
      <w:rPr>
        <w:sz w:val="20"/>
        <w:rFonts w:eastAsia="Arial" w:cs="Arial" w:ascii="Arial" w:hAnsi="Arial"/>
      </w:rPr>
      <w:t>5</w:t>
    </w:r>
    <w:r>
      <w:rPr>
        <w:sz w:val="20"/>
        <w:rFonts w:eastAsia="Arial" w:cs="Arial" w:ascii="Arial" w:hAnsi="Arial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widowControl/>
      <w:tabs>
        <w:tab w:val="center" w:pos="4536" w:leader="none"/>
        <w:tab w:val="right" w:pos="9072" w:leader="none"/>
      </w:tabs>
      <w:bidi w:val="0"/>
      <w:spacing w:lineRule="auto" w:line="360" w:before="120" w:after="120"/>
      <w:ind w:left="0" w:right="360" w:hanging="0"/>
      <w:jc w:val="both"/>
      <w:textAlignment w:val="auto"/>
      <w:rPr>
        <w:rFonts w:ascii="Arial Narrow" w:hAnsi="Arial Narrow" w:eastAsia="Arial"/>
        <w:sz w:val="20"/>
        <w:lang w:val="sk-SK" w:eastAsia="ar-SA"/>
      </w:rPr>
    </w:pPr>
    <w:r>
      <w:rPr>
        <w:rFonts w:eastAsia="Arial"/>
        <w:sz w:val="20"/>
        <w:lang w:val="sk-SK" w:eastAsia="ar-SA"/>
      </w:rPr>
    </w:r>
    <w:r>
      <mc:AlternateContent>
        <mc:Choice Requires="wps">
          <w:drawing>
            <wp:anchor behindDoc="0" distT="72390" distB="72390" distL="72390" distR="72390" simplePos="0" locked="0" layoutInCell="1" allowOverlap="1" relativeHeight="6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1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suppressAutoHyphens w:val="true"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 xml:space="preserve">DIČ: </w:t>
                          </w:r>
                          <w:bookmarkStart w:id="6" w:name="DICHLAV_END"/>
                          <w:bookmarkStart w:id="7" w:name="DICHLAV"/>
                          <w:bookmarkEnd w:id="6"/>
                          <w:bookmarkEnd w:id="7"/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 xml:space="preserve"> 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382.5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suppressAutoHyphens w:val="true"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 xml:space="preserve">DIČ: </w:t>
                    </w:r>
                    <w:bookmarkStart w:id="8" w:name="DICHLAV_END"/>
                    <w:bookmarkStart w:id="9" w:name="DICHLAV"/>
                    <w:bookmarkEnd w:id="8"/>
                    <w:bookmarkEnd w:id="9"/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 xml:space="preserve"> 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72390" distB="72390" distL="72390" distR="72390" simplePos="0" locked="0" layoutInCell="1" allowOverlap="1" relativeHeight="1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0" t="0" r="0" b="0"/>
              <wp:wrapNone/>
              <wp:docPr id="2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50415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suppressAutoHyphens w:val="true"/>
                            <w:bidi w:val="0"/>
                            <w:spacing w:lineRule="auto" w:line="360" w:before="120" w:after="120"/>
                            <w:ind w:left="0" w:right="0" w:firstLine="1"/>
                            <w:jc w:val="left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>Poznámky Úč MÚJ 3 – 01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61.45pt;height:19.45pt;mso-wrap-distance-left:5.7pt;mso-wrap-distance-right:5.7pt;mso-wrap-distance-top:5.7pt;mso-wrap-distance-bottom:5.7pt;margin-top:1.8pt;mso-position-vertical-relative:text;margin-left:2.2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suppressAutoHyphens w:val="true"/>
                      <w:bidi w:val="0"/>
                      <w:spacing w:lineRule="auto" w:line="360" w:before="120" w:after="120"/>
                      <w:ind w:left="0" w:right="0" w:firstLine="1"/>
                      <w:jc w:val="left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>Poznámky Úč MÚJ 3 – 01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72390" distB="72390" distL="72390" distR="72390" simplePos="0" locked="0" layoutInCell="1" allowOverlap="1" relativeHeight="1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3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suppressAutoHyphens w:val="true"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 xml:space="preserve">IČO:     </w:t>
                          </w:r>
                          <w:bookmarkStart w:id="10" w:name="ICOHLAV_END"/>
                          <w:bookmarkStart w:id="11" w:name="ICOHLAV"/>
                          <w:bookmarkEnd w:id="10"/>
                          <w:bookmarkEnd w:id="11"/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>52177548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201.0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suppressAutoHyphens w:val="true"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 xml:space="preserve">IČO:     </w:t>
                    </w:r>
                    <w:bookmarkStart w:id="12" w:name="ICOHLAV_END"/>
                    <w:bookmarkStart w:id="13" w:name="ICOHLAV"/>
                    <w:bookmarkEnd w:id="12"/>
                    <w:bookmarkEnd w:id="13"/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>52177548</w:t>
                    </w:r>
                  </w:p>
                </w:txbxContent>
              </v:textbox>
            </v:rect>
          </w:pict>
        </mc:Fallback>
      </mc:AlternateContent>
    </w:r>
  </w:p>
</w:hdr>
</file>

<file path=word/settings.xml><?xml version="1.0" encoding="utf-8"?>
<w:settings xmlns:w="http://schemas.openxmlformats.org/wordprocessingml/2006/main">
  <w:zoom w:percent="100"/>
  <w:defaultTabStop w:val="708"/>
  <w:autoHyphenation w:val="false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Cs w:val="24"/>
        <w:lang w:val="cs-CZ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suppressAutoHyphens w:val="true"/>
    </w:pPr>
    <w:rPr>
      <w:rFonts w:ascii="Liberation Serif" w:hAnsi="Liberation Serif" w:eastAsia="Lucida Sans" w:cs="Liberation Serif"/>
      <w:color w:val="auto"/>
      <w:kern w:val="2"/>
      <w:sz w:val="24"/>
      <w:szCs w:val="24"/>
      <w:lang w:eastAsia="hi-IN" w:bidi="cs-CZ" w:val="cs-CZ"/>
    </w:rPr>
  </w:style>
  <w:style w:type="paragraph" w:styleId="Heading2">
    <w:name w:val="Heading 2"/>
    <w:basedOn w:val="Heading"/>
    <w:qFormat/>
    <w:pPr>
      <w:keepNext w:val="true"/>
      <w:widowControl/>
      <w:spacing w:lineRule="auto" w:line="360" w:before="240" w:after="60"/>
      <w:jc w:val="both"/>
      <w:textAlignment w:val="auto"/>
    </w:pPr>
    <w:rPr>
      <w:rFonts w:ascii="Arial Narrow" w:hAnsi="Arial Narrow" w:eastAsia="Arial"/>
      <w:b/>
      <w:i/>
      <w:sz w:val="28"/>
      <w:lang w:val="sk-SK" w:eastAsia="ar-SA"/>
    </w:rPr>
  </w:style>
  <w:style w:type="paragraph" w:styleId="Heading3">
    <w:name w:val="Heading 3"/>
    <w:basedOn w:val="Heading"/>
    <w:qFormat/>
    <w:pPr>
      <w:keepNext w:val="true"/>
      <w:widowControl/>
      <w:spacing w:lineRule="auto" w:line="360" w:before="240" w:after="60"/>
      <w:jc w:val="both"/>
      <w:textAlignment w:val="auto"/>
    </w:pPr>
    <w:rPr>
      <w:rFonts w:ascii="Cambria" w:hAnsi="Cambria" w:eastAsia="Cambria"/>
      <w:b/>
      <w:sz w:val="26"/>
      <w:lang w:val="sk-SK" w:eastAsia="ar-SA"/>
    </w:rPr>
  </w:style>
  <w:style w:type="character" w:styleId="DefaultParagraphFont">
    <w:name w:val="Default Paragraph Font"/>
    <w:qFormat/>
    <w:rPr/>
  </w:style>
  <w:style w:type="character" w:styleId="Nadpis1CharNadpisopatrenia1Char">
    <w:name w:val="Nadpis 1 Char,Nadpis opatrenia  1 Char"/>
    <w:basedOn w:val="DefaultParagraphFont"/>
    <w:qFormat/>
    <w:rPr>
      <w:rFonts w:ascii="Cambria" w:hAnsi="Cambria" w:eastAsia="Cambria"/>
      <w:b/>
      <w:kern w:val="2"/>
      <w:sz w:val="32"/>
      <w:lang w:val="cs-CZ" w:eastAsia="cs-CZ"/>
    </w:rPr>
  </w:style>
  <w:style w:type="character" w:styleId="Nadpis2Char">
    <w:name w:val="Nadpis 2 Char"/>
    <w:basedOn w:val="DefaultParagraphFont"/>
    <w:qFormat/>
    <w:rPr>
      <w:rFonts w:ascii="Cambria" w:hAnsi="Cambria" w:eastAsia="Cambria"/>
      <w:b/>
      <w:i/>
      <w:sz w:val="28"/>
      <w:lang w:val="cs-CZ" w:eastAsia="cs-CZ"/>
    </w:rPr>
  </w:style>
  <w:style w:type="character" w:styleId="Nadpis3Char">
    <w:name w:val="Nadpis 3 Char"/>
    <w:basedOn w:val="DefaultParagraphFont"/>
    <w:qFormat/>
    <w:rPr>
      <w:rFonts w:ascii="Cambria" w:hAnsi="Cambria" w:eastAsia="Cambria"/>
      <w:b/>
      <w:sz w:val="26"/>
      <w:lang w:val="cs-CZ" w:eastAsia="cs-CZ"/>
    </w:rPr>
  </w:style>
  <w:style w:type="character" w:styleId="TltlnzovChar115ptAntiqueOliveNiejeTun">
    <w:name w:val="Štýl Štýl § názov Char + 115 pt + Antique Olive Nie je Tučné"/>
    <w:basedOn w:val="DefaultParagraphFont"/>
    <w:qFormat/>
    <w:rPr>
      <w:rFonts w:ascii="Arial" w:hAnsi="Arial" w:eastAsia="Arial"/>
      <w:b/>
      <w:sz w:val="20"/>
      <w:lang w:val="sk-SK" w:eastAsia="sk-SK"/>
    </w:rPr>
  </w:style>
  <w:style w:type="character" w:styleId="ZpatChar">
    <w:name w:val="Zápatí Char"/>
    <w:basedOn w:val="DefaultParagraphFont"/>
    <w:qFormat/>
    <w:rPr>
      <w:rFonts w:ascii="Arial" w:hAnsi="Arial" w:eastAsia="Arial"/>
      <w:sz w:val="24"/>
      <w:lang w:val="cs-CZ" w:eastAsia="cs-CZ"/>
    </w:rPr>
  </w:style>
  <w:style w:type="character" w:styleId="Pagenumber">
    <w:name w:val="page number"/>
    <w:basedOn w:val="DefaultParagraphFont"/>
    <w:qFormat/>
    <w:rPr>
      <w:rFonts w:eastAsia="Times New Roman"/>
    </w:rPr>
  </w:style>
  <w:style w:type="character" w:styleId="Strong">
    <w:name w:val="Strong"/>
    <w:basedOn w:val="DefaultParagraphFont"/>
    <w:qFormat/>
    <w:rPr>
      <w:rFonts w:eastAsia="Times New Roman"/>
      <w:b/>
    </w:rPr>
  </w:style>
  <w:style w:type="character" w:styleId="TextbublinyChar">
    <w:name w:val="Text bubliny Char"/>
    <w:basedOn w:val="DefaultParagraphFont"/>
    <w:qFormat/>
    <w:rPr>
      <w:rFonts w:ascii="Tahoma" w:hAnsi="Tahoma" w:eastAsia="Tahoma"/>
      <w:sz w:val="16"/>
      <w:lang w:val="cs-CZ" w:eastAsia="cs-CZ"/>
    </w:rPr>
  </w:style>
  <w:style w:type="character" w:styleId="ZhlavChar">
    <w:name w:val="Záhlaví Char"/>
    <w:basedOn w:val="DefaultParagraphFont"/>
    <w:qFormat/>
    <w:rPr>
      <w:rFonts w:ascii="Arial Narrow" w:hAnsi="Arial Narrow" w:eastAsia="Arial"/>
      <w:sz w:val="24"/>
      <w:lang w:val="cs-CZ" w:eastAsia="cs-CZ"/>
    </w:rPr>
  </w:style>
  <w:style w:type="character" w:styleId="ListLabel1">
    <w:name w:val="ListLabel 1"/>
    <w:qFormat/>
    <w:rPr>
      <w:rFonts w:eastAsia="Arial"/>
    </w:rPr>
  </w:style>
  <w:style w:type="character" w:styleId="ListLabel2">
    <w:name w:val="ListLabel 2"/>
    <w:qFormat/>
    <w:rPr>
      <w:rFonts w:eastAsia="Times New Roman"/>
    </w:rPr>
  </w:style>
  <w:style w:type="character" w:styleId="ListLabel3">
    <w:name w:val="ListLabel 3"/>
    <w:qFormat/>
    <w:rPr>
      <w:rFonts w:eastAsia="Times New Roman"/>
    </w:rPr>
  </w:style>
  <w:style w:type="character" w:styleId="ListLabel4">
    <w:name w:val="ListLabel 4"/>
    <w:qFormat/>
    <w:rPr>
      <w:rFonts w:eastAsia="Times New Roman"/>
    </w:rPr>
  </w:style>
  <w:style w:type="character" w:styleId="ListLabel5">
    <w:name w:val="ListLabel 5"/>
    <w:qFormat/>
    <w:rPr>
      <w:rFonts w:eastAsia="Times New Roman"/>
    </w:rPr>
  </w:style>
  <w:style w:type="character" w:styleId="ListLabel6">
    <w:name w:val="ListLabel 6"/>
    <w:qFormat/>
    <w:rPr>
      <w:rFonts w:eastAsia="Times New Roman"/>
    </w:rPr>
  </w:style>
  <w:style w:type="character" w:styleId="ListLabel7">
    <w:name w:val="ListLabel 7"/>
    <w:qFormat/>
    <w:rPr>
      <w:rFonts w:eastAsia="Times New Roman"/>
    </w:rPr>
  </w:style>
  <w:style w:type="character" w:styleId="ListLabel8">
    <w:name w:val="ListLabel 8"/>
    <w:qFormat/>
    <w:rPr>
      <w:rFonts w:eastAsia="Times New Roman"/>
    </w:rPr>
  </w:style>
  <w:style w:type="character" w:styleId="ListLabel9">
    <w:name w:val="ListLabel 9"/>
    <w:qFormat/>
    <w:rPr>
      <w:rFonts w:eastAsia="Times New Roman"/>
    </w:rPr>
  </w:style>
  <w:style w:type="character" w:styleId="ListLabel10">
    <w:name w:val="ListLabel 10"/>
    <w:qFormat/>
    <w:rPr>
      <w:rFonts w:eastAsia="Arial"/>
    </w:rPr>
  </w:style>
  <w:style w:type="character" w:styleId="ListLabel11">
    <w:name w:val="ListLabel 11"/>
    <w:qFormat/>
    <w:rPr>
      <w:rFonts w:eastAsia="Times New Roman"/>
    </w:rPr>
  </w:style>
  <w:style w:type="character" w:styleId="ListLabel12">
    <w:name w:val="ListLabel 12"/>
    <w:qFormat/>
    <w:rPr>
      <w:rFonts w:eastAsia="Times New Roman"/>
    </w:rPr>
  </w:style>
  <w:style w:type="character" w:styleId="ListLabel13">
    <w:name w:val="ListLabel 13"/>
    <w:qFormat/>
    <w:rPr>
      <w:rFonts w:eastAsia="Times New Roman"/>
    </w:rPr>
  </w:style>
  <w:style w:type="character" w:styleId="ListLabel14">
    <w:name w:val="ListLabel 14"/>
    <w:qFormat/>
    <w:rPr>
      <w:rFonts w:eastAsia="Times New Roman"/>
    </w:rPr>
  </w:style>
  <w:style w:type="character" w:styleId="ListLabel15">
    <w:name w:val="ListLabel 15"/>
    <w:qFormat/>
    <w:rPr>
      <w:rFonts w:eastAsia="Times New Roman"/>
    </w:rPr>
  </w:style>
  <w:style w:type="character" w:styleId="ListLabel16">
    <w:name w:val="ListLabel 16"/>
    <w:qFormat/>
    <w:rPr>
      <w:rFonts w:eastAsia="Times New Roman"/>
    </w:rPr>
  </w:style>
  <w:style w:type="character" w:styleId="ListLabel17">
    <w:name w:val="ListLabel 17"/>
    <w:qFormat/>
    <w:rPr>
      <w:rFonts w:eastAsia="Times New Roman"/>
    </w:rPr>
  </w:style>
  <w:style w:type="character" w:styleId="ListLabel18">
    <w:name w:val="ListLabel 18"/>
    <w:qFormat/>
    <w:rPr>
      <w:rFonts w:eastAsia="Times New Roman"/>
    </w:rPr>
  </w:style>
  <w:style w:type="character" w:styleId="ListLabel19">
    <w:name w:val="ListLabel 19"/>
    <w:qFormat/>
    <w:rPr>
      <w:rFonts w:eastAsia="Times New Roman"/>
    </w:rPr>
  </w:style>
  <w:style w:type="character" w:styleId="ListLabel20">
    <w:name w:val="ListLabel 20"/>
    <w:qFormat/>
    <w:rPr>
      <w:rFonts w:eastAsia="Times New Roman"/>
    </w:rPr>
  </w:style>
  <w:style w:type="character" w:styleId="ListLabel21">
    <w:name w:val="ListLabel 21"/>
    <w:qFormat/>
    <w:rPr>
      <w:rFonts w:eastAsia="Times New Roman"/>
    </w:rPr>
  </w:style>
  <w:style w:type="character" w:styleId="ListLabel22">
    <w:name w:val="ListLabel 22"/>
    <w:qFormat/>
    <w:rPr>
      <w:rFonts w:eastAsia="Times New Roman"/>
    </w:rPr>
  </w:style>
  <w:style w:type="character" w:styleId="ListLabel23">
    <w:name w:val="ListLabel 23"/>
    <w:qFormat/>
    <w:rPr>
      <w:rFonts w:eastAsia="Times New Roman"/>
    </w:rPr>
  </w:style>
  <w:style w:type="character" w:styleId="ListLabel24">
    <w:name w:val="ListLabel 24"/>
    <w:qFormat/>
    <w:rPr>
      <w:rFonts w:eastAsia="Times New Roman"/>
    </w:rPr>
  </w:style>
  <w:style w:type="character" w:styleId="ListLabel25">
    <w:name w:val="ListLabel 25"/>
    <w:qFormat/>
    <w:rPr>
      <w:rFonts w:eastAsia="Times New Roman"/>
    </w:rPr>
  </w:style>
  <w:style w:type="character" w:styleId="ListLabel26">
    <w:name w:val="ListLabel 26"/>
    <w:qFormat/>
    <w:rPr>
      <w:rFonts w:eastAsia="Times New Roman"/>
    </w:rPr>
  </w:style>
  <w:style w:type="character" w:styleId="ListLabel27">
    <w:name w:val="ListLabel 27"/>
    <w:qFormat/>
    <w:rPr>
      <w:rFonts w:eastAsia="Times New Roman"/>
    </w:rPr>
  </w:style>
  <w:style w:type="character" w:styleId="ListLabel28">
    <w:name w:val="ListLabel 28"/>
    <w:qFormat/>
    <w:rPr>
      <w:rFonts w:eastAsia="Times New Roman"/>
    </w:rPr>
  </w:style>
  <w:style w:type="character" w:styleId="ListLabel29">
    <w:name w:val="ListLabel 29"/>
    <w:qFormat/>
    <w:rPr>
      <w:rFonts w:eastAsia="Times New Roman"/>
    </w:rPr>
  </w:style>
  <w:style w:type="character" w:styleId="ListLabel30">
    <w:name w:val="ListLabel 30"/>
    <w:qFormat/>
    <w:rPr>
      <w:rFonts w:eastAsia="Times New Roman"/>
    </w:rPr>
  </w:style>
  <w:style w:type="character" w:styleId="ListLabel31">
    <w:name w:val="ListLabel 31"/>
    <w:qFormat/>
    <w:rPr>
      <w:rFonts w:eastAsia="Times New Roman"/>
    </w:rPr>
  </w:style>
  <w:style w:type="character" w:styleId="ListLabel32">
    <w:name w:val="ListLabel 32"/>
    <w:qFormat/>
    <w:rPr>
      <w:rFonts w:eastAsia="Times New Roman"/>
    </w:rPr>
  </w:style>
  <w:style w:type="character" w:styleId="ListLabel33">
    <w:name w:val="ListLabel 33"/>
    <w:qFormat/>
    <w:rPr>
      <w:rFonts w:eastAsia="Times New Roman"/>
    </w:rPr>
  </w:style>
  <w:style w:type="character" w:styleId="ListLabel34">
    <w:name w:val="ListLabel 34"/>
    <w:qFormat/>
    <w:rPr>
      <w:rFonts w:eastAsia="Times New Roman"/>
    </w:rPr>
  </w:style>
  <w:style w:type="character" w:styleId="ListLabel35">
    <w:name w:val="ListLabel 35"/>
    <w:qFormat/>
    <w:rPr>
      <w:rFonts w:eastAsia="Times New Roman"/>
    </w:rPr>
  </w:style>
  <w:style w:type="character" w:styleId="ListLabel36">
    <w:name w:val="ListLabel 36"/>
    <w:qFormat/>
    <w:rPr>
      <w:rFonts w:eastAsia="Times New Roman"/>
    </w:rPr>
  </w:style>
  <w:style w:type="character" w:styleId="ListLabel37">
    <w:name w:val="ListLabel 37"/>
    <w:qFormat/>
    <w:rPr>
      <w:rFonts w:eastAsia="Times New Roman"/>
    </w:rPr>
  </w:style>
  <w:style w:type="character" w:styleId="ListLabel38">
    <w:name w:val="ListLabel 38"/>
    <w:qFormat/>
    <w:rPr>
      <w:rFonts w:eastAsia="Times New Roman"/>
    </w:rPr>
  </w:style>
  <w:style w:type="character" w:styleId="ListLabel39">
    <w:name w:val="ListLabel 39"/>
    <w:qFormat/>
    <w:rPr>
      <w:rFonts w:eastAsia="Times New Roman"/>
    </w:rPr>
  </w:style>
  <w:style w:type="character" w:styleId="ListLabel40">
    <w:name w:val="ListLabel 40"/>
    <w:qFormat/>
    <w:rPr>
      <w:rFonts w:eastAsia="Times New Roman"/>
    </w:rPr>
  </w:style>
  <w:style w:type="character" w:styleId="ListLabel41">
    <w:name w:val="ListLabel 41"/>
    <w:qFormat/>
    <w:rPr>
      <w:rFonts w:eastAsia="Times New Roman"/>
    </w:rPr>
  </w:style>
  <w:style w:type="character" w:styleId="ListLabel42">
    <w:name w:val="ListLabel 42"/>
    <w:qFormat/>
    <w:rPr>
      <w:rFonts w:eastAsia="Times New Roman"/>
    </w:rPr>
  </w:style>
  <w:style w:type="character" w:styleId="ListLabel43">
    <w:name w:val="ListLabel 43"/>
    <w:qFormat/>
    <w:rPr>
      <w:rFonts w:eastAsia="Times New Roman"/>
    </w:rPr>
  </w:style>
  <w:style w:type="character" w:styleId="ListLabel44">
    <w:name w:val="ListLabel 44"/>
    <w:qFormat/>
    <w:rPr>
      <w:rFonts w:eastAsia="Times New Roman"/>
    </w:rPr>
  </w:style>
  <w:style w:type="character" w:styleId="ListLabel45">
    <w:name w:val="ListLabel 45"/>
    <w:qFormat/>
    <w:rPr>
      <w:rFonts w:eastAsia="Times New Roman"/>
    </w:rPr>
  </w:style>
  <w:style w:type="character" w:styleId="ListLabel46">
    <w:name w:val="ListLabel 46"/>
    <w:qFormat/>
    <w:rPr>
      <w:rFonts w:eastAsia="Times New Roman"/>
    </w:rPr>
  </w:style>
  <w:style w:type="character" w:styleId="ListLabel47">
    <w:name w:val="ListLabel 47"/>
    <w:qFormat/>
    <w:rPr>
      <w:rFonts w:eastAsia="Times New Roman"/>
    </w:rPr>
  </w:style>
  <w:style w:type="character" w:styleId="ListLabel48">
    <w:name w:val="ListLabel 48"/>
    <w:qFormat/>
    <w:rPr>
      <w:rFonts w:eastAsia="Times New Roman"/>
    </w:rPr>
  </w:style>
  <w:style w:type="character" w:styleId="ListLabel49">
    <w:name w:val="ListLabel 49"/>
    <w:qFormat/>
    <w:rPr>
      <w:rFonts w:eastAsia="Times New Roman"/>
    </w:rPr>
  </w:style>
  <w:style w:type="character" w:styleId="ListLabel50">
    <w:name w:val="ListLabel 50"/>
    <w:qFormat/>
    <w:rPr>
      <w:rFonts w:eastAsia="Times New Roman"/>
    </w:rPr>
  </w:style>
  <w:style w:type="character" w:styleId="ListLabel51">
    <w:name w:val="ListLabel 51"/>
    <w:qFormat/>
    <w:rPr>
      <w:rFonts w:eastAsia="Times New Roman"/>
    </w:rPr>
  </w:style>
  <w:style w:type="character" w:styleId="ListLabel52">
    <w:name w:val="ListLabel 52"/>
    <w:qFormat/>
    <w:rPr>
      <w:rFonts w:eastAsia="Times New Roman"/>
    </w:rPr>
  </w:style>
  <w:style w:type="character" w:styleId="ListLabel53">
    <w:name w:val="ListLabel 53"/>
    <w:qFormat/>
    <w:rPr>
      <w:rFonts w:eastAsia="Times New Roman"/>
    </w:rPr>
  </w:style>
  <w:style w:type="character" w:styleId="ListLabel54">
    <w:name w:val="ListLabel 54"/>
    <w:qFormat/>
    <w:rPr>
      <w:rFonts w:eastAsia="Times New Roman"/>
    </w:rPr>
  </w:style>
  <w:style w:type="character" w:styleId="ListLabel55">
    <w:name w:val="ListLabel 55"/>
    <w:qFormat/>
    <w:rPr>
      <w:rFonts w:eastAsia="Times New Roman"/>
    </w:rPr>
  </w:style>
  <w:style w:type="character" w:styleId="ListLabel56">
    <w:name w:val="ListLabel 56"/>
    <w:qFormat/>
    <w:rPr>
      <w:rFonts w:eastAsia="Times New Roman"/>
    </w:rPr>
  </w:style>
  <w:style w:type="character" w:styleId="ListLabel57">
    <w:name w:val="ListLabel 57"/>
    <w:qFormat/>
    <w:rPr>
      <w:rFonts w:eastAsia="Times New Roman"/>
    </w:rPr>
  </w:style>
  <w:style w:type="character" w:styleId="ListLabel58">
    <w:name w:val="ListLabel 58"/>
    <w:qFormat/>
    <w:rPr>
      <w:rFonts w:eastAsia="Times New Roman"/>
    </w:rPr>
  </w:style>
  <w:style w:type="character" w:styleId="ListLabel59">
    <w:name w:val="ListLabel 59"/>
    <w:qFormat/>
    <w:rPr>
      <w:rFonts w:eastAsia="Times New Roman"/>
    </w:rPr>
  </w:style>
  <w:style w:type="character" w:styleId="ListLabel60">
    <w:name w:val="ListLabel 60"/>
    <w:qFormat/>
    <w:rPr>
      <w:rFonts w:eastAsia="Times New Roman"/>
    </w:rPr>
  </w:style>
  <w:style w:type="character" w:styleId="ListLabel61">
    <w:name w:val="ListLabel 61"/>
    <w:qFormat/>
    <w:rPr>
      <w:rFonts w:eastAsia="Times New Roman"/>
    </w:rPr>
  </w:style>
  <w:style w:type="character" w:styleId="ListLabel62">
    <w:name w:val="ListLabel 62"/>
    <w:qFormat/>
    <w:rPr>
      <w:rFonts w:eastAsia="Times New Roman"/>
    </w:rPr>
  </w:style>
  <w:style w:type="character" w:styleId="ListLabel63">
    <w:name w:val="ListLabel 63"/>
    <w:qFormat/>
    <w:rPr>
      <w:rFonts w:eastAsia="Times New Roman"/>
    </w:rPr>
  </w:style>
  <w:style w:type="character" w:styleId="ListLabel64">
    <w:name w:val="ListLabel 64"/>
    <w:qFormat/>
    <w:rPr>
      <w:rFonts w:eastAsia="Times New Roman"/>
    </w:rPr>
  </w:style>
  <w:style w:type="character" w:styleId="ListLabel65">
    <w:name w:val="ListLabel 65"/>
    <w:qFormat/>
    <w:rPr>
      <w:rFonts w:eastAsia="Times New Roman"/>
    </w:rPr>
  </w:style>
  <w:style w:type="character" w:styleId="ListLabel66">
    <w:name w:val="ListLabel 66"/>
    <w:qFormat/>
    <w:rPr>
      <w:rFonts w:eastAsia="Times New Roman"/>
    </w:rPr>
  </w:style>
  <w:style w:type="character" w:styleId="ListLabel67">
    <w:name w:val="ListLabel 67"/>
    <w:qFormat/>
    <w:rPr>
      <w:rFonts w:eastAsia="Times New Roman"/>
    </w:rPr>
  </w:style>
  <w:style w:type="character" w:styleId="ListLabel68">
    <w:name w:val="ListLabel 68"/>
    <w:qFormat/>
    <w:rPr>
      <w:rFonts w:eastAsia="Times New Roman"/>
    </w:rPr>
  </w:style>
  <w:style w:type="character" w:styleId="ListLabel69">
    <w:name w:val="ListLabel 69"/>
    <w:qFormat/>
    <w:rPr>
      <w:rFonts w:eastAsia="Times New Roman"/>
    </w:rPr>
  </w:style>
  <w:style w:type="character" w:styleId="ListLabel70">
    <w:name w:val="ListLabel 70"/>
    <w:qFormat/>
    <w:rPr>
      <w:rFonts w:eastAsia="Times New Roman"/>
    </w:rPr>
  </w:style>
  <w:style w:type="character" w:styleId="ListLabel71">
    <w:name w:val="ListLabel 71"/>
    <w:qFormat/>
    <w:rPr>
      <w:rFonts w:eastAsia="Times New Roman"/>
    </w:rPr>
  </w:style>
  <w:style w:type="character" w:styleId="ListLabel72">
    <w:name w:val="ListLabel 72"/>
    <w:qFormat/>
    <w:rPr>
      <w:rFonts w:eastAsia="Times New Roman"/>
    </w:rPr>
  </w:style>
  <w:style w:type="character" w:styleId="ListLabel73">
    <w:name w:val="ListLabel 73"/>
    <w:qFormat/>
    <w:rPr>
      <w:rFonts w:eastAsia="Times New Roman"/>
    </w:rPr>
  </w:style>
  <w:style w:type="character" w:styleId="ListLabel74">
    <w:name w:val="ListLabel 74"/>
    <w:qFormat/>
    <w:rPr>
      <w:rFonts w:eastAsia="Times New Roman"/>
    </w:rPr>
  </w:style>
  <w:style w:type="character" w:styleId="ListLabel75">
    <w:name w:val="ListLabel 75"/>
    <w:qFormat/>
    <w:rPr>
      <w:rFonts w:eastAsia="Times New Roman"/>
    </w:rPr>
  </w:style>
  <w:style w:type="character" w:styleId="ListLabel76">
    <w:name w:val="ListLabel 76"/>
    <w:qFormat/>
    <w:rPr>
      <w:rFonts w:eastAsia="Times New Roman"/>
    </w:rPr>
  </w:style>
  <w:style w:type="character" w:styleId="ListLabel77">
    <w:name w:val="ListLabel 77"/>
    <w:qFormat/>
    <w:rPr>
      <w:rFonts w:eastAsia="Times New Roman"/>
    </w:rPr>
  </w:style>
  <w:style w:type="character" w:styleId="ListLabel78">
    <w:name w:val="ListLabel 78"/>
    <w:qFormat/>
    <w:rPr>
      <w:rFonts w:eastAsia="Times New Roman"/>
    </w:rPr>
  </w:style>
  <w:style w:type="character" w:styleId="ListLabel79">
    <w:name w:val="ListLabel 79"/>
    <w:qFormat/>
    <w:rPr>
      <w:rFonts w:eastAsia="Times New Roman"/>
    </w:rPr>
  </w:style>
  <w:style w:type="character" w:styleId="ListLabel80">
    <w:name w:val="ListLabel 80"/>
    <w:qFormat/>
    <w:rPr>
      <w:rFonts w:eastAsia="Times New Roman"/>
    </w:rPr>
  </w:style>
  <w:style w:type="character" w:styleId="ListLabel81">
    <w:name w:val="ListLabel 81"/>
    <w:qFormat/>
    <w:rPr>
      <w:rFonts w:eastAsia="Times New Roman"/>
    </w:rPr>
  </w:style>
  <w:style w:type="character" w:styleId="ListLabel82">
    <w:name w:val="ListLabel 82"/>
    <w:qFormat/>
    <w:rPr>
      <w:rFonts w:eastAsia="Times New Roman"/>
    </w:rPr>
  </w:style>
  <w:style w:type="character" w:styleId="ListLabel83">
    <w:name w:val="ListLabel 83"/>
    <w:qFormat/>
    <w:rPr>
      <w:rFonts w:eastAsia="Times New Roman"/>
    </w:rPr>
  </w:style>
  <w:style w:type="character" w:styleId="ListLabel84">
    <w:name w:val="ListLabel 84"/>
    <w:qFormat/>
    <w:rPr>
      <w:rFonts w:eastAsia="Times New Roman"/>
    </w:rPr>
  </w:style>
  <w:style w:type="character" w:styleId="ListLabel85">
    <w:name w:val="ListLabel 85"/>
    <w:qFormat/>
    <w:rPr>
      <w:rFonts w:eastAsia="Times New Roman"/>
    </w:rPr>
  </w:style>
  <w:style w:type="character" w:styleId="ListLabel86">
    <w:name w:val="ListLabel 86"/>
    <w:qFormat/>
    <w:rPr>
      <w:rFonts w:eastAsia="Times New Roman"/>
    </w:rPr>
  </w:style>
  <w:style w:type="character" w:styleId="ListLabel87">
    <w:name w:val="ListLabel 87"/>
    <w:qFormat/>
    <w:rPr>
      <w:rFonts w:eastAsia="Times New Roman"/>
    </w:rPr>
  </w:style>
  <w:style w:type="character" w:styleId="ListLabel88">
    <w:name w:val="ListLabel 88"/>
    <w:qFormat/>
    <w:rPr>
      <w:rFonts w:eastAsia="Times New Roman"/>
    </w:rPr>
  </w:style>
  <w:style w:type="character" w:styleId="ListLabel89">
    <w:name w:val="ListLabel 89"/>
    <w:qFormat/>
    <w:rPr>
      <w:rFonts w:eastAsia="Times New Roman"/>
    </w:rPr>
  </w:style>
  <w:style w:type="character" w:styleId="ListLabel90">
    <w:name w:val="ListLabel 90"/>
    <w:qFormat/>
    <w:rPr>
      <w:rFonts w:eastAsia="Times New Roman"/>
    </w:rPr>
  </w:style>
  <w:style w:type="character" w:styleId="ListLabel91">
    <w:name w:val="ListLabel 91"/>
    <w:qFormat/>
    <w:rPr>
      <w:rFonts w:eastAsia="Times New Roman"/>
      <w:sz w:val="22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character" w:styleId="ListLabel94">
    <w:name w:val="ListLabel 94"/>
    <w:qFormat/>
    <w:rPr>
      <w:rFonts w:eastAsia="Times New Roman"/>
    </w:rPr>
  </w:style>
  <w:style w:type="character" w:styleId="ListLabel95">
    <w:name w:val="ListLabel 95"/>
    <w:qFormat/>
    <w:rPr>
      <w:rFonts w:eastAsia="Times New Roman"/>
    </w:rPr>
  </w:style>
  <w:style w:type="character" w:styleId="ListLabel96">
    <w:name w:val="ListLabel 96"/>
    <w:qFormat/>
    <w:rPr>
      <w:rFonts w:eastAsia="Times New Roman"/>
    </w:rPr>
  </w:style>
  <w:style w:type="character" w:styleId="ListLabel97">
    <w:name w:val="ListLabel 97"/>
    <w:qFormat/>
    <w:rPr>
      <w:rFonts w:eastAsia="Times New Roman"/>
    </w:rPr>
  </w:style>
  <w:style w:type="character" w:styleId="ListLabel98">
    <w:name w:val="ListLabel 98"/>
    <w:qFormat/>
    <w:rPr>
      <w:rFonts w:eastAsia="Times New Roman"/>
    </w:rPr>
  </w:style>
  <w:style w:type="character" w:styleId="ListLabel99">
    <w:name w:val="ListLabel 99"/>
    <w:qFormat/>
    <w:rPr>
      <w:rFonts w:eastAsia="Times New Roman"/>
    </w:rPr>
  </w:style>
  <w:style w:type="character" w:styleId="ListLabel100">
    <w:name w:val="ListLabel 100"/>
    <w:qFormat/>
    <w:rPr>
      <w:rFonts w:eastAsia="Times New Roman"/>
    </w:rPr>
  </w:style>
  <w:style w:type="character" w:styleId="ListLabel101">
    <w:name w:val="ListLabel 101"/>
    <w:qFormat/>
    <w:rPr>
      <w:rFonts w:eastAsia="Times New Roman"/>
    </w:rPr>
  </w:style>
  <w:style w:type="character" w:styleId="ListLabel102">
    <w:name w:val="ListLabel 102"/>
    <w:qFormat/>
    <w:rPr>
      <w:rFonts w:eastAsia="Times New Roman"/>
    </w:rPr>
  </w:style>
  <w:style w:type="character" w:styleId="ListLabel103">
    <w:name w:val="ListLabel 103"/>
    <w:qFormat/>
    <w:rPr>
      <w:rFonts w:eastAsia="Times New Roman"/>
    </w:rPr>
  </w:style>
  <w:style w:type="character" w:styleId="ListLabel104">
    <w:name w:val="ListLabel 104"/>
    <w:qFormat/>
    <w:rPr>
      <w:rFonts w:eastAsia="Times New Roman"/>
    </w:rPr>
  </w:style>
  <w:style w:type="character" w:styleId="ListLabel105">
    <w:name w:val="ListLabel 105"/>
    <w:qFormat/>
    <w:rPr>
      <w:rFonts w:eastAsia="Times New Roman"/>
    </w:rPr>
  </w:style>
  <w:style w:type="character" w:styleId="ListLabel106">
    <w:name w:val="ListLabel 106"/>
    <w:qFormat/>
    <w:rPr>
      <w:rFonts w:eastAsia="Times New Roman"/>
    </w:rPr>
  </w:style>
  <w:style w:type="character" w:styleId="ListLabel107">
    <w:name w:val="ListLabel 107"/>
    <w:qFormat/>
    <w:rPr>
      <w:rFonts w:eastAsia="Times New Roman"/>
    </w:rPr>
  </w:style>
  <w:style w:type="character" w:styleId="ListLabel108">
    <w:name w:val="ListLabel 108"/>
    <w:qFormat/>
    <w:rPr>
      <w:rFonts w:eastAsia="Times New Roman"/>
      <w:b w:val="false"/>
      <w:sz w:val="22"/>
    </w:rPr>
  </w:style>
  <w:style w:type="character" w:styleId="ListLabel109">
    <w:name w:val="ListLabel 109"/>
    <w:qFormat/>
    <w:rPr>
      <w:rFonts w:eastAsia="Times New Roman"/>
    </w:rPr>
  </w:style>
  <w:style w:type="character" w:styleId="ListLabel110">
    <w:name w:val="ListLabel 110"/>
    <w:qFormat/>
    <w:rPr>
      <w:rFonts w:eastAsia="Times New Roman"/>
    </w:rPr>
  </w:style>
  <w:style w:type="character" w:styleId="ListLabel111">
    <w:name w:val="ListLabel 111"/>
    <w:qFormat/>
    <w:rPr>
      <w:rFonts w:eastAsia="Times New Roman"/>
    </w:rPr>
  </w:style>
  <w:style w:type="character" w:styleId="ListLabel112">
    <w:name w:val="ListLabel 112"/>
    <w:qFormat/>
    <w:rPr>
      <w:rFonts w:eastAsia="Times New Roman"/>
    </w:rPr>
  </w:style>
  <w:style w:type="character" w:styleId="ListLabel113">
    <w:name w:val="ListLabel 113"/>
    <w:qFormat/>
    <w:rPr>
      <w:rFonts w:eastAsia="Times New Roman"/>
    </w:rPr>
  </w:style>
  <w:style w:type="character" w:styleId="ListLabel114">
    <w:name w:val="ListLabel 114"/>
    <w:qFormat/>
    <w:rPr>
      <w:rFonts w:eastAsia="Times New Roman"/>
    </w:rPr>
  </w:style>
  <w:style w:type="character" w:styleId="ListLabel115">
    <w:name w:val="ListLabel 115"/>
    <w:qFormat/>
    <w:rPr>
      <w:rFonts w:eastAsia="Times New Roman"/>
    </w:rPr>
  </w:style>
  <w:style w:type="character" w:styleId="ListLabel116">
    <w:name w:val="ListLabel 116"/>
    <w:qFormat/>
    <w:rPr>
      <w:rFonts w:eastAsia="Times New Roman"/>
    </w:rPr>
  </w:style>
  <w:style w:type="paragraph" w:styleId="Heading">
    <w:name w:val="Heading"/>
    <w:basedOn w:val="Normal"/>
    <w:next w:val="TextBody"/>
    <w:qFormat/>
    <w:pPr>
      <w:keepNext w:val="true"/>
      <w:widowControl/>
      <w:spacing w:before="240" w:after="120"/>
    </w:pPr>
    <w:rPr>
      <w:rFonts w:ascii="Liberation Sans" w:hAnsi="Liberation Sans" w:eastAsia="Lucida Sans"/>
      <w:sz w:val="28"/>
    </w:rPr>
  </w:style>
  <w:style w:type="paragraph" w:styleId="TextBody">
    <w:name w:val="Body Text"/>
    <w:basedOn w:val="Normal"/>
    <w:pPr>
      <w:widowControl/>
      <w:spacing w:lineRule="auto" w:line="276" w:before="0" w:after="140"/>
    </w:pPr>
    <w:rPr/>
  </w:style>
  <w:style w:type="paragraph" w:styleId="List">
    <w:name w:val="List"/>
    <w:basedOn w:val="TextBody"/>
    <w:pPr>
      <w:widowControl/>
      <w:spacing w:lineRule="auto" w:line="276" w:before="0" w:after="140"/>
    </w:pPr>
    <w:rPr>
      <w:rFonts w:eastAsia="Lucida Sans"/>
    </w:rPr>
  </w:style>
  <w:style w:type="paragraph" w:styleId="Caption">
    <w:name w:val="Caption"/>
    <w:basedOn w:val="Normal"/>
    <w:qFormat/>
    <w:pPr>
      <w:widowControl/>
      <w:spacing w:before="120" w:after="120"/>
    </w:pPr>
    <w:rPr>
      <w:rFonts w:eastAsia="Lucida Sans"/>
      <w:i/>
      <w:sz w:val="24"/>
    </w:rPr>
  </w:style>
  <w:style w:type="paragraph" w:styleId="Index">
    <w:name w:val="Index"/>
    <w:basedOn w:val="Normal"/>
    <w:qFormat/>
    <w:pPr>
      <w:widowControl/>
    </w:pPr>
    <w:rPr>
      <w:rFonts w:eastAsia="Lucida Sans"/>
    </w:rPr>
  </w:style>
  <w:style w:type="paragraph" w:styleId="Normalpodnadpis">
    <w:name w:val="Normal,podnadpis"/>
    <w:qFormat/>
    <w:pPr>
      <w:widowControl/>
      <w:suppressAutoHyphens w:val="true"/>
      <w:spacing w:lineRule="auto" w:line="360" w:before="120" w:after="120"/>
      <w:jc w:val="both"/>
      <w:textAlignment w:val="auto"/>
    </w:pPr>
    <w:rPr>
      <w:rFonts w:ascii="Arial Narrow" w:hAnsi="Arial Narrow" w:eastAsia="Arial" w:cs="Liberation Serif"/>
      <w:color w:val="auto"/>
      <w:kern w:val="2"/>
      <w:sz w:val="20"/>
      <w:szCs w:val="24"/>
      <w:lang w:val="sk-SK" w:eastAsia="ar-SA" w:bidi="hi-IN"/>
    </w:rPr>
  </w:style>
  <w:style w:type="paragraph" w:styleId="Heading1Nadpisopatrenia1">
    <w:name w:val="heading 1,Nadpis opatrenia  1"/>
    <w:basedOn w:val="Normalpodnadpis"/>
    <w:qFormat/>
    <w:pPr>
      <w:keepNext w:val="true"/>
      <w:widowControl/>
      <w:spacing w:lineRule="auto" w:line="360" w:before="120" w:after="120"/>
      <w:jc w:val="center"/>
      <w:textAlignment w:val="auto"/>
    </w:pPr>
    <w:rPr>
      <w:rFonts w:ascii="Arial Narrow" w:hAnsi="Arial Narrow" w:eastAsia="Arial"/>
      <w:b/>
      <w:sz w:val="20"/>
      <w:lang w:val="sk-SK" w:eastAsia="ar-SA"/>
    </w:rPr>
  </w:style>
  <w:style w:type="paragraph" w:styleId="DocumentMap">
    <w:name w:val="DocumentMap"/>
    <w:qFormat/>
    <w:pPr>
      <w:widowControl/>
      <w:suppressAutoHyphens w:val="true"/>
      <w:jc w:val="left"/>
      <w:textAlignment w:val="auto"/>
    </w:pPr>
    <w:rPr>
      <w:rFonts w:ascii="Times New Roman" w:hAnsi="Times New Roman" w:eastAsia="Times New Roman" w:cs="Liberation Serif"/>
      <w:color w:val="auto"/>
      <w:kern w:val="2"/>
      <w:sz w:val="20"/>
      <w:szCs w:val="24"/>
      <w:lang w:val="cs-CZ" w:eastAsia="ar-SA" w:bidi="hi-IN"/>
    </w:rPr>
  </w:style>
  <w:style w:type="paragraph" w:styleId="Tl11ptTuniernaPodaokrajaVavo019cmRiadkova">
    <w:name w:val="Štýl 11 pt Tučné Čierna Podľa okraja Vľavo:  019 cm Riadkova..."/>
    <w:qFormat/>
    <w:pPr>
      <w:widowControl/>
      <w:suppressAutoHyphens w:val="true"/>
      <w:spacing w:lineRule="auto" w:line="360"/>
      <w:jc w:val="both"/>
      <w:textAlignment w:val="auto"/>
    </w:pPr>
    <w:rPr>
      <w:rFonts w:ascii="Arial" w:hAnsi="Arial" w:eastAsia="Arial" w:cs="Liberation Serif"/>
      <w:color w:val="000000"/>
      <w:kern w:val="2"/>
      <w:sz w:val="24"/>
      <w:szCs w:val="24"/>
      <w:lang w:val="sk-SK" w:eastAsia="ar-SA" w:bidi="hi-IN"/>
    </w:rPr>
  </w:style>
  <w:style w:type="paragraph" w:styleId="TlPodaokrajaVavo019cmRiadkovanie15riadka">
    <w:name w:val="Štýl Podľa okraja Vľavo:  019 cm Riadkovanie:  15 riadka"/>
    <w:basedOn w:val="Normalpodnadpis"/>
    <w:autoRedefine/>
    <w:qFormat/>
    <w:pPr>
      <w:widowControl/>
      <w:spacing w:lineRule="auto" w:line="360" w:before="120" w:after="120"/>
      <w:ind w:left="108" w:hanging="0"/>
      <w:jc w:val="both"/>
      <w:textAlignment w:val="auto"/>
    </w:pPr>
    <w:rPr>
      <w:rFonts w:ascii="Arial Narrow" w:hAnsi="Arial Narrow" w:eastAsia="Arial"/>
      <w:sz w:val="20"/>
      <w:lang w:val="sk-SK" w:eastAsia="ar-SA"/>
    </w:rPr>
  </w:style>
  <w:style w:type="paragraph" w:styleId="Bododvodnenie">
    <w:name w:val="Bod odôvodnenie"/>
    <w:qFormat/>
    <w:pPr>
      <w:widowControl/>
      <w:tabs>
        <w:tab w:val="clear" w:pos="708"/>
        <w:tab w:val="left" w:pos="0" w:leader="none"/>
      </w:tabs>
      <w:suppressAutoHyphens w:val="true"/>
      <w:spacing w:before="120" w:after="120"/>
      <w:jc w:val="left"/>
      <w:textAlignment w:val="auto"/>
    </w:pPr>
    <w:rPr>
      <w:rFonts w:ascii="Arial" w:hAnsi="Arial" w:eastAsia="Arial" w:cs="Liberation Serif"/>
      <w:b/>
      <w:color w:val="auto"/>
      <w:kern w:val="2"/>
      <w:sz w:val="24"/>
      <w:szCs w:val="24"/>
      <w:lang w:val="sk-SK" w:eastAsia="ar-SA" w:bidi="hi-IN"/>
    </w:rPr>
  </w:style>
  <w:style w:type="paragraph" w:styleId="TlArialPodaokraja">
    <w:name w:val="Štýl Arial Podľa okraja"/>
    <w:autoRedefine/>
    <w:qFormat/>
    <w:pPr>
      <w:widowControl/>
      <w:suppressAutoHyphens w:val="true"/>
      <w:jc w:val="both"/>
      <w:textAlignment w:val="auto"/>
    </w:pPr>
    <w:rPr>
      <w:rFonts w:ascii="Arial" w:hAnsi="Arial" w:eastAsia="Arial" w:cs="Liberation Serif"/>
      <w:color w:val="auto"/>
      <w:kern w:val="2"/>
      <w:sz w:val="16"/>
      <w:szCs w:val="24"/>
      <w:lang w:val="sk-SK" w:eastAsia="ar-SA" w:bidi="hi-IN"/>
    </w:rPr>
  </w:style>
  <w:style w:type="paragraph" w:styleId="Textpoznmky">
    <w:name w:val="Text poznámky"/>
    <w:basedOn w:val="Normalpodnadpis"/>
    <w:autoRedefine/>
    <w:qFormat/>
    <w:pPr>
      <w:widowControl/>
      <w:tabs>
        <w:tab w:val="clear" w:pos="708"/>
        <w:tab w:val="left" w:pos="0" w:leader="none"/>
      </w:tabs>
      <w:spacing w:lineRule="auto" w:line="360" w:before="120" w:after="120"/>
      <w:jc w:val="both"/>
      <w:textAlignment w:val="auto"/>
    </w:pPr>
    <w:rPr>
      <w:rFonts w:ascii="Arial Narrow" w:hAnsi="Arial Narrow" w:eastAsia="Arial"/>
      <w:sz w:val="20"/>
      <w:lang w:val="sk-SK" w:eastAsia="ar-SA"/>
    </w:rPr>
  </w:style>
  <w:style w:type="paragraph" w:styleId="TableGrid">
    <w:name w:val="Table Grid"/>
    <w:basedOn w:val="DocumentMap"/>
    <w:qFormat/>
    <w:pPr>
      <w:widowControl/>
      <w:jc w:val="left"/>
      <w:textAlignment w:val="auto"/>
    </w:pPr>
    <w:rPr>
      <w:rFonts w:ascii="Arial" w:hAnsi="Arial" w:eastAsia="Arial"/>
      <w:sz w:val="20"/>
      <w:lang w:val="sk-SK" w:eastAsia="ar-SA"/>
    </w:rPr>
  </w:style>
  <w:style w:type="paragraph" w:styleId="Footer">
    <w:name w:val="Footer"/>
    <w:basedOn w:val="Normalpodnadpis"/>
    <w:pPr>
      <w:widowControl/>
      <w:tabs>
        <w:tab w:val="clear" w:pos="708"/>
        <w:tab w:val="center" w:pos="4536" w:leader="none"/>
        <w:tab w:val="right" w:pos="9072" w:leader="none"/>
      </w:tabs>
      <w:spacing w:lineRule="auto" w:line="360" w:before="120" w:after="120"/>
      <w:jc w:val="both"/>
      <w:textAlignment w:val="auto"/>
    </w:pPr>
    <w:rPr>
      <w:rFonts w:ascii="Arial Narrow" w:hAnsi="Arial Narrow" w:eastAsia="Arial"/>
      <w:sz w:val="20"/>
      <w:lang w:val="sk-SK" w:eastAsia="ar-SA"/>
    </w:rPr>
  </w:style>
  <w:style w:type="paragraph" w:styleId="Normlny1">
    <w:name w:val="Normálny1"/>
    <w:qFormat/>
    <w:pPr>
      <w:widowControl/>
      <w:suppressAutoHyphens w:val="true"/>
      <w:spacing w:lineRule="auto" w:line="360" w:before="120" w:after="120"/>
      <w:ind w:firstLine="709"/>
      <w:jc w:val="both"/>
      <w:textAlignment w:val="auto"/>
    </w:pPr>
    <w:rPr>
      <w:rFonts w:ascii="Arial" w:hAnsi="Arial" w:eastAsia="Arial" w:cs="Liberation Serif"/>
      <w:color w:val="auto"/>
      <w:kern w:val="2"/>
      <w:sz w:val="24"/>
      <w:szCs w:val="24"/>
      <w:lang w:val="sk-SK" w:eastAsia="ar-SA" w:bidi="hi-IN"/>
    </w:rPr>
  </w:style>
  <w:style w:type="paragraph" w:styleId="Textopatrenia">
    <w:name w:val="Text opatrenia"/>
    <w:qFormat/>
    <w:pPr>
      <w:widowControl/>
      <w:tabs>
        <w:tab w:val="clear" w:pos="708"/>
        <w:tab w:val="left" w:pos="1440" w:leader="none"/>
      </w:tabs>
      <w:suppressAutoHyphens w:val="true"/>
      <w:spacing w:before="120" w:after="120"/>
      <w:ind w:left="1440" w:hanging="360"/>
      <w:jc w:val="both"/>
      <w:textAlignment w:val="auto"/>
    </w:pPr>
    <w:rPr>
      <w:rFonts w:ascii="Arial Narrow" w:hAnsi="Arial Narrow" w:eastAsia="Arial" w:cs="Liberation Serif"/>
      <w:color w:val="auto"/>
      <w:kern w:val="2"/>
      <w:sz w:val="22"/>
      <w:szCs w:val="24"/>
      <w:lang w:val="sk-SK" w:eastAsia="ar-SA" w:bidi="hi-IN"/>
    </w:rPr>
  </w:style>
  <w:style w:type="paragraph" w:styleId="TopHeader">
    <w:name w:val="Top Header"/>
    <w:basedOn w:val="Normalpodnadpis"/>
    <w:qFormat/>
    <w:pPr>
      <w:widowControl/>
      <w:spacing w:lineRule="auto" w:line="360" w:before="120" w:after="120"/>
      <w:jc w:val="center"/>
      <w:textAlignment w:val="auto"/>
    </w:pPr>
    <w:rPr>
      <w:rFonts w:ascii="Arial Narrow" w:hAnsi="Arial Narrow" w:eastAsia="Times New Roman"/>
      <w:b/>
      <w:sz w:val="22"/>
      <w:lang w:val="sk-SK" w:eastAsia="ar-SA"/>
    </w:rPr>
  </w:style>
  <w:style w:type="paragraph" w:styleId="BalloonText">
    <w:name w:val="Balloon Text"/>
    <w:basedOn w:val="Normalpodnadpis"/>
    <w:qFormat/>
    <w:pPr>
      <w:widowControl/>
      <w:spacing w:lineRule="auto" w:line="360" w:before="120" w:after="120"/>
      <w:jc w:val="both"/>
      <w:textAlignment w:val="auto"/>
    </w:pPr>
    <w:rPr>
      <w:rFonts w:ascii="Tahoma" w:hAnsi="Tahoma" w:eastAsia="Tahoma"/>
      <w:sz w:val="16"/>
      <w:lang w:val="sk-SK" w:eastAsia="ar-SA"/>
    </w:rPr>
  </w:style>
  <w:style w:type="paragraph" w:styleId="Header">
    <w:name w:val="Header"/>
    <w:basedOn w:val="Normalpodnadpis"/>
    <w:pPr>
      <w:widowControl/>
      <w:tabs>
        <w:tab w:val="clear" w:pos="708"/>
        <w:tab w:val="center" w:pos="4536" w:leader="none"/>
        <w:tab w:val="right" w:pos="9072" w:leader="none"/>
      </w:tabs>
      <w:spacing w:lineRule="auto" w:line="360" w:before="120" w:after="120"/>
      <w:jc w:val="both"/>
      <w:textAlignment w:val="auto"/>
    </w:pPr>
    <w:rPr>
      <w:rFonts w:ascii="Arial Narrow" w:hAnsi="Arial Narrow" w:eastAsia="Arial"/>
      <w:sz w:val="20"/>
      <w:lang w:val="sk-SK" w:eastAsia="ar-SA"/>
    </w:rPr>
  </w:style>
  <w:style w:type="paragraph" w:styleId="Styl1">
    <w:name w:val="Styl1"/>
    <w:basedOn w:val="Heading1Nadpisopatrenia1"/>
    <w:qFormat/>
    <w:pPr>
      <w:keepNext w:val="true"/>
      <w:widowControl/>
      <w:tabs>
        <w:tab w:val="clear" w:pos="708"/>
        <w:tab w:val="left" w:pos="720" w:leader="none"/>
        <w:tab w:val="left" w:pos="1429" w:leader="none"/>
        <w:tab w:val="left" w:pos="1713" w:leader="none"/>
      </w:tabs>
      <w:spacing w:lineRule="auto" w:line="360" w:before="120" w:after="120"/>
      <w:ind w:left="720" w:hanging="360"/>
      <w:jc w:val="left"/>
      <w:textAlignment w:val="auto"/>
    </w:pPr>
    <w:rPr>
      <w:rFonts w:ascii="Arial Narrow" w:hAnsi="Arial Narrow" w:eastAsia="Arial Narrow"/>
      <w:b/>
      <w:sz w:val="22"/>
      <w:lang w:val="sk-SK" w:eastAsia="ar-SA"/>
    </w:rPr>
  </w:style>
  <w:style w:type="paragraph" w:styleId="Default">
    <w:name w:val="Default"/>
    <w:qFormat/>
    <w:pPr>
      <w:widowControl/>
      <w:suppressAutoHyphens w:val="true"/>
      <w:jc w:val="left"/>
      <w:textAlignment w:val="auto"/>
    </w:pPr>
    <w:rPr>
      <w:rFonts w:ascii="Times New Roman" w:hAnsi="Times New Roman" w:eastAsia="Times New Roman" w:cs="Liberation Serif"/>
      <w:color w:val="000000"/>
      <w:kern w:val="2"/>
      <w:sz w:val="24"/>
      <w:szCs w:val="24"/>
      <w:lang w:val="sk-SK" w:eastAsia="ar-SA" w:bidi="hi-IN"/>
    </w:rPr>
  </w:style>
  <w:style w:type="paragraph" w:styleId="Styl2">
    <w:name w:val="Styl2"/>
    <w:basedOn w:val="Heading2"/>
    <w:qFormat/>
    <w:pPr>
      <w:keepNext w:val="true"/>
      <w:widowControl/>
      <w:tabs>
        <w:tab w:val="clear" w:pos="708"/>
        <w:tab w:val="left" w:pos="1440" w:leader="none"/>
        <w:tab w:val="left" w:pos="2149" w:leader="none"/>
        <w:tab w:val="left" w:pos="2433" w:leader="none"/>
      </w:tabs>
      <w:spacing w:lineRule="auto" w:line="360" w:before="240" w:after="60"/>
      <w:ind w:left="1440" w:hanging="360"/>
      <w:jc w:val="left"/>
      <w:textAlignment w:val="auto"/>
    </w:pPr>
    <w:rPr>
      <w:rFonts w:ascii="Arial Narrow" w:hAnsi="Arial Narrow" w:eastAsia="Arial Narrow"/>
      <w:b/>
      <w:i/>
      <w:sz w:val="20"/>
      <w:lang w:val="sk-SK" w:eastAsia="ar-SA"/>
    </w:rPr>
  </w:style>
  <w:style w:type="paragraph" w:styleId="Styl3">
    <w:name w:val="Styl3"/>
    <w:basedOn w:val="Heading3"/>
    <w:qFormat/>
    <w:pPr>
      <w:keepNext w:val="true"/>
      <w:widowControl/>
      <w:tabs>
        <w:tab w:val="clear" w:pos="708"/>
        <w:tab w:val="left" w:pos="2340" w:leader="none"/>
        <w:tab w:val="left" w:pos="3049" w:leader="none"/>
        <w:tab w:val="left" w:pos="3333" w:leader="none"/>
      </w:tabs>
      <w:spacing w:lineRule="auto" w:line="360" w:before="240" w:after="60"/>
      <w:ind w:left="2340" w:hanging="360"/>
      <w:jc w:val="center"/>
      <w:textAlignment w:val="auto"/>
    </w:pPr>
    <w:rPr>
      <w:rFonts w:ascii="Arial Narrow" w:hAnsi="Arial Narrow" w:eastAsia="Arial Narrow"/>
      <w:b/>
      <w:caps/>
      <w:sz w:val="18"/>
      <w:lang w:val="sk-SK" w:eastAsia="ar-SA"/>
    </w:rPr>
  </w:style>
  <w:style w:type="paragraph" w:styleId="ListParagraph">
    <w:name w:val="List Paragraph"/>
    <w:basedOn w:val="Normalpodnadpis"/>
    <w:qFormat/>
    <w:pPr>
      <w:widowControl/>
      <w:spacing w:lineRule="auto" w:line="360" w:before="120" w:after="120"/>
      <w:ind w:left="708" w:hanging="0"/>
      <w:jc w:val="both"/>
      <w:textAlignment w:val="auto"/>
    </w:pPr>
    <w:rPr>
      <w:rFonts w:ascii="Arial Narrow" w:hAnsi="Arial Narrow" w:eastAsia="Arial"/>
      <w:sz w:val="20"/>
      <w:lang w:val="sk-SK" w:eastAsia="ar-SA"/>
    </w:rPr>
  </w:style>
  <w:style w:type="paragraph" w:styleId="FrameContents">
    <w:name w:val="Frame Contents"/>
    <w:basedOn w:val="Normal"/>
    <w:qFormat/>
    <w:pPr>
      <w:widowControl/>
    </w:pPr>
    <w:rPr/>
  </w:style>
  <w:style w:type="paragraph" w:styleId="Normalpodnadpis1">
    <w:name w:val="Normal;podnadpis"/>
    <w:qFormat/>
    <w:pPr>
      <w:widowControl/>
      <w:suppressAutoHyphens w:val="true"/>
      <w:spacing w:lineRule="auto" w:line="360" w:before="120" w:after="120"/>
      <w:jc w:val="both"/>
      <w:textAlignment w:val="auto"/>
    </w:pPr>
    <w:rPr>
      <w:rFonts w:ascii="Arial Narrow" w:hAnsi="Arial Narrow" w:eastAsia="Arial Narrow" w:cs="Liberation Serif"/>
      <w:color w:val="auto"/>
      <w:kern w:val="2"/>
      <w:sz w:val="20"/>
      <w:szCs w:val="24"/>
      <w:lang w:val="sk-SK" w:eastAsia="ar-SA" w:bidi="hi-IN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LibreOffice/6.2.3.2$Windows_X86_64 LibreOffice_project/aecc05fe267cc68dde00352a451aa867b3b546ac</Application>
  <Pages>5</Pages>
  <Words>903</Words>
  <Characters>5508</Characters>
  <CharactersWithSpaces>6318</CharactersWithSpaces>
  <Paragraphs>148</Paragraphs>
  <Company>CSW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2014-01-07T09:28:00Z</dcterms:created>
  <dc:creator>Rastislav.Burza@csw.sk</dc:creator>
  <dc:description>&lt;?template name="Účtovná záverka mikro ÚJ 2014" version="1.00"?&gt;</dc:description>
  <dc:language>cs-CZ</dc:language>
  <cp:lastModifiedBy/>
  <cp:lastPrinted>2014-01-07T09:24:00Z</cp:lastPrinted>
  <dcterms:modified xsi:type="dcterms:W3CDTF">2020-06-30T11:36:00Z</dcterms:modified>
  <cp:revision>0</cp:revision>
  <dc:subject/>
  <dc:title>Poznámky Úč MÚJ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CSW</vt:lpwstr>
  </property>
  <property fmtid="{D5CDD505-2E9C-101B-9397-08002B2CF9AE}" pid="3" name="Operator">
    <vt:lpwstr>Tomáš Kubala</vt:lpwstr>
  </property>
</Properties>
</file>