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2260" w:rsidRDefault="00F22260" w:rsidP="00F22260">
      <w:pPr>
        <w:jc w:val="center"/>
        <w:rPr>
          <w:b/>
          <w:sz w:val="48"/>
          <w:szCs w:val="48"/>
        </w:rPr>
      </w:pPr>
      <w:r>
        <w:rPr>
          <w:b/>
          <w:noProof/>
          <w:sz w:val="48"/>
          <w:szCs w:val="48"/>
          <w:lang w:eastAsia="sk-SK"/>
        </w:rPr>
        <w:drawing>
          <wp:inline distT="0" distB="0" distL="0" distR="0" wp14:anchorId="28F3D4C7" wp14:editId="2D36AB86">
            <wp:extent cx="1581150" cy="100992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20" cy="1012334"/>
                    </a:xfrm>
                    <a:prstGeom prst="rect">
                      <a:avLst/>
                    </a:prstGeom>
                    <a:noFill/>
                    <a:ln>
                      <a:noFill/>
                    </a:ln>
                  </pic:spPr>
                </pic:pic>
              </a:graphicData>
            </a:graphic>
          </wp:inline>
        </w:drawing>
      </w:r>
    </w:p>
    <w:p w:rsidR="0080706F" w:rsidRPr="00D346B1" w:rsidRDefault="0080706F" w:rsidP="0080706F">
      <w:pPr>
        <w:jc w:val="center"/>
        <w:rPr>
          <w:b/>
        </w:rPr>
      </w:pPr>
      <w:r w:rsidRPr="00D346B1">
        <w:rPr>
          <w:b/>
        </w:rPr>
        <w:t>Poznámky k účtovnej závierke</w:t>
      </w:r>
      <w:r>
        <w:rPr>
          <w:b/>
        </w:rPr>
        <w:t xml:space="preserve"> podnikateľov v podvojnom účtovníctve</w:t>
      </w:r>
      <w:r w:rsidRPr="00D346B1">
        <w:rPr>
          <w:b/>
        </w:rPr>
        <w:t xml:space="preserve"> zostavenej</w:t>
      </w:r>
      <w:r>
        <w:rPr>
          <w:b/>
        </w:rPr>
        <w:t xml:space="preserve"> k 31.12.201</w:t>
      </w:r>
      <w:r w:rsidR="00917B23">
        <w:rPr>
          <w:b/>
        </w:rPr>
        <w:t>9</w:t>
      </w:r>
      <w:r w:rsidRPr="00D346B1">
        <w:rPr>
          <w:b/>
        </w:rPr>
        <w:t xml:space="preserve"> a schválenej dňa </w:t>
      </w:r>
      <w:r w:rsidR="00917B23">
        <w:rPr>
          <w:b/>
        </w:rPr>
        <w:t>30.06.2020</w:t>
      </w:r>
    </w:p>
    <w:p w:rsidR="0080706F" w:rsidRPr="000823AF" w:rsidRDefault="0080706F" w:rsidP="0080706F">
      <w:pPr>
        <w:jc w:val="both"/>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Pr="000823AF" w:rsidRDefault="0080706F" w:rsidP="0080706F">
      <w:pPr>
        <w:pStyle w:val="Nadpis1"/>
        <w:tabs>
          <w:tab w:val="num" w:pos="360"/>
          <w:tab w:val="num" w:pos="2062"/>
        </w:tabs>
        <w:spacing w:after="60"/>
        <w:ind w:left="360" w:hanging="360"/>
      </w:pPr>
      <w:bookmarkStart w:id="0" w:name="_Toc530739894"/>
      <w:r w:rsidRPr="000823AF">
        <w:lastRenderedPageBreak/>
        <w:t>VŠEOBECNÉ INFORMÁCIE</w:t>
      </w:r>
      <w:bookmarkEnd w:id="0"/>
    </w:p>
    <w:p w:rsidR="0080706F" w:rsidRPr="000823AF" w:rsidRDefault="0080706F" w:rsidP="0080706F">
      <w:pPr>
        <w:pStyle w:val="Zkladntext"/>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Obchodné meno a sídlo spoločnosti:</w:t>
      </w:r>
    </w:p>
    <w:p w:rsidR="0080706F" w:rsidRPr="000823AF" w:rsidRDefault="0080706F" w:rsidP="0080706F"/>
    <w:p w:rsidR="0080706F" w:rsidRPr="000823AF" w:rsidRDefault="0080706F" w:rsidP="0080706F">
      <w:pPr>
        <w:pStyle w:val="Zkladntext"/>
        <w:rPr>
          <w:sz w:val="24"/>
          <w:szCs w:val="24"/>
        </w:rPr>
      </w:pPr>
      <w:r>
        <w:rPr>
          <w:sz w:val="24"/>
          <w:szCs w:val="24"/>
        </w:rPr>
        <w:t>LUJZA</w:t>
      </w:r>
      <w:r w:rsidRPr="000823AF">
        <w:rPr>
          <w:sz w:val="24"/>
          <w:szCs w:val="24"/>
        </w:rPr>
        <w:t xml:space="preserve"> s.r.o.</w:t>
      </w:r>
    </w:p>
    <w:p w:rsidR="0080706F" w:rsidRPr="000823AF" w:rsidRDefault="0080706F" w:rsidP="0080706F">
      <w:pPr>
        <w:pStyle w:val="Zkladntext"/>
        <w:rPr>
          <w:sz w:val="24"/>
          <w:szCs w:val="24"/>
        </w:rPr>
      </w:pPr>
      <w:r w:rsidRPr="000823AF">
        <w:rPr>
          <w:sz w:val="24"/>
          <w:szCs w:val="24"/>
        </w:rPr>
        <w:t>Šamorínska 10</w:t>
      </w:r>
    </w:p>
    <w:p w:rsidR="0080706F" w:rsidRPr="000823AF" w:rsidRDefault="0080706F" w:rsidP="0080706F">
      <w:pPr>
        <w:pStyle w:val="Zkladntext"/>
        <w:rPr>
          <w:sz w:val="24"/>
          <w:szCs w:val="24"/>
        </w:rPr>
      </w:pPr>
      <w:r w:rsidRPr="000823AF">
        <w:rPr>
          <w:sz w:val="24"/>
          <w:szCs w:val="24"/>
        </w:rPr>
        <w:t>903 01 Senec</w:t>
      </w:r>
    </w:p>
    <w:p w:rsidR="0080706F" w:rsidRPr="000823AF" w:rsidRDefault="0080706F" w:rsidP="0080706F">
      <w:pPr>
        <w:pStyle w:val="Nadpis2"/>
        <w:ind w:firstLine="426"/>
        <w:rPr>
          <w:rFonts w:ascii="Times New Roman" w:hAnsi="Times New Roman"/>
          <w:sz w:val="24"/>
          <w:szCs w:val="24"/>
        </w:rPr>
      </w:pPr>
      <w:bookmarkStart w:id="1" w:name="_Toc530739896"/>
      <w:r w:rsidRPr="000823AF">
        <w:rPr>
          <w:rFonts w:ascii="Times New Roman" w:hAnsi="Times New Roman"/>
          <w:sz w:val="24"/>
          <w:szCs w:val="24"/>
        </w:rPr>
        <w:t>Hlavnými činnosťami Spoločnosti sú:</w:t>
      </w:r>
      <w:bookmarkEnd w:id="1"/>
    </w:p>
    <w:p w:rsidR="0080706F" w:rsidRPr="00554B86" w:rsidRDefault="0080706F" w:rsidP="0080706F">
      <w:pPr>
        <w:pStyle w:val="Zkladntext"/>
        <w:tabs>
          <w:tab w:val="left" w:pos="7905"/>
        </w:tabs>
        <w:jc w:val="left"/>
        <w:rPr>
          <w:rStyle w:val="ra"/>
          <w:sz w:val="24"/>
          <w:szCs w:val="24"/>
        </w:rPr>
      </w:pPr>
      <w:r>
        <w:rPr>
          <w:sz w:val="24"/>
          <w:szCs w:val="24"/>
        </w:rPr>
        <w:t xml:space="preserve">- </w:t>
      </w:r>
      <w:r>
        <w:rPr>
          <w:rStyle w:val="ra"/>
          <w:sz w:val="24"/>
          <w:szCs w:val="24"/>
        </w:rPr>
        <w:t>u</w:t>
      </w:r>
      <w:r w:rsidRPr="00554B86">
        <w:rPr>
          <w:rStyle w:val="ra"/>
          <w:sz w:val="24"/>
          <w:szCs w:val="24"/>
        </w:rPr>
        <w:t>bytovacie služby bez poskytovania pohostinských činností</w:t>
      </w:r>
    </w:p>
    <w:p w:rsidR="0080706F" w:rsidRPr="000823AF" w:rsidRDefault="0080706F" w:rsidP="0080706F">
      <w:pPr>
        <w:pStyle w:val="Zkladntext"/>
        <w:tabs>
          <w:tab w:val="left" w:pos="7905"/>
        </w:tabs>
        <w:jc w:val="left"/>
        <w:rPr>
          <w:sz w:val="24"/>
          <w:szCs w:val="24"/>
        </w:rPr>
      </w:pPr>
      <w:r w:rsidRPr="00554B86">
        <w:rPr>
          <w:rStyle w:val="ra"/>
          <w:sz w:val="24"/>
          <w:szCs w:val="24"/>
        </w:rPr>
        <w:t>- cestná nákladná doprava</w:t>
      </w:r>
      <w:r w:rsidRPr="000823AF">
        <w:rPr>
          <w:sz w:val="24"/>
          <w:szCs w:val="24"/>
        </w:rPr>
        <w:tab/>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Dátum schválenia účtovnej závierky za predchádzajúce účtovné obdobie</w:t>
      </w:r>
    </w:p>
    <w:p w:rsidR="0080706F" w:rsidRPr="000823AF" w:rsidRDefault="0080706F" w:rsidP="0080706F">
      <w:pPr>
        <w:pStyle w:val="Zkladntext"/>
        <w:ind w:hanging="426"/>
        <w:rPr>
          <w:sz w:val="24"/>
          <w:szCs w:val="24"/>
        </w:rPr>
      </w:pPr>
      <w:r w:rsidRPr="000823AF">
        <w:rPr>
          <w:sz w:val="24"/>
          <w:szCs w:val="24"/>
        </w:rPr>
        <w:tab/>
      </w:r>
      <w:r w:rsidR="00917B23">
        <w:rPr>
          <w:sz w:val="24"/>
          <w:szCs w:val="24"/>
        </w:rPr>
        <w:t>01.07.2019</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Právny dôvod na zostavenie účtovnej závierky</w:t>
      </w:r>
    </w:p>
    <w:p w:rsidR="0080706F" w:rsidRPr="000823AF" w:rsidRDefault="0080706F" w:rsidP="0080706F">
      <w:pPr>
        <w:pStyle w:val="Zkladntext"/>
        <w:ind w:hanging="426"/>
        <w:rPr>
          <w:sz w:val="24"/>
          <w:szCs w:val="24"/>
        </w:rPr>
      </w:pPr>
      <w:r w:rsidRPr="000823AF">
        <w:rPr>
          <w:sz w:val="24"/>
          <w:szCs w:val="24"/>
        </w:rPr>
        <w:tab/>
        <w:t>Účtovná závierka Spoločnosti k 31. decembru 201</w:t>
      </w:r>
      <w:r w:rsidR="00B733CD">
        <w:rPr>
          <w:sz w:val="24"/>
          <w:szCs w:val="24"/>
        </w:rPr>
        <w:t>8</w:t>
      </w:r>
      <w:r w:rsidRPr="000823AF">
        <w:rPr>
          <w:sz w:val="24"/>
          <w:szCs w:val="24"/>
        </w:rPr>
        <w:t xml:space="preserve"> je zostavená ako riadna účtovná závierka podľa § 17 ods. 6 zákona NR SR č. 431/2002 Z. z. o účtovníctve (ďalej „zákon o účtovníctve“) za účtovné obdobie od 1. januára 201</w:t>
      </w:r>
      <w:r w:rsidR="00B733CD">
        <w:rPr>
          <w:sz w:val="24"/>
          <w:szCs w:val="24"/>
        </w:rPr>
        <w:t>8</w:t>
      </w:r>
      <w:r w:rsidRPr="000823AF">
        <w:rPr>
          <w:sz w:val="24"/>
          <w:szCs w:val="24"/>
        </w:rPr>
        <w:t xml:space="preserve"> do 31. decembra 201</w:t>
      </w:r>
      <w:r w:rsidR="00B733CD">
        <w:rPr>
          <w:sz w:val="24"/>
          <w:szCs w:val="24"/>
        </w:rPr>
        <w:t>8</w:t>
      </w:r>
      <w:r>
        <w:rPr>
          <w:sz w:val="24"/>
          <w:szCs w:val="24"/>
        </w:rPr>
        <w:t>.</w:t>
      </w:r>
    </w:p>
    <w:p w:rsidR="0080706F" w:rsidRPr="000823AF" w:rsidRDefault="0080706F" w:rsidP="0080706F">
      <w:pPr>
        <w:pStyle w:val="Zkladntext"/>
        <w:ind w:hanging="426"/>
        <w:rPr>
          <w:sz w:val="24"/>
          <w:szCs w:val="24"/>
        </w:rPr>
      </w:pPr>
    </w:p>
    <w:p w:rsidR="0080706F" w:rsidRDefault="0080706F" w:rsidP="0080706F">
      <w:pPr>
        <w:pStyle w:val="Zkladntext"/>
        <w:ind w:hanging="426"/>
        <w:rPr>
          <w:sz w:val="24"/>
          <w:szCs w:val="24"/>
        </w:rPr>
      </w:pPr>
      <w:r w:rsidRPr="000823AF">
        <w:rPr>
          <w:sz w:val="24"/>
          <w:szCs w:val="24"/>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 xml:space="preserve">Priemerný prepočítaný počet zamestnancov </w:t>
      </w:r>
    </w:p>
    <w:p w:rsidR="0080706F" w:rsidRDefault="0080706F" w:rsidP="0080706F">
      <w:pPr>
        <w:pStyle w:val="Zkladntext"/>
        <w:rPr>
          <w:sz w:val="24"/>
          <w:szCs w:val="24"/>
        </w:rPr>
      </w:pPr>
      <w:r w:rsidRPr="000823AF">
        <w:rPr>
          <w:sz w:val="24"/>
          <w:szCs w:val="24"/>
        </w:rPr>
        <w:t>Priemerný prepočítaný počet zamestnancov Spoločnosti v účtovnom období 201</w:t>
      </w:r>
      <w:r w:rsidR="00917B23">
        <w:rPr>
          <w:sz w:val="24"/>
          <w:szCs w:val="24"/>
        </w:rPr>
        <w:t>9</w:t>
      </w:r>
      <w:r w:rsidRPr="000823AF">
        <w:rPr>
          <w:sz w:val="24"/>
          <w:szCs w:val="24"/>
        </w:rPr>
        <w:t xml:space="preserve"> bol </w:t>
      </w:r>
      <w:r w:rsidR="00917B23">
        <w:rPr>
          <w:sz w:val="24"/>
          <w:szCs w:val="24"/>
        </w:rPr>
        <w:t>2</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bookmarkStart w:id="2" w:name="_Toc530739897"/>
      <w:r w:rsidRPr="000823AF">
        <w:t>Informácie o orgánoch účtovnej jednotky</w:t>
      </w:r>
      <w:bookmarkEnd w:id="2"/>
    </w:p>
    <w:p w:rsidR="0080706F" w:rsidRPr="000823AF" w:rsidRDefault="0080706F" w:rsidP="0080706F"/>
    <w:p w:rsidR="0080706F" w:rsidRPr="000823AF" w:rsidRDefault="0080706F" w:rsidP="0080706F">
      <w:pPr>
        <w:pStyle w:val="Zkladntext"/>
        <w:rPr>
          <w:sz w:val="24"/>
          <w:szCs w:val="24"/>
        </w:rPr>
      </w:pPr>
      <w:r>
        <w:rPr>
          <w:sz w:val="24"/>
          <w:szCs w:val="24"/>
        </w:rPr>
        <w:t>Konatelia</w:t>
      </w:r>
      <w:r>
        <w:rPr>
          <w:sz w:val="24"/>
          <w:szCs w:val="24"/>
        </w:rPr>
        <w:tab/>
        <w:t xml:space="preserve">            </w:t>
      </w:r>
      <w:r w:rsidRPr="000823AF">
        <w:rPr>
          <w:sz w:val="24"/>
          <w:szCs w:val="24"/>
        </w:rPr>
        <w:t xml:space="preserve">Ing. </w:t>
      </w:r>
      <w:r>
        <w:rPr>
          <w:sz w:val="24"/>
          <w:szCs w:val="24"/>
        </w:rPr>
        <w:t>Lucia Pauflerová</w:t>
      </w:r>
    </w:p>
    <w:p w:rsidR="0080706F" w:rsidRPr="000823AF" w:rsidRDefault="0080706F" w:rsidP="0080706F">
      <w:pPr>
        <w:pStyle w:val="Zkladntext"/>
        <w:rPr>
          <w:sz w:val="24"/>
          <w:szCs w:val="24"/>
        </w:rPr>
      </w:pPr>
      <w:r>
        <w:rPr>
          <w:sz w:val="24"/>
          <w:szCs w:val="24"/>
        </w:rPr>
        <w:tab/>
      </w:r>
      <w:r>
        <w:rPr>
          <w:sz w:val="24"/>
          <w:szCs w:val="24"/>
        </w:rPr>
        <w:tab/>
      </w:r>
      <w:r>
        <w:rPr>
          <w:sz w:val="24"/>
          <w:szCs w:val="24"/>
        </w:rPr>
        <w:tab/>
        <w:t>Zuzana Cedulová</w:t>
      </w:r>
      <w:bookmarkStart w:id="3" w:name="_Toc530739898"/>
    </w:p>
    <w:bookmarkEnd w:id="3"/>
    <w:p w:rsidR="0080706F" w:rsidRPr="000823AF" w:rsidRDefault="0080706F" w:rsidP="0080706F"/>
    <w:p w:rsidR="0080706F" w:rsidRPr="000823AF" w:rsidRDefault="0080706F" w:rsidP="0080706F">
      <w:pPr>
        <w:pStyle w:val="Nadpis1"/>
        <w:tabs>
          <w:tab w:val="num" w:pos="360"/>
          <w:tab w:val="num" w:pos="2062"/>
        </w:tabs>
        <w:ind w:left="360" w:hanging="360"/>
      </w:pPr>
      <w:bookmarkStart w:id="4" w:name="_Toc530739899"/>
      <w:r w:rsidRPr="000823AF">
        <w:t>I</w:t>
      </w:r>
      <w:r>
        <w:t>NFORMÁCIE O</w:t>
      </w:r>
      <w:r w:rsidRPr="000823AF">
        <w:t xml:space="preserve"> PRIJATÝCH POSTUPOCH </w:t>
      </w:r>
      <w:bookmarkEnd w:id="4"/>
    </w:p>
    <w:p w:rsidR="0080706F" w:rsidRPr="000823AF" w:rsidRDefault="0080706F" w:rsidP="0080706F">
      <w:pPr>
        <w:pStyle w:val="Zkladntext"/>
        <w:ind w:left="786"/>
        <w:rPr>
          <w:sz w:val="24"/>
          <w:szCs w:val="24"/>
        </w:rPr>
      </w:pPr>
    </w:p>
    <w:p w:rsidR="0080706F" w:rsidRPr="000823AF" w:rsidRDefault="0080706F" w:rsidP="0080706F">
      <w:pPr>
        <w:pStyle w:val="Pismenka"/>
        <w:numPr>
          <w:ilvl w:val="0"/>
          <w:numId w:val="10"/>
        </w:numPr>
        <w:rPr>
          <w:sz w:val="24"/>
          <w:szCs w:val="24"/>
        </w:rPr>
      </w:pPr>
      <w:r w:rsidRPr="000823AF">
        <w:rPr>
          <w:sz w:val="24"/>
          <w:szCs w:val="24"/>
        </w:rPr>
        <w:t>Východiská pre zostavenie účtovnej závierky</w:t>
      </w:r>
    </w:p>
    <w:p w:rsidR="0080706F" w:rsidRPr="000823AF" w:rsidRDefault="0080706F" w:rsidP="0080706F">
      <w:pPr>
        <w:pStyle w:val="Zkladntext"/>
        <w:ind w:left="450"/>
        <w:rPr>
          <w:sz w:val="24"/>
          <w:szCs w:val="24"/>
        </w:rPr>
      </w:pPr>
      <w:r w:rsidRPr="000823AF">
        <w:rPr>
          <w:sz w:val="24"/>
          <w:szCs w:val="24"/>
        </w:rPr>
        <w:t>Účtovná závierka bola zostavená za predpokladu, že Spoločnosť bude nepretržite pokračovať vo svojej činnosti (going concern).</w:t>
      </w:r>
    </w:p>
    <w:p w:rsidR="0080706F" w:rsidRPr="000823AF" w:rsidRDefault="0080706F" w:rsidP="0080706F">
      <w:pPr>
        <w:pStyle w:val="Zkladntext"/>
        <w:ind w:left="450"/>
        <w:rPr>
          <w:sz w:val="24"/>
          <w:szCs w:val="24"/>
        </w:rPr>
      </w:pPr>
    </w:p>
    <w:p w:rsidR="0080706F" w:rsidRPr="000823AF" w:rsidRDefault="0080706F" w:rsidP="0080706F">
      <w:pPr>
        <w:pStyle w:val="Zkladntext"/>
        <w:rPr>
          <w:sz w:val="24"/>
          <w:szCs w:val="24"/>
        </w:rPr>
      </w:pPr>
    </w:p>
    <w:p w:rsidR="0080706F" w:rsidRPr="000823AF" w:rsidRDefault="0080706F" w:rsidP="0080706F">
      <w:pPr>
        <w:pStyle w:val="Zkladntext"/>
        <w:rPr>
          <w:color w:val="0070C0"/>
          <w:sz w:val="24"/>
          <w:szCs w:val="24"/>
        </w:rPr>
      </w:pPr>
      <w:r w:rsidRPr="000823AF">
        <w:rPr>
          <w:sz w:val="24"/>
          <w:szCs w:val="24"/>
        </w:rPr>
        <w:t>Účtovné metódy a všeobecné účtovné zásady boli účtovnou jednotkou konzistentne aplikované</w:t>
      </w:r>
      <w:r>
        <w:rPr>
          <w:sz w:val="24"/>
          <w:szCs w:val="24"/>
        </w:rPr>
        <w:t>.</w:t>
      </w:r>
    </w:p>
    <w:p w:rsidR="0080706F" w:rsidRPr="000823AF" w:rsidRDefault="0080706F" w:rsidP="0080706F">
      <w:pPr>
        <w:pStyle w:val="Zkladntext"/>
        <w:ind w:left="0"/>
        <w:rPr>
          <w:sz w:val="24"/>
          <w:szCs w:val="24"/>
        </w:rPr>
      </w:pPr>
    </w:p>
    <w:p w:rsidR="0080706F" w:rsidRDefault="0080706F" w:rsidP="0080706F">
      <w:pPr>
        <w:pStyle w:val="Pismenka"/>
        <w:numPr>
          <w:ilvl w:val="0"/>
          <w:numId w:val="10"/>
        </w:numPr>
        <w:rPr>
          <w:sz w:val="24"/>
          <w:szCs w:val="24"/>
        </w:rPr>
      </w:pPr>
      <w:r w:rsidRPr="000823AF">
        <w:rPr>
          <w:sz w:val="24"/>
          <w:szCs w:val="24"/>
        </w:rPr>
        <w:t>Informácie o charaktere a účele transakcií, ktoré sa neuvádzajú v</w:t>
      </w:r>
      <w:r>
        <w:rPr>
          <w:sz w:val="24"/>
          <w:szCs w:val="24"/>
        </w:rPr>
        <w:t> </w:t>
      </w:r>
      <w:r w:rsidRPr="000823AF">
        <w:rPr>
          <w:sz w:val="24"/>
          <w:szCs w:val="24"/>
        </w:rPr>
        <w:t>súvahe</w:t>
      </w:r>
    </w:p>
    <w:p w:rsidR="0080706F" w:rsidRDefault="0080706F" w:rsidP="0080706F">
      <w:pPr>
        <w:pStyle w:val="Pismenka"/>
        <w:tabs>
          <w:tab w:val="clear" w:pos="360"/>
        </w:tabs>
        <w:ind w:left="720" w:firstLine="0"/>
        <w:rPr>
          <w:sz w:val="24"/>
          <w:szCs w:val="24"/>
        </w:rPr>
      </w:pPr>
    </w:p>
    <w:p w:rsidR="0080706F" w:rsidRPr="002F038A" w:rsidRDefault="0080706F" w:rsidP="0080706F">
      <w:pPr>
        <w:pStyle w:val="Pismenka"/>
        <w:tabs>
          <w:tab w:val="clear" w:pos="360"/>
        </w:tabs>
        <w:rPr>
          <w:b w:val="0"/>
          <w:sz w:val="24"/>
          <w:szCs w:val="24"/>
        </w:rPr>
      </w:pPr>
      <w:r>
        <w:rPr>
          <w:b w:val="0"/>
          <w:sz w:val="24"/>
          <w:szCs w:val="24"/>
        </w:rPr>
        <w:t xml:space="preserve">      Spoločnosť </w:t>
      </w:r>
      <w:r w:rsidR="00B733CD">
        <w:rPr>
          <w:b w:val="0"/>
          <w:sz w:val="24"/>
          <w:szCs w:val="24"/>
        </w:rPr>
        <w:t>má uzatvorené</w:t>
      </w:r>
      <w:r>
        <w:rPr>
          <w:b w:val="0"/>
          <w:sz w:val="24"/>
          <w:szCs w:val="24"/>
        </w:rPr>
        <w:t xml:space="preserve"> s leasingovými spoločnosťami zmluvy o prenájme s právom kúpy prenajatej veci na </w:t>
      </w:r>
      <w:r w:rsidR="00917B23">
        <w:rPr>
          <w:b w:val="0"/>
          <w:sz w:val="24"/>
          <w:szCs w:val="24"/>
        </w:rPr>
        <w:t>14</w:t>
      </w:r>
      <w:r w:rsidR="00B733CD">
        <w:rPr>
          <w:b w:val="0"/>
          <w:sz w:val="24"/>
          <w:szCs w:val="24"/>
        </w:rPr>
        <w:t xml:space="preserve"> </w:t>
      </w:r>
      <w:r>
        <w:rPr>
          <w:b w:val="0"/>
          <w:sz w:val="24"/>
          <w:szCs w:val="24"/>
        </w:rPr>
        <w:t>vozid</w:t>
      </w:r>
      <w:r w:rsidR="00917B23">
        <w:rPr>
          <w:b w:val="0"/>
          <w:sz w:val="24"/>
          <w:szCs w:val="24"/>
        </w:rPr>
        <w:t>iel</w:t>
      </w:r>
      <w:r>
        <w:rPr>
          <w:b w:val="0"/>
          <w:sz w:val="24"/>
          <w:szCs w:val="24"/>
        </w:rPr>
        <w:t xml:space="preserve"> s dobou prenájmu 4 roky. Obstarávacia cena tohto majetku je </w:t>
      </w:r>
      <w:r w:rsidR="00917B23">
        <w:rPr>
          <w:b w:val="0"/>
          <w:sz w:val="24"/>
          <w:szCs w:val="24"/>
        </w:rPr>
        <w:t>374 238,-</w:t>
      </w:r>
      <w:r w:rsidR="00B733CD">
        <w:rPr>
          <w:b w:val="0"/>
          <w:sz w:val="24"/>
          <w:szCs w:val="24"/>
        </w:rPr>
        <w:t xml:space="preserve"> </w:t>
      </w:r>
      <w:r>
        <w:rPr>
          <w:b w:val="0"/>
          <w:sz w:val="24"/>
          <w:szCs w:val="24"/>
        </w:rPr>
        <w:t>EUR, nesplatená časť záväzkov z</w:t>
      </w:r>
      <w:r w:rsidR="00917B23">
        <w:rPr>
          <w:b w:val="0"/>
          <w:sz w:val="24"/>
          <w:szCs w:val="24"/>
        </w:rPr>
        <w:t> </w:t>
      </w:r>
      <w:r>
        <w:rPr>
          <w:b w:val="0"/>
          <w:sz w:val="24"/>
          <w:szCs w:val="24"/>
        </w:rPr>
        <w:t>leasingových</w:t>
      </w:r>
      <w:r w:rsidR="00917B23">
        <w:rPr>
          <w:b w:val="0"/>
          <w:sz w:val="24"/>
          <w:szCs w:val="24"/>
        </w:rPr>
        <w:t xml:space="preserve"> a úverových</w:t>
      </w:r>
      <w:r>
        <w:rPr>
          <w:b w:val="0"/>
          <w:sz w:val="24"/>
          <w:szCs w:val="24"/>
        </w:rPr>
        <w:t xml:space="preserve"> zmlúv je </w:t>
      </w:r>
      <w:r w:rsidR="00B733CD">
        <w:rPr>
          <w:b w:val="0"/>
          <w:sz w:val="24"/>
          <w:szCs w:val="24"/>
        </w:rPr>
        <w:t xml:space="preserve"> </w:t>
      </w:r>
      <w:r w:rsidR="00917B23">
        <w:rPr>
          <w:b w:val="0"/>
          <w:sz w:val="24"/>
          <w:szCs w:val="24"/>
        </w:rPr>
        <w:t xml:space="preserve">221 056,- </w:t>
      </w:r>
      <w:r>
        <w:rPr>
          <w:b w:val="0"/>
          <w:sz w:val="24"/>
          <w:szCs w:val="24"/>
        </w:rPr>
        <w:t>EUR.</w:t>
      </w:r>
    </w:p>
    <w:p w:rsidR="0080706F" w:rsidRPr="003873A6"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Použitie odhadov a úsudkov</w:t>
      </w:r>
    </w:p>
    <w:p w:rsidR="0080706F" w:rsidRPr="000823AF" w:rsidRDefault="0080706F" w:rsidP="0080706F">
      <w:pPr>
        <w:pStyle w:val="Zkladntext"/>
        <w:ind w:left="450"/>
        <w:rPr>
          <w:sz w:val="24"/>
          <w:szCs w:val="24"/>
        </w:rPr>
      </w:pPr>
      <w:r w:rsidRPr="000823AF">
        <w:rPr>
          <w:sz w:val="24"/>
          <w:szCs w:val="24"/>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0706F" w:rsidRPr="000823AF" w:rsidRDefault="0080706F" w:rsidP="0080706F">
      <w:pPr>
        <w:pStyle w:val="Zkladntext"/>
        <w:ind w:left="450"/>
        <w:rPr>
          <w:sz w:val="24"/>
          <w:szCs w:val="24"/>
        </w:rPr>
      </w:pPr>
    </w:p>
    <w:p w:rsidR="0080706F" w:rsidRDefault="0080706F" w:rsidP="0080706F">
      <w:pPr>
        <w:pStyle w:val="Zkladntext"/>
        <w:ind w:left="450"/>
        <w:rPr>
          <w:sz w:val="24"/>
          <w:szCs w:val="24"/>
        </w:rPr>
      </w:pPr>
      <w:r w:rsidRPr="000823AF">
        <w:rPr>
          <w:sz w:val="24"/>
          <w:szCs w:val="24"/>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80706F" w:rsidRPr="00CB58F3" w:rsidRDefault="0080706F" w:rsidP="0080706F">
      <w:pPr>
        <w:pStyle w:val="Zkladntext"/>
        <w:ind w:left="450"/>
        <w:rPr>
          <w:sz w:val="24"/>
          <w:szCs w:val="24"/>
        </w:rPr>
      </w:pPr>
    </w:p>
    <w:p w:rsidR="0080706F" w:rsidRPr="00583E8C" w:rsidRDefault="0080706F" w:rsidP="0080706F">
      <w:r>
        <w:rPr>
          <w:b/>
          <w:i/>
        </w:rPr>
        <w:t xml:space="preserve">       </w:t>
      </w:r>
      <w:r w:rsidRPr="000823AF">
        <w:rPr>
          <w:b/>
          <w:i/>
        </w:rPr>
        <w:t>Úsudky</w:t>
      </w:r>
    </w:p>
    <w:p w:rsidR="0080706F" w:rsidRPr="000823AF" w:rsidRDefault="0080706F" w:rsidP="0080706F">
      <w:pPr>
        <w:ind w:left="426"/>
      </w:pPr>
      <w:r>
        <w:t>Spoločnosť nemá náplň.</w:t>
      </w:r>
    </w:p>
    <w:p w:rsidR="0080706F" w:rsidRPr="000823AF" w:rsidRDefault="0080706F" w:rsidP="0080706F">
      <w:pPr>
        <w:pStyle w:val="Zkladntext"/>
        <w:ind w:left="450"/>
        <w:rPr>
          <w:sz w:val="24"/>
          <w:szCs w:val="24"/>
        </w:rPr>
      </w:pPr>
    </w:p>
    <w:p w:rsidR="0080706F" w:rsidRPr="000823AF" w:rsidRDefault="0080706F" w:rsidP="0080706F">
      <w:pPr>
        <w:pStyle w:val="Zkladntext"/>
        <w:rPr>
          <w:b/>
          <w:i/>
          <w:sz w:val="24"/>
          <w:szCs w:val="24"/>
        </w:rPr>
      </w:pPr>
      <w:r w:rsidRPr="000823AF">
        <w:rPr>
          <w:b/>
          <w:i/>
          <w:sz w:val="24"/>
          <w:szCs w:val="24"/>
        </w:rPr>
        <w:t>Neistoty v odhadoch a predpokladoch</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r w:rsidRPr="000823AF">
        <w:rPr>
          <w:rFonts w:ascii="Times New Roman" w:hAnsi="Times New Roman" w:cs="Times New Roman"/>
          <w:color w:val="auto"/>
          <w:sz w:val="24"/>
          <w:szCs w:val="24"/>
          <w:lang w:val="sk-SK" w:eastAsia="en-US"/>
        </w:rPr>
        <w:t>Informácie o tých  neistotách v predpokladoch a odhadoch, pri ktorých existuje signifikantné riziko, že by mohli viesť k významnej úprave v nasledujúcom účtovnom období sú bližšie opísané v nasledujúcich bodoch poznámok:</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4) - dlhodobý nehmotný majetok a dlhodobý hmotný majetok – určenie predpokladanej doby používania a predpokladaného priebehu opotrebenia</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test na zníženie hodnoty dlhodobého nehmotného, hmotného, finančného majetku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opravné položky k majetku (dlhodobý majetok, zásoby, pohľadávky)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18) – rezerva na zamestnanecké požitky – kľúčové aktuárske predpoklady</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21) – štátne dotácie – vykázanie dotácií vzhľadom na splnenie podmienok súvisiacich s dotáciou a na poskytnutie dotácie</w:t>
      </w:r>
    </w:p>
    <w:p w:rsidR="0080706F" w:rsidRPr="002D3F66" w:rsidRDefault="0080706F" w:rsidP="0080706F">
      <w:pPr>
        <w:pStyle w:val="Zoznamsodrkami"/>
        <w:numPr>
          <w:ilvl w:val="0"/>
          <w:numId w:val="0"/>
        </w:numPr>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nehmotný majetok a dlhodobý hmotný majetok</w:t>
      </w:r>
    </w:p>
    <w:p w:rsidR="0080706F" w:rsidRPr="000823AF" w:rsidRDefault="0080706F" w:rsidP="0080706F">
      <w:pPr>
        <w:pStyle w:val="Zkladntext"/>
        <w:rPr>
          <w:sz w:val="24"/>
          <w:szCs w:val="24"/>
        </w:rPr>
      </w:pPr>
      <w:r w:rsidRPr="000823AF">
        <w:rPr>
          <w:sz w:val="24"/>
          <w:szCs w:val="24"/>
        </w:rPr>
        <w:t xml:space="preserve">Dlhodobý majetok nakupovaný sa oceňuje obstarávacou cenou, ktorá zahŕňa cenu obstarania a náklady súvisiace s obstaraním (clo, prepravu, montáž, poistné a pod.), zníženú o dobropisy, skontá, rabaty, zľavy z ceny, bonusy a pod.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obstarávacej ceny dlhodobého majetku </w:t>
      </w:r>
      <w:r w:rsidRPr="00CB58F3">
        <w:rPr>
          <w:sz w:val="24"/>
          <w:szCs w:val="24"/>
          <w:u w:val="single"/>
        </w:rPr>
        <w:t>nie sú</w:t>
      </w:r>
      <w:r w:rsidRPr="000823AF">
        <w:rPr>
          <w:color w:val="0070C0"/>
          <w:sz w:val="24"/>
          <w:szCs w:val="24"/>
        </w:rPr>
        <w:t xml:space="preserve"> </w:t>
      </w:r>
      <w:r w:rsidRPr="000823AF">
        <w:rPr>
          <w:sz w:val="24"/>
          <w:szCs w:val="24"/>
        </w:rPr>
        <w:t xml:space="preserve">úroky z úverov, ktoré vznikli do momentu uvedenia dlhodobého majetku do používania.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80706F" w:rsidRPr="000823AF" w:rsidRDefault="0080706F" w:rsidP="0080706F">
      <w:pPr>
        <w:pStyle w:val="Zkladntext"/>
        <w:rPr>
          <w:sz w:val="24"/>
          <w:szCs w:val="24"/>
        </w:rPr>
      </w:pPr>
      <w:r w:rsidRPr="000823AF">
        <w:rPr>
          <w:sz w:val="24"/>
          <w:szCs w:val="24"/>
        </w:rPr>
        <w:tab/>
      </w:r>
    </w:p>
    <w:p w:rsidR="0080706F" w:rsidRPr="000823AF" w:rsidRDefault="0080706F" w:rsidP="0080706F">
      <w:pPr>
        <w:pStyle w:val="Zkladntext"/>
        <w:rPr>
          <w:sz w:val="24"/>
          <w:szCs w:val="24"/>
        </w:rPr>
      </w:pPr>
      <w:r w:rsidRPr="000823AF">
        <w:rPr>
          <w:sz w:val="24"/>
          <w:szCs w:val="24"/>
        </w:rPr>
        <w:t>Náklady na výskum sa neaktivujú a účtujú sa do nákladov v účtovných obdobiach, v ktorých vznikli. Dlhodobý nehmotný majetok vytvorený vývojom alebo v priebehu jeho vývoja sa aktivuje, ak je možné preukázať:</w:t>
      </w:r>
    </w:p>
    <w:p w:rsidR="0080706F" w:rsidRPr="000823AF" w:rsidRDefault="0080706F" w:rsidP="0080706F">
      <w:pPr>
        <w:pStyle w:val="Zkladntext"/>
        <w:rPr>
          <w:sz w:val="24"/>
          <w:szCs w:val="24"/>
        </w:rPr>
      </w:pPr>
    </w:p>
    <w:p w:rsidR="0080706F" w:rsidRPr="000823AF" w:rsidRDefault="0080706F" w:rsidP="0080706F">
      <w:pPr>
        <w:pStyle w:val="Zkladntext"/>
        <w:numPr>
          <w:ilvl w:val="0"/>
          <w:numId w:val="16"/>
        </w:numPr>
        <w:rPr>
          <w:sz w:val="24"/>
          <w:szCs w:val="24"/>
        </w:rPr>
      </w:pPr>
      <w:r w:rsidRPr="000823AF">
        <w:rPr>
          <w:sz w:val="24"/>
          <w:szCs w:val="24"/>
        </w:rPr>
        <w:t>možnosť jeho technického dokončenia tak, že ho bude možné použiť alebo predať,</w:t>
      </w:r>
    </w:p>
    <w:p w:rsidR="0080706F" w:rsidRPr="000823AF" w:rsidRDefault="0080706F" w:rsidP="0080706F">
      <w:pPr>
        <w:pStyle w:val="Zkladntext"/>
        <w:numPr>
          <w:ilvl w:val="0"/>
          <w:numId w:val="16"/>
        </w:numPr>
        <w:rPr>
          <w:sz w:val="24"/>
          <w:szCs w:val="24"/>
        </w:rPr>
      </w:pPr>
      <w:r w:rsidRPr="000823AF">
        <w:rPr>
          <w:sz w:val="24"/>
          <w:szCs w:val="24"/>
        </w:rPr>
        <w:t>zámer jeho dokončenia, používania alebo predaja,</w:t>
      </w:r>
    </w:p>
    <w:p w:rsidR="0080706F" w:rsidRPr="000823AF" w:rsidRDefault="0080706F" w:rsidP="0080706F">
      <w:pPr>
        <w:pStyle w:val="Zkladntext"/>
        <w:numPr>
          <w:ilvl w:val="0"/>
          <w:numId w:val="16"/>
        </w:numPr>
        <w:rPr>
          <w:sz w:val="24"/>
          <w:szCs w:val="24"/>
        </w:rPr>
      </w:pPr>
      <w:r w:rsidRPr="000823AF">
        <w:rPr>
          <w:sz w:val="24"/>
          <w:szCs w:val="24"/>
        </w:rPr>
        <w:t>schopnosť účtovnej jednotky jeho používania a predaja,</w:t>
      </w:r>
    </w:p>
    <w:p w:rsidR="0080706F" w:rsidRPr="000823AF" w:rsidRDefault="0080706F" w:rsidP="0080706F">
      <w:pPr>
        <w:pStyle w:val="Zkladntext"/>
        <w:numPr>
          <w:ilvl w:val="0"/>
          <w:numId w:val="16"/>
        </w:numPr>
        <w:rPr>
          <w:sz w:val="24"/>
          <w:szCs w:val="24"/>
        </w:rPr>
      </w:pPr>
      <w:r w:rsidRPr="000823AF">
        <w:rPr>
          <w:sz w:val="24"/>
          <w:szCs w:val="24"/>
        </w:rPr>
        <w:t>spôsob vytvárania budúcich ekonomických úžitkov a existenciu trhu pre výstupy dlhodobého nehmotného majetku alebo pre dlhodobý nehmotný majetok sám o sebe, alebo, ak bude používaný vo vnútri účtovnej jednotky jeho použiteľnosť,</w:t>
      </w:r>
    </w:p>
    <w:p w:rsidR="0080706F" w:rsidRPr="000823AF" w:rsidRDefault="0080706F" w:rsidP="0080706F">
      <w:pPr>
        <w:pStyle w:val="Zkladntext"/>
        <w:numPr>
          <w:ilvl w:val="0"/>
          <w:numId w:val="16"/>
        </w:numPr>
        <w:rPr>
          <w:sz w:val="24"/>
          <w:szCs w:val="24"/>
        </w:rPr>
      </w:pPr>
      <w:r w:rsidRPr="000823AF">
        <w:rPr>
          <w:sz w:val="24"/>
          <w:szCs w:val="24"/>
        </w:rPr>
        <w:t>dostupnosť zodpovedajúcich technických zdrojov, finančných zdrojov a ostatných zdrojov pre dokončenie jeho vývoja, použitie alebo predaj,</w:t>
      </w:r>
    </w:p>
    <w:p w:rsidR="0080706F" w:rsidRPr="000823AF" w:rsidRDefault="0080706F" w:rsidP="0080706F">
      <w:pPr>
        <w:pStyle w:val="Zkladntext"/>
        <w:numPr>
          <w:ilvl w:val="0"/>
          <w:numId w:val="16"/>
        </w:numPr>
        <w:rPr>
          <w:sz w:val="24"/>
          <w:szCs w:val="24"/>
        </w:rPr>
      </w:pPr>
      <w:r w:rsidRPr="000823AF">
        <w:rPr>
          <w:sz w:val="24"/>
          <w:szCs w:val="24"/>
        </w:rPr>
        <w:t xml:space="preserve">spoľahlivé ocenenie nákladov súvisiacich s jeho obstaraním v priebehu vývoja. </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Odpisy dlhodobého nehmotného majetku sú stanovené vychádzajúc z predpokladanej doby jeho používania a predpokladaného priebehu jeho opotrebenia. </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sidRPr="001463C8">
        <w:rPr>
          <w:sz w:val="24"/>
          <w:szCs w:val="24"/>
        </w:rPr>
        <w:t>Odpisovať sa začína prvým dňom mesiaca, v ktorom sa dlhodobý majetok uviedol do používania. Drobný dlhodobý nehmotný majetok, ktorého obstarávacia cena (resp. vlastné náklady) je 2 400 EUR a nižšia, sa odpisuje jednorazovo pri uvedení do používania.</w:t>
      </w:r>
    </w:p>
    <w:p w:rsidR="0080706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Predpokladaná doba používania, metóda odpisovania a odpisová sadzba </w:t>
      </w:r>
      <w:r>
        <w:rPr>
          <w:sz w:val="24"/>
          <w:szCs w:val="24"/>
        </w:rPr>
        <w:t xml:space="preserve">nehmotného majetku </w:t>
      </w:r>
      <w:r w:rsidRPr="000823AF">
        <w:rPr>
          <w:sz w:val="24"/>
          <w:szCs w:val="24"/>
        </w:rPr>
        <w:t>sú uvedené v nasledujúcej tabuľke:</w:t>
      </w:r>
    </w:p>
    <w:p w:rsidR="0080706F" w:rsidRPr="000823AF" w:rsidRDefault="0080706F" w:rsidP="0080706F">
      <w:pPr>
        <w:pStyle w:val="Zkladntext"/>
        <w:rPr>
          <w:sz w:val="24"/>
          <w:szCs w:val="24"/>
        </w:rPr>
      </w:pPr>
    </w:p>
    <w:bookmarkStart w:id="5" w:name="_MON_1508924653"/>
    <w:bookmarkEnd w:id="5"/>
    <w:p w:rsidR="0080706F" w:rsidRPr="000823AF" w:rsidRDefault="0080706F" w:rsidP="0080706F">
      <w:pPr>
        <w:pStyle w:val="Zkladntext"/>
        <w:rPr>
          <w:sz w:val="24"/>
          <w:szCs w:val="24"/>
        </w:rPr>
      </w:pPr>
      <w:r w:rsidRPr="000823AF">
        <w:rPr>
          <w:sz w:val="24"/>
          <w:szCs w:val="24"/>
        </w:rPr>
        <w:object w:dxaOrig="8912"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10.4pt" o:ole="">
            <v:imagedata r:id="rId9" o:title=""/>
          </v:shape>
          <o:OLEObject Type="Embed" ProgID="Excel.Sheet.12" ShapeID="_x0000_i1025" DrawAspect="Content" ObjectID="_1655044874" r:id="rId10"/>
        </w:object>
      </w: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lastRenderedPageBreak/>
        <w:t>Odpisy dlhodobého hmotného majetku sú stanovené vychádzajúc z predpokladanej doby jeho používania a predpokladaného priebehu jeho opotrebenia.</w:t>
      </w:r>
    </w:p>
    <w:p w:rsidR="0080706F" w:rsidRPr="00A246F0" w:rsidRDefault="0080706F" w:rsidP="0080706F">
      <w:pPr>
        <w:pStyle w:val="Zkladntext"/>
        <w:rPr>
          <w:sz w:val="24"/>
          <w:szCs w:val="24"/>
        </w:rPr>
      </w:pPr>
      <w:r w:rsidRPr="00A246F0">
        <w:rPr>
          <w:sz w:val="24"/>
          <w:szCs w:val="24"/>
        </w:rPr>
        <w:t>Odpisovať sa začína prvým dňom mesiaca, v ktorom sa dlhodobý majetok uviedol do používania. Drobný dlhodobý hmotný majetok, ktorého obstarávacia cena (resp. vlastné náklady) je 1 700 EUR a nižšia sa odpisuje jednorazovo pri uvedení do používania, pri vozidlách sa odpisuje postupne  počas predpokladanej doby používania</w:t>
      </w:r>
    </w:p>
    <w:p w:rsidR="0080706F" w:rsidRPr="000823AF" w:rsidRDefault="0080706F" w:rsidP="0080706F">
      <w:pPr>
        <w:pStyle w:val="Zkladntext"/>
        <w:rPr>
          <w:color w:val="00B0F0"/>
          <w:sz w:val="24"/>
          <w:szCs w:val="24"/>
        </w:rPr>
      </w:pPr>
    </w:p>
    <w:p w:rsidR="0080706F" w:rsidRPr="000823AF" w:rsidRDefault="0080706F" w:rsidP="0080706F">
      <w:pPr>
        <w:pStyle w:val="Zkladntext"/>
        <w:rPr>
          <w:sz w:val="24"/>
          <w:szCs w:val="24"/>
        </w:rPr>
      </w:pPr>
      <w:r w:rsidRPr="000823AF">
        <w:rPr>
          <w:sz w:val="24"/>
          <w:szCs w:val="24"/>
        </w:rPr>
        <w:t xml:space="preserve">Pozemky sa neodpisujú.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Predpokladaná doba používania, metóda odpisovania a odpisová sadzba</w:t>
      </w:r>
      <w:r>
        <w:rPr>
          <w:sz w:val="24"/>
          <w:szCs w:val="24"/>
        </w:rPr>
        <w:t xml:space="preserve"> hmotného dlhodobého majetku</w:t>
      </w:r>
      <w:r w:rsidRPr="000823AF">
        <w:rPr>
          <w:sz w:val="24"/>
          <w:szCs w:val="24"/>
        </w:rPr>
        <w:t xml:space="preserve"> sú uvedené v nasledujúcej tabuľke: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p>
    <w:bookmarkStart w:id="6" w:name="_MON_1500299770"/>
    <w:bookmarkEnd w:id="6"/>
    <w:p w:rsidR="0080706F" w:rsidRPr="000823AF" w:rsidRDefault="0080706F" w:rsidP="0080706F">
      <w:pPr>
        <w:pStyle w:val="Zkladntext"/>
        <w:rPr>
          <w:sz w:val="24"/>
          <w:szCs w:val="24"/>
        </w:rPr>
      </w:pPr>
      <w:r w:rsidRPr="000823AF">
        <w:rPr>
          <w:sz w:val="24"/>
          <w:szCs w:val="24"/>
        </w:rPr>
        <w:object w:dxaOrig="8264" w:dyaOrig="2691">
          <v:shape id="_x0000_i1026" type="#_x0000_t75" style="width:412.2pt;height:135pt" o:ole="">
            <v:imagedata r:id="rId11" o:title=""/>
          </v:shape>
          <o:OLEObject Type="Embed" ProgID="Excel.Sheet.12" ShapeID="_x0000_i1026" DrawAspect="Content" ObjectID="_1655044875" r:id="rId12"/>
        </w:object>
      </w:r>
    </w:p>
    <w:p w:rsidR="0080706F" w:rsidRPr="000823AF" w:rsidRDefault="0080706F" w:rsidP="0080706F">
      <w:pPr>
        <w:pStyle w:val="Zkladntext"/>
        <w:rPr>
          <w:sz w:val="24"/>
          <w:szCs w:val="24"/>
        </w:rPr>
      </w:pP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Pr="000823AF" w:rsidRDefault="0080706F" w:rsidP="0080706F">
      <w:pPr>
        <w:pStyle w:val="Zkladntext"/>
        <w:rPr>
          <w:i/>
          <w:sz w:val="24"/>
          <w:szCs w:val="24"/>
        </w:rPr>
      </w:pPr>
      <w:r w:rsidRPr="000823AF">
        <w:rPr>
          <w:b/>
          <w:i/>
          <w:sz w:val="24"/>
          <w:szCs w:val="24"/>
        </w:rPr>
        <w:t>Posúdenie zníženia hodnoty majetku</w:t>
      </w:r>
    </w:p>
    <w:p w:rsidR="0080706F" w:rsidRPr="000823AF" w:rsidRDefault="0080706F" w:rsidP="0080706F">
      <w:pPr>
        <w:pStyle w:val="Zkladntext"/>
        <w:rPr>
          <w:i/>
          <w:sz w:val="24"/>
          <w:szCs w:val="24"/>
        </w:rPr>
      </w:pPr>
    </w:p>
    <w:p w:rsidR="0080706F" w:rsidRPr="000823AF" w:rsidRDefault="0080706F" w:rsidP="0080706F">
      <w:pPr>
        <w:pStyle w:val="Zkladntext"/>
        <w:rPr>
          <w:i/>
          <w:sz w:val="24"/>
          <w:szCs w:val="24"/>
        </w:rPr>
      </w:pPr>
      <w:r w:rsidRPr="000823AF">
        <w:rPr>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0706F" w:rsidRPr="000823AF" w:rsidRDefault="0080706F" w:rsidP="0080706F">
      <w:pPr>
        <w:pStyle w:val="AccountingPolicy"/>
        <w:jc w:val="both"/>
        <w:rPr>
          <w:rFonts w:ascii="Times New Roman" w:hAnsi="Times New Roman" w:cs="Times New Roman"/>
          <w:sz w:val="24"/>
          <w:szCs w:val="24"/>
          <w:lang w:val="sk-SK"/>
        </w:rPr>
      </w:pPr>
    </w:p>
    <w:p w:rsidR="0080706F" w:rsidRPr="000823AF" w:rsidRDefault="0080706F" w:rsidP="0080706F">
      <w:pPr>
        <w:pStyle w:val="Zkladntext"/>
        <w:rPr>
          <w:sz w:val="24"/>
          <w:szCs w:val="24"/>
        </w:rPr>
      </w:pPr>
      <w:r w:rsidRPr="000823AF">
        <w:rPr>
          <w:sz w:val="24"/>
          <w:szCs w:val="24"/>
        </w:rPr>
        <w:t xml:space="preserve">Faktory, ktoré sú považované za dôležité pri  posudzovaní zníženia hodnoty majetku sú: </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technologický pokrok,</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významne nedostatočné prevádzkové výsledky v porovnaní s historickými alebo plánovanými prevádzkovými výsledkami,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významné zmeny v spôsobe použitia majetku Spoločnosti alebo celkovej zmeny stratégie Spoločnosti,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zastaralosť produktov.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sz w:val="24"/>
          <w:szCs w:val="24"/>
        </w:rPr>
        <w:t> </w:t>
      </w:r>
      <w:r w:rsidRPr="000823AF">
        <w:rPr>
          <w:sz w:val="24"/>
          <w:szCs w:val="24"/>
        </w:rPr>
        <w:t>budúcnosti</w:t>
      </w:r>
      <w:r>
        <w:rPr>
          <w:sz w:val="24"/>
          <w:szCs w:val="24"/>
        </w:rPr>
        <w:t>.</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lastRenderedPageBreak/>
        <w:t>Dlhodobý finančný majetok</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80706F" w:rsidRPr="00A33E8B" w:rsidRDefault="0080706F" w:rsidP="0080706F">
      <w:pPr>
        <w:pStyle w:val="Pismenka"/>
        <w:tabs>
          <w:tab w:val="clear" w:pos="360"/>
        </w:tabs>
        <w:ind w:left="426" w:firstLine="0"/>
        <w:rPr>
          <w:b w:val="0"/>
          <w:sz w:val="24"/>
          <w:szCs w:val="24"/>
        </w:rPr>
      </w:pPr>
    </w:p>
    <w:p w:rsidR="0080706F" w:rsidRPr="00A33E8B" w:rsidRDefault="0080706F" w:rsidP="0080706F">
      <w:r w:rsidRPr="000823AF">
        <w:t>Ku dňu, ku ktorému sa zostavuje účtovná závierka sa dlhodobý finančný majetok oceňuje takto:</w:t>
      </w:r>
    </w:p>
    <w:p w:rsidR="0080706F" w:rsidRPr="000823AF" w:rsidRDefault="0080706F" w:rsidP="0080706F">
      <w:pPr>
        <w:pStyle w:val="Pismenka"/>
        <w:numPr>
          <w:ilvl w:val="0"/>
          <w:numId w:val="8"/>
        </w:numPr>
        <w:tabs>
          <w:tab w:val="clear" w:pos="340"/>
          <w:tab w:val="num" w:pos="766"/>
        </w:tabs>
        <w:ind w:left="766"/>
        <w:rPr>
          <w:b w:val="0"/>
          <w:sz w:val="24"/>
          <w:szCs w:val="24"/>
        </w:rPr>
      </w:pPr>
      <w:r w:rsidRPr="000823AF">
        <w:rPr>
          <w:b w:val="0"/>
          <w:sz w:val="24"/>
          <w:szCs w:val="24"/>
        </w:rPr>
        <w:t xml:space="preserve">Podielové cenné papiere a podiely v dcérskych, spoločných a pridružených účtovných jednotkách: obstarávacou cenou upravenou o prípadné zníženie ich hodnoty oproti ich oceneniu v účtovníctve. </w:t>
      </w:r>
    </w:p>
    <w:p w:rsidR="0080706F" w:rsidRPr="000823AF" w:rsidRDefault="0080706F" w:rsidP="0080706F">
      <w:pPr>
        <w:pStyle w:val="Pismenka"/>
        <w:tabs>
          <w:tab w:val="clear" w:pos="360"/>
        </w:tabs>
        <w:ind w:left="766" w:firstLine="0"/>
        <w:rPr>
          <w:b w:val="0"/>
          <w:color w:val="0070C0"/>
          <w:sz w:val="24"/>
          <w:szCs w:val="24"/>
        </w:rPr>
      </w:pPr>
    </w:p>
    <w:p w:rsidR="0080706F" w:rsidRPr="000823AF" w:rsidRDefault="0080706F" w:rsidP="0080706F">
      <w:pPr>
        <w:pStyle w:val="Pismenka"/>
        <w:numPr>
          <w:ilvl w:val="0"/>
          <w:numId w:val="10"/>
        </w:numPr>
        <w:rPr>
          <w:sz w:val="24"/>
          <w:szCs w:val="24"/>
        </w:rPr>
      </w:pPr>
      <w:r w:rsidRPr="000823AF">
        <w:rPr>
          <w:sz w:val="24"/>
          <w:szCs w:val="24"/>
        </w:rPr>
        <w:t xml:space="preserve">Zásoby </w:t>
      </w:r>
    </w:p>
    <w:p w:rsidR="0080706F" w:rsidRPr="000823AF" w:rsidRDefault="0080706F" w:rsidP="0080706F">
      <w:pPr>
        <w:pStyle w:val="Zkladntext"/>
        <w:rPr>
          <w:sz w:val="24"/>
          <w:szCs w:val="24"/>
        </w:rPr>
      </w:pPr>
      <w:r w:rsidRPr="000823AF">
        <w:rPr>
          <w:sz w:val="24"/>
          <w:szCs w:val="24"/>
        </w:rPr>
        <w:t>Zásoby sa oceňujú nižšou z nasledujúcich hodnôt: obstarávacou cenou (nakupované zásoby) alebo vlastnými nákladmi (zásoby vytvorené vlastnou činnosťou), alebo čistou realizačnou hodnotou.</w:t>
      </w:r>
    </w:p>
    <w:p w:rsidR="0080706F" w:rsidRPr="000823AF" w:rsidRDefault="0080706F" w:rsidP="0080706F">
      <w:pPr>
        <w:pStyle w:val="Zkladntext"/>
        <w:rPr>
          <w:sz w:val="24"/>
          <w:szCs w:val="24"/>
        </w:rPr>
      </w:pPr>
    </w:p>
    <w:p w:rsidR="0080706F" w:rsidRPr="000823AF" w:rsidRDefault="0080706F" w:rsidP="0080706F">
      <w:pPr>
        <w:pStyle w:val="odstavec"/>
        <w:rPr>
          <w:b/>
          <w:sz w:val="24"/>
          <w:szCs w:val="24"/>
        </w:rPr>
      </w:pPr>
      <w:r w:rsidRPr="000823AF">
        <w:rPr>
          <w:sz w:val="24"/>
          <w:szCs w:val="24"/>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80706F" w:rsidRPr="000823AF" w:rsidRDefault="0080706F" w:rsidP="0080706F">
      <w:pPr>
        <w:pStyle w:val="odstavec"/>
        <w:rPr>
          <w:sz w:val="24"/>
          <w:szCs w:val="24"/>
        </w:rPr>
      </w:pPr>
    </w:p>
    <w:p w:rsidR="0080706F" w:rsidRPr="00CD4BBA" w:rsidRDefault="0080706F" w:rsidP="0080706F">
      <w:pPr>
        <w:pStyle w:val="odstavec"/>
        <w:rPr>
          <w:sz w:val="24"/>
          <w:szCs w:val="24"/>
        </w:rPr>
      </w:pPr>
      <w:r w:rsidRPr="00CD4BBA">
        <w:rPr>
          <w:sz w:val="24"/>
          <w:szCs w:val="24"/>
        </w:rPr>
        <w:t xml:space="preserve">Úbytok zásob sa účtuje v skutočnej obstarávacej cene pričom odchýlky sa rozpúšťajú. </w:t>
      </w:r>
    </w:p>
    <w:p w:rsidR="0080706F" w:rsidRPr="00CD4BBA" w:rsidRDefault="0080706F" w:rsidP="0080706F">
      <w:pPr>
        <w:pStyle w:val="odstavec"/>
        <w:rPr>
          <w:sz w:val="24"/>
          <w:szCs w:val="24"/>
        </w:rPr>
      </w:pPr>
    </w:p>
    <w:p w:rsidR="0080706F" w:rsidRPr="000823AF" w:rsidRDefault="0080706F" w:rsidP="0080706F">
      <w:pPr>
        <w:pStyle w:val="odstavec"/>
        <w:rPr>
          <w:sz w:val="24"/>
          <w:szCs w:val="24"/>
        </w:rPr>
      </w:pPr>
      <w:r w:rsidRPr="000823AF">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823AF">
        <w:rPr>
          <w:i/>
          <w:sz w:val="24"/>
          <w:szCs w:val="24"/>
        </w:rPr>
        <w:t>.</w:t>
      </w:r>
      <w:r w:rsidRPr="000823AF">
        <w:rPr>
          <w:sz w:val="24"/>
          <w:szCs w:val="24"/>
        </w:rPr>
        <w:t xml:space="preserve"> Správna réžia a odbytové náklady nie sú súčasťou vlastných nákladov. Súčasťou vlastných nákladov nie sú úroky z úverov. </w:t>
      </w:r>
    </w:p>
    <w:p w:rsidR="0080706F" w:rsidRPr="000823AF" w:rsidRDefault="0080706F" w:rsidP="0080706F">
      <w:pPr>
        <w:pStyle w:val="odstavec"/>
        <w:rPr>
          <w:sz w:val="24"/>
          <w:szCs w:val="24"/>
        </w:rPr>
      </w:pPr>
    </w:p>
    <w:p w:rsidR="0080706F" w:rsidRPr="00CD4BBA" w:rsidRDefault="0080706F" w:rsidP="0080706F">
      <w:pPr>
        <w:pStyle w:val="Zkladntext"/>
        <w:rPr>
          <w:sz w:val="24"/>
          <w:szCs w:val="24"/>
        </w:rPr>
      </w:pPr>
      <w:r w:rsidRPr="00CD4BBA">
        <w:rPr>
          <w:sz w:val="24"/>
          <w:szCs w:val="24"/>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80706F" w:rsidRPr="00CD4BBA"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lastRenderedPageBreak/>
        <w:t xml:space="preserve">Čistá realizačná hodnota je predpokladaná predajná cena zásob znížená o predpokladané náklady na ich dokončenie a o predpokladané náklady súvisiace s ich predajom.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Zníženie hodnoty zásob sa zohľadňuje vytvorením opravnej položky.</w:t>
      </w:r>
    </w:p>
    <w:p w:rsidR="0080706F" w:rsidRPr="000823AF" w:rsidRDefault="0080706F" w:rsidP="0080706F">
      <w:pPr>
        <w:pStyle w:val="Zkladntext"/>
        <w:rPr>
          <w:sz w:val="24"/>
          <w:szCs w:val="24"/>
        </w:rPr>
      </w:pPr>
    </w:p>
    <w:p w:rsidR="0080706F" w:rsidRDefault="0080706F" w:rsidP="0080706F">
      <w:pPr>
        <w:pStyle w:val="Pismenka"/>
        <w:numPr>
          <w:ilvl w:val="0"/>
          <w:numId w:val="10"/>
        </w:numPr>
        <w:rPr>
          <w:sz w:val="24"/>
          <w:szCs w:val="24"/>
        </w:rPr>
      </w:pPr>
      <w:r w:rsidRPr="008357FB">
        <w:rPr>
          <w:sz w:val="24"/>
          <w:szCs w:val="24"/>
        </w:rPr>
        <w:t>Zákazková výroba</w:t>
      </w:r>
    </w:p>
    <w:p w:rsidR="008357FB" w:rsidRPr="008357FB" w:rsidRDefault="008357FB" w:rsidP="008357FB">
      <w:pPr>
        <w:pStyle w:val="Pismenka"/>
        <w:tabs>
          <w:tab w:val="clear" w:pos="360"/>
        </w:tabs>
        <w:ind w:left="720" w:firstLine="0"/>
        <w:rPr>
          <w:sz w:val="24"/>
          <w:szCs w:val="24"/>
        </w:rPr>
      </w:pPr>
    </w:p>
    <w:p w:rsidR="0080706F" w:rsidRPr="008357FB" w:rsidRDefault="0080706F" w:rsidP="0080706F">
      <w:pPr>
        <w:suppressAutoHyphens/>
        <w:autoSpaceDE w:val="0"/>
        <w:autoSpaceDN w:val="0"/>
        <w:adjustRightInd w:val="0"/>
        <w:ind w:left="425"/>
        <w:jc w:val="both"/>
        <w:rPr>
          <w:rFonts w:ascii="Times New Roman" w:eastAsia="Calibri" w:hAnsi="Times New Roman" w:cs="Times New Roman"/>
          <w:bCs/>
          <w:iCs/>
          <w:sz w:val="24"/>
          <w:szCs w:val="24"/>
        </w:rPr>
      </w:pPr>
      <w:r w:rsidRPr="008357FB">
        <w:rPr>
          <w:rFonts w:ascii="Times New Roman" w:eastAsia="Calibri" w:hAnsi="Times New Roman" w:cs="Times New Roman"/>
          <w:bCs/>
          <w:iCs/>
          <w:sz w:val="24"/>
          <w:szCs w:val="24"/>
        </w:rPr>
        <w:t>Ak sa výsledok zákazkovej výroby dá spoľahlivo odhadnúť, zmluvné výnosy a zmluvné náklady pripadajúce na účtovné obdobie sa účtujú ako náklady a výnosy metódou stupňa dokončenia (angl. percentage-of-completion method), pričom</w:t>
      </w:r>
      <w:r w:rsidRPr="008357FB">
        <w:rPr>
          <w:rFonts w:ascii="Times New Roman" w:hAnsi="Times New Roman" w:cs="Times New Roman"/>
          <w:sz w:val="24"/>
          <w:szCs w:val="24"/>
          <w:bdr w:val="single" w:sz="4" w:space="0" w:color="auto"/>
        </w:rPr>
        <w:t xml:space="preserve"> </w:t>
      </w:r>
      <w:r w:rsidRPr="008357FB">
        <w:rPr>
          <w:rFonts w:ascii="Times New Roman" w:eastAsia="Calibri" w:hAnsi="Times New Roman" w:cs="Times New Roman"/>
          <w:bCs/>
          <w:iCs/>
          <w:sz w:val="24"/>
          <w:szCs w:val="24"/>
        </w:rPr>
        <w:t xml:space="preserve">stupeň dokončenia zákazky sa zisťuje kumulatívne na základe aktuálneho rozpočtu zmluvných nákladov a zmluvných výnosov,  ku dňu, ku ktorému sa zostavuje účtovná závierka ako: </w:t>
      </w: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p>
    <w:p w:rsidR="0080706F" w:rsidRPr="008357FB" w:rsidRDefault="0080706F" w:rsidP="0080706F">
      <w:pPr>
        <w:pStyle w:val="Odsekzoznamu"/>
        <w:numPr>
          <w:ilvl w:val="0"/>
          <w:numId w:val="13"/>
        </w:numPr>
        <w:suppressAutoHyphens/>
        <w:autoSpaceDE w:val="0"/>
        <w:autoSpaceDN w:val="0"/>
        <w:adjustRightInd w:val="0"/>
        <w:jc w:val="both"/>
      </w:pPr>
      <w:r w:rsidRPr="008357FB">
        <w:t>pomer skutočne vynaložených nákladov na zákazkovú výrobu za vykonanú prácu a aktualizovaného rozpočtu celkových nákladov na zákazkovú výrobu,</w:t>
      </w:r>
    </w:p>
    <w:p w:rsidR="0080706F" w:rsidRPr="008357FB" w:rsidRDefault="0080706F" w:rsidP="0080706F">
      <w:pPr>
        <w:pStyle w:val="odstavec"/>
        <w:rPr>
          <w:rFonts w:ascii="Times New Roman" w:hAnsi="Times New Roman" w:cs="Times New Roman"/>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 xml:space="preserve">Náklady na zákazku sa vykážu v období, v ktorom vznikli. Náklady vynaložené v bežnom roku a súvisiace s budúcou činnosťou na zákazke sa do výpočtu stupňa dokončenia nezahrnú. </w:t>
      </w: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80706F" w:rsidRPr="008357FB" w:rsidRDefault="0080706F" w:rsidP="0080706F">
      <w:pPr>
        <w:pStyle w:val="odstavec"/>
        <w:rPr>
          <w:rFonts w:ascii="Times New Roman" w:hAnsi="Times New Roman" w:cs="Times New Roman"/>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80706F" w:rsidRPr="008357FB" w:rsidRDefault="0080706F" w:rsidP="0080706F">
      <w:pPr>
        <w:pStyle w:val="odstavec"/>
        <w:rPr>
          <w:rFonts w:ascii="Times New Roman" w:hAnsi="Times New Roman" w:cs="Times New Roman"/>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 xml:space="preserve">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w:t>
      </w:r>
      <w:r w:rsidRPr="008357FB">
        <w:rPr>
          <w:rFonts w:ascii="Times New Roman" w:hAnsi="Times New Roman" w:cs="Times New Roman"/>
          <w:sz w:val="24"/>
          <w:szCs w:val="24"/>
        </w:rPr>
        <w:lastRenderedPageBreak/>
        <w:t>výšku ziskov, ktorých vznik sa očakáva z iných zmlúv, ku ktorým sa nepristupuje ako k jednej zákazkovej výrobe.</w:t>
      </w:r>
    </w:p>
    <w:p w:rsidR="0080706F" w:rsidRPr="000823AF" w:rsidRDefault="0080706F" w:rsidP="0080706F">
      <w:pPr>
        <w:pStyle w:val="odstavec"/>
        <w:rPr>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p>
    <w:p w:rsidR="0080706F" w:rsidRPr="008357FB" w:rsidRDefault="0080706F" w:rsidP="0080706F">
      <w:pPr>
        <w:suppressAutoHyphens/>
        <w:autoSpaceDE w:val="0"/>
        <w:autoSpaceDN w:val="0"/>
        <w:adjustRightInd w:val="0"/>
        <w:ind w:left="425"/>
        <w:jc w:val="both"/>
        <w:rPr>
          <w:rFonts w:ascii="Times New Roman" w:hAnsi="Times New Roman" w:cs="Times New Roman"/>
          <w:sz w:val="24"/>
          <w:szCs w:val="24"/>
        </w:rPr>
      </w:pPr>
      <w:r w:rsidRPr="008357FB">
        <w:rPr>
          <w:rFonts w:ascii="Times New Roman" w:hAnsi="Times New Roman" w:cs="Times New Roman"/>
          <w:sz w:val="24"/>
          <w:szCs w:val="24"/>
        </w:rPr>
        <w:t xml:space="preserve">Spájanie zmlúv. Ako jedna zákazková výroba sa účtuje skupina zmlúv s jedným objednávateľom alebo s niekoľkými objednávateľmi, ak sú súčasne splnené tieto podmienky: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a ich podmienky sa dohadujú ako celok,</w:t>
      </w: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vzájomne úzko súvisí tak, že sú súčasťou jedného projektu a majú spoločnú maržu,</w:t>
      </w:r>
    </w:p>
    <w:p w:rsidR="0080706F" w:rsidRPr="000823AF" w:rsidRDefault="0080706F" w:rsidP="0080706F">
      <w:pPr>
        <w:pStyle w:val="Odsekzoznamu"/>
        <w:numPr>
          <w:ilvl w:val="0"/>
          <w:numId w:val="14"/>
        </w:numPr>
        <w:suppressAutoHyphens/>
        <w:autoSpaceDE w:val="0"/>
        <w:autoSpaceDN w:val="0"/>
        <w:adjustRightInd w:val="0"/>
        <w:jc w:val="both"/>
      </w:pPr>
      <w:r w:rsidRPr="000823AF">
        <w:t xml:space="preserve">zmluvy sa vykonávajú súbežne alebo na seba postupne nadväzujú.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Delenie zmlúv. Ak sa v jednej zmluve dohodlo zhotovenie viacerých majetkov, účtuje sa o zhotovení jednotlivého majetku tvoriaceho predmet zmluvy ako o samostatnej zákazkovej výrobe, ak sú súčasne splnené tieto podmienky:</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5"/>
        </w:numPr>
        <w:suppressAutoHyphens/>
        <w:autoSpaceDE w:val="0"/>
        <w:autoSpaceDN w:val="0"/>
        <w:adjustRightInd w:val="0"/>
        <w:jc w:val="both"/>
      </w:pPr>
      <w:r w:rsidRPr="000823AF">
        <w:t>pre jednotlivý majetok sa predložili samostatné ponuky,</w:t>
      </w:r>
    </w:p>
    <w:p w:rsidR="0080706F" w:rsidRPr="000823AF" w:rsidRDefault="0080706F" w:rsidP="0080706F">
      <w:pPr>
        <w:pStyle w:val="Odsekzoznamu"/>
        <w:numPr>
          <w:ilvl w:val="0"/>
          <w:numId w:val="15"/>
        </w:numPr>
        <w:suppressAutoHyphens/>
        <w:autoSpaceDE w:val="0"/>
        <w:autoSpaceDN w:val="0"/>
        <w:adjustRightInd w:val="0"/>
        <w:jc w:val="both"/>
      </w:pPr>
      <w:r w:rsidRPr="000823AF">
        <w:t>jednotlivý majetok bol predmetom samostatného rokovania a zhotoviteľ a objednávateľ mali možnosť prijať alebo odmietnuť tú časť zmluvy, ktorá sa vzťahuje na jednotlivý majetok,</w:t>
      </w:r>
    </w:p>
    <w:p w:rsidR="0080706F" w:rsidRPr="000823AF" w:rsidRDefault="0080706F" w:rsidP="0080706F">
      <w:pPr>
        <w:pStyle w:val="Odsekzoznamu"/>
        <w:numPr>
          <w:ilvl w:val="0"/>
          <w:numId w:val="15"/>
        </w:numPr>
        <w:suppressAutoHyphens/>
        <w:autoSpaceDE w:val="0"/>
        <w:autoSpaceDN w:val="0"/>
        <w:adjustRightInd w:val="0"/>
        <w:jc w:val="both"/>
      </w:pPr>
      <w:r w:rsidRPr="000823AF">
        <w:t>ku jednotlivému majetku možno identifikovať zmluvné náklady a zmluvné výnosy.</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výstavba nehnuteľnosti</w:t>
      </w:r>
    </w:p>
    <w:p w:rsidR="0080706F" w:rsidRPr="000823AF" w:rsidRDefault="0080706F" w:rsidP="0080706F">
      <w:pPr>
        <w:pStyle w:val="Zkladntext"/>
        <w:rPr>
          <w:b/>
          <w:i/>
          <w:sz w:val="24"/>
          <w:szCs w:val="24"/>
        </w:rPr>
      </w:pPr>
      <w:r w:rsidRPr="000823AF">
        <w:rPr>
          <w:b/>
          <w:i/>
          <w:sz w:val="24"/>
          <w:szCs w:val="24"/>
        </w:rPr>
        <w:t>Zákazková výstavba nehnuteľnosti – priebežný transfer</w:t>
      </w:r>
    </w:p>
    <w:p w:rsidR="0080706F" w:rsidRPr="000823AF" w:rsidRDefault="0080706F" w:rsidP="0080706F">
      <w:pPr>
        <w:pStyle w:val="Zkladntext"/>
        <w:rPr>
          <w:sz w:val="24"/>
          <w:szCs w:val="24"/>
        </w:rPr>
      </w:pPr>
      <w:r w:rsidRPr="000823AF">
        <w:rPr>
          <w:sz w:val="24"/>
          <w:szCs w:val="24"/>
        </w:rPr>
        <w:t xml:space="preserve">Zákazková výstavba nehnuteľnosti určenej na predaj sa vykazuje podľa metódy stupňa dokončenia (angl. percentage-of-completion method). </w:t>
      </w:r>
    </w:p>
    <w:p w:rsidR="0080706F" w:rsidRPr="000823AF" w:rsidRDefault="0080706F" w:rsidP="0080706F">
      <w:pPr>
        <w:pStyle w:val="Zkladntext"/>
        <w:ind w:left="0"/>
        <w:rPr>
          <w:sz w:val="24"/>
          <w:szCs w:val="24"/>
        </w:rPr>
      </w:pPr>
    </w:p>
    <w:p w:rsidR="0080706F" w:rsidRPr="000823AF" w:rsidRDefault="0080706F" w:rsidP="0080706F">
      <w:pPr>
        <w:pStyle w:val="Zkladntext"/>
        <w:rPr>
          <w:b/>
          <w:i/>
          <w:sz w:val="24"/>
          <w:szCs w:val="24"/>
        </w:rPr>
      </w:pPr>
      <w:r w:rsidRPr="000823AF">
        <w:rPr>
          <w:b/>
          <w:i/>
          <w:sz w:val="24"/>
          <w:szCs w:val="24"/>
        </w:rPr>
        <w:t>Zákazková výstavba nehnuteľnosti – ostatná (nie priebežný transfer)</w:t>
      </w:r>
    </w:p>
    <w:p w:rsidR="0080706F" w:rsidRDefault="0080706F" w:rsidP="0080706F">
      <w:pPr>
        <w:pStyle w:val="Zkladntext"/>
      </w:pPr>
      <w:r w:rsidRPr="000823AF">
        <w:rPr>
          <w:sz w:val="24"/>
          <w:szCs w:val="24"/>
        </w:rPr>
        <w:t>Zákazková výstavba nehnuteľnosti určenej na predaj – ostatná (nie priebežný transfer) sa vykazuje metódou tzv. nulového zisku, t. j. zisk sa vykáže až pri predaji nehnuteľnosti.</w:t>
      </w:r>
    </w:p>
    <w:p w:rsidR="0080706F" w:rsidRPr="001463C8"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Pohľadávky</w:t>
      </w:r>
    </w:p>
    <w:p w:rsidR="0080706F" w:rsidRPr="000823AF" w:rsidRDefault="0080706F" w:rsidP="0080706F">
      <w:pPr>
        <w:pStyle w:val="Zkladntext"/>
        <w:rPr>
          <w:sz w:val="24"/>
          <w:szCs w:val="24"/>
        </w:rPr>
      </w:pPr>
      <w:r w:rsidRPr="000823AF">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Krátkodobý finančný majetok</w:t>
      </w:r>
    </w:p>
    <w:p w:rsidR="0080706F" w:rsidRPr="000823AF" w:rsidRDefault="0080706F" w:rsidP="0080706F">
      <w:pPr>
        <w:pStyle w:val="Zkladntext"/>
        <w:rPr>
          <w:b/>
          <w:sz w:val="24"/>
          <w:szCs w:val="24"/>
        </w:rPr>
      </w:pPr>
      <w:r w:rsidRPr="000823AF">
        <w:rPr>
          <w:sz w:val="24"/>
          <w:szCs w:val="24"/>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Vlastné akcie a vlastné obchodné podiely</w:t>
      </w:r>
    </w:p>
    <w:p w:rsidR="0080706F" w:rsidRPr="000823AF" w:rsidRDefault="0080706F" w:rsidP="0080706F">
      <w:pPr>
        <w:pStyle w:val="Pismenka"/>
        <w:tabs>
          <w:tab w:val="clear" w:pos="360"/>
        </w:tabs>
        <w:ind w:left="426" w:firstLine="0"/>
        <w:rPr>
          <w:sz w:val="24"/>
          <w:szCs w:val="24"/>
        </w:rPr>
      </w:pPr>
      <w:r w:rsidRPr="000823AF">
        <w:rPr>
          <w:b w:val="0"/>
          <w:sz w:val="24"/>
          <w:szCs w:val="24"/>
        </w:rPr>
        <w:t xml:space="preserve">Vlastné akcie a vlastné obchodné podiely sa oceňujú obstarávacou cenou. Na vlastné akcie a vlastné obchodné podiely sa vo vlastnom imaní vytvára rezervný fond.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Finančné účty</w:t>
      </w:r>
    </w:p>
    <w:p w:rsidR="0080706F" w:rsidRPr="00CD4BBA" w:rsidRDefault="0080706F" w:rsidP="0080706F">
      <w:pPr>
        <w:pStyle w:val="Pismenka"/>
        <w:tabs>
          <w:tab w:val="clear" w:pos="360"/>
        </w:tabs>
        <w:ind w:left="426" w:firstLine="0"/>
        <w:rPr>
          <w:b w:val="0"/>
          <w:sz w:val="24"/>
          <w:szCs w:val="24"/>
        </w:rPr>
      </w:pPr>
      <w:r w:rsidRPr="00CD4BBA">
        <w:rPr>
          <w:b w:val="0"/>
          <w:sz w:val="24"/>
          <w:szCs w:val="24"/>
        </w:rPr>
        <w:t xml:space="preserve">Finančné účty tvorí peňažná hotovosť, ceniny, zostatky na bankových účtoch a oceňujú sa menovitou hodnotou. Zníženie ich hodnoty sa vyjadruje opravnou položkou. </w:t>
      </w:r>
    </w:p>
    <w:p w:rsidR="0080706F" w:rsidRPr="00CD4BBA" w:rsidRDefault="0080706F" w:rsidP="0080706F">
      <w:pPr>
        <w:pStyle w:val="odstavec"/>
        <w:rPr>
          <w:sz w:val="24"/>
          <w:szCs w:val="24"/>
        </w:rPr>
      </w:pPr>
    </w:p>
    <w:p w:rsidR="0080706F" w:rsidRPr="000823AF" w:rsidRDefault="0080706F" w:rsidP="0080706F">
      <w:pPr>
        <w:pStyle w:val="Pismenka"/>
        <w:numPr>
          <w:ilvl w:val="0"/>
          <w:numId w:val="10"/>
        </w:numPr>
        <w:rPr>
          <w:sz w:val="24"/>
          <w:szCs w:val="24"/>
        </w:rPr>
      </w:pPr>
      <w:r w:rsidRPr="000823AF">
        <w:rPr>
          <w:sz w:val="24"/>
          <w:szCs w:val="24"/>
        </w:rPr>
        <w:t>Emisné kvóty</w:t>
      </w:r>
    </w:p>
    <w:p w:rsidR="0080706F" w:rsidRPr="00CD4BBA" w:rsidRDefault="0080706F" w:rsidP="0080706F">
      <w:pPr>
        <w:pStyle w:val="Pismenka"/>
        <w:tabs>
          <w:tab w:val="clear" w:pos="360"/>
        </w:tabs>
        <w:ind w:left="426" w:firstLine="0"/>
        <w:rPr>
          <w:b w:val="0"/>
          <w:sz w:val="24"/>
          <w:szCs w:val="24"/>
        </w:rPr>
      </w:pPr>
      <w:r w:rsidRPr="000823AF">
        <w:rPr>
          <w:b w:val="0"/>
          <w:sz w:val="24"/>
          <w:szCs w:val="24"/>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CD4BBA">
        <w:rPr>
          <w:b w:val="0"/>
          <w:sz w:val="24"/>
          <w:szCs w:val="24"/>
        </w:rPr>
        <w:t>Európsku energetickú burzu.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Zúčtovanie výnosov budúcich období sa uskutočňuje v časovej a vecnej súvislosti s použitím bezodplatne pripísaných emisných kvót z dôvodu ich predaja alebo tvorby rezervy alebo splnenia povinnosti odovzdania emisných kvót.</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Nakúpené emisné kvóty sa oceňujú obstarávacou cenou.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Ku dňu, ku ktorému sa zostavuje účtovná závierka sa vytvára rezerva na emisie vypustené do ovzdušia vo výške násobku známeho množstva vypustených emisií do ovzdušia a hodnoty emisných kvót stanovenej </w:t>
      </w:r>
      <w:r w:rsidRPr="00CD4BBA">
        <w:rPr>
          <w:sz w:val="24"/>
          <w:szCs w:val="24"/>
        </w:rPr>
        <w:t>Európskou energetickou burzou. Tvorba</w:t>
      </w:r>
      <w:r w:rsidRPr="000823AF">
        <w:rPr>
          <w:sz w:val="24"/>
          <w:szCs w:val="24"/>
        </w:rPr>
        <w:t xml:space="preserve">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Náklady budúcich období a príjmy budúcich období</w:t>
      </w:r>
    </w:p>
    <w:p w:rsidR="0080706F" w:rsidRPr="000823AF" w:rsidRDefault="0080706F" w:rsidP="0080706F">
      <w:pPr>
        <w:pStyle w:val="Zkladntext"/>
        <w:rPr>
          <w:sz w:val="24"/>
          <w:szCs w:val="24"/>
        </w:rPr>
      </w:pPr>
      <w:r w:rsidRPr="000823AF">
        <w:rPr>
          <w:sz w:val="24"/>
          <w:szCs w:val="24"/>
        </w:rPr>
        <w:t>Náklady budúcich období a príjmy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Zníženie hodnoty majetku a opravné položky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w:t>
      </w:r>
      <w:r w:rsidRPr="000823AF">
        <w:rPr>
          <w:b w:val="0"/>
          <w:sz w:val="24"/>
          <w:szCs w:val="24"/>
        </w:rPr>
        <w:lastRenderedPageBreak/>
        <w:t>majetku oproti jeho oceneniu v účtovníctve. Opravné položky sa zrušia alebo zmení sa ich výška, ak nastane zmena predpokladu zníženia hodnoty.</w:t>
      </w:r>
    </w:p>
    <w:p w:rsidR="0080706F" w:rsidRDefault="0080706F" w:rsidP="0080706F">
      <w:pPr>
        <w:rPr>
          <w:b/>
        </w:rPr>
      </w:pPr>
    </w:p>
    <w:p w:rsidR="0080706F" w:rsidRPr="00CD4BBA" w:rsidRDefault="0080706F" w:rsidP="0080706F">
      <w:pPr>
        <w:rPr>
          <w:b/>
        </w:rPr>
      </w:pPr>
      <w:r>
        <w:rPr>
          <w:b/>
          <w:i/>
        </w:rPr>
        <w:t xml:space="preserve">       </w:t>
      </w:r>
      <w:r w:rsidRPr="00CD4BBA">
        <w:rPr>
          <w:b/>
          <w:i/>
        </w:rPr>
        <w:t>Zníženie hodnoty dlhodobého majetku a zásob</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Ku každému dňu, ku ktorému sa zostavuje účtovná závierka, je účtovná hodnota majetku Spoločnosti, iného ako odloženej daňovej pohľadávky (pozri bod </w:t>
      </w:r>
      <w:r w:rsidRPr="000823AF">
        <w:rPr>
          <w:b w:val="0"/>
          <w:sz w:val="24"/>
          <w:szCs w:val="24"/>
          <w:highlight w:val="lightGray"/>
        </w:rPr>
        <w:t>D.19</w:t>
      </w:r>
      <w:r w:rsidRPr="000823AF">
        <w:rPr>
          <w:b w:val="0"/>
          <w:sz w:val="24"/>
          <w:szCs w:val="24"/>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tabs>
          <w:tab w:val="clear" w:pos="360"/>
        </w:tabs>
        <w:ind w:left="426" w:firstLine="0"/>
        <w:rPr>
          <w:i/>
          <w:sz w:val="24"/>
          <w:szCs w:val="24"/>
        </w:rPr>
      </w:pPr>
      <w:r w:rsidRPr="000823AF">
        <w:rPr>
          <w:i/>
          <w:sz w:val="24"/>
          <w:szCs w:val="24"/>
        </w:rPr>
        <w:t xml:space="preserve">Zníženie hodnoty finančného majetku a pohľadávok </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Ku každému dňu, ku ktorému sa zostavuje účtovná závierka sa finančný majetok, ktorý nie je ocenený reálnou hodnotou posudzuje s cieľom zistiť, či existujú objektívne dôkazy zníženia jeho hodnoty.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Medzi objektívne dôkazy o znížení hodnoty finančného majetku patrí nesplácanie dlhu alebo protiprávne konanie dlžníka, reštrukturalizácia pohľadávok Spoločnosti za podmienok, o ktorých by Spoločnosť za normálnej situácie</w:t>
      </w:r>
      <w:r w:rsidRPr="000823AF">
        <w:rPr>
          <w:sz w:val="24"/>
          <w:szCs w:val="24"/>
        </w:rPr>
        <w:t xml:space="preserve"> </w:t>
      </w:r>
      <w:r w:rsidRPr="000823AF">
        <w:rPr>
          <w:b w:val="0"/>
          <w:sz w:val="24"/>
          <w:szCs w:val="24"/>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0706F" w:rsidRPr="000823AF" w:rsidRDefault="0080706F" w:rsidP="0080706F">
      <w:pPr>
        <w:pStyle w:val="Pismenka"/>
        <w:tabs>
          <w:tab w:val="clear" w:pos="360"/>
        </w:tabs>
        <w:ind w:left="426" w:firstLine="0"/>
        <w:rPr>
          <w:b w:val="0"/>
          <w:i/>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Opravná položka sa zruší, ak následné zvýšenie predpokladaných budúcich ekonomických úžitkov možno objektívne spájať s udalosťou, ktorá nastala po vykázaní opravnej položky.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Záväzky</w:t>
      </w:r>
    </w:p>
    <w:p w:rsidR="0080706F" w:rsidRPr="000823AF" w:rsidRDefault="0080706F" w:rsidP="0080706F">
      <w:pPr>
        <w:pStyle w:val="Zkladntext"/>
        <w:rPr>
          <w:sz w:val="24"/>
          <w:szCs w:val="24"/>
        </w:rPr>
      </w:pPr>
      <w:r w:rsidRPr="000823AF">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Rezervy</w:t>
      </w:r>
    </w:p>
    <w:p w:rsidR="0080706F" w:rsidRPr="000823AF" w:rsidRDefault="0080706F" w:rsidP="0080706F">
      <w:pPr>
        <w:pStyle w:val="Zkladntext"/>
        <w:rPr>
          <w:b/>
          <w:sz w:val="24"/>
          <w:szCs w:val="24"/>
        </w:rPr>
      </w:pPr>
      <w:r w:rsidRPr="000823AF">
        <w:rPr>
          <w:sz w:val="24"/>
          <w:szCs w:val="24"/>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na bonusy, rabaty, skontá a vrátenie kúpnej ceny pri reklamácii sa účtuje ako zníženie pôvodne dosiahnutých výnosov so súvzťažným zápisom v prospech účtu rezerv. </w:t>
      </w:r>
    </w:p>
    <w:p w:rsidR="0080706F" w:rsidRPr="000823AF" w:rsidRDefault="0080706F" w:rsidP="0080706F">
      <w:pPr>
        <w:pStyle w:val="Pismenka"/>
        <w:tabs>
          <w:tab w:val="clear" w:pos="360"/>
        </w:tabs>
        <w:ind w:firstLine="0"/>
        <w:rPr>
          <w:b w:val="0"/>
          <w:sz w:val="24"/>
          <w:szCs w:val="24"/>
        </w:rPr>
      </w:pPr>
    </w:p>
    <w:p w:rsidR="0080706F" w:rsidRPr="000823AF" w:rsidRDefault="0080706F" w:rsidP="0080706F">
      <w:pPr>
        <w:pStyle w:val="Zkladntext"/>
        <w:rPr>
          <w:b/>
          <w:sz w:val="24"/>
          <w:szCs w:val="24"/>
        </w:rPr>
      </w:pPr>
      <w:r w:rsidRPr="000823AF">
        <w:rPr>
          <w:b/>
          <w:sz w:val="24"/>
          <w:szCs w:val="24"/>
        </w:rPr>
        <w:t>Rezerva na odstupné</w:t>
      </w:r>
    </w:p>
    <w:p w:rsidR="0080706F" w:rsidRPr="000823AF" w:rsidRDefault="0080706F" w:rsidP="0080706F">
      <w:pPr>
        <w:pStyle w:val="Zkladntext"/>
        <w:rPr>
          <w:sz w:val="24"/>
          <w:szCs w:val="24"/>
        </w:rPr>
      </w:pPr>
      <w:r w:rsidRPr="000823AF">
        <w:rPr>
          <w:sz w:val="24"/>
          <w:szCs w:val="24"/>
        </w:rPr>
        <w:t xml:space="preserve">Rezerva na odstupné </w:t>
      </w:r>
      <w:r>
        <w:rPr>
          <w:sz w:val="24"/>
          <w:szCs w:val="24"/>
        </w:rPr>
        <w:t xml:space="preserve">môže </w:t>
      </w:r>
      <w:r w:rsidRPr="000823AF">
        <w:rPr>
          <w:sz w:val="24"/>
          <w:szCs w:val="24"/>
        </w:rPr>
        <w:t>b</w:t>
      </w:r>
      <w:r>
        <w:rPr>
          <w:sz w:val="24"/>
          <w:szCs w:val="24"/>
        </w:rPr>
        <w:t>yť</w:t>
      </w:r>
      <w:r w:rsidRPr="000823AF">
        <w:rPr>
          <w:sz w:val="24"/>
          <w:szCs w:val="24"/>
        </w:rPr>
        <w:t xml:space="preserve"> vytvorená v súvislosti s plánovaným znížením počtu zamestnancov a b</w:t>
      </w:r>
      <w:r>
        <w:rPr>
          <w:sz w:val="24"/>
          <w:szCs w:val="24"/>
        </w:rPr>
        <w:t>ude</w:t>
      </w:r>
      <w:r w:rsidRPr="000823AF">
        <w:rPr>
          <w:sz w:val="24"/>
          <w:szCs w:val="24"/>
        </w:rPr>
        <w:t xml:space="preserve"> tvorená na základe priemerných mesačných miezd a plánovaného zníženia počtu zamestnancov. </w:t>
      </w:r>
    </w:p>
    <w:p w:rsidR="0080706F" w:rsidRPr="000823AF" w:rsidRDefault="0080706F" w:rsidP="0080706F">
      <w:pPr>
        <w:pStyle w:val="Zkladntext"/>
        <w:ind w:left="0"/>
        <w:rPr>
          <w:sz w:val="24"/>
          <w:szCs w:val="24"/>
        </w:rPr>
      </w:pPr>
    </w:p>
    <w:p w:rsidR="0080706F" w:rsidRPr="000823AF" w:rsidRDefault="0080706F" w:rsidP="0080706F">
      <w:pPr>
        <w:pStyle w:val="Zkladntext"/>
        <w:jc w:val="left"/>
        <w:rPr>
          <w:b/>
          <w:sz w:val="24"/>
          <w:szCs w:val="24"/>
        </w:rPr>
      </w:pPr>
      <w:r w:rsidRPr="000823AF">
        <w:rPr>
          <w:b/>
          <w:sz w:val="24"/>
          <w:szCs w:val="24"/>
        </w:rPr>
        <w:t>Nevyfakturované dodávky majetku</w:t>
      </w:r>
    </w:p>
    <w:p w:rsidR="0080706F" w:rsidRPr="000823AF" w:rsidRDefault="0080706F" w:rsidP="0080706F">
      <w:pPr>
        <w:pStyle w:val="Zkladntext"/>
        <w:rPr>
          <w:sz w:val="24"/>
          <w:szCs w:val="24"/>
        </w:rPr>
      </w:pPr>
      <w:r w:rsidRPr="000823AF">
        <w:rPr>
          <w:sz w:val="24"/>
          <w:szCs w:val="24"/>
        </w:rPr>
        <w:t>Rezervy na nevyfakturované dodávky majetku sa nevykazujú s vplyvom na výsledok hospodárenia a oceňujú sa v odhadovanej výške záväzku.</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Zamestnanecké požitky</w:t>
      </w:r>
    </w:p>
    <w:p w:rsidR="0080706F" w:rsidRPr="000823AF" w:rsidRDefault="0080706F" w:rsidP="0080706F">
      <w:pPr>
        <w:pStyle w:val="Pismenka"/>
        <w:tabs>
          <w:tab w:val="clear" w:pos="360"/>
        </w:tabs>
        <w:ind w:left="425" w:firstLine="0"/>
        <w:rPr>
          <w:b w:val="0"/>
          <w:sz w:val="24"/>
          <w:szCs w:val="24"/>
        </w:rPr>
      </w:pPr>
      <w:r w:rsidRPr="000823AF">
        <w:rPr>
          <w:b w:val="0"/>
          <w:sz w:val="24"/>
          <w:szCs w:val="24"/>
        </w:rPr>
        <w:t>Platy, mzdy, príspevky do dôchodkových a poistných fondov, platená ročná dovolenka a platená zdravotná</w:t>
      </w:r>
      <w:r w:rsidRPr="000823AF">
        <w:rPr>
          <w:sz w:val="24"/>
          <w:szCs w:val="24"/>
        </w:rPr>
        <w:t xml:space="preserve"> </w:t>
      </w:r>
      <w:r w:rsidRPr="000823AF">
        <w:rPr>
          <w:b w:val="0"/>
          <w:sz w:val="24"/>
          <w:szCs w:val="24"/>
        </w:rPr>
        <w:t>dovolenka, bonusy a ostatné nepeňažné požitky (napr. zdravotná starostlivosť) sa účtujú v účtovnom období, s ktorým vecne a časovo súvisia.</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Odložené dane</w:t>
      </w:r>
    </w:p>
    <w:p w:rsidR="0080706F" w:rsidRPr="000823AF" w:rsidRDefault="0080706F" w:rsidP="0080706F">
      <w:pPr>
        <w:pStyle w:val="Zkladntext"/>
        <w:rPr>
          <w:sz w:val="24"/>
          <w:szCs w:val="24"/>
        </w:rPr>
      </w:pPr>
      <w:r w:rsidRPr="000823AF">
        <w:rPr>
          <w:sz w:val="24"/>
          <w:szCs w:val="24"/>
        </w:rPr>
        <w:t xml:space="preserve">Odložené dane (odložená daňová pohľadávka a odložený daňový záväzok) sa vzťahujú na: </w:t>
      </w:r>
    </w:p>
    <w:p w:rsidR="0080706F" w:rsidRPr="000823AF" w:rsidRDefault="0080706F" w:rsidP="0080706F">
      <w:pPr>
        <w:pStyle w:val="Zkladntext"/>
        <w:numPr>
          <w:ilvl w:val="0"/>
          <w:numId w:val="4"/>
        </w:numPr>
        <w:rPr>
          <w:sz w:val="24"/>
          <w:szCs w:val="24"/>
        </w:rPr>
      </w:pPr>
      <w:r w:rsidRPr="000823AF">
        <w:rPr>
          <w:sz w:val="24"/>
          <w:szCs w:val="24"/>
        </w:rPr>
        <w:t>dočasné rozdiely medzi účtovnou hodnotou majetku a účtovnou hodnotou záväzkov vykázanou v súvahe a ich daňovou základňou,</w:t>
      </w:r>
    </w:p>
    <w:p w:rsidR="0080706F" w:rsidRPr="000823AF" w:rsidRDefault="0080706F" w:rsidP="0080706F">
      <w:pPr>
        <w:pStyle w:val="Zkladntext"/>
        <w:numPr>
          <w:ilvl w:val="0"/>
          <w:numId w:val="4"/>
        </w:numPr>
        <w:rPr>
          <w:sz w:val="24"/>
          <w:szCs w:val="24"/>
        </w:rPr>
      </w:pPr>
      <w:r w:rsidRPr="000823AF">
        <w:rPr>
          <w:sz w:val="24"/>
          <w:szCs w:val="24"/>
        </w:rPr>
        <w:t>možnosť umorovať daňovú stratu v budúcnosti, ktorou sa rozumie možnosť odpočítať daňovú stratu od základu dane v budúcnosti,</w:t>
      </w:r>
    </w:p>
    <w:p w:rsidR="0080706F" w:rsidRPr="000823AF" w:rsidRDefault="0080706F" w:rsidP="0080706F">
      <w:pPr>
        <w:pStyle w:val="Zkladntext"/>
        <w:numPr>
          <w:ilvl w:val="0"/>
          <w:numId w:val="4"/>
        </w:numPr>
        <w:rPr>
          <w:sz w:val="24"/>
          <w:szCs w:val="24"/>
        </w:rPr>
      </w:pPr>
      <w:r w:rsidRPr="000823AF">
        <w:rPr>
          <w:sz w:val="24"/>
          <w:szCs w:val="24"/>
        </w:rPr>
        <w:t>možnosť previesť nevyužité daňové odpočty a iné daňové nároky do budúcich období.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Odložená daňová pohľadávka ani odložený daňový záväzok sa neúčtuje pri: </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pri prvotnom zaúčtovaní goodwillu alebo záporného goodwillu.</w:t>
      </w:r>
    </w:p>
    <w:p w:rsidR="0080706F" w:rsidRPr="000823AF" w:rsidRDefault="0080706F" w:rsidP="0080706F">
      <w:pPr>
        <w:pStyle w:val="Zkladntext"/>
        <w:ind w:left="766"/>
        <w:rPr>
          <w:sz w:val="24"/>
          <w:szCs w:val="24"/>
        </w:rPr>
      </w:pPr>
    </w:p>
    <w:p w:rsidR="0080706F" w:rsidRPr="000823AF" w:rsidRDefault="0080706F" w:rsidP="0080706F">
      <w:pPr>
        <w:pStyle w:val="Zkladntext"/>
        <w:rPr>
          <w:sz w:val="24"/>
          <w:szCs w:val="24"/>
        </w:rPr>
      </w:pPr>
      <w:r w:rsidRPr="000823AF">
        <w:rPr>
          <w:sz w:val="24"/>
          <w:szCs w:val="24"/>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Výdavky budúcich období a výnosy budúcich období</w:t>
      </w:r>
    </w:p>
    <w:p w:rsidR="0080706F" w:rsidRPr="000823AF" w:rsidRDefault="0080706F" w:rsidP="0080706F">
      <w:pPr>
        <w:pStyle w:val="Zkladntext"/>
        <w:rPr>
          <w:sz w:val="24"/>
          <w:szCs w:val="24"/>
        </w:rPr>
      </w:pPr>
      <w:r w:rsidRPr="000823AF">
        <w:rPr>
          <w:sz w:val="24"/>
          <w:szCs w:val="24"/>
        </w:rPr>
        <w:t>Výdavky budúcich období a výnosy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Dotácie zo štátneho rozpočtu</w:t>
      </w:r>
    </w:p>
    <w:p w:rsidR="008357FB" w:rsidRDefault="0080706F" w:rsidP="008357FB">
      <w:pPr>
        <w:ind w:left="450"/>
        <w:jc w:val="both"/>
        <w:rPr>
          <w:rFonts w:ascii="Times New Roman" w:hAnsi="Times New Roman" w:cs="Times New Roman"/>
          <w:sz w:val="24"/>
          <w:szCs w:val="24"/>
        </w:rPr>
      </w:pPr>
      <w:r w:rsidRPr="008357FB">
        <w:rPr>
          <w:rFonts w:ascii="Times New Roman" w:hAnsi="Times New Roman" w:cs="Times New Roman"/>
          <w:sz w:val="24"/>
          <w:szCs w:val="24"/>
        </w:rPr>
        <w:t xml:space="preserve">O nároku na dotácie zo štátneho rozpočtu, podporu alebo príspevok sa účtuje, ak je takmer isté, že sa splnia všetky podmienky súvisiace s dotáciou a súčasne, že sa dotácia poskytne. </w:t>
      </w:r>
    </w:p>
    <w:p w:rsidR="008357FB" w:rsidRDefault="0080706F" w:rsidP="008357FB">
      <w:pPr>
        <w:ind w:left="450"/>
        <w:jc w:val="both"/>
        <w:rPr>
          <w:rFonts w:ascii="Times New Roman" w:hAnsi="Times New Roman" w:cs="Times New Roman"/>
          <w:sz w:val="24"/>
          <w:szCs w:val="24"/>
        </w:rPr>
      </w:pPr>
      <w:r w:rsidRPr="008357FB">
        <w:rPr>
          <w:rFonts w:ascii="Times New Roman" w:hAnsi="Times New Roman" w:cs="Times New Roman"/>
          <w:sz w:val="24"/>
          <w:szCs w:val="24"/>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80706F" w:rsidRPr="008357FB" w:rsidRDefault="0080706F" w:rsidP="008357FB">
      <w:pPr>
        <w:ind w:left="450"/>
        <w:jc w:val="both"/>
        <w:rPr>
          <w:rFonts w:ascii="Times New Roman" w:hAnsi="Times New Roman" w:cs="Times New Roman"/>
          <w:sz w:val="24"/>
          <w:szCs w:val="24"/>
        </w:rPr>
      </w:pPr>
      <w:r w:rsidRPr="008357FB">
        <w:rPr>
          <w:rFonts w:ascii="Times New Roman" w:hAnsi="Times New Roman" w:cs="Times New Roman"/>
          <w:sz w:val="24"/>
          <w:szCs w:val="24"/>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80706F" w:rsidRPr="00CD4BBA" w:rsidRDefault="0080706F" w:rsidP="0080706F">
      <w:pPr>
        <w:pStyle w:val="Pismenka"/>
        <w:numPr>
          <w:ilvl w:val="0"/>
          <w:numId w:val="10"/>
        </w:numPr>
        <w:rPr>
          <w:sz w:val="24"/>
          <w:szCs w:val="24"/>
        </w:rPr>
      </w:pPr>
      <w:r w:rsidRPr="00CD4BBA">
        <w:rPr>
          <w:sz w:val="24"/>
          <w:szCs w:val="24"/>
        </w:rPr>
        <w:t>Prenájom (lízing) (Spoločnosť ako nájomca)</w:t>
      </w:r>
    </w:p>
    <w:p w:rsidR="0080706F" w:rsidRPr="000823AF" w:rsidRDefault="0080706F" w:rsidP="0080706F">
      <w:pPr>
        <w:pStyle w:val="Zkladntext"/>
        <w:rPr>
          <w:b/>
          <w:sz w:val="24"/>
          <w:szCs w:val="24"/>
        </w:rPr>
      </w:pPr>
    </w:p>
    <w:p w:rsidR="0080706F" w:rsidRPr="000823AF" w:rsidRDefault="0080706F" w:rsidP="0080706F">
      <w:pPr>
        <w:pStyle w:val="Zkladntext"/>
        <w:rPr>
          <w:sz w:val="24"/>
          <w:szCs w:val="24"/>
        </w:rPr>
      </w:pPr>
      <w:r w:rsidRPr="000823AF">
        <w:rPr>
          <w:b/>
          <w:sz w:val="24"/>
          <w:szCs w:val="24"/>
        </w:rPr>
        <w:t>Finančný prenájom.</w:t>
      </w:r>
      <w:r w:rsidRPr="000823AF">
        <w:rPr>
          <w:sz w:val="24"/>
          <w:szCs w:val="24"/>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dohodnutých platieb je aj kúpna cena, za ktorú na konci dohodnutej doby finančného prenájmu prechádza vlastnícke právo k prenajatému majetku z prenajímateľa na nájomcu.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Platba nájomného je alokovaná medzi splátku istiny a finančné náklady, vypočítané metódou efektívnej úrokovej miery. Finančné náklady sa účtujú na ťarchu účtu 562 – Úroky.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b/>
          <w:sz w:val="24"/>
          <w:szCs w:val="24"/>
        </w:rPr>
        <w:t xml:space="preserve">Operatívny prenájom. </w:t>
      </w:r>
      <w:r w:rsidRPr="000823AF">
        <w:rPr>
          <w:sz w:val="24"/>
          <w:szCs w:val="24"/>
        </w:rPr>
        <w:t>Majetok prenajatý na základe operatívneho prenájmu vykazuje ako svoj majetok jeho vlastník, nie nájomca. Prenájom majetku formou operatívneho leasingu sa účtuje do nákladov priebežne počas doby trvania leasingovej zmluvy.</w:t>
      </w:r>
    </w:p>
    <w:p w:rsidR="0080706F" w:rsidRPr="00CD4BBA" w:rsidRDefault="0080706F" w:rsidP="0080706F">
      <w:pPr>
        <w:pStyle w:val="Zkladntext"/>
        <w:rPr>
          <w:sz w:val="24"/>
          <w:szCs w:val="24"/>
        </w:rPr>
      </w:pPr>
    </w:p>
    <w:p w:rsidR="0080706F" w:rsidRPr="00CD4BBA" w:rsidRDefault="0080706F" w:rsidP="0080706F">
      <w:pPr>
        <w:pStyle w:val="Pismenka"/>
        <w:numPr>
          <w:ilvl w:val="0"/>
          <w:numId w:val="10"/>
        </w:numPr>
        <w:rPr>
          <w:sz w:val="24"/>
          <w:szCs w:val="24"/>
        </w:rPr>
      </w:pPr>
      <w:r w:rsidRPr="00CD4BBA">
        <w:rPr>
          <w:sz w:val="24"/>
          <w:szCs w:val="24"/>
        </w:rPr>
        <w:t>Prenájom (lízing) (Spoločnosť ako prenajímateľ)</w:t>
      </w:r>
    </w:p>
    <w:p w:rsidR="0080706F" w:rsidRPr="000823AF" w:rsidRDefault="0080706F" w:rsidP="0080706F">
      <w:pPr>
        <w:pStyle w:val="Zkladntext"/>
        <w:rPr>
          <w:b/>
          <w:sz w:val="24"/>
          <w:szCs w:val="24"/>
        </w:rPr>
      </w:pPr>
    </w:p>
    <w:p w:rsidR="0080706F" w:rsidRPr="008357FB" w:rsidRDefault="0080706F" w:rsidP="008357FB">
      <w:pPr>
        <w:ind w:left="426"/>
      </w:pPr>
      <w:r>
        <w:t>Spoločnosť nemá náplň.</w:t>
      </w:r>
    </w:p>
    <w:p w:rsidR="0080706F" w:rsidRPr="000823AF" w:rsidRDefault="0080706F" w:rsidP="0080706F">
      <w:pPr>
        <w:pStyle w:val="Pismenka"/>
        <w:numPr>
          <w:ilvl w:val="0"/>
          <w:numId w:val="10"/>
        </w:numPr>
        <w:rPr>
          <w:sz w:val="24"/>
          <w:szCs w:val="24"/>
        </w:rPr>
      </w:pPr>
      <w:r w:rsidRPr="000823AF">
        <w:rPr>
          <w:sz w:val="24"/>
          <w:szCs w:val="24"/>
        </w:rPr>
        <w:t>Deriváty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Deriváty sa pri nadobudnutí oceňujú obstarávacou cenou a ku dňu, ku ktorému sa zostavuje účtovná závierka, reálnou hodnotou.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menových futurít je stanovená na základe kótovaných cien na burze.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Reálne hodnoty odrážajú úrokové riziko nástroja a zahŕňajú úpravy s prihliadnutím na úverové riziká Spoločnosti a protistrany, tam kde je to vhodné.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Majetok a záväzky zabezpečené derivátmi</w:t>
      </w:r>
    </w:p>
    <w:p w:rsidR="0080706F" w:rsidRPr="000823AF" w:rsidRDefault="0080706F" w:rsidP="0080706F">
      <w:pPr>
        <w:pStyle w:val="Zkladntext"/>
        <w:rPr>
          <w:sz w:val="24"/>
          <w:szCs w:val="24"/>
        </w:rPr>
      </w:pPr>
      <w:r w:rsidRPr="000823AF">
        <w:rPr>
          <w:sz w:val="24"/>
          <w:szCs w:val="24"/>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80706F" w:rsidRPr="00CD4BBA"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Cudzia mena</w:t>
      </w:r>
    </w:p>
    <w:p w:rsidR="0080706F" w:rsidRPr="000823AF" w:rsidRDefault="0080706F" w:rsidP="0080706F">
      <w:pPr>
        <w:pStyle w:val="Zkladntext"/>
        <w:rPr>
          <w:sz w:val="24"/>
          <w:szCs w:val="24"/>
        </w:rPr>
      </w:pPr>
      <w:r w:rsidRPr="000823AF">
        <w:rPr>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0706F" w:rsidRPr="000823AF"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euro sa použije kurz, za ktorý bola táto cudzia mena nakúpená.</w:t>
      </w:r>
    </w:p>
    <w:p w:rsidR="0080706F" w:rsidRPr="00CD4BBA" w:rsidRDefault="0080706F" w:rsidP="0080706F">
      <w:pPr>
        <w:pStyle w:val="Zkladntext"/>
        <w:rPr>
          <w:sz w:val="24"/>
          <w:szCs w:val="24"/>
        </w:rPr>
      </w:pPr>
    </w:p>
    <w:p w:rsidR="0080706F" w:rsidRPr="000823AF"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 ocenenie cudzej meny obstarávanej v rámci menového derivátu </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je zmluvnou stranou banka alebo pobočka zahraničnej banky, použije sa ku dňu ocenenia kurz banky alebo pobočky zahraničnej banky, ktorá je zmluvnou stranou tohto menového derivátu alebo sa použije referenčný kurz ku dňu ocenenia,</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zmluvnou stranou nie je banka alebo pobočka zahraničnej banky, použije sa na ocenenie referenčný kurz ku dňu ocenenia.</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Pr>
          <w:sz w:val="24"/>
          <w:szCs w:val="24"/>
        </w:rPr>
        <w:t>uskutočnenia účtovného prípadu.</w:t>
      </w:r>
    </w:p>
    <w:p w:rsidR="0080706F" w:rsidRDefault="0080706F" w:rsidP="0080706F">
      <w:pPr>
        <w:pStyle w:val="Zkladntext"/>
        <w:rPr>
          <w:color w:val="0070C0"/>
          <w:sz w:val="24"/>
          <w:szCs w:val="24"/>
        </w:rPr>
      </w:pPr>
    </w:p>
    <w:p w:rsidR="0080706F" w:rsidRPr="00CD4BBA" w:rsidRDefault="0080706F" w:rsidP="0080706F">
      <w:pPr>
        <w:pStyle w:val="Zkladntext"/>
        <w:rPr>
          <w:sz w:val="24"/>
          <w:szCs w:val="24"/>
        </w:rPr>
      </w:pPr>
      <w:r w:rsidRPr="00CD4BBA">
        <w:rPr>
          <w:sz w:val="24"/>
          <w:szCs w:val="24"/>
        </w:rPr>
        <w:t>Ku dňu, ku ktorému sa zostavuje účtovná závierka) sa referenčným kurzom prepočítajú:</w:t>
      </w:r>
    </w:p>
    <w:p w:rsidR="0080706F" w:rsidRPr="00CD4BBA" w:rsidRDefault="0080706F" w:rsidP="0080706F">
      <w:pPr>
        <w:pStyle w:val="Zkladntext"/>
        <w:numPr>
          <w:ilvl w:val="0"/>
          <w:numId w:val="17"/>
        </w:numPr>
        <w:rPr>
          <w:sz w:val="24"/>
          <w:szCs w:val="24"/>
        </w:rPr>
      </w:pPr>
      <w:r w:rsidRPr="00CD4BBA">
        <w:rPr>
          <w:sz w:val="24"/>
          <w:szCs w:val="24"/>
        </w:rPr>
        <w:t>cenné papiere znejúce na cudziu menu,</w:t>
      </w:r>
    </w:p>
    <w:p w:rsidR="0080706F" w:rsidRPr="00CD4BBA" w:rsidRDefault="0080706F" w:rsidP="0080706F">
      <w:pPr>
        <w:pStyle w:val="Zkladntext"/>
        <w:numPr>
          <w:ilvl w:val="0"/>
          <w:numId w:val="17"/>
        </w:numPr>
        <w:rPr>
          <w:sz w:val="24"/>
          <w:szCs w:val="24"/>
        </w:rPr>
      </w:pPr>
      <w:r w:rsidRPr="00CD4BBA">
        <w:rPr>
          <w:sz w:val="24"/>
          <w:szCs w:val="24"/>
        </w:rPr>
        <w:t>nástroje peňažného trhu ocenené cudzou menou,</w:t>
      </w:r>
    </w:p>
    <w:p w:rsidR="0080706F" w:rsidRPr="00CD4BBA" w:rsidRDefault="0080706F" w:rsidP="0080706F">
      <w:pPr>
        <w:pStyle w:val="Zkladntext"/>
        <w:numPr>
          <w:ilvl w:val="0"/>
          <w:numId w:val="17"/>
        </w:numPr>
        <w:rPr>
          <w:sz w:val="24"/>
          <w:szCs w:val="24"/>
        </w:rPr>
      </w:pPr>
      <w:r w:rsidRPr="00CD4BBA">
        <w:rPr>
          <w:sz w:val="24"/>
          <w:szCs w:val="24"/>
        </w:rPr>
        <w:t>finančné rozdielové zmluvy ocenené cudzou menou,</w:t>
      </w:r>
    </w:p>
    <w:p w:rsidR="0080706F" w:rsidRPr="00CD4BBA" w:rsidRDefault="0080706F" w:rsidP="0080706F">
      <w:pPr>
        <w:pStyle w:val="Zkladntext"/>
        <w:numPr>
          <w:ilvl w:val="0"/>
          <w:numId w:val="17"/>
        </w:numPr>
        <w:rPr>
          <w:sz w:val="24"/>
          <w:szCs w:val="24"/>
        </w:rPr>
      </w:pPr>
      <w:r w:rsidRPr="00CD4BBA">
        <w:rPr>
          <w:sz w:val="24"/>
          <w:szCs w:val="24"/>
        </w:rPr>
        <w:t>podkladové nástroje derivátov ocenených cudzou menou okrem podkladových nástrojov menových derivátov,</w:t>
      </w:r>
    </w:p>
    <w:p w:rsidR="0080706F" w:rsidRPr="00CD4BBA" w:rsidRDefault="0080706F" w:rsidP="0080706F">
      <w:pPr>
        <w:pStyle w:val="Zkladntext"/>
        <w:numPr>
          <w:ilvl w:val="0"/>
          <w:numId w:val="17"/>
        </w:numPr>
        <w:rPr>
          <w:sz w:val="24"/>
          <w:szCs w:val="24"/>
        </w:rPr>
      </w:pPr>
      <w:r w:rsidRPr="00CD4BBA">
        <w:rPr>
          <w:sz w:val="24"/>
          <w:szCs w:val="24"/>
        </w:rPr>
        <w:t>pohľadávky a záväzky spojené s vyššie uvedeným majetkom, ktoré sú ocenené rovnakou cudzou menou ako tento majetok.</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Prijaté a poskytnuté preddavky v cudzej mene na účet zriadený v eurách a z účtu zriadeného v eurách sa prepočítavajú na menu euro kurzom, za ktorý boli tieto hodnoty nakúpené alebo predané.</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Ku dňu, ku ktorému sa zostavuje účtovná závierka, sa už neprepočítavajú.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ind w:hanging="436"/>
        <w:rPr>
          <w:sz w:val="24"/>
          <w:szCs w:val="24"/>
        </w:rPr>
      </w:pPr>
      <w:r w:rsidRPr="000823AF">
        <w:rPr>
          <w:sz w:val="24"/>
          <w:szCs w:val="24"/>
        </w:rPr>
        <w:t>Výnosy</w:t>
      </w:r>
    </w:p>
    <w:p w:rsidR="0080706F" w:rsidRPr="000823AF" w:rsidRDefault="0080706F" w:rsidP="0080706F">
      <w:pPr>
        <w:pStyle w:val="Pismenka"/>
        <w:tabs>
          <w:tab w:val="clear" w:pos="360"/>
        </w:tabs>
        <w:ind w:firstLine="0"/>
        <w:rPr>
          <w:b w:val="0"/>
          <w:sz w:val="24"/>
          <w:szCs w:val="24"/>
        </w:rPr>
      </w:pPr>
      <w:r w:rsidRPr="000823AF">
        <w:rPr>
          <w:b w:val="0"/>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0706F" w:rsidRPr="000823AF"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0823AF">
        <w:rPr>
          <w:b w:val="0"/>
          <w:sz w:val="24"/>
          <w:szCs w:val="24"/>
        </w:rPr>
        <w:t xml:space="preserve">Tržby z predaja výrobkov a tovaru sa vykazujú </w:t>
      </w:r>
      <w:r w:rsidRPr="00FE7633">
        <w:rPr>
          <w:b w:val="0"/>
          <w:sz w:val="24"/>
          <w:szCs w:val="24"/>
        </w:rPr>
        <w:t xml:space="preserve">v deň splnenia dodávky podľa Obchodného zákonníka, podľa Incoterms alebo iných podmienok dohodnutých v zmluve. </w:t>
      </w:r>
    </w:p>
    <w:p w:rsidR="0080706F" w:rsidRPr="00FE7633"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FE7633">
        <w:rPr>
          <w:b w:val="0"/>
          <w:sz w:val="24"/>
          <w:szCs w:val="24"/>
        </w:rPr>
        <w:t>Tržby z predaja služieb sa vykazujú v účtovnom období, v ktorom boli služby poskytnuté.</w:t>
      </w:r>
    </w:p>
    <w:p w:rsidR="0080706F" w:rsidRPr="00FE7633" w:rsidRDefault="0080706F" w:rsidP="0080706F">
      <w:pPr>
        <w:pStyle w:val="Pismenka"/>
        <w:tabs>
          <w:tab w:val="clear" w:pos="360"/>
        </w:tabs>
        <w:ind w:left="426" w:firstLine="0"/>
        <w:rPr>
          <w:b w:val="0"/>
          <w:sz w:val="24"/>
          <w:szCs w:val="24"/>
        </w:rPr>
      </w:pPr>
      <w:r w:rsidRPr="00FE7633">
        <w:rPr>
          <w:b w:val="0"/>
          <w:sz w:val="24"/>
          <w:szCs w:val="24"/>
        </w:rPr>
        <w:t>Výnosové úroky sa účtujú rovnomerne v účtovných obdobiach, ktorých sa vecne a časovo týkajú</w:t>
      </w:r>
      <w:r>
        <w:rPr>
          <w:b w:val="0"/>
          <w:sz w:val="24"/>
          <w:szCs w:val="24"/>
        </w:rPr>
        <w:t>.</w:t>
      </w:r>
    </w:p>
    <w:p w:rsidR="0080706F" w:rsidRPr="00FE7633" w:rsidRDefault="0080706F" w:rsidP="0080706F">
      <w:pPr>
        <w:pStyle w:val="Pismenka"/>
        <w:tabs>
          <w:tab w:val="clear" w:pos="360"/>
        </w:tabs>
        <w:ind w:left="426" w:firstLine="0"/>
        <w:rPr>
          <w:b w:val="0"/>
          <w:sz w:val="24"/>
          <w:szCs w:val="24"/>
        </w:rPr>
      </w:pPr>
    </w:p>
    <w:p w:rsidR="0080706F" w:rsidRPr="00FE7633" w:rsidRDefault="0080706F" w:rsidP="0080706F">
      <w:pPr>
        <w:pStyle w:val="Pismenka"/>
        <w:tabs>
          <w:tab w:val="clear" w:pos="360"/>
        </w:tabs>
        <w:ind w:left="426" w:firstLine="0"/>
        <w:rPr>
          <w:b w:val="0"/>
          <w:sz w:val="24"/>
          <w:szCs w:val="24"/>
        </w:rPr>
      </w:pPr>
      <w:r w:rsidRPr="00FE7633">
        <w:rPr>
          <w:b w:val="0"/>
          <w:sz w:val="24"/>
          <w:szCs w:val="24"/>
        </w:rPr>
        <w:t xml:space="preserve">Výnosy z dividend sa zaúčtujú v čase vzniku práva Spoločnosti na prijatie platby. </w:t>
      </w:r>
    </w:p>
    <w:p w:rsidR="0080706F" w:rsidRPr="00FE7633" w:rsidRDefault="0080706F" w:rsidP="0080706F">
      <w:pPr>
        <w:pStyle w:val="odstavec"/>
        <w:rPr>
          <w:sz w:val="24"/>
          <w:szCs w:val="24"/>
        </w:rPr>
      </w:pPr>
      <w:bookmarkStart w:id="7" w:name="_Toc530739900"/>
    </w:p>
    <w:p w:rsidR="0080706F" w:rsidRPr="000823AF" w:rsidRDefault="0080706F" w:rsidP="0080706F">
      <w:pPr>
        <w:pStyle w:val="Pismenka"/>
        <w:numPr>
          <w:ilvl w:val="0"/>
          <w:numId w:val="10"/>
        </w:numPr>
        <w:rPr>
          <w:sz w:val="24"/>
          <w:szCs w:val="24"/>
        </w:rPr>
      </w:pPr>
      <w:r w:rsidRPr="000823AF">
        <w:rPr>
          <w:sz w:val="24"/>
          <w:szCs w:val="24"/>
        </w:rPr>
        <w:t>Porovnateľné údaje</w:t>
      </w:r>
    </w:p>
    <w:p w:rsidR="0080706F" w:rsidRDefault="0080706F" w:rsidP="0080706F">
      <w:pPr>
        <w:pStyle w:val="Zkladntext"/>
        <w:rPr>
          <w:sz w:val="24"/>
          <w:szCs w:val="24"/>
        </w:rPr>
      </w:pPr>
      <w:r w:rsidRPr="000823AF">
        <w:rPr>
          <w:sz w:val="24"/>
          <w:szCs w:val="24"/>
        </w:rPr>
        <w:t>Ak v dôsledku zmeny účtovných metód a účtovných zásad nie sú hodnoty za bezprostredne predchádzajúce účtovné obdobie v jednotlivých súčastiach účtovnej závierky porovnateľné, uvádza sa vysvetlenie o neporovnateľných hodnotách</w:t>
      </w:r>
      <w:r>
        <w:rPr>
          <w:sz w:val="24"/>
          <w:szCs w:val="24"/>
        </w:rPr>
        <w:t>.</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Oprava chýb minulých období</w:t>
      </w:r>
    </w:p>
    <w:p w:rsidR="0080706F" w:rsidRPr="000823AF" w:rsidRDefault="0080706F" w:rsidP="0080706F">
      <w:pPr>
        <w:pStyle w:val="Zkladntext"/>
        <w:rPr>
          <w:sz w:val="24"/>
          <w:szCs w:val="24"/>
        </w:rPr>
      </w:pPr>
      <w:r w:rsidRPr="000823AF">
        <w:rPr>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r>
        <w:t>INFORMÁCI</w:t>
      </w:r>
      <w:r w:rsidRPr="000823AF">
        <w:t xml:space="preserve">E K POLOŽKÁM </w:t>
      </w:r>
      <w:bookmarkEnd w:id="7"/>
      <w:r>
        <w:t>SÚVAHY A</w:t>
      </w:r>
      <w:r w:rsidRPr="000823AF">
        <w:t> VÝKAZU ZISKOV A STRÁT</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 xml:space="preserve">Dlhodobý nehmotný majetok </w:t>
      </w:r>
    </w:p>
    <w:p w:rsidR="0080706F" w:rsidRPr="000823AF" w:rsidRDefault="0080706F" w:rsidP="0080706F"/>
    <w:p w:rsidR="0080706F" w:rsidRDefault="0080706F" w:rsidP="0080706F">
      <w:pPr>
        <w:ind w:left="426"/>
      </w:pPr>
      <w:r>
        <w:t>Spoločnosť nemá náplň.</w:t>
      </w:r>
    </w:p>
    <w:p w:rsidR="0080706F" w:rsidRPr="000823AF" w:rsidRDefault="0080706F" w:rsidP="0080706F">
      <w:pPr>
        <w:ind w:left="426"/>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Deriváty</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Pr>
          <w:sz w:val="24"/>
          <w:szCs w:val="24"/>
        </w:rPr>
        <w:t>Spoločnosť neeviduje deriváty.</w:t>
      </w:r>
    </w:p>
    <w:p w:rsidR="0080706F" w:rsidRPr="000823AF" w:rsidRDefault="0080706F" w:rsidP="0080706F">
      <w:pPr>
        <w:pStyle w:val="Zkladntext"/>
        <w:ind w:left="0"/>
        <w:jc w:val="left"/>
        <w:rPr>
          <w:sz w:val="24"/>
          <w:szCs w:val="24"/>
        </w:rPr>
      </w:pPr>
      <w:bookmarkStart w:id="8" w:name="_MON_1500889926"/>
      <w:bookmarkEnd w:id="8"/>
    </w:p>
    <w:p w:rsidR="0080706F" w:rsidRPr="000823AF" w:rsidRDefault="0080706F" w:rsidP="0080706F">
      <w:pPr>
        <w:pStyle w:val="Nadpis2"/>
        <w:numPr>
          <w:ilvl w:val="0"/>
          <w:numId w:val="2"/>
        </w:numPr>
        <w:spacing w:before="0" w:after="0"/>
        <w:ind w:left="851" w:hanging="425"/>
        <w:rPr>
          <w:rFonts w:ascii="Times New Roman" w:hAnsi="Times New Roman"/>
          <w:sz w:val="24"/>
          <w:szCs w:val="24"/>
        </w:rPr>
      </w:pPr>
      <w:bookmarkStart w:id="9" w:name="_Toc530739909"/>
      <w:r w:rsidRPr="000823AF">
        <w:rPr>
          <w:rFonts w:ascii="Times New Roman" w:hAnsi="Times New Roman"/>
          <w:sz w:val="24"/>
          <w:szCs w:val="24"/>
        </w:rPr>
        <w:t>Záväzky</w:t>
      </w:r>
      <w:bookmarkEnd w:id="9"/>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Štruktúra záväzkov (okrem záväzkov zo sociálneho fondu a odloženého daňového záväzku) podľa zostatkovej doby splatnosti je uvedená v nasledujúcom prehľade:</w:t>
      </w:r>
    </w:p>
    <w:p w:rsidR="0080706F" w:rsidRPr="000823AF" w:rsidRDefault="0080706F" w:rsidP="0080706F">
      <w:pPr>
        <w:pStyle w:val="Zkladntext"/>
        <w:rPr>
          <w:sz w:val="24"/>
          <w:szCs w:val="24"/>
        </w:rPr>
      </w:pPr>
    </w:p>
    <w:bookmarkStart w:id="10" w:name="_MON_1583824753"/>
    <w:bookmarkStart w:id="11" w:name="_MON_1623500898"/>
    <w:bookmarkStart w:id="12" w:name="_MON_1623501117"/>
    <w:bookmarkStart w:id="13" w:name="_MON_1623501122"/>
    <w:bookmarkEnd w:id="10"/>
    <w:bookmarkEnd w:id="11"/>
    <w:bookmarkEnd w:id="12"/>
    <w:bookmarkEnd w:id="13"/>
    <w:bookmarkStart w:id="14" w:name="_MON_1508918652"/>
    <w:bookmarkEnd w:id="14"/>
    <w:p w:rsidR="0080706F" w:rsidRPr="00F11E17" w:rsidRDefault="00917B23" w:rsidP="0080706F">
      <w:pPr>
        <w:pStyle w:val="Zkladntext"/>
        <w:rPr>
          <w:sz w:val="24"/>
          <w:szCs w:val="24"/>
        </w:rPr>
      </w:pPr>
      <w:r w:rsidRPr="000823AF">
        <w:rPr>
          <w:sz w:val="24"/>
          <w:szCs w:val="24"/>
        </w:rPr>
        <w:object w:dxaOrig="8734" w:dyaOrig="2363">
          <v:shape id="_x0000_i1036" type="#_x0000_t75" style="width:435pt;height:117.6pt" o:ole="">
            <v:imagedata r:id="rId13" o:title=""/>
          </v:shape>
          <o:OLEObject Type="Embed" ProgID="Excel.Sheet.12" ShapeID="_x0000_i1036" DrawAspect="Content" ObjectID="_1655044876" r:id="rId14"/>
        </w:object>
      </w:r>
      <w:r w:rsidR="0080706F">
        <w:rPr>
          <w:sz w:val="24"/>
          <w:szCs w:val="24"/>
        </w:rPr>
        <w:t xml:space="preserve"> Záväzky z leasingových zmlúv vo výške 73926,24</w:t>
      </w:r>
      <w:r w:rsidR="0080706F" w:rsidRPr="00F11E17">
        <w:rPr>
          <w:sz w:val="24"/>
          <w:szCs w:val="24"/>
        </w:rPr>
        <w:t xml:space="preserve"> sú kryté hnuteľným majetkom zakúpeným na leasing + zmenkou na meno konateľa.</w:t>
      </w:r>
    </w:p>
    <w:p w:rsidR="0080706F" w:rsidRPr="00DC1CA3"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Náklady, ktoré majú výnimočný rozsah alebo výskyt</w:t>
      </w:r>
    </w:p>
    <w:p w:rsidR="0080706F" w:rsidRDefault="0080706F" w:rsidP="0080706F">
      <w:pPr>
        <w:ind w:left="426"/>
      </w:pPr>
    </w:p>
    <w:p w:rsidR="0080706F" w:rsidRPr="000823AF" w:rsidRDefault="0080706F" w:rsidP="0080706F">
      <w:pPr>
        <w:ind w:left="426"/>
      </w:pPr>
      <w:r>
        <w:t>Spoločnosť nemá náplň.</w:t>
      </w:r>
    </w:p>
    <w:p w:rsidR="0080706F" w:rsidRPr="000823AF" w:rsidRDefault="0080706F" w:rsidP="0080706F"/>
    <w:p w:rsidR="0080706F" w:rsidRPr="00DC1CA3"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Výnosy, ktoré majú výnimočný rozsah alebo výskyt</w:t>
      </w:r>
      <w:r w:rsidRPr="00DC1CA3">
        <w:rPr>
          <w:color w:val="00B050"/>
          <w:sz w:val="24"/>
          <w:szCs w:val="24"/>
        </w:rPr>
        <w:tab/>
      </w:r>
    </w:p>
    <w:p w:rsidR="0080706F" w:rsidRPr="000823AF" w:rsidRDefault="0080706F" w:rsidP="0080706F">
      <w:pPr>
        <w:pStyle w:val="Zkladntext"/>
        <w:rPr>
          <w:color w:val="00B050"/>
          <w:sz w:val="24"/>
          <w:szCs w:val="24"/>
        </w:rPr>
      </w:pPr>
    </w:p>
    <w:p w:rsidR="0080706F" w:rsidRPr="000823AF" w:rsidRDefault="0080706F" w:rsidP="0080706F">
      <w:pPr>
        <w:ind w:left="426"/>
      </w:pPr>
      <w:bookmarkStart w:id="15" w:name="_MON_1405949598"/>
      <w:bookmarkStart w:id="16" w:name="_MON_1500378563"/>
      <w:bookmarkEnd w:id="15"/>
      <w:bookmarkEnd w:id="16"/>
      <w:r>
        <w:t>Spoločnosť nemá náplň.</w:t>
      </w:r>
    </w:p>
    <w:p w:rsidR="0080706F" w:rsidRPr="000823AF" w:rsidRDefault="0080706F" w:rsidP="0080706F">
      <w:pPr>
        <w:pStyle w:val="Nadpis1"/>
        <w:tabs>
          <w:tab w:val="num" w:pos="360"/>
          <w:tab w:val="num" w:pos="2062"/>
        </w:tabs>
        <w:spacing w:before="240" w:after="60"/>
        <w:ind w:left="360" w:hanging="360"/>
      </w:pPr>
      <w:r w:rsidRPr="000823AF">
        <w:t>Informácie o iných aktívach a iných pasívach</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Podmienený majetok</w:t>
      </w:r>
    </w:p>
    <w:p w:rsidR="0080706F" w:rsidRPr="000823AF" w:rsidRDefault="0080706F" w:rsidP="0080706F">
      <w:pPr>
        <w:pStyle w:val="Zkladntext"/>
        <w:ind w:left="0"/>
        <w:rPr>
          <w:sz w:val="24"/>
          <w:szCs w:val="24"/>
        </w:rPr>
      </w:pPr>
    </w:p>
    <w:p w:rsidR="0080706F" w:rsidRPr="00DC1CA3" w:rsidRDefault="0080706F" w:rsidP="0080706F">
      <w:pPr>
        <w:ind w:left="426"/>
      </w:pPr>
      <w:r>
        <w:t>Spoločnosť nemá náplň.</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Podmienené záväzky</w:t>
      </w:r>
    </w:p>
    <w:p w:rsidR="0080706F" w:rsidRPr="000823AF" w:rsidRDefault="0080706F" w:rsidP="0080706F">
      <w:pPr>
        <w:pStyle w:val="Zkladntext"/>
        <w:rPr>
          <w:sz w:val="24"/>
          <w:szCs w:val="24"/>
        </w:rPr>
      </w:pPr>
    </w:p>
    <w:p w:rsidR="0080706F" w:rsidRPr="006E0F24" w:rsidRDefault="0080706F" w:rsidP="0080706F">
      <w:pPr>
        <w:pStyle w:val="Zkladntext"/>
        <w:rPr>
          <w:sz w:val="24"/>
          <w:szCs w:val="24"/>
        </w:rPr>
      </w:pPr>
      <w:r w:rsidRPr="006E0F24">
        <w:rPr>
          <w:sz w:val="24"/>
          <w:szCs w:val="24"/>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6E0F24">
        <w:rPr>
          <w:sz w:val="24"/>
          <w:szCs w:val="24"/>
        </w:rPr>
        <w:lastRenderedPageBreak/>
        <w:t>Vedenie Spoločnosti si nie je vedomé žiadnych okolností, v dôsledku ktorých by jej vznikol významný náklad.</w:t>
      </w:r>
    </w:p>
    <w:p w:rsidR="0080706F" w:rsidRDefault="0080706F" w:rsidP="0080706F">
      <w:pPr>
        <w:pStyle w:val="Zkladntext"/>
        <w:rPr>
          <w:szCs w:val="18"/>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Ostatné finančné povinnosti</w:t>
      </w:r>
    </w:p>
    <w:p w:rsidR="0080706F" w:rsidRPr="00DC1CA3" w:rsidRDefault="0080706F" w:rsidP="0080706F">
      <w:pPr>
        <w:pStyle w:val="Zkladntext"/>
        <w:rPr>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766"/>
        <w:rPr>
          <w:color w:val="0070C0"/>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Najatý majetok</w:t>
      </w:r>
    </w:p>
    <w:p w:rsidR="0080706F" w:rsidRPr="000823AF" w:rsidRDefault="0080706F" w:rsidP="0080706F">
      <w:pPr>
        <w:pStyle w:val="Zkladntext"/>
        <w:ind w:left="0"/>
        <w:rPr>
          <w:sz w:val="24"/>
          <w:szCs w:val="24"/>
        </w:rPr>
      </w:pPr>
    </w:p>
    <w:p w:rsidR="0080706F" w:rsidRDefault="0080706F" w:rsidP="0080706F">
      <w:pPr>
        <w:pStyle w:val="Zkladntext"/>
        <w:rPr>
          <w:sz w:val="24"/>
          <w:szCs w:val="24"/>
        </w:rPr>
      </w:pPr>
      <w:r w:rsidRPr="000823AF">
        <w:rPr>
          <w:sz w:val="24"/>
          <w:szCs w:val="24"/>
        </w:rPr>
        <w:t xml:space="preserve">Spoločnosť má v nájme </w:t>
      </w:r>
      <w:r>
        <w:rPr>
          <w:sz w:val="24"/>
          <w:szCs w:val="24"/>
        </w:rPr>
        <w:t xml:space="preserve">kancelárske priestory v Senci, Šamorínska 10 </w:t>
      </w:r>
      <w:r w:rsidRPr="000823AF">
        <w:rPr>
          <w:sz w:val="24"/>
          <w:szCs w:val="24"/>
        </w:rPr>
        <w:t xml:space="preserve">od </w:t>
      </w:r>
      <w:r>
        <w:rPr>
          <w:sz w:val="24"/>
          <w:szCs w:val="24"/>
        </w:rPr>
        <w:t>spriaznenej</w:t>
      </w:r>
      <w:r w:rsidRPr="000823AF">
        <w:rPr>
          <w:sz w:val="24"/>
          <w:szCs w:val="24"/>
        </w:rPr>
        <w:t xml:space="preserve"> osoby. Nájomná zmluva je uzatvorená </w:t>
      </w:r>
      <w:r>
        <w:rPr>
          <w:sz w:val="24"/>
          <w:szCs w:val="24"/>
        </w:rPr>
        <w:t>na dobu neurčitú.</w:t>
      </w:r>
      <w:r w:rsidRPr="000823AF">
        <w:rPr>
          <w:sz w:val="24"/>
          <w:szCs w:val="24"/>
        </w:rPr>
        <w:t xml:space="preserve"> Ročné nájomné predstavuje </w:t>
      </w:r>
      <w:r>
        <w:rPr>
          <w:sz w:val="24"/>
          <w:szCs w:val="24"/>
        </w:rPr>
        <w:t>600,-</w:t>
      </w:r>
      <w:r w:rsidRPr="000823AF">
        <w:rPr>
          <w:sz w:val="24"/>
          <w:szCs w:val="24"/>
        </w:rPr>
        <w:t xml:space="preserve"> EUR. </w:t>
      </w:r>
    </w:p>
    <w:p w:rsidR="0080706F" w:rsidRDefault="0080706F" w:rsidP="0080706F">
      <w:pPr>
        <w:pStyle w:val="Zkladntext"/>
        <w:rPr>
          <w:sz w:val="24"/>
          <w:szCs w:val="24"/>
        </w:rPr>
      </w:pPr>
    </w:p>
    <w:p w:rsidR="0080706F" w:rsidRPr="000823AF" w:rsidRDefault="0080706F" w:rsidP="0080706F">
      <w:pPr>
        <w:pStyle w:val="Zkladntext"/>
        <w:rPr>
          <w:sz w:val="24"/>
          <w:szCs w:val="24"/>
        </w:rPr>
      </w:pPr>
      <w:r>
        <w:rPr>
          <w:sz w:val="24"/>
          <w:szCs w:val="24"/>
        </w:rPr>
        <w:t>Spoločnosť má v nájme časť budovy ako ubytovňu, ročné nájomné predstavuje sumu 42 000,-EUR.</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Prenajatý majetok</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Spoločnosť </w:t>
      </w:r>
      <w:r w:rsidR="008357FB">
        <w:rPr>
          <w:sz w:val="24"/>
          <w:szCs w:val="24"/>
        </w:rPr>
        <w:t>prenajíma svoj majetok – vozidlá.</w:t>
      </w:r>
    </w:p>
    <w:p w:rsidR="0080706F" w:rsidRPr="000823AF" w:rsidRDefault="0080706F" w:rsidP="0080706F">
      <w:pPr>
        <w:pStyle w:val="Zkladntext"/>
        <w:ind w:left="0"/>
        <w:rPr>
          <w:sz w:val="24"/>
          <w:szCs w:val="24"/>
        </w:rPr>
      </w:pPr>
    </w:p>
    <w:p w:rsidR="0080706F" w:rsidRPr="000823AF" w:rsidRDefault="0080706F" w:rsidP="0080706F">
      <w:pPr>
        <w:pStyle w:val="Nadpis1"/>
        <w:tabs>
          <w:tab w:val="num" w:pos="360"/>
          <w:tab w:val="num" w:pos="2062"/>
        </w:tabs>
        <w:spacing w:before="120" w:after="60"/>
        <w:ind w:left="360" w:hanging="360"/>
      </w:pPr>
      <w:r w:rsidRPr="000823AF">
        <w:t>Informácie o skutočnostiach, ktoré nastali po dni, ku ktorému sa zostavuje účtovná závierka, do dňa zostavenia účtovnej závierky</w:t>
      </w:r>
    </w:p>
    <w:p w:rsidR="0080706F" w:rsidRPr="000823AF" w:rsidRDefault="0080706F" w:rsidP="0080706F">
      <w:pPr>
        <w:pStyle w:val="Zkladntext"/>
        <w:rPr>
          <w:sz w:val="24"/>
          <w:szCs w:val="24"/>
        </w:rPr>
      </w:pPr>
    </w:p>
    <w:p w:rsidR="0080706F" w:rsidRPr="006E0F24" w:rsidRDefault="0080706F" w:rsidP="0080706F">
      <w:pPr>
        <w:pStyle w:val="Textkomentra"/>
        <w:rPr>
          <w:sz w:val="24"/>
          <w:szCs w:val="24"/>
        </w:rPr>
      </w:pPr>
      <w:r>
        <w:rPr>
          <w:sz w:val="24"/>
          <w:szCs w:val="24"/>
        </w:rPr>
        <w:t>Po 31.12.201</w:t>
      </w:r>
      <w:r w:rsidR="00917B23">
        <w:rPr>
          <w:sz w:val="24"/>
          <w:szCs w:val="24"/>
        </w:rPr>
        <w:t>9</w:t>
      </w:r>
      <w:bookmarkStart w:id="17" w:name="_GoBack"/>
      <w:bookmarkEnd w:id="17"/>
      <w:r w:rsidRPr="006E0F24">
        <w:rPr>
          <w:sz w:val="24"/>
          <w:szCs w:val="24"/>
        </w:rPr>
        <w:t xml:space="preserve"> nenastali žiadne významné skutočnosti majúce významný vplyv na verné zobrazenie skutočností, ktoré sú predmetom účtovníctva.</w:t>
      </w:r>
    </w:p>
    <w:p w:rsidR="0080706F" w:rsidRDefault="0080706F" w:rsidP="00F22260">
      <w:pPr>
        <w:jc w:val="center"/>
        <w:rPr>
          <w:b/>
          <w:sz w:val="48"/>
          <w:szCs w:val="48"/>
        </w:rPr>
      </w:pPr>
    </w:p>
    <w:sectPr w:rsidR="0080706F" w:rsidSect="0080706F">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4B9A" w:rsidRDefault="000B4B9A" w:rsidP="0080706F">
      <w:pPr>
        <w:spacing w:after="0" w:line="240" w:lineRule="auto"/>
      </w:pPr>
      <w:r>
        <w:separator/>
      </w:r>
    </w:p>
  </w:endnote>
  <w:endnote w:type="continuationSeparator" w:id="0">
    <w:p w:rsidR="000B4B9A" w:rsidRDefault="000B4B9A" w:rsidP="00807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706F" w:rsidRDefault="00917B23">
    <w:pPr>
      <w:pStyle w:val="Pta"/>
      <w:pBdr>
        <w:top w:val="single" w:sz="4" w:space="1" w:color="A5A5A5" w:themeColor="background1" w:themeShade="A5"/>
      </w:pBdr>
      <w:jc w:val="right"/>
      <w:rPr>
        <w:color w:val="808080" w:themeColor="background1" w:themeShade="80"/>
      </w:rPr>
    </w:pPr>
    <w:sdt>
      <w:sdtPr>
        <w:rPr>
          <w:color w:val="808080" w:themeColor="background1" w:themeShade="80"/>
        </w:rPr>
        <w:alias w:val="Spoločnosť"/>
        <w:id w:val="76161118"/>
        <w:placeholder>
          <w:docPart w:val="924F53AA4BC34BFB9CB148D4F152EB17"/>
        </w:placeholder>
        <w:dataBinding w:prefixMappings="xmlns:ns0='http://schemas.openxmlformats.org/officeDocument/2006/extended-properties'" w:xpath="/ns0:Properties[1]/ns0:Company[1]" w:storeItemID="{6668398D-A668-4E3E-A5EB-62B293D839F1}"/>
        <w:text/>
      </w:sdtPr>
      <w:sdtEndPr/>
      <w:sdtContent>
        <w:r w:rsidR="0080706F">
          <w:rPr>
            <w:color w:val="808080" w:themeColor="background1" w:themeShade="80"/>
          </w:rPr>
          <w:t>LUJZA s.r.o.</w:t>
        </w:r>
      </w:sdtContent>
    </w:sdt>
    <w:r w:rsidR="0080706F">
      <w:rPr>
        <w:noProof/>
        <w:color w:val="808080" w:themeColor="background1" w:themeShade="80"/>
        <w:lang w:eastAsia="sk-SK"/>
      </w:rPr>
      <mc:AlternateContent>
        <mc:Choice Requires="wpg">
          <w:drawing>
            <wp:anchor distT="0" distB="0" distL="114300" distR="114300" simplePos="0" relativeHeight="251659264" behindDoc="0" locked="0" layoutInCell="0" allowOverlap="1" wp14:editId="60E259F2">
              <wp:simplePos x="0" y="0"/>
              <wp:positionH relativeFrom="rightMargin">
                <wp:align>center</wp:align>
              </wp:positionH>
              <mc:AlternateContent>
                <mc:Choice Requires="wp14">
                  <wp:positionV relativeFrom="margin">
                    <wp14:pctPosVOffset>90000</wp14:pctPosVOffset>
                  </wp:positionV>
                </mc:Choice>
                <mc:Fallback>
                  <wp:positionV relativeFrom="page">
                    <wp:posOffset>8902700</wp:posOffset>
                  </wp:positionV>
                </mc:Fallback>
              </mc:AlternateContent>
              <wp:extent cx="737870" cy="615950"/>
              <wp:effectExtent l="0" t="1270" r="5080" b="1905"/>
              <wp:wrapNone/>
              <wp:docPr id="406" name="Skupina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6440" cy="615950"/>
                        <a:chOff x="10717" y="13296"/>
                        <a:chExt cx="1162" cy="970"/>
                      </a:xfrm>
                    </wpg:grpSpPr>
                    <wpg:grpSp>
                      <wpg:cNvPr id="423" name="Group 423"/>
                      <wpg:cNvGrpSpPr>
                        <a:grpSpLocks noChangeAspect="1"/>
                      </wpg:cNvGrpSpPr>
                      <wpg:grpSpPr bwMode="auto">
                        <a:xfrm>
                          <a:off x="10717" y="13815"/>
                          <a:ext cx="1161" cy="451"/>
                          <a:chOff x="-6" y="3399"/>
                          <a:chExt cx="12197" cy="4253"/>
                        </a:xfrm>
                      </wpg:grpSpPr>
                      <wpg:grpSp>
                        <wpg:cNvPr id="424" name="Group 424"/>
                        <wpg:cNvGrpSpPr>
                          <a:grpSpLocks noChangeAspect="1"/>
                        </wpg:cNvGrpSpPr>
                        <wpg:grpSpPr bwMode="auto">
                          <a:xfrm>
                            <a:off x="-6" y="3717"/>
                            <a:ext cx="12189" cy="3550"/>
                            <a:chOff x="18" y="7468"/>
                            <a:chExt cx="12189" cy="3550"/>
                          </a:xfrm>
                        </wpg:grpSpPr>
                        <wps:wsp>
                          <wps:cNvPr id="425" name="Freeform 425"/>
                          <wps:cNvSpPr>
                            <a:spLocks noChangeAspect="1"/>
                          </wps:cNvSpPr>
                          <wps:spPr bwMode="auto">
                            <a:xfrm>
                              <a:off x="18" y="7837"/>
                              <a:ext cx="7132" cy="2863"/>
                            </a:xfrm>
                            <a:custGeom>
                              <a:avLst/>
                              <a:gdLst/>
                              <a:ahLst/>
                              <a:cxnLst>
                                <a:cxn ang="0">
                                  <a:pos x="0" y="0"/>
                                </a:cxn>
                                <a:cxn ang="0">
                                  <a:pos x="17" y="2863"/>
                                </a:cxn>
                                <a:cxn ang="0">
                                  <a:pos x="7132" y="2578"/>
                                </a:cxn>
                                <a:cxn ang="0">
                                  <a:pos x="7132" y="200"/>
                                </a:cxn>
                                <a:cxn ang="0">
                                  <a:pos x="0" y="0"/>
                                </a:cxn>
                              </a:cxnLst>
                              <a:rect l="0" t="0" r="r" b="b"/>
                              <a:pathLst>
                                <a:path w="7132" h="2863">
                                  <a:moveTo>
                                    <a:pt x="0" y="0"/>
                                  </a:moveTo>
                                  <a:lnTo>
                                    <a:pt x="17" y="2863"/>
                                  </a:lnTo>
                                  <a:lnTo>
                                    <a:pt x="7132" y="2578"/>
                                  </a:lnTo>
                                  <a:lnTo>
                                    <a:pt x="7132" y="200"/>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Freeform 426"/>
                          <wps:cNvSpPr>
                            <a:spLocks noChangeAspect="1"/>
                          </wps:cNvSpPr>
                          <wps:spPr bwMode="auto">
                            <a:xfrm>
                              <a:off x="7150" y="7468"/>
                              <a:ext cx="3466" cy="3550"/>
                            </a:xfrm>
                            <a:custGeom>
                              <a:avLst/>
                              <a:gdLst/>
                              <a:ahLst/>
                              <a:cxnLst>
                                <a:cxn ang="0">
                                  <a:pos x="0" y="569"/>
                                </a:cxn>
                                <a:cxn ang="0">
                                  <a:pos x="0" y="2930"/>
                                </a:cxn>
                                <a:cxn ang="0">
                                  <a:pos x="3466" y="3550"/>
                                </a:cxn>
                                <a:cxn ang="0">
                                  <a:pos x="3466" y="0"/>
                                </a:cxn>
                                <a:cxn ang="0">
                                  <a:pos x="0" y="569"/>
                                </a:cxn>
                              </a:cxnLst>
                              <a:rect l="0" t="0" r="r" b="b"/>
                              <a:pathLst>
                                <a:path w="3466" h="3550">
                                  <a:moveTo>
                                    <a:pt x="0" y="569"/>
                                  </a:moveTo>
                                  <a:lnTo>
                                    <a:pt x="0" y="2930"/>
                                  </a:lnTo>
                                  <a:lnTo>
                                    <a:pt x="3466" y="3550"/>
                                  </a:lnTo>
                                  <a:lnTo>
                                    <a:pt x="3466" y="0"/>
                                  </a:lnTo>
                                  <a:lnTo>
                                    <a:pt x="0" y="569"/>
                                  </a:lnTo>
                                  <a:close/>
                                </a:path>
                              </a:pathLst>
                            </a:custGeom>
                            <a:solidFill>
                              <a:srgbClr val="D3DFE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Freeform 427"/>
                          <wps:cNvSpPr>
                            <a:spLocks noChangeAspect="1"/>
                          </wps:cNvSpPr>
                          <wps:spPr bwMode="auto">
                            <a:xfrm>
                              <a:off x="10616" y="7468"/>
                              <a:ext cx="1591" cy="3550"/>
                            </a:xfrm>
                            <a:custGeom>
                              <a:avLst/>
                              <a:gdLst/>
                              <a:ahLst/>
                              <a:cxnLst>
                                <a:cxn ang="0">
                                  <a:pos x="0" y="0"/>
                                </a:cxn>
                                <a:cxn ang="0">
                                  <a:pos x="0" y="3550"/>
                                </a:cxn>
                                <a:cxn ang="0">
                                  <a:pos x="1591" y="2746"/>
                                </a:cxn>
                                <a:cxn ang="0">
                                  <a:pos x="1591" y="737"/>
                                </a:cxn>
                                <a:cxn ang="0">
                                  <a:pos x="0" y="0"/>
                                </a:cxn>
                              </a:cxnLst>
                              <a:rect l="0" t="0" r="r" b="b"/>
                              <a:pathLst>
                                <a:path w="1591" h="3550">
                                  <a:moveTo>
                                    <a:pt x="0" y="0"/>
                                  </a:moveTo>
                                  <a:lnTo>
                                    <a:pt x="0" y="3550"/>
                                  </a:lnTo>
                                  <a:lnTo>
                                    <a:pt x="1591" y="2746"/>
                                  </a:lnTo>
                                  <a:lnTo>
                                    <a:pt x="1591" y="737"/>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28" name="Freeform 428"/>
                        <wps:cNvSpPr>
                          <a:spLocks noChangeAspect="1"/>
                        </wps:cNvSpPr>
                        <wps:spPr bwMode="auto">
                          <a:xfrm>
                            <a:off x="8071" y="4069"/>
                            <a:ext cx="4120" cy="2913"/>
                          </a:xfrm>
                          <a:custGeom>
                            <a:avLst/>
                            <a:gdLst/>
                            <a:ahLst/>
                            <a:cxnLst>
                              <a:cxn ang="0">
                                <a:pos x="1" y="251"/>
                              </a:cxn>
                              <a:cxn ang="0">
                                <a:pos x="0" y="2662"/>
                              </a:cxn>
                              <a:cxn ang="0">
                                <a:pos x="4120" y="2913"/>
                              </a:cxn>
                              <a:cxn ang="0">
                                <a:pos x="4120" y="0"/>
                              </a:cxn>
                              <a:cxn ang="0">
                                <a:pos x="1" y="251"/>
                              </a:cxn>
                            </a:cxnLst>
                            <a:rect l="0" t="0" r="r" b="b"/>
                            <a:pathLst>
                              <a:path w="4120" h="2913">
                                <a:moveTo>
                                  <a:pt x="1" y="251"/>
                                </a:moveTo>
                                <a:lnTo>
                                  <a:pt x="0" y="2662"/>
                                </a:lnTo>
                                <a:lnTo>
                                  <a:pt x="4120" y="2913"/>
                                </a:lnTo>
                                <a:lnTo>
                                  <a:pt x="4120" y="0"/>
                                </a:lnTo>
                                <a:lnTo>
                                  <a:pt x="1" y="251"/>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Freeform 429"/>
                        <wps:cNvSpPr>
                          <a:spLocks noChangeAspect="1"/>
                        </wps:cNvSpPr>
                        <wps:spPr bwMode="auto">
                          <a:xfrm>
                            <a:off x="4104" y="3399"/>
                            <a:ext cx="3985" cy="4236"/>
                          </a:xfrm>
                          <a:custGeom>
                            <a:avLst/>
                            <a:gdLst/>
                            <a:ahLst/>
                            <a:cxnLst>
                              <a:cxn ang="0">
                                <a:pos x="0" y="0"/>
                              </a:cxn>
                              <a:cxn ang="0">
                                <a:pos x="0" y="4236"/>
                              </a:cxn>
                              <a:cxn ang="0">
                                <a:pos x="3985" y="3349"/>
                              </a:cxn>
                              <a:cxn ang="0">
                                <a:pos x="3985" y="921"/>
                              </a:cxn>
                              <a:cxn ang="0">
                                <a:pos x="0" y="0"/>
                              </a:cxn>
                            </a:cxnLst>
                            <a:rect l="0" t="0" r="r" b="b"/>
                            <a:pathLst>
                              <a:path w="3985" h="4236">
                                <a:moveTo>
                                  <a:pt x="0" y="0"/>
                                </a:moveTo>
                                <a:lnTo>
                                  <a:pt x="0" y="4236"/>
                                </a:lnTo>
                                <a:lnTo>
                                  <a:pt x="3985" y="3349"/>
                                </a:lnTo>
                                <a:lnTo>
                                  <a:pt x="3985" y="921"/>
                                </a:lnTo>
                                <a:lnTo>
                                  <a:pt x="0" y="0"/>
                                </a:lnTo>
                                <a:close/>
                              </a:path>
                            </a:pathLst>
                          </a:custGeom>
                          <a:solidFill>
                            <a:srgbClr val="BFBFBF"/>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430"/>
                        <wps:cNvSpPr>
                          <a:spLocks noChangeAspect="1"/>
                        </wps:cNvSpPr>
                        <wps:spPr bwMode="auto">
                          <a:xfrm>
                            <a:off x="18" y="3399"/>
                            <a:ext cx="4086" cy="4253"/>
                          </a:xfrm>
                          <a:custGeom>
                            <a:avLst/>
                            <a:gdLst/>
                            <a:ahLst/>
                            <a:cxnLst>
                              <a:cxn ang="0">
                                <a:pos x="4086" y="0"/>
                              </a:cxn>
                              <a:cxn ang="0">
                                <a:pos x="4084" y="4253"/>
                              </a:cxn>
                              <a:cxn ang="0">
                                <a:pos x="0" y="3198"/>
                              </a:cxn>
                              <a:cxn ang="0">
                                <a:pos x="0" y="1072"/>
                              </a:cxn>
                              <a:cxn ang="0">
                                <a:pos x="4086" y="0"/>
                              </a:cxn>
                            </a:cxnLst>
                            <a:rect l="0" t="0" r="r" b="b"/>
                            <a:pathLst>
                              <a:path w="4086" h="4253">
                                <a:moveTo>
                                  <a:pt x="4086" y="0"/>
                                </a:moveTo>
                                <a:lnTo>
                                  <a:pt x="4084" y="4253"/>
                                </a:lnTo>
                                <a:lnTo>
                                  <a:pt x="0" y="3198"/>
                                </a:lnTo>
                                <a:lnTo>
                                  <a:pt x="0" y="1072"/>
                                </a:lnTo>
                                <a:lnTo>
                                  <a:pt x="4086" y="0"/>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Freeform 431"/>
                        <wps:cNvSpPr>
                          <a:spLocks noChangeAspect="1"/>
                        </wps:cNvSpPr>
                        <wps:spPr bwMode="auto">
                          <a:xfrm>
                            <a:off x="17" y="3617"/>
                            <a:ext cx="2076" cy="3851"/>
                          </a:xfrm>
                          <a:custGeom>
                            <a:avLst/>
                            <a:gdLst/>
                            <a:ahLst/>
                            <a:cxnLst>
                              <a:cxn ang="0">
                                <a:pos x="0" y="921"/>
                              </a:cxn>
                              <a:cxn ang="0">
                                <a:pos x="2060" y="0"/>
                              </a:cxn>
                              <a:cxn ang="0">
                                <a:pos x="2076" y="3851"/>
                              </a:cxn>
                              <a:cxn ang="0">
                                <a:pos x="0" y="2981"/>
                              </a:cxn>
                              <a:cxn ang="0">
                                <a:pos x="0" y="921"/>
                              </a:cxn>
                            </a:cxnLst>
                            <a:rect l="0" t="0" r="r" b="b"/>
                            <a:pathLst>
                              <a:path w="2076" h="3851">
                                <a:moveTo>
                                  <a:pt x="0" y="921"/>
                                </a:moveTo>
                                <a:lnTo>
                                  <a:pt x="2060" y="0"/>
                                </a:lnTo>
                                <a:lnTo>
                                  <a:pt x="2076" y="3851"/>
                                </a:lnTo>
                                <a:lnTo>
                                  <a:pt x="0" y="2981"/>
                                </a:lnTo>
                                <a:lnTo>
                                  <a:pt x="0" y="921"/>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Freeform 432"/>
                        <wps:cNvSpPr>
                          <a:spLocks noChangeAspect="1"/>
                        </wps:cNvSpPr>
                        <wps:spPr bwMode="auto">
                          <a:xfrm>
                            <a:off x="2077" y="3617"/>
                            <a:ext cx="6011" cy="3835"/>
                          </a:xfrm>
                          <a:custGeom>
                            <a:avLst/>
                            <a:gdLst/>
                            <a:ahLst/>
                            <a:cxnLst>
                              <a:cxn ang="0">
                                <a:pos x="0" y="0"/>
                              </a:cxn>
                              <a:cxn ang="0">
                                <a:pos x="17" y="3835"/>
                              </a:cxn>
                              <a:cxn ang="0">
                                <a:pos x="6011" y="2629"/>
                              </a:cxn>
                              <a:cxn ang="0">
                                <a:pos x="6011" y="1239"/>
                              </a:cxn>
                              <a:cxn ang="0">
                                <a:pos x="0" y="0"/>
                              </a:cxn>
                            </a:cxnLst>
                            <a:rect l="0" t="0" r="r" b="b"/>
                            <a:pathLst>
                              <a:path w="6011" h="3835">
                                <a:moveTo>
                                  <a:pt x="0" y="0"/>
                                </a:moveTo>
                                <a:lnTo>
                                  <a:pt x="17" y="3835"/>
                                </a:lnTo>
                                <a:lnTo>
                                  <a:pt x="6011" y="2629"/>
                                </a:lnTo>
                                <a:lnTo>
                                  <a:pt x="6011" y="1239"/>
                                </a:lnTo>
                                <a:lnTo>
                                  <a:pt x="0" y="0"/>
                                </a:lnTo>
                                <a:close/>
                              </a:path>
                            </a:pathLst>
                          </a:custGeom>
                          <a:solidFill>
                            <a:srgbClr val="A7BFD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Freeform 433"/>
                        <wps:cNvSpPr>
                          <a:spLocks noChangeAspect="1"/>
                        </wps:cNvSpPr>
                        <wps:spPr bwMode="auto">
                          <a:xfrm>
                            <a:off x="8088" y="3835"/>
                            <a:ext cx="4102" cy="3432"/>
                          </a:xfrm>
                          <a:custGeom>
                            <a:avLst/>
                            <a:gdLst/>
                            <a:ahLst/>
                            <a:cxnLst>
                              <a:cxn ang="0">
                                <a:pos x="0" y="1038"/>
                              </a:cxn>
                              <a:cxn ang="0">
                                <a:pos x="0" y="2411"/>
                              </a:cxn>
                              <a:cxn ang="0">
                                <a:pos x="4102" y="3432"/>
                              </a:cxn>
                              <a:cxn ang="0">
                                <a:pos x="4102" y="0"/>
                              </a:cxn>
                              <a:cxn ang="0">
                                <a:pos x="0" y="1038"/>
                              </a:cxn>
                            </a:cxnLst>
                            <a:rect l="0" t="0" r="r" b="b"/>
                            <a:pathLst>
                              <a:path w="4102" h="3432">
                                <a:moveTo>
                                  <a:pt x="0" y="1038"/>
                                </a:moveTo>
                                <a:lnTo>
                                  <a:pt x="0" y="2411"/>
                                </a:lnTo>
                                <a:lnTo>
                                  <a:pt x="4102" y="3432"/>
                                </a:lnTo>
                                <a:lnTo>
                                  <a:pt x="4102" y="0"/>
                                </a:lnTo>
                                <a:lnTo>
                                  <a:pt x="0" y="1038"/>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34" name="Text Box 434"/>
                      <wps:cNvSpPr txBox="1">
                        <a:spLocks noChangeArrowheads="1"/>
                      </wps:cNvSpPr>
                      <wps:spPr bwMode="auto">
                        <a:xfrm>
                          <a:off x="10821" y="13296"/>
                          <a:ext cx="1058" cy="36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706F" w:rsidRDefault="0080706F">
                            <w:pPr>
                              <w:jc w:val="center"/>
                              <w:rPr>
                                <w:color w:val="4F81BD" w:themeColor="accent1"/>
                              </w:rPr>
                            </w:pPr>
                            <w:r>
                              <w:fldChar w:fldCharType="begin"/>
                            </w:r>
                            <w:r>
                              <w:instrText>PAGE   \* MERGEFORMAT</w:instrText>
                            </w:r>
                            <w:r>
                              <w:fldChar w:fldCharType="separate"/>
                            </w:r>
                            <w:r w:rsidR="00917B23" w:rsidRPr="00917B23">
                              <w:rPr>
                                <w:noProof/>
                                <w:color w:val="4F81BD" w:themeColor="accent1"/>
                              </w:rPr>
                              <w:t>17</w:t>
                            </w:r>
                            <w:r>
                              <w:rPr>
                                <w:color w:val="4F81BD" w:themeColor="accent1"/>
                              </w:rPr>
                              <w:fldChar w:fldCharType="end"/>
                            </w: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id="Skupina 406" o:spid="_x0000_s1026" style="position:absolute;left:0;text-align:left;margin-left:0;margin-top:0;width:58.1pt;height:48.5pt;z-index:251659264;mso-width-percent:800;mso-top-percent:900;mso-position-horizontal:center;mso-position-horizontal-relative:right-margin-area;mso-position-vertical-relative:margin;mso-width-percent:800;mso-top-percent:9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" o:allowincell="f">
              <v:group id="Group 423" o:spid="_x0000_s1027" style="position:absolute;left:10717;top:13815;width:1161;height:451"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o:lock v:ext="edit" aspectratio="t"/>
                <v:group id="Group 424" o:spid="_x0000_s1028"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o:lock v:ext="edit" aspectratio="t"/>
                  <v:shape id="Freeform 425" o:spid="_x0000_s1029"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rYcMA&#10;AADcAAAADwAAAGRycy9kb3ducmV2LnhtbESPUWsCMRCE34X+h7CFvmlOUZHTKCIUKvpQbX/Aclnv&#10;DpPNkax6/fdNQejjMDPfMKtN7526U0xtYAPjUQGKuAq25drA99f7cAEqCbJFF5gM/FCCzfplsMLS&#10;hgef6H6WWmUIpxINNCJdqXWqGvKYRqEjzt4lRI+SZay1jfjIcO/0pCjm2mPLeaHBjnYNVdfzzRsQ&#10;d+BTtdjPDrdi7I6f0bbznRjz9tpvl6CEevkPP9sf1sB0MoO/M/kI6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WrYcMAAADcAAAADwAAAAAAAAAAAAAAAACYAgAAZHJzL2Rv&#10;d25yZXYueG1sUEsFBgAAAAAEAAQA9QAAAIgDA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1kD8cA&#10;AADcAAAADwAAAGRycy9kb3ducmV2LnhtbESPT2sCMRTE7wW/Q3hCL0WzWlHZGkWkpfXU+ge8Pjav&#10;m9XNyzZJdfXTN4VCj8PM/IaZLVpbizP5UDlWMOhnIIgLpysuFex3L70piBCRNdaOScGVAizmnbsZ&#10;5tpdeEPnbSxFgnDIUYGJscmlDIUhi6HvGuLkfTpvMSbpS6k9XhLc1nKYZWNpseK0YLChlaHitP22&#10;Cj5uG798bL78Dc2ofD+uDw+T51el7rvt8glEpDb+h//ab1rBaDiG3zPpCM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9ZA/HAAAA3AAAAA8AAAAAAAAAAAAAAAAAmAIAAGRy&#10;cy9kb3ducmV2LnhtbFBLBQYAAAAABAAEAPUAAACMAw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76VcQA&#10;AADcAAAADwAAAGRycy9kb3ducmV2LnhtbESPQWvCQBSE74X+h+UVejObLmIkdRVbKZXiRW3uj+wz&#10;iWbfhuzWpP++Kwg9DjPzDbNYjbYVV+p941jDS5KCIC6dabjS8H38mMxB+IBssHVMGn7Jw2r5+LDA&#10;3LiB93Q9hEpECPscNdQhdLmUvqzJok9cRxy9k+sthij7Spoehwi3rVRpOpMWG44LNXb0XlN5OfxY&#10;DdlxM92szZd6++RwVmWhzsVOaf38NK5fQQQaw3/43t4aDVOVwe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e+lXEAAAA3AAAAA8AAAAAAAAAAAAAAAAAmAIAAGRycy9k&#10;b3ducmV2LnhtbFBLBQYAAAAABAAEAPUAAACJAw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QLMEA&#10;AADcAAAADwAAAGRycy9kb3ducmV2LnhtbERPz2vCMBS+D/wfwhN2m4luTKlGkcLmDl5s9f5onm2x&#10;eSlNrNW/3hyEHT++36vNYBvRU+drxxqmEwWCuHCm5lLDMf/5WIDwAdlg45g03MnDZj16W2Fi3I0P&#10;1GehFDGEfYIaqhDaREpfVGTRT1xLHLmz6yyGCLtSmg5vMdw2cqbUt7RYc2yosKW0ouKSXa2GQ59+&#10;nn5zRffczJvdfJ+pxyPV+n08bJcgAg3hX/xy/xkNX7O4Np6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yUCzBAAAA3AAAAA8AAAAAAAAAAAAAAAAAmAIAAGRycy9kb3du&#10;cmV2LnhtbFBLBQYAAAAABAAEAPUAAACGAw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V2ccA&#10;AADcAAAADwAAAGRycy9kb3ducmV2LnhtbESPQWsCMRSE7wX/Q3iCt5qt1NJujSKlFS9C3RZpb283&#10;r9nFzcuSRF399Y1Q6HGYmW+Y2aK3rTiSD41jBXfjDARx5XTDRsHnx9vtI4gQkTW2jknBmQIs5oOb&#10;GebanXhLxyIakSAcclRQx9jlUoaqJoth7Dri5P04bzEm6Y3UHk8Jbls5ybIHabHhtFBjRy81Vfvi&#10;YBXs5Pu0+NqajSu/y6z0r7vWXFZKjYb98hlEpD7+h//aa63gfvIE1zPp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JVdnHAAAA3AAAAA8AAAAAAAAAAAAAAAAAmAIAAGRy&#10;cy9kb3ducmV2LnhtbFBLBQYAAAAABAAEAPUAAACMAw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n6hsMA&#10;AADcAAAADwAAAGRycy9kb3ducmV2LnhtbERPz2vCMBS+D/Y/hDfYZWi6KaNUowzLxg6Crgpen82z&#10;LTYvJcls/e/NQfD48f2eLwfTigs531hW8D5OQBCXVjdcKdjvvkcpCB+QNbaWScGVPCwXz09zzLTt&#10;+Y8uRahEDGGfoYI6hC6T0pc1GfRj2xFH7mSdwRChq6R22Mdw08qPJPmUBhuODTV2tKqpPBf/RkGR&#10;H4q3q99u8jzddj9Ht16ZPlXq9WX4moEINISH+O7+1Qqmkzg/nolH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n6hsMAAADcAAAADwAAAAAAAAAAAAAAAACYAgAAZHJzL2Rv&#10;d25yZXYueG1sUEsFBgAAAAAEAAQA9QAAAIgDA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NesMA&#10;AADcAAAADwAAAGRycy9kb3ducmV2LnhtbESPQWvCQBSE74L/YXmF3nSTKCKpq1RBWo9G6/mRfWaD&#10;2bcxuzXpv+8WCh6HmfmGWW0G24gHdb52rCCdJiCIS6drrhScT/vJEoQPyBobx6Tghzxs1uPRCnPt&#10;ej7SowiViBD2OSowIbS5lL40ZNFPXUscvavrLIYou0rqDvsIt43MkmQhLdYcFwy2tDNU3opvq+Cr&#10;P0odmvvh8lGk2ay+bLPybpR6fRne30AEGsIz/N/+1Armsx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PNesMAAADcAAAADwAAAAAAAAAAAAAAAACYAgAAZHJzL2Rv&#10;d25yZXYueG1sUEsFBgAAAAAEAAQA9QAAAIgD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V/8cQA&#10;AADcAAAADwAAAGRycy9kb3ducmV2LnhtbESPQWvCQBSE74L/YXlCb7oxikh0FZUKvRWtULw9ss8k&#10;mH2b7q4x+ffdQsHjMDPfMOttZ2rRkvOVZQXTSQKCOLe64kLB5es4XoLwAVljbZkU9ORhuxkO1php&#10;++QTtedQiAhhn6GCMoQmk9LnJRn0E9sQR+9mncEQpSukdviMcFPLNEkW0mDFcaHEhg4l5ffzwyiY&#10;uc/0/fT949HelofLvu3n16ZX6m3U7VYgAnXhFf5vf2gF81kKf2fiE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f/HEAAAA3AAAAA8AAAAAAAAAAAAAAAAAmAIAAGRycy9k&#10;b3ducmV2LnhtbFBLBQYAAAAABAAEAPUAAACJAw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uEMYA&#10;AADcAAAADwAAAGRycy9kb3ducmV2LnhtbESPQUsDMRSE7wX/Q3iCN5vVrVrWpkUWLYX2oG3F63Pz&#10;TBY3L8sm3W7/fSMIPQ4z8w0zWwyuET11ofas4G6cgSCuvK7ZKNjv3m6nIEJE1th4JgUnCrCYX41m&#10;WGh/5A/qt9GIBOFQoAIbY1tIGSpLDsPYt8TJ+/Gdw5hkZ6Tu8JjgrpH3WfYoHdacFiy2VFqqfrcH&#10;p2D5/lDmpv9atWtf28/N0958l69K3VwPL88gIg3xEv5vr7SCSZ7D35l0BO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AuEMYAAADcAAAADwAAAAAAAAAAAAAAAACYAgAAZHJz&#10;L2Rvd25yZXYueG1sUEsFBgAAAAAEAAQA9QAAAIsD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7GKcQA&#10;AADcAAAADwAAAGRycy9kb3ducmV2LnhtbESPQWsCMRSE74L/ITyhN81qRWRrlCpUerAHtT/gsXlu&#10;1m5eliR1d/31TUHwOMzMN8xq09la3MiHyrGC6SQDQVw4XXGp4Pv8MV6CCBFZY+2YFPQUYLMeDlaY&#10;a9fykW6nWIoE4ZCjAhNjk0sZCkMWw8Q1xMm7OG8xJulLqT22CW5rOcuyhbRYcVow2NDOUPFz+rUK&#10;7H169wdEe933M2yb3uy/DlulXkbd+xuISF18hh/tT61g/jqH/zPp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uxinEAAAA3AAAAA8AAAAAAAAAAAAAAAAAmAIAAGRycy9k&#10;b3ducmV2LnhtbFBLBQYAAAAABAAEAPUAAACJAwAAAAA=&#10;" filled="f" stroked="f">
                <v:textbox inset=",0,,0">
                  <w:txbxContent>
                    <w:p w:rsidR="0080706F" w:rsidRDefault="0080706F">
                      <w:pPr>
                        <w:jc w:val="center"/>
                        <w:rPr>
                          <w:color w:val="4F81BD" w:themeColor="accent1"/>
                        </w:rPr>
                      </w:pPr>
                      <w:r>
                        <w:fldChar w:fldCharType="begin"/>
                      </w:r>
                      <w:r>
                        <w:instrText>PAGE   \* MERGEFORMAT</w:instrText>
                      </w:r>
                      <w:r>
                        <w:fldChar w:fldCharType="separate"/>
                      </w:r>
                      <w:r w:rsidR="00917B23" w:rsidRPr="00917B23">
                        <w:rPr>
                          <w:noProof/>
                          <w:color w:val="4F81BD" w:themeColor="accent1"/>
                        </w:rPr>
                        <w:t>17</w:t>
                      </w:r>
                      <w:r>
                        <w:rPr>
                          <w:color w:val="4F81BD" w:themeColor="accent1"/>
                        </w:rPr>
                        <w:fldChar w:fldCharType="end"/>
                      </w:r>
                    </w:p>
                  </w:txbxContent>
                </v:textbox>
              </v:shape>
              <w10:wrap anchorx="margin" anchory="margin"/>
            </v:group>
          </w:pict>
        </mc:Fallback>
      </mc:AlternateContent>
    </w:r>
    <w:r w:rsidR="0080706F">
      <w:rPr>
        <w:color w:val="808080" w:themeColor="background1" w:themeShade="80"/>
      </w:rPr>
      <w:t xml:space="preserve"> | </w:t>
    </w:r>
    <w:sdt>
      <w:sdtPr>
        <w:rPr>
          <w:color w:val="808080" w:themeColor="background1" w:themeShade="80"/>
        </w:rPr>
        <w:alias w:val="Adresa"/>
        <w:id w:val="76161122"/>
        <w:placeholder>
          <w:docPart w:val="65C3572730F441BFAF1B34842DB31DB0"/>
        </w:placeholder>
        <w:dataBinding w:prefixMappings="xmlns:ns0='http://schemas.microsoft.com/office/2006/coverPageProps'" w:xpath="/ns0:CoverPageProperties[1]/ns0:CompanyAddress[1]" w:storeItemID="{55AF091B-3C7A-41E3-B477-F2FDAA23CFDA}"/>
        <w:text w:multiLine="1"/>
      </w:sdtPr>
      <w:sdtEndPr/>
      <w:sdtContent>
        <w:r w:rsidR="0080706F" w:rsidRPr="0080706F">
          <w:rPr>
            <w:color w:val="808080" w:themeColor="background1" w:themeShade="80"/>
          </w:rPr>
          <w:t>Šamorínska 10, 903 01 Senec</w:t>
        </w:r>
        <w:r w:rsidR="0080706F">
          <w:rPr>
            <w:color w:val="808080" w:themeColor="background1" w:themeShade="80"/>
          </w:rPr>
          <w:t xml:space="preserve"> </w:t>
        </w:r>
        <w:r w:rsidR="0080706F">
          <w:rPr>
            <w:color w:val="808080" w:themeColor="background1" w:themeShade="80"/>
          </w:rPr>
          <w:br/>
        </w:r>
        <w:r w:rsidR="0080706F" w:rsidRPr="0080706F">
          <w:rPr>
            <w:color w:val="808080" w:themeColor="background1" w:themeShade="80"/>
          </w:rPr>
          <w:t>IČO: 50773984, DIČ: 2120480637</w:t>
        </w:r>
        <w:r w:rsidR="0080706F">
          <w:rPr>
            <w:color w:val="808080" w:themeColor="background1" w:themeShade="80"/>
          </w:rPr>
          <w:t xml:space="preserve">      </w:t>
        </w:r>
        <w:r w:rsidR="0080706F">
          <w:rPr>
            <w:color w:val="808080" w:themeColor="background1" w:themeShade="80"/>
          </w:rPr>
          <w:br/>
        </w:r>
      </w:sdtContent>
    </w:sdt>
  </w:p>
  <w:p w:rsidR="0080706F" w:rsidRDefault="0080706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4B9A" w:rsidRDefault="000B4B9A" w:rsidP="0080706F">
      <w:pPr>
        <w:spacing w:after="0" w:line="240" w:lineRule="auto"/>
      </w:pPr>
      <w:r>
        <w:separator/>
      </w:r>
    </w:p>
  </w:footnote>
  <w:footnote w:type="continuationSeparator" w:id="0">
    <w:p w:rsidR="000B4B9A" w:rsidRDefault="000B4B9A" w:rsidP="008070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pStyle w:val="Zoznamsodrkami"/>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15:restartNumberingAfterBreak="0">
    <w:nsid w:val="78CD316A"/>
    <w:multiLevelType w:val="singleLevel"/>
    <w:tmpl w:val="28081C9C"/>
    <w:lvl w:ilvl="0">
      <w:start w:val="1"/>
      <w:numFmt w:val="lowerLetter"/>
      <w:pStyle w:val="Tabulka"/>
      <w:lvlText w:val="(%1)"/>
      <w:lvlJc w:val="left"/>
      <w:pPr>
        <w:tabs>
          <w:tab w:val="num" w:pos="360"/>
        </w:tabs>
        <w:ind w:left="360" w:hanging="360"/>
      </w:pPr>
      <w:rPr>
        <w:rFonts w:cs="Times New Roman" w:hint="default"/>
      </w:rPr>
    </w:lvl>
  </w:abstractNum>
  <w:abstractNum w:abstractNumId="15" w15:restartNumberingAfterBreak="0">
    <w:nsid w:val="7FA06E1E"/>
    <w:multiLevelType w:val="hybridMultilevel"/>
    <w:tmpl w:val="9A646D8C"/>
    <w:lvl w:ilvl="0" w:tplc="55D67E02">
      <w:start w:val="1"/>
      <w:numFmt w:val="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6"/>
  </w:num>
  <w:num w:numId="3">
    <w:abstractNumId w:val="14"/>
  </w:num>
  <w:num w:numId="4">
    <w:abstractNumId w:val="1"/>
  </w:num>
  <w:num w:numId="5">
    <w:abstractNumId w:val="6"/>
    <w:lvlOverride w:ilvl="0">
      <w:startOverride w:val="1"/>
    </w:lvlOverride>
  </w:num>
  <w:num w:numId="6">
    <w:abstractNumId w:val="7"/>
  </w:num>
  <w:num w:numId="7">
    <w:abstractNumId w:val="15"/>
  </w:num>
  <w:num w:numId="8">
    <w:abstractNumId w:val="3"/>
  </w:num>
  <w:num w:numId="9">
    <w:abstractNumId w:val="8"/>
  </w:num>
  <w:num w:numId="10">
    <w:abstractNumId w:val="12"/>
  </w:num>
  <w:num w:numId="11">
    <w:abstractNumId w:val="10"/>
  </w:num>
  <w:num w:numId="12">
    <w:abstractNumId w:val="4"/>
  </w:num>
  <w:num w:numId="13">
    <w:abstractNumId w:val="5"/>
  </w:num>
  <w:num w:numId="14">
    <w:abstractNumId w:val="11"/>
  </w:num>
  <w:num w:numId="15">
    <w:abstractNumId w:val="2"/>
  </w:num>
  <w:num w:numId="16">
    <w:abstractNumId w:val="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260"/>
    <w:rsid w:val="00075C30"/>
    <w:rsid w:val="000B4B9A"/>
    <w:rsid w:val="0080706F"/>
    <w:rsid w:val="008357FB"/>
    <w:rsid w:val="00917B23"/>
    <w:rsid w:val="00B2603D"/>
    <w:rsid w:val="00B733CD"/>
    <w:rsid w:val="00BA2C9F"/>
    <w:rsid w:val="00F222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04861210-CB01-49B7-8C4A-2FA553EE1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tabs>
        <w:tab w:val="num" w:pos="360"/>
      </w:tabs>
      <w:ind w:left="360" w:hanging="360"/>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Excel_Worksheet2.xlsx"/><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24F53AA4BC34BFB9CB148D4F152EB17"/>
        <w:category>
          <w:name w:val="Všeobecné"/>
          <w:gallery w:val="placeholder"/>
        </w:category>
        <w:types>
          <w:type w:val="bbPlcHdr"/>
        </w:types>
        <w:behaviors>
          <w:behavior w:val="content"/>
        </w:behaviors>
        <w:guid w:val="{062D3441-E04D-48CF-9312-892A1124C6F3}"/>
      </w:docPartPr>
      <w:docPartBody>
        <w:p w:rsidR="00F3597D" w:rsidRDefault="002C2244" w:rsidP="002C2244">
          <w:pPr>
            <w:pStyle w:val="924F53AA4BC34BFB9CB148D4F152EB17"/>
          </w:pPr>
          <w:r>
            <w:rPr>
              <w:color w:val="7F7F7F" w:themeColor="background1" w:themeShade="7F"/>
            </w:rPr>
            <w:t>[Zadajte názov spoločnosti]</w:t>
          </w:r>
        </w:p>
      </w:docPartBody>
    </w:docPart>
    <w:docPart>
      <w:docPartPr>
        <w:name w:val="65C3572730F441BFAF1B34842DB31DB0"/>
        <w:category>
          <w:name w:val="Všeobecné"/>
          <w:gallery w:val="placeholder"/>
        </w:category>
        <w:types>
          <w:type w:val="bbPlcHdr"/>
        </w:types>
        <w:behaviors>
          <w:behavior w:val="content"/>
        </w:behaviors>
        <w:guid w:val="{BD89DC59-C78F-4675-AC3A-6BF3BA821784}"/>
      </w:docPartPr>
      <w:docPartBody>
        <w:p w:rsidR="00F3597D" w:rsidRDefault="002C2244" w:rsidP="002C2244">
          <w:pPr>
            <w:pStyle w:val="65C3572730F441BFAF1B34842DB31DB0"/>
          </w:pPr>
          <w:r>
            <w:rPr>
              <w:color w:val="7F7F7F" w:themeColor="background1" w:themeShade="7F"/>
            </w:rPr>
            <w:t>[Zadajte adresu spoločnosti]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244"/>
    <w:rsid w:val="002C2244"/>
    <w:rsid w:val="00621F53"/>
    <w:rsid w:val="00B51C2B"/>
    <w:rsid w:val="00D774D5"/>
    <w:rsid w:val="00F359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924F53AA4BC34BFB9CB148D4F152EB17">
    <w:name w:val="924F53AA4BC34BFB9CB148D4F152EB17"/>
    <w:rsid w:val="002C2244"/>
  </w:style>
  <w:style w:type="paragraph" w:customStyle="1" w:styleId="65C3572730F441BFAF1B34842DB31DB0">
    <w:name w:val="65C3572730F441BFAF1B34842DB31DB0"/>
    <w:rsid w:val="002C22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Šamorínska 10, 903 01 Senec 
IČO: 50773984, DIČ: 2120480637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17</Pages>
  <Words>5318</Words>
  <Characters>30317</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
    </vt:vector>
  </TitlesOfParts>
  <Company>LUJZA s.r.o.</Company>
  <LinksUpToDate>false</LinksUpToDate>
  <CharactersWithSpaces>35564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Lucka</dc:creator>
  <cp:lastModifiedBy>Zuzana Cedulová</cp:lastModifiedBy>
  <cp:revision>7</cp:revision>
  <cp:lastPrinted>2020-06-30T15:55:00Z</cp:lastPrinted>
  <dcterms:created xsi:type="dcterms:W3CDTF">2018-03-16T14:41:00Z</dcterms:created>
  <dcterms:modified xsi:type="dcterms:W3CDTF">2020-06-30T15:55:00Z</dcterms:modified>
</cp:coreProperties>
</file>