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2260" w:rsidRDefault="00F22260" w:rsidP="00F22260">
      <w:pPr>
        <w:jc w:val="center"/>
        <w:rPr>
          <w:b/>
          <w:sz w:val="48"/>
          <w:szCs w:val="48"/>
        </w:rPr>
      </w:pPr>
      <w:r>
        <w:rPr>
          <w:b/>
          <w:noProof/>
          <w:sz w:val="48"/>
          <w:szCs w:val="48"/>
          <w:lang w:eastAsia="sk-SK"/>
        </w:rPr>
        <w:drawing>
          <wp:inline distT="0" distB="0" distL="0" distR="0" wp14:anchorId="28F3D4C7" wp14:editId="2D36AB86">
            <wp:extent cx="1581150" cy="1009926"/>
            <wp:effectExtent l="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4920" cy="1012334"/>
                    </a:xfrm>
                    <a:prstGeom prst="rect">
                      <a:avLst/>
                    </a:prstGeom>
                    <a:noFill/>
                    <a:ln>
                      <a:noFill/>
                    </a:ln>
                  </pic:spPr>
                </pic:pic>
              </a:graphicData>
            </a:graphic>
          </wp:inline>
        </w:drawing>
      </w:r>
    </w:p>
    <w:p w:rsidR="0080706F" w:rsidRPr="00D346B1" w:rsidRDefault="0080706F" w:rsidP="0080706F">
      <w:pPr>
        <w:jc w:val="center"/>
        <w:rPr>
          <w:b/>
        </w:rPr>
      </w:pPr>
      <w:r w:rsidRPr="00D346B1">
        <w:rPr>
          <w:b/>
        </w:rPr>
        <w:t>Poznámky k účtovnej závierke</w:t>
      </w:r>
      <w:r>
        <w:rPr>
          <w:b/>
        </w:rPr>
        <w:t xml:space="preserve"> podnikateľov v podvojnom účtovníctve</w:t>
      </w:r>
      <w:r w:rsidRPr="00D346B1">
        <w:rPr>
          <w:b/>
        </w:rPr>
        <w:t xml:space="preserve"> zostavenej</w:t>
      </w:r>
      <w:r>
        <w:rPr>
          <w:b/>
        </w:rPr>
        <w:t xml:space="preserve"> k 31.12.201</w:t>
      </w:r>
      <w:r w:rsidR="00917B23">
        <w:rPr>
          <w:b/>
        </w:rPr>
        <w:t>9</w:t>
      </w:r>
      <w:r w:rsidRPr="00D346B1">
        <w:rPr>
          <w:b/>
        </w:rPr>
        <w:t xml:space="preserve"> a schválenej dňa </w:t>
      </w:r>
      <w:r w:rsidR="00917B23">
        <w:rPr>
          <w:b/>
        </w:rPr>
        <w:t>30.06.2020</w:t>
      </w:r>
    </w:p>
    <w:p w:rsidR="0080706F" w:rsidRPr="000823AF" w:rsidRDefault="0080706F" w:rsidP="0080706F">
      <w:pPr>
        <w:jc w:val="both"/>
      </w:pPr>
    </w:p>
    <w:p w:rsidR="0080706F" w:rsidRDefault="0080706F" w:rsidP="00F22260">
      <w:pPr>
        <w:jc w:val="center"/>
        <w:rPr>
          <w:b/>
          <w:sz w:val="48"/>
          <w:szCs w:val="48"/>
        </w:rPr>
      </w:pPr>
    </w:p>
    <w:p w:rsidR="0080706F" w:rsidRDefault="0080706F" w:rsidP="00F22260">
      <w:pPr>
        <w:jc w:val="center"/>
        <w:rPr>
          <w:b/>
          <w:sz w:val="48"/>
          <w:szCs w:val="48"/>
        </w:rPr>
      </w:pPr>
    </w:p>
    <w:p w:rsidR="0080706F" w:rsidRDefault="0080706F" w:rsidP="00F22260">
      <w:pPr>
        <w:jc w:val="center"/>
        <w:rPr>
          <w:b/>
          <w:sz w:val="48"/>
          <w:szCs w:val="48"/>
        </w:rPr>
      </w:pPr>
    </w:p>
    <w:p w:rsidR="0080706F" w:rsidRDefault="0080706F" w:rsidP="00F22260">
      <w:pPr>
        <w:jc w:val="center"/>
        <w:rPr>
          <w:b/>
          <w:sz w:val="48"/>
          <w:szCs w:val="48"/>
        </w:rPr>
      </w:pPr>
    </w:p>
    <w:p w:rsidR="0080706F" w:rsidRDefault="0080706F" w:rsidP="00F22260">
      <w:pPr>
        <w:jc w:val="center"/>
        <w:rPr>
          <w:b/>
          <w:sz w:val="48"/>
          <w:szCs w:val="48"/>
        </w:rPr>
      </w:pPr>
    </w:p>
    <w:p w:rsidR="0080706F" w:rsidRDefault="0080706F" w:rsidP="00F22260">
      <w:pPr>
        <w:jc w:val="center"/>
        <w:rPr>
          <w:b/>
          <w:sz w:val="48"/>
          <w:szCs w:val="48"/>
        </w:rPr>
      </w:pPr>
    </w:p>
    <w:p w:rsidR="0080706F" w:rsidRDefault="0080706F" w:rsidP="00F22260">
      <w:pPr>
        <w:jc w:val="center"/>
        <w:rPr>
          <w:b/>
          <w:sz w:val="48"/>
          <w:szCs w:val="48"/>
        </w:rPr>
      </w:pPr>
    </w:p>
    <w:p w:rsidR="0080706F" w:rsidRDefault="0080706F" w:rsidP="00F22260">
      <w:pPr>
        <w:jc w:val="center"/>
        <w:rPr>
          <w:b/>
          <w:sz w:val="48"/>
          <w:szCs w:val="48"/>
        </w:rPr>
      </w:pPr>
    </w:p>
    <w:p w:rsidR="0080706F" w:rsidRDefault="0080706F" w:rsidP="00F22260">
      <w:pPr>
        <w:jc w:val="center"/>
        <w:rPr>
          <w:b/>
          <w:sz w:val="48"/>
          <w:szCs w:val="48"/>
        </w:rPr>
      </w:pPr>
    </w:p>
    <w:p w:rsidR="0080706F" w:rsidRDefault="0080706F" w:rsidP="00F22260">
      <w:pPr>
        <w:jc w:val="center"/>
        <w:rPr>
          <w:b/>
          <w:sz w:val="48"/>
          <w:szCs w:val="48"/>
        </w:rPr>
      </w:pPr>
    </w:p>
    <w:p w:rsidR="0080706F" w:rsidRDefault="0080706F" w:rsidP="00F22260">
      <w:pPr>
        <w:jc w:val="center"/>
        <w:rPr>
          <w:b/>
          <w:sz w:val="48"/>
          <w:szCs w:val="48"/>
        </w:rPr>
      </w:pPr>
    </w:p>
    <w:p w:rsidR="0080706F" w:rsidRDefault="0080706F" w:rsidP="00F22260">
      <w:pPr>
        <w:jc w:val="center"/>
        <w:rPr>
          <w:b/>
          <w:sz w:val="48"/>
          <w:szCs w:val="48"/>
        </w:rPr>
      </w:pPr>
    </w:p>
    <w:p w:rsidR="0080706F" w:rsidRPr="000823AF" w:rsidRDefault="0080706F" w:rsidP="0080706F">
      <w:pPr>
        <w:pStyle w:val="Nadpis1"/>
        <w:tabs>
          <w:tab w:val="num" w:pos="360"/>
          <w:tab w:val="num" w:pos="2062"/>
        </w:tabs>
        <w:spacing w:after="60"/>
        <w:ind w:left="360" w:hanging="360"/>
      </w:pPr>
      <w:bookmarkStart w:id="0" w:name="_Toc530739894"/>
      <w:r w:rsidRPr="000823AF">
        <w:lastRenderedPageBreak/>
        <w:t>VŠEOBECNÉ INFORMÁCIE</w:t>
      </w:r>
      <w:bookmarkEnd w:id="0"/>
    </w:p>
    <w:p w:rsidR="0080706F" w:rsidRPr="000823AF" w:rsidRDefault="0080706F" w:rsidP="0080706F">
      <w:pPr>
        <w:pStyle w:val="Zkladntext"/>
        <w:rPr>
          <w:sz w:val="24"/>
          <w:szCs w:val="24"/>
        </w:rPr>
      </w:pPr>
    </w:p>
    <w:p w:rsidR="0080706F" w:rsidRPr="000823AF" w:rsidRDefault="0080706F" w:rsidP="0080706F">
      <w:pPr>
        <w:pStyle w:val="Nadpis2"/>
        <w:numPr>
          <w:ilvl w:val="0"/>
          <w:numId w:val="2"/>
        </w:numPr>
        <w:spacing w:before="0" w:after="0"/>
        <w:rPr>
          <w:rFonts w:ascii="Times New Roman" w:hAnsi="Times New Roman"/>
          <w:sz w:val="24"/>
          <w:szCs w:val="24"/>
        </w:rPr>
      </w:pPr>
      <w:r w:rsidRPr="000823AF">
        <w:rPr>
          <w:rFonts w:ascii="Times New Roman" w:hAnsi="Times New Roman"/>
          <w:sz w:val="24"/>
          <w:szCs w:val="24"/>
        </w:rPr>
        <w:t>Obchodné meno a sídlo spoločnosti:</w:t>
      </w:r>
    </w:p>
    <w:p w:rsidR="0080706F" w:rsidRPr="000823AF" w:rsidRDefault="0080706F" w:rsidP="0080706F"/>
    <w:p w:rsidR="0080706F" w:rsidRPr="000823AF" w:rsidRDefault="0080706F" w:rsidP="0080706F">
      <w:pPr>
        <w:pStyle w:val="Zkladntext"/>
        <w:rPr>
          <w:sz w:val="24"/>
          <w:szCs w:val="24"/>
        </w:rPr>
      </w:pPr>
      <w:r>
        <w:rPr>
          <w:sz w:val="24"/>
          <w:szCs w:val="24"/>
        </w:rPr>
        <w:t>LUJZA</w:t>
      </w:r>
      <w:r w:rsidRPr="000823AF">
        <w:rPr>
          <w:sz w:val="24"/>
          <w:szCs w:val="24"/>
        </w:rPr>
        <w:t xml:space="preserve"> s.r.o.</w:t>
      </w:r>
    </w:p>
    <w:p w:rsidR="0080706F" w:rsidRPr="000823AF" w:rsidRDefault="0080706F" w:rsidP="0080706F">
      <w:pPr>
        <w:pStyle w:val="Zkladntext"/>
        <w:rPr>
          <w:sz w:val="24"/>
          <w:szCs w:val="24"/>
        </w:rPr>
      </w:pPr>
      <w:r w:rsidRPr="000823AF">
        <w:rPr>
          <w:sz w:val="24"/>
          <w:szCs w:val="24"/>
        </w:rPr>
        <w:t>Šamorínska 10</w:t>
      </w:r>
    </w:p>
    <w:p w:rsidR="0080706F" w:rsidRPr="000823AF" w:rsidRDefault="0080706F" w:rsidP="0080706F">
      <w:pPr>
        <w:pStyle w:val="Zkladntext"/>
        <w:rPr>
          <w:sz w:val="24"/>
          <w:szCs w:val="24"/>
        </w:rPr>
      </w:pPr>
      <w:r w:rsidRPr="000823AF">
        <w:rPr>
          <w:sz w:val="24"/>
          <w:szCs w:val="24"/>
        </w:rPr>
        <w:t>903 01 Senec</w:t>
      </w:r>
    </w:p>
    <w:p w:rsidR="0080706F" w:rsidRPr="000823AF" w:rsidRDefault="0080706F" w:rsidP="0080706F">
      <w:pPr>
        <w:pStyle w:val="Nadpis2"/>
        <w:ind w:firstLine="426"/>
        <w:rPr>
          <w:rFonts w:ascii="Times New Roman" w:hAnsi="Times New Roman"/>
          <w:sz w:val="24"/>
          <w:szCs w:val="24"/>
        </w:rPr>
      </w:pPr>
      <w:bookmarkStart w:id="1" w:name="_Toc530739896"/>
      <w:r w:rsidRPr="000823AF">
        <w:rPr>
          <w:rFonts w:ascii="Times New Roman" w:hAnsi="Times New Roman"/>
          <w:sz w:val="24"/>
          <w:szCs w:val="24"/>
        </w:rPr>
        <w:t>Hlavnými činnosťami Spoločnosti sú:</w:t>
      </w:r>
      <w:bookmarkEnd w:id="1"/>
    </w:p>
    <w:p w:rsidR="0080706F" w:rsidRPr="00554B86" w:rsidRDefault="0080706F" w:rsidP="0080706F">
      <w:pPr>
        <w:pStyle w:val="Zkladntext"/>
        <w:tabs>
          <w:tab w:val="left" w:pos="7905"/>
        </w:tabs>
        <w:jc w:val="left"/>
        <w:rPr>
          <w:rStyle w:val="ra"/>
          <w:sz w:val="24"/>
          <w:szCs w:val="24"/>
        </w:rPr>
      </w:pPr>
      <w:r>
        <w:rPr>
          <w:sz w:val="24"/>
          <w:szCs w:val="24"/>
        </w:rPr>
        <w:t xml:space="preserve">- </w:t>
      </w:r>
      <w:r>
        <w:rPr>
          <w:rStyle w:val="ra"/>
          <w:sz w:val="24"/>
          <w:szCs w:val="24"/>
        </w:rPr>
        <w:t>u</w:t>
      </w:r>
      <w:r w:rsidRPr="00554B86">
        <w:rPr>
          <w:rStyle w:val="ra"/>
          <w:sz w:val="24"/>
          <w:szCs w:val="24"/>
        </w:rPr>
        <w:t>bytovacie služby bez poskytovania pohostinských činností</w:t>
      </w:r>
    </w:p>
    <w:p w:rsidR="0080706F" w:rsidRPr="000823AF" w:rsidRDefault="0080706F" w:rsidP="0080706F">
      <w:pPr>
        <w:pStyle w:val="Zkladntext"/>
        <w:tabs>
          <w:tab w:val="left" w:pos="7905"/>
        </w:tabs>
        <w:jc w:val="left"/>
        <w:rPr>
          <w:sz w:val="24"/>
          <w:szCs w:val="24"/>
        </w:rPr>
      </w:pPr>
      <w:r w:rsidRPr="00554B86">
        <w:rPr>
          <w:rStyle w:val="ra"/>
          <w:sz w:val="24"/>
          <w:szCs w:val="24"/>
        </w:rPr>
        <w:t>- cestná nákladná doprava</w:t>
      </w:r>
      <w:r w:rsidRPr="000823AF">
        <w:rPr>
          <w:sz w:val="24"/>
          <w:szCs w:val="24"/>
        </w:rPr>
        <w:tab/>
      </w:r>
    </w:p>
    <w:p w:rsidR="0080706F" w:rsidRPr="000823AF" w:rsidRDefault="0080706F" w:rsidP="0080706F">
      <w:pPr>
        <w:pStyle w:val="Zkladntext"/>
        <w:ind w:left="0"/>
        <w:rPr>
          <w:sz w:val="24"/>
          <w:szCs w:val="24"/>
        </w:rPr>
      </w:pPr>
    </w:p>
    <w:p w:rsidR="0080706F" w:rsidRPr="000823AF" w:rsidRDefault="0080706F" w:rsidP="0080706F">
      <w:pPr>
        <w:pStyle w:val="Nadpis2"/>
        <w:numPr>
          <w:ilvl w:val="0"/>
          <w:numId w:val="2"/>
        </w:numPr>
        <w:spacing w:before="0" w:after="0"/>
        <w:rPr>
          <w:rFonts w:ascii="Times New Roman" w:hAnsi="Times New Roman"/>
          <w:sz w:val="24"/>
          <w:szCs w:val="24"/>
        </w:rPr>
      </w:pPr>
      <w:r w:rsidRPr="000823AF">
        <w:rPr>
          <w:rFonts w:ascii="Times New Roman" w:hAnsi="Times New Roman"/>
          <w:sz w:val="24"/>
          <w:szCs w:val="24"/>
        </w:rPr>
        <w:t>Dátum schválenia účtovnej závierky za predchádzajúce účtovné obdobie</w:t>
      </w:r>
    </w:p>
    <w:p w:rsidR="0080706F" w:rsidRPr="000823AF" w:rsidRDefault="0080706F" w:rsidP="0080706F">
      <w:pPr>
        <w:pStyle w:val="Zkladntext"/>
        <w:ind w:hanging="426"/>
        <w:rPr>
          <w:sz w:val="24"/>
          <w:szCs w:val="24"/>
        </w:rPr>
      </w:pPr>
      <w:r w:rsidRPr="000823AF">
        <w:rPr>
          <w:sz w:val="24"/>
          <w:szCs w:val="24"/>
        </w:rPr>
        <w:tab/>
      </w:r>
      <w:r w:rsidR="00917B23">
        <w:rPr>
          <w:sz w:val="24"/>
          <w:szCs w:val="24"/>
        </w:rPr>
        <w:t>01.07.2019</w:t>
      </w:r>
    </w:p>
    <w:p w:rsidR="0080706F" w:rsidRPr="000823AF" w:rsidRDefault="0080706F" w:rsidP="0080706F">
      <w:pPr>
        <w:pStyle w:val="Zkladntext"/>
        <w:ind w:hanging="426"/>
        <w:rPr>
          <w:sz w:val="24"/>
          <w:szCs w:val="24"/>
        </w:rPr>
      </w:pPr>
    </w:p>
    <w:p w:rsidR="0080706F" w:rsidRPr="000823AF" w:rsidRDefault="0080706F" w:rsidP="0080706F">
      <w:pPr>
        <w:pStyle w:val="Nadpis2"/>
        <w:numPr>
          <w:ilvl w:val="0"/>
          <w:numId w:val="2"/>
        </w:numPr>
        <w:spacing w:before="0" w:after="0"/>
        <w:rPr>
          <w:rFonts w:ascii="Times New Roman" w:hAnsi="Times New Roman"/>
          <w:sz w:val="24"/>
          <w:szCs w:val="24"/>
        </w:rPr>
      </w:pPr>
      <w:r w:rsidRPr="000823AF">
        <w:rPr>
          <w:rFonts w:ascii="Times New Roman" w:hAnsi="Times New Roman"/>
          <w:sz w:val="24"/>
          <w:szCs w:val="24"/>
        </w:rPr>
        <w:t>Právny dôvod na zostavenie účtovnej závierky</w:t>
      </w:r>
    </w:p>
    <w:p w:rsidR="0080706F" w:rsidRPr="000823AF" w:rsidRDefault="0080706F" w:rsidP="0080706F">
      <w:pPr>
        <w:pStyle w:val="Zkladntext"/>
        <w:ind w:hanging="426"/>
        <w:rPr>
          <w:sz w:val="24"/>
          <w:szCs w:val="24"/>
        </w:rPr>
      </w:pPr>
      <w:r w:rsidRPr="000823AF">
        <w:rPr>
          <w:sz w:val="24"/>
          <w:szCs w:val="24"/>
        </w:rPr>
        <w:tab/>
        <w:t>Účtovná závierka Spoločnosti k 31. decembru 201</w:t>
      </w:r>
      <w:r w:rsidR="00B733CD">
        <w:rPr>
          <w:sz w:val="24"/>
          <w:szCs w:val="24"/>
        </w:rPr>
        <w:t>8</w:t>
      </w:r>
      <w:r w:rsidRPr="000823AF">
        <w:rPr>
          <w:sz w:val="24"/>
          <w:szCs w:val="24"/>
        </w:rPr>
        <w:t xml:space="preserve"> je zostavená ako riadna účtovná závierka podľa § 17 ods. 6 zákona NR SR č. 431/2002 Z. z. o účtovníctve (ďalej „zákon o účtovníctve“) za účtovné obdobie od 1. januára 201</w:t>
      </w:r>
      <w:r w:rsidR="00B733CD">
        <w:rPr>
          <w:sz w:val="24"/>
          <w:szCs w:val="24"/>
        </w:rPr>
        <w:t>8</w:t>
      </w:r>
      <w:r w:rsidRPr="000823AF">
        <w:rPr>
          <w:sz w:val="24"/>
          <w:szCs w:val="24"/>
        </w:rPr>
        <w:t xml:space="preserve"> do 31. decembra 201</w:t>
      </w:r>
      <w:r w:rsidR="00B733CD">
        <w:rPr>
          <w:sz w:val="24"/>
          <w:szCs w:val="24"/>
        </w:rPr>
        <w:t>8</w:t>
      </w:r>
      <w:r>
        <w:rPr>
          <w:sz w:val="24"/>
          <w:szCs w:val="24"/>
        </w:rPr>
        <w:t>.</w:t>
      </w:r>
    </w:p>
    <w:p w:rsidR="0080706F" w:rsidRPr="000823AF" w:rsidRDefault="0080706F" w:rsidP="0080706F">
      <w:pPr>
        <w:pStyle w:val="Zkladntext"/>
        <w:ind w:hanging="426"/>
        <w:rPr>
          <w:sz w:val="24"/>
          <w:szCs w:val="24"/>
        </w:rPr>
      </w:pPr>
    </w:p>
    <w:p w:rsidR="0080706F" w:rsidRDefault="0080706F" w:rsidP="0080706F">
      <w:pPr>
        <w:pStyle w:val="Zkladntext"/>
        <w:ind w:hanging="426"/>
        <w:rPr>
          <w:sz w:val="24"/>
          <w:szCs w:val="24"/>
        </w:rPr>
      </w:pPr>
      <w:r w:rsidRPr="000823AF">
        <w:rPr>
          <w:sz w:val="24"/>
          <w:szCs w:val="24"/>
        </w:rPr>
        <w:tab/>
        <w:t xml:space="preserve">Účtovná závierka je určená pre používateľov, ktorí majú primerané znalosti o obchodných a ekonomických činnostiach a účtovníctve a ktorí analyzujú tieto informácie s primeranou pozornosťou. Účtovná závierka neposkytuje a ani nemôže poskytovať všetky informácie, ktoré by existujúci a potencionálni investori, poskytovatelia úverov a pôžičiek a iní veritelia, mohli potrebovať. Títo používatelia musia relevantné informácie získať z iných zdrojov. </w:t>
      </w:r>
    </w:p>
    <w:p w:rsidR="0080706F" w:rsidRPr="000823AF" w:rsidRDefault="0080706F" w:rsidP="0080706F">
      <w:pPr>
        <w:pStyle w:val="Zkladntext"/>
        <w:ind w:hanging="426"/>
        <w:rPr>
          <w:sz w:val="24"/>
          <w:szCs w:val="24"/>
        </w:rPr>
      </w:pPr>
    </w:p>
    <w:p w:rsidR="0080706F" w:rsidRPr="000823AF" w:rsidRDefault="0080706F" w:rsidP="0080706F">
      <w:pPr>
        <w:pStyle w:val="Nadpis2"/>
        <w:numPr>
          <w:ilvl w:val="0"/>
          <w:numId w:val="2"/>
        </w:numPr>
        <w:spacing w:before="0" w:after="0"/>
        <w:rPr>
          <w:rFonts w:ascii="Times New Roman" w:hAnsi="Times New Roman"/>
          <w:sz w:val="24"/>
          <w:szCs w:val="24"/>
        </w:rPr>
      </w:pPr>
      <w:r w:rsidRPr="000823AF">
        <w:rPr>
          <w:rFonts w:ascii="Times New Roman" w:hAnsi="Times New Roman"/>
          <w:sz w:val="24"/>
          <w:szCs w:val="24"/>
        </w:rPr>
        <w:t xml:space="preserve">Priemerný prepočítaný počet zamestnancov </w:t>
      </w:r>
    </w:p>
    <w:p w:rsidR="0080706F" w:rsidRDefault="0080706F" w:rsidP="0080706F">
      <w:pPr>
        <w:pStyle w:val="Zkladntext"/>
        <w:rPr>
          <w:sz w:val="24"/>
          <w:szCs w:val="24"/>
        </w:rPr>
      </w:pPr>
      <w:r w:rsidRPr="000823AF">
        <w:rPr>
          <w:sz w:val="24"/>
          <w:szCs w:val="24"/>
        </w:rPr>
        <w:t>Priemerný prepočítaný počet zamestnancov Spoločnosti v účtovnom období 201</w:t>
      </w:r>
      <w:r w:rsidR="00917B23">
        <w:rPr>
          <w:sz w:val="24"/>
          <w:szCs w:val="24"/>
        </w:rPr>
        <w:t>9</w:t>
      </w:r>
      <w:r w:rsidRPr="000823AF">
        <w:rPr>
          <w:sz w:val="24"/>
          <w:szCs w:val="24"/>
        </w:rPr>
        <w:t xml:space="preserve"> bol </w:t>
      </w:r>
      <w:r w:rsidR="00917B23">
        <w:rPr>
          <w:sz w:val="24"/>
          <w:szCs w:val="24"/>
        </w:rPr>
        <w:t>2</w:t>
      </w:r>
      <w:r w:rsidRPr="000823AF">
        <w:rPr>
          <w:sz w:val="24"/>
          <w:szCs w:val="24"/>
        </w:rPr>
        <w:t xml:space="preserve"> </w:t>
      </w:r>
    </w:p>
    <w:p w:rsidR="0080706F" w:rsidRPr="000823AF" w:rsidRDefault="0080706F" w:rsidP="0080706F">
      <w:pPr>
        <w:pStyle w:val="Zkladntext"/>
        <w:rPr>
          <w:sz w:val="24"/>
          <w:szCs w:val="24"/>
        </w:rPr>
      </w:pPr>
    </w:p>
    <w:p w:rsidR="0080706F" w:rsidRPr="000823AF" w:rsidRDefault="0080706F" w:rsidP="0080706F">
      <w:pPr>
        <w:pStyle w:val="Nadpis1"/>
        <w:tabs>
          <w:tab w:val="num" w:pos="360"/>
          <w:tab w:val="num" w:pos="2062"/>
        </w:tabs>
        <w:ind w:left="360" w:hanging="360"/>
      </w:pPr>
      <w:bookmarkStart w:id="2" w:name="_Toc530739897"/>
      <w:r w:rsidRPr="000823AF">
        <w:t>Informácie o orgánoch účtovnej jednotky</w:t>
      </w:r>
      <w:bookmarkEnd w:id="2"/>
    </w:p>
    <w:p w:rsidR="0080706F" w:rsidRPr="000823AF" w:rsidRDefault="0080706F" w:rsidP="0080706F"/>
    <w:p w:rsidR="0080706F" w:rsidRPr="000823AF" w:rsidRDefault="0080706F" w:rsidP="0080706F">
      <w:pPr>
        <w:pStyle w:val="Zkladntext"/>
        <w:rPr>
          <w:sz w:val="24"/>
          <w:szCs w:val="24"/>
        </w:rPr>
      </w:pPr>
      <w:r>
        <w:rPr>
          <w:sz w:val="24"/>
          <w:szCs w:val="24"/>
        </w:rPr>
        <w:t>Konatelia</w:t>
      </w:r>
      <w:r>
        <w:rPr>
          <w:sz w:val="24"/>
          <w:szCs w:val="24"/>
        </w:rPr>
        <w:tab/>
        <w:t xml:space="preserve">            </w:t>
      </w:r>
      <w:r w:rsidRPr="000823AF">
        <w:rPr>
          <w:sz w:val="24"/>
          <w:szCs w:val="24"/>
        </w:rPr>
        <w:t xml:space="preserve">Ing. </w:t>
      </w:r>
      <w:r>
        <w:rPr>
          <w:sz w:val="24"/>
          <w:szCs w:val="24"/>
        </w:rPr>
        <w:t>Lucia Pauflerová</w:t>
      </w:r>
    </w:p>
    <w:p w:rsidR="0080706F" w:rsidRPr="000823AF" w:rsidRDefault="0080706F" w:rsidP="0080706F">
      <w:pPr>
        <w:pStyle w:val="Zkladntext"/>
        <w:rPr>
          <w:sz w:val="24"/>
          <w:szCs w:val="24"/>
        </w:rPr>
      </w:pPr>
      <w:r>
        <w:rPr>
          <w:sz w:val="24"/>
          <w:szCs w:val="24"/>
        </w:rPr>
        <w:tab/>
      </w:r>
      <w:r>
        <w:rPr>
          <w:sz w:val="24"/>
          <w:szCs w:val="24"/>
        </w:rPr>
        <w:tab/>
      </w:r>
      <w:r>
        <w:rPr>
          <w:sz w:val="24"/>
          <w:szCs w:val="24"/>
        </w:rPr>
        <w:tab/>
        <w:t>Zuzana Cedulová</w:t>
      </w:r>
      <w:bookmarkStart w:id="3" w:name="_Toc530739898"/>
    </w:p>
    <w:bookmarkEnd w:id="3"/>
    <w:p w:rsidR="0080706F" w:rsidRPr="000823AF" w:rsidRDefault="0080706F" w:rsidP="0080706F"/>
    <w:p w:rsidR="0080706F" w:rsidRPr="000823AF" w:rsidRDefault="0080706F" w:rsidP="0080706F">
      <w:pPr>
        <w:pStyle w:val="Nadpis1"/>
        <w:tabs>
          <w:tab w:val="num" w:pos="360"/>
          <w:tab w:val="num" w:pos="2062"/>
        </w:tabs>
        <w:ind w:left="360" w:hanging="360"/>
      </w:pPr>
      <w:bookmarkStart w:id="4" w:name="_Toc530739899"/>
      <w:r w:rsidRPr="000823AF">
        <w:t>I</w:t>
      </w:r>
      <w:r>
        <w:t>NFORMÁCIE O</w:t>
      </w:r>
      <w:r w:rsidRPr="000823AF">
        <w:t xml:space="preserve"> PRIJATÝCH POSTUPOCH </w:t>
      </w:r>
      <w:bookmarkEnd w:id="4"/>
    </w:p>
    <w:p w:rsidR="0080706F" w:rsidRPr="000823AF" w:rsidRDefault="0080706F" w:rsidP="0080706F">
      <w:pPr>
        <w:pStyle w:val="Zkladntext"/>
        <w:ind w:left="786"/>
        <w:rPr>
          <w:sz w:val="24"/>
          <w:szCs w:val="24"/>
        </w:rPr>
      </w:pPr>
    </w:p>
    <w:p w:rsidR="0080706F" w:rsidRPr="000823AF" w:rsidRDefault="0080706F" w:rsidP="0080706F">
      <w:pPr>
        <w:pStyle w:val="Pismenka"/>
        <w:numPr>
          <w:ilvl w:val="0"/>
          <w:numId w:val="10"/>
        </w:numPr>
        <w:rPr>
          <w:sz w:val="24"/>
          <w:szCs w:val="24"/>
        </w:rPr>
      </w:pPr>
      <w:r w:rsidRPr="000823AF">
        <w:rPr>
          <w:sz w:val="24"/>
          <w:szCs w:val="24"/>
        </w:rPr>
        <w:t>Východiská pre zostavenie účtovnej závierky</w:t>
      </w:r>
    </w:p>
    <w:p w:rsidR="0080706F" w:rsidRPr="000823AF" w:rsidRDefault="0080706F" w:rsidP="0080706F">
      <w:pPr>
        <w:pStyle w:val="Zkladntext"/>
        <w:ind w:left="450"/>
        <w:rPr>
          <w:sz w:val="24"/>
          <w:szCs w:val="24"/>
        </w:rPr>
      </w:pPr>
      <w:r w:rsidRPr="000823AF">
        <w:rPr>
          <w:sz w:val="24"/>
          <w:szCs w:val="24"/>
        </w:rPr>
        <w:t>Účtovná závierka bola zostavená za predpokladu, že Spoločnosť bude nepretržite pokračovať vo svojej činnosti (going concern).</w:t>
      </w:r>
    </w:p>
    <w:p w:rsidR="0080706F" w:rsidRPr="000823AF" w:rsidRDefault="0080706F" w:rsidP="0080706F">
      <w:pPr>
        <w:pStyle w:val="Zkladntext"/>
        <w:ind w:left="450"/>
        <w:rPr>
          <w:sz w:val="24"/>
          <w:szCs w:val="24"/>
        </w:rPr>
      </w:pPr>
    </w:p>
    <w:p w:rsidR="0080706F" w:rsidRPr="000823AF" w:rsidRDefault="0080706F" w:rsidP="0080706F">
      <w:pPr>
        <w:pStyle w:val="Zkladntext"/>
        <w:rPr>
          <w:sz w:val="24"/>
          <w:szCs w:val="24"/>
        </w:rPr>
      </w:pPr>
    </w:p>
    <w:p w:rsidR="0080706F" w:rsidRPr="000823AF" w:rsidRDefault="0080706F" w:rsidP="0080706F">
      <w:pPr>
        <w:pStyle w:val="Zkladntext"/>
        <w:rPr>
          <w:color w:val="0070C0"/>
          <w:sz w:val="24"/>
          <w:szCs w:val="24"/>
        </w:rPr>
      </w:pPr>
      <w:r w:rsidRPr="000823AF">
        <w:rPr>
          <w:sz w:val="24"/>
          <w:szCs w:val="24"/>
        </w:rPr>
        <w:t>Účtovné metódy a všeobecné účtovné zásady boli účtovnou jednotkou konzistentne aplikované</w:t>
      </w:r>
      <w:r>
        <w:rPr>
          <w:sz w:val="24"/>
          <w:szCs w:val="24"/>
        </w:rPr>
        <w:t>.</w:t>
      </w:r>
    </w:p>
    <w:p w:rsidR="0080706F" w:rsidRPr="000823AF" w:rsidRDefault="0080706F" w:rsidP="0080706F">
      <w:pPr>
        <w:pStyle w:val="Zkladntext"/>
        <w:ind w:left="0"/>
        <w:rPr>
          <w:sz w:val="24"/>
          <w:szCs w:val="24"/>
        </w:rPr>
      </w:pPr>
    </w:p>
    <w:p w:rsidR="0080706F" w:rsidRDefault="0080706F" w:rsidP="0080706F">
      <w:pPr>
        <w:pStyle w:val="Pismenka"/>
        <w:numPr>
          <w:ilvl w:val="0"/>
          <w:numId w:val="10"/>
        </w:numPr>
        <w:rPr>
          <w:sz w:val="24"/>
          <w:szCs w:val="24"/>
        </w:rPr>
      </w:pPr>
      <w:r w:rsidRPr="000823AF">
        <w:rPr>
          <w:sz w:val="24"/>
          <w:szCs w:val="24"/>
        </w:rPr>
        <w:t>Informácie o charaktere a účele transakcií, ktoré sa neuvádzajú v</w:t>
      </w:r>
      <w:r>
        <w:rPr>
          <w:sz w:val="24"/>
          <w:szCs w:val="24"/>
        </w:rPr>
        <w:t> </w:t>
      </w:r>
      <w:r w:rsidRPr="000823AF">
        <w:rPr>
          <w:sz w:val="24"/>
          <w:szCs w:val="24"/>
        </w:rPr>
        <w:t>súvahe</w:t>
      </w:r>
    </w:p>
    <w:p w:rsidR="0080706F" w:rsidRDefault="0080706F" w:rsidP="0080706F">
      <w:pPr>
        <w:pStyle w:val="Pismenka"/>
        <w:tabs>
          <w:tab w:val="clear" w:pos="360"/>
        </w:tabs>
        <w:ind w:left="720" w:firstLine="0"/>
        <w:rPr>
          <w:sz w:val="24"/>
          <w:szCs w:val="24"/>
        </w:rPr>
      </w:pPr>
    </w:p>
    <w:p w:rsidR="0080706F" w:rsidRPr="002F038A" w:rsidRDefault="0080706F" w:rsidP="0080706F">
      <w:pPr>
        <w:pStyle w:val="Pismenka"/>
        <w:tabs>
          <w:tab w:val="clear" w:pos="360"/>
        </w:tabs>
        <w:rPr>
          <w:b w:val="0"/>
          <w:sz w:val="24"/>
          <w:szCs w:val="24"/>
        </w:rPr>
      </w:pPr>
      <w:r>
        <w:rPr>
          <w:b w:val="0"/>
          <w:sz w:val="24"/>
          <w:szCs w:val="24"/>
        </w:rPr>
        <w:t xml:space="preserve">      Spoločnosť </w:t>
      </w:r>
      <w:r w:rsidR="00B733CD">
        <w:rPr>
          <w:b w:val="0"/>
          <w:sz w:val="24"/>
          <w:szCs w:val="24"/>
        </w:rPr>
        <w:t>má uzatvorené</w:t>
      </w:r>
      <w:r>
        <w:rPr>
          <w:b w:val="0"/>
          <w:sz w:val="24"/>
          <w:szCs w:val="24"/>
        </w:rPr>
        <w:t xml:space="preserve"> s leasingovými spoločnosťami zmluvy o prenájme s právom kúpy prenajatej veci na </w:t>
      </w:r>
      <w:r w:rsidR="00917B23">
        <w:rPr>
          <w:b w:val="0"/>
          <w:sz w:val="24"/>
          <w:szCs w:val="24"/>
        </w:rPr>
        <w:t>14</w:t>
      </w:r>
      <w:r w:rsidR="00B733CD">
        <w:rPr>
          <w:b w:val="0"/>
          <w:sz w:val="24"/>
          <w:szCs w:val="24"/>
        </w:rPr>
        <w:t xml:space="preserve"> </w:t>
      </w:r>
      <w:r>
        <w:rPr>
          <w:b w:val="0"/>
          <w:sz w:val="24"/>
          <w:szCs w:val="24"/>
        </w:rPr>
        <w:t>vozid</w:t>
      </w:r>
      <w:r w:rsidR="00917B23">
        <w:rPr>
          <w:b w:val="0"/>
          <w:sz w:val="24"/>
          <w:szCs w:val="24"/>
        </w:rPr>
        <w:t>iel</w:t>
      </w:r>
      <w:r>
        <w:rPr>
          <w:b w:val="0"/>
          <w:sz w:val="24"/>
          <w:szCs w:val="24"/>
        </w:rPr>
        <w:t xml:space="preserve"> s dobou prenájmu 4 roky. Obstarávacia cena tohto majetku je </w:t>
      </w:r>
      <w:r w:rsidR="00917B23">
        <w:rPr>
          <w:b w:val="0"/>
          <w:sz w:val="24"/>
          <w:szCs w:val="24"/>
        </w:rPr>
        <w:t>374 238,-</w:t>
      </w:r>
      <w:r w:rsidR="00B733CD">
        <w:rPr>
          <w:b w:val="0"/>
          <w:sz w:val="24"/>
          <w:szCs w:val="24"/>
        </w:rPr>
        <w:t xml:space="preserve"> </w:t>
      </w:r>
      <w:r>
        <w:rPr>
          <w:b w:val="0"/>
          <w:sz w:val="24"/>
          <w:szCs w:val="24"/>
        </w:rPr>
        <w:t>EUR, nesplatená časť záväzkov z</w:t>
      </w:r>
      <w:r w:rsidR="00917B23">
        <w:rPr>
          <w:b w:val="0"/>
          <w:sz w:val="24"/>
          <w:szCs w:val="24"/>
        </w:rPr>
        <w:t> </w:t>
      </w:r>
      <w:r>
        <w:rPr>
          <w:b w:val="0"/>
          <w:sz w:val="24"/>
          <w:szCs w:val="24"/>
        </w:rPr>
        <w:t>leasingových</w:t>
      </w:r>
      <w:r w:rsidR="00917B23">
        <w:rPr>
          <w:b w:val="0"/>
          <w:sz w:val="24"/>
          <w:szCs w:val="24"/>
        </w:rPr>
        <w:t xml:space="preserve"> a úverových</w:t>
      </w:r>
      <w:r>
        <w:rPr>
          <w:b w:val="0"/>
          <w:sz w:val="24"/>
          <w:szCs w:val="24"/>
        </w:rPr>
        <w:t xml:space="preserve"> zmlúv je </w:t>
      </w:r>
      <w:r w:rsidR="00B733CD">
        <w:rPr>
          <w:b w:val="0"/>
          <w:sz w:val="24"/>
          <w:szCs w:val="24"/>
        </w:rPr>
        <w:t xml:space="preserve"> </w:t>
      </w:r>
      <w:r w:rsidR="00917B23">
        <w:rPr>
          <w:b w:val="0"/>
          <w:sz w:val="24"/>
          <w:szCs w:val="24"/>
        </w:rPr>
        <w:t xml:space="preserve">221 056,- </w:t>
      </w:r>
      <w:r>
        <w:rPr>
          <w:b w:val="0"/>
          <w:sz w:val="24"/>
          <w:szCs w:val="24"/>
        </w:rPr>
        <w:t>EUR.</w:t>
      </w:r>
    </w:p>
    <w:p w:rsidR="0080706F" w:rsidRPr="003873A6" w:rsidRDefault="0080706F" w:rsidP="0080706F">
      <w:pPr>
        <w:pStyle w:val="Pismenka"/>
        <w:tabs>
          <w:tab w:val="clear" w:pos="360"/>
        </w:tabs>
        <w:ind w:left="426" w:firstLine="0"/>
        <w:rPr>
          <w:b w:val="0"/>
          <w:sz w:val="24"/>
          <w:szCs w:val="24"/>
        </w:rPr>
      </w:pPr>
    </w:p>
    <w:p w:rsidR="0080706F" w:rsidRPr="000823AF" w:rsidRDefault="0080706F" w:rsidP="0080706F">
      <w:pPr>
        <w:pStyle w:val="Pismenka"/>
        <w:numPr>
          <w:ilvl w:val="0"/>
          <w:numId w:val="10"/>
        </w:numPr>
        <w:rPr>
          <w:sz w:val="24"/>
          <w:szCs w:val="24"/>
        </w:rPr>
      </w:pPr>
      <w:r w:rsidRPr="000823AF">
        <w:rPr>
          <w:sz w:val="24"/>
          <w:szCs w:val="24"/>
        </w:rPr>
        <w:t>Použitie odhadov a úsudkov</w:t>
      </w:r>
    </w:p>
    <w:p w:rsidR="0080706F" w:rsidRPr="000823AF" w:rsidRDefault="0080706F" w:rsidP="0080706F">
      <w:pPr>
        <w:pStyle w:val="Zkladntext"/>
        <w:ind w:left="450"/>
        <w:rPr>
          <w:sz w:val="24"/>
          <w:szCs w:val="24"/>
        </w:rPr>
      </w:pPr>
      <w:r w:rsidRPr="000823AF">
        <w:rPr>
          <w:sz w:val="24"/>
          <w:szCs w:val="24"/>
        </w:rPr>
        <w:t>Zostavenie účtovnej závierky si vyžaduje, aby manažment Spoločnosti urobil úsudky, odhady a predpoklady, ktoré ovplyvňujú aplikáciu účtovných metód a účtovných zásad a hodnotu vykazovaného majetku, záväzkov, výnosov a nákladov. Odhady a súvisiace predpoklady sú založené na minulých skúsenostiach a iných rozličných faktoroch, považovaných za primerané okolnostiam, na základe ktorých sa formuje východisko pre posúdenie účtovných hodnôt majetku a záväzkov, ktoré nie sú zrejmé z iných zdrojov. Skutočné výsledky sa preto môžu líšiť od odhadov.</w:t>
      </w:r>
    </w:p>
    <w:p w:rsidR="0080706F" w:rsidRPr="000823AF" w:rsidRDefault="0080706F" w:rsidP="0080706F">
      <w:pPr>
        <w:pStyle w:val="Zkladntext"/>
        <w:ind w:left="450"/>
        <w:rPr>
          <w:sz w:val="24"/>
          <w:szCs w:val="24"/>
        </w:rPr>
      </w:pPr>
    </w:p>
    <w:p w:rsidR="0080706F" w:rsidRDefault="0080706F" w:rsidP="0080706F">
      <w:pPr>
        <w:pStyle w:val="Zkladntext"/>
        <w:ind w:left="450"/>
        <w:rPr>
          <w:sz w:val="24"/>
          <w:szCs w:val="24"/>
        </w:rPr>
      </w:pPr>
      <w:r w:rsidRPr="000823AF">
        <w:rPr>
          <w:sz w:val="24"/>
          <w:szCs w:val="24"/>
        </w:rPr>
        <w:t xml:space="preserve">Odhady a súvisiace predpoklady sú neustále prehodnocované. Korekcie účtovných odhadov nie sú vykázané retrospektívne, ale sú vykázané  v období, v ktorom je odhad korigovaný, ak korekcia ovplyvňuje iba toto obdobie, alebo v období korekcie a v budúcich obdobiach, ak korekcia ovplyvňuje toto aj budúce obdobia. </w:t>
      </w:r>
    </w:p>
    <w:p w:rsidR="0080706F" w:rsidRPr="00CB58F3" w:rsidRDefault="0080706F" w:rsidP="0080706F">
      <w:pPr>
        <w:pStyle w:val="Zkladntext"/>
        <w:ind w:left="450"/>
        <w:rPr>
          <w:sz w:val="24"/>
          <w:szCs w:val="24"/>
        </w:rPr>
      </w:pPr>
    </w:p>
    <w:p w:rsidR="0080706F" w:rsidRPr="00583E8C" w:rsidRDefault="0080706F" w:rsidP="0080706F">
      <w:r>
        <w:rPr>
          <w:b/>
          <w:i/>
        </w:rPr>
        <w:t xml:space="preserve">       </w:t>
      </w:r>
      <w:r w:rsidRPr="000823AF">
        <w:rPr>
          <w:b/>
          <w:i/>
        </w:rPr>
        <w:t>Úsudky</w:t>
      </w:r>
    </w:p>
    <w:p w:rsidR="0080706F" w:rsidRPr="000823AF" w:rsidRDefault="0080706F" w:rsidP="0080706F">
      <w:pPr>
        <w:ind w:left="426"/>
      </w:pPr>
      <w:r>
        <w:t>Spoločnosť nemá náplň.</w:t>
      </w:r>
    </w:p>
    <w:p w:rsidR="0080706F" w:rsidRPr="000823AF" w:rsidRDefault="0080706F" w:rsidP="0080706F">
      <w:pPr>
        <w:pStyle w:val="Zkladntext"/>
        <w:ind w:left="450"/>
        <w:rPr>
          <w:sz w:val="24"/>
          <w:szCs w:val="24"/>
        </w:rPr>
      </w:pPr>
    </w:p>
    <w:p w:rsidR="0080706F" w:rsidRPr="000823AF" w:rsidRDefault="0080706F" w:rsidP="0080706F">
      <w:pPr>
        <w:pStyle w:val="Zkladntext"/>
        <w:rPr>
          <w:b/>
          <w:i/>
          <w:sz w:val="24"/>
          <w:szCs w:val="24"/>
        </w:rPr>
      </w:pPr>
      <w:r w:rsidRPr="000823AF">
        <w:rPr>
          <w:b/>
          <w:i/>
          <w:sz w:val="24"/>
          <w:szCs w:val="24"/>
        </w:rPr>
        <w:t>Neistoty v odhadoch a predpokladoch</w:t>
      </w:r>
    </w:p>
    <w:p w:rsidR="0080706F" w:rsidRDefault="0080706F" w:rsidP="0080706F">
      <w:pPr>
        <w:pStyle w:val="AccountingPolicy"/>
        <w:spacing w:line="240" w:lineRule="auto"/>
        <w:ind w:left="426"/>
        <w:jc w:val="both"/>
        <w:rPr>
          <w:rFonts w:ascii="Times New Roman" w:hAnsi="Times New Roman" w:cs="Times New Roman"/>
          <w:color w:val="auto"/>
          <w:sz w:val="24"/>
          <w:szCs w:val="24"/>
          <w:lang w:val="sk-SK" w:eastAsia="en-US"/>
        </w:rPr>
      </w:pPr>
      <w:r w:rsidRPr="000823AF">
        <w:rPr>
          <w:rFonts w:ascii="Times New Roman" w:hAnsi="Times New Roman" w:cs="Times New Roman"/>
          <w:color w:val="auto"/>
          <w:sz w:val="24"/>
          <w:szCs w:val="24"/>
          <w:lang w:val="sk-SK" w:eastAsia="en-US"/>
        </w:rPr>
        <w:t>Informácie o tých  neistotách v predpokladoch a odhadoch, pri ktorých existuje signifikantné riziko, že by mohli viesť k významnej úprave v nasledujúcom účtovnom období sú bližšie opísané v nasledujúcich bodoch poznámok:</w:t>
      </w:r>
    </w:p>
    <w:p w:rsidR="0080706F" w:rsidRDefault="0080706F" w:rsidP="0080706F">
      <w:pPr>
        <w:pStyle w:val="AccountingPolicy"/>
        <w:spacing w:line="240" w:lineRule="auto"/>
        <w:ind w:left="426"/>
        <w:jc w:val="both"/>
        <w:rPr>
          <w:rFonts w:ascii="Times New Roman" w:hAnsi="Times New Roman" w:cs="Times New Roman"/>
          <w:color w:val="auto"/>
          <w:sz w:val="24"/>
          <w:szCs w:val="24"/>
          <w:lang w:val="sk-SK" w:eastAsia="en-US"/>
        </w:rPr>
      </w:pPr>
    </w:p>
    <w:p w:rsidR="0080706F" w:rsidRPr="002D3F66" w:rsidRDefault="0080706F" w:rsidP="0080706F">
      <w:pPr>
        <w:pStyle w:val="Zoznamsodrkami"/>
        <w:numPr>
          <w:ilvl w:val="0"/>
          <w:numId w:val="7"/>
        </w:numPr>
        <w:tabs>
          <w:tab w:val="num" w:pos="993"/>
        </w:tabs>
        <w:ind w:left="851" w:hanging="425"/>
        <w:rPr>
          <w:sz w:val="24"/>
          <w:szCs w:val="24"/>
          <w:lang w:val="sk-SK"/>
        </w:rPr>
      </w:pPr>
      <w:r w:rsidRPr="002D3F66">
        <w:rPr>
          <w:sz w:val="24"/>
          <w:szCs w:val="24"/>
          <w:lang w:val="sk-SK"/>
        </w:rPr>
        <w:t>bod 4) - dlhodobý nehmotný majetok a dlhodobý hmotný majetok – určenie predpokladanej doby používania a predpokladaného priebehu opotrebenia</w:t>
      </w:r>
    </w:p>
    <w:p w:rsidR="0080706F" w:rsidRPr="002D3F66" w:rsidRDefault="0080706F" w:rsidP="0080706F">
      <w:pPr>
        <w:pStyle w:val="Zoznamsodrkami"/>
        <w:numPr>
          <w:ilvl w:val="0"/>
          <w:numId w:val="7"/>
        </w:numPr>
        <w:tabs>
          <w:tab w:val="num" w:pos="993"/>
        </w:tabs>
        <w:ind w:left="851" w:hanging="425"/>
        <w:rPr>
          <w:sz w:val="24"/>
          <w:szCs w:val="24"/>
          <w:lang w:val="sk-SK"/>
        </w:rPr>
      </w:pPr>
      <w:r w:rsidRPr="002D3F66">
        <w:rPr>
          <w:sz w:val="24"/>
          <w:szCs w:val="24"/>
          <w:lang w:val="sk-SK"/>
        </w:rPr>
        <w:t>bod 15) – test na zníženie hodnoty dlhodobého nehmotného, hmotného, finančného majetku – kľúčové predpoklady týkajúce sa odhadu zníženia budúcich ekonomických úžitkov</w:t>
      </w:r>
    </w:p>
    <w:p w:rsidR="0080706F" w:rsidRPr="002D3F66" w:rsidRDefault="0080706F" w:rsidP="0080706F">
      <w:pPr>
        <w:pStyle w:val="Zoznamsodrkami"/>
        <w:numPr>
          <w:ilvl w:val="0"/>
          <w:numId w:val="7"/>
        </w:numPr>
        <w:tabs>
          <w:tab w:val="num" w:pos="993"/>
        </w:tabs>
        <w:ind w:left="851" w:hanging="425"/>
        <w:rPr>
          <w:sz w:val="24"/>
          <w:szCs w:val="24"/>
          <w:lang w:val="sk-SK"/>
        </w:rPr>
      </w:pPr>
      <w:r w:rsidRPr="002D3F66">
        <w:rPr>
          <w:sz w:val="24"/>
          <w:szCs w:val="24"/>
          <w:lang w:val="sk-SK"/>
        </w:rPr>
        <w:t>bod 15) – opravné položky k majetku (dlhodobý majetok, zásoby, pohľadávky) – kľúčové predpoklady týkajúce sa odhadu zníženia budúcich ekonomických úžitkov</w:t>
      </w:r>
    </w:p>
    <w:p w:rsidR="0080706F" w:rsidRPr="002D3F66" w:rsidRDefault="0080706F" w:rsidP="0080706F">
      <w:pPr>
        <w:pStyle w:val="Zoznamsodrkami"/>
        <w:numPr>
          <w:ilvl w:val="0"/>
          <w:numId w:val="7"/>
        </w:numPr>
        <w:tabs>
          <w:tab w:val="num" w:pos="993"/>
        </w:tabs>
        <w:ind w:left="851" w:hanging="425"/>
        <w:rPr>
          <w:sz w:val="24"/>
          <w:szCs w:val="24"/>
          <w:lang w:val="sk-SK"/>
        </w:rPr>
      </w:pPr>
      <w:r w:rsidRPr="002D3F66">
        <w:rPr>
          <w:sz w:val="24"/>
          <w:szCs w:val="24"/>
          <w:lang w:val="sk-SK"/>
        </w:rPr>
        <w:t>bod 18) – rezerva na zamestnanecké požitky – kľúčové aktuárske predpoklady</w:t>
      </w:r>
    </w:p>
    <w:p w:rsidR="0080706F" w:rsidRPr="002D3F66" w:rsidRDefault="0080706F" w:rsidP="0080706F">
      <w:pPr>
        <w:pStyle w:val="Zoznamsodrkami"/>
        <w:numPr>
          <w:ilvl w:val="0"/>
          <w:numId w:val="7"/>
        </w:numPr>
        <w:tabs>
          <w:tab w:val="num" w:pos="993"/>
        </w:tabs>
        <w:ind w:left="851" w:hanging="425"/>
        <w:rPr>
          <w:sz w:val="24"/>
          <w:szCs w:val="24"/>
          <w:lang w:val="sk-SK"/>
        </w:rPr>
      </w:pPr>
      <w:r w:rsidRPr="002D3F66">
        <w:rPr>
          <w:sz w:val="24"/>
          <w:szCs w:val="24"/>
          <w:lang w:val="sk-SK"/>
        </w:rPr>
        <w:t>bod 21) – štátne dotácie – vykázanie dotácií vzhľadom na splnenie podmienok súvisiacich s dotáciou a na poskytnutie dotácie</w:t>
      </w:r>
    </w:p>
    <w:p w:rsidR="0080706F" w:rsidRPr="002D3F66" w:rsidRDefault="0080706F" w:rsidP="0080706F">
      <w:pPr>
        <w:pStyle w:val="Zoznamsodrkami"/>
        <w:numPr>
          <w:ilvl w:val="0"/>
          <w:numId w:val="0"/>
        </w:numPr>
        <w:rPr>
          <w:sz w:val="24"/>
          <w:szCs w:val="24"/>
        </w:rPr>
      </w:pPr>
    </w:p>
    <w:p w:rsidR="0080706F" w:rsidRPr="000823AF" w:rsidRDefault="0080706F" w:rsidP="0080706F">
      <w:pPr>
        <w:pStyle w:val="Pismenka"/>
        <w:numPr>
          <w:ilvl w:val="0"/>
          <w:numId w:val="10"/>
        </w:numPr>
        <w:rPr>
          <w:sz w:val="24"/>
          <w:szCs w:val="24"/>
        </w:rPr>
      </w:pPr>
      <w:r w:rsidRPr="000823AF">
        <w:rPr>
          <w:sz w:val="24"/>
          <w:szCs w:val="24"/>
        </w:rPr>
        <w:t>Dlhodobý nehmotný majetok a dlhodobý hmotný majetok</w:t>
      </w:r>
    </w:p>
    <w:p w:rsidR="0080706F" w:rsidRPr="000823AF" w:rsidRDefault="0080706F" w:rsidP="0080706F">
      <w:pPr>
        <w:pStyle w:val="Zkladntext"/>
        <w:rPr>
          <w:sz w:val="24"/>
          <w:szCs w:val="24"/>
        </w:rPr>
      </w:pPr>
      <w:r w:rsidRPr="000823AF">
        <w:rPr>
          <w:sz w:val="24"/>
          <w:szCs w:val="24"/>
        </w:rPr>
        <w:t xml:space="preserve">Dlhodobý majetok nakupovaný sa oceňuje obstarávacou cenou, ktorá zahŕňa cenu obstarania a náklady súvisiace s obstaraním (clo, prepravu, montáž, poistné a pod.), zníženú o dobropisy, skontá, rabaty, zľavy z ceny, bonusy a pod. </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t xml:space="preserve">Súčasťou obstarávacej ceny dlhodobého majetku </w:t>
      </w:r>
      <w:r w:rsidRPr="00CB58F3">
        <w:rPr>
          <w:sz w:val="24"/>
          <w:szCs w:val="24"/>
          <w:u w:val="single"/>
        </w:rPr>
        <w:t>nie sú</w:t>
      </w:r>
      <w:r w:rsidRPr="000823AF">
        <w:rPr>
          <w:color w:val="0070C0"/>
          <w:sz w:val="24"/>
          <w:szCs w:val="24"/>
        </w:rPr>
        <w:t xml:space="preserve"> </w:t>
      </w:r>
      <w:r w:rsidRPr="000823AF">
        <w:rPr>
          <w:sz w:val="24"/>
          <w:szCs w:val="24"/>
        </w:rPr>
        <w:t xml:space="preserve">úroky z úverov, ktoré vznikli do momentu uvedenia dlhodobého majetku do používania. </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t>Dlhodobý majetok vytvorený vlastnou činnosťou sa oceňuje vlastnými nákladmi. Vlastnými nákladmi sú všetky priame náklady vynaložené na výrobu alebo inú činnosť a nepriame náklady, ktoré sa vzťahujú na výrobu alebo inú činnosť.</w:t>
      </w:r>
    </w:p>
    <w:p w:rsidR="0080706F" w:rsidRPr="000823AF" w:rsidRDefault="0080706F" w:rsidP="0080706F">
      <w:pPr>
        <w:pStyle w:val="Zkladntext"/>
        <w:rPr>
          <w:sz w:val="24"/>
          <w:szCs w:val="24"/>
        </w:rPr>
      </w:pPr>
      <w:r w:rsidRPr="000823AF">
        <w:rPr>
          <w:sz w:val="24"/>
          <w:szCs w:val="24"/>
        </w:rPr>
        <w:tab/>
      </w:r>
    </w:p>
    <w:p w:rsidR="0080706F" w:rsidRPr="000823AF" w:rsidRDefault="0080706F" w:rsidP="0080706F">
      <w:pPr>
        <w:pStyle w:val="Zkladntext"/>
        <w:rPr>
          <w:sz w:val="24"/>
          <w:szCs w:val="24"/>
        </w:rPr>
      </w:pPr>
      <w:r w:rsidRPr="000823AF">
        <w:rPr>
          <w:sz w:val="24"/>
          <w:szCs w:val="24"/>
        </w:rPr>
        <w:t>Náklady na výskum sa neaktivujú a účtujú sa do nákladov v účtovných obdobiach, v ktorých vznikli. Dlhodobý nehmotný majetok vytvorený vývojom alebo v priebehu jeho vývoja sa aktivuje, ak je možné preukázať:</w:t>
      </w:r>
    </w:p>
    <w:p w:rsidR="0080706F" w:rsidRPr="000823AF" w:rsidRDefault="0080706F" w:rsidP="0080706F">
      <w:pPr>
        <w:pStyle w:val="Zkladntext"/>
        <w:rPr>
          <w:sz w:val="24"/>
          <w:szCs w:val="24"/>
        </w:rPr>
      </w:pPr>
    </w:p>
    <w:p w:rsidR="0080706F" w:rsidRPr="000823AF" w:rsidRDefault="0080706F" w:rsidP="0080706F">
      <w:pPr>
        <w:pStyle w:val="Zkladntext"/>
        <w:numPr>
          <w:ilvl w:val="0"/>
          <w:numId w:val="16"/>
        </w:numPr>
        <w:rPr>
          <w:sz w:val="24"/>
          <w:szCs w:val="24"/>
        </w:rPr>
      </w:pPr>
      <w:r w:rsidRPr="000823AF">
        <w:rPr>
          <w:sz w:val="24"/>
          <w:szCs w:val="24"/>
        </w:rPr>
        <w:t>možnosť jeho technického dokončenia tak, že ho bude možné použiť alebo predať,</w:t>
      </w:r>
    </w:p>
    <w:p w:rsidR="0080706F" w:rsidRPr="000823AF" w:rsidRDefault="0080706F" w:rsidP="0080706F">
      <w:pPr>
        <w:pStyle w:val="Zkladntext"/>
        <w:numPr>
          <w:ilvl w:val="0"/>
          <w:numId w:val="16"/>
        </w:numPr>
        <w:rPr>
          <w:sz w:val="24"/>
          <w:szCs w:val="24"/>
        </w:rPr>
      </w:pPr>
      <w:r w:rsidRPr="000823AF">
        <w:rPr>
          <w:sz w:val="24"/>
          <w:szCs w:val="24"/>
        </w:rPr>
        <w:t>zámer jeho dokončenia, používania alebo predaja,</w:t>
      </w:r>
    </w:p>
    <w:p w:rsidR="0080706F" w:rsidRPr="000823AF" w:rsidRDefault="0080706F" w:rsidP="0080706F">
      <w:pPr>
        <w:pStyle w:val="Zkladntext"/>
        <w:numPr>
          <w:ilvl w:val="0"/>
          <w:numId w:val="16"/>
        </w:numPr>
        <w:rPr>
          <w:sz w:val="24"/>
          <w:szCs w:val="24"/>
        </w:rPr>
      </w:pPr>
      <w:r w:rsidRPr="000823AF">
        <w:rPr>
          <w:sz w:val="24"/>
          <w:szCs w:val="24"/>
        </w:rPr>
        <w:t>schopnosť účtovnej jednotky jeho používania a predaja,</w:t>
      </w:r>
    </w:p>
    <w:p w:rsidR="0080706F" w:rsidRPr="000823AF" w:rsidRDefault="0080706F" w:rsidP="0080706F">
      <w:pPr>
        <w:pStyle w:val="Zkladntext"/>
        <w:numPr>
          <w:ilvl w:val="0"/>
          <w:numId w:val="16"/>
        </w:numPr>
        <w:rPr>
          <w:sz w:val="24"/>
          <w:szCs w:val="24"/>
        </w:rPr>
      </w:pPr>
      <w:r w:rsidRPr="000823AF">
        <w:rPr>
          <w:sz w:val="24"/>
          <w:szCs w:val="24"/>
        </w:rPr>
        <w:t>spôsob vytvárania budúcich ekonomických úžitkov a existenciu trhu pre výstupy dlhodobého nehmotného majetku alebo pre dlhodobý nehmotný majetok sám o sebe, alebo, ak bude používaný vo vnútri účtovnej jednotky jeho použiteľnosť,</w:t>
      </w:r>
    </w:p>
    <w:p w:rsidR="0080706F" w:rsidRPr="000823AF" w:rsidRDefault="0080706F" w:rsidP="0080706F">
      <w:pPr>
        <w:pStyle w:val="Zkladntext"/>
        <w:numPr>
          <w:ilvl w:val="0"/>
          <w:numId w:val="16"/>
        </w:numPr>
        <w:rPr>
          <w:sz w:val="24"/>
          <w:szCs w:val="24"/>
        </w:rPr>
      </w:pPr>
      <w:r w:rsidRPr="000823AF">
        <w:rPr>
          <w:sz w:val="24"/>
          <w:szCs w:val="24"/>
        </w:rPr>
        <w:t>dostupnosť zodpovedajúcich technických zdrojov, finančných zdrojov a ostatných zdrojov pre dokončenie jeho vývoja, použitie alebo predaj,</w:t>
      </w:r>
    </w:p>
    <w:p w:rsidR="0080706F" w:rsidRPr="000823AF" w:rsidRDefault="0080706F" w:rsidP="0080706F">
      <w:pPr>
        <w:pStyle w:val="Zkladntext"/>
        <w:numPr>
          <w:ilvl w:val="0"/>
          <w:numId w:val="16"/>
        </w:numPr>
        <w:rPr>
          <w:sz w:val="24"/>
          <w:szCs w:val="24"/>
        </w:rPr>
      </w:pPr>
      <w:r w:rsidRPr="000823AF">
        <w:rPr>
          <w:sz w:val="24"/>
          <w:szCs w:val="24"/>
        </w:rPr>
        <w:t xml:space="preserve">spoľahlivé ocenenie nákladov súvisiacich s jeho obstaraním v priebehu vývoja. </w:t>
      </w:r>
    </w:p>
    <w:p w:rsidR="0080706F" w:rsidRPr="000823AF" w:rsidRDefault="0080706F" w:rsidP="0080706F">
      <w:pPr>
        <w:pStyle w:val="Zkladntext"/>
        <w:ind w:left="0"/>
        <w:rPr>
          <w:sz w:val="24"/>
          <w:szCs w:val="24"/>
        </w:rPr>
      </w:pPr>
    </w:p>
    <w:p w:rsidR="0080706F" w:rsidRPr="000823AF" w:rsidRDefault="0080706F" w:rsidP="0080706F">
      <w:pPr>
        <w:pStyle w:val="Zkladntext"/>
        <w:rPr>
          <w:sz w:val="24"/>
          <w:szCs w:val="24"/>
        </w:rPr>
      </w:pPr>
      <w:r w:rsidRPr="000823AF">
        <w:rPr>
          <w:sz w:val="24"/>
          <w:szCs w:val="24"/>
        </w:rPr>
        <w:t xml:space="preserve">Náklady na vývoj sa aktivujú, ak ich suma neprevýši sumu, u ktorej je pravdepodobné, že sa získa z budúcich ekonomických úžitkov po odpočítaní ďalších nákladov vývoja, predaja a administratívnych nákladov, ktoré sa týkajú priamo marketingu alebo procesov. Aktivované náklady na vývoj sa odpisujú maximálne počas piatich rokov. Ak sa nepreukáže možnosť aktivovania nákladov na vývoj, účtujú sa do nákladov v účtovnom období, v ktorom vznikli. </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t xml:space="preserve">Odpisy dlhodobého nehmotného majetku sú stanovené vychádzajúc z predpokladanej doby jeho používania a predpokladaného priebehu jeho opotrebenia. </w:t>
      </w:r>
    </w:p>
    <w:p w:rsidR="0080706F" w:rsidRPr="000823AF" w:rsidRDefault="0080706F" w:rsidP="0080706F">
      <w:pPr>
        <w:pStyle w:val="Zkladntext"/>
        <w:rPr>
          <w:sz w:val="24"/>
          <w:szCs w:val="24"/>
        </w:rPr>
      </w:pPr>
    </w:p>
    <w:p w:rsidR="0080706F" w:rsidRPr="001463C8" w:rsidRDefault="0080706F" w:rsidP="0080706F">
      <w:pPr>
        <w:pStyle w:val="Zkladntext"/>
        <w:rPr>
          <w:sz w:val="24"/>
          <w:szCs w:val="24"/>
        </w:rPr>
      </w:pPr>
      <w:r w:rsidRPr="001463C8">
        <w:rPr>
          <w:sz w:val="24"/>
          <w:szCs w:val="24"/>
        </w:rPr>
        <w:t>Odpisovať sa začína prvým dňom mesiaca, v ktorom sa dlhodobý majetok uviedol do používania. Drobný dlhodobý nehmotný majetok, ktorého obstarávacia cena (resp. vlastné náklady) je 2 400 EUR a nižšia, sa odpisuje jednorazovo pri uvedení do používania.</w:t>
      </w:r>
    </w:p>
    <w:p w:rsidR="0080706F" w:rsidRDefault="0080706F" w:rsidP="0080706F">
      <w:pPr>
        <w:pStyle w:val="Zkladntext"/>
        <w:ind w:left="0"/>
        <w:rPr>
          <w:sz w:val="24"/>
          <w:szCs w:val="24"/>
        </w:rPr>
      </w:pPr>
    </w:p>
    <w:p w:rsidR="0080706F" w:rsidRPr="000823AF" w:rsidRDefault="0080706F" w:rsidP="0080706F">
      <w:pPr>
        <w:pStyle w:val="Zkladntext"/>
        <w:rPr>
          <w:sz w:val="24"/>
          <w:szCs w:val="24"/>
        </w:rPr>
      </w:pPr>
      <w:r w:rsidRPr="000823AF">
        <w:rPr>
          <w:sz w:val="24"/>
          <w:szCs w:val="24"/>
        </w:rPr>
        <w:t xml:space="preserve">Predpokladaná doba používania, metóda odpisovania a odpisová sadzba </w:t>
      </w:r>
      <w:r>
        <w:rPr>
          <w:sz w:val="24"/>
          <w:szCs w:val="24"/>
        </w:rPr>
        <w:t xml:space="preserve">nehmotného majetku </w:t>
      </w:r>
      <w:r w:rsidRPr="000823AF">
        <w:rPr>
          <w:sz w:val="24"/>
          <w:szCs w:val="24"/>
        </w:rPr>
        <w:t>sú uvedené v nasledujúcej tabuľke:</w:t>
      </w:r>
    </w:p>
    <w:p w:rsidR="0080706F" w:rsidRPr="000823AF" w:rsidRDefault="0080706F" w:rsidP="0080706F">
      <w:pPr>
        <w:pStyle w:val="Zkladntext"/>
        <w:rPr>
          <w:sz w:val="24"/>
          <w:szCs w:val="24"/>
        </w:rPr>
      </w:pPr>
    </w:p>
    <w:bookmarkStart w:id="5" w:name="_MON_1508924653"/>
    <w:bookmarkEnd w:id="5"/>
    <w:p w:rsidR="0080706F" w:rsidRPr="000823AF" w:rsidRDefault="0080706F" w:rsidP="0080706F">
      <w:pPr>
        <w:pStyle w:val="Zkladntext"/>
        <w:rPr>
          <w:sz w:val="24"/>
          <w:szCs w:val="24"/>
        </w:rPr>
      </w:pPr>
      <w:r w:rsidRPr="000823AF">
        <w:rPr>
          <w:sz w:val="24"/>
          <w:szCs w:val="24"/>
        </w:rPr>
        <w:object w:dxaOrig="8912" w:dyaOrig="22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7pt;height:110.4pt" o:ole="">
            <v:imagedata r:id="rId9" o:title=""/>
          </v:shape>
          <o:OLEObject Type="Embed" ProgID="Excel.Sheet.12" ShapeID="_x0000_i1025" DrawAspect="Content" ObjectID="_1655044874" r:id="rId10"/>
        </w:object>
      </w:r>
      <w:r w:rsidRPr="000823AF">
        <w:rPr>
          <w:sz w:val="24"/>
          <w:szCs w:val="24"/>
        </w:rPr>
        <w:t xml:space="preserve">Metódy odpisovania, doby použiteľnosti a zostatkové hodnoty sa prehodnocujú ku dňu, ku ktorému sa zostavuje účtovná závierka, a ak je to potrebné, urobia sa úpravy. </w:t>
      </w:r>
    </w:p>
    <w:p w:rsidR="0080706F" w:rsidRPr="000823AF" w:rsidRDefault="0080706F" w:rsidP="0080706F">
      <w:pPr>
        <w:pStyle w:val="Zkladntext"/>
        <w:rPr>
          <w:sz w:val="24"/>
          <w:szCs w:val="24"/>
        </w:rPr>
      </w:pPr>
    </w:p>
    <w:p w:rsidR="0080706F" w:rsidRDefault="0080706F" w:rsidP="0080706F">
      <w:pPr>
        <w:pStyle w:val="Zkladntext"/>
        <w:rPr>
          <w:sz w:val="24"/>
          <w:szCs w:val="24"/>
        </w:rPr>
      </w:pPr>
      <w:r w:rsidRPr="000823AF">
        <w:rPr>
          <w:sz w:val="24"/>
          <w:szCs w:val="24"/>
        </w:rPr>
        <w:lastRenderedPageBreak/>
        <w:t>Odpisy dlhodobého hmotného majetku sú stanovené vychádzajúc z predpokladanej doby jeho používania a predpokladaného priebehu jeho opotrebenia.</w:t>
      </w:r>
    </w:p>
    <w:p w:rsidR="0080706F" w:rsidRPr="00A246F0" w:rsidRDefault="0080706F" w:rsidP="0080706F">
      <w:pPr>
        <w:pStyle w:val="Zkladntext"/>
        <w:rPr>
          <w:sz w:val="24"/>
          <w:szCs w:val="24"/>
        </w:rPr>
      </w:pPr>
      <w:r w:rsidRPr="00A246F0">
        <w:rPr>
          <w:sz w:val="24"/>
          <w:szCs w:val="24"/>
        </w:rPr>
        <w:t>Odpisovať sa začína prvým dňom mesiaca, v ktorom sa dlhodobý majetok uviedol do používania. Drobný dlhodobý hmotný majetok, ktorého obstarávacia cena (resp. vlastné náklady) je 1 700 EUR a nižšia sa odpisuje jednorazovo pri uvedení do používania, pri vozidlách sa odpisuje postupne  počas predpokladanej doby používania</w:t>
      </w:r>
    </w:p>
    <w:p w:rsidR="0080706F" w:rsidRPr="000823AF" w:rsidRDefault="0080706F" w:rsidP="0080706F">
      <w:pPr>
        <w:pStyle w:val="Zkladntext"/>
        <w:rPr>
          <w:color w:val="00B0F0"/>
          <w:sz w:val="24"/>
          <w:szCs w:val="24"/>
        </w:rPr>
      </w:pPr>
    </w:p>
    <w:p w:rsidR="0080706F" w:rsidRPr="000823AF" w:rsidRDefault="0080706F" w:rsidP="0080706F">
      <w:pPr>
        <w:pStyle w:val="Zkladntext"/>
        <w:rPr>
          <w:sz w:val="24"/>
          <w:szCs w:val="24"/>
        </w:rPr>
      </w:pPr>
      <w:r w:rsidRPr="000823AF">
        <w:rPr>
          <w:sz w:val="24"/>
          <w:szCs w:val="24"/>
        </w:rPr>
        <w:t xml:space="preserve">Pozemky sa neodpisujú. </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t>Predpokladaná doba používania, metóda odpisovania a odpisová sadzba</w:t>
      </w:r>
      <w:r>
        <w:rPr>
          <w:sz w:val="24"/>
          <w:szCs w:val="24"/>
        </w:rPr>
        <w:t xml:space="preserve"> hmotného dlhodobého majetku</w:t>
      </w:r>
      <w:r w:rsidRPr="000823AF">
        <w:rPr>
          <w:sz w:val="24"/>
          <w:szCs w:val="24"/>
        </w:rPr>
        <w:t xml:space="preserve"> sú uvedené v nasledujúcej tabuľke:</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p>
    <w:bookmarkStart w:id="6" w:name="_MON_1500299770"/>
    <w:bookmarkEnd w:id="6"/>
    <w:p w:rsidR="0080706F" w:rsidRPr="000823AF" w:rsidRDefault="0080706F" w:rsidP="0080706F">
      <w:pPr>
        <w:pStyle w:val="Zkladntext"/>
        <w:rPr>
          <w:sz w:val="24"/>
          <w:szCs w:val="24"/>
        </w:rPr>
      </w:pPr>
      <w:r w:rsidRPr="000823AF">
        <w:rPr>
          <w:sz w:val="24"/>
          <w:szCs w:val="24"/>
        </w:rPr>
        <w:object w:dxaOrig="8264" w:dyaOrig="2691">
          <v:shape id="_x0000_i1026" type="#_x0000_t75" style="width:412.2pt;height:135pt" o:ole="">
            <v:imagedata r:id="rId11" o:title=""/>
          </v:shape>
          <o:OLEObject Type="Embed" ProgID="Excel.Sheet.12" ShapeID="_x0000_i1026" DrawAspect="Content" ObjectID="_1655044875" r:id="rId12"/>
        </w:object>
      </w:r>
    </w:p>
    <w:p w:rsidR="0080706F" w:rsidRPr="000823AF" w:rsidRDefault="0080706F" w:rsidP="0080706F">
      <w:pPr>
        <w:pStyle w:val="Zkladntext"/>
        <w:rPr>
          <w:sz w:val="24"/>
          <w:szCs w:val="24"/>
        </w:rPr>
      </w:pPr>
      <w:r w:rsidRPr="000823AF">
        <w:rPr>
          <w:sz w:val="24"/>
          <w:szCs w:val="24"/>
        </w:rPr>
        <w:t xml:space="preserve">Metódy odpisovania, doby použiteľnosti a zostatkové hodnoty sa prehodnocujú ku dňu, ku ktorému sa zostavuje účtovná závierka, a ak je to potrebné, urobia sa úpravy. </w:t>
      </w:r>
    </w:p>
    <w:p w:rsidR="0080706F" w:rsidRPr="000823AF" w:rsidRDefault="0080706F" w:rsidP="0080706F">
      <w:pPr>
        <w:pStyle w:val="Zkladntext"/>
        <w:rPr>
          <w:sz w:val="24"/>
          <w:szCs w:val="24"/>
        </w:rPr>
      </w:pPr>
    </w:p>
    <w:p w:rsidR="0080706F" w:rsidRPr="000823AF" w:rsidRDefault="0080706F" w:rsidP="0080706F">
      <w:pPr>
        <w:pStyle w:val="Zkladntext"/>
        <w:rPr>
          <w:i/>
          <w:sz w:val="24"/>
          <w:szCs w:val="24"/>
        </w:rPr>
      </w:pPr>
      <w:r w:rsidRPr="000823AF">
        <w:rPr>
          <w:b/>
          <w:i/>
          <w:sz w:val="24"/>
          <w:szCs w:val="24"/>
        </w:rPr>
        <w:t>Posúdenie zníženia hodnoty majetku</w:t>
      </w:r>
    </w:p>
    <w:p w:rsidR="0080706F" w:rsidRPr="000823AF" w:rsidRDefault="0080706F" w:rsidP="0080706F">
      <w:pPr>
        <w:pStyle w:val="Zkladntext"/>
        <w:rPr>
          <w:i/>
          <w:sz w:val="24"/>
          <w:szCs w:val="24"/>
        </w:rPr>
      </w:pPr>
    </w:p>
    <w:p w:rsidR="0080706F" w:rsidRPr="000823AF" w:rsidRDefault="0080706F" w:rsidP="0080706F">
      <w:pPr>
        <w:pStyle w:val="Zkladntext"/>
        <w:rPr>
          <w:i/>
          <w:sz w:val="24"/>
          <w:szCs w:val="24"/>
        </w:rPr>
      </w:pPr>
      <w:r w:rsidRPr="000823AF">
        <w:rPr>
          <w:sz w:val="24"/>
          <w:szCs w:val="24"/>
        </w:rPr>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rsidR="0080706F" w:rsidRPr="000823AF" w:rsidRDefault="0080706F" w:rsidP="0080706F">
      <w:pPr>
        <w:pStyle w:val="AccountingPolicy"/>
        <w:jc w:val="both"/>
        <w:rPr>
          <w:rFonts w:ascii="Times New Roman" w:hAnsi="Times New Roman" w:cs="Times New Roman"/>
          <w:sz w:val="24"/>
          <w:szCs w:val="24"/>
          <w:lang w:val="sk-SK"/>
        </w:rPr>
      </w:pPr>
    </w:p>
    <w:p w:rsidR="0080706F" w:rsidRPr="000823AF" w:rsidRDefault="0080706F" w:rsidP="0080706F">
      <w:pPr>
        <w:pStyle w:val="Zkladntext"/>
        <w:rPr>
          <w:sz w:val="24"/>
          <w:szCs w:val="24"/>
        </w:rPr>
      </w:pPr>
      <w:r w:rsidRPr="000823AF">
        <w:rPr>
          <w:sz w:val="24"/>
          <w:szCs w:val="24"/>
        </w:rPr>
        <w:t xml:space="preserve">Faktory, ktoré sú považované za dôležité pri  posudzovaní zníženia hodnoty majetku sú: </w:t>
      </w:r>
    </w:p>
    <w:p w:rsidR="0080706F" w:rsidRPr="000823AF" w:rsidRDefault="0080706F" w:rsidP="0080706F">
      <w:pPr>
        <w:pStyle w:val="Zkladntext"/>
        <w:numPr>
          <w:ilvl w:val="0"/>
          <w:numId w:val="12"/>
        </w:numPr>
        <w:tabs>
          <w:tab w:val="clear" w:pos="340"/>
          <w:tab w:val="num" w:pos="766"/>
        </w:tabs>
        <w:ind w:left="766"/>
        <w:rPr>
          <w:sz w:val="24"/>
          <w:szCs w:val="24"/>
        </w:rPr>
      </w:pPr>
      <w:r w:rsidRPr="000823AF">
        <w:rPr>
          <w:sz w:val="24"/>
          <w:szCs w:val="24"/>
        </w:rPr>
        <w:t>technologický pokrok,</w:t>
      </w:r>
    </w:p>
    <w:p w:rsidR="0080706F" w:rsidRPr="000823AF" w:rsidRDefault="0080706F" w:rsidP="0080706F">
      <w:pPr>
        <w:pStyle w:val="Zkladntext"/>
        <w:numPr>
          <w:ilvl w:val="0"/>
          <w:numId w:val="12"/>
        </w:numPr>
        <w:tabs>
          <w:tab w:val="clear" w:pos="340"/>
          <w:tab w:val="num" w:pos="766"/>
        </w:tabs>
        <w:ind w:left="766"/>
        <w:rPr>
          <w:sz w:val="24"/>
          <w:szCs w:val="24"/>
        </w:rPr>
      </w:pPr>
      <w:r w:rsidRPr="000823AF">
        <w:rPr>
          <w:sz w:val="24"/>
          <w:szCs w:val="24"/>
        </w:rPr>
        <w:t>významne nedostatočné prevádzkové výsledky v porovnaní s historickými alebo plánovanými prevádzkovými výsledkami,</w:t>
      </w:r>
    </w:p>
    <w:p w:rsidR="0080706F" w:rsidRPr="000823AF" w:rsidRDefault="0080706F" w:rsidP="0080706F">
      <w:pPr>
        <w:pStyle w:val="Zkladntext"/>
        <w:numPr>
          <w:ilvl w:val="0"/>
          <w:numId w:val="12"/>
        </w:numPr>
        <w:tabs>
          <w:tab w:val="clear" w:pos="340"/>
          <w:tab w:val="num" w:pos="766"/>
        </w:tabs>
        <w:ind w:left="766"/>
        <w:rPr>
          <w:sz w:val="24"/>
          <w:szCs w:val="24"/>
        </w:rPr>
      </w:pPr>
      <w:r w:rsidRPr="000823AF">
        <w:rPr>
          <w:sz w:val="24"/>
          <w:szCs w:val="24"/>
        </w:rPr>
        <w:t>významné zmeny v spôsobe použitia majetku Spoločnosti alebo celkovej zmeny stratégie Spoločnosti,</w:t>
      </w:r>
    </w:p>
    <w:p w:rsidR="0080706F" w:rsidRPr="000823AF" w:rsidRDefault="0080706F" w:rsidP="0080706F">
      <w:pPr>
        <w:pStyle w:val="Zkladntext"/>
        <w:numPr>
          <w:ilvl w:val="0"/>
          <w:numId w:val="12"/>
        </w:numPr>
        <w:tabs>
          <w:tab w:val="clear" w:pos="340"/>
          <w:tab w:val="num" w:pos="766"/>
        </w:tabs>
        <w:ind w:left="766"/>
        <w:rPr>
          <w:sz w:val="24"/>
          <w:szCs w:val="24"/>
        </w:rPr>
      </w:pPr>
      <w:r w:rsidRPr="000823AF">
        <w:rPr>
          <w:sz w:val="24"/>
          <w:szCs w:val="24"/>
        </w:rPr>
        <w:t>zastaralosť produktov.</w:t>
      </w:r>
    </w:p>
    <w:p w:rsidR="0080706F" w:rsidRPr="000823AF" w:rsidRDefault="0080706F" w:rsidP="0080706F">
      <w:pPr>
        <w:pStyle w:val="Zkladntext"/>
        <w:rPr>
          <w:sz w:val="24"/>
          <w:szCs w:val="24"/>
        </w:rPr>
      </w:pPr>
    </w:p>
    <w:p w:rsidR="0080706F" w:rsidRDefault="0080706F" w:rsidP="0080706F">
      <w:pPr>
        <w:pStyle w:val="Zkladntext"/>
        <w:rPr>
          <w:sz w:val="24"/>
          <w:szCs w:val="24"/>
        </w:rPr>
      </w:pPr>
      <w:r w:rsidRPr="000823AF">
        <w:rPr>
          <w:sz w:val="24"/>
          <w:szCs w:val="24"/>
        </w:rPr>
        <w:t>Ak Spoločnosť zistí, že na základe existencie jedného alebo viacerých indikátorov zníženia hodnoty majetku možno predpokladať, že došlo k zníženiu hodnoty majetku oproti jeho oceneniu v účtovníctve, vypočíta zníženie hodnoty majetku na základe odhadov projektovaných čistých diskontovaných peňažných tokov, ktoré sa očakávajú z daného majetku, vrátane jeho prípadného predaja. Odhadované zníženie hodnoty by sa mohlo preukázať ako nedostatočné, ak by analýzy nadhodnotili peňažné toky alebo ak sa zmenia podmienky v</w:t>
      </w:r>
      <w:r>
        <w:rPr>
          <w:sz w:val="24"/>
          <w:szCs w:val="24"/>
        </w:rPr>
        <w:t> </w:t>
      </w:r>
      <w:r w:rsidRPr="000823AF">
        <w:rPr>
          <w:sz w:val="24"/>
          <w:szCs w:val="24"/>
        </w:rPr>
        <w:t>budúcnosti</w:t>
      </w:r>
      <w:r>
        <w:rPr>
          <w:sz w:val="24"/>
          <w:szCs w:val="24"/>
        </w:rPr>
        <w:t>.</w:t>
      </w:r>
      <w:r w:rsidRPr="000823AF">
        <w:rPr>
          <w:sz w:val="24"/>
          <w:szCs w:val="24"/>
        </w:rPr>
        <w:t xml:space="preserve"> </w:t>
      </w:r>
    </w:p>
    <w:p w:rsidR="0080706F" w:rsidRPr="000823AF" w:rsidRDefault="0080706F" w:rsidP="0080706F">
      <w:pPr>
        <w:pStyle w:val="Zkladntext"/>
        <w:rPr>
          <w:sz w:val="24"/>
          <w:szCs w:val="24"/>
        </w:rPr>
      </w:pPr>
    </w:p>
    <w:p w:rsidR="0080706F" w:rsidRPr="000823AF" w:rsidRDefault="0080706F" w:rsidP="0080706F">
      <w:pPr>
        <w:pStyle w:val="Pismenka"/>
        <w:numPr>
          <w:ilvl w:val="0"/>
          <w:numId w:val="10"/>
        </w:numPr>
        <w:rPr>
          <w:sz w:val="24"/>
          <w:szCs w:val="24"/>
        </w:rPr>
      </w:pPr>
      <w:r w:rsidRPr="000823AF">
        <w:rPr>
          <w:sz w:val="24"/>
          <w:szCs w:val="24"/>
        </w:rPr>
        <w:lastRenderedPageBreak/>
        <w:t>Dlhodobý finančný majetok</w:t>
      </w:r>
    </w:p>
    <w:p w:rsidR="0080706F" w:rsidRPr="000823AF" w:rsidRDefault="0080706F" w:rsidP="0080706F">
      <w:pPr>
        <w:pStyle w:val="Pismenka"/>
        <w:tabs>
          <w:tab w:val="clear" w:pos="360"/>
        </w:tabs>
        <w:ind w:left="426" w:firstLine="0"/>
        <w:rPr>
          <w:b w:val="0"/>
          <w:sz w:val="24"/>
          <w:szCs w:val="24"/>
        </w:rPr>
      </w:pPr>
      <w:r w:rsidRPr="000823AF">
        <w:rPr>
          <w:b w:val="0"/>
          <w:sz w:val="24"/>
          <w:szCs w:val="24"/>
        </w:rPr>
        <w:t xml:space="preserve">Ako dlhodobý finančný majetok Spoločnosť vykazuje podielové cenné papiere a podiely v prepojených účtovných jednotkách, podielové cenné papiere a podiely s podielovou účasťou okrem v prepojených účtovných jednotkách a ostatné realizovateľné cenné papiere a podiely. </w:t>
      </w:r>
    </w:p>
    <w:p w:rsidR="0080706F" w:rsidRPr="000823AF" w:rsidRDefault="0080706F" w:rsidP="0080706F">
      <w:pPr>
        <w:pStyle w:val="Pismenka"/>
        <w:tabs>
          <w:tab w:val="clear" w:pos="360"/>
        </w:tabs>
        <w:ind w:left="426" w:firstLine="0"/>
        <w:rPr>
          <w:b w:val="0"/>
          <w:sz w:val="24"/>
          <w:szCs w:val="24"/>
        </w:rPr>
      </w:pPr>
    </w:p>
    <w:p w:rsidR="0080706F" w:rsidRDefault="0080706F" w:rsidP="0080706F">
      <w:pPr>
        <w:pStyle w:val="Pismenka"/>
        <w:tabs>
          <w:tab w:val="clear" w:pos="360"/>
        </w:tabs>
        <w:ind w:left="426" w:firstLine="0"/>
        <w:rPr>
          <w:b w:val="0"/>
          <w:sz w:val="24"/>
          <w:szCs w:val="24"/>
        </w:rPr>
      </w:pPr>
      <w:r w:rsidRPr="000823AF">
        <w:rPr>
          <w:b w:val="0"/>
          <w:sz w:val="24"/>
          <w:szCs w:val="24"/>
        </w:rPr>
        <w:t xml:space="preserve">Dlhodobý finančný majetok sa pri obstaraní (prvotné ocenenie) oceňuje obstarávacou cenou vrátane nákladov súvisiacich s obstaraním (poplatky, provízie za sprostredkovanie a pod.). Súčasťou obstarávacej ceny cenných papierov nie sú úroky z úverov na obstaranie cenných papierov a podielov, kurzové rozdiely a náklady spojené s držbou cenného papiera a podielu. </w:t>
      </w:r>
    </w:p>
    <w:p w:rsidR="0080706F" w:rsidRPr="00A33E8B" w:rsidRDefault="0080706F" w:rsidP="0080706F">
      <w:pPr>
        <w:pStyle w:val="Pismenka"/>
        <w:tabs>
          <w:tab w:val="clear" w:pos="360"/>
        </w:tabs>
        <w:ind w:left="426" w:firstLine="0"/>
        <w:rPr>
          <w:b w:val="0"/>
          <w:sz w:val="24"/>
          <w:szCs w:val="24"/>
        </w:rPr>
      </w:pPr>
    </w:p>
    <w:p w:rsidR="0080706F" w:rsidRPr="00A33E8B" w:rsidRDefault="0080706F" w:rsidP="0080706F">
      <w:r w:rsidRPr="000823AF">
        <w:t>Ku dňu, ku ktorému sa zostavuje účtovná závierka sa dlhodobý finančný majetok oceňuje takto:</w:t>
      </w:r>
    </w:p>
    <w:p w:rsidR="0080706F" w:rsidRPr="000823AF" w:rsidRDefault="0080706F" w:rsidP="0080706F">
      <w:pPr>
        <w:pStyle w:val="Pismenka"/>
        <w:numPr>
          <w:ilvl w:val="0"/>
          <w:numId w:val="8"/>
        </w:numPr>
        <w:tabs>
          <w:tab w:val="clear" w:pos="340"/>
          <w:tab w:val="num" w:pos="766"/>
        </w:tabs>
        <w:ind w:left="766"/>
        <w:rPr>
          <w:b w:val="0"/>
          <w:sz w:val="24"/>
          <w:szCs w:val="24"/>
        </w:rPr>
      </w:pPr>
      <w:r w:rsidRPr="000823AF">
        <w:rPr>
          <w:b w:val="0"/>
          <w:sz w:val="24"/>
          <w:szCs w:val="24"/>
        </w:rPr>
        <w:t xml:space="preserve">Podielové cenné papiere a podiely v dcérskych, spoločných a pridružených účtovných jednotkách: obstarávacou cenou upravenou o prípadné zníženie ich hodnoty oproti ich oceneniu v účtovníctve. </w:t>
      </w:r>
    </w:p>
    <w:p w:rsidR="0080706F" w:rsidRPr="000823AF" w:rsidRDefault="0080706F" w:rsidP="0080706F">
      <w:pPr>
        <w:pStyle w:val="Pismenka"/>
        <w:tabs>
          <w:tab w:val="clear" w:pos="360"/>
        </w:tabs>
        <w:ind w:left="766" w:firstLine="0"/>
        <w:rPr>
          <w:b w:val="0"/>
          <w:color w:val="0070C0"/>
          <w:sz w:val="24"/>
          <w:szCs w:val="24"/>
        </w:rPr>
      </w:pPr>
    </w:p>
    <w:p w:rsidR="0080706F" w:rsidRPr="000823AF" w:rsidRDefault="0080706F" w:rsidP="0080706F">
      <w:pPr>
        <w:pStyle w:val="Pismenka"/>
        <w:numPr>
          <w:ilvl w:val="0"/>
          <w:numId w:val="10"/>
        </w:numPr>
        <w:rPr>
          <w:sz w:val="24"/>
          <w:szCs w:val="24"/>
        </w:rPr>
      </w:pPr>
      <w:r w:rsidRPr="000823AF">
        <w:rPr>
          <w:sz w:val="24"/>
          <w:szCs w:val="24"/>
        </w:rPr>
        <w:t xml:space="preserve">Zásoby </w:t>
      </w:r>
    </w:p>
    <w:p w:rsidR="0080706F" w:rsidRPr="000823AF" w:rsidRDefault="0080706F" w:rsidP="0080706F">
      <w:pPr>
        <w:pStyle w:val="Zkladntext"/>
        <w:rPr>
          <w:sz w:val="24"/>
          <w:szCs w:val="24"/>
        </w:rPr>
      </w:pPr>
      <w:r w:rsidRPr="000823AF">
        <w:rPr>
          <w:sz w:val="24"/>
          <w:szCs w:val="24"/>
        </w:rPr>
        <w:t>Zásoby sa oceňujú nižšou z nasledujúcich hodnôt: obstarávacou cenou (nakupované zásoby) alebo vlastnými nákladmi (zásoby vytvorené vlastnou činnosťou), alebo čistou realizačnou hodnotou.</w:t>
      </w:r>
    </w:p>
    <w:p w:rsidR="0080706F" w:rsidRPr="000823AF" w:rsidRDefault="0080706F" w:rsidP="0080706F">
      <w:pPr>
        <w:pStyle w:val="Zkladntext"/>
        <w:rPr>
          <w:sz w:val="24"/>
          <w:szCs w:val="24"/>
        </w:rPr>
      </w:pPr>
    </w:p>
    <w:p w:rsidR="0080706F" w:rsidRPr="000823AF" w:rsidRDefault="0080706F" w:rsidP="0080706F">
      <w:pPr>
        <w:pStyle w:val="odstavec"/>
        <w:rPr>
          <w:b/>
          <w:sz w:val="24"/>
          <w:szCs w:val="24"/>
        </w:rPr>
      </w:pPr>
      <w:r w:rsidRPr="000823AF">
        <w:rPr>
          <w:sz w:val="24"/>
          <w:szCs w:val="24"/>
        </w:rPr>
        <w:t xml:space="preserve">Obstarávacia cena zahŕňa cenu, za ktorú sa zásoby obstarali a náklady súvisiace s obstaraním (clo, prepravu, poistné, provízie, a pod.), zníženú o dobropisy, skontá, rabaty, zľavy z ceny, bonusy a pod.  Úroky z úverov nie sú súčasťou obstarávacej ceny. </w:t>
      </w:r>
    </w:p>
    <w:p w:rsidR="0080706F" w:rsidRPr="000823AF" w:rsidRDefault="0080706F" w:rsidP="0080706F">
      <w:pPr>
        <w:pStyle w:val="odstavec"/>
        <w:rPr>
          <w:sz w:val="24"/>
          <w:szCs w:val="24"/>
        </w:rPr>
      </w:pPr>
    </w:p>
    <w:p w:rsidR="0080706F" w:rsidRPr="00CD4BBA" w:rsidRDefault="0080706F" w:rsidP="0080706F">
      <w:pPr>
        <w:pStyle w:val="odstavec"/>
        <w:rPr>
          <w:sz w:val="24"/>
          <w:szCs w:val="24"/>
        </w:rPr>
      </w:pPr>
      <w:r w:rsidRPr="00CD4BBA">
        <w:rPr>
          <w:sz w:val="24"/>
          <w:szCs w:val="24"/>
        </w:rPr>
        <w:t xml:space="preserve">Úbytok zásob sa účtuje v skutočnej obstarávacej cene pričom odchýlky sa rozpúšťajú. </w:t>
      </w:r>
    </w:p>
    <w:p w:rsidR="0080706F" w:rsidRPr="00CD4BBA" w:rsidRDefault="0080706F" w:rsidP="0080706F">
      <w:pPr>
        <w:pStyle w:val="odstavec"/>
        <w:rPr>
          <w:sz w:val="24"/>
          <w:szCs w:val="24"/>
        </w:rPr>
      </w:pPr>
    </w:p>
    <w:p w:rsidR="0080706F" w:rsidRPr="000823AF" w:rsidRDefault="0080706F" w:rsidP="0080706F">
      <w:pPr>
        <w:pStyle w:val="odstavec"/>
        <w:rPr>
          <w:sz w:val="24"/>
          <w:szCs w:val="24"/>
        </w:rPr>
      </w:pPr>
      <w:r w:rsidRPr="000823AF">
        <w:rPr>
          <w:sz w:val="24"/>
          <w:szCs w:val="24"/>
        </w:rPr>
        <w:t>Vlastné náklady zahŕňajú priame náklady (priamy materiál, priame mzdy a ostatné priame náklady) a časť nepriamych nákladov bezprostredne súvisiacich s vytvorením zásob vlastnou činnosťou (výrobná réžia). Výrobná réžia sa do vlastných nákladov zahŕňa v závislosti od stupňa rozpracovanosti týchto zásob</w:t>
      </w:r>
      <w:r w:rsidRPr="000823AF">
        <w:rPr>
          <w:i/>
          <w:sz w:val="24"/>
          <w:szCs w:val="24"/>
        </w:rPr>
        <w:t>.</w:t>
      </w:r>
      <w:r w:rsidRPr="000823AF">
        <w:rPr>
          <w:sz w:val="24"/>
          <w:szCs w:val="24"/>
        </w:rPr>
        <w:t xml:space="preserve"> Správna réžia a odbytové náklady nie sú súčasťou vlastných nákladov. Súčasťou vlastných nákladov nie sú úroky z úverov. </w:t>
      </w:r>
    </w:p>
    <w:p w:rsidR="0080706F" w:rsidRPr="000823AF" w:rsidRDefault="0080706F" w:rsidP="0080706F">
      <w:pPr>
        <w:pStyle w:val="odstavec"/>
        <w:rPr>
          <w:sz w:val="24"/>
          <w:szCs w:val="24"/>
        </w:rPr>
      </w:pPr>
    </w:p>
    <w:p w:rsidR="0080706F" w:rsidRPr="00CD4BBA" w:rsidRDefault="0080706F" w:rsidP="0080706F">
      <w:pPr>
        <w:pStyle w:val="Zkladntext"/>
        <w:rPr>
          <w:sz w:val="24"/>
          <w:szCs w:val="24"/>
        </w:rPr>
      </w:pPr>
      <w:r w:rsidRPr="00CD4BBA">
        <w:rPr>
          <w:sz w:val="24"/>
          <w:szCs w:val="24"/>
        </w:rPr>
        <w:t xml:space="preserve">Zásoby nadobudnuté zámenou sa oceňujú reálnou hodnotou. Rozdiel medzi reálnou hodnotou nadobudnutých zásob a účtovnou hodnotou odovzdávaných zásob sa účtuje podľa charakteru tohto rozdielu na vecne príslušný nákladový účet, na ktorom sa účtuje úbytok zásob alebo na vecne príslušný výnosový účet, na ktorom sa účtuje dosiahnutie výnosu zo zásob. </w:t>
      </w:r>
    </w:p>
    <w:p w:rsidR="0080706F" w:rsidRPr="00CD4BBA" w:rsidRDefault="0080706F" w:rsidP="0080706F">
      <w:pPr>
        <w:pStyle w:val="Zkladntext"/>
        <w:rPr>
          <w:sz w:val="24"/>
          <w:szCs w:val="24"/>
        </w:rPr>
      </w:pPr>
    </w:p>
    <w:p w:rsidR="0080706F" w:rsidRPr="00CD4BBA" w:rsidRDefault="0080706F" w:rsidP="0080706F">
      <w:pPr>
        <w:pStyle w:val="Zkladntext"/>
        <w:rPr>
          <w:sz w:val="24"/>
          <w:szCs w:val="24"/>
        </w:rPr>
      </w:pPr>
      <w:r w:rsidRPr="00CD4BBA">
        <w:rPr>
          <w:sz w:val="24"/>
          <w:szCs w:val="24"/>
        </w:rPr>
        <w:t xml:space="preserve">Ako nehnuteľnosti na predaj sa účtuje o nehnuteľnosti, ktorá sa obstaráva za účelom ďalšieho predaja. Vynaložené náklady na opravy, technické zhodnotenie a súvisiace náklady spojené s nehnuteľnosťou, ktoré vznikajú z dôvodu uvedenia nehnuteľnosti do stavu spôsobilého na predaj, sú súčasťou ocenenia nehnuteľnosti na predaj jej obstarávacou cenou. Výnos z predaja a odúčtovaná obstarávacia cena nehnuteľnosti ovplyvní výsledok hospodárenia v čase jej predaja. </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lastRenderedPageBreak/>
        <w:t xml:space="preserve">Čistá realizačná hodnota je predpokladaná predajná cena zásob znížená o predpokladané náklady na ich dokončenie a o predpokladané náklady súvisiace s ich predajom.  </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t>Zníženie hodnoty zásob sa zohľadňuje vytvorením opravnej položky.</w:t>
      </w:r>
    </w:p>
    <w:p w:rsidR="0080706F" w:rsidRPr="000823AF" w:rsidRDefault="0080706F" w:rsidP="0080706F">
      <w:pPr>
        <w:pStyle w:val="Zkladntext"/>
        <w:rPr>
          <w:sz w:val="24"/>
          <w:szCs w:val="24"/>
        </w:rPr>
      </w:pPr>
    </w:p>
    <w:p w:rsidR="0080706F" w:rsidRDefault="0080706F" w:rsidP="0080706F">
      <w:pPr>
        <w:pStyle w:val="Pismenka"/>
        <w:numPr>
          <w:ilvl w:val="0"/>
          <w:numId w:val="10"/>
        </w:numPr>
        <w:rPr>
          <w:sz w:val="24"/>
          <w:szCs w:val="24"/>
        </w:rPr>
      </w:pPr>
      <w:r w:rsidRPr="008357FB">
        <w:rPr>
          <w:sz w:val="24"/>
          <w:szCs w:val="24"/>
        </w:rPr>
        <w:t>Zákazková výroba</w:t>
      </w:r>
    </w:p>
    <w:p w:rsidR="008357FB" w:rsidRPr="008357FB" w:rsidRDefault="008357FB" w:rsidP="008357FB">
      <w:pPr>
        <w:pStyle w:val="Pismenka"/>
        <w:tabs>
          <w:tab w:val="clear" w:pos="360"/>
        </w:tabs>
        <w:ind w:left="720" w:firstLine="0"/>
        <w:rPr>
          <w:sz w:val="24"/>
          <w:szCs w:val="24"/>
        </w:rPr>
      </w:pPr>
    </w:p>
    <w:p w:rsidR="0080706F" w:rsidRPr="008357FB" w:rsidRDefault="0080706F" w:rsidP="0080706F">
      <w:pPr>
        <w:suppressAutoHyphens/>
        <w:autoSpaceDE w:val="0"/>
        <w:autoSpaceDN w:val="0"/>
        <w:adjustRightInd w:val="0"/>
        <w:ind w:left="425"/>
        <w:jc w:val="both"/>
        <w:rPr>
          <w:rFonts w:ascii="Times New Roman" w:eastAsia="Calibri" w:hAnsi="Times New Roman" w:cs="Times New Roman"/>
          <w:bCs/>
          <w:iCs/>
          <w:sz w:val="24"/>
          <w:szCs w:val="24"/>
        </w:rPr>
      </w:pPr>
      <w:r w:rsidRPr="008357FB">
        <w:rPr>
          <w:rFonts w:ascii="Times New Roman" w:eastAsia="Calibri" w:hAnsi="Times New Roman" w:cs="Times New Roman"/>
          <w:bCs/>
          <w:iCs/>
          <w:sz w:val="24"/>
          <w:szCs w:val="24"/>
        </w:rPr>
        <w:t>Ak sa výsledok zákazkovej výroby dá spoľahlivo odhadnúť, zmluvné výnosy a zmluvné náklady pripadajúce na účtovné obdobie sa účtujú ako náklady a výnosy metódou stupňa dokončenia (angl. percentage-of-completion method), pričom</w:t>
      </w:r>
      <w:r w:rsidRPr="008357FB">
        <w:rPr>
          <w:rFonts w:ascii="Times New Roman" w:hAnsi="Times New Roman" w:cs="Times New Roman"/>
          <w:sz w:val="24"/>
          <w:szCs w:val="24"/>
          <w:bdr w:val="single" w:sz="4" w:space="0" w:color="auto"/>
        </w:rPr>
        <w:t xml:space="preserve"> </w:t>
      </w:r>
      <w:r w:rsidRPr="008357FB">
        <w:rPr>
          <w:rFonts w:ascii="Times New Roman" w:eastAsia="Calibri" w:hAnsi="Times New Roman" w:cs="Times New Roman"/>
          <w:bCs/>
          <w:iCs/>
          <w:sz w:val="24"/>
          <w:szCs w:val="24"/>
        </w:rPr>
        <w:t xml:space="preserve">stupeň dokončenia zákazky sa zisťuje kumulatívne na základe aktuálneho rozpočtu zmluvných nákladov a zmluvných výnosov,  ku dňu, ku ktorému sa zostavuje účtovná závierka ako: </w:t>
      </w:r>
    </w:p>
    <w:p w:rsidR="0080706F" w:rsidRPr="008357FB" w:rsidRDefault="0080706F" w:rsidP="0080706F">
      <w:pPr>
        <w:suppressAutoHyphens/>
        <w:autoSpaceDE w:val="0"/>
        <w:autoSpaceDN w:val="0"/>
        <w:adjustRightInd w:val="0"/>
        <w:ind w:left="425"/>
        <w:jc w:val="both"/>
        <w:rPr>
          <w:rFonts w:ascii="Times New Roman" w:hAnsi="Times New Roman" w:cs="Times New Roman"/>
          <w:sz w:val="24"/>
          <w:szCs w:val="24"/>
        </w:rPr>
      </w:pPr>
    </w:p>
    <w:p w:rsidR="0080706F" w:rsidRPr="008357FB" w:rsidRDefault="0080706F" w:rsidP="0080706F">
      <w:pPr>
        <w:pStyle w:val="Odsekzoznamu"/>
        <w:numPr>
          <w:ilvl w:val="0"/>
          <w:numId w:val="13"/>
        </w:numPr>
        <w:suppressAutoHyphens/>
        <w:autoSpaceDE w:val="0"/>
        <w:autoSpaceDN w:val="0"/>
        <w:adjustRightInd w:val="0"/>
        <w:jc w:val="both"/>
      </w:pPr>
      <w:r w:rsidRPr="008357FB">
        <w:t>pomer skutočne vynaložených nákladov na zákazkovú výrobu za vykonanú prácu a aktualizovaného rozpočtu celkových nákladov na zákazkovú výrobu,</w:t>
      </w:r>
    </w:p>
    <w:p w:rsidR="0080706F" w:rsidRPr="008357FB" w:rsidRDefault="0080706F" w:rsidP="0080706F">
      <w:pPr>
        <w:pStyle w:val="odstavec"/>
        <w:rPr>
          <w:rFonts w:ascii="Times New Roman" w:hAnsi="Times New Roman" w:cs="Times New Roman"/>
          <w:sz w:val="24"/>
          <w:szCs w:val="24"/>
        </w:rPr>
      </w:pPr>
    </w:p>
    <w:p w:rsidR="0080706F" w:rsidRPr="008357FB" w:rsidRDefault="0080706F" w:rsidP="0080706F">
      <w:pPr>
        <w:suppressAutoHyphens/>
        <w:autoSpaceDE w:val="0"/>
        <w:autoSpaceDN w:val="0"/>
        <w:adjustRightInd w:val="0"/>
        <w:ind w:left="425"/>
        <w:jc w:val="both"/>
        <w:rPr>
          <w:rFonts w:ascii="Times New Roman" w:hAnsi="Times New Roman" w:cs="Times New Roman"/>
          <w:sz w:val="24"/>
          <w:szCs w:val="24"/>
        </w:rPr>
      </w:pPr>
      <w:r w:rsidRPr="008357FB">
        <w:rPr>
          <w:rFonts w:ascii="Times New Roman" w:hAnsi="Times New Roman" w:cs="Times New Roman"/>
          <w:sz w:val="24"/>
          <w:szCs w:val="24"/>
        </w:rPr>
        <w:t xml:space="preserve">Náklady na zákazku sa vykážu v období, v ktorom vznikli. Náklady vynaložené v bežnom roku a súvisiace s budúcou činnosťou na zákazke sa do výpočtu stupňa dokončenia nezahrnú. </w:t>
      </w:r>
    </w:p>
    <w:p w:rsidR="0080706F" w:rsidRPr="008357FB" w:rsidRDefault="0080706F" w:rsidP="0080706F">
      <w:pPr>
        <w:suppressAutoHyphens/>
        <w:autoSpaceDE w:val="0"/>
        <w:autoSpaceDN w:val="0"/>
        <w:adjustRightInd w:val="0"/>
        <w:ind w:left="425"/>
        <w:jc w:val="both"/>
        <w:rPr>
          <w:rFonts w:ascii="Times New Roman" w:hAnsi="Times New Roman" w:cs="Times New Roman"/>
          <w:sz w:val="24"/>
          <w:szCs w:val="24"/>
        </w:rPr>
      </w:pPr>
      <w:r w:rsidRPr="008357FB">
        <w:rPr>
          <w:rFonts w:ascii="Times New Roman" w:hAnsi="Times New Roman" w:cs="Times New Roman"/>
          <w:sz w:val="24"/>
          <w:szCs w:val="24"/>
        </w:rPr>
        <w:t>Ak výsledok zákazkovej výroby ku dňu, ku ktorému sa zostavuje účtovná závierka, nie je možné spoľahlivo odhadnúť, účtujú sa zmluvné výnosy v sume vynaložených zmluvných nákladov v danom účtovnom období, pri ktorých je pravdepodobné, že budú preplatené („metóda nulového zisku“). Možnosť spoľahlivého odhadu výsledku zákazkovej výroby sa prehodnocuje vždy ku dňu, ku ktorému sa zostavuje účtovná závierka.</w:t>
      </w:r>
    </w:p>
    <w:p w:rsidR="0080706F" w:rsidRPr="008357FB" w:rsidRDefault="0080706F" w:rsidP="0080706F">
      <w:pPr>
        <w:suppressAutoHyphens/>
        <w:autoSpaceDE w:val="0"/>
        <w:autoSpaceDN w:val="0"/>
        <w:adjustRightInd w:val="0"/>
        <w:ind w:left="425"/>
        <w:jc w:val="both"/>
        <w:rPr>
          <w:rFonts w:ascii="Times New Roman" w:hAnsi="Times New Roman" w:cs="Times New Roman"/>
          <w:sz w:val="24"/>
          <w:szCs w:val="24"/>
        </w:rPr>
      </w:pPr>
    </w:p>
    <w:p w:rsidR="0080706F" w:rsidRPr="008357FB" w:rsidRDefault="0080706F" w:rsidP="0080706F">
      <w:pPr>
        <w:suppressAutoHyphens/>
        <w:autoSpaceDE w:val="0"/>
        <w:autoSpaceDN w:val="0"/>
        <w:adjustRightInd w:val="0"/>
        <w:ind w:left="425"/>
        <w:jc w:val="both"/>
        <w:rPr>
          <w:rFonts w:ascii="Times New Roman" w:hAnsi="Times New Roman" w:cs="Times New Roman"/>
          <w:sz w:val="24"/>
          <w:szCs w:val="24"/>
        </w:rPr>
      </w:pPr>
      <w:r w:rsidRPr="008357FB">
        <w:rPr>
          <w:rFonts w:ascii="Times New Roman" w:hAnsi="Times New Roman" w:cs="Times New Roman"/>
          <w:sz w:val="24"/>
          <w:szCs w:val="24"/>
        </w:rPr>
        <w:t xml:space="preserve">Ku dňu, ku ktorému sa zostavuje účtovná závierka, sa rozdiel medzi doteraz požadovanými platbami za plnenie na zákazkovej výrobe a hodnotou zákazkovej výroby podľa metódy stupňa dokončenia alebo podľa metódy nulového zisku vykáže v súvahe ako čistá hodnota zákazky so súvzťažným zápisom v prospech výnosov zo zákazky. </w:t>
      </w:r>
    </w:p>
    <w:p w:rsidR="0080706F" w:rsidRPr="008357FB" w:rsidRDefault="0080706F" w:rsidP="0080706F">
      <w:pPr>
        <w:pStyle w:val="odstavec"/>
        <w:rPr>
          <w:rFonts w:ascii="Times New Roman" w:hAnsi="Times New Roman" w:cs="Times New Roman"/>
          <w:sz w:val="24"/>
          <w:szCs w:val="24"/>
        </w:rPr>
      </w:pPr>
    </w:p>
    <w:p w:rsidR="0080706F" w:rsidRPr="008357FB" w:rsidRDefault="0080706F" w:rsidP="0080706F">
      <w:pPr>
        <w:suppressAutoHyphens/>
        <w:autoSpaceDE w:val="0"/>
        <w:autoSpaceDN w:val="0"/>
        <w:adjustRightInd w:val="0"/>
        <w:ind w:left="425"/>
        <w:jc w:val="both"/>
        <w:rPr>
          <w:rFonts w:ascii="Times New Roman" w:hAnsi="Times New Roman" w:cs="Times New Roman"/>
          <w:sz w:val="24"/>
          <w:szCs w:val="24"/>
        </w:rPr>
      </w:pPr>
      <w:r w:rsidRPr="008357FB">
        <w:rPr>
          <w:rFonts w:ascii="Times New Roman" w:hAnsi="Times New Roman" w:cs="Times New Roman"/>
          <w:sz w:val="24"/>
          <w:szCs w:val="24"/>
        </w:rPr>
        <w:t>Zhotoviteľom požadované sumy za vykonanú prácu na zákazkovej výrobe sa vykážu ako pohľadávky z obchodného styku so súvzťažným zápisom v prospech výnosov zo zákazky. Preddavky, ktoré zhotoviteľ prijal pred vykonaním príslušnej práce sa vykážu ako prijaté preddavky alebo dlhodobé prijaté preddavky.</w:t>
      </w:r>
    </w:p>
    <w:p w:rsidR="0080706F" w:rsidRPr="008357FB" w:rsidRDefault="0080706F" w:rsidP="0080706F">
      <w:pPr>
        <w:pStyle w:val="odstavec"/>
        <w:rPr>
          <w:rFonts w:ascii="Times New Roman" w:hAnsi="Times New Roman" w:cs="Times New Roman"/>
          <w:sz w:val="24"/>
          <w:szCs w:val="24"/>
        </w:rPr>
      </w:pPr>
    </w:p>
    <w:p w:rsidR="0080706F" w:rsidRPr="008357FB" w:rsidRDefault="0080706F" w:rsidP="0080706F">
      <w:pPr>
        <w:suppressAutoHyphens/>
        <w:autoSpaceDE w:val="0"/>
        <w:autoSpaceDN w:val="0"/>
        <w:adjustRightInd w:val="0"/>
        <w:ind w:left="425"/>
        <w:jc w:val="both"/>
        <w:rPr>
          <w:rFonts w:ascii="Times New Roman" w:hAnsi="Times New Roman" w:cs="Times New Roman"/>
          <w:sz w:val="24"/>
          <w:szCs w:val="24"/>
        </w:rPr>
      </w:pPr>
      <w:r w:rsidRPr="008357FB">
        <w:rPr>
          <w:rFonts w:ascii="Times New Roman" w:hAnsi="Times New Roman" w:cs="Times New Roman"/>
          <w:sz w:val="24"/>
          <w:szCs w:val="24"/>
        </w:rPr>
        <w:t xml:space="preserve">Ak sa ku dňu, ku ktorému sa zostavuje účtovná závierka predpokladá, že náklady prevýšia výnosy, účtuje sa odhad očakávanej straty zo zákazkovej výroby ako rezerva na stratu zo zákazkovej výroby. Výška očakávanej straty je určená bez ohľadu na to, či sa začala práca na zákazkovej výrobe, na stupeň dokončenia zákazkovej výroby alebo na </w:t>
      </w:r>
      <w:r w:rsidRPr="008357FB">
        <w:rPr>
          <w:rFonts w:ascii="Times New Roman" w:hAnsi="Times New Roman" w:cs="Times New Roman"/>
          <w:sz w:val="24"/>
          <w:szCs w:val="24"/>
        </w:rPr>
        <w:lastRenderedPageBreak/>
        <w:t>výšku ziskov, ktorých vznik sa očakáva z iných zmlúv, ku ktorým sa nepristupuje ako k jednej zákazkovej výrobe.</w:t>
      </w:r>
    </w:p>
    <w:p w:rsidR="0080706F" w:rsidRPr="000823AF" w:rsidRDefault="0080706F" w:rsidP="0080706F">
      <w:pPr>
        <w:pStyle w:val="odstavec"/>
        <w:rPr>
          <w:sz w:val="24"/>
          <w:szCs w:val="24"/>
        </w:rPr>
      </w:pPr>
    </w:p>
    <w:p w:rsidR="0080706F" w:rsidRPr="008357FB" w:rsidRDefault="0080706F" w:rsidP="0080706F">
      <w:pPr>
        <w:suppressAutoHyphens/>
        <w:autoSpaceDE w:val="0"/>
        <w:autoSpaceDN w:val="0"/>
        <w:adjustRightInd w:val="0"/>
        <w:ind w:left="425"/>
        <w:jc w:val="both"/>
        <w:rPr>
          <w:rFonts w:ascii="Times New Roman" w:hAnsi="Times New Roman" w:cs="Times New Roman"/>
          <w:sz w:val="24"/>
          <w:szCs w:val="24"/>
        </w:rPr>
      </w:pPr>
      <w:r w:rsidRPr="008357FB">
        <w:rPr>
          <w:rFonts w:ascii="Times New Roman" w:hAnsi="Times New Roman" w:cs="Times New Roman"/>
          <w:sz w:val="24"/>
          <w:szCs w:val="24"/>
        </w:rPr>
        <w:t>Očakávaná strata zo zákazkovej výroby sa vykáže ako ostatné náklady na hospodársku činnosť. V účtovnom období,  v ktorom už nie je pravdepodobná strata zo zákazkovej výroby alebo je pravdepodobné zníženie straty zo zákazkovej výroby alebo zúčtovanie straty, sa vykáže zníženie ostatných nákladov na hospodársku činnosť.</w:t>
      </w:r>
    </w:p>
    <w:p w:rsidR="0080706F" w:rsidRPr="008357FB" w:rsidRDefault="0080706F" w:rsidP="0080706F">
      <w:pPr>
        <w:suppressAutoHyphens/>
        <w:autoSpaceDE w:val="0"/>
        <w:autoSpaceDN w:val="0"/>
        <w:adjustRightInd w:val="0"/>
        <w:ind w:left="425"/>
        <w:jc w:val="both"/>
        <w:rPr>
          <w:rFonts w:ascii="Times New Roman" w:hAnsi="Times New Roman" w:cs="Times New Roman"/>
          <w:sz w:val="24"/>
          <w:szCs w:val="24"/>
        </w:rPr>
      </w:pPr>
    </w:p>
    <w:p w:rsidR="0080706F" w:rsidRPr="008357FB" w:rsidRDefault="0080706F" w:rsidP="0080706F">
      <w:pPr>
        <w:suppressAutoHyphens/>
        <w:autoSpaceDE w:val="0"/>
        <w:autoSpaceDN w:val="0"/>
        <w:adjustRightInd w:val="0"/>
        <w:ind w:left="425"/>
        <w:jc w:val="both"/>
        <w:rPr>
          <w:rFonts w:ascii="Times New Roman" w:hAnsi="Times New Roman" w:cs="Times New Roman"/>
          <w:sz w:val="24"/>
          <w:szCs w:val="24"/>
        </w:rPr>
      </w:pPr>
      <w:r w:rsidRPr="008357FB">
        <w:rPr>
          <w:rFonts w:ascii="Times New Roman" w:hAnsi="Times New Roman" w:cs="Times New Roman"/>
          <w:sz w:val="24"/>
          <w:szCs w:val="24"/>
        </w:rPr>
        <w:t xml:space="preserve">Spájanie zmlúv. Ako jedna zákazková výroba sa účtuje skupina zmlúv s jedným objednávateľom alebo s niekoľkými objednávateľmi, ak sú súčasne splnené tieto podmienky: </w:t>
      </w:r>
    </w:p>
    <w:p w:rsidR="0080706F" w:rsidRPr="000823AF" w:rsidRDefault="0080706F" w:rsidP="0080706F">
      <w:pPr>
        <w:suppressAutoHyphens/>
        <w:autoSpaceDE w:val="0"/>
        <w:autoSpaceDN w:val="0"/>
        <w:adjustRightInd w:val="0"/>
        <w:ind w:left="425"/>
        <w:jc w:val="both"/>
      </w:pPr>
    </w:p>
    <w:p w:rsidR="0080706F" w:rsidRPr="000823AF" w:rsidRDefault="0080706F" w:rsidP="0080706F">
      <w:pPr>
        <w:pStyle w:val="Odsekzoznamu"/>
        <w:numPr>
          <w:ilvl w:val="0"/>
          <w:numId w:val="14"/>
        </w:numPr>
        <w:suppressAutoHyphens/>
        <w:autoSpaceDE w:val="0"/>
        <w:autoSpaceDN w:val="0"/>
        <w:adjustRightInd w:val="0"/>
        <w:jc w:val="both"/>
      </w:pPr>
      <w:r w:rsidRPr="000823AF">
        <w:t>skupina zmlúv a ich podmienky sa dohadujú ako celok,</w:t>
      </w:r>
    </w:p>
    <w:p w:rsidR="0080706F" w:rsidRPr="000823AF" w:rsidRDefault="0080706F" w:rsidP="0080706F">
      <w:pPr>
        <w:pStyle w:val="Odsekzoznamu"/>
        <w:numPr>
          <w:ilvl w:val="0"/>
          <w:numId w:val="14"/>
        </w:numPr>
        <w:suppressAutoHyphens/>
        <w:autoSpaceDE w:val="0"/>
        <w:autoSpaceDN w:val="0"/>
        <w:adjustRightInd w:val="0"/>
        <w:jc w:val="both"/>
      </w:pPr>
      <w:r w:rsidRPr="000823AF">
        <w:t>skupina zmlúv vzájomne úzko súvisí tak, že sú súčasťou jedného projektu a majú spoločnú maržu,</w:t>
      </w:r>
    </w:p>
    <w:p w:rsidR="0080706F" w:rsidRPr="000823AF" w:rsidRDefault="0080706F" w:rsidP="0080706F">
      <w:pPr>
        <w:pStyle w:val="Odsekzoznamu"/>
        <w:numPr>
          <w:ilvl w:val="0"/>
          <w:numId w:val="14"/>
        </w:numPr>
        <w:suppressAutoHyphens/>
        <w:autoSpaceDE w:val="0"/>
        <w:autoSpaceDN w:val="0"/>
        <w:adjustRightInd w:val="0"/>
        <w:jc w:val="both"/>
      </w:pPr>
      <w:r w:rsidRPr="000823AF">
        <w:t xml:space="preserve">zmluvy sa vykonávajú súbežne alebo na seba postupne nadväzujú. </w:t>
      </w:r>
    </w:p>
    <w:p w:rsidR="0080706F" w:rsidRPr="000823AF" w:rsidRDefault="0080706F" w:rsidP="0080706F">
      <w:pPr>
        <w:suppressAutoHyphens/>
        <w:autoSpaceDE w:val="0"/>
        <w:autoSpaceDN w:val="0"/>
        <w:adjustRightInd w:val="0"/>
        <w:ind w:left="425"/>
        <w:jc w:val="both"/>
      </w:pPr>
    </w:p>
    <w:p w:rsidR="0080706F" w:rsidRPr="000823AF" w:rsidRDefault="0080706F" w:rsidP="0080706F">
      <w:pPr>
        <w:suppressAutoHyphens/>
        <w:autoSpaceDE w:val="0"/>
        <w:autoSpaceDN w:val="0"/>
        <w:adjustRightInd w:val="0"/>
        <w:ind w:left="425"/>
        <w:jc w:val="both"/>
      </w:pPr>
      <w:r w:rsidRPr="000823AF">
        <w:t>Delenie zmlúv. Ak sa v jednej zmluve dohodlo zhotovenie viacerých majetkov, účtuje sa o zhotovení jednotlivého majetku tvoriaceho predmet zmluvy ako o samostatnej zákazkovej výrobe, ak sú súčasne splnené tieto podmienky:</w:t>
      </w:r>
    </w:p>
    <w:p w:rsidR="0080706F" w:rsidRPr="000823AF" w:rsidRDefault="0080706F" w:rsidP="0080706F">
      <w:pPr>
        <w:suppressAutoHyphens/>
        <w:autoSpaceDE w:val="0"/>
        <w:autoSpaceDN w:val="0"/>
        <w:adjustRightInd w:val="0"/>
        <w:ind w:left="425"/>
        <w:jc w:val="both"/>
      </w:pPr>
    </w:p>
    <w:p w:rsidR="0080706F" w:rsidRPr="000823AF" w:rsidRDefault="0080706F" w:rsidP="0080706F">
      <w:pPr>
        <w:pStyle w:val="Odsekzoznamu"/>
        <w:numPr>
          <w:ilvl w:val="0"/>
          <w:numId w:val="15"/>
        </w:numPr>
        <w:suppressAutoHyphens/>
        <w:autoSpaceDE w:val="0"/>
        <w:autoSpaceDN w:val="0"/>
        <w:adjustRightInd w:val="0"/>
        <w:jc w:val="both"/>
      </w:pPr>
      <w:r w:rsidRPr="000823AF">
        <w:t>pre jednotlivý majetok sa predložili samostatné ponuky,</w:t>
      </w:r>
    </w:p>
    <w:p w:rsidR="0080706F" w:rsidRPr="000823AF" w:rsidRDefault="0080706F" w:rsidP="0080706F">
      <w:pPr>
        <w:pStyle w:val="Odsekzoznamu"/>
        <w:numPr>
          <w:ilvl w:val="0"/>
          <w:numId w:val="15"/>
        </w:numPr>
        <w:suppressAutoHyphens/>
        <w:autoSpaceDE w:val="0"/>
        <w:autoSpaceDN w:val="0"/>
        <w:adjustRightInd w:val="0"/>
        <w:jc w:val="both"/>
      </w:pPr>
      <w:r w:rsidRPr="000823AF">
        <w:t>jednotlivý majetok bol predmetom samostatného rokovania a zhotoviteľ a objednávateľ mali možnosť prijať alebo odmietnuť tú časť zmluvy, ktorá sa vzťahuje na jednotlivý majetok,</w:t>
      </w:r>
    </w:p>
    <w:p w:rsidR="0080706F" w:rsidRPr="000823AF" w:rsidRDefault="0080706F" w:rsidP="0080706F">
      <w:pPr>
        <w:pStyle w:val="Odsekzoznamu"/>
        <w:numPr>
          <w:ilvl w:val="0"/>
          <w:numId w:val="15"/>
        </w:numPr>
        <w:suppressAutoHyphens/>
        <w:autoSpaceDE w:val="0"/>
        <w:autoSpaceDN w:val="0"/>
        <w:adjustRightInd w:val="0"/>
        <w:jc w:val="both"/>
      </w:pPr>
      <w:r w:rsidRPr="000823AF">
        <w:t>ku jednotlivému majetku možno identifikovať zmluvné náklady a zmluvné výnosy.</w:t>
      </w:r>
    </w:p>
    <w:p w:rsidR="0080706F" w:rsidRPr="000823AF" w:rsidRDefault="0080706F" w:rsidP="0080706F">
      <w:pPr>
        <w:pStyle w:val="Pismenka"/>
        <w:tabs>
          <w:tab w:val="clear" w:pos="360"/>
        </w:tabs>
        <w:ind w:left="0" w:firstLine="0"/>
        <w:rPr>
          <w:b w:val="0"/>
          <w:sz w:val="24"/>
          <w:szCs w:val="24"/>
        </w:rPr>
      </w:pPr>
    </w:p>
    <w:p w:rsidR="0080706F" w:rsidRPr="000823AF" w:rsidRDefault="0080706F" w:rsidP="0080706F">
      <w:pPr>
        <w:pStyle w:val="Pismenka"/>
        <w:numPr>
          <w:ilvl w:val="0"/>
          <w:numId w:val="10"/>
        </w:numPr>
        <w:rPr>
          <w:sz w:val="24"/>
          <w:szCs w:val="24"/>
        </w:rPr>
      </w:pPr>
      <w:r w:rsidRPr="000823AF">
        <w:rPr>
          <w:sz w:val="24"/>
          <w:szCs w:val="24"/>
        </w:rPr>
        <w:t>Zákazková výstavba nehnuteľnosti</w:t>
      </w:r>
    </w:p>
    <w:p w:rsidR="0080706F" w:rsidRPr="000823AF" w:rsidRDefault="0080706F" w:rsidP="0080706F">
      <w:pPr>
        <w:pStyle w:val="Zkladntext"/>
        <w:rPr>
          <w:b/>
          <w:i/>
          <w:sz w:val="24"/>
          <w:szCs w:val="24"/>
        </w:rPr>
      </w:pPr>
      <w:r w:rsidRPr="000823AF">
        <w:rPr>
          <w:b/>
          <w:i/>
          <w:sz w:val="24"/>
          <w:szCs w:val="24"/>
        </w:rPr>
        <w:t>Zákazková výstavba nehnuteľnosti – priebežný transfer</w:t>
      </w:r>
    </w:p>
    <w:p w:rsidR="0080706F" w:rsidRPr="000823AF" w:rsidRDefault="0080706F" w:rsidP="0080706F">
      <w:pPr>
        <w:pStyle w:val="Zkladntext"/>
        <w:rPr>
          <w:sz w:val="24"/>
          <w:szCs w:val="24"/>
        </w:rPr>
      </w:pPr>
      <w:r w:rsidRPr="000823AF">
        <w:rPr>
          <w:sz w:val="24"/>
          <w:szCs w:val="24"/>
        </w:rPr>
        <w:t xml:space="preserve">Zákazková výstavba nehnuteľnosti určenej na predaj sa vykazuje podľa metódy stupňa dokončenia (angl. percentage-of-completion method). </w:t>
      </w:r>
    </w:p>
    <w:p w:rsidR="0080706F" w:rsidRPr="000823AF" w:rsidRDefault="0080706F" w:rsidP="0080706F">
      <w:pPr>
        <w:pStyle w:val="Zkladntext"/>
        <w:ind w:left="0"/>
        <w:rPr>
          <w:sz w:val="24"/>
          <w:szCs w:val="24"/>
        </w:rPr>
      </w:pPr>
    </w:p>
    <w:p w:rsidR="0080706F" w:rsidRPr="000823AF" w:rsidRDefault="0080706F" w:rsidP="0080706F">
      <w:pPr>
        <w:pStyle w:val="Zkladntext"/>
        <w:rPr>
          <w:b/>
          <w:i/>
          <w:sz w:val="24"/>
          <w:szCs w:val="24"/>
        </w:rPr>
      </w:pPr>
      <w:r w:rsidRPr="000823AF">
        <w:rPr>
          <w:b/>
          <w:i/>
          <w:sz w:val="24"/>
          <w:szCs w:val="24"/>
        </w:rPr>
        <w:t>Zákazková výstavba nehnuteľnosti – ostatná (nie priebežný transfer)</w:t>
      </w:r>
    </w:p>
    <w:p w:rsidR="0080706F" w:rsidRDefault="0080706F" w:rsidP="0080706F">
      <w:pPr>
        <w:pStyle w:val="Zkladntext"/>
      </w:pPr>
      <w:r w:rsidRPr="000823AF">
        <w:rPr>
          <w:sz w:val="24"/>
          <w:szCs w:val="24"/>
        </w:rPr>
        <w:t>Zákazková výstavba nehnuteľnosti určenej na predaj – ostatná (nie priebežný transfer) sa vykazuje metódou tzv. nulového zisku, t. j. zisk sa vykáže až pri predaji nehnuteľnosti.</w:t>
      </w:r>
    </w:p>
    <w:p w:rsidR="0080706F" w:rsidRPr="001463C8" w:rsidRDefault="0080706F" w:rsidP="0080706F">
      <w:pPr>
        <w:pStyle w:val="Zkladntext"/>
        <w:rPr>
          <w:sz w:val="24"/>
          <w:szCs w:val="24"/>
        </w:rPr>
      </w:pPr>
    </w:p>
    <w:p w:rsidR="0080706F" w:rsidRPr="000823AF" w:rsidRDefault="0080706F" w:rsidP="0080706F">
      <w:pPr>
        <w:pStyle w:val="Pismenka"/>
        <w:numPr>
          <w:ilvl w:val="0"/>
          <w:numId w:val="10"/>
        </w:numPr>
        <w:rPr>
          <w:sz w:val="24"/>
          <w:szCs w:val="24"/>
        </w:rPr>
      </w:pPr>
      <w:r w:rsidRPr="000823AF">
        <w:rPr>
          <w:sz w:val="24"/>
          <w:szCs w:val="24"/>
        </w:rPr>
        <w:t>Pohľadávky</w:t>
      </w:r>
    </w:p>
    <w:p w:rsidR="0080706F" w:rsidRPr="000823AF" w:rsidRDefault="0080706F" w:rsidP="0080706F">
      <w:pPr>
        <w:pStyle w:val="Zkladntext"/>
        <w:rPr>
          <w:sz w:val="24"/>
          <w:szCs w:val="24"/>
        </w:rPr>
      </w:pPr>
      <w:r w:rsidRPr="000823AF">
        <w:rPr>
          <w:sz w:val="24"/>
          <w:szCs w:val="24"/>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t xml:space="preserve">Pri dlhodobých pôžičkách a pohľadávkach, ak je zostatková doba splatnosti pohľadávky alebo pôžičky dlhšia ako jeden rok, upravuje sa hodnota tejto pohľadávky alebo pôžičky formou opravnej položky, ktorá predstavuje rozdiel medzi menovitou a súčasnou hodnotou pohľadávky. Súčasná hodnota pohľadávky sa počíta ak súčet súčinov budúcich peňažných príjmov a príslušných diskontných faktorov. </w:t>
      </w:r>
    </w:p>
    <w:p w:rsidR="0080706F" w:rsidRPr="000823AF" w:rsidRDefault="0080706F" w:rsidP="0080706F">
      <w:pPr>
        <w:pStyle w:val="Zkladntext"/>
        <w:ind w:left="0"/>
        <w:rPr>
          <w:sz w:val="24"/>
          <w:szCs w:val="24"/>
        </w:rPr>
      </w:pPr>
    </w:p>
    <w:p w:rsidR="0080706F" w:rsidRPr="000823AF" w:rsidRDefault="0080706F" w:rsidP="0080706F">
      <w:pPr>
        <w:pStyle w:val="Pismenka"/>
        <w:numPr>
          <w:ilvl w:val="0"/>
          <w:numId w:val="10"/>
        </w:numPr>
        <w:rPr>
          <w:sz w:val="24"/>
          <w:szCs w:val="24"/>
        </w:rPr>
      </w:pPr>
      <w:r w:rsidRPr="000823AF">
        <w:rPr>
          <w:sz w:val="24"/>
          <w:szCs w:val="24"/>
        </w:rPr>
        <w:t>Krátkodobý finančný majetok</w:t>
      </w:r>
    </w:p>
    <w:p w:rsidR="0080706F" w:rsidRPr="000823AF" w:rsidRDefault="0080706F" w:rsidP="0080706F">
      <w:pPr>
        <w:pStyle w:val="Zkladntext"/>
        <w:rPr>
          <w:b/>
          <w:sz w:val="24"/>
          <w:szCs w:val="24"/>
        </w:rPr>
      </w:pPr>
      <w:r w:rsidRPr="000823AF">
        <w:rPr>
          <w:sz w:val="24"/>
          <w:szCs w:val="24"/>
        </w:rPr>
        <w:t>Krátkodobý finančný majetok predstavujú krátkodobé cenné papiere majetkového alebo úverového charakteru,  ktoré sú  v čase obstarania splatné do jedného roka, príp. určené na predaj do jedného roka od ich obstarania,  vlastné akcie a vlastné obchodné podiely a emisné kvóty.</w:t>
      </w:r>
    </w:p>
    <w:p w:rsidR="0080706F" w:rsidRPr="000823AF" w:rsidRDefault="0080706F" w:rsidP="0080706F">
      <w:pPr>
        <w:pStyle w:val="odstavec"/>
        <w:ind w:left="0"/>
        <w:rPr>
          <w:sz w:val="24"/>
          <w:szCs w:val="24"/>
        </w:rPr>
      </w:pPr>
    </w:p>
    <w:p w:rsidR="0080706F" w:rsidRPr="000823AF" w:rsidRDefault="0080706F" w:rsidP="0080706F">
      <w:pPr>
        <w:pStyle w:val="Pismenka"/>
        <w:numPr>
          <w:ilvl w:val="0"/>
          <w:numId w:val="10"/>
        </w:numPr>
        <w:rPr>
          <w:sz w:val="24"/>
          <w:szCs w:val="24"/>
        </w:rPr>
      </w:pPr>
      <w:r w:rsidRPr="000823AF">
        <w:rPr>
          <w:sz w:val="24"/>
          <w:szCs w:val="24"/>
        </w:rPr>
        <w:t>Vlastné akcie a vlastné obchodné podiely</w:t>
      </w:r>
    </w:p>
    <w:p w:rsidR="0080706F" w:rsidRPr="000823AF" w:rsidRDefault="0080706F" w:rsidP="0080706F">
      <w:pPr>
        <w:pStyle w:val="Pismenka"/>
        <w:tabs>
          <w:tab w:val="clear" w:pos="360"/>
        </w:tabs>
        <w:ind w:left="426" w:firstLine="0"/>
        <w:rPr>
          <w:sz w:val="24"/>
          <w:szCs w:val="24"/>
        </w:rPr>
      </w:pPr>
      <w:r w:rsidRPr="000823AF">
        <w:rPr>
          <w:b w:val="0"/>
          <w:sz w:val="24"/>
          <w:szCs w:val="24"/>
        </w:rPr>
        <w:t xml:space="preserve">Vlastné akcie a vlastné obchodné podiely sa oceňujú obstarávacou cenou. Na vlastné akcie a vlastné obchodné podiely sa vo vlastnom imaní vytvára rezervný fond. </w:t>
      </w:r>
    </w:p>
    <w:p w:rsidR="0080706F" w:rsidRPr="000823AF" w:rsidRDefault="0080706F" w:rsidP="0080706F">
      <w:pPr>
        <w:pStyle w:val="Zkladntext"/>
        <w:rPr>
          <w:sz w:val="24"/>
          <w:szCs w:val="24"/>
        </w:rPr>
      </w:pPr>
    </w:p>
    <w:p w:rsidR="0080706F" w:rsidRPr="000823AF" w:rsidRDefault="0080706F" w:rsidP="0080706F">
      <w:pPr>
        <w:pStyle w:val="Pismenka"/>
        <w:numPr>
          <w:ilvl w:val="0"/>
          <w:numId w:val="10"/>
        </w:numPr>
        <w:rPr>
          <w:sz w:val="24"/>
          <w:szCs w:val="24"/>
        </w:rPr>
      </w:pPr>
      <w:r w:rsidRPr="000823AF">
        <w:rPr>
          <w:sz w:val="24"/>
          <w:szCs w:val="24"/>
        </w:rPr>
        <w:t>Finančné účty</w:t>
      </w:r>
    </w:p>
    <w:p w:rsidR="0080706F" w:rsidRPr="00CD4BBA" w:rsidRDefault="0080706F" w:rsidP="0080706F">
      <w:pPr>
        <w:pStyle w:val="Pismenka"/>
        <w:tabs>
          <w:tab w:val="clear" w:pos="360"/>
        </w:tabs>
        <w:ind w:left="426" w:firstLine="0"/>
        <w:rPr>
          <w:b w:val="0"/>
          <w:sz w:val="24"/>
          <w:szCs w:val="24"/>
        </w:rPr>
      </w:pPr>
      <w:r w:rsidRPr="00CD4BBA">
        <w:rPr>
          <w:b w:val="0"/>
          <w:sz w:val="24"/>
          <w:szCs w:val="24"/>
        </w:rPr>
        <w:t xml:space="preserve">Finančné účty tvorí peňažná hotovosť, ceniny, zostatky na bankových účtoch a oceňujú sa menovitou hodnotou. Zníženie ich hodnoty sa vyjadruje opravnou položkou. </w:t>
      </w:r>
    </w:p>
    <w:p w:rsidR="0080706F" w:rsidRPr="00CD4BBA" w:rsidRDefault="0080706F" w:rsidP="0080706F">
      <w:pPr>
        <w:pStyle w:val="odstavec"/>
        <w:rPr>
          <w:sz w:val="24"/>
          <w:szCs w:val="24"/>
        </w:rPr>
      </w:pPr>
    </w:p>
    <w:p w:rsidR="0080706F" w:rsidRPr="000823AF" w:rsidRDefault="0080706F" w:rsidP="0080706F">
      <w:pPr>
        <w:pStyle w:val="Pismenka"/>
        <w:numPr>
          <w:ilvl w:val="0"/>
          <w:numId w:val="10"/>
        </w:numPr>
        <w:rPr>
          <w:sz w:val="24"/>
          <w:szCs w:val="24"/>
        </w:rPr>
      </w:pPr>
      <w:r w:rsidRPr="000823AF">
        <w:rPr>
          <w:sz w:val="24"/>
          <w:szCs w:val="24"/>
        </w:rPr>
        <w:t>Emisné kvóty</w:t>
      </w:r>
    </w:p>
    <w:p w:rsidR="0080706F" w:rsidRPr="00CD4BBA" w:rsidRDefault="0080706F" w:rsidP="0080706F">
      <w:pPr>
        <w:pStyle w:val="Pismenka"/>
        <w:tabs>
          <w:tab w:val="clear" w:pos="360"/>
        </w:tabs>
        <w:ind w:left="426" w:firstLine="0"/>
        <w:rPr>
          <w:b w:val="0"/>
          <w:sz w:val="24"/>
          <w:szCs w:val="24"/>
        </w:rPr>
      </w:pPr>
      <w:r w:rsidRPr="000823AF">
        <w:rPr>
          <w:b w:val="0"/>
          <w:sz w:val="24"/>
          <w:szCs w:val="24"/>
        </w:rPr>
        <w:t xml:space="preserve">Bezodplatne pridelené emisné kvóty sú vykázané ako krátkodobý finančný majetok súvzťažne s účtom výnosov budúcich období a oceňujú sa reprodukčnou obstarávacou cenou ku dňu ich pripísania na účet Národného registra emisných kvót. Ako referenčnú burzu na stanovenie reprodukčnej obstarávacej ceny Spoločnosť používa </w:t>
      </w:r>
      <w:r w:rsidRPr="00CD4BBA">
        <w:rPr>
          <w:b w:val="0"/>
          <w:sz w:val="24"/>
          <w:szCs w:val="24"/>
        </w:rPr>
        <w:t>Európsku energetickú burzu.</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t>Zúčtovanie výnosov budúcich období sa uskutočňuje v časovej a vecnej súvislosti s použitím bezodplatne pripísaných emisných kvót z dôvodu ich predaja alebo tvorby rezervy alebo splnenia povinnosti odovzdania emisných kvót.</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t xml:space="preserve">Nakúpené emisné kvóty sa oceňujú obstarávacou cenou. </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t xml:space="preserve">Ku dňu, ku ktorému sa zostavuje účtovná závierka sa vytvára rezerva na emisie vypustené do ovzdušia vo výške násobku známeho množstva vypustených emisií do ovzdušia a hodnoty emisných kvót stanovenej </w:t>
      </w:r>
      <w:r w:rsidRPr="00CD4BBA">
        <w:rPr>
          <w:sz w:val="24"/>
          <w:szCs w:val="24"/>
        </w:rPr>
        <w:t>Európskou energetickou burzou. Tvorba</w:t>
      </w:r>
      <w:r w:rsidRPr="000823AF">
        <w:rPr>
          <w:sz w:val="24"/>
          <w:szCs w:val="24"/>
        </w:rPr>
        <w:t xml:space="preserve"> rezervy sa vykáže ako ostatné náklady na hospodársku činnosť pričom zároveň sa zúčtuje časové rozlíšenie výnosov budúcich období ako ostatné výnosy z hospodárskej činnosti v časovej a vecnej súvislosti s použitím bezodplatne pridelených emisných kvót.  </w:t>
      </w:r>
    </w:p>
    <w:p w:rsidR="0080706F" w:rsidRPr="000823AF" w:rsidRDefault="0080706F" w:rsidP="0080706F">
      <w:pPr>
        <w:pStyle w:val="Zkladntext"/>
        <w:rPr>
          <w:sz w:val="24"/>
          <w:szCs w:val="24"/>
        </w:rPr>
      </w:pPr>
    </w:p>
    <w:p w:rsidR="0080706F" w:rsidRPr="000823AF" w:rsidRDefault="0080706F" w:rsidP="0080706F">
      <w:pPr>
        <w:pStyle w:val="Pismenka"/>
        <w:numPr>
          <w:ilvl w:val="0"/>
          <w:numId w:val="10"/>
        </w:numPr>
        <w:rPr>
          <w:sz w:val="24"/>
          <w:szCs w:val="24"/>
        </w:rPr>
      </w:pPr>
      <w:r w:rsidRPr="000823AF">
        <w:rPr>
          <w:sz w:val="24"/>
          <w:szCs w:val="24"/>
        </w:rPr>
        <w:t>Náklady budúcich období a príjmy budúcich období</w:t>
      </w:r>
    </w:p>
    <w:p w:rsidR="0080706F" w:rsidRPr="000823AF" w:rsidRDefault="0080706F" w:rsidP="0080706F">
      <w:pPr>
        <w:pStyle w:val="Zkladntext"/>
        <w:rPr>
          <w:sz w:val="24"/>
          <w:szCs w:val="24"/>
        </w:rPr>
      </w:pPr>
      <w:r w:rsidRPr="000823AF">
        <w:rPr>
          <w:sz w:val="24"/>
          <w:szCs w:val="24"/>
        </w:rPr>
        <w:t>Náklady budúcich období a príjmy budúcich období sa vykazujú vo výške, ktorá je potrebná na dodržanie zásady vecnej a časovej súvislosti s účtovným obdobím.</w:t>
      </w:r>
    </w:p>
    <w:p w:rsidR="0080706F" w:rsidRPr="000823AF" w:rsidRDefault="0080706F" w:rsidP="0080706F">
      <w:pPr>
        <w:pStyle w:val="Zkladntext"/>
        <w:rPr>
          <w:sz w:val="24"/>
          <w:szCs w:val="24"/>
        </w:rPr>
      </w:pPr>
    </w:p>
    <w:p w:rsidR="0080706F" w:rsidRPr="000823AF" w:rsidRDefault="0080706F" w:rsidP="0080706F">
      <w:pPr>
        <w:pStyle w:val="Pismenka"/>
        <w:numPr>
          <w:ilvl w:val="0"/>
          <w:numId w:val="10"/>
        </w:numPr>
        <w:rPr>
          <w:sz w:val="24"/>
          <w:szCs w:val="24"/>
        </w:rPr>
      </w:pPr>
      <w:r w:rsidRPr="000823AF">
        <w:rPr>
          <w:sz w:val="24"/>
          <w:szCs w:val="24"/>
        </w:rPr>
        <w:t>Zníženie hodnoty majetku a opravné položky</w:t>
      </w:r>
    </w:p>
    <w:p w:rsidR="0080706F" w:rsidRPr="000823AF" w:rsidRDefault="0080706F" w:rsidP="0080706F">
      <w:pPr>
        <w:pStyle w:val="Pismenka"/>
        <w:tabs>
          <w:tab w:val="clear" w:pos="360"/>
        </w:tabs>
        <w:ind w:left="426" w:firstLine="0"/>
        <w:rPr>
          <w:b w:val="0"/>
          <w:sz w:val="24"/>
          <w:szCs w:val="24"/>
        </w:rPr>
      </w:pPr>
      <w:r w:rsidRPr="000823AF">
        <w:rPr>
          <w:b w:val="0"/>
          <w:sz w:val="24"/>
          <w:szCs w:val="24"/>
        </w:rPr>
        <w:t xml:space="preserve">Opravné položky sa tvoria na základe zásady opatrnosti, ak je opodstatnené predpokladať, že došlo k zníženiu hodnoty majetku oproti jeho oceneniu v účtovníctve. Opravná položka sa účtuje v sume opodstatneného predpokladu zníženia hodnoty </w:t>
      </w:r>
      <w:r w:rsidRPr="000823AF">
        <w:rPr>
          <w:b w:val="0"/>
          <w:sz w:val="24"/>
          <w:szCs w:val="24"/>
        </w:rPr>
        <w:lastRenderedPageBreak/>
        <w:t>majetku oproti jeho oceneniu v účtovníctve. Opravné položky sa zrušia alebo zmení sa ich výška, ak nastane zmena predpokladu zníženia hodnoty.</w:t>
      </w:r>
    </w:p>
    <w:p w:rsidR="0080706F" w:rsidRDefault="0080706F" w:rsidP="0080706F">
      <w:pPr>
        <w:rPr>
          <w:b/>
        </w:rPr>
      </w:pPr>
    </w:p>
    <w:p w:rsidR="0080706F" w:rsidRPr="00CD4BBA" w:rsidRDefault="0080706F" w:rsidP="0080706F">
      <w:pPr>
        <w:rPr>
          <w:b/>
        </w:rPr>
      </w:pPr>
      <w:r>
        <w:rPr>
          <w:b/>
          <w:i/>
        </w:rPr>
        <w:t xml:space="preserve">       </w:t>
      </w:r>
      <w:r w:rsidRPr="00CD4BBA">
        <w:rPr>
          <w:b/>
          <w:i/>
        </w:rPr>
        <w:t>Zníženie hodnoty dlhodobého majetku a zásob</w:t>
      </w:r>
    </w:p>
    <w:p w:rsidR="0080706F" w:rsidRPr="000823AF" w:rsidRDefault="0080706F" w:rsidP="0080706F">
      <w:pPr>
        <w:pStyle w:val="Pismenka"/>
        <w:tabs>
          <w:tab w:val="clear" w:pos="360"/>
        </w:tabs>
        <w:ind w:left="426" w:firstLine="0"/>
        <w:rPr>
          <w:b w:val="0"/>
          <w:sz w:val="24"/>
          <w:szCs w:val="24"/>
        </w:rPr>
      </w:pPr>
      <w:r w:rsidRPr="000823AF">
        <w:rPr>
          <w:b w:val="0"/>
          <w:sz w:val="24"/>
          <w:szCs w:val="24"/>
        </w:rPr>
        <w:t xml:space="preserve">Ku každému dňu, ku ktorému sa zostavuje účtovná závierka, je účtovná hodnota majetku Spoločnosti, iného ako odloženej daňovej pohľadávky (pozri bod </w:t>
      </w:r>
      <w:r w:rsidRPr="000823AF">
        <w:rPr>
          <w:b w:val="0"/>
          <w:sz w:val="24"/>
          <w:szCs w:val="24"/>
          <w:highlight w:val="lightGray"/>
        </w:rPr>
        <w:t>D.19</w:t>
      </w:r>
      <w:r w:rsidRPr="000823AF">
        <w:rPr>
          <w:b w:val="0"/>
          <w:sz w:val="24"/>
          <w:szCs w:val="24"/>
        </w:rPr>
        <w:t xml:space="preserve">. Odložené dane) posudzovaná s cieľom zistiť, či existujú indikátory, že by mohlo dôjsť k zníženiu hodnoty majetku. Ak takéto indikátory existujú, potom sa odhadnú predpokladané budúce ekonomické úžitky z daného majetku. </w:t>
      </w:r>
    </w:p>
    <w:p w:rsidR="0080706F" w:rsidRPr="000823AF" w:rsidRDefault="0080706F" w:rsidP="0080706F">
      <w:pPr>
        <w:pStyle w:val="Pismenka"/>
        <w:tabs>
          <w:tab w:val="clear" w:pos="360"/>
        </w:tabs>
        <w:ind w:left="426" w:firstLine="0"/>
        <w:rPr>
          <w:b w:val="0"/>
          <w:sz w:val="24"/>
          <w:szCs w:val="24"/>
        </w:rPr>
      </w:pPr>
    </w:p>
    <w:p w:rsidR="0080706F" w:rsidRPr="000823AF" w:rsidRDefault="0080706F" w:rsidP="0080706F">
      <w:pPr>
        <w:pStyle w:val="Pismenka"/>
        <w:tabs>
          <w:tab w:val="clear" w:pos="360"/>
        </w:tabs>
        <w:ind w:left="426" w:firstLine="0"/>
        <w:rPr>
          <w:b w:val="0"/>
          <w:sz w:val="24"/>
          <w:szCs w:val="24"/>
        </w:rPr>
      </w:pPr>
      <w:r w:rsidRPr="000823AF">
        <w:rPr>
          <w:b w:val="0"/>
          <w:sz w:val="24"/>
          <w:szCs w:val="24"/>
        </w:rPr>
        <w:t xml:space="preserve">Opravné položky vykázané v predchádzajúcich obdobiach sa prehodnocujú ku každému dňu, ku ktorému sa zostavuje účtovná závierka s cieľom zistiť, či existujú indikátory, ktoré by naznačovali, že došlo k zmene v predpoklade zníženia hodnoty majetku alebo tento predpoklad prestal existovať. Opravná položka sa zruší, ak došlo k zmene predpokladov použitých na určenie predpokladaných ekonomických úžitkov z daného majetku. Opravná položka sa zruší len v rozsahu, v akom účtovná hodnota majetku neprevýši tú účtovnú hodnotu, ktorá by bola stanovená po zohľadnení odpisov, ak by opravná položka nebola vykázaná. </w:t>
      </w:r>
    </w:p>
    <w:p w:rsidR="0080706F" w:rsidRPr="000823AF" w:rsidRDefault="0080706F" w:rsidP="0080706F">
      <w:pPr>
        <w:pStyle w:val="Pismenka"/>
        <w:tabs>
          <w:tab w:val="clear" w:pos="360"/>
        </w:tabs>
        <w:ind w:left="0" w:firstLine="0"/>
        <w:rPr>
          <w:b w:val="0"/>
          <w:sz w:val="24"/>
          <w:szCs w:val="24"/>
        </w:rPr>
      </w:pPr>
    </w:p>
    <w:p w:rsidR="0080706F" w:rsidRPr="000823AF" w:rsidRDefault="0080706F" w:rsidP="0080706F">
      <w:pPr>
        <w:pStyle w:val="Pismenka"/>
        <w:tabs>
          <w:tab w:val="clear" w:pos="360"/>
        </w:tabs>
        <w:ind w:left="426" w:firstLine="0"/>
        <w:rPr>
          <w:i/>
          <w:sz w:val="24"/>
          <w:szCs w:val="24"/>
        </w:rPr>
      </w:pPr>
      <w:r w:rsidRPr="000823AF">
        <w:rPr>
          <w:i/>
          <w:sz w:val="24"/>
          <w:szCs w:val="24"/>
        </w:rPr>
        <w:t xml:space="preserve">Zníženie hodnoty finančného majetku a pohľadávok </w:t>
      </w:r>
    </w:p>
    <w:p w:rsidR="0080706F" w:rsidRPr="000823AF" w:rsidRDefault="0080706F" w:rsidP="0080706F">
      <w:pPr>
        <w:pStyle w:val="Pismenka"/>
        <w:tabs>
          <w:tab w:val="clear" w:pos="360"/>
        </w:tabs>
        <w:ind w:left="426" w:firstLine="0"/>
        <w:rPr>
          <w:b w:val="0"/>
          <w:sz w:val="24"/>
          <w:szCs w:val="24"/>
        </w:rPr>
      </w:pPr>
      <w:r w:rsidRPr="000823AF">
        <w:rPr>
          <w:b w:val="0"/>
          <w:sz w:val="24"/>
          <w:szCs w:val="24"/>
        </w:rPr>
        <w:t>Ku každému dňu, ku ktorému sa zostavuje účtovná závierka sa finančný majetok, ktorý nie je ocenený reálnou hodnotou posudzuje s cieľom zistiť, či existujú objektívne dôkazy zníženia jeho hodnoty.</w:t>
      </w:r>
    </w:p>
    <w:p w:rsidR="0080706F" w:rsidRPr="000823AF" w:rsidRDefault="0080706F" w:rsidP="0080706F">
      <w:pPr>
        <w:pStyle w:val="Pismenka"/>
        <w:tabs>
          <w:tab w:val="clear" w:pos="360"/>
        </w:tabs>
        <w:ind w:left="426" w:firstLine="0"/>
        <w:rPr>
          <w:b w:val="0"/>
          <w:sz w:val="24"/>
          <w:szCs w:val="24"/>
        </w:rPr>
      </w:pPr>
    </w:p>
    <w:p w:rsidR="0080706F" w:rsidRPr="000823AF" w:rsidRDefault="0080706F" w:rsidP="0080706F">
      <w:pPr>
        <w:pStyle w:val="Pismenka"/>
        <w:tabs>
          <w:tab w:val="clear" w:pos="360"/>
        </w:tabs>
        <w:ind w:left="426" w:firstLine="0"/>
        <w:rPr>
          <w:b w:val="0"/>
          <w:sz w:val="24"/>
          <w:szCs w:val="24"/>
        </w:rPr>
      </w:pPr>
      <w:r w:rsidRPr="000823AF">
        <w:rPr>
          <w:b w:val="0"/>
          <w:sz w:val="24"/>
          <w:szCs w:val="24"/>
        </w:rPr>
        <w:t>Medzi objektívne dôkazy o znížení hodnoty finančného majetku patrí nesplácanie dlhu alebo protiprávne konanie dlžníka, reštrukturalizácia pohľadávok Spoločnosti za podmienok, o ktorých by Spoločnosť za normálnej situácie</w:t>
      </w:r>
      <w:r w:rsidRPr="000823AF">
        <w:rPr>
          <w:sz w:val="24"/>
          <w:szCs w:val="24"/>
        </w:rPr>
        <w:t xml:space="preserve"> </w:t>
      </w:r>
      <w:r w:rsidRPr="000823AF">
        <w:rPr>
          <w:b w:val="0"/>
          <w:sz w:val="24"/>
          <w:szCs w:val="24"/>
        </w:rPr>
        <w:t xml:space="preserve">neuvažovala, indikácie, že na majetok dlžníka alebo emitenta bude vyhlásený konkurz, alebo skutočnosť, že pre cenný papier prestal existovať aktívny trh. Objektívnym dôkazom zníženia hodnoty investícií do majetkových cenných papierov je aj významné alebo dlhodobé zníženie ich reálnej hodnoty pod úroveň ich obstarávacej ceny. </w:t>
      </w:r>
    </w:p>
    <w:p w:rsidR="0080706F" w:rsidRPr="000823AF" w:rsidRDefault="0080706F" w:rsidP="0080706F">
      <w:pPr>
        <w:pStyle w:val="Pismenka"/>
        <w:tabs>
          <w:tab w:val="clear" w:pos="360"/>
        </w:tabs>
        <w:ind w:left="426" w:firstLine="0"/>
        <w:rPr>
          <w:b w:val="0"/>
          <w:i/>
          <w:sz w:val="24"/>
          <w:szCs w:val="24"/>
        </w:rPr>
      </w:pPr>
    </w:p>
    <w:p w:rsidR="0080706F" w:rsidRPr="000823AF" w:rsidRDefault="0080706F" w:rsidP="0080706F">
      <w:pPr>
        <w:pStyle w:val="Pismenka"/>
        <w:tabs>
          <w:tab w:val="clear" w:pos="360"/>
        </w:tabs>
        <w:ind w:left="426" w:firstLine="0"/>
        <w:rPr>
          <w:b w:val="0"/>
          <w:sz w:val="24"/>
          <w:szCs w:val="24"/>
        </w:rPr>
      </w:pPr>
      <w:r w:rsidRPr="000823AF">
        <w:rPr>
          <w:b w:val="0"/>
          <w:sz w:val="24"/>
          <w:szCs w:val="24"/>
        </w:rPr>
        <w:t>Predpokladané budúce ekonomické úžitky z investícií Spoločnosti v podielových cenných papieroch a v podieloch a z pohľadávok sa vypočíta ako súčasná hodnota odhadovaných diskontovaných budúcich peňažných tokov. Pri určení návratnej hodnoty úverov a pohľadávok sa tiež berie do úvahy schopnosť a výkonnosť dlžníka a hodnota kolaterálov a záruk od tretích strán.</w:t>
      </w:r>
    </w:p>
    <w:p w:rsidR="0080706F" w:rsidRPr="000823AF" w:rsidRDefault="0080706F" w:rsidP="0080706F">
      <w:pPr>
        <w:pStyle w:val="Pismenka"/>
        <w:tabs>
          <w:tab w:val="clear" w:pos="360"/>
        </w:tabs>
        <w:ind w:left="426" w:firstLine="0"/>
        <w:rPr>
          <w:b w:val="0"/>
          <w:sz w:val="24"/>
          <w:szCs w:val="24"/>
        </w:rPr>
      </w:pPr>
    </w:p>
    <w:p w:rsidR="0080706F" w:rsidRDefault="0080706F" w:rsidP="0080706F">
      <w:pPr>
        <w:pStyle w:val="Pismenka"/>
        <w:tabs>
          <w:tab w:val="clear" w:pos="360"/>
        </w:tabs>
        <w:ind w:left="426" w:firstLine="0"/>
        <w:rPr>
          <w:b w:val="0"/>
          <w:sz w:val="24"/>
          <w:szCs w:val="24"/>
        </w:rPr>
      </w:pPr>
      <w:r w:rsidRPr="000823AF">
        <w:rPr>
          <w:b w:val="0"/>
          <w:sz w:val="24"/>
          <w:szCs w:val="24"/>
        </w:rPr>
        <w:t>Opravná položka sa zruší, ak následné zvýšenie predpokladaných budúcich ekonomických úžitkov možno objektívne spájať s udalosťou, ktorá nastala po vykázaní opravnej položky.</w:t>
      </w:r>
    </w:p>
    <w:p w:rsidR="0080706F" w:rsidRPr="000823AF" w:rsidRDefault="0080706F" w:rsidP="0080706F">
      <w:pPr>
        <w:pStyle w:val="Pismenka"/>
        <w:tabs>
          <w:tab w:val="clear" w:pos="360"/>
        </w:tabs>
        <w:ind w:left="426" w:firstLine="0"/>
        <w:rPr>
          <w:b w:val="0"/>
          <w:sz w:val="24"/>
          <w:szCs w:val="24"/>
        </w:rPr>
      </w:pPr>
    </w:p>
    <w:p w:rsidR="0080706F" w:rsidRPr="000823AF" w:rsidRDefault="0080706F" w:rsidP="0080706F">
      <w:pPr>
        <w:pStyle w:val="Pismenka"/>
        <w:numPr>
          <w:ilvl w:val="0"/>
          <w:numId w:val="10"/>
        </w:numPr>
        <w:rPr>
          <w:sz w:val="24"/>
          <w:szCs w:val="24"/>
        </w:rPr>
      </w:pPr>
      <w:r w:rsidRPr="000823AF">
        <w:rPr>
          <w:sz w:val="24"/>
          <w:szCs w:val="24"/>
        </w:rPr>
        <w:t>Záväzky</w:t>
      </w:r>
    </w:p>
    <w:p w:rsidR="0080706F" w:rsidRPr="000823AF" w:rsidRDefault="0080706F" w:rsidP="0080706F">
      <w:pPr>
        <w:pStyle w:val="Zkladntext"/>
        <w:rPr>
          <w:sz w:val="24"/>
          <w:szCs w:val="24"/>
        </w:rPr>
      </w:pPr>
      <w:r w:rsidRPr="000823AF">
        <w:rPr>
          <w:sz w:val="24"/>
          <w:szCs w:val="24"/>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rsidR="0080706F" w:rsidRPr="000823AF" w:rsidRDefault="0080706F" w:rsidP="0080706F">
      <w:pPr>
        <w:pStyle w:val="Zkladntext"/>
        <w:rPr>
          <w:sz w:val="24"/>
          <w:szCs w:val="24"/>
        </w:rPr>
      </w:pPr>
    </w:p>
    <w:p w:rsidR="0080706F" w:rsidRPr="000823AF" w:rsidRDefault="0080706F" w:rsidP="0080706F">
      <w:pPr>
        <w:pStyle w:val="Pismenka"/>
        <w:numPr>
          <w:ilvl w:val="0"/>
          <w:numId w:val="10"/>
        </w:numPr>
        <w:rPr>
          <w:sz w:val="24"/>
          <w:szCs w:val="24"/>
        </w:rPr>
      </w:pPr>
      <w:r w:rsidRPr="000823AF">
        <w:rPr>
          <w:sz w:val="24"/>
          <w:szCs w:val="24"/>
        </w:rPr>
        <w:t>Rezervy</w:t>
      </w:r>
    </w:p>
    <w:p w:rsidR="0080706F" w:rsidRPr="000823AF" w:rsidRDefault="0080706F" w:rsidP="0080706F">
      <w:pPr>
        <w:pStyle w:val="Zkladntext"/>
        <w:rPr>
          <w:b/>
          <w:sz w:val="24"/>
          <w:szCs w:val="24"/>
        </w:rPr>
      </w:pPr>
      <w:r w:rsidRPr="000823AF">
        <w:rPr>
          <w:sz w:val="24"/>
          <w:szCs w:val="24"/>
        </w:rPr>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rsidR="0080706F" w:rsidRPr="000823AF" w:rsidRDefault="0080706F" w:rsidP="0080706F">
      <w:pPr>
        <w:pStyle w:val="Zkladntext"/>
        <w:rPr>
          <w:b/>
          <w:sz w:val="24"/>
          <w:szCs w:val="24"/>
        </w:rPr>
      </w:pPr>
    </w:p>
    <w:p w:rsidR="0080706F" w:rsidRPr="000823AF" w:rsidRDefault="0080706F" w:rsidP="0080706F">
      <w:pPr>
        <w:pStyle w:val="Zkladntext"/>
        <w:rPr>
          <w:b/>
          <w:sz w:val="24"/>
          <w:szCs w:val="24"/>
        </w:rPr>
      </w:pPr>
      <w:r w:rsidRPr="000823AF">
        <w:rPr>
          <w:sz w:val="24"/>
          <w:szCs w:val="24"/>
        </w:rPr>
        <w:t xml:space="preserve">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 </w:t>
      </w:r>
    </w:p>
    <w:p w:rsidR="0080706F" w:rsidRPr="000823AF" w:rsidRDefault="0080706F" w:rsidP="0080706F">
      <w:pPr>
        <w:pStyle w:val="Zkladntext"/>
        <w:rPr>
          <w:b/>
          <w:sz w:val="24"/>
          <w:szCs w:val="24"/>
        </w:rPr>
      </w:pPr>
    </w:p>
    <w:p w:rsidR="0080706F" w:rsidRPr="000823AF" w:rsidRDefault="0080706F" w:rsidP="0080706F">
      <w:pPr>
        <w:pStyle w:val="Zkladntext"/>
        <w:rPr>
          <w:b/>
          <w:sz w:val="24"/>
          <w:szCs w:val="24"/>
        </w:rPr>
      </w:pPr>
      <w:r w:rsidRPr="000823AF">
        <w:rPr>
          <w:sz w:val="24"/>
          <w:szCs w:val="24"/>
        </w:rPr>
        <w:t xml:space="preserve">Tvorba rezervy na bonusy, rabaty, skontá a vrátenie kúpnej ceny pri reklamácii sa účtuje ako zníženie pôvodne dosiahnutých výnosov so súvzťažným zápisom v prospech účtu rezerv. </w:t>
      </w:r>
    </w:p>
    <w:p w:rsidR="0080706F" w:rsidRPr="000823AF" w:rsidRDefault="0080706F" w:rsidP="0080706F">
      <w:pPr>
        <w:pStyle w:val="Pismenka"/>
        <w:tabs>
          <w:tab w:val="clear" w:pos="360"/>
        </w:tabs>
        <w:ind w:firstLine="0"/>
        <w:rPr>
          <w:b w:val="0"/>
          <w:sz w:val="24"/>
          <w:szCs w:val="24"/>
        </w:rPr>
      </w:pPr>
    </w:p>
    <w:p w:rsidR="0080706F" w:rsidRPr="000823AF" w:rsidRDefault="0080706F" w:rsidP="0080706F">
      <w:pPr>
        <w:pStyle w:val="Zkladntext"/>
        <w:rPr>
          <w:b/>
          <w:sz w:val="24"/>
          <w:szCs w:val="24"/>
        </w:rPr>
      </w:pPr>
      <w:r w:rsidRPr="000823AF">
        <w:rPr>
          <w:b/>
          <w:sz w:val="24"/>
          <w:szCs w:val="24"/>
        </w:rPr>
        <w:t>Rezerva na odstupné</w:t>
      </w:r>
    </w:p>
    <w:p w:rsidR="0080706F" w:rsidRPr="000823AF" w:rsidRDefault="0080706F" w:rsidP="0080706F">
      <w:pPr>
        <w:pStyle w:val="Zkladntext"/>
        <w:rPr>
          <w:sz w:val="24"/>
          <w:szCs w:val="24"/>
        </w:rPr>
      </w:pPr>
      <w:r w:rsidRPr="000823AF">
        <w:rPr>
          <w:sz w:val="24"/>
          <w:szCs w:val="24"/>
        </w:rPr>
        <w:t xml:space="preserve">Rezerva na odstupné </w:t>
      </w:r>
      <w:r>
        <w:rPr>
          <w:sz w:val="24"/>
          <w:szCs w:val="24"/>
        </w:rPr>
        <w:t xml:space="preserve">môže </w:t>
      </w:r>
      <w:r w:rsidRPr="000823AF">
        <w:rPr>
          <w:sz w:val="24"/>
          <w:szCs w:val="24"/>
        </w:rPr>
        <w:t>b</w:t>
      </w:r>
      <w:r>
        <w:rPr>
          <w:sz w:val="24"/>
          <w:szCs w:val="24"/>
        </w:rPr>
        <w:t>yť</w:t>
      </w:r>
      <w:r w:rsidRPr="000823AF">
        <w:rPr>
          <w:sz w:val="24"/>
          <w:szCs w:val="24"/>
        </w:rPr>
        <w:t xml:space="preserve"> vytvorená v súvislosti s plánovaným znížením počtu zamestnancov a b</w:t>
      </w:r>
      <w:r>
        <w:rPr>
          <w:sz w:val="24"/>
          <w:szCs w:val="24"/>
        </w:rPr>
        <w:t>ude</w:t>
      </w:r>
      <w:r w:rsidRPr="000823AF">
        <w:rPr>
          <w:sz w:val="24"/>
          <w:szCs w:val="24"/>
        </w:rPr>
        <w:t xml:space="preserve"> tvorená na základe priemerných mesačných miezd a plánovaného zníženia počtu zamestnancov. </w:t>
      </w:r>
    </w:p>
    <w:p w:rsidR="0080706F" w:rsidRPr="000823AF" w:rsidRDefault="0080706F" w:rsidP="0080706F">
      <w:pPr>
        <w:pStyle w:val="Zkladntext"/>
        <w:ind w:left="0"/>
        <w:rPr>
          <w:sz w:val="24"/>
          <w:szCs w:val="24"/>
        </w:rPr>
      </w:pPr>
    </w:p>
    <w:p w:rsidR="0080706F" w:rsidRPr="000823AF" w:rsidRDefault="0080706F" w:rsidP="0080706F">
      <w:pPr>
        <w:pStyle w:val="Zkladntext"/>
        <w:jc w:val="left"/>
        <w:rPr>
          <w:b/>
          <w:sz w:val="24"/>
          <w:szCs w:val="24"/>
        </w:rPr>
      </w:pPr>
      <w:r w:rsidRPr="000823AF">
        <w:rPr>
          <w:b/>
          <w:sz w:val="24"/>
          <w:szCs w:val="24"/>
        </w:rPr>
        <w:t>Nevyfakturované dodávky majetku</w:t>
      </w:r>
    </w:p>
    <w:p w:rsidR="0080706F" w:rsidRPr="000823AF" w:rsidRDefault="0080706F" w:rsidP="0080706F">
      <w:pPr>
        <w:pStyle w:val="Zkladntext"/>
        <w:rPr>
          <w:sz w:val="24"/>
          <w:szCs w:val="24"/>
        </w:rPr>
      </w:pPr>
      <w:r w:rsidRPr="000823AF">
        <w:rPr>
          <w:sz w:val="24"/>
          <w:szCs w:val="24"/>
        </w:rPr>
        <w:t>Rezervy na nevyfakturované dodávky majetku sa nevykazujú s vplyvom na výsledok hospodárenia a oceňujú sa v odhadovanej výške záväzku.</w:t>
      </w:r>
    </w:p>
    <w:p w:rsidR="0080706F" w:rsidRPr="000823AF" w:rsidRDefault="0080706F" w:rsidP="0080706F">
      <w:pPr>
        <w:pStyle w:val="Zkladntext"/>
        <w:rPr>
          <w:sz w:val="24"/>
          <w:szCs w:val="24"/>
        </w:rPr>
      </w:pPr>
    </w:p>
    <w:p w:rsidR="0080706F" w:rsidRPr="000823AF" w:rsidRDefault="0080706F" w:rsidP="0080706F">
      <w:pPr>
        <w:pStyle w:val="Pismenka"/>
        <w:numPr>
          <w:ilvl w:val="0"/>
          <w:numId w:val="10"/>
        </w:numPr>
        <w:rPr>
          <w:sz w:val="24"/>
          <w:szCs w:val="24"/>
        </w:rPr>
      </w:pPr>
      <w:r w:rsidRPr="000823AF">
        <w:rPr>
          <w:sz w:val="24"/>
          <w:szCs w:val="24"/>
        </w:rPr>
        <w:t>Zamestnanecké požitky</w:t>
      </w:r>
    </w:p>
    <w:p w:rsidR="0080706F" w:rsidRPr="000823AF" w:rsidRDefault="0080706F" w:rsidP="0080706F">
      <w:pPr>
        <w:pStyle w:val="Pismenka"/>
        <w:tabs>
          <w:tab w:val="clear" w:pos="360"/>
        </w:tabs>
        <w:ind w:left="425" w:firstLine="0"/>
        <w:rPr>
          <w:b w:val="0"/>
          <w:sz w:val="24"/>
          <w:szCs w:val="24"/>
        </w:rPr>
      </w:pPr>
      <w:r w:rsidRPr="000823AF">
        <w:rPr>
          <w:b w:val="0"/>
          <w:sz w:val="24"/>
          <w:szCs w:val="24"/>
        </w:rPr>
        <w:t>Platy, mzdy, príspevky do dôchodkových a poistných fondov, platená ročná dovolenka a platená zdravotná</w:t>
      </w:r>
      <w:r w:rsidRPr="000823AF">
        <w:rPr>
          <w:sz w:val="24"/>
          <w:szCs w:val="24"/>
        </w:rPr>
        <w:t xml:space="preserve"> </w:t>
      </w:r>
      <w:r w:rsidRPr="000823AF">
        <w:rPr>
          <w:b w:val="0"/>
          <w:sz w:val="24"/>
          <w:szCs w:val="24"/>
        </w:rPr>
        <w:t>dovolenka, bonusy a ostatné nepeňažné požitky (napr. zdravotná starostlivosť) sa účtujú v účtovnom období, s ktorým vecne a časovo súvisia.</w:t>
      </w:r>
    </w:p>
    <w:p w:rsidR="0080706F" w:rsidRPr="000823AF" w:rsidRDefault="0080706F" w:rsidP="0080706F">
      <w:pPr>
        <w:pStyle w:val="Zkladntext"/>
        <w:rPr>
          <w:sz w:val="24"/>
          <w:szCs w:val="24"/>
        </w:rPr>
      </w:pPr>
    </w:p>
    <w:p w:rsidR="0080706F" w:rsidRPr="000823AF" w:rsidRDefault="0080706F" w:rsidP="0080706F">
      <w:pPr>
        <w:pStyle w:val="Pismenka"/>
        <w:numPr>
          <w:ilvl w:val="0"/>
          <w:numId w:val="10"/>
        </w:numPr>
        <w:rPr>
          <w:sz w:val="24"/>
          <w:szCs w:val="24"/>
        </w:rPr>
      </w:pPr>
      <w:r w:rsidRPr="000823AF">
        <w:rPr>
          <w:sz w:val="24"/>
          <w:szCs w:val="24"/>
        </w:rPr>
        <w:t>Odložené dane</w:t>
      </w:r>
    </w:p>
    <w:p w:rsidR="0080706F" w:rsidRPr="000823AF" w:rsidRDefault="0080706F" w:rsidP="0080706F">
      <w:pPr>
        <w:pStyle w:val="Zkladntext"/>
        <w:rPr>
          <w:sz w:val="24"/>
          <w:szCs w:val="24"/>
        </w:rPr>
      </w:pPr>
      <w:r w:rsidRPr="000823AF">
        <w:rPr>
          <w:sz w:val="24"/>
          <w:szCs w:val="24"/>
        </w:rPr>
        <w:t xml:space="preserve">Odložené dane (odložená daňová pohľadávka a odložený daňový záväzok) sa vzťahujú na: </w:t>
      </w:r>
    </w:p>
    <w:p w:rsidR="0080706F" w:rsidRPr="000823AF" w:rsidRDefault="0080706F" w:rsidP="0080706F">
      <w:pPr>
        <w:pStyle w:val="Zkladntext"/>
        <w:numPr>
          <w:ilvl w:val="0"/>
          <w:numId w:val="4"/>
        </w:numPr>
        <w:rPr>
          <w:sz w:val="24"/>
          <w:szCs w:val="24"/>
        </w:rPr>
      </w:pPr>
      <w:r w:rsidRPr="000823AF">
        <w:rPr>
          <w:sz w:val="24"/>
          <w:szCs w:val="24"/>
        </w:rPr>
        <w:t>dočasné rozdiely medzi účtovnou hodnotou majetku a účtovnou hodnotou záväzkov vykázanou v súvahe a ich daňovou základňou,</w:t>
      </w:r>
    </w:p>
    <w:p w:rsidR="0080706F" w:rsidRPr="000823AF" w:rsidRDefault="0080706F" w:rsidP="0080706F">
      <w:pPr>
        <w:pStyle w:val="Zkladntext"/>
        <w:numPr>
          <w:ilvl w:val="0"/>
          <w:numId w:val="4"/>
        </w:numPr>
        <w:rPr>
          <w:sz w:val="24"/>
          <w:szCs w:val="24"/>
        </w:rPr>
      </w:pPr>
      <w:r w:rsidRPr="000823AF">
        <w:rPr>
          <w:sz w:val="24"/>
          <w:szCs w:val="24"/>
        </w:rPr>
        <w:t>možnosť umorovať daňovú stratu v budúcnosti, ktorou sa rozumie možnosť odpočítať daňovú stratu od základu dane v budúcnosti,</w:t>
      </w:r>
    </w:p>
    <w:p w:rsidR="0080706F" w:rsidRPr="000823AF" w:rsidRDefault="0080706F" w:rsidP="0080706F">
      <w:pPr>
        <w:pStyle w:val="Zkladntext"/>
        <w:numPr>
          <w:ilvl w:val="0"/>
          <w:numId w:val="4"/>
        </w:numPr>
        <w:rPr>
          <w:sz w:val="24"/>
          <w:szCs w:val="24"/>
        </w:rPr>
      </w:pPr>
      <w:r w:rsidRPr="000823AF">
        <w:rPr>
          <w:sz w:val="24"/>
          <w:szCs w:val="24"/>
        </w:rPr>
        <w:t>možnosť previesť nevyužité daňové odpočty a iné daňové nároky do budúcich období.</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t xml:space="preserve">Odložená daňová pohľadávka ani odložený daňový záväzok sa neúčtuje pri: </w:t>
      </w:r>
    </w:p>
    <w:p w:rsidR="0080706F" w:rsidRPr="000823AF" w:rsidRDefault="0080706F" w:rsidP="0080706F">
      <w:pPr>
        <w:pStyle w:val="Zkladntext"/>
        <w:numPr>
          <w:ilvl w:val="0"/>
          <w:numId w:val="6"/>
        </w:numPr>
        <w:tabs>
          <w:tab w:val="clear" w:pos="340"/>
          <w:tab w:val="num" w:pos="766"/>
        </w:tabs>
        <w:ind w:left="766"/>
        <w:rPr>
          <w:sz w:val="24"/>
          <w:szCs w:val="24"/>
        </w:rPr>
      </w:pPr>
      <w:r w:rsidRPr="000823AF">
        <w:rPr>
          <w:sz w:val="24"/>
          <w:szCs w:val="24"/>
        </w:rPr>
        <w:t>dočasných rozdieloch pri prvotnom zaúčtovaní (angl. initial recognition) majetku alebo záväzku v účtovníctve, ak v čase prvotného zaúčtovania nemá tento účtovný prípad vplyv ani na výsledok hospodárenia ani na základ dane a zároveň nejde o kombináciu podnikov (t. j. nejde o účtovný prípad vznikajúci u kupujúceho pri kúpe podniku alebo časti podniku, prijímateľa vkladu podniku alebo časti podniku alebo u nástupníckej účtovnej jednotke pri zlúčení, splynutí alebo rozdelení),</w:t>
      </w:r>
    </w:p>
    <w:p w:rsidR="0080706F" w:rsidRPr="000823AF" w:rsidRDefault="0080706F" w:rsidP="0080706F">
      <w:pPr>
        <w:pStyle w:val="Zkladntext"/>
        <w:numPr>
          <w:ilvl w:val="0"/>
          <w:numId w:val="6"/>
        </w:numPr>
        <w:tabs>
          <w:tab w:val="clear" w:pos="340"/>
          <w:tab w:val="num" w:pos="766"/>
        </w:tabs>
        <w:ind w:left="766"/>
        <w:rPr>
          <w:sz w:val="24"/>
          <w:szCs w:val="24"/>
        </w:rPr>
      </w:pPr>
      <w:r w:rsidRPr="000823AF">
        <w:rPr>
          <w:sz w:val="24"/>
          <w:szCs w:val="24"/>
        </w:rPr>
        <w:lastRenderedPageBreak/>
        <w:t>dočasných rozdieloch súvisiacich s podielmi v dcérskych, spoločných a pridružených účtovných jednotkách, ak Spoločnosť je schopná ovplyvniť vyrovnanie týchto dočasných rozdielov a je pravdepodobné, že tieto dočasné rozdiely nebudú vyrovnané v blízkej budúcnosti,</w:t>
      </w:r>
    </w:p>
    <w:p w:rsidR="0080706F" w:rsidRPr="000823AF" w:rsidRDefault="0080706F" w:rsidP="0080706F">
      <w:pPr>
        <w:pStyle w:val="Zkladntext"/>
        <w:numPr>
          <w:ilvl w:val="0"/>
          <w:numId w:val="6"/>
        </w:numPr>
        <w:tabs>
          <w:tab w:val="clear" w:pos="340"/>
          <w:tab w:val="num" w:pos="766"/>
        </w:tabs>
        <w:ind w:left="766"/>
        <w:rPr>
          <w:sz w:val="24"/>
          <w:szCs w:val="24"/>
        </w:rPr>
      </w:pPr>
      <w:r w:rsidRPr="000823AF">
        <w:rPr>
          <w:sz w:val="24"/>
          <w:szCs w:val="24"/>
        </w:rPr>
        <w:t>dočasných rozdieloch pri prvotnom zaúčtovaní goodwillu alebo záporného goodwillu.</w:t>
      </w:r>
    </w:p>
    <w:p w:rsidR="0080706F" w:rsidRPr="000823AF" w:rsidRDefault="0080706F" w:rsidP="0080706F">
      <w:pPr>
        <w:pStyle w:val="Zkladntext"/>
        <w:ind w:left="766"/>
        <w:rPr>
          <w:sz w:val="24"/>
          <w:szCs w:val="24"/>
        </w:rPr>
      </w:pPr>
    </w:p>
    <w:p w:rsidR="0080706F" w:rsidRPr="000823AF" w:rsidRDefault="0080706F" w:rsidP="0080706F">
      <w:pPr>
        <w:pStyle w:val="Zkladntext"/>
        <w:rPr>
          <w:sz w:val="24"/>
          <w:szCs w:val="24"/>
        </w:rPr>
      </w:pPr>
      <w:r w:rsidRPr="000823AF">
        <w:rPr>
          <w:sz w:val="24"/>
          <w:szCs w:val="24"/>
        </w:rPr>
        <w:t>O odloženej daňovej pohľadávke z odpočítateľných dočasných rozdielov, z nevyužitých daňových strát a nevyužitých daňových odpočtov a iných daňových nárokov sa účtuje len vtedy, ak je pravdepodobné, že budúci základ dane, voči ktorému ich bude možné využiť,  je dosiahnuteľný. Odložená daňová pohľadávka sa preveruje ku každému dňu, ku ktorému sa zostavuje účtovná závierka a znižuje sa vo výške, v akej je nepravdepodobné, že základ dane z príjmov bude dosiahnutý. Pri výpočte odloženej dane sa použije sadzba dane z príjmov, o ktorej sa predpokladá, že bude platiť v čase vyrovnania odloženej dane.</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t xml:space="preserve">V súvahe sa odložená daňová pohľadávka a odložený daňový záväzok vykazujú samostatne. Ak sa vzťahujú na odloženú  daň z príjmov toho istého daňovníka a ide o ten istý daňový úrad, môže sa vykázať len výsledný zostatok účtu 481 – Odložený daňový záväzok a odložená daňová pohľadávka. </w:t>
      </w:r>
    </w:p>
    <w:p w:rsidR="0080706F" w:rsidRPr="000823AF" w:rsidRDefault="0080706F" w:rsidP="0080706F">
      <w:pPr>
        <w:pStyle w:val="Zkladntext"/>
        <w:rPr>
          <w:sz w:val="24"/>
          <w:szCs w:val="24"/>
        </w:rPr>
      </w:pPr>
    </w:p>
    <w:p w:rsidR="0080706F" w:rsidRPr="000823AF" w:rsidRDefault="0080706F" w:rsidP="0080706F">
      <w:pPr>
        <w:pStyle w:val="Pismenka"/>
        <w:numPr>
          <w:ilvl w:val="0"/>
          <w:numId w:val="10"/>
        </w:numPr>
        <w:rPr>
          <w:sz w:val="24"/>
          <w:szCs w:val="24"/>
        </w:rPr>
      </w:pPr>
      <w:r w:rsidRPr="000823AF">
        <w:rPr>
          <w:sz w:val="24"/>
          <w:szCs w:val="24"/>
        </w:rPr>
        <w:t>Výdavky budúcich období a výnosy budúcich období</w:t>
      </w:r>
    </w:p>
    <w:p w:rsidR="0080706F" w:rsidRPr="000823AF" w:rsidRDefault="0080706F" w:rsidP="0080706F">
      <w:pPr>
        <w:pStyle w:val="Zkladntext"/>
        <w:rPr>
          <w:sz w:val="24"/>
          <w:szCs w:val="24"/>
        </w:rPr>
      </w:pPr>
      <w:r w:rsidRPr="000823AF">
        <w:rPr>
          <w:sz w:val="24"/>
          <w:szCs w:val="24"/>
        </w:rPr>
        <w:t>Výdavky budúcich období a výnosy budúcich období sa vykazujú vo výške, ktorá je potrebná na dodržanie zásady vecnej a časovej súvislosti s účtovným obdobím.</w:t>
      </w:r>
    </w:p>
    <w:p w:rsidR="0080706F" w:rsidRPr="000823AF" w:rsidRDefault="0080706F" w:rsidP="0080706F">
      <w:pPr>
        <w:pStyle w:val="Zkladntext"/>
        <w:rPr>
          <w:sz w:val="24"/>
          <w:szCs w:val="24"/>
        </w:rPr>
      </w:pPr>
    </w:p>
    <w:p w:rsidR="0080706F" w:rsidRPr="000823AF" w:rsidRDefault="0080706F" w:rsidP="0080706F">
      <w:pPr>
        <w:pStyle w:val="Pismenka"/>
        <w:numPr>
          <w:ilvl w:val="0"/>
          <w:numId w:val="10"/>
        </w:numPr>
        <w:rPr>
          <w:sz w:val="24"/>
          <w:szCs w:val="24"/>
        </w:rPr>
      </w:pPr>
      <w:r w:rsidRPr="000823AF">
        <w:rPr>
          <w:sz w:val="24"/>
          <w:szCs w:val="24"/>
        </w:rPr>
        <w:t>Dotácie zo štátneho rozpočtu</w:t>
      </w:r>
    </w:p>
    <w:p w:rsidR="008357FB" w:rsidRDefault="0080706F" w:rsidP="008357FB">
      <w:pPr>
        <w:ind w:left="450"/>
        <w:jc w:val="both"/>
        <w:rPr>
          <w:rFonts w:ascii="Times New Roman" w:hAnsi="Times New Roman" w:cs="Times New Roman"/>
          <w:sz w:val="24"/>
          <w:szCs w:val="24"/>
        </w:rPr>
      </w:pPr>
      <w:r w:rsidRPr="008357FB">
        <w:rPr>
          <w:rFonts w:ascii="Times New Roman" w:hAnsi="Times New Roman" w:cs="Times New Roman"/>
          <w:sz w:val="24"/>
          <w:szCs w:val="24"/>
        </w:rPr>
        <w:t xml:space="preserve">O nároku na dotácie zo štátneho rozpočtu, podporu alebo príspevok sa účtuje, ak je takmer isté, že sa splnia všetky podmienky súvisiace s dotáciou a súčasne, že sa dotácia poskytne. </w:t>
      </w:r>
    </w:p>
    <w:p w:rsidR="008357FB" w:rsidRDefault="0080706F" w:rsidP="008357FB">
      <w:pPr>
        <w:ind w:left="450"/>
        <w:jc w:val="both"/>
        <w:rPr>
          <w:rFonts w:ascii="Times New Roman" w:hAnsi="Times New Roman" w:cs="Times New Roman"/>
          <w:sz w:val="24"/>
          <w:szCs w:val="24"/>
        </w:rPr>
      </w:pPr>
      <w:r w:rsidRPr="008357FB">
        <w:rPr>
          <w:rFonts w:ascii="Times New Roman" w:hAnsi="Times New Roman" w:cs="Times New Roman"/>
          <w:sz w:val="24"/>
          <w:szCs w:val="24"/>
        </w:rPr>
        <w:t xml:space="preserve">Dotácie na obstaranie dlhodobého nehmotného majetku a dlhodobého hmotného majetku sa najskôr vykazujú ako výnosy budúcich období a do výkazu ziskov a strát sa rozpúšťajú ako výnosy z hospodárskej činnosti v časovej a vecnej súvislosti so zaúčtovaním odpisov z tohto dlhodobého majetku. </w:t>
      </w:r>
    </w:p>
    <w:p w:rsidR="0080706F" w:rsidRPr="008357FB" w:rsidRDefault="0080706F" w:rsidP="008357FB">
      <w:pPr>
        <w:ind w:left="450"/>
        <w:jc w:val="both"/>
        <w:rPr>
          <w:rFonts w:ascii="Times New Roman" w:hAnsi="Times New Roman" w:cs="Times New Roman"/>
          <w:sz w:val="24"/>
          <w:szCs w:val="24"/>
        </w:rPr>
      </w:pPr>
      <w:r w:rsidRPr="008357FB">
        <w:rPr>
          <w:rFonts w:ascii="Times New Roman" w:hAnsi="Times New Roman" w:cs="Times New Roman"/>
          <w:sz w:val="24"/>
          <w:szCs w:val="24"/>
        </w:rPr>
        <w:t>Dotácie na úhradu nákladov, ktoré kompenzujú konkrétne náklady spojené s činnosťou Spoločnosti sa najskôr vykazujú ako výnosy budúcich období a do výkazu ziskov a strát sa rozpúšťajú ako výnosy z hospodárskej činnosti v časovej a vecnej súvislosti s vynaložením nákladov na príslušný účel.</w:t>
      </w:r>
    </w:p>
    <w:p w:rsidR="0080706F" w:rsidRPr="00CD4BBA" w:rsidRDefault="0080706F" w:rsidP="0080706F">
      <w:pPr>
        <w:pStyle w:val="Pismenka"/>
        <w:numPr>
          <w:ilvl w:val="0"/>
          <w:numId w:val="10"/>
        </w:numPr>
        <w:rPr>
          <w:sz w:val="24"/>
          <w:szCs w:val="24"/>
        </w:rPr>
      </w:pPr>
      <w:r w:rsidRPr="00CD4BBA">
        <w:rPr>
          <w:sz w:val="24"/>
          <w:szCs w:val="24"/>
        </w:rPr>
        <w:t>Prenájom (lízing) (Spoločnosť ako nájomca)</w:t>
      </w:r>
    </w:p>
    <w:p w:rsidR="0080706F" w:rsidRPr="000823AF" w:rsidRDefault="0080706F" w:rsidP="0080706F">
      <w:pPr>
        <w:pStyle w:val="Zkladntext"/>
        <w:rPr>
          <w:b/>
          <w:sz w:val="24"/>
          <w:szCs w:val="24"/>
        </w:rPr>
      </w:pPr>
    </w:p>
    <w:p w:rsidR="0080706F" w:rsidRPr="000823AF" w:rsidRDefault="0080706F" w:rsidP="0080706F">
      <w:pPr>
        <w:pStyle w:val="Zkladntext"/>
        <w:rPr>
          <w:sz w:val="24"/>
          <w:szCs w:val="24"/>
        </w:rPr>
      </w:pPr>
      <w:r w:rsidRPr="000823AF">
        <w:rPr>
          <w:b/>
          <w:sz w:val="24"/>
          <w:szCs w:val="24"/>
        </w:rPr>
        <w:t>Finančný prenájom.</w:t>
      </w:r>
      <w:r w:rsidRPr="000823AF">
        <w:rPr>
          <w:sz w:val="24"/>
          <w:szCs w:val="24"/>
        </w:rPr>
        <w:t xml:space="preserve"> Finančný prenájom je obstaranie dlhodobého hmotného majetku na základe nájomnej zmluvy s dojednaným právom kúpy prenajatej veci za dohodnuté platby počas dohodnutej doby nájmu. Majetok prenajatý  formou finančného prenájmu vykazuje ako svoj majetok a odpisuje ho jeho nájomca, nie vlastník. </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t xml:space="preserve">Súčasťou dohodnutých platieb je aj kúpna cena, za ktorú na konci dohodnutej doby finančného prenájmu prechádza vlastnícke právo k prenajatému majetku z prenajímateľa na nájomcu. </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t xml:space="preserve">Dohodnutá doba nájmu je najmenej 60 % doby odpisovania podľa daňových predpisov. V prípade nájmu pozemku je doba nájmu najmenej 60 % doby odpisovania hmotného majetku zaradeného do daňovej odpisovej skupiny 5 resp. 6 (budovy a stavby, doba odpisovania pre daňové účely 20 resp. 40 rokov). </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t>Prijatie majetku nájomcom sa v účtovníctve nájomcu účtuje v deň prijatia majetku na ťarchu príslušného účtu majetku so súvzťažným zápisom v prospech účtu 474 – Záväzky z nájmu vo výške dohodnutých platieb znížených o nerealizované finančné náklady.</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t>Platba nájomného je alokovaná medzi splátku istiny a finančné náklady, vypočítané metódou efektívnej úrokovej miery. Finančné náklady sa účtujú na ťarchu účtu 562 – Úroky.</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b/>
          <w:sz w:val="24"/>
          <w:szCs w:val="24"/>
        </w:rPr>
        <w:t xml:space="preserve">Operatívny prenájom. </w:t>
      </w:r>
      <w:r w:rsidRPr="000823AF">
        <w:rPr>
          <w:sz w:val="24"/>
          <w:szCs w:val="24"/>
        </w:rPr>
        <w:t>Majetok prenajatý na základe operatívneho prenájmu vykazuje ako svoj majetok jeho vlastník, nie nájomca. Prenájom majetku formou operatívneho leasingu sa účtuje do nákladov priebežne počas doby trvania leasingovej zmluvy.</w:t>
      </w:r>
    </w:p>
    <w:p w:rsidR="0080706F" w:rsidRPr="00CD4BBA" w:rsidRDefault="0080706F" w:rsidP="0080706F">
      <w:pPr>
        <w:pStyle w:val="Zkladntext"/>
        <w:rPr>
          <w:sz w:val="24"/>
          <w:szCs w:val="24"/>
        </w:rPr>
      </w:pPr>
    </w:p>
    <w:p w:rsidR="0080706F" w:rsidRPr="00CD4BBA" w:rsidRDefault="0080706F" w:rsidP="0080706F">
      <w:pPr>
        <w:pStyle w:val="Pismenka"/>
        <w:numPr>
          <w:ilvl w:val="0"/>
          <w:numId w:val="10"/>
        </w:numPr>
        <w:rPr>
          <w:sz w:val="24"/>
          <w:szCs w:val="24"/>
        </w:rPr>
      </w:pPr>
      <w:r w:rsidRPr="00CD4BBA">
        <w:rPr>
          <w:sz w:val="24"/>
          <w:szCs w:val="24"/>
        </w:rPr>
        <w:t>Prenájom (lízing) (Spoločnosť ako prenajímateľ)</w:t>
      </w:r>
    </w:p>
    <w:p w:rsidR="0080706F" w:rsidRPr="000823AF" w:rsidRDefault="0080706F" w:rsidP="0080706F">
      <w:pPr>
        <w:pStyle w:val="Zkladntext"/>
        <w:rPr>
          <w:b/>
          <w:sz w:val="24"/>
          <w:szCs w:val="24"/>
        </w:rPr>
      </w:pPr>
    </w:p>
    <w:p w:rsidR="0080706F" w:rsidRPr="008357FB" w:rsidRDefault="0080706F" w:rsidP="008357FB">
      <w:pPr>
        <w:ind w:left="426"/>
      </w:pPr>
      <w:r>
        <w:t>Spoločnosť nemá náplň.</w:t>
      </w:r>
    </w:p>
    <w:p w:rsidR="0080706F" w:rsidRPr="000823AF" w:rsidRDefault="0080706F" w:rsidP="0080706F">
      <w:pPr>
        <w:pStyle w:val="Pismenka"/>
        <w:numPr>
          <w:ilvl w:val="0"/>
          <w:numId w:val="10"/>
        </w:numPr>
        <w:rPr>
          <w:sz w:val="24"/>
          <w:szCs w:val="24"/>
        </w:rPr>
      </w:pPr>
      <w:r w:rsidRPr="000823AF">
        <w:rPr>
          <w:sz w:val="24"/>
          <w:szCs w:val="24"/>
        </w:rPr>
        <w:t>Deriváty</w:t>
      </w:r>
    </w:p>
    <w:p w:rsidR="0080706F" w:rsidRPr="000823AF" w:rsidRDefault="0080706F" w:rsidP="0080706F">
      <w:pPr>
        <w:pStyle w:val="Pismenka"/>
        <w:tabs>
          <w:tab w:val="clear" w:pos="360"/>
        </w:tabs>
        <w:ind w:left="426" w:firstLine="0"/>
        <w:rPr>
          <w:b w:val="0"/>
          <w:sz w:val="24"/>
          <w:szCs w:val="24"/>
        </w:rPr>
      </w:pPr>
      <w:r w:rsidRPr="000823AF">
        <w:rPr>
          <w:b w:val="0"/>
          <w:sz w:val="24"/>
          <w:szCs w:val="24"/>
        </w:rPr>
        <w:t>Deriváty sa pri nadobudnutí oceňujú obstarávacou cenou a ku dňu, ku ktorému sa zostavuje účtovná závierka, reálnou hodnotou.</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t>Zmeny reálnych hodnôt zabezpečovacích derivátov sa účtujú bez vplyvu na výsledok hospodárenia, priamo do vlastného imania ako oceňovacie rozdiely z precenenia majetku a záväzkov. Výsledok realizácie zabezpečovacích derivátov sa účtuje ako náklady na derivátové operácie a výnosy z derivátových operácií.</w:t>
      </w:r>
    </w:p>
    <w:p w:rsidR="0080706F" w:rsidRPr="000823AF" w:rsidRDefault="0080706F" w:rsidP="0080706F">
      <w:pPr>
        <w:pStyle w:val="Zkladntext"/>
        <w:ind w:left="0"/>
        <w:rPr>
          <w:sz w:val="24"/>
          <w:szCs w:val="24"/>
        </w:rPr>
      </w:pPr>
    </w:p>
    <w:p w:rsidR="0080706F" w:rsidRPr="000823AF" w:rsidRDefault="0080706F" w:rsidP="0080706F">
      <w:pPr>
        <w:pStyle w:val="Zkladntext"/>
        <w:rPr>
          <w:sz w:val="24"/>
          <w:szCs w:val="24"/>
        </w:rPr>
      </w:pPr>
      <w:r w:rsidRPr="000823AF">
        <w:rPr>
          <w:sz w:val="24"/>
          <w:szCs w:val="24"/>
        </w:rPr>
        <w:t xml:space="preserve">Zmeny reálnych hodnôt derivátov určených na obchodovanie na tuzemskej burze, zahraničnej burze alebo na inom verejnom trhu sa účtujú s vplyvom na výsledok hospodárenia ako náklady na derivátové operácie a výnosy z derivátových operácií. </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t>Zmeny reálnych hodnôt derivátov určených na obchodovanie na neverejnom trhu sa účtujú bez vplyvu na výsledok hospodárenia, priamo do vlastného imania ako oceňovacie rozdiely z precenenia majetku a záväzkov. Výsledok realizácie týchto obchodov sa účtuje ako náklady na derivátové operácie a výnosy z derivátových operácií.</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t xml:space="preserve">Reálna hodnota menových futurít je stanovená na základe kótovaných cien na burze. </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t>Reálna hodnota úrokových swapov vychádza z maklérskych odhadov. Primeranosť týchto odhadov sa testuje diskontovaním odhadovaných budúcich peňažných tokov podľa podmienok a splatnosti každého kontraktu a s použitím trhových úrokových sadzieb pre podobné nástroje ku dňu ocenenia.</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t xml:space="preserve">Reálne hodnoty odrážajú úrokové riziko nástroja a zahŕňajú úpravy s prihliadnutím na úverové riziká Spoločnosti a protistrany, tam kde je to vhodné. </w:t>
      </w:r>
    </w:p>
    <w:p w:rsidR="0080706F" w:rsidRPr="000823AF" w:rsidRDefault="0080706F" w:rsidP="0080706F">
      <w:pPr>
        <w:pStyle w:val="Zkladntext"/>
        <w:rPr>
          <w:sz w:val="24"/>
          <w:szCs w:val="24"/>
        </w:rPr>
      </w:pPr>
    </w:p>
    <w:p w:rsidR="0080706F" w:rsidRPr="000823AF" w:rsidRDefault="0080706F" w:rsidP="0080706F">
      <w:pPr>
        <w:pStyle w:val="Pismenka"/>
        <w:numPr>
          <w:ilvl w:val="0"/>
          <w:numId w:val="10"/>
        </w:numPr>
        <w:rPr>
          <w:sz w:val="24"/>
          <w:szCs w:val="24"/>
        </w:rPr>
      </w:pPr>
      <w:r w:rsidRPr="000823AF">
        <w:rPr>
          <w:sz w:val="24"/>
          <w:szCs w:val="24"/>
        </w:rPr>
        <w:t>Majetok a záväzky zabezpečené derivátmi</w:t>
      </w:r>
    </w:p>
    <w:p w:rsidR="0080706F" w:rsidRPr="000823AF" w:rsidRDefault="0080706F" w:rsidP="0080706F">
      <w:pPr>
        <w:pStyle w:val="Zkladntext"/>
        <w:rPr>
          <w:sz w:val="24"/>
          <w:szCs w:val="24"/>
        </w:rPr>
      </w:pPr>
      <w:r w:rsidRPr="000823AF">
        <w:rPr>
          <w:sz w:val="24"/>
          <w:szCs w:val="24"/>
        </w:rPr>
        <w:t>Majetok a záväzky zabezpečené derivátmi sa oceňujú reálnou hodnotou. Zmeny reálnych hodnôt majetku a záväzkov zabezpečených derivátmi sa účtujú bez vplyvu na výsledok hospodárenia, priamo do vlastného imania ako oceňovacie rozdiely z precenenia majetku a záväzkov.</w:t>
      </w:r>
    </w:p>
    <w:p w:rsidR="0080706F" w:rsidRPr="000823AF" w:rsidRDefault="0080706F" w:rsidP="0080706F">
      <w:pPr>
        <w:pStyle w:val="Zkladntext"/>
        <w:rPr>
          <w:sz w:val="24"/>
          <w:szCs w:val="24"/>
        </w:rPr>
      </w:pPr>
    </w:p>
    <w:p w:rsidR="0080706F" w:rsidRDefault="0080706F" w:rsidP="0080706F">
      <w:pPr>
        <w:pStyle w:val="Zkladntext"/>
        <w:rPr>
          <w:sz w:val="24"/>
          <w:szCs w:val="24"/>
        </w:rPr>
      </w:pPr>
      <w:r w:rsidRPr="000823AF">
        <w:rPr>
          <w:sz w:val="24"/>
          <w:szCs w:val="24"/>
        </w:rPr>
        <w:t>Reálna hodnota majetku a záväzkov zabezpečených derivátmi je založená na ich kótovanej trhovej cene, ak je táto cena k dispozícii. Ak kótovaná trhová cena nie je k dispozícii, potom sa reálna hodnota odhadne na základe odhadovaných diskontovaných budúcich peňažných tokov.</w:t>
      </w:r>
    </w:p>
    <w:p w:rsidR="0080706F" w:rsidRPr="00CD4BBA" w:rsidRDefault="0080706F" w:rsidP="0080706F">
      <w:pPr>
        <w:pStyle w:val="Zkladntext"/>
        <w:rPr>
          <w:sz w:val="24"/>
          <w:szCs w:val="24"/>
        </w:rPr>
      </w:pPr>
    </w:p>
    <w:p w:rsidR="0080706F" w:rsidRPr="000823AF" w:rsidRDefault="0080706F" w:rsidP="0080706F">
      <w:pPr>
        <w:pStyle w:val="Pismenka"/>
        <w:numPr>
          <w:ilvl w:val="0"/>
          <w:numId w:val="10"/>
        </w:numPr>
        <w:rPr>
          <w:sz w:val="24"/>
          <w:szCs w:val="24"/>
        </w:rPr>
      </w:pPr>
      <w:r w:rsidRPr="000823AF">
        <w:rPr>
          <w:sz w:val="24"/>
          <w:szCs w:val="24"/>
        </w:rPr>
        <w:t>Cudzia mena</w:t>
      </w:r>
    </w:p>
    <w:p w:rsidR="0080706F" w:rsidRPr="000823AF" w:rsidRDefault="0080706F" w:rsidP="0080706F">
      <w:pPr>
        <w:pStyle w:val="Zkladntext"/>
        <w:rPr>
          <w:sz w:val="24"/>
          <w:szCs w:val="24"/>
        </w:rPr>
      </w:pPr>
      <w:r w:rsidRPr="000823AF">
        <w:rPr>
          <w:sz w:val="24"/>
          <w:szCs w:val="24"/>
        </w:rPr>
        <w:t>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 (ďalej ako referenčný kurz).</w:t>
      </w:r>
    </w:p>
    <w:p w:rsidR="0080706F" w:rsidRPr="000823AF" w:rsidRDefault="0080706F" w:rsidP="0080706F">
      <w:pPr>
        <w:pStyle w:val="Zkladntext"/>
        <w:rPr>
          <w:sz w:val="24"/>
          <w:szCs w:val="24"/>
        </w:rPr>
      </w:pPr>
    </w:p>
    <w:p w:rsidR="0080706F" w:rsidRPr="00CD4BBA" w:rsidRDefault="0080706F" w:rsidP="0080706F">
      <w:pPr>
        <w:pStyle w:val="Zkladntext"/>
        <w:rPr>
          <w:sz w:val="24"/>
          <w:szCs w:val="24"/>
        </w:rPr>
      </w:pPr>
      <w:r w:rsidRPr="00CD4BBA">
        <w:rPr>
          <w:sz w:val="24"/>
          <w:szCs w:val="24"/>
        </w:rPr>
        <w:t>Na ocenenie prírastku cudzej meny (okrem ocenenia cudzej meny obstarávanej v rámci menového derivátu) nakúpenej za euro sa použije kurz, za ktorý bola táto cudzia mena nakúpená.</w:t>
      </w:r>
    </w:p>
    <w:p w:rsidR="0080706F" w:rsidRPr="00CD4BBA" w:rsidRDefault="0080706F" w:rsidP="0080706F">
      <w:pPr>
        <w:pStyle w:val="Zkladntext"/>
        <w:rPr>
          <w:sz w:val="24"/>
          <w:szCs w:val="24"/>
        </w:rPr>
      </w:pPr>
    </w:p>
    <w:p w:rsidR="0080706F" w:rsidRPr="000823AF" w:rsidRDefault="0080706F" w:rsidP="0080706F">
      <w:pPr>
        <w:pStyle w:val="Zkladntext"/>
        <w:rPr>
          <w:sz w:val="24"/>
          <w:szCs w:val="24"/>
        </w:rPr>
      </w:pPr>
      <w:r w:rsidRPr="00CD4BBA">
        <w:rPr>
          <w:sz w:val="24"/>
          <w:szCs w:val="24"/>
        </w:rPr>
        <w:t>Na ocenenie prírastku cudzej meny (okrem ocenenia cudzej meny obstarávanej v rámci menového derivátu) nakúpenej za inú cudziu menu sa použije hodnota inej cudzej meny v eurách alebo na ocenenie prírastku cudzej meny v eurách sa použije referenčný kurz v deň uzavretia obchodu</w:t>
      </w:r>
      <w:r w:rsidRPr="000823AF">
        <w:rPr>
          <w:sz w:val="24"/>
          <w:szCs w:val="24"/>
        </w:rPr>
        <w:t xml:space="preserve">. </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t xml:space="preserve">Na ocenenie cudzej meny obstarávanej v rámci menového derivátu </w:t>
      </w:r>
    </w:p>
    <w:p w:rsidR="0080706F" w:rsidRPr="000823AF" w:rsidRDefault="0080706F" w:rsidP="0080706F">
      <w:pPr>
        <w:pStyle w:val="Zkladntext"/>
        <w:numPr>
          <w:ilvl w:val="0"/>
          <w:numId w:val="11"/>
        </w:numPr>
        <w:tabs>
          <w:tab w:val="clear" w:pos="340"/>
          <w:tab w:val="num" w:pos="766"/>
        </w:tabs>
        <w:ind w:left="766"/>
        <w:rPr>
          <w:sz w:val="24"/>
          <w:szCs w:val="24"/>
        </w:rPr>
      </w:pPr>
      <w:r w:rsidRPr="000823AF">
        <w:rPr>
          <w:sz w:val="24"/>
          <w:szCs w:val="24"/>
        </w:rPr>
        <w:t>ak je zmluvnou stranou banka alebo pobočka zahraničnej banky, použije sa ku dňu ocenenia kurz banky alebo pobočky zahraničnej banky, ktorá je zmluvnou stranou tohto menového derivátu alebo sa použije referenčný kurz ku dňu ocenenia,</w:t>
      </w:r>
    </w:p>
    <w:p w:rsidR="0080706F" w:rsidRPr="000823AF" w:rsidRDefault="0080706F" w:rsidP="0080706F">
      <w:pPr>
        <w:pStyle w:val="Zkladntext"/>
        <w:numPr>
          <w:ilvl w:val="0"/>
          <w:numId w:val="11"/>
        </w:numPr>
        <w:tabs>
          <w:tab w:val="clear" w:pos="340"/>
          <w:tab w:val="num" w:pos="766"/>
        </w:tabs>
        <w:ind w:left="766"/>
        <w:rPr>
          <w:sz w:val="24"/>
          <w:szCs w:val="24"/>
        </w:rPr>
      </w:pPr>
      <w:r w:rsidRPr="000823AF">
        <w:rPr>
          <w:sz w:val="24"/>
          <w:szCs w:val="24"/>
        </w:rPr>
        <w:t>ak zmluvnou stranou nie je banka alebo pobočka zahraničnej banky, použije sa na ocenenie referenčný kurz ku dňu ocenenia.</w:t>
      </w:r>
    </w:p>
    <w:p w:rsidR="0080706F" w:rsidRPr="000823AF" w:rsidRDefault="0080706F" w:rsidP="0080706F">
      <w:pPr>
        <w:pStyle w:val="Zkladntext"/>
        <w:ind w:left="0"/>
        <w:rPr>
          <w:sz w:val="24"/>
          <w:szCs w:val="24"/>
        </w:rPr>
      </w:pPr>
    </w:p>
    <w:p w:rsidR="0080706F" w:rsidRPr="000823AF" w:rsidRDefault="0080706F" w:rsidP="0080706F">
      <w:pPr>
        <w:pStyle w:val="Zkladntext"/>
        <w:rPr>
          <w:sz w:val="24"/>
          <w:szCs w:val="24"/>
        </w:rPr>
      </w:pPr>
      <w:r w:rsidRPr="000823AF">
        <w:rPr>
          <w:sz w:val="24"/>
          <w:szCs w:val="24"/>
        </w:rPr>
        <w:t xml:space="preserve">Na úbytok rovnakej cudzej meny v hotovosti alebo z devízového účtu sa na prepočet cudzej meny na eurá použije referenčný výmenný kurz určený a vyhlásený Európskou centrálnou bankou alebo Národnou bankou Slovenska v deň predchádzajúci dňu </w:t>
      </w:r>
      <w:r>
        <w:rPr>
          <w:sz w:val="24"/>
          <w:szCs w:val="24"/>
        </w:rPr>
        <w:t>uskutočnenia účtovného prípadu.</w:t>
      </w:r>
    </w:p>
    <w:p w:rsidR="0080706F" w:rsidRDefault="0080706F" w:rsidP="0080706F">
      <w:pPr>
        <w:pStyle w:val="Zkladntext"/>
        <w:rPr>
          <w:color w:val="0070C0"/>
          <w:sz w:val="24"/>
          <w:szCs w:val="24"/>
        </w:rPr>
      </w:pPr>
    </w:p>
    <w:p w:rsidR="0080706F" w:rsidRPr="00CD4BBA" w:rsidRDefault="0080706F" w:rsidP="0080706F">
      <w:pPr>
        <w:pStyle w:val="Zkladntext"/>
        <w:rPr>
          <w:sz w:val="24"/>
          <w:szCs w:val="24"/>
        </w:rPr>
      </w:pPr>
      <w:r w:rsidRPr="00CD4BBA">
        <w:rPr>
          <w:sz w:val="24"/>
          <w:szCs w:val="24"/>
        </w:rPr>
        <w:t>Ku dňu, ku ktorému sa zostavuje účtovná závierka) sa referenčným kurzom prepočítajú:</w:t>
      </w:r>
    </w:p>
    <w:p w:rsidR="0080706F" w:rsidRPr="00CD4BBA" w:rsidRDefault="0080706F" w:rsidP="0080706F">
      <w:pPr>
        <w:pStyle w:val="Zkladntext"/>
        <w:numPr>
          <w:ilvl w:val="0"/>
          <w:numId w:val="17"/>
        </w:numPr>
        <w:rPr>
          <w:sz w:val="24"/>
          <w:szCs w:val="24"/>
        </w:rPr>
      </w:pPr>
      <w:r w:rsidRPr="00CD4BBA">
        <w:rPr>
          <w:sz w:val="24"/>
          <w:szCs w:val="24"/>
        </w:rPr>
        <w:t>cenné papiere znejúce na cudziu menu,</w:t>
      </w:r>
    </w:p>
    <w:p w:rsidR="0080706F" w:rsidRPr="00CD4BBA" w:rsidRDefault="0080706F" w:rsidP="0080706F">
      <w:pPr>
        <w:pStyle w:val="Zkladntext"/>
        <w:numPr>
          <w:ilvl w:val="0"/>
          <w:numId w:val="17"/>
        </w:numPr>
        <w:rPr>
          <w:sz w:val="24"/>
          <w:szCs w:val="24"/>
        </w:rPr>
      </w:pPr>
      <w:r w:rsidRPr="00CD4BBA">
        <w:rPr>
          <w:sz w:val="24"/>
          <w:szCs w:val="24"/>
        </w:rPr>
        <w:t>nástroje peňažného trhu ocenené cudzou menou,</w:t>
      </w:r>
    </w:p>
    <w:p w:rsidR="0080706F" w:rsidRPr="00CD4BBA" w:rsidRDefault="0080706F" w:rsidP="0080706F">
      <w:pPr>
        <w:pStyle w:val="Zkladntext"/>
        <w:numPr>
          <w:ilvl w:val="0"/>
          <w:numId w:val="17"/>
        </w:numPr>
        <w:rPr>
          <w:sz w:val="24"/>
          <w:szCs w:val="24"/>
        </w:rPr>
      </w:pPr>
      <w:r w:rsidRPr="00CD4BBA">
        <w:rPr>
          <w:sz w:val="24"/>
          <w:szCs w:val="24"/>
        </w:rPr>
        <w:t>finančné rozdielové zmluvy ocenené cudzou menou,</w:t>
      </w:r>
    </w:p>
    <w:p w:rsidR="0080706F" w:rsidRPr="00CD4BBA" w:rsidRDefault="0080706F" w:rsidP="0080706F">
      <w:pPr>
        <w:pStyle w:val="Zkladntext"/>
        <w:numPr>
          <w:ilvl w:val="0"/>
          <w:numId w:val="17"/>
        </w:numPr>
        <w:rPr>
          <w:sz w:val="24"/>
          <w:szCs w:val="24"/>
        </w:rPr>
      </w:pPr>
      <w:r w:rsidRPr="00CD4BBA">
        <w:rPr>
          <w:sz w:val="24"/>
          <w:szCs w:val="24"/>
        </w:rPr>
        <w:t>podkladové nástroje derivátov ocenených cudzou menou okrem podkladových nástrojov menových derivátov,</w:t>
      </w:r>
    </w:p>
    <w:p w:rsidR="0080706F" w:rsidRPr="00CD4BBA" w:rsidRDefault="0080706F" w:rsidP="0080706F">
      <w:pPr>
        <w:pStyle w:val="Zkladntext"/>
        <w:numPr>
          <w:ilvl w:val="0"/>
          <w:numId w:val="17"/>
        </w:numPr>
        <w:rPr>
          <w:sz w:val="24"/>
          <w:szCs w:val="24"/>
        </w:rPr>
      </w:pPr>
      <w:r w:rsidRPr="00CD4BBA">
        <w:rPr>
          <w:sz w:val="24"/>
          <w:szCs w:val="24"/>
        </w:rPr>
        <w:t>pohľadávky a záväzky spojené s vyššie uvedeným majetkom, ktoré sú ocenené rovnakou cudzou menou ako tento majetok.</w:t>
      </w:r>
    </w:p>
    <w:p w:rsidR="0080706F" w:rsidRPr="000823AF" w:rsidRDefault="0080706F" w:rsidP="0080706F">
      <w:pPr>
        <w:pStyle w:val="Pismenka"/>
        <w:tabs>
          <w:tab w:val="clear" w:pos="360"/>
        </w:tabs>
        <w:ind w:firstLine="0"/>
        <w:rPr>
          <w:sz w:val="24"/>
          <w:szCs w:val="24"/>
        </w:rPr>
      </w:pPr>
    </w:p>
    <w:p w:rsidR="0080706F" w:rsidRPr="000823AF" w:rsidRDefault="0080706F" w:rsidP="0080706F">
      <w:pPr>
        <w:pStyle w:val="Pismenka"/>
        <w:tabs>
          <w:tab w:val="clear" w:pos="360"/>
        </w:tabs>
        <w:ind w:firstLine="0"/>
        <w:rPr>
          <w:sz w:val="24"/>
          <w:szCs w:val="24"/>
        </w:rPr>
      </w:pPr>
      <w:r w:rsidRPr="000823AF">
        <w:rPr>
          <w:b w:val="0"/>
          <w:sz w:val="24"/>
          <w:szCs w:val="24"/>
        </w:rPr>
        <w:lastRenderedPageBreak/>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w:t>
      </w:r>
    </w:p>
    <w:p w:rsidR="0080706F" w:rsidRPr="000823AF" w:rsidRDefault="0080706F" w:rsidP="0080706F">
      <w:pPr>
        <w:pStyle w:val="Pismenka"/>
        <w:tabs>
          <w:tab w:val="clear" w:pos="360"/>
        </w:tabs>
        <w:ind w:firstLine="0"/>
        <w:rPr>
          <w:sz w:val="24"/>
          <w:szCs w:val="24"/>
        </w:rPr>
      </w:pPr>
    </w:p>
    <w:p w:rsidR="0080706F" w:rsidRPr="000823AF" w:rsidRDefault="0080706F" w:rsidP="0080706F">
      <w:pPr>
        <w:pStyle w:val="Pismenka"/>
        <w:tabs>
          <w:tab w:val="clear" w:pos="360"/>
        </w:tabs>
        <w:ind w:firstLine="0"/>
        <w:rPr>
          <w:sz w:val="24"/>
          <w:szCs w:val="24"/>
        </w:rPr>
      </w:pPr>
      <w:r w:rsidRPr="000823AF">
        <w:rPr>
          <w:b w:val="0"/>
          <w:sz w:val="24"/>
          <w:szCs w:val="24"/>
        </w:rPr>
        <w:t>Prijaté a poskytnuté preddavky v cudzej mene na účet zriadený v eurách a z účtu zriadeného v eurách sa prepočítavajú na menu euro kurzom, za ktorý boli tieto hodnoty nakúpené alebo predané.</w:t>
      </w:r>
    </w:p>
    <w:p w:rsidR="0080706F" w:rsidRPr="000823AF" w:rsidRDefault="0080706F" w:rsidP="0080706F">
      <w:pPr>
        <w:pStyle w:val="Pismenka"/>
        <w:tabs>
          <w:tab w:val="clear" w:pos="360"/>
        </w:tabs>
        <w:ind w:firstLine="0"/>
        <w:rPr>
          <w:sz w:val="24"/>
          <w:szCs w:val="24"/>
        </w:rPr>
      </w:pPr>
    </w:p>
    <w:p w:rsidR="0080706F" w:rsidRPr="000823AF" w:rsidRDefault="0080706F" w:rsidP="0080706F">
      <w:pPr>
        <w:pStyle w:val="Pismenka"/>
        <w:tabs>
          <w:tab w:val="clear" w:pos="360"/>
        </w:tabs>
        <w:ind w:firstLine="0"/>
        <w:rPr>
          <w:sz w:val="24"/>
          <w:szCs w:val="24"/>
        </w:rPr>
      </w:pPr>
      <w:r w:rsidRPr="000823AF">
        <w:rPr>
          <w:b w:val="0"/>
          <w:sz w:val="24"/>
          <w:szCs w:val="24"/>
        </w:rPr>
        <w:t xml:space="preserve">Ku dňu, ku ktorému sa zostavuje účtovná závierka, sa už neprepočítavajú. </w:t>
      </w:r>
    </w:p>
    <w:p w:rsidR="0080706F" w:rsidRPr="000823AF" w:rsidRDefault="0080706F" w:rsidP="0080706F">
      <w:pPr>
        <w:pStyle w:val="Pismenka"/>
        <w:tabs>
          <w:tab w:val="clear" w:pos="360"/>
        </w:tabs>
        <w:ind w:firstLine="0"/>
        <w:rPr>
          <w:sz w:val="24"/>
          <w:szCs w:val="24"/>
        </w:rPr>
      </w:pPr>
    </w:p>
    <w:p w:rsidR="0080706F" w:rsidRPr="000823AF" w:rsidRDefault="0080706F" w:rsidP="0080706F">
      <w:pPr>
        <w:pStyle w:val="Pismenka"/>
        <w:tabs>
          <w:tab w:val="clear" w:pos="360"/>
        </w:tabs>
        <w:ind w:firstLine="0"/>
        <w:rPr>
          <w:sz w:val="24"/>
          <w:szCs w:val="24"/>
        </w:rPr>
      </w:pPr>
      <w:r w:rsidRPr="000823AF">
        <w:rPr>
          <w:b w:val="0"/>
          <w:sz w:val="24"/>
          <w:szCs w:val="24"/>
        </w:rPr>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rsidR="0080706F" w:rsidRPr="000823AF" w:rsidRDefault="0080706F" w:rsidP="0080706F">
      <w:pPr>
        <w:pStyle w:val="Zkladntext"/>
        <w:rPr>
          <w:sz w:val="24"/>
          <w:szCs w:val="24"/>
        </w:rPr>
      </w:pPr>
    </w:p>
    <w:p w:rsidR="0080706F" w:rsidRPr="000823AF" w:rsidRDefault="0080706F" w:rsidP="0080706F">
      <w:pPr>
        <w:pStyle w:val="Pismenka"/>
        <w:numPr>
          <w:ilvl w:val="0"/>
          <w:numId w:val="10"/>
        </w:numPr>
        <w:ind w:hanging="436"/>
        <w:rPr>
          <w:sz w:val="24"/>
          <w:szCs w:val="24"/>
        </w:rPr>
      </w:pPr>
      <w:r w:rsidRPr="000823AF">
        <w:rPr>
          <w:sz w:val="24"/>
          <w:szCs w:val="24"/>
        </w:rPr>
        <w:t>Výnosy</w:t>
      </w:r>
    </w:p>
    <w:p w:rsidR="0080706F" w:rsidRPr="000823AF" w:rsidRDefault="0080706F" w:rsidP="0080706F">
      <w:pPr>
        <w:pStyle w:val="Pismenka"/>
        <w:tabs>
          <w:tab w:val="clear" w:pos="360"/>
        </w:tabs>
        <w:ind w:firstLine="0"/>
        <w:rPr>
          <w:b w:val="0"/>
          <w:sz w:val="24"/>
          <w:szCs w:val="24"/>
        </w:rPr>
      </w:pPr>
      <w:r w:rsidRPr="000823AF">
        <w:rPr>
          <w:b w:val="0"/>
          <w:sz w:val="24"/>
          <w:szCs w:val="24"/>
        </w:rPr>
        <w:t>Tržby za vlastné výkony a tovar neobsahujú daň z pridanej hodnoty. Sú tiež znížené o zľavy a zrážky (rabaty, bonusy, skontá, dobropisy a pod.), bez ohľadu na to, či zákazník mal vopred na zľavu nárok, alebo či ide o dodatočne uznanú zľavu.</w:t>
      </w:r>
    </w:p>
    <w:p w:rsidR="0080706F" w:rsidRPr="000823AF" w:rsidRDefault="0080706F" w:rsidP="0080706F">
      <w:pPr>
        <w:pStyle w:val="Pismenka"/>
        <w:tabs>
          <w:tab w:val="clear" w:pos="360"/>
        </w:tabs>
        <w:ind w:firstLine="0"/>
        <w:rPr>
          <w:b w:val="0"/>
          <w:sz w:val="24"/>
          <w:szCs w:val="24"/>
        </w:rPr>
      </w:pPr>
    </w:p>
    <w:p w:rsidR="0080706F" w:rsidRPr="00FE7633" w:rsidRDefault="0080706F" w:rsidP="0080706F">
      <w:pPr>
        <w:pStyle w:val="Pismenka"/>
        <w:tabs>
          <w:tab w:val="clear" w:pos="360"/>
        </w:tabs>
        <w:ind w:firstLine="0"/>
        <w:rPr>
          <w:b w:val="0"/>
          <w:sz w:val="24"/>
          <w:szCs w:val="24"/>
        </w:rPr>
      </w:pPr>
      <w:r w:rsidRPr="000823AF">
        <w:rPr>
          <w:b w:val="0"/>
          <w:sz w:val="24"/>
          <w:szCs w:val="24"/>
        </w:rPr>
        <w:t xml:space="preserve">Tržby z predaja výrobkov a tovaru sa vykazujú </w:t>
      </w:r>
      <w:r w:rsidRPr="00FE7633">
        <w:rPr>
          <w:b w:val="0"/>
          <w:sz w:val="24"/>
          <w:szCs w:val="24"/>
        </w:rPr>
        <w:t xml:space="preserve">v deň splnenia dodávky podľa Obchodného zákonníka, podľa Incoterms alebo iných podmienok dohodnutých v zmluve. </w:t>
      </w:r>
    </w:p>
    <w:p w:rsidR="0080706F" w:rsidRPr="00FE7633" w:rsidRDefault="0080706F" w:rsidP="0080706F">
      <w:pPr>
        <w:pStyle w:val="Pismenka"/>
        <w:tabs>
          <w:tab w:val="clear" w:pos="360"/>
        </w:tabs>
        <w:ind w:firstLine="0"/>
        <w:rPr>
          <w:b w:val="0"/>
          <w:sz w:val="24"/>
          <w:szCs w:val="24"/>
        </w:rPr>
      </w:pPr>
    </w:p>
    <w:p w:rsidR="0080706F" w:rsidRPr="00FE7633" w:rsidRDefault="0080706F" w:rsidP="0080706F">
      <w:pPr>
        <w:pStyle w:val="Pismenka"/>
        <w:tabs>
          <w:tab w:val="clear" w:pos="360"/>
        </w:tabs>
        <w:ind w:firstLine="0"/>
        <w:rPr>
          <w:b w:val="0"/>
          <w:sz w:val="24"/>
          <w:szCs w:val="24"/>
        </w:rPr>
      </w:pPr>
      <w:r w:rsidRPr="00FE7633">
        <w:rPr>
          <w:b w:val="0"/>
          <w:sz w:val="24"/>
          <w:szCs w:val="24"/>
        </w:rPr>
        <w:t>Tržby z predaja služieb sa vykazujú v účtovnom období, v ktorom boli služby poskytnuté.</w:t>
      </w:r>
    </w:p>
    <w:p w:rsidR="0080706F" w:rsidRPr="00FE7633" w:rsidRDefault="0080706F" w:rsidP="0080706F">
      <w:pPr>
        <w:pStyle w:val="Pismenka"/>
        <w:tabs>
          <w:tab w:val="clear" w:pos="360"/>
        </w:tabs>
        <w:ind w:left="426" w:firstLine="0"/>
        <w:rPr>
          <w:b w:val="0"/>
          <w:sz w:val="24"/>
          <w:szCs w:val="24"/>
        </w:rPr>
      </w:pPr>
      <w:r w:rsidRPr="00FE7633">
        <w:rPr>
          <w:b w:val="0"/>
          <w:sz w:val="24"/>
          <w:szCs w:val="24"/>
        </w:rPr>
        <w:t>Výnosové úroky sa účtujú rovnomerne v účtovných obdobiach, ktorých sa vecne a časovo týkajú</w:t>
      </w:r>
      <w:r>
        <w:rPr>
          <w:b w:val="0"/>
          <w:sz w:val="24"/>
          <w:szCs w:val="24"/>
        </w:rPr>
        <w:t>.</w:t>
      </w:r>
    </w:p>
    <w:p w:rsidR="0080706F" w:rsidRPr="00FE7633" w:rsidRDefault="0080706F" w:rsidP="0080706F">
      <w:pPr>
        <w:pStyle w:val="Pismenka"/>
        <w:tabs>
          <w:tab w:val="clear" w:pos="360"/>
        </w:tabs>
        <w:ind w:left="426" w:firstLine="0"/>
        <w:rPr>
          <w:b w:val="0"/>
          <w:sz w:val="24"/>
          <w:szCs w:val="24"/>
        </w:rPr>
      </w:pPr>
    </w:p>
    <w:p w:rsidR="0080706F" w:rsidRPr="00FE7633" w:rsidRDefault="0080706F" w:rsidP="0080706F">
      <w:pPr>
        <w:pStyle w:val="Pismenka"/>
        <w:tabs>
          <w:tab w:val="clear" w:pos="360"/>
        </w:tabs>
        <w:ind w:left="426" w:firstLine="0"/>
        <w:rPr>
          <w:b w:val="0"/>
          <w:sz w:val="24"/>
          <w:szCs w:val="24"/>
        </w:rPr>
      </w:pPr>
      <w:r w:rsidRPr="00FE7633">
        <w:rPr>
          <w:b w:val="0"/>
          <w:sz w:val="24"/>
          <w:szCs w:val="24"/>
        </w:rPr>
        <w:t xml:space="preserve">Výnosy z dividend sa zaúčtujú v čase vzniku práva Spoločnosti na prijatie platby. </w:t>
      </w:r>
    </w:p>
    <w:p w:rsidR="0080706F" w:rsidRPr="00FE7633" w:rsidRDefault="0080706F" w:rsidP="0080706F">
      <w:pPr>
        <w:pStyle w:val="odstavec"/>
        <w:rPr>
          <w:sz w:val="24"/>
          <w:szCs w:val="24"/>
        </w:rPr>
      </w:pPr>
      <w:bookmarkStart w:id="7" w:name="_Toc530739900"/>
    </w:p>
    <w:p w:rsidR="0080706F" w:rsidRPr="000823AF" w:rsidRDefault="0080706F" w:rsidP="0080706F">
      <w:pPr>
        <w:pStyle w:val="Pismenka"/>
        <w:numPr>
          <w:ilvl w:val="0"/>
          <w:numId w:val="10"/>
        </w:numPr>
        <w:rPr>
          <w:sz w:val="24"/>
          <w:szCs w:val="24"/>
        </w:rPr>
      </w:pPr>
      <w:r w:rsidRPr="000823AF">
        <w:rPr>
          <w:sz w:val="24"/>
          <w:szCs w:val="24"/>
        </w:rPr>
        <w:t>Porovnateľné údaje</w:t>
      </w:r>
    </w:p>
    <w:p w:rsidR="0080706F" w:rsidRDefault="0080706F" w:rsidP="0080706F">
      <w:pPr>
        <w:pStyle w:val="Zkladntext"/>
        <w:rPr>
          <w:sz w:val="24"/>
          <w:szCs w:val="24"/>
        </w:rPr>
      </w:pPr>
      <w:r w:rsidRPr="000823AF">
        <w:rPr>
          <w:sz w:val="24"/>
          <w:szCs w:val="24"/>
        </w:rPr>
        <w:t>Ak v dôsledku zmeny účtovných metód a účtovných zásad nie sú hodnoty za bezprostredne predchádzajúce účtovné obdobie v jednotlivých súčastiach účtovnej závierky porovnateľné, uvádza sa vysvetlenie o neporovnateľných hodnotách</w:t>
      </w:r>
      <w:r>
        <w:rPr>
          <w:sz w:val="24"/>
          <w:szCs w:val="24"/>
        </w:rPr>
        <w:t>.</w:t>
      </w:r>
    </w:p>
    <w:p w:rsidR="0080706F" w:rsidRPr="000823AF" w:rsidRDefault="0080706F" w:rsidP="0080706F">
      <w:pPr>
        <w:pStyle w:val="odstavec"/>
        <w:ind w:left="0"/>
        <w:rPr>
          <w:sz w:val="24"/>
          <w:szCs w:val="24"/>
        </w:rPr>
      </w:pPr>
    </w:p>
    <w:p w:rsidR="0080706F" w:rsidRPr="000823AF" w:rsidRDefault="0080706F" w:rsidP="0080706F">
      <w:pPr>
        <w:pStyle w:val="Pismenka"/>
        <w:numPr>
          <w:ilvl w:val="0"/>
          <w:numId w:val="10"/>
        </w:numPr>
        <w:rPr>
          <w:sz w:val="24"/>
          <w:szCs w:val="24"/>
        </w:rPr>
      </w:pPr>
      <w:r w:rsidRPr="000823AF">
        <w:rPr>
          <w:sz w:val="24"/>
          <w:szCs w:val="24"/>
        </w:rPr>
        <w:t>Oprava chýb minulých období</w:t>
      </w:r>
    </w:p>
    <w:p w:rsidR="0080706F" w:rsidRPr="000823AF" w:rsidRDefault="0080706F" w:rsidP="0080706F">
      <w:pPr>
        <w:pStyle w:val="Zkladntext"/>
        <w:rPr>
          <w:sz w:val="24"/>
          <w:szCs w:val="24"/>
        </w:rPr>
      </w:pPr>
      <w:r w:rsidRPr="000823AF">
        <w:rPr>
          <w:sz w:val="24"/>
          <w:szCs w:val="24"/>
        </w:rPr>
        <w:t xml:space="preserve">Ak Spoločnosť zistí v bežnom účtovnom období významnú chybu týkajúcu sa minulých účtovných období, opraví túto chybu na účtoch 428 - Nerozdelený zisk minulých rokov a 429 - Neuhradená strata minulých rokov, t. j. bez vplyvu na výsledok hospodárenia v bežnom účtovnom období. Opravy nevýznamných chýb minulých účtovných období sa účtujú v bežnom účtovnom období na príslušný nákladový alebo výnosový účet. </w:t>
      </w:r>
    </w:p>
    <w:p w:rsidR="0080706F" w:rsidRPr="000823AF" w:rsidRDefault="0080706F" w:rsidP="0080706F">
      <w:pPr>
        <w:pStyle w:val="Zkladntext"/>
        <w:rPr>
          <w:sz w:val="24"/>
          <w:szCs w:val="24"/>
        </w:rPr>
      </w:pPr>
    </w:p>
    <w:p w:rsidR="0080706F" w:rsidRPr="000823AF" w:rsidRDefault="0080706F" w:rsidP="0080706F">
      <w:pPr>
        <w:pStyle w:val="Nadpis1"/>
        <w:tabs>
          <w:tab w:val="num" w:pos="360"/>
          <w:tab w:val="num" w:pos="2062"/>
        </w:tabs>
        <w:ind w:left="360" w:hanging="360"/>
      </w:pPr>
      <w:r>
        <w:t>INFORMÁCI</w:t>
      </w:r>
      <w:r w:rsidRPr="000823AF">
        <w:t xml:space="preserve">E K POLOŽKÁM </w:t>
      </w:r>
      <w:bookmarkEnd w:id="7"/>
      <w:r>
        <w:t>SÚVAHY A</w:t>
      </w:r>
      <w:r w:rsidRPr="000823AF">
        <w:t> VÝKAZU ZISKOV A STRÁT</w:t>
      </w:r>
    </w:p>
    <w:p w:rsidR="0080706F" w:rsidRPr="000823AF" w:rsidRDefault="0080706F" w:rsidP="0080706F">
      <w:pPr>
        <w:pStyle w:val="Zkladntext"/>
        <w:ind w:left="0"/>
        <w:rPr>
          <w:sz w:val="24"/>
          <w:szCs w:val="24"/>
        </w:rPr>
      </w:pPr>
    </w:p>
    <w:p w:rsidR="0080706F" w:rsidRPr="000823AF" w:rsidRDefault="0080706F" w:rsidP="0080706F">
      <w:pPr>
        <w:pStyle w:val="Nadpis2"/>
        <w:numPr>
          <w:ilvl w:val="0"/>
          <w:numId w:val="5"/>
        </w:numPr>
        <w:tabs>
          <w:tab w:val="num" w:pos="426"/>
        </w:tabs>
        <w:spacing w:before="0" w:after="0"/>
        <w:rPr>
          <w:rFonts w:ascii="Times New Roman" w:hAnsi="Times New Roman"/>
          <w:sz w:val="24"/>
          <w:szCs w:val="24"/>
        </w:rPr>
      </w:pPr>
      <w:r w:rsidRPr="000823AF">
        <w:rPr>
          <w:rFonts w:ascii="Times New Roman" w:hAnsi="Times New Roman"/>
          <w:sz w:val="24"/>
          <w:szCs w:val="24"/>
        </w:rPr>
        <w:t xml:space="preserve">Dlhodobý nehmotný majetok </w:t>
      </w:r>
    </w:p>
    <w:p w:rsidR="0080706F" w:rsidRPr="000823AF" w:rsidRDefault="0080706F" w:rsidP="0080706F"/>
    <w:p w:rsidR="0080706F" w:rsidRDefault="0080706F" w:rsidP="0080706F">
      <w:pPr>
        <w:ind w:left="426"/>
      </w:pPr>
      <w:r>
        <w:t>Spoločnosť nemá náplň.</w:t>
      </w:r>
    </w:p>
    <w:p w:rsidR="0080706F" w:rsidRPr="000823AF" w:rsidRDefault="0080706F" w:rsidP="0080706F">
      <w:pPr>
        <w:ind w:left="426"/>
      </w:pPr>
    </w:p>
    <w:p w:rsidR="0080706F" w:rsidRPr="000823AF" w:rsidRDefault="0080706F" w:rsidP="0080706F">
      <w:pPr>
        <w:pStyle w:val="Nadpis2"/>
        <w:numPr>
          <w:ilvl w:val="0"/>
          <w:numId w:val="5"/>
        </w:numPr>
        <w:tabs>
          <w:tab w:val="num" w:pos="426"/>
        </w:tabs>
        <w:spacing w:before="0" w:after="0"/>
        <w:rPr>
          <w:rFonts w:ascii="Times New Roman" w:hAnsi="Times New Roman"/>
          <w:sz w:val="24"/>
          <w:szCs w:val="24"/>
        </w:rPr>
      </w:pPr>
      <w:r w:rsidRPr="000823AF">
        <w:rPr>
          <w:rFonts w:ascii="Times New Roman" w:hAnsi="Times New Roman"/>
          <w:sz w:val="24"/>
          <w:szCs w:val="24"/>
        </w:rPr>
        <w:t>Deriváty</w:t>
      </w:r>
    </w:p>
    <w:p w:rsidR="0080706F" w:rsidRPr="000823AF" w:rsidRDefault="0080706F" w:rsidP="0080706F">
      <w:pPr>
        <w:pStyle w:val="Zkladntext"/>
        <w:rPr>
          <w:sz w:val="24"/>
          <w:szCs w:val="24"/>
        </w:rPr>
      </w:pPr>
    </w:p>
    <w:p w:rsidR="0080706F" w:rsidRPr="001463C8" w:rsidRDefault="0080706F" w:rsidP="0080706F">
      <w:pPr>
        <w:pStyle w:val="Zkladntext"/>
        <w:rPr>
          <w:sz w:val="24"/>
          <w:szCs w:val="24"/>
        </w:rPr>
      </w:pPr>
      <w:r>
        <w:rPr>
          <w:sz w:val="24"/>
          <w:szCs w:val="24"/>
        </w:rPr>
        <w:t>Spoločnosť neeviduje deriváty.</w:t>
      </w:r>
    </w:p>
    <w:p w:rsidR="0080706F" w:rsidRPr="000823AF" w:rsidRDefault="0080706F" w:rsidP="0080706F">
      <w:pPr>
        <w:pStyle w:val="Zkladntext"/>
        <w:ind w:left="0"/>
        <w:jc w:val="left"/>
        <w:rPr>
          <w:sz w:val="24"/>
          <w:szCs w:val="24"/>
        </w:rPr>
      </w:pPr>
      <w:bookmarkStart w:id="8" w:name="_MON_1500889926"/>
      <w:bookmarkEnd w:id="8"/>
    </w:p>
    <w:p w:rsidR="0080706F" w:rsidRPr="000823AF" w:rsidRDefault="0080706F" w:rsidP="0080706F">
      <w:pPr>
        <w:pStyle w:val="Nadpis2"/>
        <w:numPr>
          <w:ilvl w:val="0"/>
          <w:numId w:val="2"/>
        </w:numPr>
        <w:spacing w:before="0" w:after="0"/>
        <w:ind w:left="851" w:hanging="425"/>
        <w:rPr>
          <w:rFonts w:ascii="Times New Roman" w:hAnsi="Times New Roman"/>
          <w:sz w:val="24"/>
          <w:szCs w:val="24"/>
        </w:rPr>
      </w:pPr>
      <w:bookmarkStart w:id="9" w:name="_Toc530739909"/>
      <w:r w:rsidRPr="000823AF">
        <w:rPr>
          <w:rFonts w:ascii="Times New Roman" w:hAnsi="Times New Roman"/>
          <w:sz w:val="24"/>
          <w:szCs w:val="24"/>
        </w:rPr>
        <w:t>Záväzky</w:t>
      </w:r>
      <w:bookmarkEnd w:id="9"/>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t>Štruktúra záväzkov (okrem záväzkov zo sociálneho fondu a odloženého daňového záväzku) podľa zostatkovej doby splatnosti je uvedená v nasledujúcom prehľade:</w:t>
      </w:r>
    </w:p>
    <w:p w:rsidR="0080706F" w:rsidRPr="000823AF" w:rsidRDefault="0080706F" w:rsidP="0080706F">
      <w:pPr>
        <w:pStyle w:val="Zkladntext"/>
        <w:rPr>
          <w:sz w:val="24"/>
          <w:szCs w:val="24"/>
        </w:rPr>
      </w:pPr>
    </w:p>
    <w:bookmarkStart w:id="10" w:name="_MON_1583824753"/>
    <w:bookmarkStart w:id="11" w:name="_MON_1623500898"/>
    <w:bookmarkStart w:id="12" w:name="_MON_1623501117"/>
    <w:bookmarkStart w:id="13" w:name="_MON_1623501122"/>
    <w:bookmarkEnd w:id="10"/>
    <w:bookmarkEnd w:id="11"/>
    <w:bookmarkEnd w:id="12"/>
    <w:bookmarkEnd w:id="13"/>
    <w:bookmarkStart w:id="14" w:name="_MON_1508918652"/>
    <w:bookmarkEnd w:id="14"/>
    <w:p w:rsidR="0080706F" w:rsidRPr="00F11E17" w:rsidRDefault="00917B23" w:rsidP="0080706F">
      <w:pPr>
        <w:pStyle w:val="Zkladntext"/>
        <w:rPr>
          <w:sz w:val="24"/>
          <w:szCs w:val="24"/>
        </w:rPr>
      </w:pPr>
      <w:r w:rsidRPr="000823AF">
        <w:rPr>
          <w:sz w:val="24"/>
          <w:szCs w:val="24"/>
        </w:rPr>
        <w:object w:dxaOrig="8734" w:dyaOrig="2363">
          <v:shape id="_x0000_i1036" type="#_x0000_t75" style="width:435pt;height:117.6pt" o:ole="">
            <v:imagedata r:id="rId13" o:title=""/>
          </v:shape>
          <o:OLEObject Type="Embed" ProgID="Excel.Sheet.12" ShapeID="_x0000_i1036" DrawAspect="Content" ObjectID="_1655044876" r:id="rId14"/>
        </w:object>
      </w:r>
      <w:r w:rsidR="0080706F">
        <w:rPr>
          <w:sz w:val="24"/>
          <w:szCs w:val="24"/>
        </w:rPr>
        <w:t xml:space="preserve"> Záväzky z leasingových zmlúv vo výške 73926,24</w:t>
      </w:r>
      <w:r w:rsidR="0080706F" w:rsidRPr="00F11E17">
        <w:rPr>
          <w:sz w:val="24"/>
          <w:szCs w:val="24"/>
        </w:rPr>
        <w:t xml:space="preserve"> sú kryté hnuteľným majetkom zakúpeným na leasing + zmenkou na meno konateľa.</w:t>
      </w:r>
    </w:p>
    <w:p w:rsidR="0080706F" w:rsidRPr="00DC1CA3" w:rsidRDefault="0080706F" w:rsidP="0080706F">
      <w:pPr>
        <w:pStyle w:val="Zkladntext"/>
        <w:ind w:left="0"/>
        <w:rPr>
          <w:sz w:val="24"/>
          <w:szCs w:val="24"/>
        </w:rPr>
      </w:pPr>
    </w:p>
    <w:p w:rsidR="0080706F" w:rsidRPr="000823AF" w:rsidRDefault="0080706F" w:rsidP="0080706F">
      <w:pPr>
        <w:pStyle w:val="Nadpis2"/>
        <w:numPr>
          <w:ilvl w:val="0"/>
          <w:numId w:val="2"/>
        </w:numPr>
        <w:spacing w:before="0" w:after="0"/>
        <w:rPr>
          <w:rFonts w:ascii="Times New Roman" w:hAnsi="Times New Roman"/>
          <w:sz w:val="24"/>
          <w:szCs w:val="24"/>
        </w:rPr>
      </w:pPr>
      <w:r w:rsidRPr="000823AF">
        <w:rPr>
          <w:rFonts w:ascii="Times New Roman" w:hAnsi="Times New Roman"/>
          <w:sz w:val="24"/>
          <w:szCs w:val="24"/>
        </w:rPr>
        <w:t>Náklady, ktoré majú výnimočný rozsah alebo výskyt</w:t>
      </w:r>
    </w:p>
    <w:p w:rsidR="0080706F" w:rsidRDefault="0080706F" w:rsidP="0080706F">
      <w:pPr>
        <w:ind w:left="426"/>
      </w:pPr>
    </w:p>
    <w:p w:rsidR="0080706F" w:rsidRPr="000823AF" w:rsidRDefault="0080706F" w:rsidP="0080706F">
      <w:pPr>
        <w:ind w:left="426"/>
      </w:pPr>
      <w:r>
        <w:t>Spoločnosť nemá náplň.</w:t>
      </w:r>
    </w:p>
    <w:p w:rsidR="0080706F" w:rsidRPr="000823AF" w:rsidRDefault="0080706F" w:rsidP="0080706F"/>
    <w:p w:rsidR="0080706F" w:rsidRPr="00DC1CA3" w:rsidRDefault="0080706F" w:rsidP="0080706F">
      <w:pPr>
        <w:pStyle w:val="Nadpis2"/>
        <w:numPr>
          <w:ilvl w:val="0"/>
          <w:numId w:val="2"/>
        </w:numPr>
        <w:spacing w:before="0" w:after="0"/>
        <w:rPr>
          <w:rFonts w:ascii="Times New Roman" w:hAnsi="Times New Roman"/>
          <w:sz w:val="24"/>
          <w:szCs w:val="24"/>
        </w:rPr>
      </w:pPr>
      <w:r w:rsidRPr="000823AF">
        <w:rPr>
          <w:rFonts w:ascii="Times New Roman" w:hAnsi="Times New Roman"/>
          <w:sz w:val="24"/>
          <w:szCs w:val="24"/>
        </w:rPr>
        <w:t>Výnosy, ktoré majú výnimočný rozsah alebo výskyt</w:t>
      </w:r>
      <w:r w:rsidRPr="00DC1CA3">
        <w:rPr>
          <w:color w:val="00B050"/>
          <w:sz w:val="24"/>
          <w:szCs w:val="24"/>
        </w:rPr>
        <w:tab/>
      </w:r>
    </w:p>
    <w:p w:rsidR="0080706F" w:rsidRPr="000823AF" w:rsidRDefault="0080706F" w:rsidP="0080706F">
      <w:pPr>
        <w:pStyle w:val="Zkladntext"/>
        <w:rPr>
          <w:color w:val="00B050"/>
          <w:sz w:val="24"/>
          <w:szCs w:val="24"/>
        </w:rPr>
      </w:pPr>
    </w:p>
    <w:p w:rsidR="0080706F" w:rsidRPr="000823AF" w:rsidRDefault="0080706F" w:rsidP="0080706F">
      <w:pPr>
        <w:ind w:left="426"/>
      </w:pPr>
      <w:bookmarkStart w:id="15" w:name="_MON_1405949598"/>
      <w:bookmarkStart w:id="16" w:name="_MON_1500378563"/>
      <w:bookmarkEnd w:id="15"/>
      <w:bookmarkEnd w:id="16"/>
      <w:r>
        <w:t>Spoločnosť nemá náplň.</w:t>
      </w:r>
    </w:p>
    <w:p w:rsidR="0080706F" w:rsidRPr="000823AF" w:rsidRDefault="0080706F" w:rsidP="0080706F">
      <w:pPr>
        <w:pStyle w:val="Nadpis1"/>
        <w:tabs>
          <w:tab w:val="num" w:pos="360"/>
          <w:tab w:val="num" w:pos="2062"/>
        </w:tabs>
        <w:spacing w:before="240" w:after="60"/>
        <w:ind w:left="360" w:hanging="360"/>
      </w:pPr>
      <w:r w:rsidRPr="000823AF">
        <w:t>Informácie o iných aktívach a iných pasívach</w:t>
      </w:r>
    </w:p>
    <w:p w:rsidR="0080706F" w:rsidRPr="000823AF" w:rsidRDefault="0080706F" w:rsidP="0080706F"/>
    <w:p w:rsidR="0080706F" w:rsidRPr="000823AF" w:rsidRDefault="0080706F" w:rsidP="0080706F">
      <w:pPr>
        <w:pStyle w:val="Nadpis2"/>
        <w:numPr>
          <w:ilvl w:val="0"/>
          <w:numId w:val="9"/>
        </w:numPr>
        <w:spacing w:before="0" w:after="0"/>
        <w:rPr>
          <w:rFonts w:ascii="Times New Roman" w:hAnsi="Times New Roman"/>
          <w:sz w:val="24"/>
          <w:szCs w:val="24"/>
        </w:rPr>
      </w:pPr>
      <w:r w:rsidRPr="000823AF">
        <w:rPr>
          <w:rFonts w:ascii="Times New Roman" w:hAnsi="Times New Roman"/>
          <w:sz w:val="24"/>
          <w:szCs w:val="24"/>
        </w:rPr>
        <w:t>Podmienený majetok</w:t>
      </w:r>
    </w:p>
    <w:p w:rsidR="0080706F" w:rsidRPr="000823AF" w:rsidRDefault="0080706F" w:rsidP="0080706F">
      <w:pPr>
        <w:pStyle w:val="Zkladntext"/>
        <w:ind w:left="0"/>
        <w:rPr>
          <w:sz w:val="24"/>
          <w:szCs w:val="24"/>
        </w:rPr>
      </w:pPr>
    </w:p>
    <w:p w:rsidR="0080706F" w:rsidRPr="00DC1CA3" w:rsidRDefault="0080706F" w:rsidP="0080706F">
      <w:pPr>
        <w:ind w:left="426"/>
      </w:pPr>
      <w:r>
        <w:t>Spoločnosť nemá náplň.</w:t>
      </w:r>
    </w:p>
    <w:p w:rsidR="0080706F" w:rsidRPr="000823AF" w:rsidRDefault="0080706F" w:rsidP="0080706F"/>
    <w:p w:rsidR="0080706F" w:rsidRPr="000823AF" w:rsidRDefault="0080706F" w:rsidP="0080706F">
      <w:pPr>
        <w:pStyle w:val="Nadpis2"/>
        <w:numPr>
          <w:ilvl w:val="0"/>
          <w:numId w:val="9"/>
        </w:numPr>
        <w:spacing w:before="0" w:after="0"/>
        <w:rPr>
          <w:rFonts w:ascii="Times New Roman" w:hAnsi="Times New Roman"/>
          <w:sz w:val="24"/>
          <w:szCs w:val="24"/>
        </w:rPr>
      </w:pPr>
      <w:r w:rsidRPr="000823AF">
        <w:rPr>
          <w:rFonts w:ascii="Times New Roman" w:hAnsi="Times New Roman"/>
          <w:sz w:val="24"/>
          <w:szCs w:val="24"/>
        </w:rPr>
        <w:t>Podmienené záväzky</w:t>
      </w:r>
    </w:p>
    <w:p w:rsidR="0080706F" w:rsidRPr="000823AF" w:rsidRDefault="0080706F" w:rsidP="0080706F">
      <w:pPr>
        <w:pStyle w:val="Zkladntext"/>
        <w:rPr>
          <w:sz w:val="24"/>
          <w:szCs w:val="24"/>
        </w:rPr>
      </w:pPr>
    </w:p>
    <w:p w:rsidR="0080706F" w:rsidRPr="006E0F24" w:rsidRDefault="0080706F" w:rsidP="0080706F">
      <w:pPr>
        <w:pStyle w:val="Zkladntext"/>
        <w:rPr>
          <w:sz w:val="24"/>
          <w:szCs w:val="24"/>
        </w:rPr>
      </w:pPr>
      <w:r w:rsidRPr="006E0F24">
        <w:rPr>
          <w:sz w:val="24"/>
          <w:szCs w:val="24"/>
        </w:rPr>
        <w:t xml:space="preserve">Vzhľadom na to, že mnohé oblasti slovenského daňového práva doteraz neboli dostatočne overené praxou, existuje neistota v tom, ako ich budú daňové orgány aplikovať. Mieru tejto neistoty nie je možné kvantifikovať a zanikne až potom, keď budú k dispozícii právne precedensy, prípadne oficiálne interpretácie príslušných orgánov. </w:t>
      </w:r>
      <w:r w:rsidRPr="006E0F24">
        <w:rPr>
          <w:sz w:val="24"/>
          <w:szCs w:val="24"/>
        </w:rPr>
        <w:lastRenderedPageBreak/>
        <w:t>Vedenie Spoločnosti si nie je vedomé žiadnych okolností, v dôsledku ktorých by jej vznikol významný náklad.</w:t>
      </w:r>
    </w:p>
    <w:p w:rsidR="0080706F" w:rsidRDefault="0080706F" w:rsidP="0080706F">
      <w:pPr>
        <w:pStyle w:val="Zkladntext"/>
        <w:rPr>
          <w:szCs w:val="18"/>
        </w:rPr>
      </w:pPr>
    </w:p>
    <w:p w:rsidR="0080706F" w:rsidRPr="000823AF" w:rsidRDefault="0080706F" w:rsidP="0080706F">
      <w:pPr>
        <w:pStyle w:val="Nadpis2"/>
        <w:numPr>
          <w:ilvl w:val="0"/>
          <w:numId w:val="9"/>
        </w:numPr>
        <w:spacing w:before="0" w:after="0"/>
        <w:rPr>
          <w:rFonts w:ascii="Times New Roman" w:hAnsi="Times New Roman"/>
          <w:sz w:val="24"/>
          <w:szCs w:val="24"/>
        </w:rPr>
      </w:pPr>
      <w:r w:rsidRPr="000823AF">
        <w:rPr>
          <w:rFonts w:ascii="Times New Roman" w:hAnsi="Times New Roman"/>
          <w:sz w:val="24"/>
          <w:szCs w:val="24"/>
        </w:rPr>
        <w:t>Ostatné finančné povinnosti</w:t>
      </w:r>
    </w:p>
    <w:p w:rsidR="0080706F" w:rsidRPr="00DC1CA3" w:rsidRDefault="0080706F" w:rsidP="0080706F">
      <w:pPr>
        <w:pStyle w:val="Zkladntext"/>
        <w:rPr>
          <w:sz w:val="24"/>
          <w:szCs w:val="24"/>
        </w:rPr>
      </w:pPr>
    </w:p>
    <w:p w:rsidR="0080706F" w:rsidRPr="000823AF" w:rsidRDefault="0080706F" w:rsidP="0080706F">
      <w:pPr>
        <w:ind w:left="426"/>
      </w:pPr>
      <w:r>
        <w:t>Spoločnosť nemá náplň.</w:t>
      </w:r>
    </w:p>
    <w:p w:rsidR="0080706F" w:rsidRPr="000823AF" w:rsidRDefault="0080706F" w:rsidP="0080706F">
      <w:pPr>
        <w:pStyle w:val="Zkladntext"/>
        <w:ind w:left="766"/>
        <w:rPr>
          <w:color w:val="0070C0"/>
          <w:sz w:val="24"/>
          <w:szCs w:val="24"/>
        </w:rPr>
      </w:pPr>
    </w:p>
    <w:p w:rsidR="0080706F" w:rsidRPr="000823AF" w:rsidRDefault="0080706F" w:rsidP="0080706F">
      <w:pPr>
        <w:pStyle w:val="Nadpis2"/>
        <w:numPr>
          <w:ilvl w:val="0"/>
          <w:numId w:val="9"/>
        </w:numPr>
        <w:spacing w:before="0" w:after="0"/>
        <w:rPr>
          <w:rFonts w:ascii="Times New Roman" w:hAnsi="Times New Roman"/>
          <w:sz w:val="24"/>
          <w:szCs w:val="24"/>
        </w:rPr>
      </w:pPr>
      <w:r w:rsidRPr="000823AF">
        <w:rPr>
          <w:rFonts w:ascii="Times New Roman" w:hAnsi="Times New Roman"/>
          <w:sz w:val="24"/>
          <w:szCs w:val="24"/>
        </w:rPr>
        <w:t>Najatý majetok</w:t>
      </w:r>
    </w:p>
    <w:p w:rsidR="0080706F" w:rsidRPr="000823AF" w:rsidRDefault="0080706F" w:rsidP="0080706F">
      <w:pPr>
        <w:pStyle w:val="Zkladntext"/>
        <w:ind w:left="0"/>
        <w:rPr>
          <w:sz w:val="24"/>
          <w:szCs w:val="24"/>
        </w:rPr>
      </w:pPr>
    </w:p>
    <w:p w:rsidR="0080706F" w:rsidRDefault="0080706F" w:rsidP="0080706F">
      <w:pPr>
        <w:pStyle w:val="Zkladntext"/>
        <w:rPr>
          <w:sz w:val="24"/>
          <w:szCs w:val="24"/>
        </w:rPr>
      </w:pPr>
      <w:r w:rsidRPr="000823AF">
        <w:rPr>
          <w:sz w:val="24"/>
          <w:szCs w:val="24"/>
        </w:rPr>
        <w:t xml:space="preserve">Spoločnosť má v nájme </w:t>
      </w:r>
      <w:r>
        <w:rPr>
          <w:sz w:val="24"/>
          <w:szCs w:val="24"/>
        </w:rPr>
        <w:t xml:space="preserve">kancelárske priestory v Senci, Šamorínska 10 </w:t>
      </w:r>
      <w:r w:rsidRPr="000823AF">
        <w:rPr>
          <w:sz w:val="24"/>
          <w:szCs w:val="24"/>
        </w:rPr>
        <w:t xml:space="preserve">od </w:t>
      </w:r>
      <w:r>
        <w:rPr>
          <w:sz w:val="24"/>
          <w:szCs w:val="24"/>
        </w:rPr>
        <w:t>spriaznenej</w:t>
      </w:r>
      <w:r w:rsidRPr="000823AF">
        <w:rPr>
          <w:sz w:val="24"/>
          <w:szCs w:val="24"/>
        </w:rPr>
        <w:t xml:space="preserve"> osoby. Nájomná zmluva je uzatvorená </w:t>
      </w:r>
      <w:r>
        <w:rPr>
          <w:sz w:val="24"/>
          <w:szCs w:val="24"/>
        </w:rPr>
        <w:t>na dobu neurčitú.</w:t>
      </w:r>
      <w:r w:rsidRPr="000823AF">
        <w:rPr>
          <w:sz w:val="24"/>
          <w:szCs w:val="24"/>
        </w:rPr>
        <w:t xml:space="preserve"> Ročné nájomné predstavuje </w:t>
      </w:r>
      <w:r>
        <w:rPr>
          <w:sz w:val="24"/>
          <w:szCs w:val="24"/>
        </w:rPr>
        <w:t>600,-</w:t>
      </w:r>
      <w:r w:rsidRPr="000823AF">
        <w:rPr>
          <w:sz w:val="24"/>
          <w:szCs w:val="24"/>
        </w:rPr>
        <w:t xml:space="preserve"> EUR. </w:t>
      </w:r>
    </w:p>
    <w:p w:rsidR="0080706F" w:rsidRDefault="0080706F" w:rsidP="0080706F">
      <w:pPr>
        <w:pStyle w:val="Zkladntext"/>
        <w:rPr>
          <w:sz w:val="24"/>
          <w:szCs w:val="24"/>
        </w:rPr>
      </w:pPr>
    </w:p>
    <w:p w:rsidR="0080706F" w:rsidRPr="000823AF" w:rsidRDefault="0080706F" w:rsidP="0080706F">
      <w:pPr>
        <w:pStyle w:val="Zkladntext"/>
        <w:rPr>
          <w:sz w:val="24"/>
          <w:szCs w:val="24"/>
        </w:rPr>
      </w:pPr>
      <w:r>
        <w:rPr>
          <w:sz w:val="24"/>
          <w:szCs w:val="24"/>
        </w:rPr>
        <w:t>Spoločnosť má v nájme časť budovy ako ubytovňu, ročné nájomné predstavuje sumu 42 000,-EUR.</w:t>
      </w:r>
    </w:p>
    <w:p w:rsidR="0080706F" w:rsidRPr="000823AF" w:rsidRDefault="0080706F" w:rsidP="0080706F">
      <w:pPr>
        <w:pStyle w:val="Zkladntext"/>
        <w:ind w:left="0"/>
        <w:rPr>
          <w:sz w:val="24"/>
          <w:szCs w:val="24"/>
        </w:rPr>
      </w:pPr>
    </w:p>
    <w:p w:rsidR="0080706F" w:rsidRPr="000823AF" w:rsidRDefault="0080706F" w:rsidP="0080706F">
      <w:pPr>
        <w:pStyle w:val="Nadpis2"/>
        <w:numPr>
          <w:ilvl w:val="0"/>
          <w:numId w:val="9"/>
        </w:numPr>
        <w:spacing w:before="0" w:after="0"/>
        <w:rPr>
          <w:rFonts w:ascii="Times New Roman" w:hAnsi="Times New Roman"/>
          <w:sz w:val="24"/>
          <w:szCs w:val="24"/>
        </w:rPr>
      </w:pPr>
      <w:r w:rsidRPr="000823AF">
        <w:rPr>
          <w:rFonts w:ascii="Times New Roman" w:hAnsi="Times New Roman"/>
          <w:sz w:val="24"/>
          <w:szCs w:val="24"/>
        </w:rPr>
        <w:t>Prenajatý majetok</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t xml:space="preserve">Spoločnosť </w:t>
      </w:r>
      <w:r w:rsidR="008357FB">
        <w:rPr>
          <w:sz w:val="24"/>
          <w:szCs w:val="24"/>
        </w:rPr>
        <w:t>prenajíma svoj majetok – vozidlá.</w:t>
      </w:r>
    </w:p>
    <w:p w:rsidR="0080706F" w:rsidRPr="000823AF" w:rsidRDefault="0080706F" w:rsidP="0080706F">
      <w:pPr>
        <w:pStyle w:val="Zkladntext"/>
        <w:ind w:left="0"/>
        <w:rPr>
          <w:sz w:val="24"/>
          <w:szCs w:val="24"/>
        </w:rPr>
      </w:pPr>
    </w:p>
    <w:p w:rsidR="0080706F" w:rsidRPr="000823AF" w:rsidRDefault="0080706F" w:rsidP="0080706F">
      <w:pPr>
        <w:pStyle w:val="Nadpis1"/>
        <w:tabs>
          <w:tab w:val="num" w:pos="360"/>
          <w:tab w:val="num" w:pos="2062"/>
        </w:tabs>
        <w:spacing w:before="120" w:after="60"/>
        <w:ind w:left="360" w:hanging="360"/>
      </w:pPr>
      <w:r w:rsidRPr="000823AF">
        <w:t>Informácie o skutočnostiach, ktoré nastali po dni, ku ktorému sa zostavuje účtovná závierka, do dňa zostavenia účtovnej závierky</w:t>
      </w:r>
    </w:p>
    <w:p w:rsidR="0080706F" w:rsidRPr="000823AF" w:rsidRDefault="0080706F" w:rsidP="0080706F">
      <w:pPr>
        <w:pStyle w:val="Zkladntext"/>
        <w:rPr>
          <w:sz w:val="24"/>
          <w:szCs w:val="24"/>
        </w:rPr>
      </w:pPr>
    </w:p>
    <w:p w:rsidR="0080706F" w:rsidRPr="006E0F24" w:rsidRDefault="0080706F" w:rsidP="0080706F">
      <w:pPr>
        <w:pStyle w:val="Textkomentra"/>
        <w:rPr>
          <w:sz w:val="24"/>
          <w:szCs w:val="24"/>
        </w:rPr>
      </w:pPr>
      <w:r>
        <w:rPr>
          <w:sz w:val="24"/>
          <w:szCs w:val="24"/>
        </w:rPr>
        <w:t>Po 31.12.201</w:t>
      </w:r>
      <w:r w:rsidR="00917B23">
        <w:rPr>
          <w:sz w:val="24"/>
          <w:szCs w:val="24"/>
        </w:rPr>
        <w:t>9</w:t>
      </w:r>
      <w:bookmarkStart w:id="17" w:name="_GoBack"/>
      <w:bookmarkEnd w:id="17"/>
      <w:r w:rsidRPr="006E0F24">
        <w:rPr>
          <w:sz w:val="24"/>
          <w:szCs w:val="24"/>
        </w:rPr>
        <w:t xml:space="preserve"> nenastali žiadne významné skutočnosti majúce významný vplyv na verné zobrazenie skutočností, ktoré sú predmetom účtovníctva.</w:t>
      </w:r>
    </w:p>
    <w:p w:rsidR="0080706F" w:rsidRDefault="0080706F" w:rsidP="00F22260">
      <w:pPr>
        <w:jc w:val="center"/>
        <w:rPr>
          <w:b/>
          <w:sz w:val="48"/>
          <w:szCs w:val="48"/>
        </w:rPr>
      </w:pPr>
    </w:p>
    <w:sectPr w:rsidR="0080706F" w:rsidSect="0080706F">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4B9A" w:rsidRDefault="000B4B9A" w:rsidP="0080706F">
      <w:pPr>
        <w:spacing w:after="0" w:line="240" w:lineRule="auto"/>
      </w:pPr>
      <w:r>
        <w:separator/>
      </w:r>
    </w:p>
  </w:endnote>
  <w:endnote w:type="continuationSeparator" w:id="0">
    <w:p w:rsidR="000B4B9A" w:rsidRDefault="000B4B9A" w:rsidP="008070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Univers 45 Light">
    <w:charset w:val="00"/>
    <w:family w:val="auto"/>
    <w:pitch w:val="variable"/>
    <w:sig w:usb0="8000002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706F" w:rsidRDefault="00917B23">
    <w:pPr>
      <w:pStyle w:val="Pta"/>
      <w:pBdr>
        <w:top w:val="single" w:sz="4" w:space="1" w:color="A5A5A5" w:themeColor="background1" w:themeShade="A5"/>
      </w:pBdr>
      <w:jc w:val="right"/>
      <w:rPr>
        <w:color w:val="808080" w:themeColor="background1" w:themeShade="80"/>
      </w:rPr>
    </w:pPr>
    <w:sdt>
      <w:sdtPr>
        <w:rPr>
          <w:color w:val="808080" w:themeColor="background1" w:themeShade="80"/>
        </w:rPr>
        <w:alias w:val="Spoločnosť"/>
        <w:id w:val="76161118"/>
        <w:placeholder>
          <w:docPart w:val="924F53AA4BC34BFB9CB148D4F152EB17"/>
        </w:placeholder>
        <w:dataBinding w:prefixMappings="xmlns:ns0='http://schemas.openxmlformats.org/officeDocument/2006/extended-properties'" w:xpath="/ns0:Properties[1]/ns0:Company[1]" w:storeItemID="{6668398D-A668-4E3E-A5EB-62B293D839F1}"/>
        <w:text/>
      </w:sdtPr>
      <w:sdtEndPr/>
      <w:sdtContent>
        <w:r w:rsidR="0080706F">
          <w:rPr>
            <w:color w:val="808080" w:themeColor="background1" w:themeShade="80"/>
          </w:rPr>
          <w:t>LUJZA s.r.o.</w:t>
        </w:r>
      </w:sdtContent>
    </w:sdt>
    <w:r w:rsidR="0080706F">
      <w:rPr>
        <w:noProof/>
        <w:color w:val="808080" w:themeColor="background1" w:themeShade="80"/>
        <w:lang w:eastAsia="sk-SK"/>
      </w:rPr>
      <mc:AlternateContent>
        <mc:Choice Requires="wpg">
          <w:drawing>
            <wp:anchor distT="0" distB="0" distL="114300" distR="114300" simplePos="0" relativeHeight="251659264" behindDoc="0" locked="0" layoutInCell="0" allowOverlap="1" wp14:editId="60E259F2">
              <wp:simplePos x="0" y="0"/>
              <wp:positionH relativeFrom="rightMargin">
                <wp:align>center</wp:align>
              </wp:positionH>
              <mc:AlternateContent>
                <mc:Choice Requires="wp14">
                  <wp:positionV relativeFrom="margin">
                    <wp14:pctPosVOffset>90000</wp14:pctPosVOffset>
                  </wp:positionV>
                </mc:Choice>
                <mc:Fallback>
                  <wp:positionV relativeFrom="page">
                    <wp:posOffset>8902700</wp:posOffset>
                  </wp:positionV>
                </mc:Fallback>
              </mc:AlternateContent>
              <wp:extent cx="737870" cy="615950"/>
              <wp:effectExtent l="0" t="1270" r="5080" b="1905"/>
              <wp:wrapNone/>
              <wp:docPr id="406" name="Skupina 4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6440" cy="615950"/>
                        <a:chOff x="10717" y="13296"/>
                        <a:chExt cx="1162" cy="970"/>
                      </a:xfrm>
                    </wpg:grpSpPr>
                    <wpg:grpSp>
                      <wpg:cNvPr id="423" name="Group 423"/>
                      <wpg:cNvGrpSpPr>
                        <a:grpSpLocks noChangeAspect="1"/>
                      </wpg:cNvGrpSpPr>
                      <wpg:grpSpPr bwMode="auto">
                        <a:xfrm>
                          <a:off x="10717" y="13815"/>
                          <a:ext cx="1161" cy="451"/>
                          <a:chOff x="-6" y="3399"/>
                          <a:chExt cx="12197" cy="4253"/>
                        </a:xfrm>
                      </wpg:grpSpPr>
                      <wpg:grpSp>
                        <wpg:cNvPr id="424" name="Group 424"/>
                        <wpg:cNvGrpSpPr>
                          <a:grpSpLocks noChangeAspect="1"/>
                        </wpg:cNvGrpSpPr>
                        <wpg:grpSpPr bwMode="auto">
                          <a:xfrm>
                            <a:off x="-6" y="3717"/>
                            <a:ext cx="12189" cy="3550"/>
                            <a:chOff x="18" y="7468"/>
                            <a:chExt cx="12189" cy="3550"/>
                          </a:xfrm>
                        </wpg:grpSpPr>
                        <wps:wsp>
                          <wps:cNvPr id="425" name="Freeform 425"/>
                          <wps:cNvSpPr>
                            <a:spLocks noChangeAspect="1"/>
                          </wps:cNvSpPr>
                          <wps:spPr bwMode="auto">
                            <a:xfrm>
                              <a:off x="18" y="7837"/>
                              <a:ext cx="7132" cy="2863"/>
                            </a:xfrm>
                            <a:custGeom>
                              <a:avLst/>
                              <a:gdLst/>
                              <a:ahLst/>
                              <a:cxnLst>
                                <a:cxn ang="0">
                                  <a:pos x="0" y="0"/>
                                </a:cxn>
                                <a:cxn ang="0">
                                  <a:pos x="17" y="2863"/>
                                </a:cxn>
                                <a:cxn ang="0">
                                  <a:pos x="7132" y="2578"/>
                                </a:cxn>
                                <a:cxn ang="0">
                                  <a:pos x="7132" y="200"/>
                                </a:cxn>
                                <a:cxn ang="0">
                                  <a:pos x="0" y="0"/>
                                </a:cxn>
                              </a:cxnLst>
                              <a:rect l="0" t="0" r="r" b="b"/>
                              <a:pathLst>
                                <a:path w="7132" h="2863">
                                  <a:moveTo>
                                    <a:pt x="0" y="0"/>
                                  </a:moveTo>
                                  <a:lnTo>
                                    <a:pt x="17" y="2863"/>
                                  </a:lnTo>
                                  <a:lnTo>
                                    <a:pt x="7132" y="2578"/>
                                  </a:lnTo>
                                  <a:lnTo>
                                    <a:pt x="7132" y="200"/>
                                  </a:lnTo>
                                  <a:lnTo>
                                    <a:pt x="0" y="0"/>
                                  </a:lnTo>
                                  <a:close/>
                                </a:path>
                              </a:pathLst>
                            </a:custGeom>
                            <a:solidFill>
                              <a:srgbClr val="A7BFD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6" name="Freeform 426"/>
                          <wps:cNvSpPr>
                            <a:spLocks noChangeAspect="1"/>
                          </wps:cNvSpPr>
                          <wps:spPr bwMode="auto">
                            <a:xfrm>
                              <a:off x="7150" y="7468"/>
                              <a:ext cx="3466" cy="3550"/>
                            </a:xfrm>
                            <a:custGeom>
                              <a:avLst/>
                              <a:gdLst/>
                              <a:ahLst/>
                              <a:cxnLst>
                                <a:cxn ang="0">
                                  <a:pos x="0" y="569"/>
                                </a:cxn>
                                <a:cxn ang="0">
                                  <a:pos x="0" y="2930"/>
                                </a:cxn>
                                <a:cxn ang="0">
                                  <a:pos x="3466" y="3550"/>
                                </a:cxn>
                                <a:cxn ang="0">
                                  <a:pos x="3466" y="0"/>
                                </a:cxn>
                                <a:cxn ang="0">
                                  <a:pos x="0" y="569"/>
                                </a:cxn>
                              </a:cxnLst>
                              <a:rect l="0" t="0" r="r" b="b"/>
                              <a:pathLst>
                                <a:path w="3466" h="3550">
                                  <a:moveTo>
                                    <a:pt x="0" y="569"/>
                                  </a:moveTo>
                                  <a:lnTo>
                                    <a:pt x="0" y="2930"/>
                                  </a:lnTo>
                                  <a:lnTo>
                                    <a:pt x="3466" y="3550"/>
                                  </a:lnTo>
                                  <a:lnTo>
                                    <a:pt x="3466" y="0"/>
                                  </a:lnTo>
                                  <a:lnTo>
                                    <a:pt x="0" y="569"/>
                                  </a:lnTo>
                                  <a:close/>
                                </a:path>
                              </a:pathLst>
                            </a:custGeom>
                            <a:solidFill>
                              <a:srgbClr val="D3DFE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7" name="Freeform 427"/>
                          <wps:cNvSpPr>
                            <a:spLocks noChangeAspect="1"/>
                          </wps:cNvSpPr>
                          <wps:spPr bwMode="auto">
                            <a:xfrm>
                              <a:off x="10616" y="7468"/>
                              <a:ext cx="1591" cy="3550"/>
                            </a:xfrm>
                            <a:custGeom>
                              <a:avLst/>
                              <a:gdLst/>
                              <a:ahLst/>
                              <a:cxnLst>
                                <a:cxn ang="0">
                                  <a:pos x="0" y="0"/>
                                </a:cxn>
                                <a:cxn ang="0">
                                  <a:pos x="0" y="3550"/>
                                </a:cxn>
                                <a:cxn ang="0">
                                  <a:pos x="1591" y="2746"/>
                                </a:cxn>
                                <a:cxn ang="0">
                                  <a:pos x="1591" y="737"/>
                                </a:cxn>
                                <a:cxn ang="0">
                                  <a:pos x="0" y="0"/>
                                </a:cxn>
                              </a:cxnLst>
                              <a:rect l="0" t="0" r="r" b="b"/>
                              <a:pathLst>
                                <a:path w="1591" h="3550">
                                  <a:moveTo>
                                    <a:pt x="0" y="0"/>
                                  </a:moveTo>
                                  <a:lnTo>
                                    <a:pt x="0" y="3550"/>
                                  </a:lnTo>
                                  <a:lnTo>
                                    <a:pt x="1591" y="2746"/>
                                  </a:lnTo>
                                  <a:lnTo>
                                    <a:pt x="1591" y="737"/>
                                  </a:lnTo>
                                  <a:lnTo>
                                    <a:pt x="0" y="0"/>
                                  </a:lnTo>
                                  <a:close/>
                                </a:path>
                              </a:pathLst>
                            </a:custGeom>
                            <a:solidFill>
                              <a:srgbClr val="A7BFD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28" name="Freeform 428"/>
                        <wps:cNvSpPr>
                          <a:spLocks noChangeAspect="1"/>
                        </wps:cNvSpPr>
                        <wps:spPr bwMode="auto">
                          <a:xfrm>
                            <a:off x="8071" y="4069"/>
                            <a:ext cx="4120" cy="2913"/>
                          </a:xfrm>
                          <a:custGeom>
                            <a:avLst/>
                            <a:gdLst/>
                            <a:ahLst/>
                            <a:cxnLst>
                              <a:cxn ang="0">
                                <a:pos x="1" y="251"/>
                              </a:cxn>
                              <a:cxn ang="0">
                                <a:pos x="0" y="2662"/>
                              </a:cxn>
                              <a:cxn ang="0">
                                <a:pos x="4120" y="2913"/>
                              </a:cxn>
                              <a:cxn ang="0">
                                <a:pos x="4120" y="0"/>
                              </a:cxn>
                              <a:cxn ang="0">
                                <a:pos x="1" y="251"/>
                              </a:cxn>
                            </a:cxnLst>
                            <a:rect l="0" t="0" r="r" b="b"/>
                            <a:pathLst>
                              <a:path w="4120" h="2913">
                                <a:moveTo>
                                  <a:pt x="1" y="251"/>
                                </a:moveTo>
                                <a:lnTo>
                                  <a:pt x="0" y="2662"/>
                                </a:lnTo>
                                <a:lnTo>
                                  <a:pt x="4120" y="2913"/>
                                </a:lnTo>
                                <a:lnTo>
                                  <a:pt x="4120" y="0"/>
                                </a:lnTo>
                                <a:lnTo>
                                  <a:pt x="1" y="251"/>
                                </a:lnTo>
                                <a:close/>
                              </a:path>
                            </a:pathLst>
                          </a:custGeom>
                          <a:solidFill>
                            <a:srgbClr val="D8D8D8"/>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9" name="Freeform 429"/>
                        <wps:cNvSpPr>
                          <a:spLocks noChangeAspect="1"/>
                        </wps:cNvSpPr>
                        <wps:spPr bwMode="auto">
                          <a:xfrm>
                            <a:off x="4104" y="3399"/>
                            <a:ext cx="3985" cy="4236"/>
                          </a:xfrm>
                          <a:custGeom>
                            <a:avLst/>
                            <a:gdLst/>
                            <a:ahLst/>
                            <a:cxnLst>
                              <a:cxn ang="0">
                                <a:pos x="0" y="0"/>
                              </a:cxn>
                              <a:cxn ang="0">
                                <a:pos x="0" y="4236"/>
                              </a:cxn>
                              <a:cxn ang="0">
                                <a:pos x="3985" y="3349"/>
                              </a:cxn>
                              <a:cxn ang="0">
                                <a:pos x="3985" y="921"/>
                              </a:cxn>
                              <a:cxn ang="0">
                                <a:pos x="0" y="0"/>
                              </a:cxn>
                            </a:cxnLst>
                            <a:rect l="0" t="0" r="r" b="b"/>
                            <a:pathLst>
                              <a:path w="3985" h="4236">
                                <a:moveTo>
                                  <a:pt x="0" y="0"/>
                                </a:moveTo>
                                <a:lnTo>
                                  <a:pt x="0" y="4236"/>
                                </a:lnTo>
                                <a:lnTo>
                                  <a:pt x="3985" y="3349"/>
                                </a:lnTo>
                                <a:lnTo>
                                  <a:pt x="3985" y="921"/>
                                </a:lnTo>
                                <a:lnTo>
                                  <a:pt x="0" y="0"/>
                                </a:lnTo>
                                <a:close/>
                              </a:path>
                            </a:pathLst>
                          </a:custGeom>
                          <a:solidFill>
                            <a:srgbClr val="BFBFBF"/>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0" name="Freeform 430"/>
                        <wps:cNvSpPr>
                          <a:spLocks noChangeAspect="1"/>
                        </wps:cNvSpPr>
                        <wps:spPr bwMode="auto">
                          <a:xfrm>
                            <a:off x="18" y="3399"/>
                            <a:ext cx="4086" cy="4253"/>
                          </a:xfrm>
                          <a:custGeom>
                            <a:avLst/>
                            <a:gdLst/>
                            <a:ahLst/>
                            <a:cxnLst>
                              <a:cxn ang="0">
                                <a:pos x="4086" y="0"/>
                              </a:cxn>
                              <a:cxn ang="0">
                                <a:pos x="4084" y="4253"/>
                              </a:cxn>
                              <a:cxn ang="0">
                                <a:pos x="0" y="3198"/>
                              </a:cxn>
                              <a:cxn ang="0">
                                <a:pos x="0" y="1072"/>
                              </a:cxn>
                              <a:cxn ang="0">
                                <a:pos x="4086" y="0"/>
                              </a:cxn>
                            </a:cxnLst>
                            <a:rect l="0" t="0" r="r" b="b"/>
                            <a:pathLst>
                              <a:path w="4086" h="4253">
                                <a:moveTo>
                                  <a:pt x="4086" y="0"/>
                                </a:moveTo>
                                <a:lnTo>
                                  <a:pt x="4084" y="4253"/>
                                </a:lnTo>
                                <a:lnTo>
                                  <a:pt x="0" y="3198"/>
                                </a:lnTo>
                                <a:lnTo>
                                  <a:pt x="0" y="1072"/>
                                </a:lnTo>
                                <a:lnTo>
                                  <a:pt x="4086" y="0"/>
                                </a:lnTo>
                                <a:close/>
                              </a:path>
                            </a:pathLst>
                          </a:custGeom>
                          <a:solidFill>
                            <a:srgbClr val="D8D8D8"/>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1" name="Freeform 431"/>
                        <wps:cNvSpPr>
                          <a:spLocks noChangeAspect="1"/>
                        </wps:cNvSpPr>
                        <wps:spPr bwMode="auto">
                          <a:xfrm>
                            <a:off x="17" y="3617"/>
                            <a:ext cx="2076" cy="3851"/>
                          </a:xfrm>
                          <a:custGeom>
                            <a:avLst/>
                            <a:gdLst/>
                            <a:ahLst/>
                            <a:cxnLst>
                              <a:cxn ang="0">
                                <a:pos x="0" y="921"/>
                              </a:cxn>
                              <a:cxn ang="0">
                                <a:pos x="2060" y="0"/>
                              </a:cxn>
                              <a:cxn ang="0">
                                <a:pos x="2076" y="3851"/>
                              </a:cxn>
                              <a:cxn ang="0">
                                <a:pos x="0" y="2981"/>
                              </a:cxn>
                              <a:cxn ang="0">
                                <a:pos x="0" y="921"/>
                              </a:cxn>
                            </a:cxnLst>
                            <a:rect l="0" t="0" r="r" b="b"/>
                            <a:pathLst>
                              <a:path w="2076" h="3851">
                                <a:moveTo>
                                  <a:pt x="0" y="921"/>
                                </a:moveTo>
                                <a:lnTo>
                                  <a:pt x="2060" y="0"/>
                                </a:lnTo>
                                <a:lnTo>
                                  <a:pt x="2076" y="3851"/>
                                </a:lnTo>
                                <a:lnTo>
                                  <a:pt x="0" y="2981"/>
                                </a:lnTo>
                                <a:lnTo>
                                  <a:pt x="0" y="921"/>
                                </a:lnTo>
                                <a:close/>
                              </a:path>
                            </a:pathLst>
                          </a:custGeom>
                          <a:solidFill>
                            <a:srgbClr val="D3DFE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2" name="Freeform 432"/>
                        <wps:cNvSpPr>
                          <a:spLocks noChangeAspect="1"/>
                        </wps:cNvSpPr>
                        <wps:spPr bwMode="auto">
                          <a:xfrm>
                            <a:off x="2077" y="3617"/>
                            <a:ext cx="6011" cy="3835"/>
                          </a:xfrm>
                          <a:custGeom>
                            <a:avLst/>
                            <a:gdLst/>
                            <a:ahLst/>
                            <a:cxnLst>
                              <a:cxn ang="0">
                                <a:pos x="0" y="0"/>
                              </a:cxn>
                              <a:cxn ang="0">
                                <a:pos x="17" y="3835"/>
                              </a:cxn>
                              <a:cxn ang="0">
                                <a:pos x="6011" y="2629"/>
                              </a:cxn>
                              <a:cxn ang="0">
                                <a:pos x="6011" y="1239"/>
                              </a:cxn>
                              <a:cxn ang="0">
                                <a:pos x="0" y="0"/>
                              </a:cxn>
                            </a:cxnLst>
                            <a:rect l="0" t="0" r="r" b="b"/>
                            <a:pathLst>
                              <a:path w="6011" h="3835">
                                <a:moveTo>
                                  <a:pt x="0" y="0"/>
                                </a:moveTo>
                                <a:lnTo>
                                  <a:pt x="17" y="3835"/>
                                </a:lnTo>
                                <a:lnTo>
                                  <a:pt x="6011" y="2629"/>
                                </a:lnTo>
                                <a:lnTo>
                                  <a:pt x="6011" y="1239"/>
                                </a:lnTo>
                                <a:lnTo>
                                  <a:pt x="0" y="0"/>
                                </a:lnTo>
                                <a:close/>
                              </a:path>
                            </a:pathLst>
                          </a:custGeom>
                          <a:solidFill>
                            <a:srgbClr val="A7BFD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3" name="Freeform 433"/>
                        <wps:cNvSpPr>
                          <a:spLocks noChangeAspect="1"/>
                        </wps:cNvSpPr>
                        <wps:spPr bwMode="auto">
                          <a:xfrm>
                            <a:off x="8088" y="3835"/>
                            <a:ext cx="4102" cy="3432"/>
                          </a:xfrm>
                          <a:custGeom>
                            <a:avLst/>
                            <a:gdLst/>
                            <a:ahLst/>
                            <a:cxnLst>
                              <a:cxn ang="0">
                                <a:pos x="0" y="1038"/>
                              </a:cxn>
                              <a:cxn ang="0">
                                <a:pos x="0" y="2411"/>
                              </a:cxn>
                              <a:cxn ang="0">
                                <a:pos x="4102" y="3432"/>
                              </a:cxn>
                              <a:cxn ang="0">
                                <a:pos x="4102" y="0"/>
                              </a:cxn>
                              <a:cxn ang="0">
                                <a:pos x="0" y="1038"/>
                              </a:cxn>
                            </a:cxnLst>
                            <a:rect l="0" t="0" r="r" b="b"/>
                            <a:pathLst>
                              <a:path w="4102" h="3432">
                                <a:moveTo>
                                  <a:pt x="0" y="1038"/>
                                </a:moveTo>
                                <a:lnTo>
                                  <a:pt x="0" y="2411"/>
                                </a:lnTo>
                                <a:lnTo>
                                  <a:pt x="4102" y="3432"/>
                                </a:lnTo>
                                <a:lnTo>
                                  <a:pt x="4102" y="0"/>
                                </a:lnTo>
                                <a:lnTo>
                                  <a:pt x="0" y="1038"/>
                                </a:lnTo>
                                <a:close/>
                              </a:path>
                            </a:pathLst>
                          </a:custGeom>
                          <a:solidFill>
                            <a:srgbClr val="D3DFE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34" name="Text Box 434"/>
                      <wps:cNvSpPr txBox="1">
                        <a:spLocks noChangeArrowheads="1"/>
                      </wps:cNvSpPr>
                      <wps:spPr bwMode="auto">
                        <a:xfrm>
                          <a:off x="10821" y="13296"/>
                          <a:ext cx="1058" cy="36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706F" w:rsidRDefault="0080706F">
                            <w:pPr>
                              <w:jc w:val="center"/>
                              <w:rPr>
                                <w:color w:val="4F81BD" w:themeColor="accent1"/>
                              </w:rPr>
                            </w:pPr>
                            <w:r>
                              <w:fldChar w:fldCharType="begin"/>
                            </w:r>
                            <w:r>
                              <w:instrText>PAGE   \* MERGEFORMAT</w:instrText>
                            </w:r>
                            <w:r>
                              <w:fldChar w:fldCharType="separate"/>
                            </w:r>
                            <w:r w:rsidR="00917B23" w:rsidRPr="00917B23">
                              <w:rPr>
                                <w:noProof/>
                                <w:color w:val="4F81BD" w:themeColor="accent1"/>
                              </w:rPr>
                              <w:t>17</w:t>
                            </w:r>
                            <w:r>
                              <w:rPr>
                                <w:color w:val="4F81BD" w:themeColor="accent1"/>
                              </w:rPr>
                              <w:fldChar w:fldCharType="end"/>
                            </w:r>
                          </w:p>
                        </w:txbxContent>
                      </wps:txbx>
                      <wps:bodyPr rot="0" vert="horz" wrap="square" lIns="91440" tIns="0" rIns="91440" bIns="0" anchor="t" anchorCtr="0" upright="1">
                        <a:noAutofit/>
                      </wps:bodyPr>
                    </wps:wsp>
                  </wpg:wgp>
                </a:graphicData>
              </a:graphic>
              <wp14:sizeRelH relativeFrom="leftMargin">
                <wp14:pctWidth>80000</wp14:pctWidth>
              </wp14:sizeRelH>
              <wp14:sizeRelV relativeFrom="page">
                <wp14:pctHeight>0</wp14:pctHeight>
              </wp14:sizeRelV>
            </wp:anchor>
          </w:drawing>
        </mc:Choice>
        <mc:Fallback>
          <w:pict>
            <v:group id="Skupina 406" o:spid="_x0000_s1026" style="position:absolute;left:0;text-align:left;margin-left:0;margin-top:0;width:58.1pt;height:48.5pt;z-index:251659264;mso-width-percent:800;mso-top-percent:900;mso-position-horizontal:center;mso-position-horizontal-relative:right-margin-area;mso-position-vertical-relative:margin;mso-width-percent:800;mso-top-percent:900;mso-width-relative:left-margin-area" coordorigin="10717,13296" coordsize="1162,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" o:allowincell="f">
              <v:group id="Group 423" o:spid="_x0000_s1027" style="position:absolute;left:10717;top:13815;width:1161;height:451" coordorigin="-6,3399" coordsize="12197,42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c37z8YAAADcAAAADwAAAGRycy9kb3ducmV2LnhtbESPT2vCQBTE7wW/w/IK&#10;vdXNH1skdQ0itngQoSqU3h7ZZxKSfRuy2yR++25B6HGYmd8wq3wyrRiod7VlBfE8AkFcWF1zqeBy&#10;fn9egnAeWWNrmRTcyEG+nj2sMNN25E8aTr4UAcIuQwWV910mpSsqMujmtiMO3tX2Bn2QfSl1j2OA&#10;m1YmUfQqDdYcFirsaFtR0Zx+jIKPEcdNGu+GQ3Pd3r7PL8evQ0xKPT1OmzcQnib/H76391rBIkn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dzfvPxgAAANwA&#10;AAAPAAAAAAAAAAAAAAAAAKoCAABkcnMvZG93bnJldi54bWxQSwUGAAAAAAQABAD6AAAAnQMAAAAA&#10;">
                <o:lock v:ext="edit" aspectratio="t"/>
                <v:group id="Group 424" o:spid="_x0000_s1028" style="position:absolute;left:-6;top:3717;width:12189;height:3550" coordorigin="18,7468" coordsize="12189,35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iRju8UAAADcAAAADwAAAGRycy9kb3ducmV2LnhtbESPQYvCMBSE78L+h/CE&#10;vWlaV2WpRhFZlz2IoC6It0fzbIvNS2liW/+9EQSPw8x8w8yXnSlFQ7UrLCuIhxEI4tTqgjMF/8fN&#10;4BuE88gaS8uk4E4OlouP3hwTbVveU3PwmQgQdgkqyL2vEildmpNBN7QVcfAutjbog6wzqWtsA9yU&#10;chRFU2mw4LCQY0XrnNLr4WYU/LbYrr7in2Z7vazv5+Nkd9rGpNRnv1vNQHjq/Dv8av9pBePR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IkY7vFAAAA3AAA&#10;AA8AAAAAAAAAAAAAAAAAqgIAAGRycy9kb3ducmV2LnhtbFBLBQYAAAAABAAEAPoAAACcAwAAAAA=&#10;">
                  <o:lock v:ext="edit" aspectratio="t"/>
                  <v:shape id="Freeform 425" o:spid="_x0000_s1029" style="position:absolute;left:18;top:7837;width:7132;height:2863;visibility:visible;mso-wrap-style:square;v-text-anchor:top" coordsize="7132,28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WrYcMA&#10;AADcAAAADwAAAGRycy9kb3ducmV2LnhtbESPUWsCMRCE34X+h7CFvmlOUZHTKCIUKvpQbX/Aclnv&#10;DpPNkax6/fdNQejjMDPfMKtN7526U0xtYAPjUQGKuAq25drA99f7cAEqCbJFF5gM/FCCzfplsMLS&#10;hgef6H6WWmUIpxINNCJdqXWqGvKYRqEjzt4lRI+SZay1jfjIcO/0pCjm2mPLeaHBjnYNVdfzzRsQ&#10;d+BTtdjPDrdi7I6f0bbznRjz9tpvl6CEevkPP9sf1sB0MoO/M/kI6P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yWrYcMAAADcAAAADwAAAAAAAAAAAAAAAACYAgAAZHJzL2Rv&#10;d25yZXYueG1sUEsFBgAAAAAEAAQA9QAAAIgDAAAAAA==&#10;" path="m,l17,2863,7132,2578r,-2378l,xe" fillcolor="#a7bfde" stroked="f">
                    <v:fill opacity="32896f"/>
                    <v:path arrowok="t" o:connecttype="custom" o:connectlocs="0,0;17,2863;7132,2578;7132,200;0,0" o:connectangles="0,0,0,0,0"/>
                    <o:lock v:ext="edit" aspectratio="t"/>
                  </v:shape>
                  <v:shape id="Freeform 426" o:spid="_x0000_s1030" style="position:absolute;left:7150;top:7468;width:3466;height:3550;visibility:visible;mso-wrap-style:square;v-text-anchor:top" coordsize="3466,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1kD8cA&#10;AADcAAAADwAAAGRycy9kb3ducmV2LnhtbESPT2sCMRTE7wW/Q3hCL0WzWlHZGkWkpfXU+ge8Pjav&#10;m9XNyzZJdfXTN4VCj8PM/IaZLVpbizP5UDlWMOhnIIgLpysuFex3L70piBCRNdaOScGVAizmnbsZ&#10;5tpdeEPnbSxFgnDIUYGJscmlDIUhi6HvGuLkfTpvMSbpS6k9XhLc1nKYZWNpseK0YLChlaHitP22&#10;Cj5uG798bL78Dc2ofD+uDw+T51el7rvt8glEpDb+h//ab1rBaDiG3zPpCMj5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T9ZA/HAAAA3AAAAA8AAAAAAAAAAAAAAAAAmAIAAGRy&#10;cy9kb3ducmV2LnhtbFBLBQYAAAAABAAEAPUAAACMAwAAAAA=&#10;" path="m,569l,2930r3466,620l3466,,,569xe" fillcolor="#d3dfee" stroked="f">
                    <v:fill opacity="32896f"/>
                    <v:path arrowok="t" o:connecttype="custom" o:connectlocs="0,569;0,2930;3466,3550;3466,0;0,569" o:connectangles="0,0,0,0,0"/>
                    <o:lock v:ext="edit" aspectratio="t"/>
                  </v:shape>
                  <v:shape id="Freeform 427" o:spid="_x0000_s1031" style="position:absolute;left:10616;top:7468;width:1591;height:3550;visibility:visible;mso-wrap-style:square;v-text-anchor:top" coordsize="1591,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76VcQA&#10;AADcAAAADwAAAGRycy9kb3ducmV2LnhtbESPQWvCQBSE74X+h+UVejObLmIkdRVbKZXiRW3uj+wz&#10;iWbfhuzWpP++Kwg9DjPzDbNYjbYVV+p941jDS5KCIC6dabjS8H38mMxB+IBssHVMGn7Jw2r5+LDA&#10;3LiB93Q9hEpECPscNdQhdLmUvqzJok9cRxy9k+sthij7Spoehwi3rVRpOpMWG44LNXb0XlN5OfxY&#10;DdlxM92szZd6++RwVmWhzsVOaf38NK5fQQQaw3/43t4aDVOVwe1MP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e+lXEAAAA3AAAAA8AAAAAAAAAAAAAAAAAmAIAAGRycy9k&#10;b3ducmV2LnhtbFBLBQYAAAAABAAEAPUAAACJAwAAAAA=&#10;" path="m,l,3550,1591,2746r,-2009l,xe" fillcolor="#a7bfde" stroked="f">
                    <v:fill opacity="32896f"/>
                    <v:path arrowok="t" o:connecttype="custom" o:connectlocs="0,0;0,3550;1591,2746;1591,737;0,0" o:connectangles="0,0,0,0,0"/>
                    <o:lock v:ext="edit" aspectratio="t"/>
                  </v:shape>
                </v:group>
                <v:shape id="Freeform 428" o:spid="_x0000_s1032" style="position:absolute;left:8071;top:4069;width:4120;height:2913;visibility:visible;mso-wrap-style:square;v-text-anchor:top" coordsize="4120,29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JQLMEA&#10;AADcAAAADwAAAGRycy9kb3ducmV2LnhtbERPz2vCMBS+D/wfwhN2m4luTKlGkcLmDl5s9f5onm2x&#10;eSlNrNW/3hyEHT++36vNYBvRU+drxxqmEwWCuHCm5lLDMf/5WIDwAdlg45g03MnDZj16W2Fi3I0P&#10;1GehFDGEfYIaqhDaREpfVGTRT1xLHLmz6yyGCLtSmg5vMdw2cqbUt7RYc2yosKW0ouKSXa2GQ59+&#10;nn5zRffczJvdfJ+pxyPV+n08bJcgAg3hX/xy/xkNX7O4Np6JR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4yUCzBAAAA3AAAAA8AAAAAAAAAAAAAAAAAmAIAAGRycy9kb3du&#10;cmV2LnhtbFBLBQYAAAAABAAEAPUAAACGAwAAAAA=&#10;" path="m1,251l,2662r4120,251l4120,,1,251xe" fillcolor="#d8d8d8" stroked="f">
                  <v:path arrowok="t" o:connecttype="custom" o:connectlocs="1,251;0,2662;4120,2913;4120,0;1,251" o:connectangles="0,0,0,0,0"/>
                  <o:lock v:ext="edit" aspectratio="t"/>
                </v:shape>
                <v:shape id="Freeform 429" o:spid="_x0000_s1033" style="position:absolute;left:4104;top:3399;width:3985;height:4236;visibility:visible;mso-wrap-style:square;v-text-anchor:top" coordsize="3985,4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lV2ccA&#10;AADcAAAADwAAAGRycy9kb3ducmV2LnhtbESPQWsCMRSE7wX/Q3iCt5qt1NJujSKlFS9C3RZpb283&#10;r9nFzcuSRF399Y1Q6HGYmW+Y2aK3rTiSD41jBXfjDARx5XTDRsHnx9vtI4gQkTW2jknBmQIs5oOb&#10;GebanXhLxyIakSAcclRQx9jlUoaqJoth7Dri5P04bzEm6Y3UHk8Jbls5ybIHabHhtFBjRy81Vfvi&#10;YBXs5Pu0+NqajSu/y6z0r7vWXFZKjYb98hlEpD7+h//aa63gfvIE1zPpCMj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HJVdnHAAAA3AAAAA8AAAAAAAAAAAAAAAAAmAIAAGRy&#10;cy9kb3ducmV2LnhtbFBLBQYAAAAABAAEAPUAAACMAwAAAAA=&#10;" path="m,l,4236,3985,3349r,-2428l,xe" fillcolor="#bfbfbf" stroked="f">
                  <v:path arrowok="t" o:connecttype="custom" o:connectlocs="0,0;0,4236;3985,3349;3985,921;0,0" o:connectangles="0,0,0,0,0"/>
                  <o:lock v:ext="edit" aspectratio="t"/>
                </v:shape>
                <v:shape id="Freeform 430" o:spid="_x0000_s1034" style="position:absolute;left:18;top:3399;width:4086;height:4253;visibility:visible;mso-wrap-style:square;v-text-anchor:top" coordsize="4086,4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n6hsMA&#10;AADcAAAADwAAAGRycy9kb3ducmV2LnhtbERPz2vCMBS+D/Y/hDfYZWi6KaNUowzLxg6Crgpen82z&#10;LTYvJcls/e/NQfD48f2eLwfTigs531hW8D5OQBCXVjdcKdjvvkcpCB+QNbaWScGVPCwXz09zzLTt&#10;+Y8uRahEDGGfoYI6hC6T0pc1GfRj2xFH7mSdwRChq6R22Mdw08qPJPmUBhuODTV2tKqpPBf/RkGR&#10;H4q3q99u8jzddj9Ht16ZPlXq9WX4moEINISH+O7+1Qqmkzg/nolHQC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6n6hsMAAADcAAAADwAAAAAAAAAAAAAAAACYAgAAZHJzL2Rv&#10;d25yZXYueG1sUEsFBgAAAAAEAAQA9QAAAIgDAAAAAA==&#10;" path="m4086,r-2,4253l,3198,,1072,4086,xe" fillcolor="#d8d8d8" stroked="f">
                  <v:path arrowok="t" o:connecttype="custom" o:connectlocs="4086,0;4084,4253;0,3198;0,1072;4086,0" o:connectangles="0,0,0,0,0"/>
                  <o:lock v:ext="edit" aspectratio="t"/>
                </v:shape>
                <v:shape id="Freeform 431" o:spid="_x0000_s1035" style="position:absolute;left:17;top:3617;width:2076;height:3851;visibility:visible;mso-wrap-style:square;v-text-anchor:top" coordsize="2076,38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PNesMA&#10;AADcAAAADwAAAGRycy9kb3ducmV2LnhtbESPQWvCQBSE74L/YXmF3nSTKCKpq1RBWo9G6/mRfWaD&#10;2bcxuzXpv+8WCh6HmfmGWW0G24gHdb52rCCdJiCIS6drrhScT/vJEoQPyBobx6Tghzxs1uPRCnPt&#10;ej7SowiViBD2OSowIbS5lL40ZNFPXUscvavrLIYou0rqDvsIt43MkmQhLdYcFwy2tDNU3opvq+Cr&#10;P0odmvvh8lGk2ay+bLPybpR6fRne30AEGsIz/N/+1ArmsxT+zsQjIN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oPNesMAAADcAAAADwAAAAAAAAAAAAAAAACYAgAAZHJzL2Rv&#10;d25yZXYueG1sUEsFBgAAAAAEAAQA9QAAAIgDAAAAAA==&#10;" path="m,921l2060,r16,3851l,2981,,921xe" fillcolor="#d3dfee" stroked="f">
                  <v:fill opacity="46003f"/>
                  <v:path arrowok="t" o:connecttype="custom" o:connectlocs="0,921;2060,0;2076,3851;0,2981;0,921" o:connectangles="0,0,0,0,0"/>
                  <o:lock v:ext="edit" aspectratio="t"/>
                </v:shape>
                <v:shape id="Freeform 432" o:spid="_x0000_s1036" style="position:absolute;left:2077;top:3617;width:6011;height:3835;visibility:visible;mso-wrap-style:square;v-text-anchor:top" coordsize="6011,38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V/8cQA&#10;AADcAAAADwAAAGRycy9kb3ducmV2LnhtbESPQWvCQBSE74L/YXlCb7oxikh0FZUKvRWtULw9ss8k&#10;mH2b7q4x+ffdQsHjMDPfMOttZ2rRkvOVZQXTSQKCOLe64kLB5es4XoLwAVljbZkU9ORhuxkO1php&#10;++QTtedQiAhhn6GCMoQmk9LnJRn0E9sQR+9mncEQpSukdviMcFPLNEkW0mDFcaHEhg4l5ffzwyiY&#10;uc/0/fT949HelofLvu3n16ZX6m3U7VYgAnXhFf5vf2gF81kKf2fiEZ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Ff/HEAAAA3AAAAA8AAAAAAAAAAAAAAAAAmAIAAGRycy9k&#10;b3ducmV2LnhtbFBLBQYAAAAABAAEAPUAAACJAwAAAAA=&#10;" path="m,l17,3835,6011,2629r,-1390l,xe" fillcolor="#a7bfde" stroked="f">
                  <v:fill opacity="46003f"/>
                  <v:path arrowok="t" o:connecttype="custom" o:connectlocs="0,0;17,3835;6011,2629;6011,1239;0,0" o:connectangles="0,0,0,0,0"/>
                  <o:lock v:ext="edit" aspectratio="t"/>
                </v:shape>
                <v:shape id="Freeform 433" o:spid="_x0000_s1037" style="position:absolute;left:8088;top:3835;width:4102;height:3432;visibility:visible;mso-wrap-style:square;v-text-anchor:top" coordsize="4102,3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AuEMYA&#10;AADcAAAADwAAAGRycy9kb3ducmV2LnhtbESPQUsDMRSE7wX/Q3iCN5vVrVrWpkUWLYX2oG3F63Pz&#10;TBY3L8sm3W7/fSMIPQ4z8w0zWwyuET11ofas4G6cgSCuvK7ZKNjv3m6nIEJE1th4JgUnCrCYX41m&#10;WGh/5A/qt9GIBOFQoAIbY1tIGSpLDsPYt8TJ+/Gdw5hkZ6Tu8JjgrpH3WfYoHdacFiy2VFqqfrcH&#10;p2D5/lDmpv9atWtf28/N0958l69K3VwPL88gIg3xEv5vr7SCSZ7D35l0BOT8D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RAuEMYAAADcAAAADwAAAAAAAAAAAAAAAACYAgAAZHJz&#10;L2Rvd25yZXYueG1sUEsFBgAAAAAEAAQA9QAAAIsDAAAAAA==&#10;" path="m,1038l,2411,4102,3432,4102,,,1038xe" fillcolor="#d3dfee" stroked="f">
                  <v:fill opacity="46003f"/>
                  <v:path arrowok="t" o:connecttype="custom" o:connectlocs="0,1038;0,2411;4102,3432;4102,0;0,1038" o:connectangles="0,0,0,0,0"/>
                  <o:lock v:ext="edit" aspectratio="t"/>
                </v:shape>
              </v:group>
              <v:shapetype id="_x0000_t202" coordsize="21600,21600" o:spt="202" path="m,l,21600r21600,l21600,xe">
                <v:stroke joinstyle="miter"/>
                <v:path gradientshapeok="t" o:connecttype="rect"/>
              </v:shapetype>
              <v:shape id="Text Box 434" o:spid="_x0000_s1038" type="#_x0000_t202" style="position:absolute;left:10821;top:13296;width:1058;height: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7GKcQA&#10;AADcAAAADwAAAGRycy9kb3ducmV2LnhtbESPQWsCMRSE74L/ITyhN81qRWRrlCpUerAHtT/gsXlu&#10;1m5eliR1d/31TUHwOMzMN8xq09la3MiHyrGC6SQDQVw4XXGp4Pv8MV6CCBFZY+2YFPQUYLMeDlaY&#10;a9fykW6nWIoE4ZCjAhNjk0sZCkMWw8Q1xMm7OG8xJulLqT22CW5rOcuyhbRYcVow2NDOUPFz+rUK&#10;7H169wdEe933M2yb3uy/DlulXkbd+xuISF18hh/tT61g/jqH/zPpCMj1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7uxinEAAAA3AAAAA8AAAAAAAAAAAAAAAAAmAIAAGRycy9k&#10;b3ducmV2LnhtbFBLBQYAAAAABAAEAPUAAACJAwAAAAA=&#10;" filled="f" stroked="f">
                <v:textbox inset=",0,,0">
                  <w:txbxContent>
                    <w:p w:rsidR="0080706F" w:rsidRDefault="0080706F">
                      <w:pPr>
                        <w:jc w:val="center"/>
                        <w:rPr>
                          <w:color w:val="4F81BD" w:themeColor="accent1"/>
                        </w:rPr>
                      </w:pPr>
                      <w:r>
                        <w:fldChar w:fldCharType="begin"/>
                      </w:r>
                      <w:r>
                        <w:instrText>PAGE   \* MERGEFORMAT</w:instrText>
                      </w:r>
                      <w:r>
                        <w:fldChar w:fldCharType="separate"/>
                      </w:r>
                      <w:r w:rsidR="00917B23" w:rsidRPr="00917B23">
                        <w:rPr>
                          <w:noProof/>
                          <w:color w:val="4F81BD" w:themeColor="accent1"/>
                        </w:rPr>
                        <w:t>17</w:t>
                      </w:r>
                      <w:r>
                        <w:rPr>
                          <w:color w:val="4F81BD" w:themeColor="accent1"/>
                        </w:rPr>
                        <w:fldChar w:fldCharType="end"/>
                      </w:r>
                    </w:p>
                  </w:txbxContent>
                </v:textbox>
              </v:shape>
              <w10:wrap anchorx="margin" anchory="margin"/>
            </v:group>
          </w:pict>
        </mc:Fallback>
      </mc:AlternateContent>
    </w:r>
    <w:r w:rsidR="0080706F">
      <w:rPr>
        <w:color w:val="808080" w:themeColor="background1" w:themeShade="80"/>
      </w:rPr>
      <w:t xml:space="preserve"> | </w:t>
    </w:r>
    <w:sdt>
      <w:sdtPr>
        <w:rPr>
          <w:color w:val="808080" w:themeColor="background1" w:themeShade="80"/>
        </w:rPr>
        <w:alias w:val="Adresa"/>
        <w:id w:val="76161122"/>
        <w:placeholder>
          <w:docPart w:val="65C3572730F441BFAF1B34842DB31DB0"/>
        </w:placeholder>
        <w:dataBinding w:prefixMappings="xmlns:ns0='http://schemas.microsoft.com/office/2006/coverPageProps'" w:xpath="/ns0:CoverPageProperties[1]/ns0:CompanyAddress[1]" w:storeItemID="{55AF091B-3C7A-41E3-B477-F2FDAA23CFDA}"/>
        <w:text w:multiLine="1"/>
      </w:sdtPr>
      <w:sdtEndPr/>
      <w:sdtContent>
        <w:r w:rsidR="0080706F" w:rsidRPr="0080706F">
          <w:rPr>
            <w:color w:val="808080" w:themeColor="background1" w:themeShade="80"/>
          </w:rPr>
          <w:t>Šamorínska 10, 903 01 Senec</w:t>
        </w:r>
        <w:r w:rsidR="0080706F">
          <w:rPr>
            <w:color w:val="808080" w:themeColor="background1" w:themeShade="80"/>
          </w:rPr>
          <w:t xml:space="preserve"> </w:t>
        </w:r>
        <w:r w:rsidR="0080706F">
          <w:rPr>
            <w:color w:val="808080" w:themeColor="background1" w:themeShade="80"/>
          </w:rPr>
          <w:br/>
        </w:r>
        <w:r w:rsidR="0080706F" w:rsidRPr="0080706F">
          <w:rPr>
            <w:color w:val="808080" w:themeColor="background1" w:themeShade="80"/>
          </w:rPr>
          <w:t>IČO: 50773984, DIČ: 2120480637</w:t>
        </w:r>
        <w:r w:rsidR="0080706F">
          <w:rPr>
            <w:color w:val="808080" w:themeColor="background1" w:themeShade="80"/>
          </w:rPr>
          <w:t xml:space="preserve">      </w:t>
        </w:r>
        <w:r w:rsidR="0080706F">
          <w:rPr>
            <w:color w:val="808080" w:themeColor="background1" w:themeShade="80"/>
          </w:rPr>
          <w:br/>
        </w:r>
      </w:sdtContent>
    </w:sdt>
  </w:p>
  <w:p w:rsidR="0080706F" w:rsidRDefault="0080706F">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4B9A" w:rsidRDefault="000B4B9A" w:rsidP="0080706F">
      <w:pPr>
        <w:spacing w:after="0" w:line="240" w:lineRule="auto"/>
      </w:pPr>
      <w:r>
        <w:separator/>
      </w:r>
    </w:p>
  </w:footnote>
  <w:footnote w:type="continuationSeparator" w:id="0">
    <w:p w:rsidR="000B4B9A" w:rsidRDefault="000B4B9A" w:rsidP="0080706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530A0"/>
    <w:multiLevelType w:val="hybridMultilevel"/>
    <w:tmpl w:val="448CFA4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 w15:restartNumberingAfterBreak="0">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2" w15:restartNumberingAfterBreak="0">
    <w:nsid w:val="12562205"/>
    <w:multiLevelType w:val="hybridMultilevel"/>
    <w:tmpl w:val="BB4E1B76"/>
    <w:lvl w:ilvl="0" w:tplc="795ADBB8">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3" w15:restartNumberingAfterBreak="0">
    <w:nsid w:val="14A36042"/>
    <w:multiLevelType w:val="singleLevel"/>
    <w:tmpl w:val="005C07A8"/>
    <w:lvl w:ilvl="0">
      <w:start w:val="1"/>
      <w:numFmt w:val="bullet"/>
      <w:pStyle w:val="Zoznamsodrkami"/>
      <w:lvlText w:val=""/>
      <w:lvlJc w:val="left"/>
      <w:pPr>
        <w:tabs>
          <w:tab w:val="num" w:pos="340"/>
        </w:tabs>
        <w:ind w:left="340" w:hanging="340"/>
      </w:pPr>
      <w:rPr>
        <w:rFonts w:ascii="Symbol" w:hAnsi="Symbol" w:hint="default"/>
        <w:color w:val="auto"/>
        <w:sz w:val="22"/>
      </w:rPr>
    </w:lvl>
  </w:abstractNum>
  <w:abstractNum w:abstractNumId="4" w15:restartNumberingAfterBreak="0">
    <w:nsid w:val="20DD009B"/>
    <w:multiLevelType w:val="singleLevel"/>
    <w:tmpl w:val="0CB00B00"/>
    <w:lvl w:ilvl="0">
      <w:start w:val="1"/>
      <w:numFmt w:val="bullet"/>
      <w:lvlText w:val=""/>
      <w:lvlJc w:val="left"/>
      <w:pPr>
        <w:tabs>
          <w:tab w:val="num" w:pos="340"/>
        </w:tabs>
        <w:ind w:left="340" w:hanging="340"/>
      </w:pPr>
      <w:rPr>
        <w:rFonts w:ascii="Symbol" w:hAnsi="Symbol" w:hint="default"/>
        <w:color w:val="auto"/>
        <w:sz w:val="22"/>
      </w:rPr>
    </w:lvl>
  </w:abstractNum>
  <w:abstractNum w:abstractNumId="5" w15:restartNumberingAfterBreak="0">
    <w:nsid w:val="33A61FDA"/>
    <w:multiLevelType w:val="hybridMultilevel"/>
    <w:tmpl w:val="BB18381E"/>
    <w:lvl w:ilvl="0" w:tplc="A62A3F16">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6" w15:restartNumberingAfterBreak="0">
    <w:nsid w:val="36BE61C3"/>
    <w:multiLevelType w:val="singleLevel"/>
    <w:tmpl w:val="041B000F"/>
    <w:lvl w:ilvl="0">
      <w:start w:val="1"/>
      <w:numFmt w:val="decimal"/>
      <w:lvlText w:val="%1."/>
      <w:lvlJc w:val="left"/>
      <w:pPr>
        <w:ind w:left="720" w:hanging="360"/>
      </w:pPr>
      <w:rPr>
        <w:rFonts w:hint="default"/>
      </w:rPr>
    </w:lvl>
  </w:abstractNum>
  <w:abstractNum w:abstractNumId="7" w15:restartNumberingAfterBreak="0">
    <w:nsid w:val="39FA5FC2"/>
    <w:multiLevelType w:val="singleLevel"/>
    <w:tmpl w:val="6D9C59D4"/>
    <w:lvl w:ilvl="0">
      <w:start w:val="1"/>
      <w:numFmt w:val="bullet"/>
      <w:lvlText w:val=""/>
      <w:lvlJc w:val="left"/>
      <w:pPr>
        <w:tabs>
          <w:tab w:val="num" w:pos="340"/>
        </w:tabs>
        <w:ind w:left="340" w:hanging="340"/>
      </w:pPr>
      <w:rPr>
        <w:rFonts w:ascii="Symbol" w:hAnsi="Symbol" w:hint="default"/>
        <w:color w:val="auto"/>
        <w:sz w:val="22"/>
      </w:rPr>
    </w:lvl>
  </w:abstractNum>
  <w:abstractNum w:abstractNumId="8" w15:restartNumberingAfterBreak="0">
    <w:nsid w:val="41925214"/>
    <w:multiLevelType w:val="hybridMultilevel"/>
    <w:tmpl w:val="D76002DA"/>
    <w:lvl w:ilvl="0" w:tplc="4B4AE0B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4E5E3DA5"/>
    <w:multiLevelType w:val="hybridMultilevel"/>
    <w:tmpl w:val="4ED478B8"/>
    <w:lvl w:ilvl="0" w:tplc="A54030BE">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0" w15:restartNumberingAfterBreak="0">
    <w:nsid w:val="54DF403A"/>
    <w:multiLevelType w:val="singleLevel"/>
    <w:tmpl w:val="98E63842"/>
    <w:lvl w:ilvl="0">
      <w:start w:val="1"/>
      <w:numFmt w:val="bullet"/>
      <w:lvlText w:val=""/>
      <w:lvlJc w:val="left"/>
      <w:pPr>
        <w:tabs>
          <w:tab w:val="num" w:pos="340"/>
        </w:tabs>
        <w:ind w:left="340" w:hanging="340"/>
      </w:pPr>
      <w:rPr>
        <w:rFonts w:ascii="Symbol" w:hAnsi="Symbol" w:hint="default"/>
        <w:color w:val="auto"/>
        <w:sz w:val="22"/>
      </w:rPr>
    </w:lvl>
  </w:abstractNum>
  <w:abstractNum w:abstractNumId="11" w15:restartNumberingAfterBreak="0">
    <w:nsid w:val="5CC11DDE"/>
    <w:multiLevelType w:val="hybridMultilevel"/>
    <w:tmpl w:val="FB269118"/>
    <w:lvl w:ilvl="0" w:tplc="041B0017">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12" w15:restartNumberingAfterBreak="0">
    <w:nsid w:val="72783BCF"/>
    <w:multiLevelType w:val="hybridMultilevel"/>
    <w:tmpl w:val="895C1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73473C13"/>
    <w:multiLevelType w:val="singleLevel"/>
    <w:tmpl w:val="3080EF0E"/>
    <w:lvl w:ilvl="0">
      <w:start w:val="1"/>
      <w:numFmt w:val="upperLetter"/>
      <w:pStyle w:val="Nadpis1"/>
      <w:lvlText w:val="%1."/>
      <w:lvlJc w:val="left"/>
      <w:pPr>
        <w:tabs>
          <w:tab w:val="num" w:pos="2062"/>
        </w:tabs>
        <w:ind w:left="2062" w:hanging="360"/>
      </w:pPr>
      <w:rPr>
        <w:rFonts w:cs="Times New Roman" w:hint="default"/>
      </w:rPr>
    </w:lvl>
  </w:abstractNum>
  <w:abstractNum w:abstractNumId="14" w15:restartNumberingAfterBreak="0">
    <w:nsid w:val="78CD316A"/>
    <w:multiLevelType w:val="singleLevel"/>
    <w:tmpl w:val="28081C9C"/>
    <w:lvl w:ilvl="0">
      <w:start w:val="1"/>
      <w:numFmt w:val="lowerLetter"/>
      <w:pStyle w:val="Tabulka"/>
      <w:lvlText w:val="(%1)"/>
      <w:lvlJc w:val="left"/>
      <w:pPr>
        <w:tabs>
          <w:tab w:val="num" w:pos="360"/>
        </w:tabs>
        <w:ind w:left="360" w:hanging="360"/>
      </w:pPr>
      <w:rPr>
        <w:rFonts w:cs="Times New Roman" w:hint="default"/>
      </w:rPr>
    </w:lvl>
  </w:abstractNum>
  <w:abstractNum w:abstractNumId="15" w15:restartNumberingAfterBreak="0">
    <w:nsid w:val="7FA06E1E"/>
    <w:multiLevelType w:val="hybridMultilevel"/>
    <w:tmpl w:val="9A646D8C"/>
    <w:lvl w:ilvl="0" w:tplc="55D67E02">
      <w:start w:val="1"/>
      <w:numFmt w:val="bullet"/>
      <w:lvlText w:val=""/>
      <w:lvlJc w:val="left"/>
      <w:pPr>
        <w:tabs>
          <w:tab w:val="num" w:pos="1616"/>
        </w:tabs>
        <w:ind w:left="1616" w:hanging="340"/>
      </w:pPr>
      <w:rPr>
        <w:rFonts w:ascii="Symbol" w:hAnsi="Symbol" w:hint="default"/>
        <w:color w:val="auto"/>
        <w:sz w:val="22"/>
      </w:rPr>
    </w:lvl>
    <w:lvl w:ilvl="1" w:tplc="04090003">
      <w:start w:val="1"/>
      <w:numFmt w:val="bullet"/>
      <w:lvlText w:val="o"/>
      <w:lvlJc w:val="left"/>
      <w:pPr>
        <w:tabs>
          <w:tab w:val="num" w:pos="2149"/>
        </w:tabs>
        <w:ind w:left="2149" w:hanging="360"/>
      </w:pPr>
      <w:rPr>
        <w:rFonts w:ascii="Courier New" w:hAnsi="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num w:numId="1">
    <w:abstractNumId w:val="13"/>
  </w:num>
  <w:num w:numId="2">
    <w:abstractNumId w:val="6"/>
  </w:num>
  <w:num w:numId="3">
    <w:abstractNumId w:val="14"/>
  </w:num>
  <w:num w:numId="4">
    <w:abstractNumId w:val="1"/>
  </w:num>
  <w:num w:numId="5">
    <w:abstractNumId w:val="6"/>
    <w:lvlOverride w:ilvl="0">
      <w:startOverride w:val="1"/>
    </w:lvlOverride>
  </w:num>
  <w:num w:numId="6">
    <w:abstractNumId w:val="7"/>
  </w:num>
  <w:num w:numId="7">
    <w:abstractNumId w:val="15"/>
  </w:num>
  <w:num w:numId="8">
    <w:abstractNumId w:val="3"/>
  </w:num>
  <w:num w:numId="9">
    <w:abstractNumId w:val="8"/>
  </w:num>
  <w:num w:numId="10">
    <w:abstractNumId w:val="12"/>
  </w:num>
  <w:num w:numId="11">
    <w:abstractNumId w:val="10"/>
  </w:num>
  <w:num w:numId="12">
    <w:abstractNumId w:val="4"/>
  </w:num>
  <w:num w:numId="13">
    <w:abstractNumId w:val="5"/>
  </w:num>
  <w:num w:numId="14">
    <w:abstractNumId w:val="11"/>
  </w:num>
  <w:num w:numId="15">
    <w:abstractNumId w:val="2"/>
  </w:num>
  <w:num w:numId="16">
    <w:abstractNumId w:val="0"/>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2260"/>
    <w:rsid w:val="00075C30"/>
    <w:rsid w:val="000B4B9A"/>
    <w:rsid w:val="0080706F"/>
    <w:rsid w:val="008357FB"/>
    <w:rsid w:val="00917B23"/>
    <w:rsid w:val="00B2603D"/>
    <w:rsid w:val="00B733CD"/>
    <w:rsid w:val="00BA2C9F"/>
    <w:rsid w:val="00F2226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docId w15:val="{04861210-CB01-49B7-8C4A-2FA553EE1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paragraph" w:styleId="Nadpis1">
    <w:name w:val="heading 1"/>
    <w:basedOn w:val="Normlny"/>
    <w:next w:val="Normlny"/>
    <w:link w:val="Nadpis1Char"/>
    <w:qFormat/>
    <w:rsid w:val="0080706F"/>
    <w:pPr>
      <w:keepNext/>
      <w:numPr>
        <w:numId w:val="1"/>
      </w:numPr>
      <w:tabs>
        <w:tab w:val="clear" w:pos="2062"/>
      </w:tabs>
      <w:spacing w:after="0" w:line="240" w:lineRule="auto"/>
      <w:ind w:left="0" w:firstLine="0"/>
      <w:outlineLvl w:val="0"/>
    </w:pPr>
    <w:rPr>
      <w:rFonts w:ascii="Times New Roman" w:eastAsia="Times New Roman" w:hAnsi="Times New Roman" w:cs="Times New Roman"/>
      <w:b/>
      <w:bCs/>
      <w:sz w:val="24"/>
      <w:szCs w:val="24"/>
      <w:u w:val="single"/>
      <w:lang w:eastAsia="sk-SK"/>
    </w:rPr>
  </w:style>
  <w:style w:type="paragraph" w:styleId="Nadpis2">
    <w:name w:val="heading 2"/>
    <w:basedOn w:val="Normlny"/>
    <w:next w:val="Normlny"/>
    <w:link w:val="Nadpis2Char"/>
    <w:uiPriority w:val="9"/>
    <w:unhideWhenUsed/>
    <w:qFormat/>
    <w:rsid w:val="0080706F"/>
    <w:pPr>
      <w:keepNext/>
      <w:spacing w:before="240" w:after="60" w:line="240" w:lineRule="auto"/>
      <w:outlineLvl w:val="1"/>
    </w:pPr>
    <w:rPr>
      <w:rFonts w:ascii="Cambria" w:eastAsia="Times New Roman" w:hAnsi="Cambria" w:cs="Times New Roman"/>
      <w:b/>
      <w:bCs/>
      <w:i/>
      <w:iCs/>
      <w:sz w:val="28"/>
      <w:szCs w:val="28"/>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F22260"/>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F22260"/>
    <w:rPr>
      <w:rFonts w:ascii="Tahoma" w:hAnsi="Tahoma" w:cs="Tahoma"/>
      <w:sz w:val="16"/>
      <w:szCs w:val="16"/>
    </w:rPr>
  </w:style>
  <w:style w:type="paragraph" w:styleId="Hlavika">
    <w:name w:val="header"/>
    <w:basedOn w:val="Normlny"/>
    <w:link w:val="HlavikaChar"/>
    <w:uiPriority w:val="99"/>
    <w:unhideWhenUsed/>
    <w:rsid w:val="0080706F"/>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80706F"/>
  </w:style>
  <w:style w:type="paragraph" w:styleId="Pta">
    <w:name w:val="footer"/>
    <w:basedOn w:val="Normlny"/>
    <w:link w:val="PtaChar"/>
    <w:uiPriority w:val="99"/>
    <w:unhideWhenUsed/>
    <w:rsid w:val="0080706F"/>
    <w:pPr>
      <w:tabs>
        <w:tab w:val="center" w:pos="4536"/>
        <w:tab w:val="right" w:pos="9072"/>
      </w:tabs>
      <w:spacing w:after="0" w:line="240" w:lineRule="auto"/>
    </w:pPr>
  </w:style>
  <w:style w:type="character" w:customStyle="1" w:styleId="PtaChar">
    <w:name w:val="Päta Char"/>
    <w:basedOn w:val="Predvolenpsmoodseku"/>
    <w:link w:val="Pta"/>
    <w:uiPriority w:val="99"/>
    <w:rsid w:val="0080706F"/>
  </w:style>
  <w:style w:type="character" w:customStyle="1" w:styleId="Nadpis1Char">
    <w:name w:val="Nadpis 1 Char"/>
    <w:basedOn w:val="Predvolenpsmoodseku"/>
    <w:link w:val="Nadpis1"/>
    <w:rsid w:val="0080706F"/>
    <w:rPr>
      <w:rFonts w:ascii="Times New Roman" w:eastAsia="Times New Roman" w:hAnsi="Times New Roman" w:cs="Times New Roman"/>
      <w:b/>
      <w:bCs/>
      <w:sz w:val="24"/>
      <w:szCs w:val="24"/>
      <w:u w:val="single"/>
      <w:lang w:eastAsia="sk-SK"/>
    </w:rPr>
  </w:style>
  <w:style w:type="character" w:customStyle="1" w:styleId="Nadpis2Char">
    <w:name w:val="Nadpis 2 Char"/>
    <w:basedOn w:val="Predvolenpsmoodseku"/>
    <w:link w:val="Nadpis2"/>
    <w:uiPriority w:val="9"/>
    <w:rsid w:val="0080706F"/>
    <w:rPr>
      <w:rFonts w:ascii="Cambria" w:eastAsia="Times New Roman" w:hAnsi="Cambria" w:cs="Times New Roman"/>
      <w:b/>
      <w:bCs/>
      <w:i/>
      <w:iCs/>
      <w:sz w:val="28"/>
      <w:szCs w:val="28"/>
      <w:lang w:eastAsia="sk-SK"/>
    </w:rPr>
  </w:style>
  <w:style w:type="paragraph" w:styleId="Odsekzoznamu">
    <w:name w:val="List Paragraph"/>
    <w:basedOn w:val="Normlny"/>
    <w:uiPriority w:val="34"/>
    <w:qFormat/>
    <w:rsid w:val="0080706F"/>
    <w:pPr>
      <w:spacing w:after="0" w:line="240" w:lineRule="auto"/>
      <w:ind w:left="708"/>
    </w:pPr>
    <w:rPr>
      <w:rFonts w:ascii="Times New Roman" w:eastAsia="Times New Roman" w:hAnsi="Times New Roman" w:cs="Times New Roman"/>
      <w:sz w:val="24"/>
      <w:szCs w:val="24"/>
      <w:lang w:eastAsia="sk-SK"/>
    </w:rPr>
  </w:style>
  <w:style w:type="paragraph" w:styleId="Zkladntext">
    <w:name w:val="Body Text"/>
    <w:basedOn w:val="Normlny"/>
    <w:link w:val="ZkladntextChar"/>
    <w:rsid w:val="0080706F"/>
    <w:pPr>
      <w:spacing w:after="0" w:line="240" w:lineRule="auto"/>
      <w:ind w:left="426"/>
      <w:jc w:val="both"/>
    </w:pPr>
    <w:rPr>
      <w:rFonts w:ascii="Times New Roman" w:eastAsia="Times New Roman" w:hAnsi="Times New Roman" w:cs="Times New Roman"/>
      <w:sz w:val="18"/>
      <w:szCs w:val="20"/>
    </w:rPr>
  </w:style>
  <w:style w:type="character" w:customStyle="1" w:styleId="ZkladntextChar">
    <w:name w:val="Základný text Char"/>
    <w:basedOn w:val="Predvolenpsmoodseku"/>
    <w:link w:val="Zkladntext"/>
    <w:rsid w:val="0080706F"/>
    <w:rPr>
      <w:rFonts w:ascii="Times New Roman" w:eastAsia="Times New Roman" w:hAnsi="Times New Roman" w:cs="Times New Roman"/>
      <w:sz w:val="18"/>
      <w:szCs w:val="20"/>
    </w:rPr>
  </w:style>
  <w:style w:type="paragraph" w:customStyle="1" w:styleId="Tabulka">
    <w:name w:val="Tabulka"/>
    <w:basedOn w:val="Normlny"/>
    <w:rsid w:val="0080706F"/>
    <w:pPr>
      <w:numPr>
        <w:numId w:val="3"/>
      </w:numPr>
      <w:tabs>
        <w:tab w:val="clear" w:pos="360"/>
      </w:tabs>
      <w:spacing w:after="0" w:line="240" w:lineRule="auto"/>
      <w:ind w:left="0" w:firstLine="0"/>
    </w:pPr>
    <w:rPr>
      <w:rFonts w:ascii="Times New Roman" w:eastAsia="Times New Roman" w:hAnsi="Times New Roman" w:cs="Times New Roman"/>
      <w:color w:val="000000"/>
      <w:sz w:val="18"/>
      <w:szCs w:val="20"/>
    </w:rPr>
  </w:style>
  <w:style w:type="paragraph" w:customStyle="1" w:styleId="Pismenka">
    <w:name w:val="Pismenka"/>
    <w:basedOn w:val="Zkladntext"/>
    <w:rsid w:val="0080706F"/>
    <w:pPr>
      <w:tabs>
        <w:tab w:val="num" w:pos="360"/>
      </w:tabs>
      <w:ind w:left="360" w:hanging="360"/>
    </w:pPr>
    <w:rPr>
      <w:b/>
    </w:rPr>
  </w:style>
  <w:style w:type="paragraph" w:styleId="Textkomentra">
    <w:name w:val="annotation text"/>
    <w:basedOn w:val="Normlny"/>
    <w:link w:val="TextkomentraChar"/>
    <w:uiPriority w:val="99"/>
    <w:unhideWhenUsed/>
    <w:rsid w:val="0080706F"/>
    <w:pPr>
      <w:spacing w:after="0" w:line="240" w:lineRule="auto"/>
    </w:pPr>
    <w:rPr>
      <w:rFonts w:ascii="Times New Roman" w:eastAsia="Times New Roman" w:hAnsi="Times New Roman" w:cs="Times New Roman"/>
      <w:sz w:val="20"/>
      <w:szCs w:val="20"/>
    </w:rPr>
  </w:style>
  <w:style w:type="character" w:customStyle="1" w:styleId="TextkomentraChar">
    <w:name w:val="Text komentára Char"/>
    <w:basedOn w:val="Predvolenpsmoodseku"/>
    <w:link w:val="Textkomentra"/>
    <w:uiPriority w:val="99"/>
    <w:rsid w:val="0080706F"/>
    <w:rPr>
      <w:rFonts w:ascii="Times New Roman" w:eastAsia="Times New Roman" w:hAnsi="Times New Roman" w:cs="Times New Roman"/>
      <w:sz w:val="20"/>
      <w:szCs w:val="20"/>
    </w:rPr>
  </w:style>
  <w:style w:type="paragraph" w:customStyle="1" w:styleId="AccountingPolicy">
    <w:name w:val="Accounting Policy"/>
    <w:basedOn w:val="Normlny"/>
    <w:link w:val="AccountingPolicyChar"/>
    <w:uiPriority w:val="99"/>
    <w:rsid w:val="0080706F"/>
    <w:pPr>
      <w:tabs>
        <w:tab w:val="left" w:pos="1531"/>
        <w:tab w:val="left" w:pos="1871"/>
      </w:tabs>
      <w:autoSpaceDE w:val="0"/>
      <w:autoSpaceDN w:val="0"/>
      <w:adjustRightInd w:val="0"/>
      <w:spacing w:after="0" w:line="260" w:lineRule="atLeast"/>
    </w:pPr>
    <w:rPr>
      <w:rFonts w:ascii="Univers 45 Light" w:eastAsia="Times New Roman" w:hAnsi="Univers 45 Light" w:cs="Univers 45 Light"/>
      <w:color w:val="000000"/>
      <w:sz w:val="20"/>
      <w:szCs w:val="20"/>
      <w:lang w:val="en-NZ" w:eastAsia="en-NZ"/>
    </w:rPr>
  </w:style>
  <w:style w:type="character" w:customStyle="1" w:styleId="AccountingPolicyChar">
    <w:name w:val="Accounting Policy Char"/>
    <w:link w:val="AccountingPolicy"/>
    <w:uiPriority w:val="99"/>
    <w:rsid w:val="0080706F"/>
    <w:rPr>
      <w:rFonts w:ascii="Univers 45 Light" w:eastAsia="Times New Roman" w:hAnsi="Univers 45 Light" w:cs="Univers 45 Light"/>
      <w:color w:val="000000"/>
      <w:sz w:val="20"/>
      <w:szCs w:val="20"/>
      <w:lang w:val="en-NZ" w:eastAsia="en-NZ"/>
    </w:rPr>
  </w:style>
  <w:style w:type="character" w:customStyle="1" w:styleId="odstavecChar">
    <w:name w:val="odstavec Char"/>
    <w:link w:val="odstavec"/>
    <w:locked/>
    <w:rsid w:val="0080706F"/>
    <w:rPr>
      <w:bCs/>
      <w:iCs/>
      <w:sz w:val="18"/>
      <w:szCs w:val="18"/>
    </w:rPr>
  </w:style>
  <w:style w:type="paragraph" w:customStyle="1" w:styleId="odstavec">
    <w:name w:val="odstavec"/>
    <w:basedOn w:val="Normlny"/>
    <w:link w:val="odstavecChar"/>
    <w:autoRedefine/>
    <w:rsid w:val="0080706F"/>
    <w:pPr>
      <w:suppressAutoHyphens/>
      <w:spacing w:after="0" w:line="240" w:lineRule="auto"/>
      <w:ind w:left="426"/>
      <w:jc w:val="both"/>
    </w:pPr>
    <w:rPr>
      <w:bCs/>
      <w:iCs/>
      <w:sz w:val="18"/>
      <w:szCs w:val="18"/>
    </w:rPr>
  </w:style>
  <w:style w:type="paragraph" w:styleId="Zoznamsodrkami">
    <w:name w:val="List Bullet"/>
    <w:basedOn w:val="Normlny"/>
    <w:link w:val="ZoznamsodrkamiChar"/>
    <w:uiPriority w:val="99"/>
    <w:rsid w:val="0080706F"/>
    <w:pPr>
      <w:numPr>
        <w:numId w:val="8"/>
      </w:numPr>
      <w:spacing w:after="60" w:line="240" w:lineRule="auto"/>
      <w:jc w:val="both"/>
    </w:pPr>
    <w:rPr>
      <w:rFonts w:ascii="Times New Roman" w:eastAsia="Times New Roman" w:hAnsi="Times New Roman" w:cs="Times New Roman"/>
      <w:szCs w:val="20"/>
      <w:lang w:val="cs-CZ" w:eastAsia="cs-CZ"/>
    </w:rPr>
  </w:style>
  <w:style w:type="character" w:customStyle="1" w:styleId="ZoznamsodrkamiChar">
    <w:name w:val="Zoznam s odrážkami Char"/>
    <w:link w:val="Zoznamsodrkami"/>
    <w:uiPriority w:val="99"/>
    <w:locked/>
    <w:rsid w:val="0080706F"/>
    <w:rPr>
      <w:rFonts w:ascii="Times New Roman" w:eastAsia="Times New Roman" w:hAnsi="Times New Roman" w:cs="Times New Roman"/>
      <w:szCs w:val="20"/>
      <w:lang w:val="cs-CZ" w:eastAsia="cs-CZ"/>
    </w:rPr>
  </w:style>
  <w:style w:type="character" w:customStyle="1" w:styleId="ra">
    <w:name w:val="ra"/>
    <w:rsid w:val="008070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package" Target="embeddings/Microsoft_Excel_Worksheet2.xlsx"/><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package" Target="embeddings/Microsoft_Excel_Worksheet1.xlsx"/><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package" Target="embeddings/Microsoft_Excel_Worksheet3.xlsx"/></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24F53AA4BC34BFB9CB148D4F152EB17"/>
        <w:category>
          <w:name w:val="Všeobecné"/>
          <w:gallery w:val="placeholder"/>
        </w:category>
        <w:types>
          <w:type w:val="bbPlcHdr"/>
        </w:types>
        <w:behaviors>
          <w:behavior w:val="content"/>
        </w:behaviors>
        <w:guid w:val="{062D3441-E04D-48CF-9312-892A1124C6F3}"/>
      </w:docPartPr>
      <w:docPartBody>
        <w:p w:rsidR="00F3597D" w:rsidRDefault="002C2244" w:rsidP="002C2244">
          <w:pPr>
            <w:pStyle w:val="924F53AA4BC34BFB9CB148D4F152EB17"/>
          </w:pPr>
          <w:r>
            <w:rPr>
              <w:color w:val="7F7F7F" w:themeColor="background1" w:themeShade="7F"/>
            </w:rPr>
            <w:t>[Zadajte názov spoločnosti]</w:t>
          </w:r>
        </w:p>
      </w:docPartBody>
    </w:docPart>
    <w:docPart>
      <w:docPartPr>
        <w:name w:val="65C3572730F441BFAF1B34842DB31DB0"/>
        <w:category>
          <w:name w:val="Všeobecné"/>
          <w:gallery w:val="placeholder"/>
        </w:category>
        <w:types>
          <w:type w:val="bbPlcHdr"/>
        </w:types>
        <w:behaviors>
          <w:behavior w:val="content"/>
        </w:behaviors>
        <w:guid w:val="{BD89DC59-C78F-4675-AC3A-6BF3BA821784}"/>
      </w:docPartPr>
      <w:docPartBody>
        <w:p w:rsidR="00F3597D" w:rsidRDefault="002C2244" w:rsidP="002C2244">
          <w:pPr>
            <w:pStyle w:val="65C3572730F441BFAF1B34842DB31DB0"/>
          </w:pPr>
          <w:r>
            <w:rPr>
              <w:color w:val="7F7F7F" w:themeColor="background1" w:themeShade="7F"/>
            </w:rPr>
            <w:t>[Zadajte adresu spoločnosti]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Univers 45 Light">
    <w:charset w:val="00"/>
    <w:family w:val="auto"/>
    <w:pitch w:val="variable"/>
    <w:sig w:usb0="8000002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2244"/>
    <w:rsid w:val="002C2244"/>
    <w:rsid w:val="00621F53"/>
    <w:rsid w:val="00B51C2B"/>
    <w:rsid w:val="00D774D5"/>
    <w:rsid w:val="00F3597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924F53AA4BC34BFB9CB148D4F152EB17">
    <w:name w:val="924F53AA4BC34BFB9CB148D4F152EB17"/>
    <w:rsid w:val="002C2244"/>
  </w:style>
  <w:style w:type="paragraph" w:customStyle="1" w:styleId="65C3572730F441BFAF1B34842DB31DB0">
    <w:name w:val="65C3572730F441BFAF1B34842DB31DB0"/>
    <w:rsid w:val="002C22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Šamorínska 10, 903 01 Senec 
IČO: 50773984, DIČ: 2120480637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17</Pages>
  <Words>5318</Words>
  <Characters>30317</Characters>
  <Application>Microsoft Office Word</Application>
  <DocSecurity>0</DocSecurity>
  <Lines>252</Lines>
  <Paragraphs>71</Paragraphs>
  <ScaleCrop>false</ScaleCrop>
  <HeadingPairs>
    <vt:vector size="2" baseType="variant">
      <vt:variant>
        <vt:lpstr>Názov</vt:lpstr>
      </vt:variant>
      <vt:variant>
        <vt:i4>1</vt:i4>
      </vt:variant>
    </vt:vector>
  </HeadingPairs>
  <TitlesOfParts>
    <vt:vector size="1" baseType="lpstr">
      <vt:lpstr/>
    </vt:vector>
  </TitlesOfParts>
  <Company>LUJZA s.r.o.</Company>
  <LinksUpToDate>false</LinksUpToDate>
  <CharactersWithSpaces>35564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Lucka</dc:creator>
  <cp:lastModifiedBy>Zuzana Cedulová</cp:lastModifiedBy>
  <cp:revision>7</cp:revision>
  <cp:lastPrinted>2020-06-30T15:55:00Z</cp:lastPrinted>
  <dcterms:created xsi:type="dcterms:W3CDTF">2018-03-16T14:41:00Z</dcterms:created>
  <dcterms:modified xsi:type="dcterms:W3CDTF">2020-06-30T15:55:00Z</dcterms:modified>
</cp:coreProperties>
</file>