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5D47" w:rsidRDefault="00BF5D47">
      <w:pPr>
        <w:widowControl w:val="0"/>
        <w:pBdr>
          <w:top w:val="single" w:sz="4" w:space="1" w:color="auto"/>
          <w:left w:val="single" w:sz="4" w:space="4" w:color="auto"/>
          <w:bottom w:val="single" w:sz="4" w:space="1" w:color="auto"/>
          <w:right w:val="single" w:sz="4" w:space="4" w:color="auto"/>
        </w:pBdr>
        <w:tabs>
          <w:tab w:val="center" w:pos="3897"/>
          <w:tab w:val="left" w:pos="5811"/>
          <w:tab w:val="right" w:pos="7937"/>
        </w:tabs>
        <w:suppressAutoHyphens/>
        <w:autoSpaceDE w:val="0"/>
        <w:autoSpaceDN w:val="0"/>
        <w:adjustRightInd w:val="0"/>
        <w:spacing w:after="120" w:line="100" w:lineRule="atLeast"/>
        <w:ind w:left="-142" w:right="142"/>
        <w:jc w:val="center"/>
        <w:rPr>
          <w:rFonts w:ascii="Arial" w:hAnsi="Arial" w:cs="Arial"/>
          <w:color w:val="000000"/>
          <w:sz w:val="24"/>
          <w:szCs w:val="24"/>
        </w:rPr>
      </w:pPr>
      <w:bookmarkStart w:id="0" w:name="_GoBack"/>
      <w:bookmarkEnd w:id="0"/>
    </w:p>
    <w:p w:rsidR="00BF5D47" w:rsidRDefault="00BF5D47">
      <w:pPr>
        <w:widowControl w:val="0"/>
        <w:pBdr>
          <w:top w:val="single" w:sz="4" w:space="1" w:color="auto"/>
          <w:left w:val="single" w:sz="4" w:space="4" w:color="auto"/>
          <w:bottom w:val="single" w:sz="4" w:space="1" w:color="auto"/>
          <w:right w:val="single" w:sz="4" w:space="4" w:color="auto"/>
        </w:pBdr>
        <w:tabs>
          <w:tab w:val="center" w:pos="3897"/>
          <w:tab w:val="left" w:pos="5811"/>
          <w:tab w:val="right" w:pos="7937"/>
        </w:tabs>
        <w:suppressAutoHyphens/>
        <w:autoSpaceDE w:val="0"/>
        <w:autoSpaceDN w:val="0"/>
        <w:adjustRightInd w:val="0"/>
        <w:spacing w:after="120" w:line="100" w:lineRule="atLeast"/>
        <w:ind w:left="-142" w:right="142"/>
        <w:jc w:val="center"/>
        <w:rPr>
          <w:rFonts w:ascii="Arial" w:hAnsi="Arial" w:cs="Arial"/>
          <w:color w:val="000000"/>
          <w:sz w:val="24"/>
          <w:szCs w:val="24"/>
        </w:rPr>
      </w:pPr>
      <w:r>
        <w:rPr>
          <w:rFonts w:ascii="Arial" w:hAnsi="Arial" w:cs="Arial"/>
          <w:b/>
          <w:bCs/>
          <w:color w:val="000000"/>
          <w:sz w:val="24"/>
          <w:szCs w:val="24"/>
        </w:rPr>
        <w:t>POZNÁMKY K ÚČTOVNEJ ZÁVIERKE  ZOSTAVENEJ K 31. decembru 2019</w:t>
      </w:r>
    </w:p>
    <w:p w:rsidR="00BF5D47" w:rsidRDefault="00BF5D47">
      <w:pPr>
        <w:widowControl w:val="0"/>
        <w:tabs>
          <w:tab w:val="left" w:pos="3375"/>
        </w:tabs>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ab/>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I. VŠEOBECNÉ INFORMÁCIE</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b/>
          <w:bCs/>
          <w:color w:val="00000A"/>
        </w:rPr>
        <w:t>(1)  Informácie o účtovnej jednotke</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200" w:line="276" w:lineRule="auto"/>
        <w:rPr>
          <w:rFonts w:ascii="Calibri" w:hAnsi="Calibri" w:cs="Calibri"/>
          <w:color w:val="000000"/>
        </w:rPr>
      </w:pPr>
      <w:r>
        <w:rPr>
          <w:rFonts w:ascii="Calibri" w:hAnsi="Calibri" w:cs="Calibri"/>
          <w:color w:val="000000"/>
          <w:sz w:val="20"/>
          <w:szCs w:val="20"/>
        </w:rPr>
        <w:t>a) Základné informácie o účtovnej jednotke:</w:t>
      </w:r>
    </w:p>
    <w:tbl>
      <w:tblPr>
        <w:tblW w:w="0" w:type="auto"/>
        <w:tblInd w:w="98" w:type="dxa"/>
        <w:tblLayout w:type="fixed"/>
        <w:tblLook w:val="0000" w:firstRow="0" w:lastRow="0" w:firstColumn="0" w:lastColumn="0" w:noHBand="0" w:noVBand="0"/>
      </w:tblPr>
      <w:tblGrid>
        <w:gridCol w:w="2767"/>
        <w:gridCol w:w="6499"/>
      </w:tblGrid>
      <w:tr w:rsidR="00BF5D47">
        <w:tblPrEx>
          <w:tblCellMar>
            <w:top w:w="0" w:type="dxa"/>
            <w:bottom w:w="0" w:type="dxa"/>
          </w:tblCellMar>
        </w:tblPrEx>
        <w:trPr>
          <w:trHeight w:val="336"/>
        </w:trPr>
        <w:tc>
          <w:tcPr>
            <w:tcW w:w="2767"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Obchodné meno:</w:t>
            </w:r>
          </w:p>
        </w:tc>
        <w:tc>
          <w:tcPr>
            <w:tcW w:w="6499"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Mebachel s.r.o.</w:t>
            </w:r>
          </w:p>
        </w:tc>
      </w:tr>
      <w:tr w:rsidR="00BF5D47">
        <w:tblPrEx>
          <w:tblCellMar>
            <w:top w:w="0" w:type="dxa"/>
            <w:bottom w:w="0" w:type="dxa"/>
          </w:tblCellMar>
        </w:tblPrEx>
        <w:trPr>
          <w:trHeight w:val="336"/>
        </w:trPr>
        <w:tc>
          <w:tcPr>
            <w:tcW w:w="2767"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Sídlo:</w:t>
            </w:r>
          </w:p>
        </w:tc>
        <w:tc>
          <w:tcPr>
            <w:tcW w:w="6499"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Trstín 384, 919 05 Trstín</w:t>
            </w:r>
          </w:p>
        </w:tc>
      </w:tr>
      <w:tr w:rsidR="00BF5D47">
        <w:tblPrEx>
          <w:tblCellMar>
            <w:top w:w="0" w:type="dxa"/>
            <w:bottom w:w="0" w:type="dxa"/>
          </w:tblCellMar>
        </w:tblPrEx>
        <w:trPr>
          <w:trHeight w:val="336"/>
        </w:trPr>
        <w:tc>
          <w:tcPr>
            <w:tcW w:w="2767" w:type="dxa"/>
            <w:tcBorders>
              <w:top w:val="single" w:sz="2" w:space="0" w:color="00000A"/>
              <w:left w:val="single" w:sz="2" w:space="0" w:color="00000A"/>
              <w:bottom w:val="single" w:sz="2" w:space="0" w:color="00000A"/>
              <w:right w:val="single" w:sz="2" w:space="0" w:color="00000A"/>
            </w:tcBorders>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sz w:val="20"/>
                <w:szCs w:val="20"/>
              </w:rPr>
              <w:t>Dátum založenia:</w:t>
            </w:r>
          </w:p>
        </w:tc>
        <w:tc>
          <w:tcPr>
            <w:tcW w:w="6499" w:type="dxa"/>
            <w:tcBorders>
              <w:top w:val="single" w:sz="2" w:space="0" w:color="00000A"/>
              <w:left w:val="single" w:sz="2" w:space="0" w:color="00000A"/>
              <w:bottom w:val="single" w:sz="2" w:space="0" w:color="00000A"/>
              <w:right w:val="single" w:sz="2" w:space="0" w:color="00000A"/>
            </w:tcBorders>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sz w:val="20"/>
                <w:szCs w:val="20"/>
              </w:rPr>
              <w:t>3.mája 2005</w:t>
            </w:r>
          </w:p>
        </w:tc>
      </w:tr>
      <w:tr w:rsidR="00BF5D47">
        <w:tblPrEx>
          <w:tblCellMar>
            <w:top w:w="0" w:type="dxa"/>
            <w:bottom w:w="0" w:type="dxa"/>
          </w:tblCellMar>
        </w:tblPrEx>
        <w:trPr>
          <w:trHeight w:val="336"/>
        </w:trPr>
        <w:tc>
          <w:tcPr>
            <w:tcW w:w="2767"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Dátum vzniku:</w:t>
            </w:r>
          </w:p>
        </w:tc>
        <w:tc>
          <w:tcPr>
            <w:tcW w:w="6499" w:type="dxa"/>
            <w:tcBorders>
              <w:top w:val="single" w:sz="2" w:space="0" w:color="00000A"/>
              <w:left w:val="single" w:sz="2" w:space="0" w:color="00000A"/>
              <w:bottom w:val="single" w:sz="2" w:space="0" w:color="00000A"/>
              <w:right w:val="single" w:sz="2" w:space="0" w:color="00000A"/>
            </w:tcBorders>
            <w:shd w:val="clear" w:color="auto" w:fill="FFFFFF"/>
            <w:vAlign w:val="bottom"/>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18.mája 2005</w:t>
            </w:r>
          </w:p>
        </w:tc>
      </w:tr>
    </w:tbl>
    <w:p w:rsidR="00BF5D47" w:rsidRDefault="00BF5D47">
      <w:pPr>
        <w:widowControl w:val="0"/>
        <w:suppressAutoHyphens/>
        <w:autoSpaceDE w:val="0"/>
        <w:autoSpaceDN w:val="0"/>
        <w:adjustRightInd w:val="0"/>
        <w:spacing w:after="200" w:line="276" w:lineRule="auto"/>
        <w:ind w:left="720"/>
        <w:rPr>
          <w:rFonts w:ascii="Calibri" w:hAnsi="Calibri" w:cs="Calibri"/>
          <w:color w:val="000000"/>
        </w:rPr>
      </w:pPr>
    </w:p>
    <w:p w:rsidR="00BF5D47" w:rsidRDefault="00BF5D47">
      <w:pPr>
        <w:widowControl w:val="0"/>
        <w:suppressAutoHyphens/>
        <w:autoSpaceDE w:val="0"/>
        <w:autoSpaceDN w:val="0"/>
        <w:adjustRightInd w:val="0"/>
        <w:spacing w:after="0" w:line="100" w:lineRule="atLeast"/>
        <w:jc w:val="both"/>
        <w:rPr>
          <w:rFonts w:ascii="Calibri" w:hAnsi="Calibri" w:cs="Calibri"/>
          <w:color w:val="000000"/>
        </w:rPr>
      </w:pPr>
      <w:r>
        <w:rPr>
          <w:rFonts w:ascii="Calibri" w:hAnsi="Calibri" w:cs="Calibri"/>
          <w:color w:val="000000"/>
          <w:sz w:val="20"/>
          <w:szCs w:val="20"/>
        </w:rPr>
        <w:t>b) Opis hospodárskej činnosti účtovnej jednotky:</w:t>
      </w:r>
    </w:p>
    <w:p w:rsidR="00BF5D47" w:rsidRDefault="00BF5D47">
      <w:pPr>
        <w:widowControl w:val="0"/>
        <w:suppressAutoHyphens/>
        <w:autoSpaceDE w:val="0"/>
        <w:autoSpaceDN w:val="0"/>
        <w:adjustRightInd w:val="0"/>
        <w:spacing w:after="0" w:line="100" w:lineRule="atLeast"/>
        <w:jc w:val="both"/>
        <w:rPr>
          <w:rFonts w:ascii="Calibri" w:hAnsi="Calibri" w:cs="Calibri"/>
          <w:color w:val="000000"/>
        </w:rPr>
      </w:pP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kúpa tovaru na účely jeho predaja konečnému spotrebiteľovi (maloobchod) v rozsahu voľnej živnosti</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kúpa tovaru na účely jeho predaja iným prevádzkovateľom živnosti (veľkoobchod) v rozsahu voľnej živnosti</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sprostredkovateľská činnosť v rozsahu voľnej živnosti</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prenájom motorových vozidiel a prívesných vozíkov</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prenájom strojov a prístrojov</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prenájom garáží a odstavných plôch pre motorové vozidlá</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skladovanie, manipulácia s tovarom v rozsahu voľnej živnosti</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prenájom nehnuteľností vrátane poskytovania základných a doplnkových činností (čistenie, upratovanie)</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nákladná cestná doprava vykonávaná cestnými nákladnými vozidlami, ktorých celková hmotnosť vrátane prípojného vozidla nepresahuje 3,5 t</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cestná motorová doprava - vnútroštátna nákladná cestná doprava</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zasielateľstvo</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medzinárodná nákladná cestná doprava</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prípravné práce k realizácii stavby</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sz w:val="20"/>
          <w:szCs w:val="20"/>
        </w:rPr>
      </w:pPr>
      <w:r>
        <w:rPr>
          <w:rFonts w:ascii="Calibri" w:hAnsi="Calibri" w:cs="Calibri"/>
          <w:color w:val="000000"/>
          <w:sz w:val="20"/>
          <w:szCs w:val="20"/>
        </w:rPr>
        <w:t>uskutočňovanie stavieb a ich zmien</w:t>
      </w:r>
    </w:p>
    <w:p w:rsidR="00BF5D47" w:rsidRDefault="00BF5D47" w:rsidP="00CC0131">
      <w:pPr>
        <w:widowControl w:val="0"/>
        <w:numPr>
          <w:ilvl w:val="0"/>
          <w:numId w:val="1"/>
        </w:numPr>
        <w:suppressAutoHyphens/>
        <w:autoSpaceDE w:val="0"/>
        <w:autoSpaceDN w:val="0"/>
        <w:adjustRightInd w:val="0"/>
        <w:spacing w:after="200" w:line="276" w:lineRule="auto"/>
        <w:ind w:left="720" w:hanging="360"/>
        <w:rPr>
          <w:rFonts w:ascii="Calibri" w:hAnsi="Calibri" w:cs="Calibri"/>
          <w:color w:val="000000"/>
        </w:rPr>
      </w:pPr>
      <w:r>
        <w:rPr>
          <w:rFonts w:ascii="Calibri" w:hAnsi="Calibri" w:cs="Calibri"/>
          <w:color w:val="000000"/>
          <w:sz w:val="20"/>
          <w:szCs w:val="20"/>
        </w:rPr>
        <w:t>dokončovacie stavebné práce pri realizácii exteriérov a interiérov</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b/>
          <w:bCs/>
          <w:color w:val="000000"/>
        </w:rPr>
        <w:lastRenderedPageBreak/>
        <w:t>(2) Schválenie účtovnej závierky za predchádzajúce obdobie</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Účtovná závierka za rok 2018 bola schválená na riadnom valnom zhromaždení dňa 31.12. 2019.</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b/>
          <w:bCs/>
          <w:color w:val="00000A"/>
        </w:rPr>
        <w:t>(3) Právny dôvod na zostavenie účtovnej závierky</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 xml:space="preserve">Účtovná závierka k 31.decembru 2019 je zostavená ako riadna účtovná závierka podľa § 17 ods. 6 zákona NR SR  č. 431/2002 Z. z. o účtovníctve, za účtovné obdobie od 1. januára 2019 do 31. decembra 2019,  k poslednému dňu kalendárneho roka 2019. </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b/>
          <w:bCs/>
          <w:color w:val="00000A"/>
        </w:rPr>
        <w:t xml:space="preserve">(4) Údaje o skupine účtovných jednotiek, a to: </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color w:val="00000A"/>
          <w:sz w:val="20"/>
          <w:szCs w:val="20"/>
        </w:rPr>
        <w:t>Účtovná jednotka nie je súčasťou konsolidovaného celku a účtovná jednotka nie je materskou účtovnou jednotkou.</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b/>
          <w:bCs/>
          <w:color w:val="00000A"/>
        </w:rPr>
        <w:t>(5) Informácia o počte zamestnancov</w:t>
      </w:r>
    </w:p>
    <w:tbl>
      <w:tblPr>
        <w:tblW w:w="0" w:type="auto"/>
        <w:jc w:val="center"/>
        <w:tblLayout w:type="fixed"/>
        <w:tblLook w:val="0000" w:firstRow="0" w:lastRow="0" w:firstColumn="0" w:lastColumn="0" w:noHBand="0" w:noVBand="0"/>
      </w:tblPr>
      <w:tblGrid>
        <w:gridCol w:w="3948"/>
        <w:gridCol w:w="2950"/>
        <w:gridCol w:w="2731"/>
      </w:tblGrid>
      <w:tr w:rsidR="00BF5D47">
        <w:tblPrEx>
          <w:tblCellMar>
            <w:top w:w="0" w:type="dxa"/>
            <w:bottom w:w="0" w:type="dxa"/>
          </w:tblCellMar>
        </w:tblPrEx>
        <w:trPr>
          <w:trHeight w:val="1"/>
          <w:jc w:val="center"/>
        </w:trPr>
        <w:tc>
          <w:tcPr>
            <w:tcW w:w="394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Názov položky</w:t>
            </w:r>
          </w:p>
        </w:tc>
        <w:tc>
          <w:tcPr>
            <w:tcW w:w="2950"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Bežné účtovné obdobie</w:t>
            </w:r>
          </w:p>
        </w:tc>
        <w:tc>
          <w:tcPr>
            <w:tcW w:w="2731"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Bezprostredne predchádzajúce účtovné obdobie</w:t>
            </w:r>
          </w:p>
        </w:tc>
      </w:tr>
      <w:tr w:rsidR="00BF5D47">
        <w:tblPrEx>
          <w:tblCellMar>
            <w:top w:w="0" w:type="dxa"/>
            <w:bottom w:w="0" w:type="dxa"/>
          </w:tblCellMar>
        </w:tblPrEx>
        <w:trPr>
          <w:trHeight w:val="1"/>
          <w:jc w:val="center"/>
        </w:trPr>
        <w:tc>
          <w:tcPr>
            <w:tcW w:w="3948"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Priemerný prepočítaný počet zamestnancov</w:t>
            </w:r>
          </w:p>
        </w:tc>
        <w:tc>
          <w:tcPr>
            <w:tcW w:w="295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49</w:t>
            </w:r>
          </w:p>
        </w:tc>
        <w:tc>
          <w:tcPr>
            <w:tcW w:w="2731"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50</w:t>
            </w:r>
          </w:p>
        </w:tc>
      </w:tr>
      <w:tr w:rsidR="00BF5D47">
        <w:tblPrEx>
          <w:tblCellMar>
            <w:top w:w="0" w:type="dxa"/>
            <w:bottom w:w="0" w:type="dxa"/>
          </w:tblCellMar>
        </w:tblPrEx>
        <w:trPr>
          <w:trHeight w:val="1"/>
          <w:jc w:val="center"/>
        </w:trPr>
        <w:tc>
          <w:tcPr>
            <w:tcW w:w="3948"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Stav zamestnancov ku dňu, ku ktorému sa zostavuje účtovná závierka, z toho:</w:t>
            </w:r>
          </w:p>
        </w:tc>
        <w:tc>
          <w:tcPr>
            <w:tcW w:w="295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49</w:t>
            </w:r>
          </w:p>
        </w:tc>
        <w:tc>
          <w:tcPr>
            <w:tcW w:w="2731"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50</w:t>
            </w:r>
          </w:p>
        </w:tc>
      </w:tr>
      <w:tr w:rsidR="00BF5D47">
        <w:tblPrEx>
          <w:tblCellMar>
            <w:top w:w="0" w:type="dxa"/>
            <w:bottom w:w="0" w:type="dxa"/>
          </w:tblCellMar>
        </w:tblPrEx>
        <w:trPr>
          <w:trHeight w:val="1"/>
          <w:jc w:val="center"/>
        </w:trPr>
        <w:tc>
          <w:tcPr>
            <w:tcW w:w="3948"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Počet vedúcich zamestnancov</w:t>
            </w:r>
          </w:p>
        </w:tc>
        <w:tc>
          <w:tcPr>
            <w:tcW w:w="295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1</w:t>
            </w:r>
          </w:p>
        </w:tc>
        <w:tc>
          <w:tcPr>
            <w:tcW w:w="2731"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360" w:lineRule="auto"/>
              <w:jc w:val="center"/>
              <w:rPr>
                <w:rFonts w:ascii="Calibri" w:hAnsi="Calibri" w:cs="Calibri"/>
              </w:rPr>
            </w:pPr>
            <w:r>
              <w:rPr>
                <w:rFonts w:ascii="Calibri" w:hAnsi="Calibri" w:cs="Calibri"/>
                <w:color w:val="000000"/>
                <w:sz w:val="20"/>
                <w:szCs w:val="20"/>
              </w:rPr>
              <w:t>1</w:t>
            </w:r>
          </w:p>
        </w:tc>
      </w:tr>
    </w:tbl>
    <w:p w:rsidR="00BF5D47" w:rsidRDefault="00BF5D47">
      <w:pPr>
        <w:widowControl w:val="0"/>
        <w:suppressAutoHyphens/>
        <w:autoSpaceDE w:val="0"/>
        <w:autoSpaceDN w:val="0"/>
        <w:adjustRightInd w:val="0"/>
        <w:spacing w:after="0" w:line="100" w:lineRule="atLeast"/>
        <w:jc w:val="center"/>
        <w:rPr>
          <w:rFonts w:ascii="Calibri" w:hAnsi="Calibri" w:cs="Calibri"/>
          <w:b/>
          <w:bCs/>
          <w:color w:val="00000A"/>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II. Informácie o orgánoch spoločnosti</w:t>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b/>
          <w:bCs/>
          <w:color w:val="00000A"/>
        </w:rPr>
        <w:t>Informácie o orgánoch účtovnej jednotky</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sz w:val="20"/>
          <w:szCs w:val="20"/>
        </w:rPr>
        <w:t>Členovia štatutárneho orgánu spoločnosti nepoberali žiadne príjmy za výkon svojej funkcie člena tohto orgánu ani im neboli poskytnuté žiadne pôžičky alebo záruky.</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 xml:space="preserve"> III. Informácie o prijatých postupoch</w:t>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(1) Účtovná závierka spoločnosti bola zostavená za predpokladu nepretržitého trvania jej činnosti v súlade so zákonom o účtovníctve platným v Slovenskej republike a nadväzujúcimi postupmi účtovania. Predpokladáme, že bude tak aj v budúcnosti, nakoľko dopad COVID 19 na tržby spoločnosti odhadujeme  zníženie asi 15 % v porovnaní s predchádzajúcim rokom.</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Účtovníctvo spoločnosť vedie na základe dodržania časovej a vecnej súvislosti nákladov a výnosov. Za základ sa berú všetky náklady a výnosy, ktoré sa vzťahujú na účtovné obdobie bez ohľadu na dátum ich platenia.</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0"/>
          <w:sz w:val="20"/>
          <w:szCs w:val="20"/>
        </w:rPr>
        <w:t>Peňažné údaje v účtovnej závierke sú uvedené v celých EUR.</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rPr>
        <w:t xml:space="preserve"> (2) Zmena metód účtovania a zásad účtovania</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sz w:val="20"/>
          <w:szCs w:val="20"/>
        </w:rPr>
        <w:t>Účtovné metódy a všeobecné účtovné zásady spoločnosť aplikovala konzistentne s predchádzajúcim účtovným obdobím.</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rPr>
        <w:t xml:space="preserve">(3) Informácia o ocenení majetku a záväzkov </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120" w:line="100" w:lineRule="atLeast"/>
        <w:jc w:val="both"/>
        <w:rPr>
          <w:rFonts w:ascii="Calibri" w:hAnsi="Calibri" w:cs="Calibri"/>
          <w:b/>
          <w:bCs/>
          <w:color w:val="000000"/>
        </w:rPr>
      </w:pP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 Dlhodobý nehmotný a dlhodobý hmotný majetok</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Dlhodobý majetok nakupovaný sa oceňuje obstarávacou cenou, ktorá zahrňuje cenu, za ktorú sa majetok obstaral a náklady súvisiace s obstaraním (clo, prepravu, montáž, poistné a pod.).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Dlhodobý hmotný majetok sa odpisuje podľa odpisového plánu, ktorý bol zostavený na základe predpokladanej doby jeho používania zodpovedajúcej spotrebe budúcich ekonomických úžitkov z majetku. Odpisovať sa začína v mesiaci uvedenia  majetku do používania. Drobný dlhodobý hmotný majetok, ktorého obstarávacia cena (resp. vlastné náklady) je 1 700 EUR a nižšia, sa odpisuje jednorazovo pri uvedení do používania - účtuje sa na účet 501.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Predpokladaná doba používania, metóda odpisovania a odpisová sadzba sú uvedené v nasledujúcej tabuľke:</w:t>
      </w:r>
    </w:p>
    <w:tbl>
      <w:tblPr>
        <w:tblW w:w="0" w:type="auto"/>
        <w:tblInd w:w="98" w:type="dxa"/>
        <w:tblLayout w:type="fixed"/>
        <w:tblLook w:val="0000" w:firstRow="0" w:lastRow="0" w:firstColumn="0" w:lastColumn="0" w:noHBand="0" w:noVBand="0"/>
      </w:tblPr>
      <w:tblGrid>
        <w:gridCol w:w="4212"/>
        <w:gridCol w:w="1010"/>
        <w:gridCol w:w="2103"/>
        <w:gridCol w:w="2276"/>
      </w:tblGrid>
      <w:tr w:rsidR="00BF5D47">
        <w:tblPrEx>
          <w:tblCellMar>
            <w:top w:w="0" w:type="dxa"/>
            <w:bottom w:w="0" w:type="dxa"/>
          </w:tblCellMar>
        </w:tblPrEx>
        <w:trPr>
          <w:trHeight w:val="1"/>
        </w:trPr>
        <w:tc>
          <w:tcPr>
            <w:tcW w:w="4212"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0"/>
                <w:sz w:val="20"/>
                <w:szCs w:val="20"/>
              </w:rPr>
              <w:t>Dlhodobý hmotný a nehmotný</w:t>
            </w:r>
          </w:p>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b/>
                <w:bCs/>
                <w:color w:val="000000"/>
                <w:sz w:val="20"/>
                <w:szCs w:val="20"/>
              </w:rPr>
              <w:t>odpisovaný majetok</w:t>
            </w:r>
          </w:p>
        </w:tc>
        <w:tc>
          <w:tcPr>
            <w:tcW w:w="101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0"/>
                <w:sz w:val="20"/>
                <w:szCs w:val="20"/>
              </w:rPr>
              <w:t>číslo</w:t>
            </w:r>
          </w:p>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b/>
                <w:bCs/>
                <w:color w:val="000000"/>
                <w:sz w:val="20"/>
                <w:szCs w:val="20"/>
              </w:rPr>
              <w:t>účtu</w:t>
            </w:r>
          </w:p>
        </w:tc>
        <w:tc>
          <w:tcPr>
            <w:tcW w:w="2103"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0"/>
                <w:sz w:val="20"/>
                <w:szCs w:val="20"/>
              </w:rPr>
              <w:t>doba odpisovania</w:t>
            </w:r>
          </w:p>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b/>
                <w:bCs/>
                <w:color w:val="000000"/>
                <w:sz w:val="20"/>
                <w:szCs w:val="20"/>
              </w:rPr>
              <w:t>(počet rokov)</w:t>
            </w:r>
          </w:p>
        </w:tc>
        <w:tc>
          <w:tcPr>
            <w:tcW w:w="2276"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0"/>
                <w:sz w:val="20"/>
                <w:szCs w:val="20"/>
              </w:rPr>
              <w:t xml:space="preserve">odpisová skupina </w:t>
            </w:r>
          </w:p>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b/>
                <w:bCs/>
                <w:color w:val="000000"/>
                <w:sz w:val="20"/>
                <w:szCs w:val="20"/>
              </w:rPr>
              <w:t>-sadzba v %</w:t>
            </w:r>
          </w:p>
        </w:tc>
      </w:tr>
      <w:tr w:rsidR="00BF5D47">
        <w:tblPrEx>
          <w:tblCellMar>
            <w:top w:w="0" w:type="dxa"/>
            <w:bottom w:w="0" w:type="dxa"/>
          </w:tblCellMar>
        </w:tblPrEx>
        <w:trPr>
          <w:trHeight w:val="1"/>
        </w:trPr>
        <w:tc>
          <w:tcPr>
            <w:tcW w:w="4212"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both"/>
              <w:rPr>
                <w:rFonts w:ascii="Calibri" w:hAnsi="Calibri" w:cs="Calibri"/>
              </w:rPr>
            </w:pPr>
            <w:r>
              <w:rPr>
                <w:rFonts w:ascii="Calibri" w:hAnsi="Calibri" w:cs="Calibri"/>
                <w:color w:val="000000"/>
                <w:sz w:val="20"/>
                <w:szCs w:val="20"/>
              </w:rPr>
              <w:t xml:space="preserve">Stavby </w:t>
            </w:r>
          </w:p>
        </w:tc>
        <w:tc>
          <w:tcPr>
            <w:tcW w:w="101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021</w:t>
            </w:r>
          </w:p>
        </w:tc>
        <w:tc>
          <w:tcPr>
            <w:tcW w:w="2103"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20</w:t>
            </w:r>
          </w:p>
        </w:tc>
        <w:tc>
          <w:tcPr>
            <w:tcW w:w="2276"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5 %</w:t>
            </w:r>
          </w:p>
        </w:tc>
      </w:tr>
      <w:tr w:rsidR="00BF5D47">
        <w:tblPrEx>
          <w:tblCellMar>
            <w:top w:w="0" w:type="dxa"/>
            <w:bottom w:w="0" w:type="dxa"/>
          </w:tblCellMar>
        </w:tblPrEx>
        <w:trPr>
          <w:trHeight w:val="1"/>
        </w:trPr>
        <w:tc>
          <w:tcPr>
            <w:tcW w:w="4212"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both"/>
              <w:rPr>
                <w:rFonts w:ascii="Calibri" w:hAnsi="Calibri" w:cs="Calibri"/>
              </w:rPr>
            </w:pPr>
            <w:r>
              <w:rPr>
                <w:rFonts w:ascii="Calibri" w:hAnsi="Calibri" w:cs="Calibri"/>
                <w:color w:val="000000"/>
                <w:sz w:val="20"/>
                <w:szCs w:val="20"/>
              </w:rPr>
              <w:t>Dopravné prostriedky</w:t>
            </w:r>
          </w:p>
        </w:tc>
        <w:tc>
          <w:tcPr>
            <w:tcW w:w="101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022</w:t>
            </w:r>
          </w:p>
        </w:tc>
        <w:tc>
          <w:tcPr>
            <w:tcW w:w="2103"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4</w:t>
            </w:r>
          </w:p>
        </w:tc>
        <w:tc>
          <w:tcPr>
            <w:tcW w:w="2276"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25 %</w:t>
            </w:r>
          </w:p>
        </w:tc>
      </w:tr>
      <w:tr w:rsidR="00BF5D47">
        <w:tblPrEx>
          <w:tblCellMar>
            <w:top w:w="0" w:type="dxa"/>
            <w:bottom w:w="0" w:type="dxa"/>
          </w:tblCellMar>
        </w:tblPrEx>
        <w:trPr>
          <w:trHeight w:val="1"/>
        </w:trPr>
        <w:tc>
          <w:tcPr>
            <w:tcW w:w="4212"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both"/>
              <w:rPr>
                <w:rFonts w:ascii="Calibri" w:hAnsi="Calibri" w:cs="Calibri"/>
              </w:rPr>
            </w:pPr>
            <w:r>
              <w:rPr>
                <w:rFonts w:ascii="Calibri" w:hAnsi="Calibri" w:cs="Calibri"/>
                <w:color w:val="000000"/>
                <w:sz w:val="20"/>
                <w:szCs w:val="20"/>
              </w:rPr>
              <w:t>Stavebné stroje</w:t>
            </w:r>
          </w:p>
        </w:tc>
        <w:tc>
          <w:tcPr>
            <w:tcW w:w="101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022.A</w:t>
            </w:r>
          </w:p>
        </w:tc>
        <w:tc>
          <w:tcPr>
            <w:tcW w:w="2103"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6</w:t>
            </w:r>
          </w:p>
        </w:tc>
        <w:tc>
          <w:tcPr>
            <w:tcW w:w="2276"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16,67 %</w:t>
            </w:r>
          </w:p>
        </w:tc>
      </w:tr>
      <w:tr w:rsidR="00BF5D47">
        <w:tblPrEx>
          <w:tblCellMar>
            <w:top w:w="0" w:type="dxa"/>
            <w:bottom w:w="0" w:type="dxa"/>
          </w:tblCellMar>
        </w:tblPrEx>
        <w:trPr>
          <w:trHeight w:val="1"/>
        </w:trPr>
        <w:tc>
          <w:tcPr>
            <w:tcW w:w="4212"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both"/>
              <w:rPr>
                <w:rFonts w:ascii="Calibri" w:hAnsi="Calibri" w:cs="Calibri"/>
                <w:color w:val="000000"/>
                <w:sz w:val="20"/>
                <w:szCs w:val="20"/>
              </w:rPr>
            </w:pPr>
            <w:r>
              <w:rPr>
                <w:rFonts w:ascii="Calibri" w:hAnsi="Calibri" w:cs="Calibri"/>
                <w:color w:val="000000"/>
                <w:sz w:val="20"/>
                <w:szCs w:val="20"/>
              </w:rPr>
              <w:t>Návesy</w:t>
            </w:r>
          </w:p>
        </w:tc>
        <w:tc>
          <w:tcPr>
            <w:tcW w:w="1010"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color w:val="000000"/>
                <w:sz w:val="20"/>
                <w:szCs w:val="20"/>
              </w:rPr>
            </w:pPr>
            <w:r>
              <w:rPr>
                <w:rFonts w:ascii="Calibri" w:hAnsi="Calibri" w:cs="Calibri"/>
                <w:color w:val="000000"/>
                <w:sz w:val="20"/>
                <w:szCs w:val="20"/>
              </w:rPr>
              <w:t>022.A</w:t>
            </w:r>
          </w:p>
        </w:tc>
        <w:tc>
          <w:tcPr>
            <w:tcW w:w="2103"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color w:val="000000"/>
                <w:sz w:val="20"/>
                <w:szCs w:val="20"/>
              </w:rPr>
            </w:pPr>
            <w:r>
              <w:rPr>
                <w:rFonts w:ascii="Calibri" w:hAnsi="Calibri" w:cs="Calibri"/>
                <w:color w:val="000000"/>
                <w:sz w:val="20"/>
                <w:szCs w:val="20"/>
              </w:rPr>
              <w:t>6</w:t>
            </w:r>
          </w:p>
        </w:tc>
        <w:tc>
          <w:tcPr>
            <w:tcW w:w="2276" w:type="dxa"/>
            <w:tcBorders>
              <w:top w:val="single" w:sz="2" w:space="0" w:color="00000A"/>
              <w:left w:val="single" w:sz="2" w:space="0" w:color="00000A"/>
              <w:bottom w:val="single" w:sz="2" w:space="0" w:color="00000A"/>
              <w:right w:val="single" w:sz="2" w:space="0" w:color="00000A"/>
            </w:tcBorders>
            <w:shd w:val="clear" w:color="auto" w:fill="FFFFFF"/>
          </w:tcPr>
          <w:p w:rsidR="00BF5D47" w:rsidRDefault="00BF5D47">
            <w:pPr>
              <w:widowControl w:val="0"/>
              <w:suppressAutoHyphens/>
              <w:autoSpaceDE w:val="0"/>
              <w:autoSpaceDN w:val="0"/>
              <w:adjustRightInd w:val="0"/>
              <w:spacing w:after="0" w:line="100" w:lineRule="atLeast"/>
              <w:jc w:val="center"/>
              <w:rPr>
                <w:rFonts w:ascii="Calibri" w:hAnsi="Calibri" w:cs="Calibri"/>
                <w:color w:val="000000"/>
                <w:sz w:val="20"/>
                <w:szCs w:val="20"/>
              </w:rPr>
            </w:pPr>
            <w:r>
              <w:rPr>
                <w:rFonts w:ascii="Calibri" w:hAnsi="Calibri" w:cs="Calibri"/>
                <w:color w:val="000000"/>
                <w:sz w:val="20"/>
                <w:szCs w:val="20"/>
              </w:rPr>
              <w:t>16,67 %</w:t>
            </w:r>
          </w:p>
        </w:tc>
      </w:tr>
    </w:tbl>
    <w:p w:rsidR="00BF5D47" w:rsidRDefault="00BF5D47">
      <w:pPr>
        <w:widowControl w:val="0"/>
        <w:suppressAutoHyphens/>
        <w:autoSpaceDE w:val="0"/>
        <w:autoSpaceDN w:val="0"/>
        <w:adjustRightInd w:val="0"/>
        <w:spacing w:after="120" w:line="100" w:lineRule="atLeast"/>
        <w:jc w:val="both"/>
        <w:rPr>
          <w:rFonts w:ascii="Times New Roman" w:hAnsi="Times New Roman"/>
          <w:b/>
          <w:bCs/>
          <w:color w:val="000000"/>
          <w:sz w:val="24"/>
          <w:szCs w:val="24"/>
        </w:rPr>
      </w:pP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2. Zásoby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V prípade prechodného zníženia úžitkovej hodnoty zásob sa tvorí opravná položka.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3. Pohľadávky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-pohľadávok,  u ktorých sa dá predpokladať, že dlžník pohľadávku nevyrovná čiastočne alebo úplne,</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-pri sporných pohľadávkach, t.j. k pohľadávkam voči dlžníkom, s ktorými vedie spor o uznanie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Spoločnosť tvorí opravné položky nasledovne:</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365 dní, sa zahrnie do výdavkov do výšky 20% menovitej hodnoty pohľadávky alebo jej nesplatenej časti bez príslušenstva v zdaňovacom období v ktorom uplynula táto doba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720 dní, sa zahrnie do výdavkov do výšky 50% menovitej hodnoty pohľadávky alebo jej nesplatenej časti bez príslušenstva v zdaňovacom období v ktorom uplynula táto doba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1080 dní, sa zahrnie do výdavkov do výšky 100% menovitej hodnoty pohľadávky alebo jej nesplatenej časti bez príslušenstva v zdaňovacom období v ktorom uplynula táto doba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4. Finančné účty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Finančné účty tvorí peňažná hotovosť, zostatky na bankových účtoch a ceniny, pričom riziko zmeny hodnoty tohto majetku je zanedbateľne nízke.</w:t>
      </w:r>
    </w:p>
    <w:p w:rsidR="00BF5D47" w:rsidRDefault="00BF5D47">
      <w:pPr>
        <w:widowControl w:val="0"/>
        <w:suppressAutoHyphens/>
        <w:autoSpaceDE w:val="0"/>
        <w:autoSpaceDN w:val="0"/>
        <w:adjustRightInd w:val="0"/>
        <w:spacing w:after="120" w:line="100" w:lineRule="atLeast"/>
        <w:jc w:val="both"/>
        <w:rPr>
          <w:rFonts w:ascii="Calibri" w:hAnsi="Calibri" w:cs="Calibri"/>
          <w:b/>
          <w:bCs/>
          <w:color w:val="000000"/>
        </w:rPr>
      </w:pP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5. Náklady budúcich období a príjmy budúcich období</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Náklady budúcich období a príjmy budúcich období sú vykázané vo výške, ktorá je potrebná na dodržanie zásady vecnej a časovej súvislosti s účtovným obdobím.</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6. Opravné položky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 xml:space="preserve"> 7. Rezervy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Rezerva na bonusy, rabaty, skontá a vrátenie kúpnej ceny pri reklamácii sa tvorí ako zníženie pôvodne dosiahnutých výnosov so súvzťažným zápisom v prospech účtu rezerv.</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Spoločnosť tvorila zákonné rezervy na zostatkové dovolenky a odvody z týchto súm  a z ostatných rezerv vytvorila rezervu na  overenie účtovnej závierky a výročnej správy. Spoločnosť predpokladá, že rezervy použije v roku 2019.</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8.  Záväzky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Záväzky pri ich vzniku sa oceňujú menovitou hodnotou. Záväzky pri ich prevzatí sa oceňujú obstarávacou cenou.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9. Zamestnanecké požitky</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Zamestnanec má na základe Zákonníka práce pri odchode do starobného dôchodku nárok na odmenu vo výške jednej priemernej mesačnej mzdy.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10. Splatná daň z príjmu</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11. Odložená daň z príjmu</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Odložená daň z príjmu vyplýva z:</w:t>
      </w:r>
    </w:p>
    <w:p w:rsidR="00BF5D47" w:rsidRDefault="00BF5D47">
      <w:pPr>
        <w:widowControl w:val="0"/>
        <w:suppressAutoHyphens/>
        <w:autoSpaceDE w:val="0"/>
        <w:autoSpaceDN w:val="0"/>
        <w:adjustRightInd w:val="0"/>
        <w:spacing w:after="120" w:line="100" w:lineRule="atLeast"/>
        <w:rPr>
          <w:rFonts w:ascii="Arial" w:hAnsi="Arial" w:cs="Arial"/>
          <w:color w:val="000000"/>
          <w:sz w:val="24"/>
          <w:szCs w:val="24"/>
        </w:rPr>
      </w:pPr>
      <w:r>
        <w:rPr>
          <w:rFonts w:ascii="Calibri" w:hAnsi="Calibri" w:cs="Calibri"/>
          <w:color w:val="000000"/>
          <w:sz w:val="20"/>
          <w:szCs w:val="20"/>
        </w:rPr>
        <w:t>a) rozdielov medzi účtovnou hodnotou majetku a účtovnou hodnotou záväzkov vykázanou v súvahe a ich daňovou základňou,</w:t>
      </w:r>
    </w:p>
    <w:p w:rsidR="00BF5D47" w:rsidRDefault="00BF5D47">
      <w:pPr>
        <w:widowControl w:val="0"/>
        <w:suppressAutoHyphens/>
        <w:autoSpaceDE w:val="0"/>
        <w:autoSpaceDN w:val="0"/>
        <w:adjustRightInd w:val="0"/>
        <w:spacing w:after="120" w:line="100" w:lineRule="atLeast"/>
        <w:rPr>
          <w:rFonts w:ascii="Arial" w:hAnsi="Arial" w:cs="Arial"/>
          <w:color w:val="000000"/>
          <w:sz w:val="24"/>
          <w:szCs w:val="24"/>
        </w:rPr>
      </w:pPr>
      <w:r>
        <w:rPr>
          <w:rFonts w:ascii="Calibri" w:hAnsi="Calibri" w:cs="Calibri"/>
          <w:color w:val="000000"/>
          <w:sz w:val="20"/>
          <w:szCs w:val="20"/>
        </w:rPr>
        <w:t>b) možnosti umorovať daňovú stratu v budúcnosti, pod ktorou sa rozumie možnosť odpočítať daňovú stratu od základu dane v budúcnosti,</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lastRenderedPageBreak/>
        <w:t>c) možnosti previesť nevyužité daňové odpočty a iné daňové nároky do budúcich období.</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Odložená daňová pohľadávka sa účtuje iba do takej výšky, do akej je pravdepodobné, že bude možné dočasné rozdiely vyrovnať voči budúcemu základu dane.</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Pri výpočte odloženej dane sa použije sadzba dane z príjmov, o ktorej sa predpokladá, že bude platiť v čase vyrovnania odloženej dane.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12. Výdavky budúcich období a výnosy budúcich období</w:t>
      </w:r>
    </w:p>
    <w:p w:rsidR="00BF5D47" w:rsidRDefault="00BF5D47">
      <w:pPr>
        <w:widowControl w:val="0"/>
        <w:suppressAutoHyphens/>
        <w:autoSpaceDE w:val="0"/>
        <w:autoSpaceDN w:val="0"/>
        <w:adjustRightInd w:val="0"/>
        <w:spacing w:after="120" w:line="100" w:lineRule="atLeast"/>
        <w:jc w:val="both"/>
        <w:rPr>
          <w:rFonts w:ascii="Calibri" w:hAnsi="Calibri" w:cs="Calibri"/>
          <w:color w:val="000000"/>
          <w:sz w:val="20"/>
          <w:szCs w:val="20"/>
        </w:rPr>
      </w:pPr>
      <w:r>
        <w:rPr>
          <w:rFonts w:ascii="Calibri" w:hAnsi="Calibri" w:cs="Calibri"/>
          <w:color w:val="000000"/>
          <w:sz w:val="20"/>
          <w:szCs w:val="20"/>
        </w:rPr>
        <w:t>Výdavky budúcich období a výnosy budúcich období sú vykázané vo výške, ktorá je potrebná na dodržanie zásady vecnej a časovej súvislosti s účtovným obdobím.</w:t>
      </w:r>
    </w:p>
    <w:p w:rsidR="00BF5D47" w:rsidRDefault="00BF5D47">
      <w:pPr>
        <w:widowControl w:val="0"/>
        <w:suppressAutoHyphens/>
        <w:autoSpaceDE w:val="0"/>
        <w:autoSpaceDN w:val="0"/>
        <w:adjustRightInd w:val="0"/>
        <w:spacing w:after="120" w:line="100" w:lineRule="atLeast"/>
        <w:jc w:val="both"/>
        <w:rPr>
          <w:rFonts w:ascii="Calibri" w:hAnsi="Calibri" w:cs="Calibri"/>
          <w:b/>
          <w:bCs/>
          <w:color w:val="000000"/>
          <w:sz w:val="21"/>
          <w:szCs w:val="21"/>
        </w:rPr>
      </w:pPr>
      <w:r>
        <w:rPr>
          <w:rFonts w:ascii="Calibri" w:hAnsi="Calibri" w:cs="Calibri"/>
          <w:b/>
          <w:bCs/>
          <w:color w:val="000000"/>
          <w:sz w:val="21"/>
          <w:szCs w:val="21"/>
        </w:rPr>
        <w:t>13. Prenájom (leasing)</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1"/>
          <w:szCs w:val="21"/>
        </w:rPr>
      </w:pPr>
      <w:r>
        <w:rPr>
          <w:rFonts w:ascii="Calibri" w:hAnsi="Calibri" w:cs="Calibri"/>
          <w:b/>
          <w:bCs/>
          <w:color w:val="000000"/>
          <w:sz w:val="21"/>
          <w:szCs w:val="21"/>
        </w:rPr>
        <w:t xml:space="preserve"> (Spoločnosť je nájomca)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0"/>
          <w:szCs w:val="20"/>
        </w:rPr>
      </w:pPr>
      <w:r>
        <w:rPr>
          <w:rFonts w:ascii="Calibri" w:hAnsi="Calibri" w:cs="Calibri"/>
          <w:color w:val="000000"/>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rsidR="00BF5D47" w:rsidRDefault="00BF5D47">
      <w:pPr>
        <w:widowControl w:val="0"/>
        <w:suppressAutoHyphens/>
        <w:autoSpaceDE w:val="0"/>
        <w:autoSpaceDN w:val="0"/>
        <w:adjustRightInd w:val="0"/>
        <w:spacing w:after="120" w:line="100" w:lineRule="atLeast"/>
        <w:jc w:val="both"/>
        <w:rPr>
          <w:rFonts w:ascii="Calibri" w:hAnsi="Calibri" w:cs="Calibri"/>
          <w:color w:val="000000"/>
          <w:sz w:val="20"/>
          <w:szCs w:val="20"/>
        </w:rPr>
      </w:pPr>
      <w:r>
        <w:rPr>
          <w:rFonts w:ascii="Calibri" w:hAnsi="Calibri" w:cs="Calibri"/>
          <w:color w:val="000000"/>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14. Cudzia mena</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b/>
          <w:bCs/>
          <w:color w:val="000000"/>
        </w:rPr>
        <w:t>15. Vykazovanie výnosov</w:t>
      </w:r>
    </w:p>
    <w:p w:rsidR="00BF5D47" w:rsidRDefault="00BF5D47">
      <w:pPr>
        <w:widowControl w:val="0"/>
        <w:suppressAutoHyphens/>
        <w:autoSpaceDE w:val="0"/>
        <w:autoSpaceDN w:val="0"/>
        <w:adjustRightInd w:val="0"/>
        <w:spacing w:after="120" w:line="100" w:lineRule="atLeast"/>
        <w:jc w:val="both"/>
        <w:rPr>
          <w:rFonts w:ascii="Calibri" w:hAnsi="Calibri" w:cs="Calibri"/>
          <w:color w:val="000000"/>
          <w:sz w:val="20"/>
          <w:szCs w:val="20"/>
        </w:rPr>
      </w:pPr>
      <w:r>
        <w:rPr>
          <w:rFonts w:ascii="Calibri" w:hAnsi="Calibri" w:cs="Calibri"/>
          <w:color w:val="000000"/>
          <w:sz w:val="20"/>
          <w:szCs w:val="20"/>
        </w:rPr>
        <w:t>Výnosy z predaja tovarov sa vykazujú v momente prenosu rizika a vlastníctva výrobku, obvykle po dodávke. Ak sa Spoločnosť zaviaže dopraviť výrobky na určité miesto, výnosy sa vykazujú v momente doručenia tovaru do cieľového miesta.</w:t>
      </w:r>
    </w:p>
    <w:p w:rsidR="00BF5D47" w:rsidRDefault="00BF5D47">
      <w:pPr>
        <w:widowControl w:val="0"/>
        <w:suppressAutoHyphens/>
        <w:autoSpaceDE w:val="0"/>
        <w:autoSpaceDN w:val="0"/>
        <w:adjustRightInd w:val="0"/>
        <w:spacing w:after="120" w:line="100" w:lineRule="atLeast"/>
        <w:jc w:val="both"/>
        <w:rPr>
          <w:rFonts w:ascii="Calibri" w:hAnsi="Calibri" w:cs="Calibri"/>
          <w:color w:val="000000"/>
          <w:sz w:val="20"/>
          <w:szCs w:val="20"/>
        </w:rPr>
      </w:pPr>
      <w:r>
        <w:rPr>
          <w:rFonts w:ascii="Calibri" w:hAnsi="Calibri" w:cs="Calibri"/>
          <w:color w:val="000000"/>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BF5D47" w:rsidRDefault="00BF5D47">
      <w:pPr>
        <w:widowControl w:val="0"/>
        <w:suppressAutoHyphens/>
        <w:autoSpaceDE w:val="0"/>
        <w:autoSpaceDN w:val="0"/>
        <w:adjustRightInd w:val="0"/>
        <w:spacing w:after="120" w:line="100" w:lineRule="atLeast"/>
        <w:jc w:val="both"/>
        <w:rPr>
          <w:rFonts w:ascii="Calibri" w:hAnsi="Calibri" w:cs="Calibri"/>
          <w:color w:val="000000"/>
          <w:sz w:val="20"/>
          <w:szCs w:val="20"/>
        </w:rPr>
      </w:pPr>
      <w:r>
        <w:rPr>
          <w:rFonts w:ascii="Calibri" w:hAnsi="Calibri" w:cs="Calibri"/>
          <w:color w:val="000000"/>
          <w:sz w:val="20"/>
          <w:szCs w:val="20"/>
        </w:rPr>
        <w:t xml:space="preserve">Výnosy sa vykazujú po odpočítaní dane z pridanej hodnoty, zliav a zrážok (rabaty, bonusy, skontá, dobropisy a pod.). Výnosové úroky sa účtujú rovnomerne v účtovných obdobiach, ktorých sa vecne a časovo týkajú. </w:t>
      </w:r>
    </w:p>
    <w:p w:rsidR="00BF5D47" w:rsidRDefault="00BF5D47">
      <w:pPr>
        <w:widowControl w:val="0"/>
        <w:suppressAutoHyphens/>
        <w:autoSpaceDE w:val="0"/>
        <w:autoSpaceDN w:val="0"/>
        <w:adjustRightInd w:val="0"/>
        <w:spacing w:after="120" w:line="100" w:lineRule="atLeast"/>
        <w:jc w:val="both"/>
        <w:rPr>
          <w:rFonts w:ascii="Arial" w:hAnsi="Arial" w:cs="Arial"/>
          <w:color w:val="000000"/>
          <w:sz w:val="24"/>
          <w:szCs w:val="24"/>
        </w:rPr>
      </w:pPr>
      <w:r>
        <w:rPr>
          <w:rFonts w:ascii="Calibri" w:hAnsi="Calibri" w:cs="Calibri"/>
          <w:color w:val="000000"/>
          <w:sz w:val="20"/>
          <w:szCs w:val="20"/>
        </w:rPr>
        <w:t>Výnosy spoločnosti tvoria najmä tržby z poskytovania vnútroštátnej nákladnej cestnej dopravy a medzinárodnej cestnej nákladnej dopravy a tržby z predaja motorových vozidiel.</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IV. Informácie, ktoré vysvetľujú a dopĺňajú súvahu a výkaz ziskov a strát</w:t>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b/>
          <w:bCs/>
          <w:color w:val="00000A"/>
        </w:rPr>
        <w:t xml:space="preserve">(1) </w:t>
      </w:r>
      <w:r>
        <w:rPr>
          <w:rFonts w:ascii="Calibri" w:hAnsi="Calibri" w:cs="Calibri"/>
          <w:color w:val="00000A"/>
        </w:rPr>
        <w:t>Účtovná jednotka neúčtovala o goodwille v bežnom účtovnom období ani v minulých účtovných obdobiach.</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Calibri" w:hAnsi="Calibri" w:cs="Calibri"/>
          <w:b/>
          <w:bCs/>
          <w:color w:val="00000A"/>
        </w:rPr>
      </w:pPr>
      <w:r>
        <w:rPr>
          <w:rFonts w:ascii="Calibri" w:hAnsi="Calibri" w:cs="Calibri"/>
          <w:b/>
          <w:bCs/>
          <w:color w:val="00000A"/>
        </w:rPr>
        <w:t>(2) Informácie o významných položkách majetku a záväzkoch zabezpečených derivátmi</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ind w:left="-142" w:right="-468" w:firstLine="142"/>
        <w:rPr>
          <w:rFonts w:ascii="Arial" w:hAnsi="Arial" w:cs="Arial"/>
          <w:color w:val="000000"/>
          <w:sz w:val="24"/>
          <w:szCs w:val="24"/>
        </w:rPr>
      </w:pPr>
      <w:r>
        <w:rPr>
          <w:rFonts w:ascii="Calibri" w:hAnsi="Calibri" w:cs="Calibri"/>
          <w:color w:val="000000"/>
          <w:sz w:val="20"/>
          <w:szCs w:val="20"/>
        </w:rPr>
        <w:t xml:space="preserve">V účtovnom období 2019 účtovná jednotka nevykonala žiadne derivátové operácie. </w:t>
      </w:r>
    </w:p>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r>
        <w:rPr>
          <w:rFonts w:ascii="Calibri" w:hAnsi="Calibri" w:cs="Calibri"/>
          <w:b/>
          <w:bCs/>
          <w:color w:val="00000A"/>
        </w:rPr>
        <w:t xml:space="preserve"> (3) Informácie o záväzkoch</w:t>
      </w:r>
    </w:p>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14" w:line="100" w:lineRule="atLeast"/>
        <w:rPr>
          <w:rFonts w:ascii="Calibri" w:hAnsi="Calibri" w:cs="Calibri"/>
          <w:b/>
          <w:bCs/>
          <w:color w:val="00000A"/>
        </w:rPr>
      </w:pPr>
      <w:r>
        <w:rPr>
          <w:rFonts w:ascii="Calibri" w:hAnsi="Calibri" w:cs="Calibri"/>
          <w:b/>
          <w:bCs/>
          <w:color w:val="00000A"/>
        </w:rPr>
        <w:t xml:space="preserve">a) Informácie o štruktúre záväzkov podľa zostatkovej doby splatnosti </w:t>
      </w:r>
    </w:p>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p>
    <w:tbl>
      <w:tblPr>
        <w:tblW w:w="0" w:type="auto"/>
        <w:jc w:val="center"/>
        <w:tblLayout w:type="fixed"/>
        <w:tblLook w:val="0000" w:firstRow="0" w:lastRow="0" w:firstColumn="0" w:lastColumn="0" w:noHBand="0" w:noVBand="0"/>
      </w:tblPr>
      <w:tblGrid>
        <w:gridCol w:w="3766"/>
        <w:gridCol w:w="3072"/>
        <w:gridCol w:w="2758"/>
      </w:tblGrid>
      <w:tr w:rsidR="00BF5D47">
        <w:tblPrEx>
          <w:tblCellMar>
            <w:top w:w="0" w:type="dxa"/>
            <w:bottom w:w="0" w:type="dxa"/>
          </w:tblCellMar>
        </w:tblPrEx>
        <w:trPr>
          <w:trHeight w:val="941"/>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Názov položky</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Bežné účtovné obdobie</w:t>
            </w:r>
          </w:p>
        </w:tc>
        <w:tc>
          <w:tcPr>
            <w:tcW w:w="275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center"/>
              <w:rPr>
                <w:rFonts w:ascii="Calibri" w:hAnsi="Calibri" w:cs="Calibri"/>
              </w:rPr>
            </w:pPr>
            <w:r>
              <w:rPr>
                <w:rFonts w:ascii="Calibri" w:hAnsi="Calibri" w:cs="Calibri"/>
                <w:color w:val="000000"/>
                <w:sz w:val="20"/>
                <w:szCs w:val="20"/>
              </w:rPr>
              <w:t>Bezprostredne predchádzajúce účtovné obdobie</w:t>
            </w:r>
          </w:p>
        </w:tc>
      </w:tr>
      <w:tr w:rsidR="00BF5D47">
        <w:tblPrEx>
          <w:tblCellMar>
            <w:top w:w="0" w:type="dxa"/>
            <w:bottom w:w="0" w:type="dxa"/>
          </w:tblCellMar>
        </w:tblPrEx>
        <w:trPr>
          <w:trHeight w:val="407"/>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b/>
                <w:bCs/>
              </w:rPr>
            </w:pPr>
            <w:r>
              <w:rPr>
                <w:rFonts w:ascii="Calibri" w:hAnsi="Calibri" w:cs="Calibri"/>
                <w:b/>
                <w:bCs/>
                <w:color w:val="000000"/>
                <w:sz w:val="20"/>
                <w:szCs w:val="20"/>
              </w:rPr>
              <w:t>Dlhodobé záväzky spolu</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b/>
                <w:bCs/>
              </w:rPr>
            </w:pPr>
            <w:r>
              <w:rPr>
                <w:rFonts w:ascii="Calibri" w:hAnsi="Calibri" w:cs="Calibri"/>
                <w:b/>
                <w:bCs/>
                <w:color w:val="000000"/>
                <w:sz w:val="20"/>
                <w:szCs w:val="20"/>
              </w:rPr>
              <w:t>253104</w:t>
            </w:r>
          </w:p>
        </w:tc>
        <w:tc>
          <w:tcPr>
            <w:tcW w:w="275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b/>
                <w:bCs/>
              </w:rPr>
            </w:pPr>
            <w:r>
              <w:rPr>
                <w:rFonts w:ascii="Calibri" w:hAnsi="Calibri" w:cs="Calibri"/>
                <w:b/>
                <w:bCs/>
                <w:color w:val="000000"/>
                <w:sz w:val="20"/>
                <w:szCs w:val="20"/>
              </w:rPr>
              <w:t>395518</w:t>
            </w:r>
          </w:p>
        </w:tc>
      </w:tr>
      <w:tr w:rsidR="00BF5D47">
        <w:tblPrEx>
          <w:tblCellMar>
            <w:top w:w="0" w:type="dxa"/>
            <w:bottom w:w="0" w:type="dxa"/>
          </w:tblCellMar>
        </w:tblPrEx>
        <w:trPr>
          <w:trHeight w:val="580"/>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Záväzky so zostatkovou dobou splatnosti nad päť rokov</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p>
        </w:tc>
        <w:tc>
          <w:tcPr>
            <w:tcW w:w="275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p>
        </w:tc>
      </w:tr>
      <w:tr w:rsidR="00BF5D47">
        <w:tblPrEx>
          <w:tblCellMar>
            <w:top w:w="0" w:type="dxa"/>
            <w:bottom w:w="0" w:type="dxa"/>
          </w:tblCellMar>
        </w:tblPrEx>
        <w:trPr>
          <w:trHeight w:val="580"/>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Záväzky so zostatkovou dobou splatnosti jeden rok až päť rokov</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color w:val="000000"/>
                <w:sz w:val="20"/>
                <w:szCs w:val="20"/>
              </w:rPr>
              <w:t>253104</w:t>
            </w:r>
          </w:p>
        </w:tc>
        <w:tc>
          <w:tcPr>
            <w:tcW w:w="275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color w:val="000000"/>
                <w:sz w:val="20"/>
                <w:szCs w:val="20"/>
              </w:rPr>
            </w:pPr>
            <w:r>
              <w:rPr>
                <w:rFonts w:ascii="Calibri" w:hAnsi="Calibri" w:cs="Calibri"/>
                <w:color w:val="000000"/>
                <w:sz w:val="20"/>
                <w:szCs w:val="20"/>
              </w:rPr>
              <w:t>395518</w:t>
            </w:r>
          </w:p>
          <w:p w:rsidR="00BF5D47" w:rsidRDefault="00BF5D47">
            <w:pPr>
              <w:widowControl w:val="0"/>
              <w:suppressAutoHyphens/>
              <w:autoSpaceDE w:val="0"/>
              <w:autoSpaceDN w:val="0"/>
              <w:adjustRightInd w:val="0"/>
              <w:spacing w:after="0" w:line="100" w:lineRule="atLeast"/>
              <w:jc w:val="right"/>
              <w:rPr>
                <w:rFonts w:ascii="Calibri" w:hAnsi="Calibri" w:cs="Calibri"/>
              </w:rPr>
            </w:pPr>
          </w:p>
        </w:tc>
      </w:tr>
      <w:tr w:rsidR="00BF5D47">
        <w:tblPrEx>
          <w:tblCellMar>
            <w:top w:w="0" w:type="dxa"/>
            <w:bottom w:w="0" w:type="dxa"/>
          </w:tblCellMar>
        </w:tblPrEx>
        <w:trPr>
          <w:trHeight w:val="407"/>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b/>
                <w:bCs/>
                <w:color w:val="000000"/>
                <w:sz w:val="20"/>
                <w:szCs w:val="20"/>
              </w:rPr>
              <w:t>Krátkodobé záväzky spolu</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b/>
                <w:bCs/>
                <w:color w:val="000000"/>
                <w:sz w:val="20"/>
                <w:szCs w:val="20"/>
              </w:rPr>
              <w:t>1139455</w:t>
            </w:r>
          </w:p>
        </w:tc>
        <w:tc>
          <w:tcPr>
            <w:tcW w:w="2758"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b/>
                <w:bCs/>
                <w:color w:val="000000"/>
                <w:sz w:val="20"/>
                <w:szCs w:val="20"/>
              </w:rPr>
              <w:t>1154950</w:t>
            </w:r>
          </w:p>
        </w:tc>
      </w:tr>
      <w:tr w:rsidR="00BF5D47">
        <w:tblPrEx>
          <w:tblCellMar>
            <w:top w:w="0" w:type="dxa"/>
            <w:bottom w:w="0" w:type="dxa"/>
          </w:tblCellMar>
        </w:tblPrEx>
        <w:trPr>
          <w:trHeight w:val="580"/>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Záväzky so zostatkovou dobou splatnosti do jedného roka vrátane</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rPr>
              <w:t>865747</w:t>
            </w:r>
          </w:p>
        </w:tc>
        <w:tc>
          <w:tcPr>
            <w:tcW w:w="2758" w:type="dxa"/>
            <w:tcBorders>
              <w:top w:val="single" w:sz="2" w:space="0" w:color="00000A"/>
              <w:left w:val="single" w:sz="2" w:space="0" w:color="00000A"/>
              <w:bottom w:val="single" w:sz="2" w:space="0" w:color="00000A"/>
              <w:right w:val="single" w:sz="2" w:space="0" w:color="00000A"/>
            </w:tcBorders>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color w:val="000000"/>
                <w:sz w:val="20"/>
                <w:szCs w:val="20"/>
              </w:rPr>
              <w:t>472557</w:t>
            </w:r>
          </w:p>
        </w:tc>
      </w:tr>
      <w:tr w:rsidR="00BF5D47">
        <w:tblPrEx>
          <w:tblCellMar>
            <w:top w:w="0" w:type="dxa"/>
            <w:bottom w:w="0" w:type="dxa"/>
          </w:tblCellMar>
        </w:tblPrEx>
        <w:trPr>
          <w:trHeight w:val="407"/>
          <w:jc w:val="center"/>
        </w:trPr>
        <w:tc>
          <w:tcPr>
            <w:tcW w:w="3766"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rPr>
                <w:rFonts w:ascii="Calibri" w:hAnsi="Calibri" w:cs="Calibri"/>
              </w:rPr>
            </w:pPr>
            <w:r>
              <w:rPr>
                <w:rFonts w:ascii="Calibri" w:hAnsi="Calibri" w:cs="Calibri"/>
                <w:color w:val="000000"/>
                <w:sz w:val="20"/>
                <w:szCs w:val="20"/>
              </w:rPr>
              <w:t>Záväzky po lehote splatnosti</w:t>
            </w:r>
          </w:p>
        </w:tc>
        <w:tc>
          <w:tcPr>
            <w:tcW w:w="3072" w:type="dxa"/>
            <w:tcBorders>
              <w:top w:val="single" w:sz="2" w:space="0" w:color="00000A"/>
              <w:left w:val="single" w:sz="2" w:space="0" w:color="00000A"/>
              <w:bottom w:val="single" w:sz="2" w:space="0" w:color="00000A"/>
              <w:right w:val="single" w:sz="2" w:space="0" w:color="00000A"/>
            </w:tcBorders>
            <w:shd w:val="clear" w:color="auto" w:fill="FFFFFF"/>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color w:val="000000"/>
                <w:sz w:val="20"/>
                <w:szCs w:val="20"/>
              </w:rPr>
              <w:t>273708</w:t>
            </w:r>
          </w:p>
        </w:tc>
        <w:tc>
          <w:tcPr>
            <w:tcW w:w="2758" w:type="dxa"/>
            <w:tcBorders>
              <w:top w:val="single" w:sz="2" w:space="0" w:color="00000A"/>
              <w:left w:val="single" w:sz="2" w:space="0" w:color="00000A"/>
              <w:bottom w:val="single" w:sz="2" w:space="0" w:color="00000A"/>
              <w:right w:val="single" w:sz="2" w:space="0" w:color="00000A"/>
            </w:tcBorders>
            <w:vAlign w:val="center"/>
          </w:tcPr>
          <w:p w:rsidR="00BF5D47" w:rsidRDefault="00BF5D47">
            <w:pPr>
              <w:widowControl w:val="0"/>
              <w:suppressAutoHyphens/>
              <w:autoSpaceDE w:val="0"/>
              <w:autoSpaceDN w:val="0"/>
              <w:adjustRightInd w:val="0"/>
              <w:spacing w:after="0" w:line="100" w:lineRule="atLeast"/>
              <w:jc w:val="right"/>
              <w:rPr>
                <w:rFonts w:ascii="Calibri" w:hAnsi="Calibri" w:cs="Calibri"/>
              </w:rPr>
            </w:pPr>
            <w:r>
              <w:rPr>
                <w:rFonts w:ascii="Calibri" w:hAnsi="Calibri" w:cs="Calibri"/>
                <w:color w:val="000000"/>
                <w:sz w:val="20"/>
                <w:szCs w:val="20"/>
              </w:rPr>
              <w:t>682393</w:t>
            </w:r>
          </w:p>
        </w:tc>
      </w:tr>
    </w:tbl>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p>
    <w:p w:rsidR="00BF5D47" w:rsidRDefault="00BF5D47">
      <w:pPr>
        <w:widowControl w:val="0"/>
        <w:autoSpaceDE w:val="0"/>
        <w:autoSpaceDN w:val="0"/>
        <w:adjustRightInd w:val="0"/>
        <w:spacing w:after="14" w:line="240" w:lineRule="auto"/>
        <w:rPr>
          <w:rFonts w:ascii="Calibri" w:hAnsi="Calibri" w:cs="Calibri"/>
          <w:b/>
          <w:bCs/>
          <w:sz w:val="21"/>
          <w:szCs w:val="21"/>
        </w:rPr>
      </w:pPr>
      <w:r>
        <w:rPr>
          <w:rFonts w:ascii="Calibri" w:hAnsi="Calibri" w:cs="Calibri"/>
          <w:b/>
          <w:bCs/>
          <w:sz w:val="21"/>
          <w:szCs w:val="21"/>
        </w:rPr>
        <w:t>b) Prijaté úvery a pôžičky</w:t>
      </w:r>
    </w:p>
    <w:p w:rsidR="00BF5D47" w:rsidRDefault="00BF5D47">
      <w:pPr>
        <w:widowControl w:val="0"/>
        <w:autoSpaceDE w:val="0"/>
        <w:autoSpaceDN w:val="0"/>
        <w:adjustRightInd w:val="0"/>
        <w:spacing w:after="14" w:line="240" w:lineRule="auto"/>
        <w:jc w:val="both"/>
        <w:rPr>
          <w:rFonts w:ascii="Calibri" w:hAnsi="Calibri" w:cs="Calibri"/>
          <w:sz w:val="20"/>
          <w:szCs w:val="20"/>
        </w:rPr>
      </w:pPr>
      <w:r>
        <w:rPr>
          <w:rFonts w:ascii="Calibri" w:hAnsi="Calibri" w:cs="Calibri"/>
          <w:sz w:val="20"/>
          <w:szCs w:val="20"/>
        </w:rPr>
        <w:t>Spoločnosť má zazmluvnený úverový zdroj od banky Všeobecná úverová banka, a.s. vo forme kontokorentného úveru za účelom úhrady krátkodobých záväzkov vzniknutých pri bežnej prevádzke do výšky 400.000 EUR zo dňa 3. marca 2017. Úroková sadzba je stanovená ako súčet sadzby EURIBOR a marže vo výške 2,55% p.a. K 31. decembru 2019 Spoločnosť čerpala úver vo výške 548976 EUR. Splatnosť úveru je stanovená dodatkom do 3. marca 2020 a zazmluvnený úverový zdroj zdroj zvýšený na 600000 EUR</w:t>
      </w:r>
    </w:p>
    <w:p w:rsidR="00BF5D47" w:rsidRDefault="00BF5D47">
      <w:pPr>
        <w:widowControl w:val="0"/>
        <w:autoSpaceDE w:val="0"/>
        <w:autoSpaceDN w:val="0"/>
        <w:adjustRightInd w:val="0"/>
        <w:spacing w:after="14" w:line="240" w:lineRule="auto"/>
        <w:jc w:val="both"/>
        <w:rPr>
          <w:rFonts w:ascii="Calibri" w:hAnsi="Calibri" w:cs="Calibri"/>
          <w:color w:val="FF0000"/>
          <w:sz w:val="20"/>
          <w:szCs w:val="20"/>
          <w:highlight w:val="red"/>
        </w:rPr>
      </w:pPr>
    </w:p>
    <w:p w:rsidR="00BF5D47" w:rsidRDefault="00BF5D47">
      <w:pPr>
        <w:widowControl w:val="0"/>
        <w:autoSpaceDE w:val="0"/>
        <w:autoSpaceDN w:val="0"/>
        <w:adjustRightInd w:val="0"/>
        <w:spacing w:after="14" w:line="240" w:lineRule="auto"/>
        <w:jc w:val="both"/>
        <w:rPr>
          <w:rFonts w:ascii="Calibri" w:hAnsi="Calibri" w:cs="Calibri"/>
          <w:sz w:val="20"/>
          <w:szCs w:val="20"/>
        </w:rPr>
      </w:pPr>
      <w:r>
        <w:rPr>
          <w:rFonts w:ascii="Calibri" w:hAnsi="Calibri" w:cs="Calibri"/>
          <w:sz w:val="20"/>
          <w:szCs w:val="20"/>
        </w:rPr>
        <w:t>Zabezpečenie kontokorentného úveru za účelom úhrady krátkodobých záväzkov vzniknutých pri bežnej prevádzke je formou zriadenia záložného práva na nehnuteľný majetok až do výške 418.070 EUR. Zmena nenastala.</w:t>
      </w:r>
    </w:p>
    <w:p w:rsidR="00BF5D47" w:rsidRDefault="00BF5D47">
      <w:pPr>
        <w:widowControl w:val="0"/>
        <w:autoSpaceDE w:val="0"/>
        <w:autoSpaceDN w:val="0"/>
        <w:adjustRightInd w:val="0"/>
        <w:spacing w:after="14" w:line="240" w:lineRule="auto"/>
        <w:jc w:val="both"/>
        <w:rPr>
          <w:rFonts w:ascii="Calibri" w:hAnsi="Calibri" w:cs="Calibri"/>
          <w:color w:val="FF0000"/>
          <w:sz w:val="20"/>
          <w:szCs w:val="20"/>
        </w:rPr>
      </w:pPr>
    </w:p>
    <w:p w:rsidR="00BF5D47" w:rsidRDefault="00BF5D47">
      <w:pPr>
        <w:widowControl w:val="0"/>
        <w:suppressAutoHyphens/>
        <w:autoSpaceDE w:val="0"/>
        <w:autoSpaceDN w:val="0"/>
        <w:adjustRightInd w:val="0"/>
        <w:spacing w:after="17" w:line="100" w:lineRule="atLeast"/>
        <w:jc w:val="both"/>
        <w:rPr>
          <w:rFonts w:ascii="Calibri" w:hAnsi="Calibri" w:cs="Calibri"/>
          <w:color w:val="00000A"/>
          <w:sz w:val="20"/>
          <w:szCs w:val="20"/>
        </w:rPr>
      </w:pPr>
      <w:r>
        <w:rPr>
          <w:rFonts w:ascii="Calibri" w:hAnsi="Calibri" w:cs="Calibri"/>
          <w:color w:val="00000A"/>
          <w:sz w:val="20"/>
          <w:szCs w:val="20"/>
        </w:rPr>
        <w:t>Spoločnosť má zazmluvnený úverový zdroj od spoločnosti Slovenská sporiteľňa, a.s. vo forme splátkového úveru na vyplatenie záväzkov spoločníka do výšky 300.000 EUR zo dňa 9. augusta 2017. Úroková sadzba je stanovená ako súčet sadzby 1M EURIBOR a marže vo výške 2,5% p.a. K 31.decembru 2018. Spoločnosť čerpala úver do výšky 158.390 EUR. Splatnosť úveru je stanovená na 31. júla 2020. V roku 2019 spoločnosť úver splácala. Zostavá k 31.12.2019 splatiť 58430 EUR.</w:t>
      </w:r>
    </w:p>
    <w:p w:rsidR="00BF5D47" w:rsidRDefault="00BF5D47">
      <w:pPr>
        <w:widowControl w:val="0"/>
        <w:suppressAutoHyphens/>
        <w:autoSpaceDE w:val="0"/>
        <w:autoSpaceDN w:val="0"/>
        <w:adjustRightInd w:val="0"/>
        <w:spacing w:after="17" w:line="100" w:lineRule="atLeast"/>
        <w:jc w:val="both"/>
        <w:rPr>
          <w:rFonts w:ascii="Calibri" w:hAnsi="Calibri" w:cs="Calibri"/>
          <w:color w:val="00000A"/>
          <w:sz w:val="20"/>
          <w:szCs w:val="20"/>
        </w:rPr>
      </w:pPr>
    </w:p>
    <w:p w:rsidR="00BF5D47" w:rsidRDefault="00BF5D47">
      <w:pPr>
        <w:widowControl w:val="0"/>
        <w:suppressAutoHyphens/>
        <w:autoSpaceDE w:val="0"/>
        <w:autoSpaceDN w:val="0"/>
        <w:adjustRightInd w:val="0"/>
        <w:spacing w:after="17" w:line="100" w:lineRule="atLeast"/>
        <w:jc w:val="both"/>
        <w:rPr>
          <w:rFonts w:ascii="Calibri" w:hAnsi="Calibri" w:cs="Calibri"/>
          <w:color w:val="00000A"/>
          <w:sz w:val="20"/>
          <w:szCs w:val="20"/>
        </w:rPr>
      </w:pPr>
      <w:r>
        <w:rPr>
          <w:rFonts w:ascii="Calibri" w:hAnsi="Calibri" w:cs="Calibri"/>
          <w:color w:val="00000A"/>
          <w:sz w:val="20"/>
          <w:szCs w:val="20"/>
        </w:rPr>
        <w:t>Zabezpečenie splátkového úveru na vyplatenie záväzkov spoločníka, je formou zriadenia záložného práva na nehnuteľný majetok, formou vystavenia blankozmenky, formou nadriadenosti pohľadávky banky a formou ručiteľského vyhlásenia.</w:t>
      </w:r>
    </w:p>
    <w:p w:rsidR="00BF5D47" w:rsidRDefault="00BF5D47">
      <w:pPr>
        <w:widowControl w:val="0"/>
        <w:suppressAutoHyphens/>
        <w:autoSpaceDE w:val="0"/>
        <w:autoSpaceDN w:val="0"/>
        <w:adjustRightInd w:val="0"/>
        <w:spacing w:after="17" w:line="100" w:lineRule="atLeast"/>
        <w:jc w:val="both"/>
        <w:rPr>
          <w:rFonts w:ascii="Calibri" w:hAnsi="Calibri" w:cs="Calibri"/>
          <w:color w:val="00000A"/>
          <w:sz w:val="20"/>
          <w:szCs w:val="20"/>
        </w:rPr>
      </w:pPr>
    </w:p>
    <w:p w:rsidR="00BF5D47" w:rsidRDefault="00BF5D47">
      <w:pPr>
        <w:widowControl w:val="0"/>
        <w:autoSpaceDE w:val="0"/>
        <w:autoSpaceDN w:val="0"/>
        <w:adjustRightInd w:val="0"/>
        <w:spacing w:after="100" w:line="276" w:lineRule="auto"/>
        <w:jc w:val="both"/>
        <w:rPr>
          <w:rFonts w:ascii="Calibri" w:hAnsi="Calibri" w:cs="Calibri"/>
          <w:sz w:val="20"/>
          <w:szCs w:val="20"/>
        </w:rPr>
      </w:pPr>
      <w:r>
        <w:rPr>
          <w:rFonts w:ascii="Calibri" w:hAnsi="Calibri" w:cs="Calibri"/>
          <w:sz w:val="20"/>
          <w:szCs w:val="20"/>
        </w:rPr>
        <w:t>Spoločnosť má zazmluvnený úverový zdroj od spoločnosti ČSOB Leasing, a.s. vo forme spotrebného úveru na financovanie nového osobného vozidla vo výške 17.229 EUR zo dňa 11. januára 2016. Posledná splátka úveru vo výške 512 EUR bola uhradená v januári 2019.</w:t>
      </w:r>
    </w:p>
    <w:p w:rsidR="00BF5D47" w:rsidRDefault="00BF5D47">
      <w:pPr>
        <w:widowControl w:val="0"/>
        <w:autoSpaceDE w:val="0"/>
        <w:autoSpaceDN w:val="0"/>
        <w:adjustRightInd w:val="0"/>
        <w:spacing w:after="100" w:line="276" w:lineRule="auto"/>
        <w:jc w:val="both"/>
        <w:rPr>
          <w:rFonts w:ascii="Calibri" w:hAnsi="Calibri" w:cs="Calibri"/>
          <w:sz w:val="20"/>
          <w:szCs w:val="20"/>
        </w:rPr>
      </w:pPr>
      <w:r>
        <w:rPr>
          <w:rFonts w:ascii="Calibri" w:hAnsi="Calibri" w:cs="Calibri"/>
          <w:sz w:val="20"/>
          <w:szCs w:val="20"/>
        </w:rPr>
        <w:t>Spoločnosť má zazmluvnené úverové zdroje od ČSOB Leasing, a.s. vo forme spotrebných úverov zo dňa 5. februára 2018 na financovanie nákupu 2 ks ťahačov a 10 ks návesov. K 31.decembru 2018 je hodnota nesplatených istín úverov v úhrnnej výške 12927 EUR.</w:t>
      </w:r>
    </w:p>
    <w:p w:rsidR="00BF5D47" w:rsidRDefault="00BF5D47">
      <w:pPr>
        <w:widowControl w:val="0"/>
        <w:autoSpaceDE w:val="0"/>
        <w:autoSpaceDN w:val="0"/>
        <w:adjustRightInd w:val="0"/>
        <w:spacing w:after="100" w:line="276" w:lineRule="auto"/>
        <w:jc w:val="both"/>
        <w:rPr>
          <w:rFonts w:ascii="Calibri" w:hAnsi="Calibri" w:cs="Calibri"/>
          <w:sz w:val="20"/>
          <w:szCs w:val="20"/>
        </w:rPr>
      </w:pPr>
      <w:r>
        <w:rPr>
          <w:rFonts w:ascii="Calibri" w:hAnsi="Calibri" w:cs="Calibri"/>
          <w:sz w:val="20"/>
          <w:szCs w:val="20"/>
        </w:rPr>
        <w:lastRenderedPageBreak/>
        <w:t>Zabezpečenie spotrebných úverov je formou zriadenia zabezpečovacieho prevodu vlastníckeho práva k financovanému majetku.</w:t>
      </w:r>
    </w:p>
    <w:p w:rsidR="00BF5D47" w:rsidRDefault="00BF5D47">
      <w:pPr>
        <w:widowControl w:val="0"/>
        <w:autoSpaceDE w:val="0"/>
        <w:autoSpaceDN w:val="0"/>
        <w:adjustRightInd w:val="0"/>
        <w:spacing w:after="100" w:line="276" w:lineRule="auto"/>
        <w:jc w:val="both"/>
        <w:rPr>
          <w:rFonts w:ascii="Calibri" w:hAnsi="Calibri" w:cs="Calibri"/>
          <w:sz w:val="20"/>
          <w:szCs w:val="20"/>
        </w:rPr>
      </w:pPr>
      <w:r>
        <w:rPr>
          <w:rFonts w:ascii="Calibri" w:hAnsi="Calibri" w:cs="Calibri"/>
          <w:sz w:val="20"/>
          <w:szCs w:val="20"/>
        </w:rPr>
        <w:t>Spoločnosť má zazmluvnené úveronové zdroje od ČSOB Leasing s.r.o. vo forme spotrebného úveru od roku 2019 na financovanie 3 ks dopravných prostriedkov v celkovej hodnote 50010 EUR. K 31.12.2019 je hodnota nesplatených istín úverov v úhrnnej sume 39868 EUR.</w:t>
      </w:r>
    </w:p>
    <w:p w:rsidR="00BF5D47" w:rsidRDefault="00BF5D47">
      <w:pPr>
        <w:widowControl w:val="0"/>
        <w:suppressAutoHyphens/>
        <w:autoSpaceDE w:val="0"/>
        <w:autoSpaceDN w:val="0"/>
        <w:adjustRightInd w:val="0"/>
        <w:spacing w:after="14" w:line="100" w:lineRule="atLeast"/>
        <w:rPr>
          <w:rFonts w:ascii="Arial" w:hAnsi="Arial" w:cs="Arial"/>
          <w:color w:val="000000"/>
          <w:sz w:val="24"/>
          <w:szCs w:val="24"/>
        </w:rPr>
      </w:pPr>
      <w:r>
        <w:rPr>
          <w:rFonts w:ascii="Calibri" w:hAnsi="Calibri" w:cs="Calibri"/>
          <w:b/>
          <w:bCs/>
          <w:color w:val="00000A"/>
        </w:rPr>
        <w:t>c) Informácie o záväzkoch s obmedzeným právom nakladania</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sz w:val="20"/>
          <w:szCs w:val="20"/>
        </w:rPr>
        <w:t>Účtovná jednotka nemá záväzky kryté záložným právom, nemá zriadené obmedzenie v prospech veriteľov na ich pohľadávky.</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14" w:line="100" w:lineRule="atLeast"/>
        <w:rPr>
          <w:rFonts w:ascii="Calibri" w:hAnsi="Calibri" w:cs="Calibri"/>
          <w:b/>
          <w:bCs/>
          <w:color w:val="00000A"/>
        </w:rPr>
      </w:pPr>
      <w:r>
        <w:rPr>
          <w:rFonts w:ascii="Calibri" w:hAnsi="Calibri" w:cs="Calibri"/>
          <w:b/>
          <w:bCs/>
          <w:color w:val="00000A"/>
        </w:rPr>
        <w:t xml:space="preserve">(4) Informácie o vlastných akciách </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color w:val="00000A"/>
          <w:sz w:val="20"/>
          <w:szCs w:val="20"/>
        </w:rPr>
        <w:t>Spoločnosť nevydala a nemá vlastné akcie.</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Calibri" w:hAnsi="Calibri" w:cs="Calibri"/>
          <w:b/>
          <w:bCs/>
          <w:color w:val="00000A"/>
        </w:rPr>
      </w:pPr>
      <w:r>
        <w:rPr>
          <w:rFonts w:ascii="Calibri" w:hAnsi="Calibri" w:cs="Calibri"/>
          <w:b/>
          <w:bCs/>
          <w:color w:val="00000A"/>
        </w:rPr>
        <w:t xml:space="preserve">(5) Informácia o sume a dôvodoch vzniku jednotlivých položiek nákladov alebo výnosov, ktoré majú výnimočný rozsah alebo výskyt </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r>
        <w:rPr>
          <w:rFonts w:ascii="Calibri" w:hAnsi="Calibri" w:cs="Calibri"/>
          <w:color w:val="00000A"/>
          <w:sz w:val="20"/>
          <w:szCs w:val="20"/>
        </w:rPr>
        <w:t>Účtovná jednotka neúčtovala v roku 2019 o výnosoch alebo nákladoch, ktoré majú výnimočný rozsah alebo výskyt.</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V. Informácie o iných aktívach a iných pasívach</w:t>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17" w:line="100" w:lineRule="atLeast"/>
        <w:rPr>
          <w:rFonts w:ascii="Arial" w:hAnsi="Arial" w:cs="Arial"/>
          <w:color w:val="000000"/>
          <w:sz w:val="24"/>
          <w:szCs w:val="24"/>
        </w:rPr>
      </w:pPr>
      <w:r>
        <w:rPr>
          <w:rFonts w:ascii="Calibri" w:hAnsi="Calibri" w:cs="Calibri"/>
          <w:b/>
          <w:bCs/>
          <w:color w:val="00000A"/>
        </w:rPr>
        <w:t xml:space="preserve">(1) Informácie o iných aktívach a iných pasívach: </w:t>
      </w:r>
    </w:p>
    <w:p w:rsidR="00BF5D47" w:rsidRDefault="00BF5D47">
      <w:pPr>
        <w:widowControl w:val="0"/>
        <w:suppressAutoHyphens/>
        <w:autoSpaceDE w:val="0"/>
        <w:autoSpaceDN w:val="0"/>
        <w:adjustRightInd w:val="0"/>
        <w:spacing w:after="17"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17" w:line="100" w:lineRule="atLeast"/>
        <w:rPr>
          <w:rFonts w:ascii="Arial" w:hAnsi="Arial" w:cs="Arial"/>
          <w:color w:val="000000"/>
          <w:sz w:val="24"/>
          <w:szCs w:val="24"/>
        </w:rPr>
      </w:pPr>
      <w:r>
        <w:rPr>
          <w:rFonts w:ascii="Calibri" w:hAnsi="Calibri" w:cs="Calibri"/>
          <w:b/>
          <w:bCs/>
          <w:color w:val="00000A"/>
        </w:rPr>
        <w:t>a) Informácie o podmienenom majetku</w:t>
      </w:r>
    </w:p>
    <w:p w:rsidR="00BF5D47" w:rsidRDefault="00BF5D47">
      <w:pPr>
        <w:widowControl w:val="0"/>
        <w:suppressAutoHyphens/>
        <w:autoSpaceDE w:val="0"/>
        <w:autoSpaceDN w:val="0"/>
        <w:adjustRightInd w:val="0"/>
        <w:spacing w:after="17" w:line="100" w:lineRule="atLeast"/>
        <w:rPr>
          <w:rFonts w:ascii="Arial" w:hAnsi="Arial" w:cs="Arial"/>
          <w:color w:val="000000"/>
          <w:sz w:val="24"/>
          <w:szCs w:val="24"/>
        </w:rPr>
      </w:pPr>
      <w:r>
        <w:rPr>
          <w:rFonts w:ascii="Calibri" w:hAnsi="Calibri" w:cs="Calibri"/>
          <w:color w:val="00000A"/>
          <w:sz w:val="20"/>
          <w:szCs w:val="20"/>
        </w:rPr>
        <w:t>Účtovná jednotka nemá vedomosť o  žiadnom podmienenom majetku, ktorý sa nevykazuje v súvahe.</w:t>
      </w:r>
    </w:p>
    <w:p w:rsidR="00BF5D47" w:rsidRDefault="00BF5D47">
      <w:pPr>
        <w:widowControl w:val="0"/>
        <w:suppressAutoHyphens/>
        <w:autoSpaceDE w:val="0"/>
        <w:autoSpaceDN w:val="0"/>
        <w:adjustRightInd w:val="0"/>
        <w:spacing w:after="17" w:line="100" w:lineRule="atLeast"/>
        <w:rPr>
          <w:rFonts w:ascii="Arial" w:hAnsi="Arial" w:cs="Arial"/>
          <w:color w:val="000000"/>
          <w:sz w:val="24"/>
          <w:szCs w:val="24"/>
        </w:rPr>
      </w:pPr>
    </w:p>
    <w:p w:rsidR="00BF5D47" w:rsidRDefault="00BF5D47">
      <w:pPr>
        <w:keepNext/>
        <w:widowControl w:val="0"/>
        <w:suppressAutoHyphens/>
        <w:autoSpaceDE w:val="0"/>
        <w:autoSpaceDN w:val="0"/>
        <w:adjustRightInd w:val="0"/>
        <w:spacing w:before="28" w:after="0" w:line="100" w:lineRule="atLeast"/>
        <w:rPr>
          <w:rFonts w:ascii="Calibri" w:hAnsi="Calibri" w:cs="Calibri"/>
          <w:b/>
          <w:bCs/>
          <w:color w:val="000000"/>
        </w:rPr>
      </w:pPr>
      <w:r>
        <w:rPr>
          <w:rFonts w:ascii="Calibri" w:hAnsi="Calibri" w:cs="Calibri"/>
          <w:b/>
          <w:bCs/>
          <w:color w:val="000000"/>
        </w:rPr>
        <w:t>b) Informácie o podmienených záväzkoch</w:t>
      </w: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r>
        <w:rPr>
          <w:rFonts w:ascii="Calibri" w:hAnsi="Calibri" w:cs="Calibri"/>
          <w:color w:val="00000A"/>
          <w:sz w:val="20"/>
          <w:szCs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r>
        <w:rPr>
          <w:rFonts w:ascii="Calibri" w:hAnsi="Calibri" w:cs="Calibri"/>
          <w:color w:val="00000A"/>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r>
        <w:rPr>
          <w:rFonts w:ascii="Calibri" w:hAnsi="Calibri" w:cs="Calibri"/>
          <w:color w:val="00000A"/>
          <w:sz w:val="20"/>
          <w:szCs w:val="20"/>
        </w:rPr>
        <w:t>Okrem vyššie uvedeného, nemá Spoločnosť vedomosť o inom podmienenom majetku alebo podmienených záväzkoch, ktoré sa nevykazujú v súvahe.</w:t>
      </w:r>
    </w:p>
    <w:p w:rsidR="00BF5D47" w:rsidRDefault="00BF5D47">
      <w:pPr>
        <w:widowControl w:val="0"/>
        <w:suppressAutoHyphens/>
        <w:autoSpaceDE w:val="0"/>
        <w:autoSpaceDN w:val="0"/>
        <w:adjustRightInd w:val="0"/>
        <w:spacing w:after="17"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Calibri" w:hAnsi="Calibri" w:cs="Calibri"/>
          <w:b/>
          <w:bCs/>
          <w:color w:val="00000A"/>
        </w:rPr>
      </w:pPr>
      <w:r>
        <w:rPr>
          <w:rFonts w:ascii="Calibri" w:hAnsi="Calibri" w:cs="Calibri"/>
          <w:b/>
          <w:bCs/>
          <w:color w:val="00000A"/>
        </w:rPr>
        <w:t xml:space="preserve"> (2) Informácia o ostatných finančných povinnostiach, ktoré sa nevykazujú v účtovných výkazoch</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276" w:lineRule="auto"/>
        <w:jc w:val="both"/>
        <w:rPr>
          <w:rFonts w:ascii="Arial" w:hAnsi="Arial" w:cs="Arial"/>
          <w:color w:val="000000"/>
          <w:sz w:val="24"/>
          <w:szCs w:val="24"/>
        </w:rPr>
      </w:pPr>
      <w:r>
        <w:rPr>
          <w:rFonts w:ascii="Calibri" w:hAnsi="Calibri" w:cs="Calibri"/>
          <w:color w:val="00000A"/>
          <w:sz w:val="20"/>
          <w:szCs w:val="20"/>
        </w:rPr>
        <w:t>Spoločnosti nebolo udelené výlučné právo alebo osobitné právo poskytovať služby vo verejnom záujme. Na spoločnosť sa rovnako nevzťahuje § 23d ods. 6 zákona o účtovníctve.</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rPr>
          <w:rFonts w:ascii="Calibri" w:hAnsi="Calibri" w:cs="Calibri"/>
          <w:b/>
          <w:bCs/>
          <w:color w:val="00000A"/>
        </w:rPr>
      </w:pPr>
      <w:r>
        <w:rPr>
          <w:rFonts w:ascii="Calibri" w:hAnsi="Calibri" w:cs="Calibri"/>
          <w:b/>
          <w:bCs/>
          <w:color w:val="00000A"/>
        </w:rPr>
        <w:t xml:space="preserve">(3) Informácie ku skutočnostiam sledovaným na podsúvahových účtoch  </w:t>
      </w:r>
    </w:p>
    <w:p w:rsidR="00BF5D47" w:rsidRDefault="00BF5D47">
      <w:pPr>
        <w:widowControl w:val="0"/>
        <w:suppressAutoHyphens/>
        <w:autoSpaceDE w:val="0"/>
        <w:autoSpaceDN w:val="0"/>
        <w:adjustRightInd w:val="0"/>
        <w:spacing w:after="0" w:line="100" w:lineRule="atLeast"/>
        <w:rPr>
          <w:rFonts w:ascii="Arial" w:hAnsi="Arial" w:cs="Arial"/>
          <w:color w:val="000000"/>
          <w:sz w:val="24"/>
          <w:szCs w:val="24"/>
        </w:rPr>
      </w:pPr>
    </w:p>
    <w:p w:rsidR="00BF5D47" w:rsidRDefault="00BF5D47">
      <w:pPr>
        <w:widowControl w:val="0"/>
        <w:suppressAutoHyphens/>
        <w:autoSpaceDE w:val="0"/>
        <w:autoSpaceDN w:val="0"/>
        <w:adjustRightInd w:val="0"/>
        <w:spacing w:after="0" w:line="276" w:lineRule="auto"/>
        <w:jc w:val="both"/>
        <w:rPr>
          <w:rFonts w:ascii="Calibri" w:hAnsi="Calibri" w:cs="Calibri"/>
          <w:color w:val="00000A"/>
          <w:sz w:val="20"/>
          <w:szCs w:val="20"/>
        </w:rPr>
      </w:pPr>
      <w:r>
        <w:rPr>
          <w:rFonts w:ascii="Calibri" w:hAnsi="Calibri" w:cs="Calibri"/>
          <w:color w:val="00000A"/>
          <w:sz w:val="20"/>
          <w:szCs w:val="20"/>
        </w:rPr>
        <w:t xml:space="preserve">Spoločnosť mala v dlhodobom prenájme nebytové priestory určené na zriadenie firemnej kancelárie od prenajímateľa EKO-REKREA (Zmluva o podnájme nebytových priestorov uzavretá dňa 1. augusta 2007). Ročné nájomné bolo stanovené vo výške 4.266 EUR bez DPH. Nájomná zmluva bola ukončená k 30. júnu.2018. Nový </w:t>
      </w:r>
      <w:r>
        <w:rPr>
          <w:rFonts w:ascii="Calibri" w:hAnsi="Calibri" w:cs="Calibri"/>
          <w:color w:val="00000A"/>
          <w:sz w:val="20"/>
          <w:szCs w:val="20"/>
        </w:rPr>
        <w:lastRenderedPageBreak/>
        <w:t>majiteľ Správa kultúrnych a športových zariadení mesta Trnava prenajala nebytové priestory Spoločnosti za rovnakých finančných a obchodných podmienok na dobu určitú do 31. marca 2019 s predlžením zmluvy do 31.mája 2019. Od 1. júna 2019 je spoločnosť v prenájme vo firme SKYLIT s.r.o. v Špačinciach. Nájomná je uzatvorená na dobu neurčitu. Nájomné je dohodnuté na sumu 4320 EUR ročne bez DPH.</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276" w:lineRule="auto"/>
        <w:jc w:val="both"/>
        <w:rPr>
          <w:rFonts w:ascii="Calibri" w:hAnsi="Calibri" w:cs="Calibri"/>
          <w:sz w:val="20"/>
          <w:szCs w:val="20"/>
        </w:rPr>
      </w:pPr>
      <w:r>
        <w:rPr>
          <w:rFonts w:ascii="Calibri" w:hAnsi="Calibri" w:cs="Calibri"/>
          <w:color w:val="00000A"/>
          <w:sz w:val="20"/>
          <w:szCs w:val="20"/>
        </w:rPr>
        <w:t xml:space="preserve">Spoločnosť má v dlhodobom prenájme  zastavané plochy určené na parkovanie motorových vozidiel od spoločnosti Železničná preprava, a. s.,  na základe   Zmluvy o nájme nebytových priestorov zo dňa 25. februára 2008 . Ročné nájomné bolo stanovené vo výške  5002 EUR bez DPH.  Dodatkom k zmluve o nájme nebytových </w:t>
      </w:r>
      <w:r>
        <w:rPr>
          <w:rFonts w:ascii="Calibri" w:hAnsi="Calibri" w:cs="Calibri"/>
          <w:sz w:val="20"/>
          <w:szCs w:val="20"/>
        </w:rPr>
        <w:t>priestorov bolo od 1. júna 2017 zvýšené nájomné na sumu 6.526 EUR bez DPH. Nájomná zmluva je uzatvorená na dobu neurčitú.</w:t>
      </w:r>
    </w:p>
    <w:p w:rsidR="00BF5D47" w:rsidRDefault="00BF5D47">
      <w:pPr>
        <w:widowControl w:val="0"/>
        <w:suppressAutoHyphens/>
        <w:autoSpaceDE w:val="0"/>
        <w:autoSpaceDN w:val="0"/>
        <w:adjustRightInd w:val="0"/>
        <w:spacing w:after="0" w:line="276" w:lineRule="auto"/>
        <w:jc w:val="both"/>
        <w:rPr>
          <w:rFonts w:ascii="Calibri" w:hAnsi="Calibri" w:cs="Calibri"/>
          <w:sz w:val="20"/>
          <w:szCs w:val="20"/>
        </w:rPr>
      </w:pPr>
    </w:p>
    <w:p w:rsidR="00BF5D47" w:rsidRDefault="00BF5D47">
      <w:pPr>
        <w:widowControl w:val="0"/>
        <w:suppressAutoHyphens/>
        <w:autoSpaceDE w:val="0"/>
        <w:autoSpaceDN w:val="0"/>
        <w:adjustRightInd w:val="0"/>
        <w:spacing w:after="0" w:line="276" w:lineRule="auto"/>
        <w:jc w:val="both"/>
        <w:rPr>
          <w:rFonts w:ascii="Calibri" w:hAnsi="Calibri" w:cs="Calibri"/>
          <w:sz w:val="20"/>
          <w:szCs w:val="20"/>
        </w:rPr>
      </w:pPr>
      <w:r>
        <w:rPr>
          <w:rFonts w:ascii="Calibri" w:hAnsi="Calibri" w:cs="Calibri"/>
          <w:sz w:val="20"/>
          <w:szCs w:val="20"/>
        </w:rPr>
        <w:t>Spoločnosť má v dlhodobom prenájme pozemok určený na realizáciu investičných činností od prenajímateľa Peter Kučera (Zmluva o nájme nebytových priestorov uzavretá v súlade s §663 a nasl. Občianskeho zákonníka uzatvorená dňa 01.marca 2011). Ročné nájomné je stanovené vo výške 500 Eur. Nájomná zmluva je uzatvorená na dobu neurčitú odo dňa podpísania nájomnej zmluvy.</w:t>
      </w:r>
    </w:p>
    <w:p w:rsidR="00BF5D47" w:rsidRDefault="00BF5D47">
      <w:pPr>
        <w:widowControl w:val="0"/>
        <w:suppressAutoHyphens/>
        <w:autoSpaceDE w:val="0"/>
        <w:autoSpaceDN w:val="0"/>
        <w:adjustRightInd w:val="0"/>
        <w:spacing w:after="0" w:line="276" w:lineRule="auto"/>
        <w:jc w:val="both"/>
        <w:rPr>
          <w:rFonts w:ascii="Calibri" w:hAnsi="Calibri" w:cs="Calibri"/>
          <w:sz w:val="20"/>
          <w:szCs w:val="20"/>
        </w:rPr>
      </w:pPr>
    </w:p>
    <w:p w:rsidR="00BF5D47" w:rsidRDefault="00BF5D47">
      <w:pPr>
        <w:widowControl w:val="0"/>
        <w:autoSpaceDE w:val="0"/>
        <w:autoSpaceDN w:val="0"/>
        <w:adjustRightInd w:val="0"/>
        <w:spacing w:after="100" w:line="276" w:lineRule="auto"/>
        <w:jc w:val="both"/>
        <w:rPr>
          <w:rFonts w:ascii="Calibri" w:hAnsi="Calibri" w:cs="Calibri"/>
          <w:sz w:val="20"/>
          <w:szCs w:val="20"/>
        </w:rPr>
      </w:pPr>
      <w:r>
        <w:rPr>
          <w:rFonts w:ascii="Calibri" w:hAnsi="Calibri" w:cs="Calibri"/>
          <w:sz w:val="20"/>
          <w:szCs w:val="20"/>
        </w:rPr>
        <w:t>Spoločnosť má v krátkodobom prenájme (operatívny prenájom) 8 motorových vozidiel od spoločnosti VUB Leasing, a.s na základe Zmlúv o operatívnom leasingu uzatvorených v zmysle §269 Obchodného zákonníka  zo dňa 13. novembra 2017. Nájomná zmluva je uzatvorená na dobu určitú, tj. 12 mesiacov od dátumu prevzatia predmetu nájmu. Nájomná zmluva bola ukončená v decembri 2019.</w:t>
      </w:r>
    </w:p>
    <w:p w:rsidR="00BF5D47" w:rsidRDefault="00BF5D47">
      <w:pPr>
        <w:widowControl w:val="0"/>
        <w:suppressAutoHyphens/>
        <w:autoSpaceDE w:val="0"/>
        <w:autoSpaceDN w:val="0"/>
        <w:adjustRightInd w:val="0"/>
        <w:spacing w:after="0" w:line="100" w:lineRule="atLeast"/>
        <w:jc w:val="both"/>
        <w:rPr>
          <w:rFonts w:ascii="Calibri" w:hAnsi="Calibri" w:cs="Calibri"/>
          <w:sz w:val="20"/>
          <w:szCs w:val="20"/>
        </w:rPr>
      </w:pPr>
      <w:r>
        <w:rPr>
          <w:rFonts w:ascii="Calibri" w:hAnsi="Calibri" w:cs="Calibri"/>
          <w:sz w:val="20"/>
          <w:szCs w:val="20"/>
        </w:rPr>
        <w:t>Spoločnosť má od firmy BHL Trade spol. s.r.o. v prenájme stavebný stroj zn. IVECO KIPPER a Autocisternu zn. SCANIA P93M od 15. septembra 2018 na dobu neurčitú. Zároveň má v prenájme stavebný stroj DAMPER - TATRA 200 od 1. augusta 2018 na dobu neurčitú. Zmluvy sú uzatvorené v zmysle § 721 a nasl. OZ a § 663 a nasl. OZ.</w:t>
      </w:r>
    </w:p>
    <w:p w:rsidR="00BF5D47" w:rsidRDefault="00BF5D47">
      <w:pPr>
        <w:widowControl w:val="0"/>
        <w:suppressAutoHyphens/>
        <w:autoSpaceDE w:val="0"/>
        <w:autoSpaceDN w:val="0"/>
        <w:adjustRightInd w:val="0"/>
        <w:spacing w:after="0" w:line="100" w:lineRule="atLeast"/>
        <w:jc w:val="both"/>
        <w:rPr>
          <w:rFonts w:ascii="Calibri" w:hAnsi="Calibri" w:cs="Calibri"/>
          <w:sz w:val="20"/>
          <w:szCs w:val="20"/>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sz w:val="20"/>
          <w:szCs w:val="20"/>
        </w:rPr>
        <w:t>Okrem vyššie uvedených Spoločnosť nemá vedomosť o inom podmienenom majetku alebo podmienených záväzkoch,</w:t>
      </w:r>
      <w:r>
        <w:rPr>
          <w:rFonts w:ascii="Calibri" w:hAnsi="Calibri" w:cs="Calibri"/>
          <w:color w:val="00000A"/>
          <w:sz w:val="20"/>
          <w:szCs w:val="20"/>
        </w:rPr>
        <w:t xml:space="preserve"> ktoré sa nevykazujú v súvahe.</w:t>
      </w: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r>
        <w:rPr>
          <w:rFonts w:ascii="Calibri" w:hAnsi="Calibri" w:cs="Calibri"/>
          <w:b/>
          <w:bCs/>
          <w:color w:val="00000A"/>
        </w:rPr>
        <w:t>VI. Udalosti, ktoré nastali po dni, ku ktorému sa zostavuje účtovná závierka</w:t>
      </w:r>
    </w:p>
    <w:p w:rsidR="00BF5D47" w:rsidRDefault="00BF5D47">
      <w:pPr>
        <w:widowControl w:val="0"/>
        <w:suppressAutoHyphens/>
        <w:autoSpaceDE w:val="0"/>
        <w:autoSpaceDN w:val="0"/>
        <w:adjustRightInd w:val="0"/>
        <w:spacing w:after="0" w:line="100" w:lineRule="atLeast"/>
        <w:jc w:val="center"/>
        <w:rPr>
          <w:rFonts w:ascii="Arial" w:hAnsi="Arial" w:cs="Arial"/>
          <w:color w:val="000000"/>
          <w:sz w:val="24"/>
          <w:szCs w:val="24"/>
        </w:rPr>
      </w:pPr>
    </w:p>
    <w:p w:rsidR="00BF5D47" w:rsidRDefault="00BF5D47">
      <w:pPr>
        <w:widowControl w:val="0"/>
        <w:suppressAutoHyphens/>
        <w:autoSpaceDE w:val="0"/>
        <w:autoSpaceDN w:val="0"/>
        <w:adjustRightInd w:val="0"/>
        <w:spacing w:after="0" w:line="100" w:lineRule="atLeast"/>
        <w:jc w:val="both"/>
        <w:rPr>
          <w:rFonts w:ascii="Arial" w:hAnsi="Arial" w:cs="Arial"/>
          <w:color w:val="000000"/>
          <w:sz w:val="24"/>
          <w:szCs w:val="24"/>
        </w:rPr>
      </w:pPr>
      <w:r>
        <w:rPr>
          <w:rFonts w:ascii="Calibri" w:hAnsi="Calibri" w:cs="Calibri"/>
          <w:color w:val="00000A"/>
          <w:sz w:val="20"/>
          <w:szCs w:val="20"/>
        </w:rPr>
        <w:t>Po 31. decembri 2019 do dňa zostavenia účtovnej závierky spoločnosti nastali udalosti COVID 19,  ktoré  ovplyvnili celú našu spoločnosť. Našej spoločnosti sa to dotklo znížením objemu prepráv, hlavne do zahraničia. V mesiaci marec bol pokles tržieb 30 %, v mesiaci apríl 40 %, v mesiaci máj 30 %. V súčasnosti sa už obchody rozbiehajú takže predpokladáme, že objem prepráv sa bude postupne zvyššovať a pre firmu nebudú tieto dopady výrazné. Odhadujeme že zníženie tržieb v porovnaní s rokom 2019 budu v roku 2020 nižšie asi o 15 %. V personálnej oblasti bol úbytok pracovníkov o 3 v roku 2020, ktorý ukončili pracovný pomer na vlasnú žiadosť dohodou.</w:t>
      </w:r>
    </w:p>
    <w:sectPr w:rsidR="00BF5D47">
      <w:pgSz w:w="12240" w:h="15840"/>
      <w:pgMar w:top="1417" w:right="1417" w:bottom="1417" w:left="1417"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8BB40A6A"/>
    <w:lvl w:ilvl="0">
      <w:numFmt w:val="bullet"/>
      <w:lvlText w:val="*"/>
      <w:lvlJc w:val="left"/>
    </w:lvl>
  </w:abstractNum>
  <w:num w:numId="1">
    <w:abstractNumId w:val="0"/>
    <w:lvlOverride w:ilvl="0">
      <w:lvl w:ilvl="0">
        <w:numFmt w:val="bullet"/>
        <w:lvlText w:val=""/>
        <w:legacy w:legacy="1" w:legacySpace="0" w:legacyIndent="360"/>
        <w:lvlJc w:val="left"/>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131"/>
    <w:rsid w:val="00536C58"/>
    <w:rsid w:val="00BF5D47"/>
    <w:rsid w:val="00CC01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78E3B82A-2A96-4025-99F3-DBB90858F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3055</Words>
  <Characters>17417</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2</cp:revision>
  <dcterms:created xsi:type="dcterms:W3CDTF">2020-06-30T15:34:00Z</dcterms:created>
  <dcterms:modified xsi:type="dcterms:W3CDTF">2020-06-30T15:34:00Z</dcterms:modified>
</cp:coreProperties>
</file>