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3.jpeg" ContentType="image/jpeg"/>
  <Override PartName="/word/media/image2.jpeg" ContentType="image/jpeg"/>
  <Override PartName="/word/media/image1.jpeg" ContentType="image/jpeg"/>
  <Override PartName="/word/theme/theme1.xml" ContentType="application/vnd.openxmlformats-officedocument.theme+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adpis1"/>
        <w:keepNext w:val="true"/>
        <w:widowControl w:val="false"/>
        <w:numPr>
          <w:ilvl w:val="0"/>
          <w:numId w:val="0"/>
        </w:numPr>
        <w:suppressAutoHyphens w:val="false"/>
        <w:spacing w:before="0" w:after="60"/>
        <w:rPr/>
      </w:pPr>
      <w:r>
        <w:rPr>
          <w:rFonts w:cs="Arial"/>
          <w:position w:val="6"/>
          <w:szCs w:val="18"/>
        </w:rPr>
        <w:t xml:space="preserve">A.    </w:t>
      </w:r>
      <w:r>
        <w:rPr>
          <w:rFonts w:cs="Arial"/>
          <w:szCs w:val="18"/>
        </w:rPr>
        <w:t>Informácie o účtovnej jednotke</w:t>
      </w:r>
    </w:p>
    <w:p>
      <w:pPr>
        <w:pStyle w:val="Telotextu"/>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Založenie spoločnosti</w:t>
      </w:r>
    </w:p>
    <w:p>
      <w:pPr>
        <w:pStyle w:val="Telotextu"/>
        <w:widowControl w:val="false"/>
        <w:suppressAutoHyphens w:val="false"/>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 xml:space="preserve">Spoločnosť ViaSlovakia plus, s. r. o. (ďalej len Spoločnosť), </w:t>
      </w:r>
      <w:r>
        <w:rPr>
          <w:rStyle w:val="Ra"/>
          <w:rFonts w:cs="Arial"/>
        </w:rPr>
        <w:t xml:space="preserve">bola založená spoločenskou zmluvou podľa § 105 a nasl. Zák.č. 513/91 Zb. </w:t>
      </w:r>
      <w:r>
        <w:rPr>
          <w:rFonts w:cs="Arial"/>
          <w:szCs w:val="18"/>
        </w:rPr>
        <w:t xml:space="preserve">a do obchodného registra bola zapísaná 11.07.2017 (Obchodný register Okresného súdu Žilina, oddiel s.r.o., vložka 68163/L). </w:t>
      </w:r>
    </w:p>
    <w:p>
      <w:pPr>
        <w:pStyle w:val="Normal"/>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eastAsia="Arial" w:cs="Arial"/>
          <w:szCs w:val="18"/>
        </w:rPr>
      </w:pPr>
      <w:r>
        <w:rPr>
          <w:rFonts w:cs="Arial"/>
          <w:szCs w:val="18"/>
        </w:rPr>
        <w:t>Hlavnými činnosťami Spoločnosti sú:</w:t>
      </w:r>
    </w:p>
    <w:p>
      <w:pPr>
        <w:pStyle w:val="Telotextu"/>
        <w:widowControl w:val="false"/>
        <w:tabs>
          <w:tab w:val="clear" w:pos="708"/>
          <w:tab w:val="left" w:pos="7905" w:leader="none"/>
        </w:tabs>
        <w:suppressAutoHyphens w:val="false"/>
        <w:rPr>
          <w:rFonts w:ascii="Times New Roman" w:hAnsi="Times New Roman" w:eastAsia="Arial" w:cs="Arial"/>
          <w:szCs w:val="18"/>
        </w:rPr>
      </w:pPr>
      <w:r>
        <w:rPr>
          <w:rFonts w:eastAsia="Arial" w:cs="Arial" w:ascii="Times New Roman" w:hAnsi="Times New Roman"/>
          <w:szCs w:val="18"/>
        </w:rPr>
      </w:r>
    </w:p>
    <w:p>
      <w:pPr>
        <w:pStyle w:val="Telotextu"/>
        <w:widowControl w:val="false"/>
        <w:tabs>
          <w:tab w:val="clear" w:pos="708"/>
          <w:tab w:val="left" w:pos="7905" w:leader="none"/>
        </w:tabs>
        <w:suppressAutoHyphens w:val="false"/>
        <w:ind w:left="0" w:hanging="0"/>
        <w:rPr>
          <w:rFonts w:cs="Arial"/>
          <w:szCs w:val="18"/>
        </w:rPr>
      </w:pPr>
      <w:r>
        <w:rPr>
          <w:rFonts w:eastAsia="Arial" w:cs="Arial"/>
          <w:szCs w:val="18"/>
        </w:rPr>
        <w:t xml:space="preserve">– </w:t>
      </w:r>
      <w:r>
        <w:rPr>
          <w:rFonts w:cs="Arial"/>
          <w:szCs w:val="18"/>
        </w:rPr>
        <w:t>činnosti cestovných agentúr</w:t>
        <w:tab/>
      </w:r>
    </w:p>
    <w:p>
      <w:pPr>
        <w:pStyle w:val="Telotextu"/>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 xml:space="preserve">Počet zamestnancov </w:t>
      </w:r>
    </w:p>
    <w:p>
      <w:pPr>
        <w:pStyle w:val="Telotextu"/>
        <w:widowControl w:val="false"/>
        <w:suppressAutoHyphens w:val="false"/>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Údaje o počte zamestnancov za bežné účtovné obdobie a bezprostredne predchádzajúce účtovné obdobie sú uvedené v nasledujúcom prehľade:</w:t>
      </w:r>
    </w:p>
    <w:p>
      <w:pPr>
        <w:pStyle w:val="Telotextu"/>
        <w:widowControl w:val="false"/>
        <w:suppressAutoHyphens w:val="false"/>
        <w:ind w:left="0" w:hanging="0"/>
        <w:rPr>
          <w:rFonts w:cs="Arial"/>
          <w:szCs w:val="18"/>
        </w:rPr>
      </w:pPr>
      <w:r>
        <w:rPr>
          <w:rFonts w:cs="Arial"/>
          <w:szCs w:val="18"/>
        </w:rPr>
      </w:r>
    </w:p>
    <w:tbl>
      <w:tblPr>
        <w:tblW w:w="5000" w:type="pct"/>
        <w:jc w:val="center"/>
        <w:tblInd w:w="0" w:type="dxa"/>
        <w:tblCellMar>
          <w:top w:w="0" w:type="dxa"/>
          <w:left w:w="15" w:type="dxa"/>
          <w:bottom w:w="0" w:type="dxa"/>
          <w:right w:w="40" w:type="dxa"/>
        </w:tblCellMar>
        <w:tblLook w:val="0000"/>
      </w:tblPr>
      <w:tblGrid>
        <w:gridCol w:w="3696"/>
        <w:gridCol w:w="2650"/>
        <w:gridCol w:w="2895"/>
      </w:tblGrid>
      <w:tr>
        <w:trPr>
          <w:trHeight w:val="514" w:hRule="atLeast"/>
        </w:trPr>
        <w:tc>
          <w:tcPr>
            <w:tcW w:w="3696" w:type="dxa"/>
            <w:tcBorders>
              <w:top w:val="single" w:sz="12" w:space="0" w:color="00000A"/>
              <w:left w:val="single" w:sz="12" w:space="0" w:color="00000A"/>
              <w:right w:val="single" w:sz="12" w:space="0" w:color="00000A"/>
            </w:tcBorders>
            <w:shd w:fill="auto" w:val="clear"/>
            <w:vAlign w:val="center"/>
          </w:tcPr>
          <w:p>
            <w:pPr>
              <w:pStyle w:val="TopHeader"/>
              <w:widowControl w:val="false"/>
              <w:rPr>
                <w:rFonts w:ascii="Arial" w:hAnsi="Arial"/>
                <w:sz w:val="18"/>
              </w:rPr>
            </w:pPr>
            <w:bookmarkStart w:id="0" w:name="_1405921752"/>
            <w:bookmarkEnd w:id="0"/>
            <w:r>
              <w:rPr>
                <w:rFonts w:ascii="Arial" w:hAnsi="Arial"/>
                <w:sz w:val="18"/>
              </w:rPr>
              <w:t>Názov položky</w:t>
            </w:r>
          </w:p>
        </w:tc>
        <w:tc>
          <w:tcPr>
            <w:tcW w:w="2650" w:type="dxa"/>
            <w:tcBorders>
              <w:top w:val="single" w:sz="12" w:space="0" w:color="00000A"/>
              <w:left w:val="single" w:sz="12" w:space="0" w:color="00000A"/>
              <w:right w:val="single" w:sz="12" w:space="0" w:color="00000A"/>
            </w:tcBorders>
            <w:shd w:fill="auto" w:val="clear"/>
            <w:vAlign w:val="center"/>
          </w:tcPr>
          <w:p>
            <w:pPr>
              <w:pStyle w:val="TopHeader"/>
              <w:widowControl w:val="false"/>
              <w:rPr>
                <w:rFonts w:ascii="Arial" w:hAnsi="Arial"/>
                <w:sz w:val="18"/>
              </w:rPr>
            </w:pPr>
            <w:r>
              <w:rPr>
                <w:rFonts w:ascii="Arial" w:hAnsi="Arial"/>
                <w:sz w:val="18"/>
              </w:rPr>
              <w:t>Bežné účtovné obdobie</w:t>
            </w:r>
          </w:p>
        </w:tc>
        <w:tc>
          <w:tcPr>
            <w:tcW w:w="2895" w:type="dxa"/>
            <w:tcBorders>
              <w:top w:val="single" w:sz="12" w:space="0" w:color="00000A"/>
              <w:left w:val="single" w:sz="12" w:space="0" w:color="00000A"/>
              <w:right w:val="single" w:sz="12" w:space="0" w:color="00000A"/>
            </w:tcBorders>
            <w:shd w:fill="auto" w:val="clear"/>
            <w:vAlign w:val="center"/>
          </w:tcPr>
          <w:p>
            <w:pPr>
              <w:pStyle w:val="TopHeader"/>
              <w:widowControl w:val="false"/>
              <w:rPr>
                <w:rFonts w:ascii="Arial" w:hAnsi="Arial"/>
                <w:sz w:val="18"/>
              </w:rPr>
            </w:pPr>
            <w:r>
              <w:rPr>
                <w:rFonts w:ascii="Arial" w:hAnsi="Arial"/>
                <w:sz w:val="18"/>
              </w:rPr>
              <w:t>Bezprostredne predchádzajúce účtovné obdobie</w:t>
            </w:r>
          </w:p>
        </w:tc>
      </w:tr>
      <w:tr>
        <w:trPr/>
        <w:tc>
          <w:tcPr>
            <w:tcW w:w="3696"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widowControl w:val="false"/>
              <w:suppressAutoHyphens w:val="false"/>
              <w:rPr>
                <w:b/>
                <w:b/>
                <w:bCs/>
              </w:rPr>
            </w:pPr>
            <w:r>
              <w:rPr>
                <w:b/>
                <w:bCs/>
              </w:rPr>
              <w:t>Priemerný prepočítaný počet zamestnancov</w:t>
            </w:r>
          </w:p>
        </w:tc>
        <w:tc>
          <w:tcPr>
            <w:tcW w:w="2650" w:type="dxa"/>
            <w:tcBorders>
              <w:top w:val="single" w:sz="12"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3</w:t>
            </w:r>
          </w:p>
        </w:tc>
        <w:tc>
          <w:tcPr>
            <w:tcW w:w="2895" w:type="dxa"/>
            <w:tcBorders>
              <w:top w:val="single" w:sz="12"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3</w:t>
            </w:r>
          </w:p>
        </w:tc>
      </w:tr>
      <w:tr>
        <w:trPr>
          <w:trHeight w:val="285" w:hRule="atLeast"/>
        </w:trPr>
        <w:tc>
          <w:tcPr>
            <w:tcW w:w="369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widowControl w:val="false"/>
              <w:suppressAutoHyphens w:val="false"/>
              <w:rPr/>
            </w:pPr>
            <w:r>
              <w:rPr/>
              <w:t>Stav zamestnancov ku dňu, ku ktorému sa zostavuje účtovná závierka, z toho:</w:t>
            </w:r>
          </w:p>
        </w:tc>
        <w:tc>
          <w:tcPr>
            <w:tcW w:w="2650" w:type="dxa"/>
            <w:tcBorders>
              <w:top w:val="single" w:sz="4"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3</w:t>
            </w:r>
          </w:p>
        </w:tc>
        <w:tc>
          <w:tcPr>
            <w:tcW w:w="2895" w:type="dxa"/>
            <w:tcBorders>
              <w:top w:val="single" w:sz="4" w:space="0" w:color="00000A"/>
              <w:left w:val="single" w:sz="12" w:space="0" w:color="00000A"/>
              <w:bottom w:val="single" w:sz="4" w:space="0" w:color="00000A"/>
              <w:right w:val="single" w:sz="12" w:space="0" w:color="00000A"/>
            </w:tcBorders>
            <w:shd w:fill="auto" w:val="clear"/>
          </w:tcPr>
          <w:p>
            <w:pPr>
              <w:pStyle w:val="Normal"/>
              <w:widowControl w:val="false"/>
              <w:suppressAutoHyphens w:val="false"/>
              <w:spacing w:lineRule="auto" w:line="360"/>
              <w:jc w:val="center"/>
              <w:rPr/>
            </w:pPr>
            <w:r>
              <w:rPr/>
              <w:t>3</w:t>
            </w:r>
          </w:p>
        </w:tc>
      </w:tr>
      <w:tr>
        <w:trPr>
          <w:trHeight w:val="285" w:hRule="atLeast"/>
        </w:trPr>
        <w:tc>
          <w:tcPr>
            <w:tcW w:w="3696"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highlight w:val="green"/>
              </w:rPr>
            </w:pPr>
            <w:r>
              <w:rPr/>
              <w:t>počet vedúcich zamestnancov</w:t>
            </w:r>
          </w:p>
        </w:tc>
        <w:tc>
          <w:tcPr>
            <w:tcW w:w="2650" w:type="dxa"/>
            <w:tcBorders>
              <w:top w:val="single" w:sz="4"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spacing w:lineRule="auto" w:line="360"/>
              <w:jc w:val="center"/>
              <w:rPr>
                <w:highlight w:val="green"/>
              </w:rPr>
            </w:pPr>
            <w:r>
              <w:rPr/>
              <w:t>1</w:t>
            </w:r>
          </w:p>
        </w:tc>
        <w:tc>
          <w:tcPr>
            <w:tcW w:w="2895" w:type="dxa"/>
            <w:tcBorders>
              <w:top w:val="single" w:sz="4"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spacing w:lineRule="auto" w:line="360"/>
              <w:jc w:val="center"/>
              <w:rPr/>
            </w:pPr>
            <w:r>
              <w:rPr/>
              <w:t>1</w:t>
            </w:r>
          </w:p>
        </w:tc>
      </w:tr>
    </w:tbl>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Nadpis2"/>
        <w:keepNext w:val="true"/>
        <w:widowControl w:val="false"/>
        <w:numPr>
          <w:ilvl w:val="0"/>
          <w:numId w:val="4"/>
        </w:numPr>
        <w:suppressAutoHyphens w:val="false"/>
        <w:rPr/>
      </w:pPr>
      <w:r>
        <w:rPr>
          <w:rFonts w:cs="Arial"/>
          <w:szCs w:val="18"/>
        </w:rPr>
        <w:t>Údaje o neobmedzenom ručení</w:t>
      </w:r>
    </w:p>
    <w:p>
      <w:pPr>
        <w:pStyle w:val="Normal"/>
        <w:widowControl w:val="false"/>
        <w:suppressAutoHyphens w:val="false"/>
        <w:jc w:val="both"/>
        <w:rPr>
          <w:rFonts w:ascii="Times New Roman" w:hAnsi="Times New Roman" w:cs="Arial"/>
          <w:szCs w:val="18"/>
        </w:rPr>
      </w:pPr>
      <w:r>
        <w:rPr>
          <w:rFonts w:cs="Arial" w:ascii="Times New Roman" w:hAnsi="Times New Roman"/>
          <w:szCs w:val="18"/>
        </w:rPr>
      </w:r>
    </w:p>
    <w:p>
      <w:pPr>
        <w:pStyle w:val="Normal"/>
        <w:widowControl w:val="false"/>
        <w:suppressAutoHyphens w:val="false"/>
        <w:jc w:val="both"/>
        <w:rPr/>
      </w:pPr>
      <w:r>
        <w:rPr>
          <w:rFonts w:cs="Arial"/>
          <w:szCs w:val="18"/>
        </w:rPr>
        <w:t>Spoločnosť nie je neobmedzene ručiacim spoločníkom v iných spoločnostiach podľa § 56 ods. 5 Obchodného zákonníka.</w:t>
      </w:r>
    </w:p>
    <w:p>
      <w:pPr>
        <w:pStyle w:val="Telotextu"/>
        <w:widowControl w:val="false"/>
        <w:suppressAutoHyphens w:val="false"/>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Právny dôvod na zostavenie účtovnej závierky</w:t>
      </w:r>
    </w:p>
    <w:p>
      <w:pPr>
        <w:pStyle w:val="Telotextu"/>
        <w:widowControl w:val="false"/>
        <w:suppressAutoHyphens w:val="false"/>
        <w:ind w:left="426" w:hanging="426"/>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Účtovná závierka Spoločnosti k 31.12.2019 je zostavená ako riadna účtovná závierka podľa § 17 ods. 6 zákona</w:t>
      </w:r>
      <w:r>
        <w:rPr>
          <w:rFonts w:cs="Arial" w:ascii="Times New Roman" w:hAnsi="Times New Roman"/>
          <w:szCs w:val="18"/>
        </w:rPr>
        <w:t xml:space="preserve"> </w:t>
      </w:r>
      <w:r>
        <w:rPr>
          <w:rFonts w:cs="Arial"/>
          <w:szCs w:val="18"/>
        </w:rPr>
        <w:t>NR SR č. 431/2002 Z.z. o účtovníctve za účtovné obdobie od 01.01.2019 do 31.12.2019</w:t>
      </w:r>
    </w:p>
    <w:p>
      <w:pPr>
        <w:pStyle w:val="Telotextu"/>
        <w:widowControl w:val="false"/>
        <w:suppressAutoHyphens w:val="false"/>
        <w:ind w:left="426" w:hanging="426"/>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Dátum schválenia účtovnej závierky za predchádzajúce účtovné obdobie</w:t>
      </w:r>
    </w:p>
    <w:p>
      <w:pPr>
        <w:pStyle w:val="Telotextu"/>
        <w:widowControl w:val="false"/>
        <w:suppressAutoHyphens w:val="false"/>
        <w:ind w:left="360" w:hanging="0"/>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Účtovná závierka Spoločnosti k 31.12.2018, za predchádzajúce účtovné obdobie zostavená dňa 27.03.2019, bola schválená valným zhromaždením Spoločnosti 31.10.2019.</w:t>
      </w:r>
    </w:p>
    <w:p>
      <w:pPr>
        <w:pStyle w:val="Telotextu"/>
        <w:widowControl w:val="false"/>
        <w:suppressAutoHyphens w:val="false"/>
        <w:ind w:left="426" w:hanging="426"/>
        <w:rPr>
          <w:rFonts w:cs="Arial"/>
          <w:szCs w:val="18"/>
        </w:rPr>
      </w:pPr>
      <w:r>
        <w:rPr>
          <w:rFonts w:cs="Arial"/>
          <w:szCs w:val="18"/>
        </w:rPr>
      </w:r>
    </w:p>
    <w:p>
      <w:pPr>
        <w:pStyle w:val="Nadpis2"/>
        <w:keepNext w:val="true"/>
        <w:widowControl w:val="false"/>
        <w:numPr>
          <w:ilvl w:val="0"/>
          <w:numId w:val="4"/>
        </w:numPr>
        <w:suppressAutoHyphens w:val="false"/>
        <w:rPr>
          <w:rFonts w:cs="Arial"/>
          <w:szCs w:val="18"/>
        </w:rPr>
      </w:pPr>
      <w:r>
        <w:rPr>
          <w:rFonts w:cs="Arial"/>
          <w:szCs w:val="18"/>
        </w:rPr>
        <w:t>Zverejnenie účtovnej závierky za predchádzajúce účtovné obdobie</w:t>
      </w:r>
    </w:p>
    <w:p>
      <w:pPr>
        <w:pStyle w:val="Telotextu"/>
        <w:widowControl w:val="false"/>
        <w:suppressAutoHyphens w:val="false"/>
        <w:ind w:left="0" w:hanging="0"/>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r>
        <w:rPr>
          <w:rFonts w:cs="Arial"/>
          <w:szCs w:val="18"/>
        </w:rPr>
        <w:t>Účtovná závierka Spoločnosti k 31.12.2018 bola uložená do registra účtovných závierok 27.03.2019</w:t>
      </w:r>
    </w:p>
    <w:p>
      <w:pPr>
        <w:pStyle w:val="Telotextu"/>
        <w:widowControl w:val="false"/>
        <w:suppressAutoHyphens w:val="false"/>
        <w:rPr>
          <w:rFonts w:cs="Arial"/>
          <w:szCs w:val="18"/>
          <w:highlight w:val="yellow"/>
        </w:rPr>
      </w:pPr>
      <w:r>
        <w:rPr>
          <w:rFonts w:cs="Arial"/>
          <w:szCs w:val="18"/>
          <w:highlight w:val="yellow"/>
        </w:rPr>
      </w:r>
    </w:p>
    <w:p>
      <w:pPr>
        <w:pStyle w:val="Nadpis2"/>
        <w:keepNext w:val="true"/>
        <w:widowControl w:val="false"/>
        <w:numPr>
          <w:ilvl w:val="0"/>
          <w:numId w:val="4"/>
        </w:numPr>
        <w:suppressAutoHyphens w:val="false"/>
        <w:rPr>
          <w:rFonts w:cs="Arial"/>
          <w:szCs w:val="18"/>
        </w:rPr>
      </w:pPr>
      <w:r>
        <w:rPr>
          <w:rFonts w:cs="Arial"/>
          <w:szCs w:val="18"/>
        </w:rPr>
        <w:t>Schválenie audítora</w:t>
      </w:r>
    </w:p>
    <w:p>
      <w:pPr>
        <w:pStyle w:val="Telotextu"/>
        <w:widowControl w:val="false"/>
        <w:suppressAutoHyphens w:val="false"/>
        <w:ind w:left="0" w:hanging="0"/>
        <w:rPr>
          <w:rFonts w:ascii="Times New Roman" w:hAnsi="Times New Roman" w:cs="Arial"/>
          <w:szCs w:val="18"/>
        </w:rPr>
      </w:pPr>
      <w:r>
        <w:rPr>
          <w:rFonts w:cs="Arial" w:ascii="Times New Roman" w:hAnsi="Times New Roman"/>
          <w:szCs w:val="18"/>
        </w:rPr>
      </w:r>
    </w:p>
    <w:p>
      <w:pPr>
        <w:pStyle w:val="Telotextu"/>
        <w:widowControl w:val="false"/>
        <w:suppressAutoHyphens w:val="false"/>
        <w:ind w:left="0" w:hanging="0"/>
        <w:rPr/>
      </w:pPr>
      <w:bookmarkStart w:id="1" w:name="OLE_LINK13"/>
      <w:bookmarkStart w:id="2" w:name="OLE_LINK14"/>
      <w:bookmarkEnd w:id="1"/>
      <w:bookmarkEnd w:id="2"/>
      <w:r>
        <w:rPr>
          <w:rFonts w:cs="Arial"/>
          <w:szCs w:val="18"/>
        </w:rPr>
        <w:t>Overenie účtovnej závierky za účtovné obdobie od 01.01.2019 do 31.12.2019 audítorom sa nevyžaduje.</w:t>
      </w:r>
    </w:p>
    <w:p>
      <w:pPr>
        <w:pStyle w:val="Telotextu"/>
        <w:widowControl w:val="false"/>
        <w:suppressAutoHyphens w:val="false"/>
        <w:jc w:val="left"/>
        <w:rPr>
          <w:rFonts w:cs="Arial"/>
          <w:szCs w:val="18"/>
        </w:rPr>
      </w:pPr>
      <w:r>
        <w:rPr>
          <w:rFonts w:cs="Arial"/>
          <w:szCs w:val="18"/>
        </w:rPr>
      </w:r>
    </w:p>
    <w:p>
      <w:pPr>
        <w:pStyle w:val="Telotextu"/>
        <w:widowControl w:val="false"/>
        <w:suppressAutoHyphens w:val="false"/>
        <w:jc w:val="left"/>
        <w:rPr>
          <w:rFonts w:cs="Arial"/>
          <w:szCs w:val="18"/>
        </w:rPr>
      </w:pPr>
      <w:r>
        <w:rPr>
          <w:rFonts w:cs="Arial"/>
          <w:szCs w:val="18"/>
        </w:rPr>
      </w:r>
    </w:p>
    <w:p>
      <w:pPr>
        <w:pStyle w:val="Nadpis1"/>
        <w:keepNext w:val="true"/>
        <w:widowControl w:val="false"/>
        <w:numPr>
          <w:ilvl w:val="0"/>
          <w:numId w:val="3"/>
        </w:numPr>
        <w:suppressAutoHyphens w:val="false"/>
        <w:rPr/>
      </w:pPr>
      <w:r>
        <w:rPr>
          <w:rFonts w:cs="Arial"/>
        </w:rPr>
        <w:t>Informácie o orgánoch účtovnej jednotky</w:t>
      </w:r>
    </w:p>
    <w:p>
      <w:pPr>
        <w:pStyle w:val="Normal"/>
        <w:widowControl w:val="false"/>
        <w:suppressAutoHyphens w:val="false"/>
        <w:rPr>
          <w:rFonts w:cs="Arial"/>
          <w:szCs w:val="18"/>
        </w:rPr>
      </w:pPr>
      <w:r>
        <w:rPr>
          <w:rFonts w:cs="Arial"/>
          <w:szCs w:val="18"/>
        </w:rPr>
      </w:r>
    </w:p>
    <w:p>
      <w:pPr>
        <w:pStyle w:val="Telotextu"/>
        <w:widowControl w:val="false"/>
        <w:suppressAutoHyphens w:val="false"/>
        <w:ind w:left="0" w:hanging="0"/>
        <w:rPr>
          <w:szCs w:val="18"/>
        </w:rPr>
      </w:pPr>
      <w:r>
        <w:rPr>
          <w:rFonts w:cs="Arial"/>
          <w:szCs w:val="18"/>
        </w:rPr>
        <w:t>Konatelia</w:t>
      </w:r>
      <w:r>
        <w:rPr>
          <w:rFonts w:cs="Arial" w:ascii="Times New Roman" w:hAnsi="Times New Roman"/>
          <w:szCs w:val="18"/>
        </w:rPr>
        <w:t xml:space="preserve">: </w:t>
      </w:r>
      <w:r>
        <w:rPr>
          <w:rFonts w:cs="Arial"/>
          <w:szCs w:val="18"/>
        </w:rPr>
        <w:t>Ing. Robert Kossuth</w:t>
      </w:r>
    </w:p>
    <w:p>
      <w:pPr>
        <w:pStyle w:val="Telotextu"/>
        <w:widowControl w:val="false"/>
        <w:suppressAutoHyphens w:val="false"/>
        <w:rPr/>
      </w:pPr>
      <w:r>
        <w:rPr>
          <w:szCs w:val="18"/>
        </w:rPr>
        <w:tab/>
        <w:tab/>
        <w:tab/>
      </w:r>
    </w:p>
    <w:p>
      <w:pPr>
        <w:pStyle w:val="Nadpis1"/>
        <w:keepNext w:val="true"/>
        <w:widowControl w:val="false"/>
        <w:numPr>
          <w:ilvl w:val="0"/>
          <w:numId w:val="5"/>
        </w:numPr>
        <w:suppressAutoHyphens w:val="false"/>
        <w:rPr>
          <w:rFonts w:cs="Arial"/>
          <w:szCs w:val="18"/>
        </w:rPr>
      </w:pPr>
      <w:r>
        <w:rPr>
          <w:rFonts w:cs="Arial"/>
        </w:rPr>
        <w:t>informácie o spoločníkoch účtovnej jednotky</w:t>
      </w:r>
    </w:p>
    <w:p>
      <w:pPr>
        <w:pStyle w:val="Normal"/>
        <w:widowControl w:val="false"/>
        <w:suppressAutoHyphens w:val="false"/>
        <w:rPr>
          <w:rFonts w:cs="Arial"/>
          <w:szCs w:val="18"/>
        </w:rPr>
      </w:pPr>
      <w:r>
        <w:rPr>
          <w:rFonts w:cs="Arial"/>
          <w:szCs w:val="18"/>
        </w:rPr>
      </w:r>
    </w:p>
    <w:p>
      <w:pPr>
        <w:pStyle w:val="Telotextu"/>
        <w:widowControl w:val="false"/>
        <w:suppressAutoHyphens w:val="false"/>
        <w:ind w:left="0" w:hanging="0"/>
        <w:rPr/>
      </w:pPr>
      <w:r>
        <w:rPr>
          <w:rFonts w:cs="Arial"/>
          <w:szCs w:val="18"/>
        </w:rPr>
        <w:t xml:space="preserve">Základné imanie spoločnosti je 5000 EUR. Štruktúra spoločníkov k 31.12.2018 je takáto: </w:t>
      </w:r>
    </w:p>
    <w:p>
      <w:pPr>
        <w:pStyle w:val="Telotextu"/>
        <w:widowControl w:val="false"/>
        <w:suppressAutoHyphens w:val="false"/>
        <w:rPr>
          <w:rFonts w:cs="Arial"/>
          <w:szCs w:val="18"/>
        </w:rPr>
      </w:pPr>
      <w:r>
        <w:rPr>
          <w:rFonts w:cs="Arial"/>
          <w:szCs w:val="18"/>
        </w:rPr>
      </w:r>
    </w:p>
    <w:p>
      <w:pPr>
        <w:pStyle w:val="Telotextu"/>
        <w:widowControl w:val="false"/>
        <w:suppressAutoHyphens w:val="false"/>
        <w:rPr>
          <w:szCs w:val="18"/>
        </w:rPr>
      </w:pPr>
      <w:r>
        <w:rPr>
          <w:szCs w:val="18"/>
        </w:rPr>
      </w:r>
    </w:p>
    <w:tbl>
      <w:tblPr>
        <w:tblW w:w="5000" w:type="pct"/>
        <w:jc w:val="center"/>
        <w:tblInd w:w="0" w:type="dxa"/>
        <w:tblCellMar>
          <w:top w:w="0" w:type="dxa"/>
          <w:left w:w="15" w:type="dxa"/>
          <w:bottom w:w="0" w:type="dxa"/>
          <w:right w:w="79" w:type="dxa"/>
        </w:tblCellMar>
        <w:tblLook w:val="00a0"/>
      </w:tblPr>
      <w:tblGrid>
        <w:gridCol w:w="2747"/>
        <w:gridCol w:w="1594"/>
        <w:gridCol w:w="1543"/>
        <w:gridCol w:w="3"/>
        <w:gridCol w:w="1748"/>
        <w:gridCol w:w="1606"/>
      </w:tblGrid>
      <w:tr>
        <w:trPr>
          <w:trHeight w:val="231" w:hRule="atLeast"/>
        </w:trPr>
        <w:tc>
          <w:tcPr>
            <w:tcW w:w="2747"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bookmarkStart w:id="3" w:name="_1410865165"/>
            <w:bookmarkEnd w:id="3"/>
            <w:r>
              <w:rPr>
                <w:b/>
                <w:bCs/>
              </w:rPr>
              <w:t>Spoločník, akcionár</w:t>
            </w:r>
          </w:p>
        </w:tc>
        <w:tc>
          <w:tcPr>
            <w:tcW w:w="3140"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Výška podielu na základnom imaní</w:t>
            </w:r>
          </w:p>
        </w:tc>
        <w:tc>
          <w:tcPr>
            <w:tcW w:w="174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Podiel na hlasovacích právach v %</w:t>
            </w:r>
          </w:p>
        </w:tc>
        <w:tc>
          <w:tcPr>
            <w:tcW w:w="1606"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Iný podiel na ostatných položkách VI ako na ZI</w:t>
            </w:r>
          </w:p>
          <w:p>
            <w:pPr>
              <w:pStyle w:val="Normal"/>
              <w:widowControl w:val="false"/>
              <w:suppressAutoHyphens w:val="false"/>
              <w:jc w:val="center"/>
              <w:rPr>
                <w:b/>
                <w:b/>
                <w:bCs/>
              </w:rPr>
            </w:pPr>
            <w:r>
              <w:rPr>
                <w:b/>
                <w:bCs/>
              </w:rPr>
              <w:t>v %</w:t>
            </w:r>
          </w:p>
        </w:tc>
      </w:tr>
      <w:tr>
        <w:trPr>
          <w:trHeight w:val="231" w:hRule="atLeast"/>
        </w:trPr>
        <w:tc>
          <w:tcPr>
            <w:tcW w:w="2747" w:type="dxa"/>
            <w:vMerge w:val="continue"/>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pPr>
            <w:r>
              <w:rPr/>
            </w:r>
          </w:p>
        </w:tc>
        <w:tc>
          <w:tcPr>
            <w:tcW w:w="159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absolútne</w:t>
            </w:r>
          </w:p>
        </w:tc>
        <w:tc>
          <w:tcPr>
            <w:tcW w:w="154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b/>
                <w:b/>
                <w:bCs/>
              </w:rPr>
            </w:pPr>
            <w:r>
              <w:rPr>
                <w:b/>
                <w:bCs/>
              </w:rPr>
              <w:t>v %</w:t>
            </w:r>
          </w:p>
        </w:tc>
        <w:tc>
          <w:tcPr>
            <w:tcW w:w="1751"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pPr>
            <w:r>
              <w:rPr/>
            </w:r>
          </w:p>
        </w:tc>
        <w:tc>
          <w:tcPr>
            <w:tcW w:w="1606" w:type="dxa"/>
            <w:vMerge w:val="continue"/>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pPr>
            <w:r>
              <w:rPr/>
            </w:r>
          </w:p>
        </w:tc>
      </w:tr>
      <w:tr>
        <w:trPr>
          <w:trHeight w:val="107" w:hRule="atLeast"/>
        </w:trPr>
        <w:tc>
          <w:tcPr>
            <w:tcW w:w="2747"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t>a</w:t>
            </w:r>
          </w:p>
        </w:tc>
        <w:tc>
          <w:tcPr>
            <w:tcW w:w="1594" w:type="dxa"/>
            <w:tcBorders>
              <w:top w:val="single" w:sz="12" w:space="0" w:color="00000A"/>
              <w:left w:val="single" w:sz="12" w:space="0" w:color="00000A"/>
              <w:bottom w:val="single" w:sz="12" w:space="0" w:color="00000A"/>
              <w:right w:val="single" w:sz="12" w:space="0" w:color="00000A"/>
            </w:tcBorders>
            <w:shd w:fill="auto" w:val="clear"/>
            <w:vAlign w:val="bottom"/>
          </w:tcPr>
          <w:p>
            <w:pPr>
              <w:pStyle w:val="Normal"/>
              <w:widowControl w:val="false"/>
              <w:suppressAutoHyphens w:val="false"/>
              <w:jc w:val="center"/>
              <w:rPr>
                <w:lang w:eastAsia="sk-SK"/>
              </w:rPr>
            </w:pPr>
            <w:r>
              <w:rPr>
                <w:lang w:eastAsia="sk-SK"/>
              </w:rPr>
              <w:t>b</w:t>
            </w:r>
          </w:p>
        </w:tc>
        <w:tc>
          <w:tcPr>
            <w:tcW w:w="1543" w:type="dxa"/>
            <w:tcBorders>
              <w:top w:val="single" w:sz="12" w:space="0" w:color="00000A"/>
              <w:left w:val="single" w:sz="12" w:space="0" w:color="00000A"/>
              <w:bottom w:val="single" w:sz="12" w:space="0" w:color="00000A"/>
              <w:right w:val="single" w:sz="12" w:space="0" w:color="00000A"/>
            </w:tcBorders>
            <w:shd w:fill="auto" w:val="clear"/>
            <w:vAlign w:val="bottom"/>
          </w:tcPr>
          <w:p>
            <w:pPr>
              <w:pStyle w:val="Normal"/>
              <w:widowControl w:val="false"/>
              <w:suppressAutoHyphens w:val="false"/>
              <w:jc w:val="center"/>
              <w:rPr>
                <w:rFonts w:ascii="Times New Roman" w:hAnsi="Times New Roman"/>
                <w:lang w:eastAsia="sk-SK"/>
              </w:rPr>
            </w:pPr>
            <w:r>
              <w:rPr/>
              <w:t>c</w:t>
            </w:r>
          </w:p>
        </w:tc>
        <w:tc>
          <w:tcPr>
            <w:tcW w:w="1751"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t>d</w:t>
            </w:r>
          </w:p>
        </w:tc>
        <w:tc>
          <w:tcPr>
            <w:tcW w:w="1606" w:type="dxa"/>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t>e</w:t>
            </w:r>
          </w:p>
        </w:tc>
      </w:tr>
      <w:tr>
        <w:trPr>
          <w:trHeight w:val="278" w:hRule="atLeast"/>
        </w:trPr>
        <w:tc>
          <w:tcPr>
            <w:tcW w:w="2747" w:type="dxa"/>
            <w:tcBorders>
              <w:top w:val="single" w:sz="12" w:space="0" w:color="00000A"/>
              <w:left w:val="single" w:sz="12" w:space="0" w:color="00000A"/>
              <w:bottom w:val="single" w:sz="6" w:space="0" w:color="00000A"/>
              <w:right w:val="single" w:sz="12" w:space="0" w:color="00000A"/>
            </w:tcBorders>
            <w:shd w:fill="auto" w:val="clear"/>
          </w:tcPr>
          <w:p>
            <w:pPr>
              <w:pStyle w:val="Normal"/>
              <w:widowControl w:val="false"/>
              <w:suppressAutoHyphens w:val="false"/>
              <w:rPr/>
            </w:pPr>
            <w:r>
              <w:rPr/>
              <w:t>Ing.Robert Kossuth</w:t>
            </w:r>
          </w:p>
        </w:tc>
        <w:tc>
          <w:tcPr>
            <w:tcW w:w="1594" w:type="dxa"/>
            <w:tcBorders>
              <w:top w:val="single" w:sz="12" w:space="0" w:color="00000A"/>
              <w:left w:val="single" w:sz="12" w:space="0" w:color="00000A"/>
              <w:bottom w:val="single" w:sz="6" w:space="0" w:color="00000A"/>
              <w:right w:val="single" w:sz="6" w:space="0" w:color="00000A"/>
            </w:tcBorders>
            <w:shd w:fill="auto" w:val="clear"/>
            <w:vAlign w:val="bottom"/>
          </w:tcPr>
          <w:p>
            <w:pPr>
              <w:pStyle w:val="Normal"/>
              <w:widowControl w:val="false"/>
              <w:suppressAutoHyphens w:val="false"/>
              <w:jc w:val="center"/>
              <w:rPr/>
            </w:pPr>
            <w:r>
              <w:rPr>
                <w:lang w:eastAsia="sk-SK"/>
              </w:rPr>
              <w:t>2450</w:t>
            </w:r>
          </w:p>
        </w:tc>
        <w:tc>
          <w:tcPr>
            <w:tcW w:w="1543" w:type="dxa"/>
            <w:tcBorders>
              <w:top w:val="single" w:sz="12" w:space="0" w:color="00000A"/>
              <w:left w:val="single" w:sz="6" w:space="0" w:color="00000A"/>
              <w:bottom w:val="single" w:sz="6" w:space="0" w:color="00000A"/>
              <w:right w:val="single" w:sz="6" w:space="0" w:color="00000A"/>
            </w:tcBorders>
            <w:shd w:fill="auto" w:val="clear"/>
            <w:tcMar>
              <w:left w:w="2" w:type="dxa"/>
            </w:tcMar>
            <w:vAlign w:val="bottom"/>
          </w:tcPr>
          <w:p>
            <w:pPr>
              <w:pStyle w:val="Normal"/>
              <w:widowControl w:val="false"/>
              <w:suppressAutoHyphens w:val="false"/>
              <w:jc w:val="center"/>
              <w:rPr/>
            </w:pPr>
            <w:r>
              <w:rPr>
                <w:lang w:eastAsia="sk-SK"/>
              </w:rPr>
              <w:t>49</w:t>
            </w:r>
          </w:p>
        </w:tc>
        <w:tc>
          <w:tcPr>
            <w:tcW w:w="1751" w:type="dxa"/>
            <w:gridSpan w:val="2"/>
            <w:tcBorders>
              <w:top w:val="single" w:sz="12" w:space="0" w:color="00000A"/>
              <w:left w:val="single" w:sz="6" w:space="0" w:color="00000A"/>
              <w:bottom w:val="single" w:sz="6" w:space="0" w:color="00000A"/>
              <w:right w:val="single" w:sz="6" w:space="0" w:color="00000A"/>
            </w:tcBorders>
            <w:shd w:fill="auto" w:val="clear"/>
            <w:tcMar>
              <w:left w:w="2" w:type="dxa"/>
            </w:tcMar>
          </w:tcPr>
          <w:p>
            <w:pPr>
              <w:pStyle w:val="Normal"/>
              <w:widowControl w:val="false"/>
              <w:suppressAutoHyphens w:val="false"/>
              <w:jc w:val="center"/>
              <w:rPr/>
            </w:pPr>
            <w:r>
              <w:rPr/>
              <w:t>49</w:t>
            </w:r>
          </w:p>
        </w:tc>
        <w:tc>
          <w:tcPr>
            <w:tcW w:w="1606" w:type="dxa"/>
            <w:tcBorders>
              <w:top w:val="single" w:sz="12" w:space="0" w:color="00000A"/>
              <w:left w:val="single" w:sz="6" w:space="0" w:color="00000A"/>
              <w:bottom w:val="single" w:sz="6" w:space="0" w:color="00000A"/>
              <w:right w:val="single" w:sz="12" w:space="0" w:color="00000A"/>
            </w:tcBorders>
            <w:shd w:fill="auto" w:val="clear"/>
            <w:tcMar>
              <w:left w:w="2" w:type="dxa"/>
            </w:tcMar>
          </w:tcPr>
          <w:p>
            <w:pPr>
              <w:pStyle w:val="Normal"/>
              <w:widowControl w:val="false"/>
              <w:suppressAutoHyphens w:val="false"/>
              <w:jc w:val="center"/>
              <w:rPr/>
            </w:pPr>
            <w:r>
              <w:rPr/>
              <w:t>49</w:t>
            </w:r>
          </w:p>
        </w:tc>
      </w:tr>
      <w:tr>
        <w:trPr>
          <w:trHeight w:val="278" w:hRule="atLeast"/>
        </w:trPr>
        <w:tc>
          <w:tcPr>
            <w:tcW w:w="2747" w:type="dxa"/>
            <w:tcBorders>
              <w:top w:val="single" w:sz="6" w:space="0" w:color="00000A"/>
              <w:left w:val="single" w:sz="12" w:space="0" w:color="00000A"/>
              <w:bottom w:val="single" w:sz="6" w:space="0" w:color="00000A"/>
              <w:right w:val="single" w:sz="12" w:space="0" w:color="00000A"/>
            </w:tcBorders>
            <w:shd w:fill="auto" w:val="clear"/>
          </w:tcPr>
          <w:p>
            <w:pPr>
              <w:pStyle w:val="Normal"/>
              <w:widowControl w:val="false"/>
              <w:suppressAutoHyphens w:val="false"/>
              <w:rPr/>
            </w:pPr>
            <w:r>
              <w:rPr/>
              <w:t>ViaSlovakia travel, s.r.o.</w:t>
            </w:r>
          </w:p>
        </w:tc>
        <w:tc>
          <w:tcPr>
            <w:tcW w:w="1594" w:type="dxa"/>
            <w:tcBorders>
              <w:top w:val="single" w:sz="6" w:space="0" w:color="00000A"/>
              <w:left w:val="single" w:sz="12" w:space="0" w:color="00000A"/>
              <w:bottom w:val="single" w:sz="6" w:space="0" w:color="00000A"/>
              <w:right w:val="single" w:sz="6" w:space="0" w:color="00000A"/>
            </w:tcBorders>
            <w:shd w:fill="auto" w:val="clear"/>
            <w:vAlign w:val="bottom"/>
          </w:tcPr>
          <w:p>
            <w:pPr>
              <w:pStyle w:val="Normal"/>
              <w:widowControl w:val="false"/>
              <w:suppressAutoHyphens w:val="false"/>
              <w:jc w:val="center"/>
              <w:rPr/>
            </w:pPr>
            <w:r>
              <w:rPr>
                <w:lang w:eastAsia="sk-SK"/>
              </w:rPr>
              <w:t>2550</w:t>
            </w:r>
          </w:p>
        </w:tc>
        <w:tc>
          <w:tcPr>
            <w:tcW w:w="1543" w:type="dxa"/>
            <w:tcBorders>
              <w:top w:val="single" w:sz="6" w:space="0" w:color="00000A"/>
              <w:left w:val="single" w:sz="6" w:space="0" w:color="00000A"/>
              <w:bottom w:val="single" w:sz="6" w:space="0" w:color="00000A"/>
              <w:right w:val="single" w:sz="6" w:space="0" w:color="00000A"/>
            </w:tcBorders>
            <w:shd w:fill="auto" w:val="clear"/>
            <w:tcMar>
              <w:left w:w="2" w:type="dxa"/>
            </w:tcMar>
            <w:vAlign w:val="bottom"/>
          </w:tcPr>
          <w:p>
            <w:pPr>
              <w:pStyle w:val="Normal"/>
              <w:widowControl w:val="false"/>
              <w:suppressAutoHyphens w:val="false"/>
              <w:jc w:val="center"/>
              <w:rPr/>
            </w:pPr>
            <w:r>
              <w:rPr>
                <w:lang w:eastAsia="sk-SK"/>
              </w:rPr>
              <w:t>51</w:t>
            </w:r>
          </w:p>
        </w:tc>
        <w:tc>
          <w:tcPr>
            <w:tcW w:w="1751" w:type="dxa"/>
            <w:gridSpan w:val="2"/>
            <w:tcBorders>
              <w:top w:val="single" w:sz="6" w:space="0" w:color="00000A"/>
              <w:left w:val="single" w:sz="6" w:space="0" w:color="00000A"/>
              <w:bottom w:val="single" w:sz="6" w:space="0" w:color="00000A"/>
              <w:right w:val="single" w:sz="6" w:space="0" w:color="00000A"/>
            </w:tcBorders>
            <w:shd w:fill="auto" w:val="clear"/>
            <w:tcMar>
              <w:left w:w="2" w:type="dxa"/>
            </w:tcMar>
          </w:tcPr>
          <w:p>
            <w:pPr>
              <w:pStyle w:val="Normal"/>
              <w:widowControl w:val="false"/>
              <w:suppressAutoHyphens w:val="false"/>
              <w:jc w:val="center"/>
              <w:rPr/>
            </w:pPr>
            <w:r>
              <w:rPr>
                <w:lang w:eastAsia="sk-SK"/>
              </w:rPr>
              <w:t>51</w:t>
            </w:r>
          </w:p>
        </w:tc>
        <w:tc>
          <w:tcPr>
            <w:tcW w:w="1606" w:type="dxa"/>
            <w:tcBorders>
              <w:top w:val="single" w:sz="6" w:space="0" w:color="00000A"/>
              <w:left w:val="single" w:sz="6" w:space="0" w:color="00000A"/>
              <w:bottom w:val="single" w:sz="6" w:space="0" w:color="00000A"/>
              <w:right w:val="single" w:sz="12" w:space="0" w:color="00000A"/>
            </w:tcBorders>
            <w:shd w:fill="auto" w:val="clear"/>
            <w:tcMar>
              <w:left w:w="2" w:type="dxa"/>
            </w:tcMar>
          </w:tcPr>
          <w:p>
            <w:pPr>
              <w:pStyle w:val="Normal"/>
              <w:widowControl w:val="false"/>
              <w:suppressAutoHyphens w:val="false"/>
              <w:jc w:val="center"/>
              <w:rPr/>
            </w:pPr>
            <w:r>
              <w:rPr>
                <w:lang w:eastAsia="sk-SK"/>
              </w:rPr>
              <w:t>51</w:t>
            </w:r>
          </w:p>
        </w:tc>
      </w:tr>
      <w:tr>
        <w:trPr>
          <w:trHeight w:val="278" w:hRule="atLeast"/>
        </w:trPr>
        <w:tc>
          <w:tcPr>
            <w:tcW w:w="2747" w:type="dxa"/>
            <w:tcBorders>
              <w:top w:val="single" w:sz="6"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rPr>
                <w:b/>
                <w:b/>
                <w:bCs/>
              </w:rPr>
            </w:pPr>
            <w:r>
              <w:rPr>
                <w:b/>
                <w:bCs/>
              </w:rPr>
              <w:t>Spolu</w:t>
            </w:r>
          </w:p>
        </w:tc>
        <w:tc>
          <w:tcPr>
            <w:tcW w:w="1594" w:type="dxa"/>
            <w:tcBorders>
              <w:top w:val="single" w:sz="6" w:space="0" w:color="00000A"/>
              <w:left w:val="single" w:sz="12" w:space="0" w:color="00000A"/>
              <w:bottom w:val="single" w:sz="12" w:space="0" w:color="00000A"/>
              <w:right w:val="single" w:sz="6" w:space="0" w:color="00000A"/>
            </w:tcBorders>
            <w:shd w:fill="auto" w:val="clear"/>
            <w:vAlign w:val="bottom"/>
          </w:tcPr>
          <w:p>
            <w:pPr>
              <w:pStyle w:val="Normal"/>
              <w:widowControl w:val="false"/>
              <w:suppressAutoHyphens w:val="false"/>
              <w:jc w:val="center"/>
              <w:rPr/>
            </w:pPr>
            <w:r>
              <w:rPr>
                <w:lang w:eastAsia="sk-SK"/>
              </w:rPr>
              <w:t>5000</w:t>
            </w:r>
          </w:p>
        </w:tc>
        <w:tc>
          <w:tcPr>
            <w:tcW w:w="1543" w:type="dxa"/>
            <w:tcBorders>
              <w:top w:val="single" w:sz="6" w:space="0" w:color="00000A"/>
              <w:left w:val="single" w:sz="6" w:space="0" w:color="00000A"/>
              <w:bottom w:val="single" w:sz="12" w:space="0" w:color="00000A"/>
              <w:right w:val="single" w:sz="6" w:space="0" w:color="00000A"/>
            </w:tcBorders>
            <w:shd w:fill="auto" w:val="clear"/>
            <w:tcMar>
              <w:left w:w="2" w:type="dxa"/>
            </w:tcMar>
            <w:vAlign w:val="bottom"/>
          </w:tcPr>
          <w:p>
            <w:pPr>
              <w:pStyle w:val="Normal"/>
              <w:widowControl w:val="false"/>
              <w:suppressAutoHyphens w:val="false"/>
              <w:jc w:val="center"/>
              <w:rPr/>
            </w:pPr>
            <w:r>
              <w:rPr>
                <w:lang w:eastAsia="sk-SK"/>
              </w:rPr>
              <w:t>100</w:t>
            </w:r>
          </w:p>
        </w:tc>
        <w:tc>
          <w:tcPr>
            <w:tcW w:w="1751" w:type="dxa"/>
            <w:gridSpan w:val="2"/>
            <w:tcBorders>
              <w:top w:val="single" w:sz="6" w:space="0" w:color="00000A"/>
              <w:left w:val="single" w:sz="6" w:space="0" w:color="00000A"/>
              <w:bottom w:val="single" w:sz="12" w:space="0" w:color="00000A"/>
              <w:right w:val="single" w:sz="6" w:space="0" w:color="00000A"/>
            </w:tcBorders>
            <w:shd w:fill="auto" w:val="clear"/>
            <w:tcMar>
              <w:left w:w="2" w:type="dxa"/>
            </w:tcMar>
          </w:tcPr>
          <w:p>
            <w:pPr>
              <w:pStyle w:val="Normal"/>
              <w:widowControl w:val="false"/>
              <w:suppressAutoHyphens w:val="false"/>
              <w:jc w:val="center"/>
              <w:rPr>
                <w:lang w:eastAsia="sk-SK"/>
              </w:rPr>
            </w:pPr>
            <w:r>
              <w:rPr>
                <w:lang w:eastAsia="sk-SK"/>
              </w:rPr>
              <w:t>100</w:t>
            </w:r>
          </w:p>
        </w:tc>
        <w:tc>
          <w:tcPr>
            <w:tcW w:w="1606" w:type="dxa"/>
            <w:tcBorders>
              <w:top w:val="single" w:sz="6" w:space="0" w:color="00000A"/>
              <w:left w:val="single" w:sz="6" w:space="0" w:color="00000A"/>
              <w:bottom w:val="single" w:sz="12" w:space="0" w:color="00000A"/>
              <w:right w:val="single" w:sz="12" w:space="0" w:color="00000A"/>
            </w:tcBorders>
            <w:shd w:fill="auto" w:val="clear"/>
            <w:tcMar>
              <w:left w:w="2" w:type="dxa"/>
            </w:tcMar>
          </w:tcPr>
          <w:p>
            <w:pPr>
              <w:pStyle w:val="Normal"/>
              <w:widowControl w:val="false"/>
              <w:suppressAutoHyphens w:val="false"/>
              <w:jc w:val="center"/>
              <w:rPr>
                <w:lang w:eastAsia="sk-SK"/>
              </w:rPr>
            </w:pPr>
            <w:r>
              <w:rPr>
                <w:lang w:eastAsia="sk-SK"/>
              </w:rPr>
              <w:t>100</w:t>
            </w:r>
          </w:p>
        </w:tc>
      </w:tr>
    </w:tbl>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Telotextu"/>
        <w:widowControl w:val="false"/>
        <w:suppressAutoHyphens w:val="false"/>
        <w:ind w:left="0" w:hanging="0"/>
        <w:rPr>
          <w:szCs w:val="18"/>
        </w:rPr>
      </w:pPr>
      <w:r>
        <w:rPr>
          <w:szCs w:val="18"/>
        </w:rPr>
      </w:r>
    </w:p>
    <w:p>
      <w:pPr>
        <w:pStyle w:val="Nadpis1"/>
        <w:keepNext w:val="true"/>
        <w:widowControl w:val="false"/>
        <w:numPr>
          <w:ilvl w:val="0"/>
          <w:numId w:val="1"/>
        </w:numPr>
        <w:tabs>
          <w:tab w:val="clear" w:pos="708"/>
          <w:tab w:val="left" w:pos="360" w:leader="none"/>
        </w:tabs>
        <w:suppressAutoHyphens w:val="false"/>
        <w:spacing w:before="120" w:after="60"/>
        <w:rPr/>
      </w:pPr>
      <w:r>
        <w:rPr>
          <w:rFonts w:cs="Arial"/>
          <w:szCs w:val="18"/>
        </w:rPr>
        <w:t>Informácie o konsolidovanom celku</w:t>
      </w:r>
    </w:p>
    <w:p>
      <w:pPr>
        <w:pStyle w:val="Telotextu"/>
        <w:widowControl w:val="false"/>
        <w:suppressAutoHyphens w:val="false"/>
        <w:rPr>
          <w:rFonts w:cs="Arial"/>
          <w:szCs w:val="18"/>
        </w:rPr>
      </w:pPr>
      <w:r>
        <w:rPr>
          <w:rFonts w:cs="Arial"/>
          <w:szCs w:val="18"/>
        </w:rPr>
      </w:r>
    </w:p>
    <w:p>
      <w:pPr>
        <w:pStyle w:val="Telotextu"/>
        <w:widowControl w:val="false"/>
        <w:suppressAutoHyphens w:val="false"/>
        <w:ind w:left="0" w:hanging="0"/>
        <w:rPr>
          <w:rFonts w:cs="Arial"/>
          <w:b/>
          <w:b/>
          <w:szCs w:val="18"/>
        </w:rPr>
      </w:pPr>
      <w:r>
        <w:rPr>
          <w:rFonts w:cs="Arial"/>
          <w:b/>
          <w:szCs w:val="18"/>
        </w:rPr>
        <w:t xml:space="preserve">Nevypĺňa sa </w:t>
      </w:r>
    </w:p>
    <w:p>
      <w:pPr>
        <w:pStyle w:val="Normal"/>
        <w:widowControl w:val="false"/>
        <w:suppressAutoHyphens w:val="false"/>
        <w:rPr>
          <w:rFonts w:cs="Arial"/>
          <w:b/>
          <w:b/>
          <w:szCs w:val="18"/>
        </w:rPr>
      </w:pPr>
      <w:r>
        <w:rPr>
          <w:rFonts w:cs="Arial"/>
          <w:b/>
          <w:szCs w:val="18"/>
        </w:rPr>
      </w:r>
    </w:p>
    <w:p>
      <w:pPr>
        <w:pStyle w:val="Normal"/>
        <w:widowControl w:val="false"/>
        <w:suppressAutoHyphens w:val="false"/>
        <w:rPr>
          <w:szCs w:val="18"/>
        </w:rPr>
      </w:pPr>
      <w:r>
        <w:rPr>
          <w:szCs w:val="18"/>
        </w:rPr>
      </w:r>
    </w:p>
    <w:p>
      <w:pPr>
        <w:pStyle w:val="Nadpis1"/>
        <w:keepNext w:val="true"/>
        <w:widowControl w:val="false"/>
        <w:numPr>
          <w:ilvl w:val="0"/>
          <w:numId w:val="0"/>
        </w:numPr>
        <w:tabs>
          <w:tab w:val="clear" w:pos="708"/>
          <w:tab w:val="left" w:pos="426" w:leader="none"/>
        </w:tabs>
        <w:suppressAutoHyphens w:val="false"/>
        <w:spacing w:before="0" w:after="60"/>
        <w:rPr>
          <w:rFonts w:cs="Arial"/>
          <w:szCs w:val="18"/>
        </w:rPr>
      </w:pPr>
      <w:r>
        <w:rPr>
          <w:rFonts w:cs="Arial"/>
          <w:caps w:val="false"/>
          <w:smallCaps w:val="false"/>
          <w:szCs w:val="18"/>
        </w:rPr>
        <w:t>E</w:t>
      </w:r>
      <w:r>
        <w:rPr>
          <w:rFonts w:cs="Arial"/>
          <w:b w:val="false"/>
          <w:caps w:val="false"/>
          <w:smallCaps w:val="false"/>
          <w:szCs w:val="18"/>
        </w:rPr>
        <w:t>.</w:t>
      </w:r>
      <w:r>
        <w:rPr>
          <w:caps w:val="false"/>
          <w:smallCaps w:val="false"/>
          <w:szCs w:val="18"/>
        </w:rPr>
        <w:tab/>
      </w:r>
      <w:r>
        <w:rPr>
          <w:rFonts w:cs="Arial"/>
          <w:szCs w:val="18"/>
        </w:rPr>
        <w:t xml:space="preserve">Informácie o účtovných zásadách a účtovných metódach  </w:t>
      </w:r>
    </w:p>
    <w:p>
      <w:pPr>
        <w:pStyle w:val="Telotextu"/>
        <w:widowControl w:val="false"/>
        <w:suppressAutoHyphens w:val="false"/>
        <w:rPr>
          <w:rFonts w:cs="Arial"/>
          <w:szCs w:val="18"/>
        </w:rPr>
      </w:pPr>
      <w:r>
        <w:rPr>
          <w:rFonts w:cs="Arial"/>
          <w:szCs w:val="18"/>
        </w:rPr>
      </w:r>
    </w:p>
    <w:p>
      <w:pPr>
        <w:pStyle w:val="Pismenka"/>
        <w:widowControl w:val="false"/>
        <w:numPr>
          <w:ilvl w:val="0"/>
          <w:numId w:val="6"/>
        </w:numPr>
        <w:suppressAutoHyphens w:val="false"/>
        <w:ind w:left="426" w:hanging="360"/>
        <w:rPr>
          <w:rFonts w:cs="Arial"/>
          <w:szCs w:val="18"/>
        </w:rPr>
      </w:pPr>
      <w:r>
        <w:rPr>
          <w:rFonts w:cs="Arial"/>
          <w:szCs w:val="18"/>
        </w:rPr>
        <w:t>Východiská pre zostavenie účtovnej závierky</w:t>
      </w:r>
    </w:p>
    <w:p>
      <w:pPr>
        <w:pStyle w:val="Telotextu"/>
        <w:widowControl w:val="false"/>
        <w:suppressAutoHyphens w:val="false"/>
        <w:ind w:left="450" w:hanging="0"/>
        <w:rPr>
          <w:rFonts w:cs="Arial"/>
          <w:szCs w:val="18"/>
        </w:rPr>
      </w:pPr>
      <w:r>
        <w:rPr>
          <w:rFonts w:cs="Arial"/>
          <w:szCs w:val="18"/>
        </w:rPr>
        <w:t>Účtovná závierka bola zostavená za predpokladu, že Spoločnosť bude nepretržite pokračovať vo svojej činnosti (going concern).</w:t>
      </w:r>
    </w:p>
    <w:p>
      <w:pPr>
        <w:pStyle w:val="Telotextu"/>
        <w:widowControl w:val="false"/>
        <w:suppressAutoHyphens w:val="false"/>
        <w:ind w:left="450" w:hanging="0"/>
        <w:rPr>
          <w:rFonts w:cs="Arial"/>
          <w:szCs w:val="18"/>
        </w:rPr>
      </w:pPr>
      <w:r>
        <w:rPr>
          <w:rFonts w:cs="Arial"/>
          <w:szCs w:val="18"/>
        </w:rPr>
      </w:r>
    </w:p>
    <w:p>
      <w:pPr>
        <w:pStyle w:val="Telotextu"/>
        <w:widowControl w:val="false"/>
        <w:suppressAutoHyphens w:val="false"/>
        <w:ind w:left="450" w:hanging="0"/>
        <w:rPr>
          <w:rFonts w:cs="Arial"/>
          <w:szCs w:val="18"/>
        </w:rPr>
      </w:pPr>
      <w:r>
        <w:rPr>
          <w:rFonts w:cs="Arial"/>
          <w:szCs w:val="18"/>
        </w:rPr>
        <w:t>Účtovné metódy a všeobecné účtovné zásady boli účtovnou jednotkou konzistentne aplikované.</w:t>
      </w:r>
    </w:p>
    <w:p>
      <w:pPr>
        <w:pStyle w:val="Telotextu"/>
        <w:widowControl w:val="false"/>
        <w:suppressAutoHyphens w:val="false"/>
        <w:ind w:left="450" w:hanging="0"/>
        <w:rPr/>
      </w:pPr>
      <w:r>
        <w:rPr>
          <w:rFonts w:cs="Arial"/>
          <w:szCs w:val="18"/>
        </w:rPr>
        <w:t xml:space="preserve">V účtovnom období 2019 Spoločnosť nevykonala žiadne opravy významných chýb minulých účtovných období. </w:t>
      </w:r>
    </w:p>
    <w:p>
      <w:pPr>
        <w:pStyle w:val="Telotextu"/>
        <w:widowControl w:val="false"/>
        <w:suppressAutoHyphens w:val="false"/>
        <w:ind w:left="450" w:hanging="0"/>
        <w:rPr>
          <w:rFonts w:cs="Arial"/>
          <w:szCs w:val="18"/>
        </w:rPr>
      </w:pPr>
      <w:r>
        <w:rPr>
          <w:rFonts w:cs="Arial"/>
          <w:szCs w:val="18"/>
        </w:rPr>
      </w:r>
    </w:p>
    <w:p>
      <w:pPr>
        <w:pStyle w:val="Pismenka"/>
        <w:widowControl w:val="false"/>
        <w:numPr>
          <w:ilvl w:val="0"/>
          <w:numId w:val="6"/>
        </w:numPr>
        <w:suppressAutoHyphens w:val="false"/>
        <w:ind w:left="426" w:hanging="360"/>
        <w:rPr/>
      </w:pPr>
      <w:r>
        <w:rPr>
          <w:rFonts w:cs="Arial"/>
          <w:szCs w:val="18"/>
        </w:rPr>
        <w:t>Dlhodobý nehmotný majetok a dlhodobý hmotný majetok</w:t>
      </w:r>
    </w:p>
    <w:p>
      <w:pPr>
        <w:pStyle w:val="Telotextu"/>
        <w:widowControl w:val="false"/>
        <w:suppressAutoHyphens w:val="false"/>
        <w:rPr/>
      </w:pPr>
      <w:r>
        <w:rPr>
          <w:rFonts w:cs="Arial"/>
          <w:szCs w:val="18"/>
        </w:rPr>
        <w:t xml:space="preserve">Dlhodobý majetok nakupovaný sa oceňuje obstarávacou cenou, ktorá zahŕňa cenu obstarania a náklady súvisiace s obstaraním (clo, prepravu, montáž, poistné a pod.). </w:t>
      </w:r>
    </w:p>
    <w:p>
      <w:pPr>
        <w:pStyle w:val="Telotextu"/>
        <w:widowControl w:val="false"/>
        <w:suppressAutoHyphens w:val="false"/>
        <w:rPr>
          <w:rFonts w:cs="Arial"/>
          <w:szCs w:val="18"/>
        </w:rPr>
      </w:pPr>
      <w:r>
        <w:rPr>
          <w:rFonts w:cs="Arial"/>
          <w:szCs w:val="18"/>
        </w:rPr>
      </w:r>
    </w:p>
    <w:p>
      <w:pPr>
        <w:pStyle w:val="Telotextu"/>
        <w:widowControl w:val="false"/>
        <w:suppressAutoHyphens w:val="false"/>
        <w:rPr/>
      </w:pPr>
      <w:r>
        <w:rPr>
          <w:rFonts w:cs="Arial"/>
          <w:szCs w:val="18"/>
        </w:rPr>
        <w:t>Súčasťou obstarávacej ceny dlhodobého hmotného majetku nie sú úroky z cudzích zdrojov ani realizované kurzové rozdiely, ktoré vznikli do momentu uvedenia dlhodobého majetku do používania.</w:t>
      </w:r>
    </w:p>
    <w:p>
      <w:pPr>
        <w:pStyle w:val="Telotextu"/>
        <w:widowControl w:val="false"/>
        <w:suppressAutoHyphens w:val="false"/>
        <w:rPr>
          <w:rFonts w:cs="Arial"/>
          <w:szCs w:val="18"/>
        </w:rPr>
      </w:pPr>
      <w:r>
        <w:rPr>
          <w:rFonts w:cs="Arial"/>
          <w:szCs w:val="18"/>
        </w:rPr>
      </w:r>
    </w:p>
    <w:p>
      <w:pPr>
        <w:pStyle w:val="Telotextu"/>
        <w:widowControl w:val="false"/>
        <w:suppressAutoHyphens w:val="false"/>
        <w:rPr/>
      </w:pPr>
      <w:r>
        <w:rPr>
          <w:rFonts w:cs="Arial"/>
          <w:szCs w:val="18"/>
        </w:rPr>
        <w:t>Súčasťou obstarávacej ceny dlhodobého nehmotného majetku nie sú úroky z cudzích zdrojov, ktoré vznikli do momentu zaradenia dlhodobého nehmotného majetku do používania.</w:t>
      </w:r>
    </w:p>
    <w:p>
      <w:pPr>
        <w:pStyle w:val="Telotextu"/>
        <w:widowControl w:val="false"/>
        <w:suppressAutoHyphens w:val="false"/>
        <w:rPr>
          <w:rFonts w:cs="Arial"/>
          <w:szCs w:val="18"/>
        </w:rPr>
      </w:pPr>
      <w:r>
        <w:rPr>
          <w:rFonts w:cs="Arial"/>
          <w:szCs w:val="18"/>
        </w:rPr>
      </w:r>
    </w:p>
    <w:p>
      <w:pPr>
        <w:pStyle w:val="Telotextu"/>
        <w:widowControl w:val="false"/>
        <w:suppressAutoHyphens w:val="false"/>
        <w:rPr/>
      </w:pPr>
      <w:r>
        <w:rPr>
          <w:rFonts w:cs="Arial"/>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pPr>
        <w:pStyle w:val="Telotextu"/>
        <w:widowControl w:val="false"/>
        <w:suppressAutoHyphens w:val="false"/>
        <w:rPr>
          <w:rFonts w:cs="Arial"/>
          <w:szCs w:val="18"/>
        </w:rPr>
      </w:pPr>
      <w:r>
        <w:rPr>
          <w:rFonts w:cs="Arial"/>
          <w:szCs w:val="18"/>
        </w:rPr>
      </w:r>
    </w:p>
    <w:p>
      <w:pPr>
        <w:pStyle w:val="Telotextu"/>
        <w:widowControl w:val="false"/>
        <w:suppressAutoHyphens w:val="false"/>
        <w:rPr>
          <w:rFonts w:cs="Arial"/>
          <w:szCs w:val="18"/>
        </w:rPr>
      </w:pPr>
      <w:r>
        <w:rPr>
          <w:rFonts w:cs="Arial"/>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pStyle w:val="Telotextu"/>
        <w:widowControl w:val="false"/>
        <w:suppressAutoHyphens w:val="false"/>
        <w:rPr>
          <w:rFonts w:cs="Arial"/>
          <w:szCs w:val="18"/>
        </w:rPr>
      </w:pPr>
      <w:r>
        <w:rPr>
          <w:rFonts w:cs="Arial"/>
          <w:szCs w:val="18"/>
        </w:rPr>
      </w:r>
    </w:p>
    <w:p>
      <w:pPr>
        <w:pStyle w:val="Telotextu"/>
        <w:widowControl w:val="false"/>
        <w:suppressAutoHyphens w:val="false"/>
        <w:rPr>
          <w:rFonts w:eastAsia="Arial" w:cs="Arial"/>
          <w:szCs w:val="18"/>
        </w:rPr>
      </w:pPr>
      <w:r>
        <w:rPr>
          <w:rFonts w:cs="Arial"/>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pPr>
        <w:pStyle w:val="Telotextu"/>
        <w:widowControl w:val="false"/>
        <w:suppressAutoHyphens w:val="false"/>
        <w:rPr>
          <w:rFonts w:cs="Arial"/>
          <w:szCs w:val="18"/>
        </w:rPr>
      </w:pPr>
      <w:r>
        <w:rPr>
          <w:rFonts w:eastAsia="Arial" w:cs="Arial"/>
          <w:szCs w:val="18"/>
        </w:rPr>
        <w:t xml:space="preserve"> </w:t>
      </w:r>
    </w:p>
    <w:p>
      <w:pPr>
        <w:pStyle w:val="Telotextu"/>
        <w:widowControl w:val="false"/>
        <w:suppressAutoHyphens w:val="false"/>
        <w:rPr/>
      </w:pPr>
      <w:r>
        <w:rPr>
          <w:rFonts w:cs="Arial"/>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2400 EUR a nižšia, sa odpisuje jednorazovo pri uvedení do používania. Predpokladaná doba používania, metóda odpisovania a odpisová sadzba sú uvedené v nasledujúcej tabuľke:</w:t>
      </w:r>
    </w:p>
    <w:p>
      <w:pPr>
        <w:pStyle w:val="Telotextu"/>
        <w:widowControl w:val="false"/>
        <w:suppressAutoHyphens w:val="false"/>
        <w:rPr>
          <w:rFonts w:cs="Arial"/>
          <w:szCs w:val="18"/>
        </w:rPr>
      </w:pPr>
      <w:r>
        <w:rPr>
          <w:rFonts w:cs="Arial"/>
          <w:szCs w:val="18"/>
        </w:rPr>
      </w:r>
    </w:p>
    <w:p>
      <w:pPr>
        <w:pStyle w:val="Telotextu"/>
        <w:widowControl w:val="false"/>
        <w:suppressAutoHyphens w:val="false"/>
        <w:rPr>
          <w:szCs w:val="18"/>
        </w:rPr>
      </w:pPr>
      <w:r>
        <w:rPr>
          <w:szCs w:val="18"/>
        </w:rPr>
      </w:r>
    </w:p>
    <w:tbl>
      <w:tblPr>
        <w:tblW w:w="8533" w:type="dxa"/>
        <w:jc w:val="left"/>
        <w:tblInd w:w="248" w:type="dxa"/>
        <w:tblCellMar>
          <w:top w:w="0" w:type="dxa"/>
          <w:left w:w="15" w:type="dxa"/>
          <w:bottom w:w="0" w:type="dxa"/>
          <w:right w:w="15" w:type="dxa"/>
        </w:tblCellMar>
        <w:tblLook w:val="0000"/>
      </w:tblPr>
      <w:tblGrid>
        <w:gridCol w:w="3402"/>
        <w:gridCol w:w="1559"/>
        <w:gridCol w:w="1838"/>
        <w:gridCol w:w="1733"/>
      </w:tblGrid>
      <w:tr>
        <w:trPr>
          <w:trHeight w:val="250" w:hRule="atLeast"/>
        </w:trPr>
        <w:tc>
          <w:tcPr>
            <w:tcW w:w="3402" w:type="dxa"/>
            <w:vMerge w:val="restart"/>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rPr>
                <w:rFonts w:cs="Arial"/>
                <w:szCs w:val="18"/>
              </w:rPr>
            </w:pPr>
            <w:r>
              <w:rPr>
                <w:rFonts w:cs="Arial"/>
                <w:szCs w:val="18"/>
              </w:rPr>
            </w:r>
          </w:p>
        </w:tc>
        <w:tc>
          <w:tcPr>
            <w:tcW w:w="1559" w:type="dxa"/>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Predpokladaná</w:t>
            </w:r>
          </w:p>
        </w:tc>
        <w:tc>
          <w:tcPr>
            <w:tcW w:w="1838" w:type="dxa"/>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Metóda</w:t>
            </w:r>
          </w:p>
        </w:tc>
        <w:tc>
          <w:tcPr>
            <w:tcW w:w="1733" w:type="dxa"/>
            <w:tcBorders>
              <w:top w:val="single" w:sz="12" w:space="0" w:color="00000A"/>
              <w:left w:val="single" w:sz="12" w:space="0" w:color="00000A"/>
              <w:bottom w:val="single" w:sz="12" w:space="0" w:color="00000A"/>
              <w:right w:val="single" w:sz="12" w:space="0" w:color="00000A"/>
            </w:tcBorders>
            <w:shd w:color="auto" w:fill="auto" w:val="clear"/>
          </w:tcPr>
          <w:p>
            <w:pPr>
              <w:pStyle w:val="Tabulka"/>
              <w:widowControl w:val="false"/>
              <w:suppressAutoHyphens w:val="false"/>
              <w:jc w:val="center"/>
              <w:rPr/>
            </w:pPr>
            <w:r>
              <w:rPr>
                <w:rFonts w:cs="Arial"/>
                <w:szCs w:val="18"/>
              </w:rPr>
              <w:t>Ročná odpisová</w:t>
            </w:r>
          </w:p>
        </w:tc>
      </w:tr>
      <w:tr>
        <w:trPr>
          <w:trHeight w:val="250" w:hRule="atLeast"/>
        </w:trPr>
        <w:tc>
          <w:tcPr>
            <w:tcW w:w="3402" w:type="dxa"/>
            <w:vMerge w:val="continue"/>
            <w:tcBorders>
              <w:top w:val="single" w:sz="1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rPr>
                <w:rFonts w:cs="Arial"/>
                <w:szCs w:val="18"/>
              </w:rPr>
            </w:pPr>
            <w:r>
              <w:rPr>
                <w:rFonts w:cs="Arial"/>
                <w:szCs w:val="18"/>
              </w:rPr>
            </w:r>
          </w:p>
        </w:tc>
        <w:tc>
          <w:tcPr>
            <w:tcW w:w="1559" w:type="dxa"/>
            <w:tcBorders>
              <w:top w:val="single" w:sz="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doba používania</w:t>
              <w:br/>
              <w:t>v rokoch</w:t>
            </w:r>
          </w:p>
        </w:tc>
        <w:tc>
          <w:tcPr>
            <w:tcW w:w="1838" w:type="dxa"/>
            <w:tcBorders>
              <w:top w:val="single" w:sz="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jc w:val="center"/>
              <w:rPr>
                <w:rFonts w:cs="Arial"/>
                <w:szCs w:val="18"/>
              </w:rPr>
            </w:pPr>
            <w:r>
              <w:rPr>
                <w:rFonts w:cs="Arial"/>
                <w:szCs w:val="18"/>
              </w:rPr>
              <w:t>odpisovania</w:t>
            </w:r>
          </w:p>
        </w:tc>
        <w:tc>
          <w:tcPr>
            <w:tcW w:w="1733" w:type="dxa"/>
            <w:tcBorders>
              <w:top w:val="single" w:sz="2" w:space="0" w:color="00000A"/>
              <w:left w:val="single" w:sz="12" w:space="0" w:color="00000A"/>
              <w:bottom w:val="single" w:sz="2" w:space="0" w:color="00000A"/>
              <w:right w:val="single" w:sz="12" w:space="0" w:color="00000A"/>
            </w:tcBorders>
            <w:shd w:color="auto" w:fill="auto" w:val="clear"/>
          </w:tcPr>
          <w:p>
            <w:pPr>
              <w:pStyle w:val="Tabulka"/>
              <w:widowControl w:val="false"/>
              <w:suppressAutoHyphens w:val="false"/>
              <w:jc w:val="center"/>
              <w:rPr/>
            </w:pPr>
            <w:r>
              <w:rPr>
                <w:rFonts w:cs="Arial"/>
                <w:szCs w:val="18"/>
              </w:rPr>
              <w:t>sadzba v %</w:t>
            </w:r>
          </w:p>
        </w:tc>
      </w:tr>
      <w:tr>
        <w:trPr>
          <w:trHeight w:val="250"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rPr>
                <w:rFonts w:cs="Arial"/>
                <w:szCs w:val="18"/>
              </w:rPr>
            </w:pPr>
            <w:r>
              <w:rPr>
                <w:rFonts w:cs="Arial"/>
                <w:szCs w:val="18"/>
              </w:rPr>
              <w:t>Aktivované náklady na vývoj</w:t>
            </w:r>
          </w:p>
        </w:tc>
        <w:tc>
          <w:tcPr>
            <w:tcW w:w="1559"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5</w:t>
            </w:r>
          </w:p>
        </w:tc>
        <w:tc>
          <w:tcPr>
            <w:tcW w:w="1838"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lineárna</w:t>
            </w:r>
          </w:p>
        </w:tc>
        <w:tc>
          <w:tcPr>
            <w:tcW w:w="1733"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pPr>
            <w:r>
              <w:rPr>
                <w:rFonts w:cs="Arial"/>
                <w:szCs w:val="18"/>
              </w:rPr>
              <w:t>20</w:t>
            </w:r>
          </w:p>
        </w:tc>
      </w:tr>
      <w:tr>
        <w:trPr>
          <w:trHeight w:val="250"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rPr>
                <w:rFonts w:cs="Arial"/>
                <w:szCs w:val="18"/>
              </w:rPr>
            </w:pPr>
            <w:r>
              <w:rPr>
                <w:rFonts w:cs="Arial"/>
                <w:szCs w:val="18"/>
              </w:rPr>
              <w:t>Softvér</w:t>
            </w:r>
          </w:p>
        </w:tc>
        <w:tc>
          <w:tcPr>
            <w:tcW w:w="1559"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4</w:t>
            </w:r>
          </w:p>
        </w:tc>
        <w:tc>
          <w:tcPr>
            <w:tcW w:w="1838"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lineárna</w:t>
            </w:r>
          </w:p>
        </w:tc>
        <w:tc>
          <w:tcPr>
            <w:tcW w:w="1733"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pPr>
            <w:r>
              <w:rPr>
                <w:rFonts w:cs="Arial"/>
                <w:szCs w:val="18"/>
              </w:rPr>
              <w:t>25</w:t>
            </w:r>
          </w:p>
        </w:tc>
      </w:tr>
      <w:tr>
        <w:trPr>
          <w:trHeight w:val="245"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bidi w:val="0"/>
              <w:ind w:left="0" w:right="0" w:hanging="0"/>
              <w:jc w:val="left"/>
              <w:rPr/>
            </w:pPr>
            <w:r>
              <w:rPr>
                <w:rFonts w:cs="Arial"/>
                <w:szCs w:val="18"/>
              </w:rPr>
              <w:t>Oceniteľné práva (licencia)</w:t>
            </w:r>
          </w:p>
        </w:tc>
        <w:tc>
          <w:tcPr>
            <w:tcW w:w="1559"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8</w:t>
            </w:r>
          </w:p>
        </w:tc>
        <w:tc>
          <w:tcPr>
            <w:tcW w:w="1838"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lineárna</w:t>
            </w:r>
          </w:p>
        </w:tc>
        <w:tc>
          <w:tcPr>
            <w:tcW w:w="1733"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pPr>
            <w:r>
              <w:rPr>
                <w:rFonts w:cs="Arial"/>
                <w:szCs w:val="18"/>
              </w:rPr>
              <w:t>12,5</w:t>
            </w:r>
          </w:p>
        </w:tc>
      </w:tr>
      <w:tr>
        <w:trPr>
          <w:trHeight w:val="245" w:hRule="atLeast"/>
        </w:trPr>
        <w:tc>
          <w:tcPr>
            <w:tcW w:w="3402"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bidi w:val="0"/>
              <w:ind w:left="0" w:right="0" w:hanging="0"/>
              <w:jc w:val="left"/>
              <w:rPr/>
            </w:pPr>
            <w:r>
              <w:rPr>
                <w:rFonts w:cs="Arial"/>
                <w:szCs w:val="18"/>
              </w:rPr>
              <w:t>Drobný dlhodobý nehmotný majetok</w:t>
            </w:r>
          </w:p>
        </w:tc>
        <w:tc>
          <w:tcPr>
            <w:tcW w:w="1559"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rôzna</w:t>
            </w:r>
          </w:p>
        </w:tc>
        <w:tc>
          <w:tcPr>
            <w:tcW w:w="1838"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rFonts w:cs="Arial"/>
                <w:szCs w:val="18"/>
              </w:rPr>
            </w:pPr>
            <w:r>
              <w:rPr>
                <w:rFonts w:cs="Arial"/>
                <w:szCs w:val="18"/>
              </w:rPr>
              <w:t>jednorazový odpis</w:t>
            </w:r>
          </w:p>
        </w:tc>
        <w:tc>
          <w:tcPr>
            <w:tcW w:w="1733" w:type="dxa"/>
            <w:tcBorders>
              <w:top w:val="single" w:sz="2" w:space="0" w:color="00000A"/>
              <w:left w:val="single" w:sz="2" w:space="0" w:color="00000A"/>
              <w:bottom w:val="single" w:sz="2" w:space="0" w:color="00000A"/>
              <w:right w:val="single" w:sz="2" w:space="0" w:color="00000A"/>
            </w:tcBorders>
            <w:shd w:color="auto" w:fill="auto" w:val="clear"/>
          </w:tcPr>
          <w:p>
            <w:pPr>
              <w:pStyle w:val="Tabulka"/>
              <w:widowControl w:val="false"/>
              <w:suppressAutoHyphens w:val="false"/>
              <w:jc w:val="center"/>
              <w:rPr/>
            </w:pPr>
            <w:r>
              <w:rPr>
                <w:rFonts w:cs="Arial"/>
                <w:szCs w:val="18"/>
              </w:rPr>
              <w:t>100</w:t>
            </w:r>
          </w:p>
        </w:tc>
      </w:tr>
    </w:tbl>
    <w:p>
      <w:pPr>
        <w:pStyle w:val="Telotextu"/>
        <w:widowControl w:val="false"/>
        <w:suppressAutoHyphens w:val="false"/>
        <w:rPr>
          <w:szCs w:val="18"/>
        </w:rPr>
      </w:pPr>
      <w:r>
        <w:rPr>
          <w:szCs w:val="18"/>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rPr/>
      </w:pPr>
      <w:r>
        <w:rPr>
          <w:rFonts w:cs="Arial"/>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pPr>
        <w:pStyle w:val="Telotextu"/>
        <w:widowControl w:val="false"/>
        <w:suppressAutoHyphens w:val="false"/>
        <w:rPr>
          <w:rFonts w:cs="Arial"/>
          <w:szCs w:val="18"/>
        </w:rPr>
      </w:pPr>
      <w:r>
        <w:rPr>
          <w:rFonts w:cs="Arial"/>
          <w:szCs w:val="18"/>
        </w:rPr>
      </w:r>
    </w:p>
    <w:p>
      <w:pPr>
        <w:pStyle w:val="Telotextu"/>
        <w:widowControl w:val="false"/>
        <w:suppressAutoHyphens w:val="false"/>
        <w:rPr>
          <w:rFonts w:cs="Arial"/>
          <w:szCs w:val="18"/>
        </w:rPr>
      </w:pPr>
      <w:r>
        <w:rPr>
          <w:rFonts w:cs="Arial"/>
          <w:szCs w:val="18"/>
        </w:rPr>
      </w:r>
    </w:p>
    <w:tbl>
      <w:tblPr>
        <w:tblW w:w="8505" w:type="dxa"/>
        <w:jc w:val="left"/>
        <w:tblInd w:w="386" w:type="dxa"/>
        <w:tblCellMar>
          <w:top w:w="0" w:type="dxa"/>
          <w:left w:w="5" w:type="dxa"/>
          <w:bottom w:w="0" w:type="dxa"/>
          <w:right w:w="20" w:type="dxa"/>
        </w:tblCellMar>
        <w:tblLook w:val="0000"/>
      </w:tblPr>
      <w:tblGrid>
        <w:gridCol w:w="3117"/>
        <w:gridCol w:w="1986"/>
        <w:gridCol w:w="1701"/>
        <w:gridCol w:w="1700"/>
      </w:tblGrid>
      <w:tr>
        <w:trPr>
          <w:trHeight w:val="250" w:hRule="atLeast"/>
        </w:trPr>
        <w:tc>
          <w:tcPr>
            <w:tcW w:w="3117" w:type="dxa"/>
            <w:vMerge w:val="restart"/>
            <w:tcBorders>
              <w:top w:val="single" w:sz="4" w:space="0" w:color="00000A"/>
              <w:left w:val="single" w:sz="4" w:space="0" w:color="00000A"/>
              <w:right w:val="single" w:sz="4" w:space="0" w:color="00000A"/>
            </w:tcBorders>
            <w:shd w:color="auto" w:fill="auto" w:val="clear"/>
          </w:tcPr>
          <w:p>
            <w:pPr>
              <w:pStyle w:val="Tabulka"/>
              <w:widowControl w:val="false"/>
              <w:suppressAutoHyphens w:val="false"/>
              <w:rPr>
                <w:rFonts w:ascii="Times New Roman" w:hAnsi="Times New Roman" w:cs="Arial"/>
                <w:szCs w:val="18"/>
              </w:rPr>
            </w:pPr>
            <w:r>
              <w:rPr>
                <w:rFonts w:cs="Arial" w:ascii="Times New Roman" w:hAnsi="Times New Roman"/>
                <w:szCs w:val="18"/>
              </w:rPr>
            </w:r>
          </w:p>
        </w:tc>
        <w:tc>
          <w:tcPr>
            <w:tcW w:w="1986" w:type="dxa"/>
            <w:tcBorders>
              <w:top w:val="single" w:sz="4" w:space="0" w:color="00000A"/>
              <w:left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Predpokladaná</w:t>
            </w:r>
          </w:p>
        </w:tc>
        <w:tc>
          <w:tcPr>
            <w:tcW w:w="1701" w:type="dxa"/>
            <w:tcBorders>
              <w:top w:val="single" w:sz="4" w:space="0" w:color="00000A"/>
              <w:left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Metóda</w:t>
            </w:r>
          </w:p>
        </w:tc>
        <w:tc>
          <w:tcPr>
            <w:tcW w:w="1700" w:type="dxa"/>
            <w:tcBorders>
              <w:top w:val="single" w:sz="4" w:space="0" w:color="00000A"/>
              <w:left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Ročná odpisová</w:t>
            </w:r>
          </w:p>
        </w:tc>
      </w:tr>
      <w:tr>
        <w:trPr>
          <w:trHeight w:val="250" w:hRule="atLeast"/>
        </w:trPr>
        <w:tc>
          <w:tcPr>
            <w:tcW w:w="3117" w:type="dxa"/>
            <w:vMerge w:val="continue"/>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doba používania v rokoch</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odpisovania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sadzba v %</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t>Stavby</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40</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lineárna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2,5</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pPr>
            <w:r>
              <w:rPr>
                <w:rFonts w:cs="Arial"/>
                <w:szCs w:val="18"/>
              </w:rPr>
              <w:t>Stroje, prístroje a zariadenia</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8 až 12</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lineárna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8,3 až 12,5</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t>Dopravné prostriedky</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4 až 6</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degresívna</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16 až 30</w:t>
            </w:r>
          </w:p>
        </w:tc>
      </w:tr>
      <w:tr>
        <w:trPr>
          <w:trHeight w:val="250" w:hRule="atLeast"/>
        </w:trPr>
        <w:tc>
          <w:tcPr>
            <w:tcW w:w="3117"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rPr>
                <w:rFonts w:cs="Arial"/>
                <w:szCs w:val="18"/>
              </w:rPr>
            </w:pPr>
            <w:r>
              <w:rPr>
                <w:rFonts w:cs="Arial"/>
                <w:szCs w:val="18"/>
              </w:rPr>
              <w:t>Drobný dlhodobý hmotný majetok</w:t>
            </w:r>
          </w:p>
        </w:tc>
        <w:tc>
          <w:tcPr>
            <w:tcW w:w="1986"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rôzna</w:t>
            </w:r>
          </w:p>
        </w:tc>
        <w:tc>
          <w:tcPr>
            <w:tcW w:w="1701"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rFonts w:cs="Arial"/>
                <w:szCs w:val="18"/>
              </w:rPr>
            </w:pPr>
            <w:r>
              <w:rPr>
                <w:rFonts w:cs="Arial"/>
                <w:szCs w:val="18"/>
              </w:rPr>
              <w:t>jednorazový odpis</w:t>
            </w:r>
          </w:p>
        </w:tc>
        <w:tc>
          <w:tcPr>
            <w:tcW w:w="1700" w:type="dxa"/>
            <w:tcBorders>
              <w:top w:val="single" w:sz="4" w:space="0" w:color="00000A"/>
              <w:left w:val="single" w:sz="4" w:space="0" w:color="00000A"/>
              <w:bottom w:val="single" w:sz="4" w:space="0" w:color="00000A"/>
              <w:right w:val="single" w:sz="4" w:space="0" w:color="00000A"/>
            </w:tcBorders>
            <w:shd w:color="auto" w:fill="auto" w:val="clear"/>
          </w:tcPr>
          <w:p>
            <w:pPr>
              <w:pStyle w:val="Tabulka"/>
              <w:widowControl w:val="false"/>
              <w:suppressAutoHyphens w:val="false"/>
              <w:jc w:val="center"/>
              <w:rPr/>
            </w:pPr>
            <w:r>
              <w:rPr>
                <w:rFonts w:cs="Arial"/>
                <w:szCs w:val="18"/>
              </w:rPr>
              <w:t>100</w:t>
            </w:r>
          </w:p>
        </w:tc>
      </w:tr>
    </w:tbl>
    <w:p>
      <w:pPr>
        <w:pStyle w:val="Pismenka"/>
        <w:widowControl w:val="false"/>
        <w:numPr>
          <w:ilvl w:val="0"/>
          <w:numId w:val="0"/>
        </w:numPr>
        <w:suppressAutoHyphens w:val="false"/>
        <w:ind w:left="426" w:hanging="426"/>
        <w:rPr>
          <w:szCs w:val="18"/>
        </w:rPr>
      </w:pPr>
      <w:r>
        <w:rPr>
          <w:szCs w:val="18"/>
        </w:rPr>
      </w:r>
    </w:p>
    <w:p>
      <w:pPr>
        <w:pStyle w:val="Pismenka"/>
        <w:widowControl w:val="false"/>
        <w:numPr>
          <w:ilvl w:val="0"/>
          <w:numId w:val="0"/>
        </w:numPr>
        <w:suppressAutoHyphens w:val="false"/>
        <w:ind w:left="426" w:hanging="426"/>
        <w:rPr>
          <w:szCs w:val="18"/>
        </w:rPr>
      </w:pPr>
      <w:r>
        <w:rPr>
          <w:szCs w:val="18"/>
        </w:rPr>
      </w:r>
    </w:p>
    <w:p>
      <w:pPr>
        <w:pStyle w:val="Pismenka"/>
        <w:widowControl w:val="false"/>
        <w:numPr>
          <w:ilvl w:val="0"/>
          <w:numId w:val="6"/>
        </w:numPr>
        <w:suppressAutoHyphens w:val="false"/>
        <w:ind w:left="426" w:hanging="360"/>
        <w:rPr>
          <w:szCs w:val="18"/>
        </w:rPr>
      </w:pPr>
      <w:r>
        <w:rPr>
          <w:szCs w:val="18"/>
        </w:rPr>
        <w:t>Cenné papiere a podiely</w:t>
      </w:r>
    </w:p>
    <w:p>
      <w:pPr>
        <w:pStyle w:val="Telotextu"/>
        <w:widowControl w:val="false"/>
        <w:suppressAutoHyphens w:val="false"/>
        <w:rPr/>
      </w:pPr>
      <w:r>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rPr>
          <w:szCs w:val="18"/>
        </w:rPr>
      </w:pPr>
      <w:r>
        <w:rPr>
          <w:szCs w:val="18"/>
        </w:rPr>
        <w:t xml:space="preserve">Cenné papiere na obchodovanie sa pri ich obstaraní oceňujú reálnou hodnotou.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 xml:space="preserve">Zásoby </w:t>
      </w:r>
    </w:p>
    <w:p>
      <w:pPr>
        <w:pStyle w:val="Telotextu"/>
        <w:widowControl w:val="false"/>
        <w:suppressAutoHyphens w:val="false"/>
        <w:rPr/>
      </w:pPr>
      <w:r>
        <w:rPr>
          <w:szCs w:val="18"/>
        </w:rPr>
        <w:t>Zásoby sa oceňujú nižšou z nasledujúcich hodnôt: obstarávacou cenou (nakupované zásoby) alebo vlastnými nákladmi (zásoby vytvorené vlastnou činnosťou) alebo čistou realizačnou hodnotou.</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Čistá realizačná hodnota je predpokladaná predajná cena znížená o predpokladané náklady na ich dokončenie a o predpokladané náklady súvisiace s ich predajom.  </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Zníženie hodnoty zásob sa zohľadňuje vytvorením opravnej položky.</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Zákazková výroba</w:t>
      </w:r>
    </w:p>
    <w:p>
      <w:pPr>
        <w:pStyle w:val="Telotextu"/>
        <w:widowControl w:val="false"/>
        <w:suppressAutoHyphens w:val="false"/>
        <w:rPr>
          <w:szCs w:val="18"/>
        </w:rPr>
      </w:pPr>
      <w:r>
        <w:rPr>
          <w:szCs w:val="18"/>
        </w:rPr>
        <w:t>Zákazková výroba sa vykazuje použitím metódy stupňa dokončenia zákazky (angl. percentage-of-completion-method).</w:t>
      </w:r>
    </w:p>
    <w:p>
      <w:pPr>
        <w:pStyle w:val="Pismenka"/>
        <w:widowControl w:val="false"/>
        <w:numPr>
          <w:ilvl w:val="0"/>
          <w:numId w:val="0"/>
        </w:numPr>
        <w:suppressAutoHyphens w:val="false"/>
        <w:ind w:left="426" w:hanging="426"/>
        <w:rPr>
          <w:b w:val="false"/>
          <w:b w:val="false"/>
          <w:szCs w:val="18"/>
        </w:rPr>
      </w:pPr>
      <w:r>
        <w:rPr>
          <w:b w:val="false"/>
          <w:szCs w:val="18"/>
        </w:rPr>
      </w:r>
    </w:p>
    <w:p>
      <w:pPr>
        <w:pStyle w:val="Pismenka"/>
        <w:widowControl w:val="false"/>
        <w:numPr>
          <w:ilvl w:val="0"/>
          <w:numId w:val="6"/>
        </w:numPr>
        <w:suppressAutoHyphens w:val="false"/>
        <w:ind w:left="426" w:hanging="360"/>
        <w:rPr>
          <w:szCs w:val="18"/>
        </w:rPr>
      </w:pPr>
      <w:r>
        <w:rPr>
          <w:szCs w:val="18"/>
        </w:rPr>
        <w:t>Zákazková výstavba nehnuteľnosti</w:t>
      </w:r>
    </w:p>
    <w:p>
      <w:pPr>
        <w:pStyle w:val="Telotextu"/>
        <w:widowControl w:val="false"/>
        <w:suppressAutoHyphens w:val="false"/>
        <w:rPr>
          <w:szCs w:val="18"/>
        </w:rPr>
      </w:pPr>
      <w:r>
        <w:rPr>
          <w:szCs w:val="18"/>
        </w:rPr>
      </w:r>
    </w:p>
    <w:p>
      <w:pPr>
        <w:pStyle w:val="Telotextu"/>
        <w:widowControl w:val="false"/>
        <w:suppressAutoHyphens w:val="false"/>
        <w:rPr>
          <w:szCs w:val="18"/>
        </w:rPr>
      </w:pPr>
      <w:r>
        <w:rPr>
          <w:b/>
          <w:i/>
          <w:szCs w:val="18"/>
        </w:rPr>
        <w:t>Zákazková výstavba nehnuteľnosti – priebežný transfer</w:t>
      </w:r>
    </w:p>
    <w:p>
      <w:pPr>
        <w:pStyle w:val="Telotextu"/>
        <w:widowControl w:val="false"/>
        <w:suppressAutoHyphens w:val="false"/>
        <w:rPr>
          <w:szCs w:val="18"/>
        </w:rPr>
      </w:pPr>
      <w:r>
        <w:rPr>
          <w:szCs w:val="18"/>
        </w:rPr>
        <w:t xml:space="preserve">Zákazková výstavba nehnuteľnosti určenej na predaj sa vykazuje podľa metódy stupňa dokončenia. </w:t>
      </w:r>
    </w:p>
    <w:p>
      <w:pPr>
        <w:pStyle w:val="Telotextu"/>
        <w:widowControl w:val="false"/>
        <w:suppressAutoHyphens w:val="false"/>
        <w:rPr>
          <w:szCs w:val="18"/>
        </w:rPr>
      </w:pPr>
      <w:r>
        <w:rPr>
          <w:szCs w:val="18"/>
        </w:rPr>
      </w:r>
    </w:p>
    <w:p>
      <w:pPr>
        <w:pStyle w:val="Telotextu"/>
        <w:widowControl w:val="false"/>
        <w:suppressAutoHyphens w:val="false"/>
        <w:rPr>
          <w:szCs w:val="18"/>
        </w:rPr>
      </w:pPr>
      <w:r>
        <w:rPr>
          <w:b/>
          <w:i/>
          <w:szCs w:val="18"/>
        </w:rPr>
        <w:t>Zákazková výstavba nehnuteľnosti – ostatná (nie priebežný transfer)</w:t>
      </w:r>
    </w:p>
    <w:p>
      <w:pPr>
        <w:pStyle w:val="Telotextu"/>
        <w:widowControl w:val="false"/>
        <w:suppressAutoHyphens w:val="false"/>
        <w:rPr>
          <w:szCs w:val="18"/>
        </w:rPr>
      </w:pPr>
      <w:r>
        <w:rPr>
          <w:szCs w:val="18"/>
        </w:rPr>
        <w:t>Zákazková výstavba nehnuteľnosti určenej na predaj – ostatná (nie priebežný transfer) sa vykazuje metódou tzv. nulového zisku, t. j. zisk sa vykáže až pri predaji nehnuteľnosti.</w:t>
      </w:r>
    </w:p>
    <w:p>
      <w:pPr>
        <w:pStyle w:val="Pismenka"/>
        <w:widowControl w:val="false"/>
        <w:numPr>
          <w:ilvl w:val="0"/>
          <w:numId w:val="0"/>
        </w:numPr>
        <w:suppressAutoHyphens w:val="false"/>
        <w:ind w:left="426" w:hanging="426"/>
        <w:rPr>
          <w:b w:val="false"/>
          <w:b w:val="false"/>
          <w:szCs w:val="18"/>
        </w:rPr>
      </w:pPr>
      <w:r>
        <w:rPr>
          <w:b w:val="false"/>
          <w:szCs w:val="18"/>
        </w:rPr>
      </w:r>
    </w:p>
    <w:p>
      <w:pPr>
        <w:pStyle w:val="Pismenka"/>
        <w:widowControl w:val="false"/>
        <w:numPr>
          <w:ilvl w:val="0"/>
          <w:numId w:val="6"/>
        </w:numPr>
        <w:suppressAutoHyphens w:val="false"/>
        <w:ind w:left="426" w:hanging="360"/>
        <w:rPr>
          <w:szCs w:val="18"/>
        </w:rPr>
      </w:pPr>
      <w:r>
        <w:rPr>
          <w:szCs w:val="18"/>
        </w:rPr>
        <w:t>Pohľadávky</w:t>
      </w:r>
    </w:p>
    <w:p>
      <w:pPr>
        <w:pStyle w:val="Telotextu"/>
        <w:widowControl w:val="false"/>
        <w:suppressAutoHyphens w:val="false"/>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Peňažné prostriedky a ceniny</w:t>
      </w:r>
    </w:p>
    <w:p>
      <w:pPr>
        <w:pStyle w:val="Telotextu"/>
        <w:widowControl w:val="false"/>
        <w:suppressAutoHyphens w:val="false"/>
        <w:rPr>
          <w:szCs w:val="18"/>
        </w:rPr>
      </w:pPr>
      <w:r>
        <w:rPr>
          <w:szCs w:val="18"/>
        </w:rPr>
        <w:t>Peňažné prostriedky a ceniny sa oceňujú ich menovitou hodnotou. Zníženie ich hodnoty sa vyjadruje opravnou položkou.</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Pismenka"/>
        <w:widowControl w:val="false"/>
        <w:numPr>
          <w:ilvl w:val="0"/>
          <w:numId w:val="6"/>
        </w:numPr>
        <w:suppressAutoHyphens w:val="false"/>
        <w:ind w:left="426" w:hanging="360"/>
        <w:rPr>
          <w:szCs w:val="18"/>
        </w:rPr>
      </w:pPr>
      <w:r>
        <w:rPr>
          <w:szCs w:val="18"/>
        </w:rPr>
        <w:t>Náklady budúcich období a príjmy budúcich období</w:t>
      </w:r>
    </w:p>
    <w:p>
      <w:pPr>
        <w:pStyle w:val="Telotextu"/>
        <w:widowControl w:val="false"/>
        <w:suppressAutoHyphens w:val="false"/>
        <w:rPr>
          <w:szCs w:val="18"/>
        </w:rPr>
      </w:pPr>
      <w:r>
        <w:rPr>
          <w:szCs w:val="18"/>
        </w:rPr>
        <w:t>Náklady budúcich období a príjmy budúcich období sa vykazujú vo výške, ktorá je potrebná na dodržanie zásady vecnej a časovej súvislosti s účtovným obdobím.</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Rezervy</w:t>
      </w:r>
    </w:p>
    <w:p>
      <w:pPr>
        <w:pStyle w:val="Telotextu"/>
        <w:widowControl w:val="false"/>
        <w:suppressAutoHyphens w:val="false"/>
        <w:rPr/>
      </w:pPr>
      <w:r>
        <w:rPr>
          <w:szCs w:val="18"/>
        </w:rPr>
        <w:t>Rezervy sú záväzky s neurčitým časovým vymedzením alebo výškou; tvoria sa na krytie známych rizík alebo strát z podnikania. Oceňujú sa v očakávanej výške záväzku.</w:t>
      </w:r>
    </w:p>
    <w:p>
      <w:pPr>
        <w:pStyle w:val="Pismenka"/>
        <w:widowControl w:val="false"/>
        <w:numPr>
          <w:ilvl w:val="0"/>
          <w:numId w:val="0"/>
        </w:numPr>
        <w:suppressAutoHyphens w:val="false"/>
        <w:ind w:left="360" w:hanging="426"/>
        <w:rPr>
          <w:szCs w:val="18"/>
        </w:rPr>
      </w:pPr>
      <w:r>
        <w:rPr>
          <w:szCs w:val="18"/>
        </w:rPr>
      </w:r>
    </w:p>
    <w:p>
      <w:pPr>
        <w:pStyle w:val="Pismenka"/>
        <w:widowControl w:val="false"/>
        <w:numPr>
          <w:ilvl w:val="0"/>
          <w:numId w:val="6"/>
        </w:numPr>
        <w:suppressAutoHyphens w:val="false"/>
        <w:ind w:left="426" w:hanging="360"/>
        <w:rPr>
          <w:szCs w:val="18"/>
        </w:rPr>
      </w:pPr>
      <w:r>
        <w:rPr>
          <w:szCs w:val="18"/>
        </w:rPr>
        <w:t>Záväzky</w:t>
      </w:r>
    </w:p>
    <w:p>
      <w:pPr>
        <w:pStyle w:val="Telotextu"/>
        <w:widowControl w:val="false"/>
        <w:suppressAutoHyphens w:val="false"/>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pStyle w:val="Pismenka"/>
        <w:widowControl w:val="false"/>
        <w:numPr>
          <w:ilvl w:val="0"/>
          <w:numId w:val="0"/>
        </w:numPr>
        <w:suppressAutoHyphens w:val="false"/>
        <w:ind w:left="426" w:hanging="426"/>
        <w:rPr>
          <w:b w:val="false"/>
          <w:b w:val="false"/>
          <w:szCs w:val="18"/>
        </w:rPr>
      </w:pPr>
      <w:r>
        <w:rPr>
          <w:b w:val="false"/>
          <w:szCs w:val="18"/>
        </w:rPr>
      </w:r>
    </w:p>
    <w:p>
      <w:pPr>
        <w:pStyle w:val="Pismenka"/>
        <w:widowControl w:val="false"/>
        <w:numPr>
          <w:ilvl w:val="0"/>
          <w:numId w:val="6"/>
        </w:numPr>
        <w:suppressAutoHyphens w:val="false"/>
        <w:ind w:left="426" w:hanging="360"/>
        <w:rPr>
          <w:szCs w:val="18"/>
        </w:rPr>
      </w:pPr>
      <w:r>
        <w:rPr>
          <w:szCs w:val="18"/>
        </w:rPr>
        <w:t>Odložené dane</w:t>
      </w:r>
    </w:p>
    <w:p>
      <w:pPr>
        <w:pStyle w:val="Telotextu"/>
        <w:widowControl w:val="false"/>
        <w:suppressAutoHyphens w:val="false"/>
        <w:rPr>
          <w:szCs w:val="18"/>
        </w:rPr>
      </w:pPr>
      <w:r>
        <w:rPr>
          <w:szCs w:val="18"/>
        </w:rPr>
        <w:t xml:space="preserve">Odložené dane (odložená daňová pohľadávka a odložený daňový záväzok) sa vzťahujú na: </w:t>
      </w:r>
    </w:p>
    <w:p>
      <w:pPr>
        <w:pStyle w:val="Telotextu"/>
        <w:widowControl w:val="false"/>
        <w:numPr>
          <w:ilvl w:val="0"/>
          <w:numId w:val="2"/>
        </w:numPr>
        <w:suppressAutoHyphens w:val="false"/>
        <w:rPr/>
      </w:pPr>
      <w:r>
        <w:rPr>
          <w:szCs w:val="18"/>
        </w:rPr>
        <w:t>dočasné rozdiely medzi účtovnou hodnotou majetku a účtovnou hodnotou záväzkov vykázanou v súvahe a ich daňovou základňou,</w:t>
      </w:r>
    </w:p>
    <w:p>
      <w:pPr>
        <w:pStyle w:val="Telotextu"/>
        <w:widowControl w:val="false"/>
        <w:numPr>
          <w:ilvl w:val="0"/>
          <w:numId w:val="2"/>
        </w:numPr>
        <w:suppressAutoHyphens w:val="false"/>
        <w:rPr/>
      </w:pPr>
      <w:r>
        <w:rPr>
          <w:szCs w:val="18"/>
        </w:rPr>
        <w:t>možnosť umorovať daňovú stratu v budúcnosti, ktorou sa rozumie možnosť odpočítať daňovú stratu od základu dane v budúcnosti,</w:t>
      </w:r>
    </w:p>
    <w:p>
      <w:pPr>
        <w:pStyle w:val="Telotextu"/>
        <w:widowControl w:val="false"/>
        <w:numPr>
          <w:ilvl w:val="0"/>
          <w:numId w:val="2"/>
        </w:numPr>
        <w:suppressAutoHyphens w:val="false"/>
        <w:rPr/>
      </w:pPr>
      <w:r>
        <w:rPr>
          <w:szCs w:val="18"/>
        </w:rPr>
        <w:t>možnosť previesť nevyužité daňové odpočty a iné daňové nároky do budúcich období.</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Výdavky budúcich období a výnosy budúcich období</w:t>
      </w:r>
    </w:p>
    <w:p>
      <w:pPr>
        <w:pStyle w:val="Telotextu"/>
        <w:widowControl w:val="false"/>
        <w:suppressAutoHyphens w:val="false"/>
        <w:rPr>
          <w:szCs w:val="18"/>
        </w:rPr>
      </w:pPr>
      <w:r>
        <w:rPr>
          <w:szCs w:val="18"/>
        </w:rPr>
        <w:t>Výdavky budúcich období a výnosy budúcich období sa vykazujú vo výške, ktorá je potrebná na dodržanie zásady vecnej a časovej súvislosti s účtovným obdobím.</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Emisné kvóty</w:t>
      </w:r>
    </w:p>
    <w:p>
      <w:pPr>
        <w:pStyle w:val="Telotextu"/>
        <w:widowControl w:val="false"/>
        <w:suppressAutoHyphens w:val="false"/>
        <w:rPr/>
      </w:pPr>
      <w:r>
        <w:rPr>
          <w:szCs w:val="18"/>
        </w:rPr>
        <w:t xml:space="preserve">Bezodplatne pripísaný proporčný podiel emisných kvót v ocenení reprodukčnou obstarávacou cenou sa účtuje v prospech výnosov budúcich období. </w:t>
      </w:r>
    </w:p>
    <w:p>
      <w:pPr>
        <w:pStyle w:val="Telotextu"/>
        <w:widowControl w:val="false"/>
        <w:suppressAutoHyphens w:val="false"/>
        <w:rPr>
          <w:szCs w:val="18"/>
        </w:rPr>
      </w:pPr>
      <w:r>
        <w:rPr>
          <w:szCs w:val="18"/>
        </w:rPr>
      </w:r>
    </w:p>
    <w:p>
      <w:pPr>
        <w:pStyle w:val="Telotextu"/>
        <w:widowControl w:val="false"/>
        <w:suppressAutoHyphens w:val="false"/>
        <w:rPr/>
      </w:pPr>
      <w:r>
        <w:rPr>
          <w:szCs w:val="18"/>
        </w:rPr>
        <w:t>Zúčtovanie výnosov budúcich období sa uskutočňuje v časovej a vecnej súvislosti s použitím bezodplatne pripísaných emisných kvót z dôvodu ich predaja alebo tvorby rezervy alebo splnenia povinnosti odovzdania emisných kvót.</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 xml:space="preserve">Nakúpené emisné kvóty sa oceňujú obstarávacou cenou.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Dotácie zo štátneho rozpočtu</w:t>
      </w:r>
    </w:p>
    <w:p>
      <w:pPr>
        <w:pStyle w:val="Normal"/>
        <w:widowControl w:val="false"/>
        <w:suppressAutoHyphens w:val="false"/>
        <w:ind w:left="450" w:hanging="0"/>
        <w:jc w:val="both"/>
        <w:rPr/>
      </w:pPr>
      <w:r>
        <w:rPr>
          <w:szCs w:val="18"/>
        </w:rPr>
        <w:t xml:space="preserve">O nároku na dotácie zo štátneho rozpočtu sa účtuje, ak je takmer isté, že sa splnia všetky podmienky súvisiace s dotáciou a súčasne, že sa dotácia poskytne. </w:t>
      </w:r>
    </w:p>
    <w:p>
      <w:pPr>
        <w:pStyle w:val="Normal"/>
        <w:widowControl w:val="false"/>
        <w:suppressAutoHyphens w:val="false"/>
        <w:ind w:left="450" w:hanging="0"/>
        <w:jc w:val="both"/>
        <w:rPr>
          <w:szCs w:val="18"/>
        </w:rPr>
      </w:pPr>
      <w:r>
        <w:rPr>
          <w:szCs w:val="18"/>
        </w:rPr>
      </w:r>
    </w:p>
    <w:p>
      <w:pPr>
        <w:pStyle w:val="Normal"/>
        <w:widowControl w:val="false"/>
        <w:suppressAutoHyphens w:val="false"/>
        <w:ind w:left="450" w:hanging="0"/>
        <w:jc w:val="both"/>
        <w:rPr>
          <w:szCs w:val="18"/>
        </w:rPr>
      </w:pPr>
      <w:r>
        <w:rPr>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pPr>
        <w:pStyle w:val="Normal"/>
        <w:widowControl w:val="false"/>
        <w:suppressAutoHyphens w:val="false"/>
        <w:ind w:left="450" w:hanging="0"/>
        <w:jc w:val="both"/>
        <w:rPr>
          <w:szCs w:val="18"/>
        </w:rPr>
      </w:pPr>
      <w:r>
        <w:rPr>
          <w:szCs w:val="18"/>
        </w:rPr>
      </w:r>
    </w:p>
    <w:p>
      <w:pPr>
        <w:pStyle w:val="Normal"/>
        <w:widowControl w:val="false"/>
        <w:suppressAutoHyphens w:val="false"/>
        <w:ind w:left="450" w:hanging="0"/>
        <w:jc w:val="both"/>
        <w:rPr/>
      </w:pPr>
      <w:r>
        <w:rPr>
          <w:szCs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Prenájom (lízing)</w:t>
      </w:r>
    </w:p>
    <w:p>
      <w:pPr>
        <w:pStyle w:val="Telotextu"/>
        <w:widowControl w:val="false"/>
        <w:suppressAutoHyphens w:val="false"/>
        <w:rPr>
          <w:szCs w:val="18"/>
        </w:rPr>
      </w:pPr>
      <w:r>
        <w:rPr>
          <w:szCs w:val="18"/>
        </w:rPr>
        <w:t>Majetok prenajatý na základe operatívneho prenájmu vykazuje ako svoj majetok jeho vlastník, nie nájomca.</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pPr>
        <w:pStyle w:val="Telotextu"/>
        <w:widowControl w:val="false"/>
        <w:suppressAutoHyphens w:val="false"/>
        <w:rPr>
          <w:szCs w:val="18"/>
        </w:rPr>
      </w:pPr>
      <w:r>
        <w:rPr>
          <w:szCs w:val="18"/>
        </w:rPr>
      </w:r>
    </w:p>
    <w:p>
      <w:pPr>
        <w:pStyle w:val="Telotextu"/>
        <w:widowControl w:val="false"/>
        <w:suppressAutoHyphens w:val="false"/>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pPr>
        <w:pStyle w:val="Telotextu"/>
        <w:widowControl w:val="false"/>
        <w:suppressAutoHyphens w:val="false"/>
        <w:rPr>
          <w:szCs w:val="18"/>
        </w:rPr>
      </w:pPr>
      <w:r>
        <w:rPr>
          <w:szCs w:val="18"/>
        </w:rPr>
      </w:r>
    </w:p>
    <w:p>
      <w:pPr>
        <w:pStyle w:val="Telotextu"/>
        <w:widowControl w:val="false"/>
        <w:suppressAutoHyphens w:val="false"/>
        <w:rPr/>
      </w:pPr>
      <w:r>
        <w:rPr>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Deriváty</w:t>
      </w:r>
    </w:p>
    <w:p>
      <w:pPr>
        <w:pStyle w:val="Telotextu"/>
        <w:widowControl w:val="false"/>
        <w:suppressAutoHyphens w:val="false"/>
        <w:rPr>
          <w:szCs w:val="18"/>
        </w:rPr>
      </w:pPr>
      <w:r>
        <w:rPr>
          <w:szCs w:val="18"/>
        </w:rPr>
        <w:t>Deriváty sa oceňujú reálnou hodnotou.</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Zmeny reálnych hodnôt zabezpečovacích derivátov sa účtujú bez vplyvu na výsledok hospodárenia, priamo do vlastného imania.</w:t>
      </w:r>
    </w:p>
    <w:p>
      <w:pPr>
        <w:pStyle w:val="Telotextu"/>
        <w:widowControl w:val="false"/>
        <w:suppressAutoHyphens w:val="false"/>
        <w:ind w:left="0" w:hanging="0"/>
        <w:rPr>
          <w:szCs w:val="18"/>
        </w:rPr>
      </w:pPr>
      <w:r>
        <w:rPr>
          <w:szCs w:val="18"/>
        </w:rPr>
      </w:r>
    </w:p>
    <w:p>
      <w:pPr>
        <w:pStyle w:val="Telotextu"/>
        <w:widowControl w:val="false"/>
        <w:suppressAutoHyphens w:val="false"/>
        <w:rPr/>
      </w:pPr>
      <w:r>
        <w:rPr>
          <w:szCs w:val="18"/>
        </w:rPr>
        <w:t>Zmeny reálnych hodnôt derivátov určených na obchodovanie na tuzemskej burze, zahraničnej burze alebo na inom verejnom trhu sa účtujú s vplyvom na výsledok hospodárenia.</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Zmeny reálnych hodnôt derivátov určených na obchodovanie na neverejnom trhu sa účtujú bez vplyvu na výsledok hospodárenia, priamo do vlastného imania.</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pPr>
      <w:r>
        <w:rPr>
          <w:szCs w:val="18"/>
        </w:rPr>
        <w:t>Majetok a záväzky zabezpečené derivátmi</w:t>
      </w:r>
    </w:p>
    <w:p>
      <w:pPr>
        <w:pStyle w:val="Telotextu"/>
        <w:widowControl w:val="false"/>
        <w:suppressAutoHyphens w:val="false"/>
        <w:rPr/>
      </w:pPr>
      <w:r>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Cudzia mena</w:t>
      </w:r>
    </w:p>
    <w:p>
      <w:pPr>
        <w:pStyle w:val="Telotextu"/>
        <w:widowControl w:val="false"/>
        <w:suppressAutoHyphens w:val="false"/>
        <w:rPr/>
      </w:pPr>
      <w:r>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t>Na ocenenie prírastku cudzej meny nakúpenej za euro sa použije kurz, za ktorý bola táto cudzia mena nakúpená.</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pStyle w:val="Telotextu"/>
        <w:widowControl w:val="false"/>
        <w:suppressAutoHyphens w:val="false"/>
        <w:rPr>
          <w:szCs w:val="18"/>
        </w:rPr>
      </w:pPr>
      <w:r>
        <w:rPr>
          <w:szCs w:val="18"/>
        </w:rPr>
      </w:r>
    </w:p>
    <w:p>
      <w:pPr>
        <w:pStyle w:val="Telotextu"/>
        <w:widowControl w:val="false"/>
        <w:suppressAutoHyphens w:val="false"/>
        <w:rPr/>
      </w:pPr>
      <w:r>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pPr>
        <w:pStyle w:val="Telotextu"/>
        <w:widowControl w:val="false"/>
        <w:suppressAutoHyphens w:val="false"/>
        <w:rPr>
          <w:szCs w:val="18"/>
        </w:rPr>
      </w:pPr>
      <w:r>
        <w:rPr>
          <w:szCs w:val="18"/>
        </w:rPr>
      </w:r>
    </w:p>
    <w:p>
      <w:pPr>
        <w:pStyle w:val="Telotextu"/>
        <w:widowControl w:val="false"/>
        <w:suppressAutoHyphens w:val="false"/>
        <w:rPr/>
      </w:pPr>
      <w:r>
        <w:rPr>
          <w:szCs w:val="18"/>
        </w:rPr>
        <w:t>Prijaté a poskytnuté preddavky v cudzej mene na účet zriadený v eurách a z účtu zriadeného v eurách sa prepočítavajú na menu euro kurzom, za ktorý boli tieto hodnoty nakúpené alebo predané.</w:t>
      </w:r>
    </w:p>
    <w:p>
      <w:pPr>
        <w:pStyle w:val="Telotextu"/>
        <w:widowControl w:val="false"/>
        <w:suppressAutoHyphens w:val="false"/>
        <w:rPr>
          <w:szCs w:val="18"/>
        </w:rPr>
      </w:pPr>
      <w:r>
        <w:rPr>
          <w:szCs w:val="18"/>
        </w:rPr>
      </w:r>
    </w:p>
    <w:p>
      <w:pPr>
        <w:pStyle w:val="Pismenka"/>
        <w:widowControl w:val="false"/>
        <w:numPr>
          <w:ilvl w:val="0"/>
          <w:numId w:val="6"/>
        </w:numPr>
        <w:suppressAutoHyphens w:val="false"/>
        <w:ind w:left="426" w:hanging="360"/>
        <w:rPr>
          <w:szCs w:val="18"/>
        </w:rPr>
      </w:pPr>
      <w:r>
        <w:rPr>
          <w:szCs w:val="18"/>
        </w:rPr>
        <w:t>Výnosy</w:t>
      </w:r>
    </w:p>
    <w:p>
      <w:pPr>
        <w:pStyle w:val="Telotextu"/>
        <w:widowControl w:val="false"/>
        <w:suppressAutoHyphens w:val="false"/>
        <w:rPr/>
      </w:pPr>
      <w:r>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pPr>
        <w:pStyle w:val="Nadpis1"/>
        <w:keepNext w:val="true"/>
        <w:widowControl w:val="false"/>
        <w:numPr>
          <w:ilvl w:val="0"/>
          <w:numId w:val="0"/>
        </w:numPr>
        <w:tabs>
          <w:tab w:val="clear" w:pos="708"/>
          <w:tab w:val="left" w:pos="360" w:leader="none"/>
        </w:tabs>
        <w:suppressAutoHyphens w:val="false"/>
        <w:spacing w:before="120" w:after="60"/>
        <w:ind w:left="644" w:hanging="0"/>
        <w:rPr>
          <w:szCs w:val="18"/>
        </w:rPr>
      </w:pPr>
      <w:r>
        <w:rPr>
          <w:szCs w:val="18"/>
        </w:rPr>
      </w:r>
    </w:p>
    <w:p>
      <w:pPr>
        <w:pStyle w:val="Nadpis1"/>
        <w:keepNext w:val="true"/>
        <w:widowControl w:val="false"/>
        <w:numPr>
          <w:ilvl w:val="0"/>
          <w:numId w:val="13"/>
        </w:numPr>
        <w:tabs>
          <w:tab w:val="clear" w:pos="708"/>
          <w:tab w:val="left" w:pos="360" w:leader="none"/>
        </w:tabs>
        <w:suppressAutoHyphens w:val="false"/>
        <w:ind w:left="426" w:hanging="426"/>
        <w:rPr/>
      </w:pPr>
      <w:r>
        <w:rPr>
          <w:szCs w:val="18"/>
        </w:rPr>
        <w:t xml:space="preserve"> </w:t>
      </w:r>
      <w:r>
        <w:rPr>
          <w:szCs w:val="18"/>
        </w:rPr>
        <w:t>informácie o údajoch na strane aktív súvahy</w:t>
      </w:r>
    </w:p>
    <w:p>
      <w:pPr>
        <w:pStyle w:val="Hlavika"/>
        <w:widowControl w:val="false"/>
        <w:suppressAutoHyphens w:val="false"/>
        <w:jc w:val="both"/>
        <w:rPr>
          <w:szCs w:val="18"/>
        </w:rPr>
      </w:pPr>
      <w:r>
        <w:rPr>
          <w:szCs w:val="18"/>
        </w:rPr>
      </w:r>
    </w:p>
    <w:p>
      <w:pPr>
        <w:pStyle w:val="Nadpis2"/>
        <w:keepNext w:val="true"/>
        <w:widowControl w:val="false"/>
        <w:numPr>
          <w:ilvl w:val="0"/>
          <w:numId w:val="8"/>
        </w:numPr>
        <w:tabs>
          <w:tab w:val="clear" w:pos="708"/>
          <w:tab w:val="left" w:pos="426" w:leader="none"/>
        </w:tabs>
        <w:suppressAutoHyphens w:val="false"/>
        <w:rPr/>
      </w:pPr>
      <w:r>
        <w:rPr>
          <w:szCs w:val="18"/>
        </w:rPr>
        <w:t>Dlhodobý nehmotný majetok a dlhodobý hmotný majetok</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 xml:space="preserve">Prehľad o pohybe dlhodobého nehmotného majetku a dlhodobého hmotného majetku od 01.01.2019 do 31.12.2019 a za porovnateľné obdobie od 01.01.2018 do 31.12.2018 je uvedený v tabuľkách. </w:t>
      </w:r>
    </w:p>
    <w:p>
      <w:pPr>
        <w:pStyle w:val="Telotextu"/>
        <w:widowControl w:val="false"/>
        <w:suppressAutoHyphens w:val="false"/>
        <w:rPr>
          <w:szCs w:val="18"/>
        </w:rPr>
      </w:pPr>
      <w:r>
        <w:rPr>
          <w:szCs w:val="18"/>
        </w:rPr>
      </w:r>
    </w:p>
    <w:p>
      <w:pPr>
        <w:pStyle w:val="Nzov"/>
        <w:keepNext w:val="true"/>
        <w:widowControl w:val="false"/>
        <w:spacing w:beforeAutospacing="0" w:before="0" w:after="0"/>
        <w:jc w:val="left"/>
        <w:rPr/>
      </w:pPr>
      <w:r>
        <w:rPr>
          <w:rFonts w:ascii="Arial" w:hAnsi="Arial"/>
          <w:sz w:val="18"/>
          <w:szCs w:val="22"/>
        </w:rPr>
        <w:t>Informácie k prílohe č. 3 časti F. písm. a) o dlhodobom nehmotnom majetku</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č. 1 – nevypĺňa sa</w:t>
      </w:r>
    </w:p>
    <w:p>
      <w:pPr>
        <w:pStyle w:val="Normal"/>
        <w:widowControl w:val="false"/>
        <w:suppressAutoHyphens w:val="false"/>
        <w:rPr>
          <w:szCs w:val="22"/>
        </w:rPr>
      </w:pPr>
      <w:r>
        <w:rPr>
          <w:szCs w:val="22"/>
        </w:rPr>
        <w:t>Tabuľka č. 2 – nevypĺňa sa</w:t>
      </w:r>
    </w:p>
    <w:p>
      <w:pPr>
        <w:pStyle w:val="Normal"/>
        <w:widowControl w:val="false"/>
        <w:suppressAutoHyphens w:val="false"/>
        <w:ind w:firstLine="360"/>
        <w:rPr>
          <w:b/>
          <w:b/>
          <w:szCs w:val="22"/>
        </w:rPr>
      </w:pPr>
      <w:r>
        <w:rPr>
          <w:b/>
          <w:szCs w:val="22"/>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c) o dlhodobom nehmotnom majetku </w:t>
      </w:r>
      <w:r>
        <w:rPr>
          <w:rFonts w:ascii="Arial" w:hAnsi="Arial"/>
          <w:b w:val="false"/>
          <w:sz w:val="18"/>
          <w:szCs w:val="22"/>
        </w:rPr>
        <w:t>(zriadenie záložného práva)</w:t>
      </w:r>
      <w:r>
        <w:rPr>
          <w:rFonts w:ascii="Arial" w:hAnsi="Arial"/>
          <w:sz w:val="18"/>
          <w:szCs w:val="22"/>
        </w:rPr>
        <w:t xml:space="preserve"> </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 nevypĺňa sa</w:t>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ormal"/>
        <w:widowControl w:val="false"/>
        <w:suppressAutoHyphens w:val="false"/>
        <w:rPr>
          <w:rFonts w:ascii="Times New Roman" w:hAnsi="Times New Roman"/>
          <w:b/>
          <w:b/>
          <w:szCs w:val="22"/>
        </w:rPr>
      </w:pPr>
      <w:r>
        <w:rPr>
          <w:rFonts w:ascii="Times New Roman" w:hAnsi="Times New Roman"/>
          <w:b/>
          <w:szCs w:val="22"/>
        </w:rPr>
      </w:r>
    </w:p>
    <w:p>
      <w:pPr>
        <w:pStyle w:val="Nzov"/>
        <w:keepNext w:val="true"/>
        <w:widowControl w:val="false"/>
        <w:spacing w:beforeAutospacing="0" w:before="0" w:after="0"/>
        <w:jc w:val="left"/>
        <w:rPr/>
      </w:pPr>
      <w:r>
        <w:rPr>
          <w:rFonts w:ascii="Arial" w:hAnsi="Arial"/>
          <w:sz w:val="18"/>
          <w:szCs w:val="22"/>
        </w:rPr>
        <w:t>Informácie k prílohe č. 3 časti F. písm. a) o dlhodobom hmotnom majetku</w:t>
      </w:r>
    </w:p>
    <w:p>
      <w:pPr>
        <w:pStyle w:val="Nzov"/>
        <w:keepNext w:val="true"/>
        <w:widowControl w:val="false"/>
        <w:spacing w:beforeAutospacing="0" w:before="0" w:after="0"/>
        <w:ind w:left="360" w:hanging="0"/>
        <w:jc w:val="left"/>
        <w:rPr/>
      </w:pPr>
      <w:r>
        <w:rPr>
          <w:szCs w:val="22"/>
        </w:rPr>
        <w:tab/>
      </w:r>
    </w:p>
    <w:p>
      <w:pPr>
        <w:pStyle w:val="Normal"/>
        <w:widowControl w:val="false"/>
        <w:suppressAutoHyphens w:val="false"/>
        <w:rPr/>
      </w:pPr>
      <w:r>
        <w:rPr>
          <w:szCs w:val="22"/>
        </w:rPr>
        <w:t>Tabuľka č. 1</w:t>
      </w:r>
    </w:p>
    <w:tbl>
      <w:tblPr>
        <w:tblW w:w="5000" w:type="pct"/>
        <w:jc w:val="center"/>
        <w:tblInd w:w="0" w:type="dxa"/>
        <w:tblCellMar>
          <w:top w:w="0" w:type="dxa"/>
          <w:left w:w="15" w:type="dxa"/>
          <w:bottom w:w="0" w:type="dxa"/>
          <w:right w:w="15" w:type="dxa"/>
        </w:tblCellMar>
        <w:tblLook w:val="04a0"/>
      </w:tblPr>
      <w:tblGrid>
        <w:gridCol w:w="1541"/>
        <w:gridCol w:w="10"/>
        <w:gridCol w:w="6"/>
        <w:gridCol w:w="1018"/>
        <w:gridCol w:w="847"/>
        <w:gridCol w:w="3"/>
        <w:gridCol w:w="715"/>
        <w:gridCol w:w="11"/>
        <w:gridCol w:w="118"/>
        <w:gridCol w:w="2"/>
        <w:gridCol w:w="985"/>
        <w:gridCol w:w="2"/>
        <w:gridCol w:w="19"/>
        <w:gridCol w:w="2"/>
        <w:gridCol w:w="971"/>
        <w:gridCol w:w="53"/>
        <w:gridCol w:w="1"/>
        <w:gridCol w:w="1"/>
        <w:gridCol w:w="1"/>
        <w:gridCol w:w="650"/>
        <w:gridCol w:w="2"/>
        <w:gridCol w:w="1"/>
        <w:gridCol w:w="2"/>
        <w:gridCol w:w="1"/>
        <w:gridCol w:w="705"/>
        <w:gridCol w:w="1"/>
        <w:gridCol w:w="1"/>
        <w:gridCol w:w="1"/>
        <w:gridCol w:w="846"/>
        <w:gridCol w:w="1"/>
        <w:gridCol w:w="1"/>
        <w:gridCol w:w="2"/>
        <w:gridCol w:w="720"/>
      </w:tblGrid>
      <w:tr>
        <w:trPr>
          <w:trHeight w:val="145" w:hRule="atLeast"/>
        </w:trPr>
        <w:tc>
          <w:tcPr>
            <w:tcW w:w="1541" w:type="dxa"/>
            <w:vMerge w:val="restart"/>
            <w:tcBorders>
              <w:top w:val="single" w:sz="12" w:space="0" w:color="00000A"/>
              <w:left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Dlhodobý hmotný majetok</w:t>
            </w:r>
          </w:p>
        </w:tc>
        <w:tc>
          <w:tcPr>
            <w:tcW w:w="7699" w:type="dxa"/>
            <w:gridSpan w:val="32"/>
            <w:tcBorders>
              <w:top w:val="single" w:sz="12" w:space="0" w:color="00000A"/>
              <w:left w:val="single" w:sz="12" w:space="0" w:color="00000A"/>
              <w:right w:val="single" w:sz="12" w:space="0" w:color="00000A"/>
            </w:tcBorders>
            <w:shd w:fill="auto" w:val="clear"/>
          </w:tcPr>
          <w:p>
            <w:pPr>
              <w:pStyle w:val="Normal"/>
              <w:widowControl w:val="false"/>
              <w:suppressAutoHyphens w:val="false"/>
              <w:jc w:val="center"/>
              <w:rPr/>
            </w:pPr>
            <w:r>
              <w:rPr>
                <w:b/>
                <w:bCs/>
                <w:sz w:val="16"/>
                <w:szCs w:val="22"/>
              </w:rPr>
              <w:t xml:space="preserve">Bežné účtovné obdobie                                                                                                                              </w:t>
            </w:r>
          </w:p>
        </w:tc>
      </w:tr>
      <w:tr>
        <w:trPr>
          <w:trHeight w:val="1537" w:hRule="atLeast"/>
        </w:trPr>
        <w:tc>
          <w:tcPr>
            <w:tcW w:w="1541" w:type="dxa"/>
            <w:vMerge w:val="continue"/>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b/>
                <w:b/>
                <w:bCs/>
                <w:sz w:val="16"/>
                <w:szCs w:val="22"/>
              </w:rPr>
            </w:pPr>
            <w:r>
              <w:rPr>
                <w:b/>
                <w:bCs/>
                <w:sz w:val="16"/>
                <w:szCs w:val="22"/>
              </w:rPr>
            </w:r>
          </w:p>
        </w:tc>
        <w:tc>
          <w:tcPr>
            <w:tcW w:w="1034"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Pozemky</w:t>
            </w:r>
          </w:p>
        </w:tc>
        <w:tc>
          <w:tcPr>
            <w:tcW w:w="850"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Stavby</w:t>
            </w:r>
          </w:p>
        </w:tc>
        <w:tc>
          <w:tcPr>
            <w:tcW w:w="846"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Samos-tatné hnuteľ-né veci a </w:t>
            </w:r>
          </w:p>
          <w:p>
            <w:pPr>
              <w:pStyle w:val="Normal"/>
              <w:widowControl w:val="false"/>
              <w:suppressAutoHyphens w:val="false"/>
              <w:jc w:val="center"/>
              <w:rPr/>
            </w:pPr>
            <w:r>
              <w:rPr>
                <w:b/>
                <w:bCs/>
                <w:sz w:val="16"/>
                <w:szCs w:val="22"/>
              </w:rPr>
              <w:t>súbory hnuteľ-ných vecí</w:t>
            </w:r>
          </w:p>
        </w:tc>
        <w:tc>
          <w:tcPr>
            <w:tcW w:w="987"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Pestova-teľské celky</w:t>
              <w:br/>
              <w:t xml:space="preserve"> trvalých porastov</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Základné stádo a ťažné zvieratá</w:t>
            </w:r>
          </w:p>
        </w:tc>
        <w:tc>
          <w:tcPr>
            <w:tcW w:w="711"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Ostatný DHM</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Ob-stará-vaný DHM</w:t>
            </w:r>
          </w:p>
        </w:tc>
        <w:tc>
          <w:tcPr>
            <w:tcW w:w="849"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Poskyt-nuté pred-davky na </w:t>
            </w:r>
          </w:p>
          <w:p>
            <w:pPr>
              <w:pStyle w:val="Normal"/>
              <w:widowControl w:val="false"/>
              <w:suppressAutoHyphens w:val="false"/>
              <w:jc w:val="center"/>
              <w:rPr/>
            </w:pPr>
            <w:r>
              <w:rPr>
                <w:b/>
                <w:bCs/>
                <w:sz w:val="16"/>
                <w:szCs w:val="22"/>
              </w:rPr>
              <w:t>DHM</w:t>
            </w:r>
          </w:p>
        </w:tc>
        <w:tc>
          <w:tcPr>
            <w:tcW w:w="722"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Spolu</w:t>
            </w:r>
          </w:p>
        </w:tc>
      </w:tr>
      <w:tr>
        <w:trPr>
          <w:trHeight w:val="155" w:hRule="atLeast"/>
        </w:trPr>
        <w:tc>
          <w:tcPr>
            <w:tcW w:w="154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a</w:t>
            </w:r>
          </w:p>
        </w:tc>
        <w:tc>
          <w:tcPr>
            <w:tcW w:w="1034"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b</w:t>
            </w:r>
          </w:p>
        </w:tc>
        <w:tc>
          <w:tcPr>
            <w:tcW w:w="850"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c</w:t>
            </w:r>
          </w:p>
        </w:tc>
        <w:tc>
          <w:tcPr>
            <w:tcW w:w="846"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d</w:t>
            </w:r>
          </w:p>
        </w:tc>
        <w:tc>
          <w:tcPr>
            <w:tcW w:w="987"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e</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f</w:t>
            </w:r>
          </w:p>
        </w:tc>
        <w:tc>
          <w:tcPr>
            <w:tcW w:w="711"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g</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h</w:t>
            </w:r>
          </w:p>
        </w:tc>
        <w:tc>
          <w:tcPr>
            <w:tcW w:w="849"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i</w:t>
            </w:r>
          </w:p>
        </w:tc>
        <w:tc>
          <w:tcPr>
            <w:tcW w:w="722"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j</w:t>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Prvotné ocenenie</w:t>
            </w:r>
          </w:p>
        </w:tc>
      </w:tr>
      <w:tr>
        <w:trPr>
          <w:trHeight w:val="278" w:hRule="atLeast"/>
        </w:trPr>
        <w:tc>
          <w:tcPr>
            <w:tcW w:w="1551"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4"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1"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4"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Oprávky</w:t>
            </w:r>
          </w:p>
        </w:tc>
      </w:tr>
      <w:tr>
        <w:trPr>
          <w:trHeight w:val="278" w:hRule="atLeast"/>
        </w:trPr>
        <w:tc>
          <w:tcPr>
            <w:tcW w:w="1551"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4"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1"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4"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Opravné položky</w:t>
            </w:r>
          </w:p>
        </w:tc>
      </w:tr>
      <w:tr>
        <w:trPr>
          <w:trHeight w:val="278" w:hRule="atLeast"/>
        </w:trPr>
        <w:tc>
          <w:tcPr>
            <w:tcW w:w="1541"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34" w:type="dxa"/>
            <w:gridSpan w:val="3"/>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34"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34"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34"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34" w:type="dxa"/>
            <w:gridSpan w:val="3"/>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 xml:space="preserve">Zostatková hodnota </w:t>
            </w:r>
          </w:p>
        </w:tc>
      </w:tr>
      <w:tr>
        <w:trPr>
          <w:trHeight w:val="278" w:hRule="atLeast"/>
        </w:trPr>
        <w:tc>
          <w:tcPr>
            <w:tcW w:w="1557"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18"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0"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39"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3"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90" w:hRule="atLeast"/>
        </w:trPr>
        <w:tc>
          <w:tcPr>
            <w:tcW w:w="1557"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18"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0"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39"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3"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bl>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spacing w:beforeAutospacing="0" w:before="0" w:after="0"/>
        <w:ind w:hanging="0"/>
        <w:jc w:val="left"/>
        <w:rPr>
          <w:szCs w:val="22"/>
        </w:rPr>
      </w:pPr>
      <w:r>
        <w:rPr>
          <w:szCs w:val="22"/>
        </w:rPr>
      </w:r>
    </w:p>
    <w:p>
      <w:pPr>
        <w:pStyle w:val="Normal"/>
        <w:widowControl w:val="false"/>
        <w:suppressAutoHyphens w:val="false"/>
        <w:rPr/>
      </w:pPr>
      <w:r>
        <w:rPr>
          <w:szCs w:val="22"/>
        </w:rPr>
        <w:t>Tabuľka č. 2</w:t>
      </w:r>
    </w:p>
    <w:tbl>
      <w:tblPr>
        <w:tblW w:w="5000" w:type="pct"/>
        <w:jc w:val="center"/>
        <w:tblInd w:w="0" w:type="dxa"/>
        <w:tblCellMar>
          <w:top w:w="0" w:type="dxa"/>
          <w:left w:w="15" w:type="dxa"/>
          <w:bottom w:w="0" w:type="dxa"/>
          <w:right w:w="15" w:type="dxa"/>
        </w:tblCellMar>
        <w:tblLook w:val="04a0"/>
      </w:tblPr>
      <w:tblGrid>
        <w:gridCol w:w="1541"/>
        <w:gridCol w:w="10"/>
        <w:gridCol w:w="6"/>
        <w:gridCol w:w="1018"/>
        <w:gridCol w:w="847"/>
        <w:gridCol w:w="3"/>
        <w:gridCol w:w="715"/>
        <w:gridCol w:w="11"/>
        <w:gridCol w:w="118"/>
        <w:gridCol w:w="2"/>
        <w:gridCol w:w="985"/>
        <w:gridCol w:w="2"/>
        <w:gridCol w:w="19"/>
        <w:gridCol w:w="2"/>
        <w:gridCol w:w="971"/>
        <w:gridCol w:w="53"/>
        <w:gridCol w:w="1"/>
        <w:gridCol w:w="1"/>
        <w:gridCol w:w="1"/>
        <w:gridCol w:w="650"/>
        <w:gridCol w:w="2"/>
        <w:gridCol w:w="1"/>
        <w:gridCol w:w="2"/>
        <w:gridCol w:w="1"/>
        <w:gridCol w:w="705"/>
        <w:gridCol w:w="1"/>
        <w:gridCol w:w="1"/>
        <w:gridCol w:w="1"/>
        <w:gridCol w:w="846"/>
        <w:gridCol w:w="1"/>
        <w:gridCol w:w="1"/>
        <w:gridCol w:w="2"/>
        <w:gridCol w:w="720"/>
      </w:tblGrid>
      <w:tr>
        <w:trPr>
          <w:trHeight w:val="145" w:hRule="atLeast"/>
        </w:trPr>
        <w:tc>
          <w:tcPr>
            <w:tcW w:w="1541" w:type="dxa"/>
            <w:vMerge w:val="restart"/>
            <w:tcBorders>
              <w:top w:val="single" w:sz="12" w:space="0" w:color="00000A"/>
              <w:left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Dlhodobý hmotný majetok</w:t>
            </w:r>
          </w:p>
        </w:tc>
        <w:tc>
          <w:tcPr>
            <w:tcW w:w="7699" w:type="dxa"/>
            <w:gridSpan w:val="32"/>
            <w:tcBorders>
              <w:top w:val="single" w:sz="12" w:space="0" w:color="00000A"/>
              <w:left w:val="single" w:sz="12" w:space="0" w:color="00000A"/>
              <w:right w:val="single" w:sz="12" w:space="0" w:color="00000A"/>
            </w:tcBorders>
            <w:shd w:fill="auto" w:val="clear"/>
          </w:tcPr>
          <w:p>
            <w:pPr>
              <w:pStyle w:val="Normal"/>
              <w:widowControl w:val="false"/>
              <w:suppressAutoHyphens w:val="false"/>
              <w:jc w:val="center"/>
              <w:rPr/>
            </w:pPr>
            <w:r>
              <w:rPr>
                <w:b/>
                <w:bCs/>
                <w:sz w:val="16"/>
                <w:szCs w:val="22"/>
              </w:rPr>
              <w:t xml:space="preserve">Bezprostredne prechádzajúce účtovné obdobie                                                                                                                              </w:t>
            </w:r>
          </w:p>
        </w:tc>
      </w:tr>
      <w:tr>
        <w:trPr>
          <w:trHeight w:val="1537" w:hRule="atLeast"/>
        </w:trPr>
        <w:tc>
          <w:tcPr>
            <w:tcW w:w="1541" w:type="dxa"/>
            <w:vMerge w:val="continue"/>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b/>
                <w:b/>
                <w:bCs/>
                <w:sz w:val="16"/>
                <w:szCs w:val="22"/>
              </w:rPr>
            </w:pPr>
            <w:r>
              <w:rPr>
                <w:b/>
                <w:bCs/>
                <w:sz w:val="16"/>
                <w:szCs w:val="22"/>
              </w:rPr>
            </w:r>
          </w:p>
        </w:tc>
        <w:tc>
          <w:tcPr>
            <w:tcW w:w="1034"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Pozemky</w:t>
            </w:r>
          </w:p>
        </w:tc>
        <w:tc>
          <w:tcPr>
            <w:tcW w:w="850"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Stavby</w:t>
            </w:r>
          </w:p>
        </w:tc>
        <w:tc>
          <w:tcPr>
            <w:tcW w:w="846"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Samos-tatné hnuteľ-né veci a </w:t>
            </w:r>
          </w:p>
          <w:p>
            <w:pPr>
              <w:pStyle w:val="Normal"/>
              <w:widowControl w:val="false"/>
              <w:suppressAutoHyphens w:val="false"/>
              <w:jc w:val="center"/>
              <w:rPr/>
            </w:pPr>
            <w:r>
              <w:rPr>
                <w:b/>
                <w:bCs/>
                <w:sz w:val="16"/>
                <w:szCs w:val="22"/>
              </w:rPr>
              <w:t>súbory hnuteľ-ných vecí</w:t>
            </w:r>
          </w:p>
        </w:tc>
        <w:tc>
          <w:tcPr>
            <w:tcW w:w="987"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Pestova-teľské celky</w:t>
              <w:br/>
              <w:t xml:space="preserve"> trvalých porastov</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Základné stádo a ťažné zvieratá</w:t>
            </w:r>
          </w:p>
        </w:tc>
        <w:tc>
          <w:tcPr>
            <w:tcW w:w="711"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Ostatný DHM</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Ob-stará-vaný DHM</w:t>
            </w:r>
          </w:p>
        </w:tc>
        <w:tc>
          <w:tcPr>
            <w:tcW w:w="849"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 xml:space="preserve">Poskyt-nuté pred-davky na </w:t>
            </w:r>
          </w:p>
          <w:p>
            <w:pPr>
              <w:pStyle w:val="Normal"/>
              <w:widowControl w:val="false"/>
              <w:suppressAutoHyphens w:val="false"/>
              <w:jc w:val="center"/>
              <w:rPr/>
            </w:pPr>
            <w:r>
              <w:rPr>
                <w:b/>
                <w:bCs/>
                <w:sz w:val="16"/>
                <w:szCs w:val="22"/>
              </w:rPr>
              <w:t>DHM</w:t>
            </w:r>
          </w:p>
        </w:tc>
        <w:tc>
          <w:tcPr>
            <w:tcW w:w="722"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
                <w:bCs/>
                <w:sz w:val="16"/>
                <w:szCs w:val="22"/>
              </w:rPr>
              <w:t>Spolu</w:t>
            </w:r>
          </w:p>
        </w:tc>
      </w:tr>
      <w:tr>
        <w:trPr>
          <w:trHeight w:val="155" w:hRule="atLeast"/>
        </w:trPr>
        <w:tc>
          <w:tcPr>
            <w:tcW w:w="154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a</w:t>
            </w:r>
          </w:p>
        </w:tc>
        <w:tc>
          <w:tcPr>
            <w:tcW w:w="1034"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b</w:t>
            </w:r>
          </w:p>
        </w:tc>
        <w:tc>
          <w:tcPr>
            <w:tcW w:w="850"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c</w:t>
            </w:r>
          </w:p>
        </w:tc>
        <w:tc>
          <w:tcPr>
            <w:tcW w:w="846"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d</w:t>
            </w:r>
          </w:p>
        </w:tc>
        <w:tc>
          <w:tcPr>
            <w:tcW w:w="987"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e</w:t>
            </w:r>
          </w:p>
        </w:tc>
        <w:tc>
          <w:tcPr>
            <w:tcW w:w="99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f</w:t>
            </w:r>
          </w:p>
        </w:tc>
        <w:tc>
          <w:tcPr>
            <w:tcW w:w="711" w:type="dxa"/>
            <w:gridSpan w:val="8"/>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g</w:t>
            </w:r>
          </w:p>
        </w:tc>
        <w:tc>
          <w:tcPr>
            <w:tcW w:w="708"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h</w:t>
            </w:r>
          </w:p>
        </w:tc>
        <w:tc>
          <w:tcPr>
            <w:tcW w:w="849"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jc w:val="center"/>
              <w:rPr/>
            </w:pPr>
            <w:r>
              <w:rPr>
                <w:bCs/>
                <w:sz w:val="16"/>
                <w:szCs w:val="22"/>
              </w:rPr>
              <w:t>i</w:t>
            </w:r>
          </w:p>
        </w:tc>
        <w:tc>
          <w:tcPr>
            <w:tcW w:w="722" w:type="dxa"/>
            <w:gridSpan w:val="2"/>
            <w:tcBorders>
              <w:top w:val="single" w:sz="12" w:space="0" w:color="00000A"/>
              <w:left w:val="single" w:sz="12" w:space="0" w:color="00000A"/>
              <w:bottom w:val="single" w:sz="12" w:space="0" w:color="00000A"/>
              <w:right w:val="single" w:sz="12" w:space="0" w:color="00000A"/>
            </w:tcBorders>
            <w:shd w:fill="auto" w:val="clear"/>
          </w:tcPr>
          <w:p>
            <w:pPr>
              <w:pStyle w:val="Normal"/>
              <w:widowControl w:val="false"/>
              <w:suppressAutoHyphens w:val="false"/>
              <w:jc w:val="center"/>
              <w:rPr/>
            </w:pPr>
            <w:r>
              <w:rPr>
                <w:bCs/>
                <w:sz w:val="16"/>
                <w:szCs w:val="22"/>
              </w:rPr>
              <w:t>j</w:t>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Prvotné ocenenie</w:t>
            </w:r>
          </w:p>
        </w:tc>
      </w:tr>
      <w:tr>
        <w:trPr>
          <w:trHeight w:val="278" w:hRule="atLeast"/>
        </w:trPr>
        <w:tc>
          <w:tcPr>
            <w:tcW w:w="1551"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4"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1"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4"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987"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6"/>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1" w:type="dxa"/>
            <w:gridSpan w:val="6"/>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2" w:type="dxa"/>
            <w:gridSpan w:val="2"/>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Oprávky</w:t>
            </w:r>
          </w:p>
        </w:tc>
      </w:tr>
      <w:tr>
        <w:trPr>
          <w:trHeight w:val="278" w:hRule="atLeast"/>
        </w:trPr>
        <w:tc>
          <w:tcPr>
            <w:tcW w:w="1551" w:type="dxa"/>
            <w:gridSpan w:val="2"/>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24" w:type="dxa"/>
            <w:gridSpan w:val="2"/>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51" w:type="dxa"/>
            <w:gridSpan w:val="2"/>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24" w:type="dxa"/>
            <w:gridSpan w:val="2"/>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1551" w:type="dxa"/>
            <w:gridSpan w:val="2"/>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24" w:type="dxa"/>
            <w:gridSpan w:val="2"/>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7"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0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3"/>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3"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1"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4" w:type="dxa"/>
            <w:gridSpan w:val="4"/>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Opravné položky</w:t>
            </w:r>
          </w:p>
        </w:tc>
      </w:tr>
      <w:tr>
        <w:trPr>
          <w:trHeight w:val="278" w:hRule="atLeast"/>
        </w:trPr>
        <w:tc>
          <w:tcPr>
            <w:tcW w:w="1541"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34" w:type="dxa"/>
            <w:gridSpan w:val="3"/>
            <w:tcBorders>
              <w:top w:val="single" w:sz="12"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12"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12"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Prírastky</w:t>
            </w:r>
          </w:p>
        </w:tc>
        <w:tc>
          <w:tcPr>
            <w:tcW w:w="1034"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Úbytky</w:t>
            </w:r>
          </w:p>
        </w:tc>
        <w:tc>
          <w:tcPr>
            <w:tcW w:w="1034"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widowControl w:val="false"/>
              <w:suppressAutoHyphens w:val="false"/>
              <w:rPr/>
            </w:pPr>
            <w:r>
              <w:rPr>
                <w:sz w:val="16"/>
                <w:szCs w:val="22"/>
              </w:rPr>
              <w:t>Presuny</w:t>
            </w:r>
          </w:p>
        </w:tc>
        <w:tc>
          <w:tcPr>
            <w:tcW w:w="1034" w:type="dxa"/>
            <w:gridSpan w:val="3"/>
            <w:tcBorders>
              <w:top w:val="single" w:sz="6" w:space="0" w:color="00000A"/>
              <w:left w:val="single" w:sz="12"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6"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6"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397" w:hRule="atLeast"/>
        </w:trPr>
        <w:tc>
          <w:tcPr>
            <w:tcW w:w="1541"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34" w:type="dxa"/>
            <w:gridSpan w:val="3"/>
            <w:tcBorders>
              <w:top w:val="single" w:sz="6"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6" w:type="dxa"/>
            <w:gridSpan w:val="2"/>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07"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48" w:type="dxa"/>
            <w:gridSpan w:val="7"/>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6" w:type="dxa"/>
            <w:gridSpan w:val="5"/>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8"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50" w:type="dxa"/>
            <w:gridSpan w:val="4"/>
            <w:tcBorders>
              <w:top w:val="single" w:sz="6"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0" w:type="dxa"/>
            <w:tcBorders>
              <w:top w:val="single" w:sz="6"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78" w:hRule="atLeast"/>
        </w:trPr>
        <w:tc>
          <w:tcPr>
            <w:tcW w:w="9240" w:type="dxa"/>
            <w:gridSpan w:val="3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sz w:val="16"/>
                <w:szCs w:val="22"/>
              </w:rPr>
              <w:t xml:space="preserve">Zostatková hodnota </w:t>
            </w:r>
          </w:p>
        </w:tc>
      </w:tr>
      <w:tr>
        <w:trPr>
          <w:trHeight w:val="278" w:hRule="atLeast"/>
        </w:trPr>
        <w:tc>
          <w:tcPr>
            <w:tcW w:w="1557"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 xml:space="preserve">Stav </w:t>
              <w:br/>
              <w:t>na začiatku účtovného obdobia</w:t>
            </w:r>
          </w:p>
        </w:tc>
        <w:tc>
          <w:tcPr>
            <w:tcW w:w="1018"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0"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39"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3"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r>
        <w:trPr>
          <w:trHeight w:val="290" w:hRule="atLeast"/>
        </w:trPr>
        <w:tc>
          <w:tcPr>
            <w:tcW w:w="1557"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Normal"/>
              <w:widowControl w:val="false"/>
              <w:suppressAutoHyphens w:val="false"/>
              <w:rPr/>
            </w:pPr>
            <w:r>
              <w:rPr>
                <w:b/>
                <w:bCs/>
                <w:sz w:val="16"/>
                <w:szCs w:val="22"/>
              </w:rPr>
              <w:t>Stav na konci účtovného obdobia</w:t>
            </w:r>
          </w:p>
        </w:tc>
        <w:tc>
          <w:tcPr>
            <w:tcW w:w="1018" w:type="dxa"/>
            <w:tcBorders>
              <w:top w:val="single" w:sz="12" w:space="0" w:color="00000A"/>
              <w:left w:val="single" w:sz="12" w:space="0" w:color="00000A"/>
              <w:bottom w:val="single" w:sz="12" w:space="0" w:color="00000A"/>
              <w:right w:val="single" w:sz="6" w:space="0" w:color="00000A"/>
            </w:tcBorders>
            <w:shd w:fill="auto" w:val="clear"/>
            <w:vAlign w:val="center"/>
          </w:tcPr>
          <w:p>
            <w:pPr>
              <w:pStyle w:val="Normal"/>
              <w:widowControl w:val="false"/>
              <w:suppressAutoHyphens w:val="false"/>
              <w:rPr>
                <w:b/>
                <w:b/>
                <w:sz w:val="16"/>
                <w:szCs w:val="22"/>
              </w:rPr>
            </w:pPr>
            <w:r>
              <w:rPr>
                <w:b/>
                <w:sz w:val="16"/>
                <w:szCs w:val="22"/>
              </w:rPr>
            </w:r>
          </w:p>
        </w:tc>
        <w:tc>
          <w:tcPr>
            <w:tcW w:w="850" w:type="dxa"/>
            <w:gridSpan w:val="2"/>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15" w:type="dxa"/>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139" w:type="dxa"/>
            <w:gridSpan w:val="7"/>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1026"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654"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0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849" w:type="dxa"/>
            <w:gridSpan w:val="4"/>
            <w:tcBorders>
              <w:top w:val="single" w:sz="12" w:space="0" w:color="00000A"/>
              <w:left w:val="single" w:sz="6" w:space="0" w:color="00000A"/>
              <w:bottom w:val="single" w:sz="12" w:space="0" w:color="00000A"/>
              <w:right w:val="single" w:sz="6" w:space="0" w:color="00000A"/>
            </w:tcBorders>
            <w:shd w:fill="auto" w:val="clear"/>
            <w:vAlign w:val="center"/>
          </w:tcPr>
          <w:p>
            <w:pPr>
              <w:pStyle w:val="Normal"/>
              <w:widowControl w:val="false"/>
              <w:suppressAutoHyphens w:val="false"/>
              <w:rPr>
                <w:sz w:val="16"/>
                <w:szCs w:val="22"/>
              </w:rPr>
            </w:pPr>
            <w:r>
              <w:rPr>
                <w:sz w:val="16"/>
                <w:szCs w:val="22"/>
              </w:rPr>
            </w:r>
          </w:p>
        </w:tc>
        <w:tc>
          <w:tcPr>
            <w:tcW w:w="723" w:type="dxa"/>
            <w:gridSpan w:val="3"/>
            <w:tcBorders>
              <w:top w:val="single" w:sz="12" w:space="0" w:color="00000A"/>
              <w:left w:val="single" w:sz="6" w:space="0" w:color="00000A"/>
              <w:bottom w:val="single" w:sz="12" w:space="0" w:color="00000A"/>
              <w:right w:val="single" w:sz="12" w:space="0" w:color="00000A"/>
            </w:tcBorders>
            <w:shd w:fill="auto" w:val="clear"/>
            <w:vAlign w:val="center"/>
          </w:tcPr>
          <w:p>
            <w:pPr>
              <w:pStyle w:val="Normal"/>
              <w:widowControl w:val="false"/>
              <w:suppressAutoHyphens w:val="false"/>
              <w:rPr>
                <w:sz w:val="16"/>
                <w:szCs w:val="22"/>
              </w:rPr>
            </w:pPr>
            <w:r>
              <w:rPr>
                <w:sz w:val="16"/>
                <w:szCs w:val="22"/>
              </w:rPr>
            </w:r>
          </w:p>
        </w:tc>
      </w:tr>
    </w:tbl>
    <w:p>
      <w:pPr>
        <w:pStyle w:val="Normal"/>
        <w:widowControl w:val="false"/>
        <w:suppressAutoHyphens w:val="false"/>
        <w:rPr>
          <w:szCs w:val="22"/>
        </w:rPr>
      </w:pPr>
      <w:r>
        <w:rPr>
          <w:szCs w:val="22"/>
        </w:rPr>
      </w:r>
    </w:p>
    <w:p>
      <w:pPr>
        <w:pStyle w:val="Normal"/>
        <w:widowControl w:val="false"/>
        <w:suppressAutoHyphens w:val="false"/>
        <w:rPr>
          <w:b/>
          <w:b/>
          <w:szCs w:val="22"/>
        </w:rPr>
      </w:pPr>
      <w:r>
        <w:rPr>
          <w:b/>
          <w:szCs w:val="22"/>
        </w:rPr>
      </w:r>
    </w:p>
    <w:p>
      <w:pPr>
        <w:pStyle w:val="Normal"/>
        <w:widowControl w:val="false"/>
        <w:suppressAutoHyphens w:val="false"/>
        <w:ind w:firstLine="360"/>
        <w:rPr>
          <w:b/>
          <w:b/>
          <w:szCs w:val="22"/>
        </w:rPr>
      </w:pPr>
      <w:r>
        <w:rPr>
          <w:b/>
          <w:szCs w:val="22"/>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c) o dlhodobom hmotnom majetku </w:t>
      </w:r>
      <w:r>
        <w:rPr>
          <w:rFonts w:ascii="Arial" w:hAnsi="Arial"/>
          <w:b w:val="false"/>
          <w:sz w:val="18"/>
          <w:szCs w:val="22"/>
        </w:rPr>
        <w:t>(zriadenie záložného práva)</w:t>
      </w:r>
      <w:r>
        <w:rPr>
          <w:rFonts w:ascii="Arial" w:hAnsi="Arial"/>
          <w:sz w:val="18"/>
          <w:szCs w:val="22"/>
        </w:rPr>
        <w:t xml:space="preserve">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pPr>
      <w:r>
        <w:rPr/>
        <w:t>Tabuľka – nevypĺňa sa</w:t>
      </w:r>
    </w:p>
    <w:p>
      <w:pPr>
        <w:pStyle w:val="Normal"/>
        <w:widowControl w:val="false"/>
        <w:suppressAutoHyphens w:val="false"/>
        <w:ind w:firstLine="357"/>
        <w:rPr/>
      </w:pPr>
      <w:r>
        <w:rPr/>
      </w:r>
    </w:p>
    <w:p>
      <w:pPr>
        <w:pStyle w:val="Normal"/>
        <w:widowControl w:val="false"/>
        <w:suppressAutoHyphens w:val="false"/>
        <w:ind w:hanging="0"/>
        <w:rPr>
          <w:rFonts w:ascii="Times New Roman" w:hAnsi="Times New Roman"/>
        </w:rPr>
      </w:pPr>
      <w:r>
        <w:rPr>
          <w:rFonts w:ascii="Times New Roman" w:hAnsi="Times New Roman"/>
        </w:rPr>
      </w:r>
    </w:p>
    <w:p>
      <w:pPr>
        <w:pStyle w:val="Normal"/>
        <w:rPr>
          <w:rFonts w:ascii="Times New Roman" w:hAnsi="Times New Roman"/>
        </w:rPr>
      </w:pPr>
      <w:r>
        <w:rPr>
          <w:rFonts w:ascii="Times New Roman" w:hAnsi="Times New Roman"/>
        </w:rPr>
      </w:r>
    </w:p>
    <w:p>
      <w:pPr>
        <w:pStyle w:val="Nadpis2"/>
        <w:keepNext w:val="true"/>
        <w:widowControl w:val="false"/>
        <w:numPr>
          <w:ilvl w:val="0"/>
          <w:numId w:val="7"/>
        </w:numPr>
        <w:suppressAutoHyphens w:val="false"/>
        <w:rPr>
          <w:szCs w:val="18"/>
        </w:rPr>
      </w:pPr>
      <w:r>
        <w:rPr>
          <w:szCs w:val="18"/>
        </w:rPr>
        <w:t>Dlhodobý finančný majetok</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Prehľad o pohybe dlhodobého finančného majetku od 01.01.2019 do 31.12.2019 a za porovnateľné obdobie  01.01.2018 do 31.12.2018 je uvedený v tabuľkách</w:t>
      </w:r>
    </w:p>
    <w:p>
      <w:pPr>
        <w:pStyle w:val="Telotextu"/>
        <w:widowControl w:val="false"/>
        <w:suppressAutoHyphens w:val="false"/>
        <w:ind w:left="0" w:hanging="0"/>
        <w:rPr>
          <w:szCs w:val="18"/>
        </w:rPr>
      </w:pPr>
      <w:r>
        <w:rPr>
          <w:szCs w:val="18"/>
        </w:rPr>
      </w:r>
    </w:p>
    <w:p>
      <w:pPr>
        <w:pStyle w:val="Telotextu"/>
        <w:widowControl w:val="false"/>
        <w:suppressAutoHyphens w:val="false"/>
        <w:ind w:left="0" w:hanging="0"/>
        <w:rPr>
          <w:szCs w:val="18"/>
        </w:rPr>
      </w:pPr>
      <w:r>
        <w:rPr>
          <w:szCs w:val="18"/>
        </w:rPr>
      </w:r>
    </w:p>
    <w:p>
      <w:pPr>
        <w:pStyle w:val="Nzov"/>
        <w:keepNext w:val="true"/>
        <w:widowControl w:val="false"/>
        <w:spacing w:beforeAutospacing="0" w:before="0" w:after="0"/>
        <w:jc w:val="left"/>
        <w:rPr/>
      </w:pPr>
      <w:r>
        <w:rPr>
          <w:rFonts w:ascii="Arial" w:hAnsi="Arial"/>
          <w:sz w:val="18"/>
          <w:szCs w:val="22"/>
        </w:rPr>
        <w:t>Informácie k prílohe č. 3 časti F. písm. j) o dlhodobom finančnom majetku</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č. 1 – nevypĺňa sa</w:t>
      </w:r>
    </w:p>
    <w:p>
      <w:pPr>
        <w:pStyle w:val="Normal"/>
        <w:widowControl w:val="false"/>
        <w:suppressAutoHyphens w:val="false"/>
        <w:rPr>
          <w:bCs/>
          <w:szCs w:val="22"/>
          <w:lang w:eastAsia="en-US"/>
        </w:rPr>
      </w:pPr>
      <w:r>
        <w:rPr>
          <w:bCs/>
          <w:szCs w:val="22"/>
          <w:lang w:eastAsia="en-US"/>
        </w:rPr>
        <w:t>Tabuľka č. 2 – nevypĺňa sa</w:t>
      </w:r>
    </w:p>
    <w:p>
      <w:pPr>
        <w:pStyle w:val="Telotextu"/>
        <w:widowControl w:val="false"/>
        <w:suppressAutoHyphens w:val="false"/>
        <w:ind w:left="0" w:hanging="0"/>
        <w:rPr>
          <w:b/>
          <w:b/>
          <w:bCs/>
          <w:szCs w:val="22"/>
          <w:lang w:eastAsia="en-US"/>
        </w:rPr>
      </w:pPr>
      <w:r>
        <w:rPr>
          <w:b/>
          <w:bCs/>
          <w:szCs w:val="22"/>
          <w:lang w:eastAsia="en-US"/>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m) o dlhodobom finančnom majetku </w:t>
      </w:r>
      <w:r>
        <w:rPr>
          <w:rFonts w:ascii="Arial" w:hAnsi="Arial"/>
          <w:b w:val="false"/>
          <w:sz w:val="18"/>
          <w:szCs w:val="22"/>
        </w:rPr>
        <w:t>(zriadenie záložného práva)</w:t>
      </w:r>
      <w:r>
        <w:rPr>
          <w:rFonts w:ascii="Arial" w:hAnsi="Arial"/>
          <w:sz w:val="18"/>
          <w:szCs w:val="22"/>
        </w:rPr>
        <w:t xml:space="preserve">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pPr>
      <w:r>
        <w:rPr/>
        <w:t>Tabuľka – nevypĺňa sa</w:t>
      </w:r>
    </w:p>
    <w:p>
      <w:pPr>
        <w:pStyle w:val="Normal"/>
        <w:widowControl w:val="false"/>
        <w:suppressAutoHyphens w:val="false"/>
        <w:ind w:firstLine="360"/>
        <w:rPr/>
      </w:pPr>
      <w:r>
        <w:rPr/>
      </w:r>
    </w:p>
    <w:p>
      <w:pPr>
        <w:pStyle w:val="Nzov"/>
        <w:keepNext w:val="true"/>
        <w:widowControl w:val="false"/>
        <w:spacing w:beforeAutospacing="0" w:before="0" w:after="0"/>
        <w:jc w:val="left"/>
        <w:rPr/>
      </w:pPr>
      <w:r>
        <w:rPr>
          <w:rFonts w:ascii="Arial" w:hAnsi="Arial"/>
          <w:sz w:val="18"/>
          <w:szCs w:val="22"/>
        </w:rPr>
        <w:t>Informácie k prílohe č. 3  časti F. písm. i) o štruktúre dlhodobého finančného majetku</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pPr>
      <w:r>
        <w:rPr/>
        <w:t>Tabuľka – nevypĺňa sa</w:t>
      </w:r>
    </w:p>
    <w:p>
      <w:pPr>
        <w:pStyle w:val="Normal"/>
        <w:widowControl w:val="false"/>
        <w:suppressAutoHyphens w:val="false"/>
        <w:ind w:firstLine="360"/>
        <w:rPr/>
      </w:pPr>
      <w:r>
        <w:rPr/>
      </w:r>
    </w:p>
    <w:p>
      <w:pPr>
        <w:pStyle w:val="Nzov"/>
        <w:keepNext w:val="true"/>
        <w:widowControl w:val="false"/>
        <w:spacing w:beforeAutospacing="0" w:before="0" w:after="0"/>
        <w:jc w:val="left"/>
        <w:rPr/>
      </w:pPr>
      <w:r>
        <w:rPr>
          <w:rFonts w:ascii="Arial" w:hAnsi="Arial"/>
          <w:sz w:val="18"/>
          <w:szCs w:val="22"/>
        </w:rPr>
        <w:t xml:space="preserve">Informácie k prílohe č. 3 časti F. písm. j) a l) o dlhových CP držaných do splatnosti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pPr>
      <w:r>
        <w:rPr/>
        <w:t>Tabuľka – nevypĺňa sa</w:t>
      </w:r>
    </w:p>
    <w:p>
      <w:pPr>
        <w:pStyle w:val="Normal"/>
        <w:widowControl w:val="false"/>
        <w:suppressAutoHyphens w:val="false"/>
        <w:ind w:firstLine="360"/>
        <w:rPr/>
      </w:pPr>
      <w:r>
        <w:rPr/>
      </w:r>
    </w:p>
    <w:p>
      <w:pPr>
        <w:pStyle w:val="Nzov"/>
        <w:keepNext w:val="true"/>
        <w:widowControl w:val="false"/>
        <w:spacing w:beforeAutospacing="0" w:before="0" w:after="0"/>
        <w:jc w:val="left"/>
        <w:rPr/>
      </w:pPr>
      <w:r>
        <w:rPr>
          <w:rFonts w:ascii="Arial" w:hAnsi="Arial"/>
          <w:sz w:val="18"/>
          <w:szCs w:val="22"/>
        </w:rPr>
        <w:t>Informácie k prílohe č. 3 časti F. písm. j) a l) o poskytnutých dlhodobých pôžičkách</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ormal"/>
        <w:widowControl w:val="false"/>
        <w:suppressAutoHyphens w:val="false"/>
        <w:ind w:firstLine="360"/>
        <w:rPr>
          <w:szCs w:val="18"/>
        </w:rPr>
      </w:pPr>
      <w:r>
        <w:rPr>
          <w:szCs w:val="18"/>
        </w:rPr>
      </w:r>
    </w:p>
    <w:p>
      <w:pPr>
        <w:pStyle w:val="Telotextu"/>
        <w:widowControl w:val="false"/>
        <w:suppressAutoHyphens w:val="false"/>
        <w:ind w:left="0" w:hanging="0"/>
        <w:rPr>
          <w:szCs w:val="18"/>
        </w:rPr>
      </w:pPr>
      <w:r>
        <w:rPr>
          <w:szCs w:val="18"/>
        </w:rPr>
      </w:r>
    </w:p>
    <w:p>
      <w:pPr>
        <w:pStyle w:val="Nadpis2"/>
        <w:keepNext w:val="true"/>
        <w:widowControl w:val="false"/>
        <w:numPr>
          <w:ilvl w:val="0"/>
          <w:numId w:val="7"/>
        </w:numPr>
        <w:suppressAutoHyphens w:val="false"/>
        <w:rPr>
          <w:szCs w:val="18"/>
        </w:rPr>
      </w:pPr>
      <w:r>
        <w:rPr>
          <w:szCs w:val="18"/>
        </w:rPr>
        <w:t>Zásoby</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b/>
          <w:bCs/>
          <w:szCs w:val="22"/>
          <w:lang w:eastAsia="en-US"/>
        </w:rPr>
        <w:t>Informácie k prílohe č. 3 časti F. písm. o) o opravných položkách k zásobám</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č. 1 – nevypĺňa sa</w:t>
      </w:r>
    </w:p>
    <w:p>
      <w:pPr>
        <w:pStyle w:val="Normal"/>
        <w:widowControl w:val="false"/>
        <w:suppressAutoHyphens w:val="false"/>
        <w:rPr>
          <w:bCs/>
          <w:szCs w:val="22"/>
          <w:lang w:eastAsia="en-US"/>
        </w:rPr>
      </w:pPr>
      <w:r>
        <w:rPr>
          <w:bCs/>
          <w:szCs w:val="22"/>
          <w:lang w:eastAsia="en-US"/>
        </w:rPr>
        <w:t>Tabuľka č. 2 – nevypĺňa sa</w:t>
      </w:r>
    </w:p>
    <w:p>
      <w:pPr>
        <w:pStyle w:val="Normal"/>
        <w:widowControl w:val="false"/>
        <w:suppressAutoHyphens w:val="false"/>
        <w:ind w:firstLine="360"/>
        <w:rPr>
          <w:bCs/>
          <w:szCs w:val="22"/>
          <w:lang w:eastAsia="en-US"/>
        </w:rPr>
      </w:pPr>
      <w:r>
        <w:rPr>
          <w:bCs/>
          <w:szCs w:val="22"/>
          <w:lang w:eastAsia="en-US"/>
        </w:rPr>
      </w:r>
    </w:p>
    <w:p>
      <w:pPr>
        <w:pStyle w:val="Nzov"/>
        <w:keepNext w:val="true"/>
        <w:widowControl w:val="false"/>
        <w:spacing w:beforeAutospacing="0" w:before="120" w:after="0"/>
        <w:jc w:val="both"/>
        <w:rPr/>
      </w:pPr>
      <w:r>
        <w:rPr>
          <w:rFonts w:ascii="Arial" w:hAnsi="Arial"/>
          <w:sz w:val="18"/>
          <w:szCs w:val="22"/>
        </w:rPr>
        <w:t xml:space="preserve">Informácie k prílohe č. 3 časti F. písm. p) o zásobách, na ktoré je zriadené záložné právo </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 nevypĺňa sa</w:t>
      </w:r>
    </w:p>
    <w:p>
      <w:pPr>
        <w:pStyle w:val="Telotextu"/>
        <w:widowControl w:val="false"/>
        <w:suppressAutoHyphens w:val="false"/>
        <w:ind w:left="0" w:hanging="0"/>
        <w:rPr>
          <w:i/>
          <w:i/>
          <w:szCs w:val="18"/>
        </w:rPr>
      </w:pPr>
      <w:r>
        <w:rPr>
          <w:i/>
          <w:szCs w:val="18"/>
        </w:rPr>
      </w:r>
      <w:bookmarkStart w:id="4" w:name="_1405926912"/>
      <w:bookmarkStart w:id="5" w:name="_1405926912"/>
      <w:bookmarkEnd w:id="5"/>
    </w:p>
    <w:p>
      <w:pPr>
        <w:pStyle w:val="Telotextu"/>
        <w:widowControl w:val="false"/>
        <w:suppressAutoHyphens w:val="false"/>
        <w:ind w:left="0" w:hanging="0"/>
        <w:rPr/>
      </w:pPr>
      <w:r>
        <w:rPr>
          <w:b/>
          <w:bCs/>
          <w:szCs w:val="22"/>
          <w:lang w:eastAsia="en-US"/>
        </w:rPr>
        <w:t>Informácie o obstarávaní nehnuteľnosti na predaj</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szCs w:val="18"/>
        </w:rPr>
      </w:pPr>
      <w:r>
        <w:rPr/>
        <w:t>Tabuľka – nevypĺňa sa</w:t>
      </w:r>
    </w:p>
    <w:p>
      <w:pPr>
        <w:pStyle w:val="Normal"/>
        <w:widowControl w:val="false"/>
        <w:suppressAutoHyphens w:val="false"/>
        <w:spacing w:lineRule="auto" w:line="276" w:before="0" w:after="200"/>
        <w:rPr>
          <w:szCs w:val="18"/>
        </w:rPr>
      </w:pPr>
      <w:r>
        <w:rPr>
          <w:szCs w:val="18"/>
        </w:rPr>
      </w:r>
    </w:p>
    <w:p>
      <w:pPr>
        <w:pStyle w:val="Nadpis2"/>
        <w:keepNext w:val="true"/>
        <w:widowControl w:val="false"/>
        <w:numPr>
          <w:ilvl w:val="0"/>
          <w:numId w:val="7"/>
        </w:numPr>
        <w:suppressAutoHyphens w:val="false"/>
        <w:ind w:left="357" w:hanging="357"/>
        <w:rPr/>
      </w:pPr>
      <w:r>
        <w:rPr>
          <w:szCs w:val="18"/>
        </w:rPr>
        <w:t>Údaje o zákazkovej výrobe</w:t>
      </w:r>
    </w:p>
    <w:p>
      <w:pPr>
        <w:pStyle w:val="Telotextu"/>
        <w:widowControl w:val="false"/>
        <w:suppressAutoHyphens w:val="false"/>
        <w:rPr>
          <w:szCs w:val="18"/>
        </w:rPr>
      </w:pPr>
      <w:r>
        <w:rPr>
          <w:szCs w:val="18"/>
        </w:rPr>
      </w:r>
    </w:p>
    <w:p>
      <w:pPr>
        <w:pStyle w:val="Nzov"/>
        <w:keepNext w:val="true"/>
        <w:widowControl w:val="false"/>
        <w:spacing w:beforeAutospacing="0" w:before="0" w:after="0"/>
        <w:jc w:val="both"/>
        <w:rPr/>
      </w:pPr>
      <w:r>
        <w:rPr>
          <w:rFonts w:ascii="Arial" w:hAnsi="Arial"/>
          <w:sz w:val="18"/>
          <w:szCs w:val="22"/>
        </w:rPr>
        <w:t>Informácie k prílohe č. 3 časti F. písm. q) o zákazkovej výrobe a o zákazkovej výstavbe nehnuteľnosti určenej na predaj</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szCs w:val="22"/>
        </w:rPr>
      </w:pPr>
      <w:r>
        <w:rPr>
          <w:szCs w:val="22"/>
        </w:rPr>
        <w:t>Tabuľka č. 1 – nevypĺňa sa</w:t>
      </w:r>
    </w:p>
    <w:p>
      <w:pPr>
        <w:pStyle w:val="Normal"/>
        <w:widowControl w:val="false"/>
        <w:suppressAutoHyphens w:val="false"/>
        <w:rPr>
          <w:bCs/>
          <w:szCs w:val="22"/>
          <w:lang w:eastAsia="en-US"/>
        </w:rPr>
      </w:pPr>
      <w:r>
        <w:rPr>
          <w:bCs/>
          <w:szCs w:val="22"/>
          <w:lang w:eastAsia="en-US"/>
        </w:rPr>
        <w:t>Tabuľka č. 2 – nevypĺňa s</w:t>
      </w:r>
      <w:bookmarkStart w:id="6" w:name="_1405930191"/>
      <w:bookmarkEnd w:id="6"/>
      <w:r>
        <w:rPr>
          <w:bCs/>
          <w:szCs w:val="22"/>
          <w:lang w:eastAsia="en-US"/>
        </w:rPr>
        <w:t>a</w:t>
      </w:r>
    </w:p>
    <w:p>
      <w:pPr>
        <w:pStyle w:val="Normal"/>
        <w:widowControl w:val="false"/>
        <w:suppressAutoHyphens w:val="false"/>
        <w:spacing w:lineRule="auto" w:line="276" w:before="0" w:after="200"/>
        <w:rPr>
          <w:rFonts w:ascii="Times New Roman" w:hAnsi="Times New Roman"/>
          <w:szCs w:val="18"/>
        </w:rPr>
      </w:pPr>
      <w:r>
        <w:rPr>
          <w:rFonts w:ascii="Times New Roman" w:hAnsi="Times New Roman"/>
          <w:szCs w:val="18"/>
        </w:rPr>
      </w:r>
      <w:bookmarkStart w:id="7" w:name="_1405929413"/>
      <w:bookmarkStart w:id="8" w:name="_1405929413"/>
      <w:bookmarkEnd w:id="8"/>
    </w:p>
    <w:p>
      <w:pPr>
        <w:pStyle w:val="Nadpis2"/>
        <w:keepNext w:val="true"/>
        <w:widowControl w:val="false"/>
        <w:numPr>
          <w:ilvl w:val="0"/>
          <w:numId w:val="7"/>
        </w:numPr>
        <w:suppressAutoHyphens w:val="false"/>
        <w:rPr/>
      </w:pPr>
      <w:r>
        <w:rPr>
          <w:szCs w:val="18"/>
        </w:rPr>
        <w:t xml:space="preserve">Údaje o zákazkovej výstavbe nehnuteľnosti na predaj </w:t>
      </w:r>
    </w:p>
    <w:p>
      <w:pPr>
        <w:pStyle w:val="Normal"/>
        <w:widowControl w:val="false"/>
        <w:suppressAutoHyphens w:val="false"/>
        <w:rPr>
          <w:szCs w:val="18"/>
        </w:rPr>
      </w:pPr>
      <w:r>
        <w:rPr>
          <w:szCs w:val="18"/>
        </w:rPr>
      </w:r>
    </w:p>
    <w:p>
      <w:pPr>
        <w:pStyle w:val="Normal"/>
        <w:widowControl w:val="false"/>
        <w:suppressAutoHyphens w:val="false"/>
        <w:rPr>
          <w:rFonts w:ascii="Times New Roman" w:hAnsi="Times New Roman"/>
          <w:i/>
          <w:i/>
          <w:szCs w:val="18"/>
          <w:u w:val="single"/>
        </w:rPr>
      </w:pPr>
      <w:r>
        <w:rPr>
          <w:rFonts w:ascii="Times New Roman" w:hAnsi="Times New Roman"/>
          <w:i/>
          <w:szCs w:val="18"/>
          <w:u w:val="single"/>
        </w:rPr>
      </w:r>
      <w:bookmarkStart w:id="9" w:name="_1405930214"/>
      <w:bookmarkStart w:id="10" w:name="_1405930214"/>
      <w:bookmarkEnd w:id="10"/>
    </w:p>
    <w:p>
      <w:pPr>
        <w:pStyle w:val="Nzov"/>
        <w:keepNext w:val="true"/>
        <w:widowControl w:val="false"/>
        <w:spacing w:beforeAutospacing="0" w:before="0" w:after="0"/>
        <w:jc w:val="both"/>
        <w:rPr/>
      </w:pPr>
      <w:bookmarkStart w:id="11" w:name="_1405930342"/>
      <w:bookmarkEnd w:id="11"/>
      <w:r>
        <w:rPr>
          <w:rFonts w:ascii="Arial" w:hAnsi="Arial"/>
          <w:sz w:val="18"/>
          <w:szCs w:val="22"/>
        </w:rPr>
        <w:t>Informácie k prílohe č. 3 časti F. písm. q) o zákazkovej výrobe a o zákazkovej výstavbe nehnuteľnosti určenej na predaj</w:t>
      </w:r>
    </w:p>
    <w:p>
      <w:pPr>
        <w:pStyle w:val="Normal"/>
        <w:widowControl w:val="false"/>
        <w:suppressAutoHyphens w:val="false"/>
        <w:rPr/>
      </w:pPr>
      <w:r>
        <w:rPr/>
      </w:r>
    </w:p>
    <w:p>
      <w:pPr>
        <w:pStyle w:val="Normal"/>
        <w:widowControl w:val="false"/>
        <w:suppressAutoHyphens w:val="false"/>
        <w:rPr>
          <w:szCs w:val="22"/>
        </w:rPr>
      </w:pPr>
      <w:r>
        <w:rPr>
          <w:szCs w:val="22"/>
        </w:rPr>
        <w:t>Tabuľka č. 3 – nevypĺňa sa</w:t>
      </w:r>
    </w:p>
    <w:p>
      <w:pPr>
        <w:pStyle w:val="Normal"/>
        <w:widowControl w:val="false"/>
        <w:suppressAutoHyphens w:val="false"/>
        <w:rPr/>
      </w:pPr>
      <w:r>
        <w:rPr>
          <w:bCs/>
          <w:szCs w:val="22"/>
          <w:lang w:eastAsia="en-US"/>
        </w:rPr>
        <w:t>Tabuľka č. 4 – nevypĺňa sa</w:t>
      </w:r>
    </w:p>
    <w:p>
      <w:pPr>
        <w:pStyle w:val="Normal"/>
        <w:widowControl w:val="false"/>
        <w:suppressAutoHyphens w:val="false"/>
        <w:rPr>
          <w:bCs/>
          <w:szCs w:val="22"/>
          <w:lang w:eastAsia="en-US"/>
        </w:rPr>
      </w:pPr>
      <w:r>
        <w:rPr>
          <w:bCs/>
          <w:szCs w:val="22"/>
          <w:lang w:eastAsia="en-US"/>
        </w:rPr>
      </w:r>
    </w:p>
    <w:p>
      <w:pPr>
        <w:pStyle w:val="Normal"/>
        <w:widowControl w:val="false"/>
        <w:suppressAutoHyphens w:val="false"/>
        <w:rPr>
          <w:bCs/>
          <w:szCs w:val="22"/>
          <w:lang w:eastAsia="en-US"/>
        </w:rPr>
      </w:pPr>
      <w:r>
        <w:rPr>
          <w:bCs/>
          <w:szCs w:val="22"/>
          <w:lang w:eastAsia="en-US"/>
        </w:rPr>
      </w:r>
    </w:p>
    <w:p>
      <w:pPr>
        <w:pStyle w:val="Nadpis2"/>
        <w:keepNext w:val="true"/>
        <w:widowControl w:val="false"/>
        <w:numPr>
          <w:ilvl w:val="0"/>
          <w:numId w:val="7"/>
        </w:numPr>
        <w:suppressAutoHyphens w:val="false"/>
        <w:rPr>
          <w:szCs w:val="18"/>
        </w:rPr>
      </w:pPr>
      <w:r>
        <w:rPr>
          <w:szCs w:val="18"/>
        </w:rPr>
        <w:t>Pohľadávky</w:t>
      </w:r>
    </w:p>
    <w:p>
      <w:pPr>
        <w:pStyle w:val="Telotextu"/>
        <w:widowControl w:val="false"/>
        <w:suppressAutoHyphens w:val="false"/>
        <w:rPr>
          <w:szCs w:val="18"/>
        </w:rPr>
      </w:pPr>
      <w:r>
        <w:rPr>
          <w:szCs w:val="18"/>
        </w:rPr>
      </w:r>
    </w:p>
    <w:p>
      <w:pPr>
        <w:pStyle w:val="Nzov"/>
        <w:spacing w:beforeAutospacing="0" w:before="0" w:after="0"/>
        <w:jc w:val="left"/>
        <w:rPr/>
      </w:pPr>
      <w:r>
        <w:rPr>
          <w:rFonts w:ascii="Arial" w:hAnsi="Arial"/>
          <w:sz w:val="18"/>
          <w:szCs w:val="22"/>
        </w:rPr>
        <w:t xml:space="preserve">15. Informácie k prílohe č. 3 časti F. písm. r) o vývoji opravnej položky k pohľadávkam </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szCs w:val="22"/>
        </w:rPr>
        <w:t>Tabuľka – nevypĺňa sa</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ind w:firstLine="360"/>
        <w:rPr>
          <w:szCs w:val="22"/>
        </w:rPr>
      </w:pPr>
      <w:r>
        <w:rPr>
          <w:szCs w:val="22"/>
        </w:rPr>
      </w:r>
    </w:p>
    <w:p>
      <w:pPr>
        <w:pStyle w:val="Nzov"/>
        <w:keepNext w:val="true"/>
        <w:widowControl w:val="false"/>
        <w:spacing w:beforeAutospacing="0" w:before="0" w:after="0"/>
        <w:jc w:val="left"/>
        <w:rPr/>
      </w:pPr>
      <w:r>
        <w:rPr>
          <w:rFonts w:ascii="Arial" w:hAnsi="Arial"/>
          <w:sz w:val="18"/>
          <w:szCs w:val="22"/>
        </w:rPr>
        <w:t>16. Informácie k prílohe č. 3 časti F. písm. s) o vekovej štruktúre pohľadávok</w:t>
      </w:r>
      <w:r>
        <w:rPr>
          <w:rFonts w:ascii="Times New Roman" w:hAnsi="Times New Roman"/>
          <w:sz w:val="18"/>
          <w:szCs w:val="22"/>
        </w:rPr>
        <w:br/>
      </w:r>
    </w:p>
    <w:p>
      <w:pPr>
        <w:pStyle w:val="Normal"/>
        <w:widowControl w:val="false"/>
        <w:suppressAutoHyphens w:val="false"/>
        <w:ind w:firstLine="360"/>
        <w:rPr>
          <w:szCs w:val="22"/>
        </w:rPr>
      </w:pPr>
      <w:r>
        <w:rPr>
          <w:szCs w:val="22"/>
        </w:rPr>
      </w:r>
    </w:p>
    <w:tbl>
      <w:tblPr>
        <w:tblW w:w="5000" w:type="pct"/>
        <w:jc w:val="center"/>
        <w:tblInd w:w="0" w:type="dxa"/>
        <w:tblCellMar>
          <w:top w:w="0" w:type="dxa"/>
          <w:left w:w="15" w:type="dxa"/>
          <w:bottom w:w="0" w:type="dxa"/>
          <w:right w:w="79" w:type="dxa"/>
        </w:tblCellMar>
        <w:tblLook w:val="04a0"/>
      </w:tblPr>
      <w:tblGrid>
        <w:gridCol w:w="3492"/>
        <w:gridCol w:w="1973"/>
        <w:gridCol w:w="1836"/>
        <w:gridCol w:w="1939"/>
      </w:tblGrid>
      <w:tr>
        <w:trPr/>
        <w:tc>
          <w:tcPr>
            <w:tcW w:w="349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197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V lehote splatnosti</w:t>
            </w:r>
          </w:p>
        </w:tc>
        <w:tc>
          <w:tcPr>
            <w:tcW w:w="18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Po lehote splatnosti</w:t>
            </w:r>
          </w:p>
        </w:tc>
        <w:tc>
          <w:tcPr>
            <w:tcW w:w="193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Pohľadávky spolu</w:t>
            </w:r>
          </w:p>
        </w:tc>
      </w:tr>
      <w:tr>
        <w:trPr>
          <w:trHeight w:val="227" w:hRule="exact"/>
        </w:trPr>
        <w:tc>
          <w:tcPr>
            <w:tcW w:w="349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a</w:t>
            </w:r>
          </w:p>
        </w:tc>
        <w:tc>
          <w:tcPr>
            <w:tcW w:w="197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b</w:t>
            </w:r>
          </w:p>
        </w:tc>
        <w:tc>
          <w:tcPr>
            <w:tcW w:w="18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c</w:t>
            </w:r>
          </w:p>
        </w:tc>
        <w:tc>
          <w:tcPr>
            <w:tcW w:w="193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b w:val="false"/>
                <w:b w:val="false"/>
                <w:sz w:val="18"/>
              </w:rPr>
            </w:pPr>
            <w:r>
              <w:rPr>
                <w:rFonts w:ascii="Arial" w:hAnsi="Arial"/>
                <w:b w:val="false"/>
                <w:sz w:val="18"/>
              </w:rPr>
              <w:t>d</w:t>
            </w:r>
          </w:p>
        </w:tc>
      </w:tr>
      <w:tr>
        <w:trPr>
          <w:trHeight w:val="397" w:hRule="atLeast"/>
        </w:trPr>
        <w:tc>
          <w:tcPr>
            <w:tcW w:w="9240" w:type="dxa"/>
            <w:gridSpan w:val="4"/>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b/>
                <w:b/>
                <w:szCs w:val="22"/>
              </w:rPr>
            </w:pPr>
            <w:r>
              <w:rPr>
                <w:b/>
                <w:szCs w:val="22"/>
              </w:rPr>
              <w:t>Dlhodobé pohľadávky</w:t>
            </w:r>
          </w:p>
        </w:tc>
      </w:tr>
      <w:tr>
        <w:trPr>
          <w:trHeight w:val="425" w:hRule="atLeast"/>
        </w:trPr>
        <w:tc>
          <w:tcPr>
            <w:tcW w:w="3492"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Pohľadávky z obchodného styku</w:t>
            </w:r>
          </w:p>
        </w:tc>
        <w:tc>
          <w:tcPr>
            <w:tcW w:w="1973"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12"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12"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 xml:space="preserve">Pohľadávky voči DÚJ a MÚJ </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Ostatné pohľadávky v rámci konsolidovaného celku</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szCs w:val="22"/>
              </w:rPr>
              <w:t>Pohľadávky voči spoločníkom, členom a združeniu</w:t>
            </w:r>
          </w:p>
        </w:tc>
        <w:tc>
          <w:tcPr>
            <w:tcW w:w="1973"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6"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6"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Iné pohľadávky</w:t>
            </w:r>
          </w:p>
        </w:tc>
        <w:tc>
          <w:tcPr>
            <w:tcW w:w="1973"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6"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6"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szCs w:val="22"/>
              </w:rPr>
            </w:pPr>
            <w:r>
              <w:rPr>
                <w:b/>
                <w:szCs w:val="22"/>
              </w:rPr>
              <w:t>Dlhodobé pohľadávky spolu</w:t>
            </w:r>
          </w:p>
        </w:tc>
        <w:tc>
          <w:tcPr>
            <w:tcW w:w="1973"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b/>
                <w:b/>
                <w:szCs w:val="22"/>
              </w:rPr>
            </w:pPr>
            <w:r>
              <w:rPr>
                <w:b/>
                <w:szCs w:val="22"/>
              </w:rPr>
            </w:r>
          </w:p>
        </w:tc>
        <w:tc>
          <w:tcPr>
            <w:tcW w:w="1836" w:type="dxa"/>
            <w:tcBorders>
              <w:top w:val="single" w:sz="4" w:space="0" w:color="00000A"/>
              <w:left w:val="single" w:sz="4" w:space="0" w:color="00000A"/>
              <w:bottom w:val="single" w:sz="12" w:space="0" w:color="00000A"/>
              <w:right w:val="single" w:sz="4" w:space="0" w:color="00000A"/>
            </w:tcBorders>
            <w:shd w:fill="auto" w:val="clear"/>
            <w:tcMar>
              <w:left w:w="47" w:type="dxa"/>
            </w:tcMar>
            <w:vAlign w:val="center"/>
          </w:tcPr>
          <w:p>
            <w:pPr>
              <w:pStyle w:val="Normal"/>
              <w:rPr>
                <w:b/>
                <w:b/>
                <w:szCs w:val="22"/>
              </w:rPr>
            </w:pPr>
            <w:r>
              <w:rPr>
                <w:b/>
                <w:szCs w:val="22"/>
              </w:rPr>
            </w:r>
          </w:p>
        </w:tc>
        <w:tc>
          <w:tcPr>
            <w:tcW w:w="1939" w:type="dxa"/>
            <w:tcBorders>
              <w:top w:val="single" w:sz="4" w:space="0" w:color="00000A"/>
              <w:left w:val="single" w:sz="4" w:space="0" w:color="00000A"/>
              <w:bottom w:val="single" w:sz="12" w:space="0" w:color="00000A"/>
              <w:right w:val="single" w:sz="12" w:space="0" w:color="00000A"/>
            </w:tcBorders>
            <w:shd w:fill="auto" w:val="clear"/>
            <w:tcMar>
              <w:left w:w="47" w:type="dxa"/>
            </w:tcMar>
            <w:vAlign w:val="center"/>
          </w:tcPr>
          <w:p>
            <w:pPr>
              <w:pStyle w:val="Normal"/>
              <w:rPr>
                <w:b/>
                <w:b/>
                <w:szCs w:val="22"/>
              </w:rPr>
            </w:pPr>
            <w:r>
              <w:rPr>
                <w:b/>
                <w:szCs w:val="22"/>
              </w:rPr>
            </w:r>
          </w:p>
        </w:tc>
      </w:tr>
      <w:tr>
        <w:trPr>
          <w:trHeight w:val="397" w:hRule="atLeast"/>
        </w:trPr>
        <w:tc>
          <w:tcPr>
            <w:tcW w:w="9240" w:type="dxa"/>
            <w:gridSpan w:val="4"/>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b/>
                <w:b/>
                <w:szCs w:val="22"/>
              </w:rPr>
            </w:pPr>
            <w:r>
              <w:rPr>
                <w:b/>
                <w:szCs w:val="22"/>
              </w:rPr>
              <w:t>Krátkodobé pohľadávky</w:t>
            </w:r>
          </w:p>
        </w:tc>
      </w:tr>
      <w:tr>
        <w:trPr>
          <w:trHeight w:val="425" w:hRule="atLeast"/>
        </w:trPr>
        <w:tc>
          <w:tcPr>
            <w:tcW w:w="3492"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Pohľadávky z obchodného styku</w:t>
            </w:r>
          </w:p>
        </w:tc>
        <w:tc>
          <w:tcPr>
            <w:tcW w:w="1973"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szCs w:val="22"/>
              </w:rPr>
              <w:t xml:space="preserve"> </w:t>
            </w:r>
            <w:r>
              <w:rPr>
                <w:szCs w:val="22"/>
              </w:rPr>
              <w:t>2008</w:t>
            </w:r>
          </w:p>
        </w:tc>
        <w:tc>
          <w:tcPr>
            <w:tcW w:w="1836" w:type="dxa"/>
            <w:tcBorders>
              <w:top w:val="single" w:sz="12"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12"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t>500</w:t>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 xml:space="preserve">Pohľadávky voči DÚJ a MÚJ </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Ostatné pohľadávky v rámci konsolidovaného celku</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Pohľadávky voči spoločníkom, členom a združeniu</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t>Sociálne poistenie</w:t>
            </w:r>
          </w:p>
        </w:tc>
        <w:tc>
          <w:tcPr>
            <w:tcW w:w="1973"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6"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6"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Daňové pohľadávky a dotácie</w:t>
            </w:r>
          </w:p>
        </w:tc>
        <w:tc>
          <w:tcPr>
            <w:tcW w:w="1973"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6"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6"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Iné pohľadávky</w:t>
            </w:r>
          </w:p>
        </w:tc>
        <w:tc>
          <w:tcPr>
            <w:tcW w:w="197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szCs w:val="22"/>
              </w:rPr>
            </w:pPr>
            <w:r>
              <w:rPr>
                <w:szCs w:val="22"/>
              </w:rPr>
            </w:r>
          </w:p>
        </w:tc>
        <w:tc>
          <w:tcPr>
            <w:tcW w:w="1836" w:type="dxa"/>
            <w:tcBorders>
              <w:top w:val="single" w:sz="4"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szCs w:val="22"/>
              </w:rPr>
            </w:pPr>
            <w:r>
              <w:rPr>
                <w:szCs w:val="22"/>
              </w:rPr>
            </w:r>
          </w:p>
        </w:tc>
        <w:tc>
          <w:tcPr>
            <w:tcW w:w="1939"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szCs w:val="22"/>
              </w:rPr>
            </w:pPr>
            <w:r>
              <w:rPr>
                <w:szCs w:val="22"/>
              </w:rPr>
            </w:r>
          </w:p>
        </w:tc>
      </w:tr>
      <w:tr>
        <w:trPr>
          <w:trHeight w:val="425" w:hRule="atLeast"/>
        </w:trPr>
        <w:tc>
          <w:tcPr>
            <w:tcW w:w="3492"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szCs w:val="22"/>
              </w:rPr>
              <w:t>Krátkodobé pohľadávky spolu</w:t>
            </w:r>
          </w:p>
        </w:tc>
        <w:tc>
          <w:tcPr>
            <w:tcW w:w="1973"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pPr>
            <w:r>
              <w:rPr>
                <w:b/>
                <w:szCs w:val="22"/>
              </w:rPr>
              <w:t xml:space="preserve"> </w:t>
            </w:r>
            <w:r>
              <w:rPr>
                <w:b/>
                <w:szCs w:val="22"/>
              </w:rPr>
              <w:t>2008</w:t>
            </w:r>
          </w:p>
        </w:tc>
        <w:tc>
          <w:tcPr>
            <w:tcW w:w="1836" w:type="dxa"/>
            <w:tcBorders>
              <w:top w:val="single" w:sz="4" w:space="0" w:color="00000A"/>
              <w:left w:val="single" w:sz="4" w:space="0" w:color="00000A"/>
              <w:bottom w:val="single" w:sz="12" w:space="0" w:color="00000A"/>
              <w:right w:val="single" w:sz="4" w:space="0" w:color="00000A"/>
            </w:tcBorders>
            <w:shd w:fill="auto" w:val="clear"/>
            <w:tcMar>
              <w:left w:w="47" w:type="dxa"/>
            </w:tcMar>
            <w:vAlign w:val="center"/>
          </w:tcPr>
          <w:p>
            <w:pPr>
              <w:pStyle w:val="Normal"/>
              <w:rPr>
                <w:b/>
                <w:b/>
                <w:szCs w:val="22"/>
              </w:rPr>
            </w:pPr>
            <w:r>
              <w:rPr>
                <w:b/>
                <w:szCs w:val="22"/>
              </w:rPr>
            </w:r>
          </w:p>
        </w:tc>
        <w:tc>
          <w:tcPr>
            <w:tcW w:w="1939" w:type="dxa"/>
            <w:tcBorders>
              <w:top w:val="single" w:sz="4" w:space="0" w:color="00000A"/>
              <w:left w:val="single" w:sz="4" w:space="0" w:color="00000A"/>
              <w:bottom w:val="single" w:sz="12" w:space="0" w:color="00000A"/>
              <w:right w:val="single" w:sz="12" w:space="0" w:color="00000A"/>
            </w:tcBorders>
            <w:shd w:fill="auto" w:val="clear"/>
            <w:tcMar>
              <w:left w:w="47" w:type="dxa"/>
            </w:tcMar>
            <w:vAlign w:val="center"/>
          </w:tcPr>
          <w:p>
            <w:pPr>
              <w:pStyle w:val="Normal"/>
              <w:rPr>
                <w:b/>
                <w:b/>
                <w:szCs w:val="22"/>
              </w:rPr>
            </w:pPr>
            <w:r>
              <w:rPr>
                <w:b/>
                <w:szCs w:val="22"/>
              </w:rPr>
              <w:t>500</w:t>
            </w:r>
          </w:p>
        </w:tc>
      </w:tr>
    </w:tbl>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szCs w:val="18"/>
          <w:lang w:val="de-DE"/>
        </w:rPr>
      </w:pPr>
      <w:r>
        <w:rPr>
          <w:rFonts w:ascii="Times New Roman" w:hAnsi="Times New Roman"/>
          <w:szCs w:val="18"/>
          <w:lang w:val="de-DE"/>
        </w:rPr>
      </w:r>
      <w:bookmarkStart w:id="12" w:name="_1405930601"/>
      <w:bookmarkStart w:id="13" w:name="_1405930601"/>
      <w:bookmarkEnd w:id="13"/>
    </w:p>
    <w:p>
      <w:pPr>
        <w:pStyle w:val="Telotextu"/>
        <w:widowControl w:val="false"/>
        <w:suppressAutoHyphens w:val="false"/>
        <w:rPr>
          <w:rFonts w:ascii="Times New Roman" w:hAnsi="Times New Roman"/>
          <w:szCs w:val="18"/>
          <w:lang w:val="de-DE"/>
        </w:rPr>
      </w:pPr>
      <w:r>
        <w:rPr>
          <w:rFonts w:ascii="Times New Roman" w:hAnsi="Times New Roman"/>
          <w:szCs w:val="18"/>
          <w:lang w:val="de-DE"/>
        </w:rPr>
      </w:r>
    </w:p>
    <w:p>
      <w:pPr>
        <w:pStyle w:val="Nzov"/>
        <w:keepNext w:val="true"/>
        <w:spacing w:beforeAutospacing="0" w:before="0" w:after="0"/>
        <w:jc w:val="both"/>
        <w:rPr/>
      </w:pPr>
      <w:r>
        <w:rPr>
          <w:rFonts w:ascii="Arial" w:hAnsi="Arial"/>
          <w:sz w:val="18"/>
          <w:szCs w:val="22"/>
        </w:rPr>
        <w:t>17. Infomácie k prílohe č. 3 časti F. písm. t) a u) o pohľadávkach zabezpečených záložným právom alebo inou formou zabezpečenia</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szCs w:val="22"/>
        </w:rPr>
      </w:pPr>
      <w:r>
        <w:rPr>
          <w:szCs w:val="22"/>
        </w:rPr>
        <w:t>Tabuľka – nevypĺňa sa</w:t>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ormal"/>
        <w:widowControl w:val="false"/>
        <w:suppressAutoHyphens w:val="false"/>
        <w:rPr>
          <w:rFonts w:ascii="Times New Roman" w:hAnsi="Times New Roman"/>
          <w:szCs w:val="22"/>
        </w:rPr>
      </w:pPr>
      <w:r>
        <w:rPr>
          <w:rFonts w:ascii="Times New Roman" w:hAnsi="Times New Roman"/>
          <w:szCs w:val="22"/>
        </w:rPr>
      </w:r>
    </w:p>
    <w:p>
      <w:pPr>
        <w:pStyle w:val="Nadpis2"/>
        <w:keepNext w:val="true"/>
        <w:widowControl w:val="false"/>
        <w:numPr>
          <w:ilvl w:val="0"/>
          <w:numId w:val="7"/>
        </w:numPr>
        <w:suppressAutoHyphens w:val="false"/>
        <w:rPr>
          <w:szCs w:val="18"/>
        </w:rPr>
      </w:pPr>
      <w:r>
        <w:rPr>
          <w:szCs w:val="18"/>
        </w:rPr>
        <w:t>Finančné účty</w:t>
      </w:r>
    </w:p>
    <w:p>
      <w:pPr>
        <w:pStyle w:val="Telotextu"/>
        <w:widowControl w:val="false"/>
        <w:suppressAutoHyphens w:val="false"/>
        <w:rPr>
          <w:szCs w:val="18"/>
        </w:rPr>
      </w:pPr>
      <w:r>
        <w:rPr>
          <w:szCs w:val="18"/>
        </w:rPr>
      </w:r>
    </w:p>
    <w:p>
      <w:pPr>
        <w:pStyle w:val="Telotextu"/>
        <w:widowControl w:val="false"/>
        <w:suppressAutoHyphens w:val="false"/>
        <w:ind w:left="0" w:hanging="0"/>
        <w:rPr>
          <w:rFonts w:ascii="Times New Roman" w:hAnsi="Times New Roman"/>
          <w:szCs w:val="18"/>
        </w:rPr>
      </w:pPr>
      <w:r>
        <w:rPr>
          <w:szCs w:val="18"/>
        </w:rPr>
        <w:t>Ako finančné účty sú vykázané peniaze v pokladnici, účty v bankách a cenné papiere. Účtami v bankách môže Spoločnosť voľne disponovať</w:t>
      </w:r>
      <w:r>
        <w:rPr>
          <w:rFonts w:ascii="Times New Roman" w:hAnsi="Times New Roman"/>
          <w:szCs w:val="18"/>
        </w:rPr>
        <w:t>.</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ind w:left="0" w:hanging="0"/>
        <w:rPr>
          <w:szCs w:val="18"/>
        </w:rPr>
      </w:pPr>
      <w:r>
        <w:rPr>
          <w:szCs w:val="18"/>
        </w:rPr>
        <w:t>Prehľad jednotlivých položiek finančných účtov:</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Normal"/>
        <w:widowControl w:val="false"/>
        <w:suppressAutoHyphens w:val="false"/>
        <w:ind w:firstLine="426"/>
        <w:rPr>
          <w:rFonts w:ascii="Times New Roman" w:hAnsi="Times New Roman"/>
          <w:szCs w:val="22"/>
        </w:rPr>
      </w:pPr>
      <w:r>
        <w:rPr>
          <w:rFonts w:ascii="Times New Roman" w:hAnsi="Times New Roman"/>
          <w:szCs w:val="22"/>
        </w:rPr>
      </w:r>
    </w:p>
    <w:p>
      <w:pPr>
        <w:pStyle w:val="Nzov"/>
        <w:spacing w:beforeAutospacing="0" w:before="0" w:after="0"/>
        <w:jc w:val="left"/>
        <w:rPr/>
      </w:pPr>
      <w:r>
        <w:rPr>
          <w:rFonts w:ascii="Arial" w:hAnsi="Arial"/>
          <w:sz w:val="18"/>
          <w:szCs w:val="22"/>
        </w:rPr>
        <w:t xml:space="preserve">Informácie k prílohe č. 3 časti F. písm. w) o krátkodobom finančnom majetku </w:t>
      </w:r>
    </w:p>
    <w:p>
      <w:pPr>
        <w:pStyle w:val="Normal"/>
        <w:rPr/>
      </w:pPr>
      <w:r>
        <w:rPr/>
      </w:r>
    </w:p>
    <w:p>
      <w:pPr>
        <w:pStyle w:val="Nzov"/>
        <w:keepNext w:val="true"/>
        <w:spacing w:beforeAutospacing="0" w:before="0" w:after="0"/>
        <w:jc w:val="left"/>
        <w:rPr>
          <w:rFonts w:ascii="Arial" w:hAnsi="Arial"/>
          <w:b w:val="false"/>
          <w:b w:val="false"/>
          <w:sz w:val="18"/>
          <w:szCs w:val="22"/>
        </w:rPr>
      </w:pPr>
      <w:r>
        <w:rPr>
          <w:rFonts w:ascii="Arial" w:hAnsi="Arial"/>
          <w:b w:val="false"/>
          <w:sz w:val="18"/>
          <w:szCs w:val="22"/>
        </w:rPr>
        <w:t xml:space="preserve">Tabuľka č. 1 </w:t>
      </w:r>
    </w:p>
    <w:tbl>
      <w:tblPr>
        <w:tblW w:w="5000" w:type="pct"/>
        <w:jc w:val="center"/>
        <w:tblInd w:w="0" w:type="dxa"/>
        <w:tblCellMar>
          <w:top w:w="0" w:type="dxa"/>
          <w:left w:w="15" w:type="dxa"/>
          <w:bottom w:w="0" w:type="dxa"/>
          <w:right w:w="79" w:type="dxa"/>
        </w:tblCellMar>
        <w:tblLook w:val="04a0"/>
      </w:tblPr>
      <w:tblGrid>
        <w:gridCol w:w="4207"/>
        <w:gridCol w:w="2631"/>
        <w:gridCol w:w="2403"/>
      </w:tblGrid>
      <w:tr>
        <w:trPr/>
        <w:tc>
          <w:tcPr>
            <w:tcW w:w="4207" w:type="dxa"/>
            <w:tcBorders>
              <w:top w:val="single" w:sz="12" w:space="0" w:color="00000A"/>
              <w:left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2631" w:type="dxa"/>
            <w:tcBorders>
              <w:top w:val="single" w:sz="12" w:space="0" w:color="00000A"/>
              <w:left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403" w:type="dxa"/>
            <w:tcBorders>
              <w:top w:val="single" w:sz="12" w:space="0" w:color="00000A"/>
              <w:left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97" w:hRule="exact"/>
        </w:trPr>
        <w:tc>
          <w:tcPr>
            <w:tcW w:w="4207"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Pokladnica, ceniny</w:t>
            </w:r>
          </w:p>
        </w:tc>
        <w:tc>
          <w:tcPr>
            <w:tcW w:w="2631"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bCs/>
                <w:szCs w:val="22"/>
              </w:rPr>
              <w:t>25968</w:t>
            </w:r>
          </w:p>
        </w:tc>
        <w:tc>
          <w:tcPr>
            <w:tcW w:w="2403" w:type="dxa"/>
            <w:tcBorders>
              <w:top w:val="single" w:sz="12"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pPr>
            <w:r>
              <w:rPr>
                <w:bCs/>
                <w:szCs w:val="22"/>
              </w:rPr>
              <w:t>26722</w:t>
            </w:r>
          </w:p>
        </w:tc>
      </w:tr>
      <w:tr>
        <w:trPr>
          <w:trHeight w:val="526" w:hRule="exact"/>
        </w:trPr>
        <w:tc>
          <w:tcPr>
            <w:tcW w:w="420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Cs/>
                <w:szCs w:val="22"/>
              </w:rPr>
              <w:t>Bežné účty v banke alebo v pobočke zahraničnej banky</w:t>
            </w:r>
          </w:p>
        </w:tc>
        <w:tc>
          <w:tcPr>
            <w:tcW w:w="263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bCs/>
                <w:szCs w:val="22"/>
              </w:rPr>
              <w:t>4299</w:t>
            </w:r>
          </w:p>
        </w:tc>
        <w:tc>
          <w:tcPr>
            <w:tcW w:w="2403"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pPr>
            <w:r>
              <w:rPr>
                <w:bCs/>
                <w:szCs w:val="22"/>
              </w:rPr>
              <w:t>15057</w:t>
            </w:r>
          </w:p>
        </w:tc>
      </w:tr>
      <w:tr>
        <w:trPr>
          <w:trHeight w:val="576" w:hRule="exact"/>
        </w:trPr>
        <w:tc>
          <w:tcPr>
            <w:tcW w:w="420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Cs/>
                <w:szCs w:val="22"/>
              </w:rPr>
              <w:t>Vkladové účty v banke alebo v pobočke zahraničnej banky termínované</w:t>
            </w:r>
          </w:p>
        </w:tc>
        <w:tc>
          <w:tcPr>
            <w:tcW w:w="263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bCs/>
                <w:szCs w:val="22"/>
              </w:rPr>
            </w:pPr>
            <w:r>
              <w:rPr>
                <w:bCs/>
                <w:szCs w:val="22"/>
              </w:rPr>
            </w:r>
          </w:p>
        </w:tc>
        <w:tc>
          <w:tcPr>
            <w:tcW w:w="2403"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bCs/>
                <w:szCs w:val="22"/>
              </w:rPr>
            </w:pPr>
            <w:r>
              <w:rPr>
                <w:bCs/>
                <w:szCs w:val="22"/>
              </w:rPr>
            </w:r>
          </w:p>
        </w:tc>
      </w:tr>
      <w:tr>
        <w:trPr>
          <w:trHeight w:val="397" w:hRule="exact"/>
        </w:trPr>
        <w:tc>
          <w:tcPr>
            <w:tcW w:w="420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Cs/>
                <w:szCs w:val="22"/>
              </w:rPr>
              <w:t>Peniaze na ceste</w:t>
            </w:r>
          </w:p>
        </w:tc>
        <w:tc>
          <w:tcPr>
            <w:tcW w:w="263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bCs/>
                <w:szCs w:val="22"/>
              </w:rPr>
            </w:pPr>
            <w:r>
              <w:rPr>
                <w:bCs/>
                <w:szCs w:val="22"/>
              </w:rPr>
            </w:r>
          </w:p>
        </w:tc>
        <w:tc>
          <w:tcPr>
            <w:tcW w:w="2403" w:type="dxa"/>
            <w:tcBorders>
              <w:top w:val="single" w:sz="4"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bCs/>
                <w:szCs w:val="22"/>
              </w:rPr>
            </w:pPr>
            <w:r>
              <w:rPr>
                <w:bCs/>
                <w:szCs w:val="22"/>
              </w:rPr>
            </w:r>
          </w:p>
        </w:tc>
      </w:tr>
      <w:tr>
        <w:trPr>
          <w:trHeight w:val="397" w:hRule="exact"/>
        </w:trPr>
        <w:tc>
          <w:tcPr>
            <w:tcW w:w="4207"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Cs w:val="22"/>
              </w:rPr>
              <w:t>Spolu</w:t>
            </w:r>
          </w:p>
        </w:tc>
        <w:tc>
          <w:tcPr>
            <w:tcW w:w="2631"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rPr/>
            </w:pPr>
            <w:r>
              <w:rPr>
                <w:b/>
                <w:bCs/>
                <w:szCs w:val="22"/>
              </w:rPr>
              <w:t>30267</w:t>
            </w:r>
          </w:p>
        </w:tc>
        <w:tc>
          <w:tcPr>
            <w:tcW w:w="2403" w:type="dxa"/>
            <w:tcBorders>
              <w:top w:val="single" w:sz="4" w:space="0" w:color="00000A"/>
              <w:left w:val="single" w:sz="4" w:space="0" w:color="00000A"/>
              <w:bottom w:val="single" w:sz="12" w:space="0" w:color="00000A"/>
              <w:right w:val="single" w:sz="12" w:space="0" w:color="00000A"/>
            </w:tcBorders>
            <w:shd w:fill="auto" w:val="clear"/>
            <w:tcMar>
              <w:left w:w="47" w:type="dxa"/>
            </w:tcMar>
            <w:vAlign w:val="center"/>
          </w:tcPr>
          <w:p>
            <w:pPr>
              <w:pStyle w:val="Normal"/>
              <w:rPr/>
            </w:pPr>
            <w:r>
              <w:rPr>
                <w:b/>
                <w:bCs/>
                <w:szCs w:val="22"/>
              </w:rPr>
              <w:t>41779</w:t>
            </w:r>
          </w:p>
        </w:tc>
      </w:tr>
    </w:tbl>
    <w:p>
      <w:pPr>
        <w:pStyle w:val="Nzov"/>
        <w:keepNext w:val="true"/>
        <w:widowControl w:val="false"/>
        <w:spacing w:beforeAutospacing="0" w:before="0" w:after="0"/>
        <w:jc w:val="left"/>
        <w:rPr>
          <w:b w:val="false"/>
          <w:b w:val="false"/>
          <w:szCs w:val="22"/>
        </w:rPr>
      </w:pPr>
      <w:r>
        <w:rPr>
          <w:b w:val="false"/>
          <w:szCs w:val="22"/>
        </w:rPr>
      </w:r>
    </w:p>
    <w:p>
      <w:pPr>
        <w:pStyle w:val="Nzov"/>
        <w:keepNext w:val="true"/>
        <w:widowControl w:val="false"/>
        <w:spacing w:beforeAutospacing="0" w:before="0" w:after="0"/>
        <w:jc w:val="left"/>
        <w:rPr>
          <w:rFonts w:ascii="Times New Roman" w:hAnsi="Times New Roman"/>
          <w:b w:val="false"/>
          <w:b w:val="false"/>
          <w:sz w:val="18"/>
          <w:szCs w:val="22"/>
        </w:rPr>
      </w:pPr>
      <w:r>
        <w:rPr>
          <w:rFonts w:ascii="Arial" w:hAnsi="Arial"/>
          <w:b w:val="false"/>
          <w:sz w:val="18"/>
          <w:szCs w:val="22"/>
        </w:rPr>
        <w:t>Tabuľka č. 2 – nevypĺňa sa</w:t>
      </w:r>
    </w:p>
    <w:p>
      <w:pPr>
        <w:pStyle w:val="Normal"/>
        <w:widowControl w:val="false"/>
        <w:suppressAutoHyphens w:val="false"/>
        <w:ind w:firstLine="426"/>
        <w:rPr>
          <w:rFonts w:ascii="Times New Roman" w:hAnsi="Times New Roman"/>
          <w:szCs w:val="22"/>
        </w:rPr>
      </w:pPr>
      <w:r>
        <w:rPr>
          <w:rFonts w:ascii="Times New Roman" w:hAnsi="Times New Roman"/>
          <w:szCs w:val="22"/>
        </w:rPr>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Nadpis2"/>
        <w:keepNext w:val="true"/>
        <w:widowControl w:val="false"/>
        <w:numPr>
          <w:ilvl w:val="0"/>
          <w:numId w:val="7"/>
        </w:numPr>
        <w:suppressAutoHyphens w:val="false"/>
        <w:rPr>
          <w:szCs w:val="18"/>
        </w:rPr>
      </w:pPr>
      <w:r>
        <w:rPr>
          <w:szCs w:val="18"/>
        </w:rPr>
        <w:t>Krátkodobý finančný majetok</w:t>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Nzov"/>
        <w:keepNext w:val="true"/>
        <w:widowControl w:val="false"/>
        <w:spacing w:beforeAutospacing="0" w:before="0" w:after="0"/>
        <w:jc w:val="both"/>
        <w:rPr/>
      </w:pPr>
      <w:bookmarkStart w:id="14" w:name="_1405930710"/>
      <w:bookmarkEnd w:id="14"/>
      <w:r>
        <w:rPr>
          <w:rFonts w:ascii="Arial" w:hAnsi="Arial"/>
          <w:sz w:val="18"/>
          <w:szCs w:val="22"/>
          <w:lang w:eastAsia="sk-SK"/>
        </w:rPr>
        <w:t xml:space="preserve">Informácie k </w:t>
      </w:r>
      <w:r>
        <w:rPr>
          <w:rFonts w:ascii="Arial" w:hAnsi="Arial"/>
          <w:sz w:val="18"/>
          <w:szCs w:val="22"/>
        </w:rPr>
        <w:t xml:space="preserve">prílohe č. 3 </w:t>
      </w:r>
      <w:r>
        <w:rPr>
          <w:rFonts w:ascii="Arial" w:hAnsi="Arial"/>
          <w:sz w:val="18"/>
          <w:szCs w:val="22"/>
          <w:lang w:eastAsia="sk-SK"/>
        </w:rPr>
        <w:t>časti  F. písm. x) o vývoji opravnej položky ku krátkodobému finančnému majetku</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ormal"/>
        <w:widowControl w:val="false"/>
        <w:suppressAutoHyphens w:val="false"/>
        <w:ind w:left="720" w:hanging="0"/>
        <w:rPr>
          <w:rFonts w:ascii="Times New Roman" w:hAnsi="Times New Roman"/>
        </w:rPr>
      </w:pPr>
      <w:r>
        <w:rPr>
          <w:rFonts w:ascii="Times New Roman" w:hAnsi="Times New Roman"/>
        </w:rPr>
      </w:r>
    </w:p>
    <w:p>
      <w:pPr>
        <w:pStyle w:val="Nzov"/>
        <w:spacing w:beforeAutospacing="0" w:before="0" w:after="0"/>
        <w:jc w:val="both"/>
        <w:rPr/>
      </w:pPr>
      <w:r>
        <w:rPr>
          <w:rFonts w:ascii="Arial" w:hAnsi="Arial"/>
          <w:sz w:val="18"/>
          <w:szCs w:val="22"/>
          <w:lang w:eastAsia="sk-SK"/>
        </w:rPr>
        <w:t xml:space="preserve">Informácie k prílohe č. 3 časti F. písm. y) o krátkodobom finančnom majetku, na ktorý bolo zriadené záložné právo </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zov"/>
        <w:spacing w:beforeAutospacing="0" w:before="0" w:after="0"/>
        <w:ind w:left="720" w:hanging="0"/>
        <w:jc w:val="both"/>
        <w:rPr>
          <w:rFonts w:ascii="Arial" w:hAnsi="Arial"/>
          <w:sz w:val="18"/>
          <w:szCs w:val="22"/>
          <w:lang w:eastAsia="sk-SK"/>
        </w:rPr>
      </w:pPr>
      <w:r>
        <w:rPr>
          <w:rFonts w:ascii="Arial" w:hAnsi="Arial"/>
          <w:sz w:val="18"/>
          <w:szCs w:val="22"/>
          <w:lang w:eastAsia="sk-SK"/>
        </w:rPr>
      </w:r>
    </w:p>
    <w:p>
      <w:pPr>
        <w:pStyle w:val="Nzov"/>
        <w:spacing w:beforeAutospacing="0" w:before="0" w:after="0"/>
        <w:jc w:val="both"/>
        <w:rPr/>
      </w:pPr>
      <w:r>
        <w:rPr>
          <w:rFonts w:ascii="Arial" w:hAnsi="Arial"/>
          <w:sz w:val="18"/>
          <w:szCs w:val="22"/>
          <w:lang w:eastAsia="sk-SK"/>
        </w:rPr>
        <w:t>Informácie k prílohe č. 3 časti F. písm.  za) o ocenení krátkodobého finančného majetku, ku dňu ku ktorému sa zostavuje účtovná závierka reálnou hodnotou</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ListParagraph"/>
        <w:widowControl w:val="false"/>
        <w:suppressAutoHyphens w:val="false"/>
        <w:ind w:left="360" w:firstLine="348"/>
        <w:rPr>
          <w:rFonts w:ascii="Times New Roman" w:hAnsi="Times New Roman"/>
        </w:rPr>
      </w:pPr>
      <w:r>
        <w:rPr>
          <w:rFonts w:ascii="Times New Roman" w:hAnsi="Times New Roman"/>
        </w:rPr>
      </w:r>
    </w:p>
    <w:p>
      <w:pPr>
        <w:pStyle w:val="Nzov"/>
        <w:spacing w:beforeAutospacing="0" w:before="0" w:after="0"/>
        <w:jc w:val="both"/>
        <w:rPr/>
      </w:pPr>
      <w:r>
        <w:rPr>
          <w:rFonts w:ascii="Arial" w:hAnsi="Arial"/>
          <w:sz w:val="18"/>
          <w:szCs w:val="22"/>
          <w:lang w:eastAsia="sk-SK"/>
        </w:rPr>
        <w:t>Informácie k prílohe č. 3 časti F. písm. zd) o majetku prenajatom formou finančného prenájmu</w:t>
      </w:r>
    </w:p>
    <w:p>
      <w:pPr>
        <w:pStyle w:val="Normal"/>
        <w:widowControl w:val="false"/>
        <w:suppressAutoHyphens w:val="false"/>
        <w:rPr>
          <w:rFonts w:ascii="Times New Roman" w:hAnsi="Times New Roman"/>
        </w:rPr>
      </w:pPr>
      <w:r>
        <w:rPr>
          <w:rFonts w:ascii="Times New Roman" w:hAnsi="Times New Roman"/>
        </w:rPr>
      </w:r>
    </w:p>
    <w:p>
      <w:pPr>
        <w:pStyle w:val="Normal"/>
        <w:widowControl w:val="false"/>
        <w:suppressAutoHyphens w:val="false"/>
        <w:rPr>
          <w:rFonts w:ascii="Times New Roman" w:hAnsi="Times New Roman"/>
        </w:rPr>
      </w:pPr>
      <w:r>
        <w:rPr/>
        <w:t>Tabuľka – nevypĺňa sa</w:t>
      </w:r>
    </w:p>
    <w:p>
      <w:pPr>
        <w:pStyle w:val="Normal"/>
        <w:rPr>
          <w:rFonts w:ascii="Times New Roman" w:hAnsi="Times New Roman"/>
          <w:szCs w:val="18"/>
        </w:rPr>
      </w:pPr>
      <w:r>
        <w:rPr>
          <w:rFonts w:ascii="Times New Roman" w:hAnsi="Times New Roman"/>
          <w:szCs w:val="18"/>
        </w:rPr>
      </w:r>
      <w:bookmarkStart w:id="15" w:name="_1405946524"/>
      <w:bookmarkStart w:id="16" w:name="_1405946221"/>
      <w:bookmarkStart w:id="17" w:name="_1405945506"/>
      <w:bookmarkStart w:id="18" w:name="_1405930842"/>
      <w:bookmarkStart w:id="19" w:name="_1405946524"/>
      <w:bookmarkStart w:id="20" w:name="_1405946221"/>
      <w:bookmarkStart w:id="21" w:name="_1405945506"/>
      <w:bookmarkStart w:id="22" w:name="_1405930842"/>
      <w:bookmarkEnd w:id="19"/>
      <w:bookmarkEnd w:id="20"/>
      <w:bookmarkEnd w:id="21"/>
      <w:bookmarkEnd w:id="22"/>
    </w:p>
    <w:p>
      <w:pPr>
        <w:pStyle w:val="Normal"/>
        <w:widowControl w:val="false"/>
        <w:suppressAutoHyphens w:val="false"/>
        <w:rPr>
          <w:szCs w:val="18"/>
        </w:rPr>
      </w:pPr>
      <w:r>
        <w:rPr>
          <w:szCs w:val="18"/>
        </w:rPr>
      </w:r>
    </w:p>
    <w:p>
      <w:pPr>
        <w:pStyle w:val="Nadpis2"/>
        <w:keepNext w:val="true"/>
        <w:widowControl w:val="false"/>
        <w:numPr>
          <w:ilvl w:val="0"/>
          <w:numId w:val="7"/>
        </w:numPr>
        <w:suppressAutoHyphens w:val="false"/>
        <w:rPr>
          <w:szCs w:val="18"/>
        </w:rPr>
      </w:pPr>
      <w:r>
        <w:rPr>
          <w:szCs w:val="18"/>
        </w:rPr>
        <w:t>Vlastné akcie</w:t>
      </w:r>
    </w:p>
    <w:p>
      <w:pPr>
        <w:pStyle w:val="Normal"/>
        <w:widowControl w:val="false"/>
        <w:suppressAutoHyphens w:val="false"/>
        <w:rPr>
          <w:szCs w:val="18"/>
        </w:rPr>
      </w:pPr>
      <w:r>
        <w:rPr>
          <w:szCs w:val="18"/>
        </w:rPr>
      </w:r>
    </w:p>
    <w:p>
      <w:pPr>
        <w:pStyle w:val="Normal"/>
        <w:widowControl w:val="false"/>
        <w:suppressAutoHyphens w:val="false"/>
        <w:spacing w:lineRule="auto" w:line="276" w:before="0" w:after="200"/>
        <w:rPr/>
      </w:pPr>
      <w:r>
        <w:rPr>
          <w:b/>
          <w:bCs/>
          <w:szCs w:val="22"/>
          <w:lang w:eastAsia="sk-SK"/>
        </w:rPr>
        <w:t>Nevypĺňa sa</w:t>
      </w:r>
    </w:p>
    <w:p>
      <w:pPr>
        <w:pStyle w:val="Normal"/>
        <w:widowControl w:val="false"/>
        <w:suppressAutoHyphens w:val="false"/>
        <w:spacing w:lineRule="auto" w:line="276" w:before="0" w:after="200"/>
        <w:rPr>
          <w:b/>
          <w:b/>
          <w:bCs/>
          <w:szCs w:val="22"/>
          <w:lang w:eastAsia="sk-SK"/>
        </w:rPr>
      </w:pPr>
      <w:r>
        <w:rPr>
          <w:b/>
          <w:bCs/>
          <w:szCs w:val="22"/>
          <w:lang w:eastAsia="sk-SK"/>
        </w:rPr>
      </w:r>
    </w:p>
    <w:p>
      <w:pPr>
        <w:pStyle w:val="Nadpis2"/>
        <w:keepNext w:val="true"/>
        <w:widowControl w:val="false"/>
        <w:numPr>
          <w:ilvl w:val="0"/>
          <w:numId w:val="7"/>
        </w:numPr>
        <w:suppressAutoHyphens w:val="false"/>
        <w:rPr>
          <w:szCs w:val="18"/>
        </w:rPr>
      </w:pPr>
      <w:r>
        <w:rPr>
          <w:szCs w:val="18"/>
        </w:rPr>
        <w:t>Časové rozlíšenie</w:t>
      </w:r>
    </w:p>
    <w:p>
      <w:pPr>
        <w:pStyle w:val="Telotextu"/>
        <w:widowControl w:val="false"/>
        <w:suppressAutoHyphens w:val="false"/>
        <w:rPr>
          <w:rFonts w:ascii="Times New Roman" w:hAnsi="Times New Roman"/>
          <w:szCs w:val="18"/>
        </w:rPr>
      </w:pPr>
      <w:r>
        <w:rPr>
          <w:rFonts w:ascii="Times New Roman" w:hAnsi="Times New Roman"/>
          <w:szCs w:val="18"/>
        </w:rPr>
      </w:r>
    </w:p>
    <w:p>
      <w:pPr>
        <w:pStyle w:val="Nzov"/>
        <w:keepNext w:val="true"/>
        <w:spacing w:beforeAutospacing="0" w:before="0" w:after="0"/>
        <w:jc w:val="left"/>
        <w:rPr/>
      </w:pPr>
      <w:r>
        <w:rPr>
          <w:rFonts w:cs="Arial Narrow" w:ascii="Arial" w:hAnsi="Arial"/>
          <w:sz w:val="18"/>
          <w:szCs w:val="22"/>
        </w:rPr>
        <w:t>Informácie k časti F. písm.  zb) prílohy č. 3 o významných položkách časového rozlíšenia na strane aktív</w:t>
      </w:r>
    </w:p>
    <w:p>
      <w:pPr>
        <w:pStyle w:val="ListParagraph"/>
        <w:ind w:left="720" w:hanging="0"/>
        <w:rPr/>
      </w:pPr>
      <w:r>
        <w:rPr/>
      </w:r>
    </w:p>
    <w:tbl>
      <w:tblPr>
        <w:tblW w:w="5000" w:type="pct"/>
        <w:jc w:val="center"/>
        <w:tblInd w:w="0" w:type="dxa"/>
        <w:tblCellMar>
          <w:top w:w="0" w:type="dxa"/>
          <w:left w:w="15" w:type="dxa"/>
          <w:bottom w:w="0" w:type="dxa"/>
          <w:right w:w="40" w:type="dxa"/>
        </w:tblCellMar>
        <w:tblLook w:val="0000"/>
      </w:tblPr>
      <w:tblGrid>
        <w:gridCol w:w="4208"/>
        <w:gridCol w:w="2565"/>
        <w:gridCol w:w="2468"/>
      </w:tblGrid>
      <w:tr>
        <w:trPr>
          <w:trHeight w:val="694" w:hRule="atLeast"/>
        </w:trPr>
        <w:tc>
          <w:tcPr>
            <w:tcW w:w="420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Opis položky časového rozlíšenia</w:t>
            </w:r>
          </w:p>
        </w:tc>
        <w:tc>
          <w:tcPr>
            <w:tcW w:w="256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46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40" w:hRule="atLeast"/>
        </w:trPr>
        <w:tc>
          <w:tcPr>
            <w:tcW w:w="420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 xml:space="preserve">Náklady budúcich období dlhodobé,  z toho: </w:t>
            </w:r>
          </w:p>
        </w:tc>
        <w:tc>
          <w:tcPr>
            <w:tcW w:w="2565"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rFonts w:ascii="Times New Roman" w:hAnsi="Times New Roman"/>
              </w:rPr>
            </w:pPr>
            <w:r>
              <w:rPr>
                <w:rFonts w:ascii="Times New Roman" w:hAnsi="Times New Roman"/>
              </w:rPr>
            </w:r>
          </w:p>
        </w:tc>
        <w:tc>
          <w:tcPr>
            <w:tcW w:w="2468" w:type="dxa"/>
            <w:tcBorders>
              <w:top w:val="single" w:sz="12"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2565" w:type="dxa"/>
            <w:tcBorders>
              <w:top w:val="single" w:sz="12" w:space="0" w:color="00000A"/>
              <w:left w:val="single" w:sz="12" w:space="0" w:color="00000A"/>
              <w:bottom w:val="single" w:sz="6" w:space="0" w:color="00000A"/>
              <w:right w:val="single" w:sz="4" w:space="0" w:color="00000A"/>
            </w:tcBorders>
            <w:shd w:fill="auto" w:val="clear"/>
            <w:vAlign w:val="center"/>
          </w:tcPr>
          <w:p>
            <w:pPr>
              <w:pStyle w:val="Normal"/>
              <w:spacing w:lineRule="auto" w:line="360"/>
              <w:rPr/>
            </w:pPr>
            <w:r>
              <w:rPr/>
            </w:r>
          </w:p>
        </w:tc>
        <w:tc>
          <w:tcPr>
            <w:tcW w:w="2468" w:type="dxa"/>
            <w:tcBorders>
              <w:top w:val="single" w:sz="12" w:space="0" w:color="00000A"/>
              <w:left w:val="single" w:sz="4" w:space="0" w:color="00000A"/>
              <w:bottom w:val="single" w:sz="6" w:space="0" w:color="00000A"/>
              <w:right w:val="single" w:sz="12" w:space="0" w:color="00000A"/>
            </w:tcBorders>
            <w:shd w:fill="auto" w:val="clear"/>
            <w:tcMar>
              <w:left w:w="9" w:type="dxa"/>
            </w:tcMar>
            <w:vAlign w:val="center"/>
          </w:tcPr>
          <w:p>
            <w:pPr>
              <w:pStyle w:val="Normal"/>
              <w:spacing w:lineRule="auto" w:line="360"/>
              <w:rPr>
                <w:rFonts w:ascii="Times New Roman" w:hAnsi="Times New Roman"/>
              </w:rPr>
            </w:pPr>
            <w:r>
              <w:rPr>
                <w:rFonts w:ascii="Times New Roman" w:hAnsi="Times New Roman"/>
              </w:rPr>
            </w:r>
          </w:p>
        </w:tc>
      </w:tr>
      <w:tr>
        <w:trPr>
          <w:trHeight w:val="340" w:hRule="atLeast"/>
        </w:trPr>
        <w:tc>
          <w:tcPr>
            <w:tcW w:w="4208"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5" w:type="dxa"/>
            <w:tcBorders>
              <w:top w:val="single" w:sz="6"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8" w:type="dxa"/>
            <w:tcBorders>
              <w:top w:val="single" w:sz="6"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Náklady budúcich období krátkodobé, z toho:</w:t>
            </w:r>
          </w:p>
        </w:tc>
        <w:tc>
          <w:tcPr>
            <w:tcW w:w="2565"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t>15</w:t>
            </w:r>
          </w:p>
        </w:tc>
        <w:tc>
          <w:tcPr>
            <w:tcW w:w="2468" w:type="dxa"/>
            <w:tcBorders>
              <w:top w:val="single" w:sz="12"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pPr>
            <w:r>
              <w:rPr/>
              <w:t>0</w:t>
            </w:r>
          </w:p>
        </w:tc>
      </w:tr>
      <w:tr>
        <w:trPr>
          <w:trHeight w:val="340" w:hRule="atLeast"/>
        </w:trPr>
        <w:tc>
          <w:tcPr>
            <w:tcW w:w="420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2565"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spacing w:lineRule="auto" w:line="360"/>
              <w:rPr/>
            </w:pPr>
            <w:r>
              <w:rPr/>
            </w:r>
          </w:p>
        </w:tc>
        <w:tc>
          <w:tcPr>
            <w:tcW w:w="2468" w:type="dxa"/>
            <w:tcBorders>
              <w:top w:val="single" w:sz="12" w:space="0" w:color="00000A"/>
              <w:left w:val="single" w:sz="4" w:space="0" w:color="00000A"/>
              <w:bottom w:val="single" w:sz="4"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5"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8" w:type="dxa"/>
            <w:tcBorders>
              <w:top w:val="single" w:sz="4"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Príjmy budúcich období dlhodobé, z toho:</w:t>
            </w:r>
          </w:p>
        </w:tc>
        <w:tc>
          <w:tcPr>
            <w:tcW w:w="2565"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8" w:type="dxa"/>
            <w:tcBorders>
              <w:top w:val="single" w:sz="12"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rFonts w:ascii="Times New Roman" w:hAnsi="Times New Roman"/>
              </w:rPr>
            </w:pPr>
            <w:r>
              <w:rPr>
                <w:rFonts w:ascii="Times New Roman" w:hAnsi="Times New Roman"/>
              </w:rPr>
            </w:r>
          </w:p>
        </w:tc>
      </w:tr>
      <w:tr>
        <w:trPr>
          <w:trHeight w:val="340" w:hRule="atLeast"/>
        </w:trPr>
        <w:tc>
          <w:tcPr>
            <w:tcW w:w="420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2565"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spacing w:lineRule="auto" w:line="360"/>
              <w:rPr/>
            </w:pPr>
            <w:r>
              <w:rPr/>
            </w:r>
          </w:p>
        </w:tc>
        <w:tc>
          <w:tcPr>
            <w:tcW w:w="2468" w:type="dxa"/>
            <w:tcBorders>
              <w:top w:val="single" w:sz="12" w:space="0" w:color="00000A"/>
              <w:left w:val="single" w:sz="4" w:space="0" w:color="00000A"/>
              <w:bottom w:val="single" w:sz="4"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5"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8" w:type="dxa"/>
            <w:tcBorders>
              <w:top w:val="single" w:sz="4"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Príjmy budúcich období krátkodobé, z toho:</w:t>
            </w:r>
          </w:p>
        </w:tc>
        <w:tc>
          <w:tcPr>
            <w:tcW w:w="2565"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8" w:type="dxa"/>
            <w:tcBorders>
              <w:top w:val="single" w:sz="12"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2565"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spacing w:lineRule="auto" w:line="360"/>
              <w:rPr/>
            </w:pPr>
            <w:r>
              <w:rPr/>
            </w:r>
          </w:p>
        </w:tc>
        <w:tc>
          <w:tcPr>
            <w:tcW w:w="2468" w:type="dxa"/>
            <w:tcBorders>
              <w:top w:val="single" w:sz="12" w:space="0" w:color="00000A"/>
              <w:left w:val="single" w:sz="4" w:space="0" w:color="00000A"/>
              <w:bottom w:val="single" w:sz="4" w:space="0" w:color="00000A"/>
              <w:right w:val="single" w:sz="12" w:space="0" w:color="00000A"/>
            </w:tcBorders>
            <w:shd w:fill="auto" w:val="clear"/>
            <w:tcMar>
              <w:left w:w="9" w:type="dxa"/>
            </w:tcMar>
            <w:vAlign w:val="center"/>
          </w:tcPr>
          <w:p>
            <w:pPr>
              <w:pStyle w:val="Normal"/>
              <w:spacing w:lineRule="auto" w:line="360"/>
              <w:rPr/>
            </w:pPr>
            <w:r>
              <w:rPr/>
            </w:r>
          </w:p>
        </w:tc>
      </w:tr>
      <w:tr>
        <w:trPr>
          <w:trHeight w:val="340" w:hRule="atLeast"/>
        </w:trPr>
        <w:tc>
          <w:tcPr>
            <w:tcW w:w="420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2565"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spacing w:lineRule="auto" w:line="360"/>
              <w:rPr/>
            </w:pPr>
            <w:r>
              <w:rPr/>
            </w:r>
          </w:p>
        </w:tc>
        <w:tc>
          <w:tcPr>
            <w:tcW w:w="2468" w:type="dxa"/>
            <w:tcBorders>
              <w:top w:val="single" w:sz="4" w:space="0" w:color="00000A"/>
              <w:left w:val="single" w:sz="4" w:space="0" w:color="00000A"/>
              <w:bottom w:val="single" w:sz="12" w:space="0" w:color="00000A"/>
              <w:right w:val="single" w:sz="12" w:space="0" w:color="00000A"/>
            </w:tcBorders>
            <w:shd w:fill="auto" w:val="clear"/>
            <w:tcMar>
              <w:left w:w="9" w:type="dxa"/>
            </w:tcMar>
            <w:vAlign w:val="center"/>
          </w:tcPr>
          <w:p>
            <w:pPr>
              <w:pStyle w:val="Normal"/>
              <w:spacing w:lineRule="auto" w:line="360"/>
              <w:rPr/>
            </w:pPr>
            <w:r>
              <w:rPr/>
            </w:r>
          </w:p>
        </w:tc>
      </w:tr>
    </w:tbl>
    <w:p>
      <w:pPr>
        <w:pStyle w:val="Normal"/>
        <w:widowControl w:val="false"/>
        <w:suppressAutoHyphens w:val="false"/>
        <w:spacing w:lineRule="auto" w:line="276" w:before="0" w:after="200"/>
        <w:rPr>
          <w:rFonts w:ascii="Times New Roman" w:hAnsi="Times New Roman"/>
          <w:szCs w:val="18"/>
          <w:lang w:val="de-DE"/>
        </w:rPr>
      </w:pPr>
      <w:r>
        <w:rPr>
          <w:rFonts w:ascii="Times New Roman" w:hAnsi="Times New Roman"/>
          <w:szCs w:val="18"/>
          <w:lang w:val="de-DE"/>
        </w:rPr>
      </w:r>
      <w:bookmarkStart w:id="23" w:name="_1405947617"/>
      <w:bookmarkStart w:id="24" w:name="_1405947617"/>
      <w:bookmarkEnd w:id="24"/>
    </w:p>
    <w:p>
      <w:pPr>
        <w:pStyle w:val="Nadpis1"/>
        <w:keepNext w:val="true"/>
        <w:widowControl w:val="false"/>
        <w:numPr>
          <w:ilvl w:val="0"/>
          <w:numId w:val="13"/>
        </w:numPr>
        <w:suppressAutoHyphens w:val="false"/>
        <w:ind w:left="360" w:hanging="360"/>
        <w:rPr/>
      </w:pPr>
      <w:r>
        <w:rPr>
          <w:szCs w:val="18"/>
        </w:rPr>
        <w:t>Informácie o údajoch na strane pasív súvahy</w:t>
      </w:r>
    </w:p>
    <w:p>
      <w:pPr>
        <w:pStyle w:val="Telotextu"/>
        <w:widowControl w:val="false"/>
        <w:suppressAutoHyphens w:val="false"/>
        <w:rPr>
          <w:szCs w:val="18"/>
        </w:rPr>
      </w:pPr>
      <w:r>
        <w:rPr>
          <w:szCs w:val="18"/>
        </w:rPr>
      </w:r>
    </w:p>
    <w:p>
      <w:pPr>
        <w:pStyle w:val="Nadpis2"/>
        <w:keepNext w:val="true"/>
        <w:widowControl w:val="false"/>
        <w:numPr>
          <w:ilvl w:val="0"/>
          <w:numId w:val="9"/>
        </w:numPr>
        <w:suppressAutoHyphens w:val="false"/>
        <w:rPr>
          <w:szCs w:val="18"/>
        </w:rPr>
      </w:pPr>
      <w:r>
        <w:rPr>
          <w:szCs w:val="18"/>
        </w:rPr>
        <w:t>Vlastné imanie</w:t>
      </w:r>
    </w:p>
    <w:p>
      <w:pPr>
        <w:pStyle w:val="Normal"/>
        <w:widowControl w:val="false"/>
        <w:suppressAutoHyphens w:val="false"/>
        <w:rPr>
          <w:szCs w:val="18"/>
        </w:rPr>
      </w:pPr>
      <w:r>
        <w:rPr>
          <w:szCs w:val="18"/>
        </w:rPr>
      </w:r>
    </w:p>
    <w:p>
      <w:pPr>
        <w:pStyle w:val="Telotextu"/>
        <w:widowControl w:val="false"/>
        <w:suppressAutoHyphens w:val="false"/>
        <w:ind w:left="0" w:hanging="0"/>
        <w:rPr/>
      </w:pPr>
      <w:r>
        <w:rPr>
          <w:szCs w:val="18"/>
        </w:rPr>
        <w:t>Informácie o vlastnom imaní sú uvedené v časti C a P.</w:t>
      </w:r>
    </w:p>
    <w:p>
      <w:pPr>
        <w:pStyle w:val="Telotextu"/>
        <w:widowControl w:val="false"/>
        <w:suppressAutoHyphens w:val="false"/>
        <w:rPr>
          <w:szCs w:val="18"/>
        </w:rPr>
      </w:pPr>
      <w:r>
        <w:rPr>
          <w:szCs w:val="18"/>
        </w:rPr>
      </w:r>
    </w:p>
    <w:p>
      <w:pPr>
        <w:pStyle w:val="Nadpis2"/>
        <w:keepNext w:val="true"/>
        <w:widowControl w:val="false"/>
        <w:numPr>
          <w:ilvl w:val="0"/>
          <w:numId w:val="9"/>
        </w:numPr>
        <w:suppressAutoHyphens w:val="false"/>
        <w:rPr>
          <w:szCs w:val="18"/>
        </w:rPr>
      </w:pPr>
      <w:r>
        <w:rPr>
          <w:szCs w:val="18"/>
        </w:rPr>
        <w:t>Rezervy</w:t>
      </w:r>
    </w:p>
    <w:p>
      <w:pPr>
        <w:pStyle w:val="Telotextu"/>
        <w:widowControl w:val="false"/>
        <w:suppressAutoHyphens w:val="false"/>
        <w:rPr>
          <w:szCs w:val="18"/>
        </w:rPr>
      </w:pPr>
      <w:r>
        <w:rPr>
          <w:szCs w:val="18"/>
        </w:rPr>
      </w:r>
    </w:p>
    <w:p>
      <w:pPr>
        <w:pStyle w:val="Nzov"/>
        <w:keepNext w:val="true"/>
        <w:spacing w:beforeAutospacing="0" w:before="0" w:after="0"/>
        <w:jc w:val="left"/>
        <w:rPr/>
      </w:pPr>
      <w:bookmarkStart w:id="25" w:name="OLE_LINK17"/>
      <w:bookmarkStart w:id="26" w:name="OLE_LINK18"/>
      <w:bookmarkEnd w:id="25"/>
      <w:bookmarkEnd w:id="26"/>
      <w:r>
        <w:rPr>
          <w:rFonts w:cs="Arial Narrow" w:ascii="Arial" w:hAnsi="Arial"/>
          <w:sz w:val="18"/>
          <w:szCs w:val="22"/>
        </w:rPr>
        <w:t>Informácie k časti G. písm. b) prílohy č. 3 o rezervách</w:t>
      </w:r>
    </w:p>
    <w:p>
      <w:pPr>
        <w:pStyle w:val="Nzov"/>
        <w:keepNext w:val="true"/>
        <w:widowControl w:val="false"/>
        <w:spacing w:beforeAutospacing="0" w:before="0" w:after="0"/>
        <w:ind w:left="720" w:hanging="0"/>
        <w:jc w:val="left"/>
        <w:rPr>
          <w:rFonts w:ascii="Times New Roman" w:hAnsi="Times New Roman"/>
          <w:b w:val="false"/>
          <w:b w:val="false"/>
          <w:sz w:val="18"/>
          <w:szCs w:val="22"/>
        </w:rPr>
      </w:pPr>
      <w:r>
        <w:rPr>
          <w:rFonts w:ascii="Times New Roman" w:hAnsi="Times New Roman"/>
          <w:b w:val="false"/>
          <w:sz w:val="18"/>
          <w:szCs w:val="22"/>
        </w:rPr>
      </w:r>
    </w:p>
    <w:p>
      <w:pPr>
        <w:pStyle w:val="Nzov"/>
        <w:keepNext w:val="true"/>
        <w:widowControl w:val="false"/>
        <w:spacing w:beforeAutospacing="0" w:before="0" w:after="0"/>
        <w:jc w:val="left"/>
        <w:rPr>
          <w:rFonts w:ascii="Arial" w:hAnsi="Arial"/>
          <w:b w:val="false"/>
          <w:b w:val="false"/>
          <w:sz w:val="18"/>
          <w:szCs w:val="22"/>
        </w:rPr>
      </w:pPr>
      <w:r>
        <w:rPr>
          <w:rFonts w:ascii="Arial" w:hAnsi="Arial"/>
          <w:b w:val="false"/>
          <w:sz w:val="18"/>
          <w:szCs w:val="22"/>
        </w:rPr>
        <w:t>Tabuľka č. 1 – nevypĺňa sa</w:t>
      </w:r>
    </w:p>
    <w:p>
      <w:pPr>
        <w:pStyle w:val="Nzov"/>
        <w:keepNext w:val="true"/>
        <w:widowControl w:val="false"/>
        <w:spacing w:beforeAutospacing="0" w:before="0" w:after="0"/>
        <w:jc w:val="left"/>
        <w:rPr>
          <w:rFonts w:ascii="Times New Roman" w:hAnsi="Times New Roman"/>
          <w:b w:val="false"/>
          <w:b w:val="false"/>
          <w:sz w:val="18"/>
          <w:szCs w:val="22"/>
        </w:rPr>
      </w:pPr>
      <w:r>
        <w:rPr>
          <w:rFonts w:ascii="Arial" w:hAnsi="Arial"/>
          <w:b w:val="false"/>
          <w:sz w:val="18"/>
          <w:szCs w:val="22"/>
        </w:rPr>
        <w:t>Tabuľka č. 2 – nevypĺňa sa</w:t>
      </w:r>
    </w:p>
    <w:p>
      <w:pPr>
        <w:pStyle w:val="Telotextu"/>
        <w:widowControl w:val="false"/>
        <w:suppressAutoHyphens w:val="false"/>
        <w:ind w:left="0" w:hanging="0"/>
        <w:jc w:val="left"/>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jc w:val="left"/>
        <w:rPr>
          <w:szCs w:val="18"/>
        </w:rPr>
      </w:pPr>
      <w:r>
        <w:rPr>
          <w:szCs w:val="18"/>
        </w:rPr>
      </w:r>
      <w:bookmarkStart w:id="27" w:name="OLE_LINK171"/>
      <w:bookmarkStart w:id="28" w:name="OLE_LINK181"/>
      <w:bookmarkStart w:id="29" w:name="_1405948491"/>
      <w:bookmarkStart w:id="30" w:name="OLE_LINK171"/>
      <w:bookmarkStart w:id="31" w:name="OLE_LINK181"/>
      <w:bookmarkStart w:id="32" w:name="_1405948491"/>
      <w:bookmarkEnd w:id="30"/>
      <w:bookmarkEnd w:id="31"/>
      <w:bookmarkEnd w:id="32"/>
    </w:p>
    <w:p>
      <w:pPr>
        <w:pStyle w:val="Nadpis2"/>
        <w:keepNext w:val="true"/>
        <w:widowControl w:val="false"/>
        <w:numPr>
          <w:ilvl w:val="0"/>
          <w:numId w:val="9"/>
        </w:numPr>
        <w:tabs>
          <w:tab w:val="clear" w:pos="708"/>
          <w:tab w:val="left" w:pos="426" w:leader="none"/>
        </w:tabs>
        <w:suppressAutoHyphens w:val="false"/>
        <w:ind w:left="426" w:hanging="426"/>
        <w:rPr>
          <w:szCs w:val="18"/>
        </w:rPr>
      </w:pPr>
      <w:r>
        <w:rPr>
          <w:szCs w:val="18"/>
        </w:rPr>
        <w:t>Záväzky</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Štruktúra záväzkov (okrem bankových úverov) podľa zostatkovej doby splatnosti je uvedená v nasledujúcom prehľade:</w:t>
      </w:r>
    </w:p>
    <w:p>
      <w:pPr>
        <w:pStyle w:val="Telotextu"/>
        <w:widowControl w:val="false"/>
        <w:suppressAutoHyphens w:val="false"/>
        <w:rPr>
          <w:rFonts w:ascii="Times New Roman" w:hAnsi="Times New Roman"/>
          <w:szCs w:val="18"/>
        </w:rPr>
      </w:pPr>
      <w:r>
        <w:rPr>
          <w:rFonts w:ascii="Times New Roman" w:hAnsi="Times New Roman"/>
          <w:szCs w:val="18"/>
        </w:rPr>
      </w:r>
    </w:p>
    <w:p>
      <w:pPr>
        <w:pStyle w:val="Nzov"/>
        <w:keepNext w:val="true"/>
        <w:spacing w:beforeAutospacing="0" w:before="0" w:after="0"/>
        <w:jc w:val="left"/>
        <w:rPr/>
      </w:pPr>
      <w:r>
        <w:rPr>
          <w:rFonts w:cs="Arial Narrow" w:ascii="Arial" w:hAnsi="Arial"/>
          <w:sz w:val="18"/>
          <w:szCs w:val="22"/>
        </w:rPr>
        <w:t>Informácie k časti G. písm. c) a d) prílohy č. 3 o záväzkoch</w:t>
      </w:r>
    </w:p>
    <w:p>
      <w:pPr>
        <w:pStyle w:val="ListParagraph"/>
        <w:ind w:left="720" w:hanging="0"/>
        <w:rPr/>
      </w:pPr>
      <w:r>
        <w:rPr/>
      </w:r>
    </w:p>
    <w:tbl>
      <w:tblPr>
        <w:tblW w:w="5000" w:type="pct"/>
        <w:jc w:val="center"/>
        <w:tblInd w:w="0" w:type="dxa"/>
        <w:tblCellMar>
          <w:top w:w="0" w:type="dxa"/>
          <w:left w:w="15" w:type="dxa"/>
          <w:bottom w:w="0" w:type="dxa"/>
          <w:right w:w="79" w:type="dxa"/>
        </w:tblCellMar>
        <w:tblLook w:val="00a0"/>
      </w:tblPr>
      <w:tblGrid>
        <w:gridCol w:w="3733"/>
        <w:gridCol w:w="2903"/>
        <w:gridCol w:w="2605"/>
      </w:tblGrid>
      <w:tr>
        <w:trPr>
          <w:trHeight w:val="920" w:hRule="atLeast"/>
        </w:trPr>
        <w:tc>
          <w:tcPr>
            <w:tcW w:w="373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290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60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30" w:hRule="atLeast"/>
        </w:trPr>
        <w:tc>
          <w:tcPr>
            <w:tcW w:w="3733"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rFonts w:ascii="Times New Roman" w:hAnsi="Times New Roman"/>
              </w:rPr>
            </w:pPr>
            <w:r>
              <w:rPr/>
              <w:t>Záväzky po lehote splatnosti</w:t>
            </w:r>
          </w:p>
        </w:tc>
        <w:tc>
          <w:tcPr>
            <w:tcW w:w="2903" w:type="dxa"/>
            <w:tcBorders>
              <w:top w:val="single" w:sz="12" w:space="0" w:color="00000A"/>
              <w:left w:val="single" w:sz="12" w:space="0" w:color="00000A"/>
              <w:bottom w:val="single" w:sz="4" w:space="0" w:color="00000A"/>
              <w:right w:val="single" w:sz="8" w:space="0" w:color="00000A"/>
            </w:tcBorders>
            <w:shd w:fill="auto" w:val="clear"/>
            <w:vAlign w:val="center"/>
          </w:tcPr>
          <w:p>
            <w:pPr>
              <w:pStyle w:val="Normal"/>
              <w:rPr/>
            </w:pPr>
            <w:r>
              <w:rPr>
                <w:b/>
                <w:bCs/>
              </w:rPr>
              <w:t xml:space="preserve"> </w:t>
            </w:r>
          </w:p>
        </w:tc>
        <w:tc>
          <w:tcPr>
            <w:tcW w:w="2605"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b/>
                <w:bCs/>
              </w:rPr>
              <w:t xml:space="preserve"> </w:t>
            </w:r>
          </w:p>
        </w:tc>
      </w:tr>
      <w:tr>
        <w:trPr>
          <w:trHeight w:val="690" w:hRule="atLeast"/>
        </w:trPr>
        <w:tc>
          <w:tcPr>
            <w:tcW w:w="373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Záväzky so zostatkovou dobou splatnosti do jedného roka vrátane</w:t>
            </w:r>
          </w:p>
        </w:tc>
        <w:tc>
          <w:tcPr>
            <w:tcW w:w="290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t xml:space="preserve"> </w:t>
            </w:r>
            <w:r>
              <w:rPr/>
              <w:t>27676</w:t>
            </w:r>
          </w:p>
        </w:tc>
        <w:tc>
          <w:tcPr>
            <w:tcW w:w="260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24661</w:t>
            </w:r>
          </w:p>
        </w:tc>
      </w:tr>
      <w:tr>
        <w:trPr>
          <w:trHeight w:val="330" w:hRule="atLeast"/>
        </w:trPr>
        <w:tc>
          <w:tcPr>
            <w:tcW w:w="373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both"/>
              <w:rPr>
                <w:b/>
                <w:b/>
                <w:bCs/>
              </w:rPr>
            </w:pPr>
            <w:r>
              <w:rPr>
                <w:b/>
                <w:bCs/>
              </w:rPr>
              <w:t>Krátkodobé záväzky spolu</w:t>
            </w:r>
          </w:p>
        </w:tc>
        <w:tc>
          <w:tcPr>
            <w:tcW w:w="290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jc w:val="both"/>
              <w:rPr/>
            </w:pPr>
            <w:r>
              <w:rPr>
                <w:b/>
              </w:rPr>
              <w:t xml:space="preserve"> </w:t>
            </w:r>
            <w:r>
              <w:rPr>
                <w:b/>
              </w:rPr>
              <w:t>27676</w:t>
            </w:r>
          </w:p>
        </w:tc>
        <w:tc>
          <w:tcPr>
            <w:tcW w:w="260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both"/>
              <w:rPr/>
            </w:pPr>
            <w:r>
              <w:rPr>
                <w:b/>
              </w:rPr>
              <w:t xml:space="preserve"> </w:t>
            </w:r>
            <w:r>
              <w:rPr>
                <w:b/>
              </w:rPr>
              <w:t>24661</w:t>
            </w:r>
          </w:p>
        </w:tc>
      </w:tr>
      <w:tr>
        <w:trPr>
          <w:trHeight w:val="660" w:hRule="atLeast"/>
        </w:trPr>
        <w:tc>
          <w:tcPr>
            <w:tcW w:w="3733"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both"/>
              <w:rPr/>
            </w:pPr>
            <w:r>
              <w:rPr/>
              <w:t>Záväzky so zostatkovou dobou splatnosti jeden rok až päť rokov</w:t>
            </w:r>
          </w:p>
        </w:tc>
        <w:tc>
          <w:tcPr>
            <w:tcW w:w="2903" w:type="dxa"/>
            <w:tcBorders>
              <w:top w:val="single" w:sz="4" w:space="0" w:color="00000A"/>
              <w:left w:val="single" w:sz="4" w:space="0" w:color="00000A"/>
              <w:bottom w:val="single" w:sz="4" w:space="0" w:color="00000A"/>
              <w:right w:val="single" w:sz="8" w:space="0" w:color="00000A"/>
            </w:tcBorders>
            <w:shd w:fill="auto" w:val="clear"/>
            <w:tcMar>
              <w:left w:w="33" w:type="dxa"/>
            </w:tcMar>
            <w:vAlign w:val="center"/>
          </w:tcPr>
          <w:p>
            <w:pPr>
              <w:pStyle w:val="Normal"/>
              <w:jc w:val="both"/>
              <w:rPr/>
            </w:pPr>
            <w:r>
              <w:rPr/>
            </w:r>
          </w:p>
        </w:tc>
        <w:tc>
          <w:tcPr>
            <w:tcW w:w="2605"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both"/>
              <w:rPr/>
            </w:pPr>
            <w:r>
              <w:rPr/>
            </w:r>
          </w:p>
        </w:tc>
      </w:tr>
      <w:tr>
        <w:trPr>
          <w:trHeight w:val="660" w:hRule="atLeast"/>
        </w:trPr>
        <w:tc>
          <w:tcPr>
            <w:tcW w:w="3733"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both"/>
              <w:rPr/>
            </w:pPr>
            <w:r>
              <w:rPr/>
              <w:t>Záväzky so zostatkovou dobou splatnosti nad päť rokov</w:t>
            </w:r>
          </w:p>
        </w:tc>
        <w:tc>
          <w:tcPr>
            <w:tcW w:w="2903" w:type="dxa"/>
            <w:tcBorders>
              <w:top w:val="single" w:sz="4"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60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45" w:hRule="atLeast"/>
        </w:trPr>
        <w:tc>
          <w:tcPr>
            <w:tcW w:w="3733"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both"/>
              <w:rPr>
                <w:b/>
                <w:b/>
                <w:bCs/>
              </w:rPr>
            </w:pPr>
            <w:r>
              <w:rPr>
                <w:b/>
                <w:bCs/>
              </w:rPr>
              <w:t>Dlhodobé záväzky spolu</w:t>
            </w:r>
          </w:p>
        </w:tc>
        <w:tc>
          <w:tcPr>
            <w:tcW w:w="2903" w:type="dxa"/>
            <w:tcBorders>
              <w:top w:val="single" w:sz="4" w:space="0" w:color="00000A"/>
              <w:left w:val="single" w:sz="12" w:space="0" w:color="00000A"/>
              <w:bottom w:val="single" w:sz="12" w:space="0" w:color="00000A"/>
              <w:right w:val="single" w:sz="8" w:space="0" w:color="00000A"/>
            </w:tcBorders>
            <w:shd w:fill="auto" w:val="clear"/>
            <w:vAlign w:val="center"/>
          </w:tcPr>
          <w:p>
            <w:pPr>
              <w:pStyle w:val="Normal"/>
              <w:jc w:val="both"/>
              <w:rPr/>
            </w:pPr>
            <w:r>
              <w:rPr>
                <w:b/>
                <w:bCs/>
              </w:rPr>
              <w:t xml:space="preserve"> </w:t>
            </w:r>
            <w:r>
              <w:rPr>
                <w:b/>
                <w:bCs/>
              </w:rPr>
              <w:t>502</w:t>
            </w:r>
          </w:p>
        </w:tc>
        <w:tc>
          <w:tcPr>
            <w:tcW w:w="260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both"/>
              <w:rPr/>
            </w:pPr>
            <w:r>
              <w:rPr>
                <w:b/>
                <w:bCs/>
              </w:rPr>
              <w:t xml:space="preserve"> </w:t>
            </w:r>
            <w:r>
              <w:rPr>
                <w:b/>
                <w:bCs/>
              </w:rPr>
              <w:t>229</w:t>
            </w:r>
          </w:p>
        </w:tc>
      </w:tr>
    </w:tbl>
    <w:p>
      <w:pPr>
        <w:pStyle w:val="Normal"/>
        <w:jc w:val="both"/>
        <w:rPr>
          <w:rFonts w:ascii="Times New Roman" w:hAnsi="Times New Roman"/>
        </w:rPr>
      </w:pPr>
      <w:r>
        <w:rPr>
          <w:rFonts w:ascii="Times New Roman" w:hAnsi="Times New Roman"/>
        </w:rPr>
      </w:r>
    </w:p>
    <w:p>
      <w:pPr>
        <w:pStyle w:val="Telotextu"/>
        <w:widowControl w:val="false"/>
        <w:suppressAutoHyphens w:val="false"/>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33" w:name="_1405948528"/>
      <w:bookmarkStart w:id="34" w:name="_1405948528"/>
      <w:bookmarkEnd w:id="34"/>
    </w:p>
    <w:p>
      <w:pPr>
        <w:pStyle w:val="Nadpis2"/>
        <w:keepNext w:val="true"/>
        <w:widowControl w:val="false"/>
        <w:numPr>
          <w:ilvl w:val="0"/>
          <w:numId w:val="9"/>
        </w:numPr>
        <w:suppressAutoHyphens w:val="false"/>
        <w:jc w:val="both"/>
        <w:rPr>
          <w:szCs w:val="18"/>
        </w:rPr>
      </w:pPr>
      <w:r>
        <w:rPr>
          <w:szCs w:val="18"/>
        </w:rPr>
        <w:t>Odložený daňový záväzok</w:t>
      </w:r>
    </w:p>
    <w:p>
      <w:pPr>
        <w:pStyle w:val="Normal"/>
        <w:widowControl w:val="false"/>
        <w:suppressAutoHyphens w:val="false"/>
        <w:jc w:val="both"/>
        <w:rPr>
          <w:szCs w:val="18"/>
        </w:rPr>
      </w:pPr>
      <w:r>
        <w:rPr>
          <w:szCs w:val="18"/>
        </w:rPr>
      </w:r>
    </w:p>
    <w:p>
      <w:pPr>
        <w:pStyle w:val="Telotextu"/>
        <w:widowControl w:val="false"/>
        <w:suppressAutoHyphens w:val="false"/>
        <w:rPr>
          <w:szCs w:val="18"/>
          <w:lang w:val="de-DE"/>
        </w:rPr>
      </w:pPr>
      <w:r>
        <w:rPr>
          <w:szCs w:val="18"/>
          <w:lang w:val="de-DE"/>
        </w:rPr>
      </w:r>
      <w:bookmarkStart w:id="35" w:name="_1405948622"/>
      <w:bookmarkStart w:id="36" w:name="_1405948622"/>
      <w:bookmarkEnd w:id="36"/>
    </w:p>
    <w:p>
      <w:pPr>
        <w:pStyle w:val="Nzov"/>
        <w:keepNext w:val="true"/>
        <w:spacing w:beforeAutospacing="0" w:before="0" w:after="0"/>
        <w:jc w:val="both"/>
        <w:rPr/>
      </w:pPr>
      <w:r>
        <w:rPr>
          <w:rFonts w:cs="Arial Narrow" w:ascii="Arial" w:hAnsi="Arial"/>
          <w:sz w:val="18"/>
          <w:szCs w:val="22"/>
        </w:rPr>
        <w:t>Informácie k časti F. písm. v) a časti G. písm. f) prílohy č. 3 o odloženej daňovej pohľadávke alebo o odloženom daňovom záväzku</w:t>
      </w:r>
    </w:p>
    <w:p>
      <w:pPr>
        <w:pStyle w:val="Normal"/>
        <w:jc w:val="both"/>
        <w:rPr>
          <w:rFonts w:ascii="Times New Roman" w:hAnsi="Times New Roman"/>
          <w:b/>
          <w:b/>
        </w:rPr>
      </w:pPr>
      <w:r>
        <w:rPr>
          <w:rFonts w:ascii="Times New Roman" w:hAnsi="Times New Roman"/>
          <w:b/>
        </w:rPr>
      </w:r>
    </w:p>
    <w:p>
      <w:pPr>
        <w:pStyle w:val="Normal"/>
        <w:jc w:val="both"/>
        <w:rPr>
          <w:b/>
          <w:b/>
        </w:rPr>
      </w:pPr>
      <w:r>
        <w:rPr>
          <w:b/>
        </w:rPr>
        <w:t>Nevypĺňa sa</w:t>
      </w:r>
    </w:p>
    <w:p>
      <w:pPr>
        <w:pStyle w:val="Normal"/>
        <w:widowControl w:val="false"/>
        <w:suppressAutoHyphens w:val="false"/>
        <w:spacing w:lineRule="auto" w:line="276" w:before="0" w:after="200"/>
        <w:jc w:val="both"/>
        <w:rPr>
          <w:rFonts w:ascii="Times New Roman" w:hAnsi="Times New Roman"/>
          <w:b/>
          <w:b/>
          <w:szCs w:val="18"/>
        </w:rPr>
      </w:pPr>
      <w:r>
        <w:rPr>
          <w:rFonts w:ascii="Times New Roman" w:hAnsi="Times New Roman"/>
          <w:b/>
          <w:szCs w:val="18"/>
        </w:rPr>
      </w:r>
    </w:p>
    <w:p>
      <w:pPr>
        <w:pStyle w:val="Nadpis2"/>
        <w:keepNext w:val="true"/>
        <w:widowControl w:val="false"/>
        <w:numPr>
          <w:ilvl w:val="0"/>
          <w:numId w:val="9"/>
        </w:numPr>
        <w:suppressAutoHyphens w:val="false"/>
        <w:jc w:val="both"/>
        <w:rPr>
          <w:szCs w:val="18"/>
        </w:rPr>
      </w:pPr>
      <w:r>
        <w:rPr>
          <w:szCs w:val="18"/>
        </w:rPr>
        <w:t>Sociálny fond</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Tvorba a čerpanie sociálneho fondu v priebehu účtovného obdobia sú znázornené v nasledujúcom prehľade:</w:t>
      </w:r>
    </w:p>
    <w:p>
      <w:pPr>
        <w:pStyle w:val="Telotextu"/>
        <w:widowControl w:val="false"/>
        <w:suppressAutoHyphens w:val="false"/>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rPr>
          <w:color w:val="000000"/>
          <w:szCs w:val="18"/>
          <w:lang w:val="de-DE"/>
        </w:rPr>
      </w:pPr>
      <w:r>
        <w:rPr>
          <w:color w:val="000000"/>
          <w:szCs w:val="18"/>
          <w:lang w:val="de-DE"/>
        </w:rPr>
      </w:r>
      <w:bookmarkStart w:id="37" w:name="_1405948668"/>
      <w:bookmarkStart w:id="38" w:name="_1405948668"/>
      <w:bookmarkEnd w:id="38"/>
    </w:p>
    <w:p>
      <w:pPr>
        <w:pStyle w:val="Nzov"/>
        <w:keepNext w:val="true"/>
        <w:spacing w:beforeAutospacing="0" w:before="0" w:after="0"/>
        <w:jc w:val="both"/>
        <w:rPr/>
      </w:pPr>
      <w:r>
        <w:rPr>
          <w:rFonts w:cs="Arial Narrow" w:ascii="Arial" w:hAnsi="Arial"/>
          <w:sz w:val="18"/>
          <w:szCs w:val="22"/>
        </w:rPr>
        <w:t>Informácie k časti G. písm. g) prílohy č. 3 o záväzkoch zo sociálneho fondu</w:t>
      </w:r>
    </w:p>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0a0"/>
      </w:tblPr>
      <w:tblGrid>
        <w:gridCol w:w="4271"/>
        <w:gridCol w:w="2473"/>
        <w:gridCol w:w="2497"/>
      </w:tblGrid>
      <w:tr>
        <w:trPr>
          <w:trHeight w:val="961" w:hRule="atLeast"/>
        </w:trPr>
        <w:tc>
          <w:tcPr>
            <w:tcW w:w="427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jc w:val="both"/>
              <w:rPr/>
            </w:pPr>
            <w:r>
              <w:rPr>
                <w:rFonts w:ascii="Arial" w:hAnsi="Arial"/>
                <w:sz w:val="18"/>
              </w:rPr>
              <w:t>Názov položky</w:t>
            </w:r>
          </w:p>
        </w:tc>
        <w:tc>
          <w:tcPr>
            <w:tcW w:w="247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jc w:val="both"/>
              <w:rPr>
                <w:rFonts w:ascii="Arial" w:hAnsi="Arial"/>
                <w:sz w:val="18"/>
              </w:rPr>
            </w:pPr>
            <w:r>
              <w:rPr>
                <w:rFonts w:ascii="Arial" w:hAnsi="Arial"/>
                <w:sz w:val="18"/>
              </w:rPr>
              <w:t>Bežné účtovné obdobie</w:t>
            </w:r>
          </w:p>
        </w:tc>
        <w:tc>
          <w:tcPr>
            <w:tcW w:w="249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jc w:val="both"/>
              <w:rPr>
                <w:rFonts w:ascii="Arial" w:hAnsi="Arial"/>
                <w:sz w:val="18"/>
              </w:rPr>
            </w:pPr>
            <w:r>
              <w:rPr>
                <w:rFonts w:ascii="Arial" w:hAnsi="Arial"/>
                <w:sz w:val="18"/>
              </w:rPr>
              <w:t>Bezprostredne predchádzajúce účtovné obdobie</w:t>
            </w:r>
          </w:p>
        </w:tc>
      </w:tr>
      <w:tr>
        <w:trPr>
          <w:trHeight w:val="330" w:hRule="atLeast"/>
        </w:trPr>
        <w:tc>
          <w:tcPr>
            <w:tcW w:w="4271"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both"/>
              <w:rPr/>
            </w:pPr>
            <w:r>
              <w:rPr>
                <w:b/>
                <w:bCs/>
              </w:rPr>
              <w:t>Začiatočný stav sociálneho fondu</w:t>
            </w:r>
          </w:p>
        </w:tc>
        <w:tc>
          <w:tcPr>
            <w:tcW w:w="2473" w:type="dxa"/>
            <w:tcBorders>
              <w:top w:val="single" w:sz="12" w:space="0" w:color="00000A"/>
              <w:left w:val="single" w:sz="12" w:space="0" w:color="00000A"/>
              <w:bottom w:val="single" w:sz="4" w:space="0" w:color="00000A"/>
              <w:right w:val="single" w:sz="8" w:space="0" w:color="00000A"/>
            </w:tcBorders>
            <w:shd w:fill="auto" w:val="clear"/>
            <w:vAlign w:val="center"/>
          </w:tcPr>
          <w:p>
            <w:pPr>
              <w:pStyle w:val="Normal"/>
              <w:jc w:val="both"/>
              <w:rPr/>
            </w:pPr>
            <w:r>
              <w:rPr>
                <w:b/>
              </w:rPr>
              <w:t xml:space="preserve"> </w:t>
            </w:r>
            <w:r>
              <w:rPr>
                <w:b/>
              </w:rPr>
              <w:t>229</w:t>
            </w:r>
          </w:p>
        </w:tc>
        <w:tc>
          <w:tcPr>
            <w:tcW w:w="2497"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both"/>
              <w:rPr>
                <w:b/>
                <w:b/>
              </w:rPr>
            </w:pPr>
            <w:r>
              <w:rPr>
                <w:b/>
              </w:rPr>
              <w:t>43</w:t>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Tvorba sociálneho fondu na ťarchu nákladov</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t>186</w:t>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186</w:t>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Tvorba sociálneho fondu zo zisku</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Ostatná tvorba sociálneho fondu</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Tvorba sociálneho fondu spolu</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b/>
              </w:rPr>
              <w:t xml:space="preserve"> </w:t>
            </w:r>
            <w:r>
              <w:rPr>
                <w:b/>
              </w:rPr>
              <w:t>273</w:t>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rPr>
              <w:t xml:space="preserve"> </w:t>
            </w:r>
            <w:r>
              <w:rPr>
                <w:b/>
              </w:rPr>
              <w:t>186</w:t>
            </w:r>
          </w:p>
        </w:tc>
      </w:tr>
      <w:tr>
        <w:trPr>
          <w:trHeight w:val="330" w:hRule="atLeast"/>
        </w:trPr>
        <w:tc>
          <w:tcPr>
            <w:tcW w:w="427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b/>
                <w:b/>
                <w:bCs/>
              </w:rPr>
            </w:pPr>
            <w:r>
              <w:rPr>
                <w:b/>
                <w:bCs/>
              </w:rPr>
              <w:t xml:space="preserve">Čerpanie sociálneho fondu </w:t>
            </w:r>
          </w:p>
        </w:tc>
        <w:tc>
          <w:tcPr>
            <w:tcW w:w="2473" w:type="dxa"/>
            <w:tcBorders>
              <w:top w:val="single" w:sz="4" w:space="0" w:color="00000A"/>
              <w:left w:val="single" w:sz="12" w:space="0" w:color="00000A"/>
              <w:bottom w:val="single" w:sz="4" w:space="0" w:color="00000A"/>
              <w:right w:val="single" w:sz="8" w:space="0" w:color="00000A"/>
            </w:tcBorders>
            <w:shd w:fill="auto" w:val="clear"/>
            <w:vAlign w:val="center"/>
          </w:tcPr>
          <w:p>
            <w:pPr>
              <w:pStyle w:val="Normal"/>
              <w:rPr/>
            </w:pPr>
            <w:r>
              <w:rPr/>
            </w:r>
          </w:p>
        </w:tc>
        <w:tc>
          <w:tcPr>
            <w:tcW w:w="249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45" w:hRule="atLeast"/>
        </w:trPr>
        <w:tc>
          <w:tcPr>
            <w:tcW w:w="4271"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rPr>
            </w:pPr>
            <w:r>
              <w:rPr>
                <w:b/>
                <w:bCs/>
              </w:rPr>
              <w:t>Konečný zostatok sociálneho fondu</w:t>
            </w:r>
          </w:p>
        </w:tc>
        <w:tc>
          <w:tcPr>
            <w:tcW w:w="2473" w:type="dxa"/>
            <w:tcBorders>
              <w:top w:val="single" w:sz="4" w:space="0" w:color="00000A"/>
              <w:left w:val="single" w:sz="12" w:space="0" w:color="00000A"/>
              <w:bottom w:val="single" w:sz="12" w:space="0" w:color="00000A"/>
              <w:right w:val="single" w:sz="8" w:space="0" w:color="00000A"/>
            </w:tcBorders>
            <w:shd w:fill="auto" w:val="clear"/>
            <w:vAlign w:val="center"/>
          </w:tcPr>
          <w:p>
            <w:pPr>
              <w:pStyle w:val="Normal"/>
              <w:rPr/>
            </w:pPr>
            <w:r>
              <w:rPr>
                <w:b/>
              </w:rPr>
              <w:t xml:space="preserve"> </w:t>
            </w:r>
            <w:r>
              <w:rPr>
                <w:b/>
              </w:rPr>
              <w:t>502</w:t>
            </w:r>
          </w:p>
        </w:tc>
        <w:tc>
          <w:tcPr>
            <w:tcW w:w="2497"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229</w:t>
            </w:r>
          </w:p>
        </w:tc>
      </w:tr>
    </w:tbl>
    <w:p>
      <w:pPr>
        <w:pStyle w:val="Normal"/>
        <w:rPr/>
      </w:pPr>
      <w:r>
        <w:rPr/>
      </w:r>
    </w:p>
    <w:p>
      <w:pPr>
        <w:pStyle w:val="Telotextu"/>
        <w:widowControl w:val="false"/>
        <w:suppressAutoHyphens w:val="false"/>
        <w:rPr>
          <w:rFonts w:ascii="Times New Roman" w:hAnsi="Times New Roman"/>
          <w:color w:val="000000"/>
          <w:szCs w:val="18"/>
          <w:lang w:val="de-DE"/>
        </w:rPr>
      </w:pPr>
      <w:r>
        <w:rPr>
          <w:rFonts w:ascii="Times New Roman" w:hAnsi="Times New Roman"/>
          <w:color w:val="000000"/>
          <w:szCs w:val="18"/>
          <w:lang w:val="de-DE"/>
        </w:rPr>
      </w:r>
    </w:p>
    <w:p>
      <w:pPr>
        <w:pStyle w:val="Telotextu"/>
        <w:widowControl w:val="false"/>
        <w:suppressAutoHyphens w:val="false"/>
        <w:rPr>
          <w:color w:val="000000"/>
          <w:szCs w:val="18"/>
          <w:lang w:val="de-DE"/>
        </w:rPr>
      </w:pPr>
      <w:r>
        <w:rPr>
          <w:color w:val="000000"/>
          <w:szCs w:val="18"/>
          <w:lang w:val="de-DE"/>
        </w:rPr>
      </w:r>
    </w:p>
    <w:p>
      <w:pPr>
        <w:pStyle w:val="Telotextu"/>
        <w:widowControl w:val="false"/>
        <w:suppressAutoHyphens w:val="false"/>
        <w:ind w:left="0" w:hanging="0"/>
        <w:rPr/>
      </w:pPr>
      <w:r>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Nadpis2"/>
        <w:keepNext w:val="true"/>
        <w:widowControl w:val="false"/>
        <w:numPr>
          <w:ilvl w:val="0"/>
          <w:numId w:val="9"/>
        </w:numPr>
        <w:suppressAutoHyphens w:val="false"/>
        <w:rPr>
          <w:szCs w:val="18"/>
        </w:rPr>
      </w:pPr>
      <w:r>
        <w:rPr>
          <w:szCs w:val="18"/>
        </w:rPr>
        <w:t>Vydané dlhopisy</w:t>
      </w:r>
    </w:p>
    <w:p>
      <w:pPr>
        <w:pStyle w:val="Normal"/>
        <w:widowControl w:val="false"/>
        <w:suppressAutoHyphens w:val="false"/>
        <w:rPr>
          <w:szCs w:val="18"/>
        </w:rPr>
      </w:pPr>
      <w:r>
        <w:rPr>
          <w:szCs w:val="18"/>
        </w:rPr>
      </w:r>
    </w:p>
    <w:p>
      <w:pPr>
        <w:pStyle w:val="Telotextu"/>
        <w:widowControl w:val="false"/>
        <w:suppressAutoHyphens w:val="false"/>
        <w:rPr>
          <w:rFonts w:ascii="Times New Roman" w:hAnsi="Times New Roman"/>
          <w:i/>
          <w:i/>
          <w:szCs w:val="18"/>
          <w:u w:val="single"/>
        </w:rPr>
      </w:pPr>
      <w:r>
        <w:rPr>
          <w:rFonts w:ascii="Times New Roman" w:hAnsi="Times New Roman"/>
          <w:i/>
          <w:szCs w:val="18"/>
          <w:u w:val="single"/>
        </w:rPr>
      </w:r>
    </w:p>
    <w:p>
      <w:pPr>
        <w:pStyle w:val="Nzov"/>
        <w:keepNext w:val="true"/>
        <w:spacing w:beforeAutospacing="0" w:before="0" w:after="0"/>
        <w:jc w:val="left"/>
        <w:rPr/>
      </w:pPr>
      <w:bookmarkStart w:id="39" w:name="_1405948767"/>
      <w:bookmarkEnd w:id="39"/>
      <w:r>
        <w:rPr>
          <w:rFonts w:cs="Arial Narrow" w:ascii="Arial" w:hAnsi="Arial"/>
          <w:sz w:val="18"/>
          <w:szCs w:val="22"/>
        </w:rPr>
        <w:t>Informácie k časti G. písm. h) prílohy č. 3 o vydaných dlhopisoch</w:t>
      </w:r>
    </w:p>
    <w:p>
      <w:pPr>
        <w:pStyle w:val="Normal"/>
        <w:rPr>
          <w:rFonts w:ascii="Times New Roman" w:hAnsi="Times New Roman"/>
          <w:b/>
          <w:b/>
        </w:rPr>
      </w:pPr>
      <w:r>
        <w:rPr>
          <w:rFonts w:ascii="Times New Roman" w:hAnsi="Times New Roman"/>
          <w:b/>
        </w:rPr>
      </w:r>
    </w:p>
    <w:p>
      <w:pPr>
        <w:pStyle w:val="Normal"/>
        <w:rPr>
          <w:b/>
          <w:b/>
        </w:rPr>
      </w:pPr>
      <w:r>
        <w:rPr>
          <w:b/>
        </w:rPr>
        <w:t>Nevypĺňa sa</w:t>
      </w:r>
    </w:p>
    <w:p>
      <w:pPr>
        <w:pStyle w:val="Normal"/>
        <w:widowControl w:val="false"/>
        <w:suppressAutoHyphens w:val="false"/>
        <w:spacing w:lineRule="auto" w:line="276" w:before="0" w:after="200"/>
        <w:rPr>
          <w:rFonts w:ascii="Times New Roman" w:hAnsi="Times New Roman"/>
          <w:b/>
          <w:b/>
          <w:szCs w:val="18"/>
        </w:rPr>
      </w:pPr>
      <w:r>
        <w:rPr>
          <w:rFonts w:ascii="Times New Roman" w:hAnsi="Times New Roman"/>
          <w:b/>
          <w:szCs w:val="18"/>
        </w:rPr>
      </w:r>
    </w:p>
    <w:p>
      <w:pPr>
        <w:pStyle w:val="Nadpis2"/>
        <w:keepNext w:val="true"/>
        <w:widowControl w:val="false"/>
        <w:numPr>
          <w:ilvl w:val="0"/>
          <w:numId w:val="9"/>
        </w:numPr>
        <w:suppressAutoHyphens w:val="false"/>
        <w:rPr>
          <w:szCs w:val="18"/>
        </w:rPr>
      </w:pPr>
      <w:r>
        <w:rPr>
          <w:szCs w:val="18"/>
        </w:rPr>
        <w:t>Bankové úvery</w:t>
      </w:r>
    </w:p>
    <w:p>
      <w:pPr>
        <w:pStyle w:val="Telotextu"/>
        <w:widowControl w:val="false"/>
        <w:suppressAutoHyphens w:val="false"/>
        <w:rPr>
          <w:szCs w:val="18"/>
        </w:rPr>
      </w:pPr>
      <w:r>
        <w:rPr>
          <w:szCs w:val="18"/>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40" w:name="_1405949005"/>
      <w:bookmarkStart w:id="41" w:name="_1405949005"/>
      <w:bookmarkEnd w:id="41"/>
    </w:p>
    <w:p>
      <w:pPr>
        <w:pStyle w:val="Telotextu"/>
        <w:widowControl w:val="false"/>
        <w:suppressAutoHyphens w:val="false"/>
        <w:ind w:left="0" w:hanging="0"/>
        <w:rPr/>
      </w:pPr>
      <w:r>
        <w:rPr>
          <w:szCs w:val="18"/>
        </w:rPr>
        <w:t>Spoločnosť neeviduje krátkodobý / dlhodobý bankový úver</w:t>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bookmarkStart w:id="42" w:name="_1405949393"/>
      <w:bookmarkEnd w:id="42"/>
      <w:r>
        <w:rPr>
          <w:rFonts w:cs="Arial Narrow" w:ascii="Arial" w:hAnsi="Arial"/>
          <w:sz w:val="18"/>
          <w:szCs w:val="22"/>
        </w:rPr>
        <w:t>Informácie k časti G. písm. i)  prílohy č. 3 o bankových úveroch, pôžičkách a krátkodobých finančných výpomociach</w:t>
      </w:r>
    </w:p>
    <w:p>
      <w:pPr>
        <w:pStyle w:val="Normal"/>
        <w:rPr/>
      </w:pPr>
      <w:r>
        <w:rPr/>
      </w:r>
    </w:p>
    <w:p>
      <w:pPr>
        <w:pStyle w:val="Normal"/>
        <w:rPr/>
      </w:pPr>
      <w:r>
        <w:rPr/>
        <w:t>Tabuľka č. 1</w:t>
      </w:r>
    </w:p>
    <w:tbl>
      <w:tblPr>
        <w:tblW w:w="5000" w:type="pct"/>
        <w:jc w:val="center"/>
        <w:tblInd w:w="0" w:type="dxa"/>
        <w:tblCellMar>
          <w:top w:w="0" w:type="dxa"/>
          <w:left w:w="15" w:type="dxa"/>
          <w:bottom w:w="0" w:type="dxa"/>
          <w:right w:w="79" w:type="dxa"/>
        </w:tblCellMar>
        <w:tblLook w:val="00a0"/>
      </w:tblPr>
      <w:tblGrid>
        <w:gridCol w:w="3002"/>
        <w:gridCol w:w="777"/>
        <w:gridCol w:w="887"/>
        <w:gridCol w:w="1089"/>
        <w:gridCol w:w="1692"/>
        <w:gridCol w:w="1793"/>
      </w:tblGrid>
      <w:tr>
        <w:trPr>
          <w:trHeight w:val="990" w:hRule="atLeast"/>
        </w:trPr>
        <w:tc>
          <w:tcPr>
            <w:tcW w:w="300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highlight w:val="yellow"/>
              </w:rPr>
            </w:pPr>
            <w:r>
              <w:rPr>
                <w:rFonts w:ascii="Arial" w:hAnsi="Arial"/>
                <w:sz w:val="18"/>
              </w:rPr>
              <w:t>Názov položky</w:t>
            </w:r>
          </w:p>
        </w:tc>
        <w:tc>
          <w:tcPr>
            <w:tcW w:w="77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Mena</w:t>
            </w:r>
          </w:p>
        </w:tc>
        <w:tc>
          <w:tcPr>
            <w:tcW w:w="8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 xml:space="preserve">Úrok </w:t>
              <w:br/>
              <w:t xml:space="preserve">p. a. </w:t>
            </w:r>
          </w:p>
          <w:p>
            <w:pPr>
              <w:pStyle w:val="TopHeader"/>
              <w:rPr>
                <w:rFonts w:ascii="Arial" w:hAnsi="Arial"/>
                <w:sz w:val="18"/>
              </w:rPr>
            </w:pPr>
            <w:r>
              <w:rPr>
                <w:rFonts w:ascii="Arial" w:hAnsi="Arial"/>
                <w:sz w:val="18"/>
              </w:rPr>
              <w:t>v %</w:t>
            </w:r>
          </w:p>
        </w:tc>
        <w:tc>
          <w:tcPr>
            <w:tcW w:w="108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Dátum splatnosti</w:t>
            </w:r>
          </w:p>
        </w:tc>
        <w:tc>
          <w:tcPr>
            <w:tcW w:w="169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highlight w:val="yellow"/>
              </w:rPr>
            </w:pPr>
            <w:r>
              <w:rPr>
                <w:rFonts w:ascii="Arial" w:hAnsi="Arial"/>
                <w:sz w:val="18"/>
              </w:rPr>
              <w:t>Suma istiny v príslušnej mene za bežné účtovné obdobie</w:t>
            </w:r>
          </w:p>
        </w:tc>
        <w:tc>
          <w:tcPr>
            <w:tcW w:w="179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highlight w:val="yellow"/>
              </w:rPr>
            </w:pPr>
            <w:r>
              <w:rPr>
                <w:rFonts w:ascii="Arial" w:hAnsi="Arial"/>
                <w:sz w:val="18"/>
              </w:rPr>
              <w:t>Suma istiny v príslušnej mene za bezprostredne predchádzajúce účtovné obdobie</w:t>
            </w:r>
          </w:p>
        </w:tc>
      </w:tr>
      <w:tr>
        <w:trPr>
          <w:trHeight w:val="330" w:hRule="atLeast"/>
        </w:trPr>
        <w:tc>
          <w:tcPr>
            <w:tcW w:w="300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highlight w:val="yellow"/>
              </w:rPr>
            </w:pPr>
            <w:r>
              <w:rPr/>
              <w:t>a</w:t>
            </w:r>
          </w:p>
        </w:tc>
        <w:tc>
          <w:tcPr>
            <w:tcW w:w="77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highlight w:val="yellow"/>
              </w:rPr>
            </w:pPr>
            <w:r>
              <w:rPr/>
              <w:t>b</w:t>
            </w:r>
          </w:p>
        </w:tc>
        <w:tc>
          <w:tcPr>
            <w:tcW w:w="8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highlight w:val="yellow"/>
              </w:rPr>
            </w:pPr>
            <w:r>
              <w:rPr/>
              <w:t>c</w:t>
            </w:r>
          </w:p>
        </w:tc>
        <w:tc>
          <w:tcPr>
            <w:tcW w:w="108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highlight w:val="yellow"/>
              </w:rPr>
            </w:pPr>
            <w:r>
              <w:rPr/>
              <w:t>d</w:t>
            </w:r>
          </w:p>
        </w:tc>
        <w:tc>
          <w:tcPr>
            <w:tcW w:w="169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highlight w:val="yellow"/>
              </w:rPr>
            </w:pPr>
            <w:r>
              <w:rPr/>
              <w:t>e</w:t>
            </w:r>
          </w:p>
        </w:tc>
        <w:tc>
          <w:tcPr>
            <w:tcW w:w="1793"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highlight w:val="yellow"/>
              </w:rPr>
            </w:pPr>
            <w:r>
              <w:rPr/>
              <w:t>f</w:t>
            </w:r>
          </w:p>
        </w:tc>
      </w:tr>
      <w:tr>
        <w:trPr>
          <w:trHeight w:val="330" w:hRule="atLeast"/>
        </w:trPr>
        <w:tc>
          <w:tcPr>
            <w:tcW w:w="9240" w:type="dxa"/>
            <w:gridSpan w:val="6"/>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highlight w:val="yellow"/>
              </w:rPr>
            </w:pPr>
            <w:r>
              <w:rPr>
                <w:b/>
                <w:bCs/>
              </w:rPr>
              <w:t>Dlhodobé bankové úvery</w:t>
            </w:r>
          </w:p>
        </w:tc>
      </w:tr>
      <w:tr>
        <w:trPr>
          <w:trHeight w:val="330" w:hRule="atLeast"/>
        </w:trPr>
        <w:tc>
          <w:tcPr>
            <w:tcW w:w="3002"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777"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887" w:type="dxa"/>
            <w:tcBorders>
              <w:top w:val="single" w:sz="12"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pPr>
            <w:r>
              <w:rPr/>
            </w:r>
          </w:p>
        </w:tc>
        <w:tc>
          <w:tcPr>
            <w:tcW w:w="1089" w:type="dxa"/>
            <w:tcBorders>
              <w:top w:val="single" w:sz="12"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pPr>
            <w:r>
              <w:rPr/>
            </w:r>
          </w:p>
        </w:tc>
        <w:tc>
          <w:tcPr>
            <w:tcW w:w="1692" w:type="dxa"/>
            <w:tcBorders>
              <w:top w:val="single" w:sz="12" w:space="0" w:color="00000A"/>
              <w:left w:val="single" w:sz="4" w:space="0" w:color="00000A"/>
              <w:bottom w:val="single" w:sz="4" w:space="0" w:color="00000A"/>
              <w:right w:val="single" w:sz="4" w:space="0" w:color="00000A"/>
            </w:tcBorders>
            <w:shd w:fill="auto" w:val="clear"/>
            <w:tcMar>
              <w:left w:w="47" w:type="dxa"/>
            </w:tcMar>
            <w:vAlign w:val="center"/>
          </w:tcPr>
          <w:p>
            <w:pPr>
              <w:pStyle w:val="Normal"/>
              <w:rPr/>
            </w:pPr>
            <w:r>
              <w:rPr/>
            </w:r>
          </w:p>
        </w:tc>
        <w:tc>
          <w:tcPr>
            <w:tcW w:w="1793" w:type="dxa"/>
            <w:tcBorders>
              <w:top w:val="single" w:sz="12" w:space="0" w:color="00000A"/>
              <w:left w:val="single" w:sz="4" w:space="0" w:color="00000A"/>
              <w:bottom w:val="single" w:sz="4" w:space="0" w:color="00000A"/>
              <w:right w:val="single" w:sz="12" w:space="0" w:color="00000A"/>
            </w:tcBorders>
            <w:shd w:fill="auto" w:val="clear"/>
            <w:tcMar>
              <w:left w:w="47" w:type="dxa"/>
            </w:tcMar>
            <w:vAlign w:val="center"/>
          </w:tcPr>
          <w:p>
            <w:pPr>
              <w:pStyle w:val="Normal"/>
              <w:rPr/>
            </w:pPr>
            <w:r>
              <w:rPr/>
            </w:r>
          </w:p>
        </w:tc>
      </w:tr>
      <w:tr>
        <w:trPr>
          <w:trHeight w:val="330" w:hRule="atLeast"/>
        </w:trPr>
        <w:tc>
          <w:tcPr>
            <w:tcW w:w="9240" w:type="dxa"/>
            <w:gridSpan w:val="6"/>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highlight w:val="yellow"/>
              </w:rPr>
            </w:pPr>
            <w:r>
              <w:rPr>
                <w:b/>
                <w:bCs/>
              </w:rPr>
              <w:t>Krátkodobé bankové úvery</w:t>
            </w:r>
          </w:p>
        </w:tc>
      </w:tr>
      <w:tr>
        <w:trPr>
          <w:trHeight w:val="330" w:hRule="atLeast"/>
        </w:trPr>
        <w:tc>
          <w:tcPr>
            <w:tcW w:w="300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highlight w:val="yellow"/>
              </w:rPr>
            </w:pPr>
            <w:r>
              <w:rPr/>
              <w:t>Tatrabanka</w:t>
            </w:r>
          </w:p>
        </w:tc>
        <w:tc>
          <w:tcPr>
            <w:tcW w:w="777"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highlight w:val="yellow"/>
              </w:rPr>
            </w:pPr>
            <w:r>
              <w:rPr/>
              <w:t>EUR</w:t>
            </w:r>
          </w:p>
        </w:tc>
        <w:tc>
          <w:tcPr>
            <w:tcW w:w="887" w:type="dxa"/>
            <w:tcBorders>
              <w:top w:val="single" w:sz="12" w:space="0" w:color="00000A"/>
              <w:left w:val="single" w:sz="4" w:space="0" w:color="00000A"/>
              <w:bottom w:val="single" w:sz="12" w:space="0" w:color="00000A"/>
              <w:right w:val="single" w:sz="4" w:space="0" w:color="00000A"/>
            </w:tcBorders>
            <w:shd w:fill="auto" w:val="clear"/>
            <w:tcMar>
              <w:left w:w="47" w:type="dxa"/>
            </w:tcMar>
            <w:vAlign w:val="center"/>
          </w:tcPr>
          <w:p>
            <w:pPr>
              <w:pStyle w:val="Normal"/>
              <w:rPr/>
            </w:pPr>
            <w:r>
              <w:rPr/>
              <w:t>7,9%</w:t>
            </w:r>
          </w:p>
        </w:tc>
        <w:tc>
          <w:tcPr>
            <w:tcW w:w="1089" w:type="dxa"/>
            <w:tcBorders>
              <w:top w:val="single" w:sz="12" w:space="0" w:color="00000A"/>
              <w:left w:val="single" w:sz="4" w:space="0" w:color="00000A"/>
              <w:bottom w:val="single" w:sz="12" w:space="0" w:color="00000A"/>
              <w:right w:val="single" w:sz="4" w:space="0" w:color="00000A"/>
            </w:tcBorders>
            <w:shd w:fill="auto" w:val="clear"/>
            <w:tcMar>
              <w:left w:w="47" w:type="dxa"/>
            </w:tcMar>
            <w:vAlign w:val="center"/>
          </w:tcPr>
          <w:p>
            <w:pPr>
              <w:pStyle w:val="Normal"/>
              <w:rPr/>
            </w:pPr>
            <w:r>
              <w:rPr/>
              <w:t>31.07.2025</w:t>
            </w:r>
          </w:p>
        </w:tc>
        <w:tc>
          <w:tcPr>
            <w:tcW w:w="1692" w:type="dxa"/>
            <w:tcBorders>
              <w:top w:val="single" w:sz="12" w:space="0" w:color="00000A"/>
              <w:left w:val="single" w:sz="4" w:space="0" w:color="00000A"/>
              <w:bottom w:val="single" w:sz="12" w:space="0" w:color="00000A"/>
              <w:right w:val="single" w:sz="4" w:space="0" w:color="00000A"/>
            </w:tcBorders>
            <w:shd w:fill="auto" w:val="clear"/>
            <w:tcMar>
              <w:left w:w="47" w:type="dxa"/>
            </w:tcMar>
            <w:vAlign w:val="center"/>
          </w:tcPr>
          <w:p>
            <w:pPr>
              <w:pStyle w:val="Normal"/>
              <w:rPr>
                <w:highlight w:val="yellow"/>
              </w:rPr>
            </w:pPr>
            <w:r>
              <w:rPr/>
              <w:t>23260</w:t>
            </w:r>
          </w:p>
        </w:tc>
        <w:tc>
          <w:tcPr>
            <w:tcW w:w="1793" w:type="dxa"/>
            <w:tcBorders>
              <w:top w:val="single" w:sz="12" w:space="0" w:color="00000A"/>
              <w:left w:val="single" w:sz="4" w:space="0" w:color="00000A"/>
              <w:bottom w:val="single" w:sz="12" w:space="0" w:color="00000A"/>
              <w:right w:val="single" w:sz="12" w:space="0" w:color="00000A"/>
            </w:tcBorders>
            <w:shd w:fill="auto" w:val="clear"/>
            <w:tcMar>
              <w:left w:w="47" w:type="dxa"/>
            </w:tcMar>
            <w:vAlign w:val="center"/>
          </w:tcPr>
          <w:p>
            <w:pPr>
              <w:pStyle w:val="Normal"/>
              <w:rPr>
                <w:highlight w:val="yellow"/>
              </w:rPr>
            </w:pPr>
            <w:r>
              <w:rPr/>
              <w:t>0</w:t>
            </w:r>
          </w:p>
        </w:tc>
      </w:tr>
    </w:tbl>
    <w:p>
      <w:pPr>
        <w:pStyle w:val="Nzov"/>
        <w:spacing w:beforeAutospacing="0" w:before="0" w:after="0"/>
        <w:jc w:val="both"/>
        <w:rPr>
          <w:rFonts w:ascii="Times New Roman" w:hAnsi="Times New Roman"/>
        </w:rPr>
      </w:pPr>
      <w:r>
        <w:rPr>
          <w:rFonts w:ascii="Times New Roman" w:hAnsi="Times New Roman"/>
        </w:rPr>
      </w:r>
    </w:p>
    <w:p>
      <w:pPr>
        <w:pStyle w:val="Normal"/>
        <w:rPr>
          <w:rFonts w:ascii="Times New Roman" w:hAnsi="Times New Roman"/>
        </w:rPr>
      </w:pPr>
      <w:r>
        <w:rPr/>
        <w:t>Tabuľka č. 2 – nevypĺňa sa</w:t>
      </w:r>
    </w:p>
    <w:p>
      <w:pPr>
        <w:pStyle w:val="Normal"/>
        <w:widowControl w:val="false"/>
        <w:suppressAutoHyphens w:val="false"/>
        <w:spacing w:lineRule="auto" w:line="276" w:before="0" w:after="200"/>
        <w:rPr>
          <w:rFonts w:ascii="Times New Roman" w:hAnsi="Times New Roman"/>
          <w:szCs w:val="18"/>
        </w:rPr>
      </w:pPr>
      <w:r>
        <w:rPr>
          <w:rFonts w:ascii="Times New Roman" w:hAnsi="Times New Roman"/>
          <w:szCs w:val="18"/>
        </w:rPr>
      </w:r>
    </w:p>
    <w:p>
      <w:pPr>
        <w:pStyle w:val="Nadpis2"/>
        <w:keepNext w:val="true"/>
        <w:widowControl w:val="false"/>
        <w:numPr>
          <w:ilvl w:val="0"/>
          <w:numId w:val="9"/>
        </w:numPr>
        <w:suppressAutoHyphens w:val="false"/>
        <w:rPr>
          <w:szCs w:val="18"/>
        </w:rPr>
      </w:pPr>
      <w:r>
        <w:rPr>
          <w:szCs w:val="18"/>
        </w:rPr>
        <w:t>Časové rozlíšenie</w:t>
      </w:r>
    </w:p>
    <w:p>
      <w:pPr>
        <w:pStyle w:val="Telotextu"/>
        <w:widowControl w:val="false"/>
        <w:suppressAutoHyphens w:val="false"/>
        <w:rPr>
          <w:szCs w:val="18"/>
        </w:rPr>
      </w:pPr>
      <w:r>
        <w:rPr>
          <w:szCs w:val="18"/>
        </w:rPr>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r>
        <w:rPr>
          <w:rFonts w:cs="Arial Narrow" w:ascii="Arial" w:hAnsi="Arial"/>
          <w:sz w:val="18"/>
          <w:szCs w:val="22"/>
        </w:rPr>
        <w:t>Informácie k časti G. písm. j) prílohy č. 3 o významných položkách časového rozlíšenia na strane pasív</w:t>
      </w:r>
      <w:r>
        <w:rPr>
          <w:rFonts w:cs="Arial Narrow" w:ascii="Times New Roman" w:hAnsi="Times New Roman"/>
          <w:sz w:val="18"/>
          <w:szCs w:val="22"/>
        </w:rPr>
        <w:br/>
      </w:r>
    </w:p>
    <w:tbl>
      <w:tblPr>
        <w:tblW w:w="5000" w:type="pct"/>
        <w:jc w:val="center"/>
        <w:tblInd w:w="0" w:type="dxa"/>
        <w:tblCellMar>
          <w:top w:w="0" w:type="dxa"/>
          <w:left w:w="15" w:type="dxa"/>
          <w:bottom w:w="0" w:type="dxa"/>
          <w:right w:w="79" w:type="dxa"/>
        </w:tblCellMar>
        <w:tblLook w:val="00a0"/>
      </w:tblPr>
      <w:tblGrid>
        <w:gridCol w:w="4356"/>
        <w:gridCol w:w="2547"/>
        <w:gridCol w:w="2338"/>
      </w:tblGrid>
      <w:tr>
        <w:trPr>
          <w:trHeight w:val="772"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254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233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30"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Výdavky budúcich období dlhodobé, z toho:</w:t>
            </w:r>
          </w:p>
        </w:tc>
        <w:tc>
          <w:tcPr>
            <w:tcW w:w="2547"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33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30"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Výdavky budúcich období krátkodobé, z toho:</w:t>
            </w:r>
          </w:p>
        </w:tc>
        <w:tc>
          <w:tcPr>
            <w:tcW w:w="2547"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33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42"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Výnosy budúcich období dlhodobé, z toho:</w:t>
            </w:r>
          </w:p>
        </w:tc>
        <w:tc>
          <w:tcPr>
            <w:tcW w:w="2547"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pPr>
            <w:r>
              <w:rPr/>
            </w:r>
          </w:p>
        </w:tc>
        <w:tc>
          <w:tcPr>
            <w:tcW w:w="233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pPr>
            <w:r>
              <w:rPr/>
            </w:r>
          </w:p>
        </w:tc>
      </w:tr>
      <w:tr>
        <w:trPr>
          <w:trHeight w:val="330" w:hRule="atLeast"/>
        </w:trPr>
        <w:tc>
          <w:tcPr>
            <w:tcW w:w="435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bCs/>
              </w:rPr>
              <w:t>Výnosy budúcich období krátkodobé, z toho:</w:t>
            </w:r>
          </w:p>
        </w:tc>
        <w:tc>
          <w:tcPr>
            <w:tcW w:w="2547" w:type="dxa"/>
            <w:tcBorders>
              <w:top w:val="single" w:sz="12" w:space="0" w:color="00000A"/>
              <w:left w:val="single" w:sz="12" w:space="0" w:color="00000A"/>
              <w:bottom w:val="single" w:sz="12" w:space="0" w:color="00000A"/>
              <w:right w:val="single" w:sz="8" w:space="0" w:color="00000A"/>
            </w:tcBorders>
            <w:shd w:fill="auto" w:val="clear"/>
            <w:vAlign w:val="center"/>
          </w:tcPr>
          <w:p>
            <w:pPr>
              <w:pStyle w:val="Normal"/>
              <w:jc w:val="both"/>
              <w:rPr>
                <w:b/>
                <w:b/>
              </w:rPr>
            </w:pPr>
            <w:r>
              <w:rPr>
                <w:b/>
              </w:rPr>
            </w:r>
          </w:p>
        </w:tc>
        <w:tc>
          <w:tcPr>
            <w:tcW w:w="233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both"/>
              <w:rPr>
                <w:b/>
                <w:b/>
              </w:rPr>
            </w:pPr>
            <w:r>
              <w:rPr>
                <w:b/>
              </w:rPr>
            </w:r>
          </w:p>
        </w:tc>
      </w:tr>
      <w:tr>
        <w:trPr>
          <w:trHeight w:val="330" w:hRule="atLeast"/>
        </w:trPr>
        <w:tc>
          <w:tcPr>
            <w:tcW w:w="4356"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2547" w:type="dxa"/>
            <w:tcBorders>
              <w:top w:val="single" w:sz="12" w:space="0" w:color="00000A"/>
              <w:left w:val="single" w:sz="12" w:space="0" w:color="00000A"/>
              <w:bottom w:val="single" w:sz="4" w:space="0" w:color="00000A"/>
              <w:right w:val="single" w:sz="8" w:space="0" w:color="00000A"/>
            </w:tcBorders>
            <w:shd w:fill="auto" w:val="clear"/>
            <w:vAlign w:val="center"/>
          </w:tcPr>
          <w:p>
            <w:pPr>
              <w:pStyle w:val="Normal"/>
              <w:jc w:val="both"/>
              <w:rPr/>
            </w:pPr>
            <w:r>
              <w:rPr/>
            </w:r>
          </w:p>
        </w:tc>
        <w:tc>
          <w:tcPr>
            <w:tcW w:w="233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both"/>
              <w:rPr/>
            </w:pPr>
            <w:r>
              <w:rPr/>
            </w:r>
          </w:p>
        </w:tc>
      </w:tr>
      <w:tr>
        <w:trPr>
          <w:trHeight w:val="330" w:hRule="atLeast"/>
        </w:trPr>
        <w:tc>
          <w:tcPr>
            <w:tcW w:w="4356"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2547" w:type="dxa"/>
            <w:tcBorders>
              <w:top w:val="single" w:sz="4" w:space="0" w:color="00000A"/>
              <w:left w:val="single" w:sz="4" w:space="0" w:color="00000A"/>
              <w:bottom w:val="single" w:sz="4" w:space="0" w:color="00000A"/>
              <w:right w:val="single" w:sz="4" w:space="0" w:color="00000A"/>
            </w:tcBorders>
            <w:shd w:fill="auto" w:val="clear"/>
            <w:tcMar>
              <w:left w:w="33" w:type="dxa"/>
            </w:tcMar>
            <w:vAlign w:val="center"/>
          </w:tcPr>
          <w:p>
            <w:pPr>
              <w:pStyle w:val="Normal"/>
              <w:jc w:val="both"/>
              <w:rPr/>
            </w:pPr>
            <w:r>
              <w:rPr/>
            </w:r>
          </w:p>
        </w:tc>
        <w:tc>
          <w:tcPr>
            <w:tcW w:w="2338" w:type="dxa"/>
            <w:tcBorders>
              <w:top w:val="single" w:sz="4" w:space="0" w:color="00000A"/>
              <w:left w:val="single" w:sz="4" w:space="0" w:color="00000A"/>
              <w:bottom w:val="single" w:sz="4" w:space="0" w:color="00000A"/>
              <w:right w:val="single" w:sz="4" w:space="0" w:color="00000A"/>
            </w:tcBorders>
            <w:shd w:fill="auto" w:val="clear"/>
            <w:tcMar>
              <w:left w:w="33" w:type="dxa"/>
            </w:tcMar>
            <w:vAlign w:val="center"/>
          </w:tcPr>
          <w:p>
            <w:pPr>
              <w:pStyle w:val="Normal"/>
              <w:jc w:val="both"/>
              <w:rPr/>
            </w:pPr>
            <w:r>
              <w:rPr/>
            </w:r>
          </w:p>
        </w:tc>
      </w:tr>
      <w:tr>
        <w:trPr>
          <w:trHeight w:val="330" w:hRule="atLeast"/>
        </w:trPr>
        <w:tc>
          <w:tcPr>
            <w:tcW w:w="4356"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2547" w:type="dxa"/>
            <w:tcBorders>
              <w:top w:val="single" w:sz="4" w:space="0" w:color="00000A"/>
              <w:left w:val="single" w:sz="4" w:space="0" w:color="00000A"/>
              <w:bottom w:val="single" w:sz="4" w:space="0" w:color="00000A"/>
              <w:right w:val="single" w:sz="4" w:space="0" w:color="00000A"/>
            </w:tcBorders>
            <w:shd w:fill="auto" w:val="clear"/>
            <w:tcMar>
              <w:left w:w="33" w:type="dxa"/>
            </w:tcMar>
            <w:vAlign w:val="center"/>
          </w:tcPr>
          <w:p>
            <w:pPr>
              <w:pStyle w:val="Normal"/>
              <w:jc w:val="both"/>
              <w:rPr/>
            </w:pPr>
            <w:r>
              <w:rPr/>
            </w:r>
          </w:p>
        </w:tc>
        <w:tc>
          <w:tcPr>
            <w:tcW w:w="2338" w:type="dxa"/>
            <w:tcBorders>
              <w:top w:val="single" w:sz="4" w:space="0" w:color="00000A"/>
              <w:left w:val="single" w:sz="4" w:space="0" w:color="00000A"/>
              <w:bottom w:val="single" w:sz="4" w:space="0" w:color="00000A"/>
              <w:right w:val="single" w:sz="4" w:space="0" w:color="00000A"/>
            </w:tcBorders>
            <w:shd w:fill="auto" w:val="clear"/>
            <w:tcMar>
              <w:left w:w="33" w:type="dxa"/>
            </w:tcMar>
            <w:vAlign w:val="center"/>
          </w:tcPr>
          <w:p>
            <w:pPr>
              <w:pStyle w:val="Normal"/>
              <w:jc w:val="both"/>
              <w:rPr/>
            </w:pPr>
            <w:r>
              <w:rPr/>
            </w:r>
          </w:p>
        </w:tc>
      </w:tr>
      <w:tr>
        <w:trPr>
          <w:trHeight w:val="330" w:hRule="atLeast"/>
        </w:trPr>
        <w:tc>
          <w:tcPr>
            <w:tcW w:w="4356"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2547" w:type="dxa"/>
            <w:tcBorders>
              <w:top w:val="single" w:sz="4" w:space="0" w:color="00000A"/>
              <w:left w:val="single" w:sz="4" w:space="0" w:color="00000A"/>
              <w:bottom w:val="single" w:sz="4" w:space="0" w:color="00000A"/>
              <w:right w:val="single" w:sz="4" w:space="0" w:color="00000A"/>
            </w:tcBorders>
            <w:shd w:fill="auto" w:val="clear"/>
            <w:tcMar>
              <w:left w:w="33" w:type="dxa"/>
            </w:tcMar>
            <w:vAlign w:val="center"/>
          </w:tcPr>
          <w:p>
            <w:pPr>
              <w:pStyle w:val="Normal"/>
              <w:jc w:val="both"/>
              <w:rPr/>
            </w:pPr>
            <w:r>
              <w:rPr/>
            </w:r>
          </w:p>
        </w:tc>
        <w:tc>
          <w:tcPr>
            <w:tcW w:w="2338" w:type="dxa"/>
            <w:tcBorders>
              <w:top w:val="single" w:sz="4" w:space="0" w:color="00000A"/>
              <w:left w:val="single" w:sz="4" w:space="0" w:color="00000A"/>
              <w:bottom w:val="single" w:sz="4" w:space="0" w:color="00000A"/>
              <w:right w:val="single" w:sz="4" w:space="0" w:color="00000A"/>
            </w:tcBorders>
            <w:shd w:fill="auto" w:val="clear"/>
            <w:tcMar>
              <w:left w:w="33" w:type="dxa"/>
            </w:tcMar>
            <w:vAlign w:val="center"/>
          </w:tcPr>
          <w:p>
            <w:pPr>
              <w:pStyle w:val="Normal"/>
              <w:jc w:val="both"/>
              <w:rPr/>
            </w:pPr>
            <w:r>
              <w:rPr/>
            </w:r>
          </w:p>
        </w:tc>
      </w:tr>
    </w:tbl>
    <w:p>
      <w:pPr>
        <w:pStyle w:val="Nzov"/>
        <w:spacing w:beforeAutospacing="0" w:before="0" w:after="0"/>
        <w:jc w:val="both"/>
        <w:rPr>
          <w:rFonts w:ascii="Times New Roman" w:hAnsi="Times New Roman"/>
          <w:szCs w:val="18"/>
        </w:rPr>
      </w:pPr>
      <w:r>
        <w:rPr>
          <w:rFonts w:ascii="Times New Roman" w:hAnsi="Times New Roman"/>
          <w:szCs w:val="18"/>
        </w:rPr>
      </w:r>
    </w:p>
    <w:p>
      <w:pPr>
        <w:pStyle w:val="Nadpis2"/>
        <w:keepNext w:val="true"/>
        <w:widowControl w:val="false"/>
        <w:numPr>
          <w:ilvl w:val="0"/>
          <w:numId w:val="9"/>
        </w:numPr>
        <w:suppressAutoHyphens w:val="false"/>
        <w:rPr>
          <w:szCs w:val="18"/>
        </w:rPr>
      </w:pPr>
      <w:r>
        <w:rPr>
          <w:szCs w:val="18"/>
        </w:rPr>
        <w:t>Deriváty</w:t>
      </w:r>
    </w:p>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b/>
          <w:b/>
          <w:szCs w:val="18"/>
        </w:rPr>
      </w:pPr>
      <w:r>
        <w:rPr>
          <w:b/>
          <w:szCs w:val="18"/>
        </w:rPr>
        <w:t>Nevypĺňa sa</w:t>
      </w:r>
    </w:p>
    <w:p>
      <w:pPr>
        <w:pStyle w:val="Telotextu"/>
        <w:widowControl w:val="false"/>
        <w:suppressAutoHyphens w:val="false"/>
        <w:rPr>
          <w:rFonts w:ascii="Times New Roman" w:hAnsi="Times New Roman"/>
          <w:b/>
          <w:b/>
          <w:szCs w:val="18"/>
        </w:rPr>
      </w:pPr>
      <w:r>
        <w:rPr>
          <w:rFonts w:ascii="Times New Roman" w:hAnsi="Times New Roman"/>
          <w:b/>
          <w:szCs w:val="18"/>
        </w:rPr>
      </w:r>
    </w:p>
    <w:p>
      <w:pPr>
        <w:pStyle w:val="Nzov"/>
        <w:keepNext w:val="true"/>
        <w:spacing w:beforeAutospacing="0" w:before="0" w:after="0"/>
        <w:jc w:val="left"/>
        <w:rPr/>
      </w:pPr>
      <w:r>
        <w:rPr>
          <w:rFonts w:cs="Arial Narrow" w:ascii="Arial" w:hAnsi="Arial"/>
          <w:sz w:val="18"/>
          <w:szCs w:val="22"/>
        </w:rPr>
        <w:t xml:space="preserve">Informácie k časti  G. písm. k) prílohy č. 3 o významných položkách derivátov za bežné účtovné obdobie </w:t>
      </w:r>
    </w:p>
    <w:p>
      <w:pPr>
        <w:pStyle w:val="Normal"/>
        <w:rPr/>
      </w:pPr>
      <w:r>
        <w:rPr/>
      </w:r>
    </w:p>
    <w:p>
      <w:pPr>
        <w:pStyle w:val="Normal"/>
        <w:rPr>
          <w:rFonts w:ascii="Times New Roman" w:hAnsi="Times New Roman"/>
        </w:rPr>
      </w:pPr>
      <w:r>
        <w:rPr/>
        <w:t>Tabuľka č. 1</w:t>
      </w:r>
    </w:p>
    <w:p>
      <w:pPr>
        <w:pStyle w:val="Normal"/>
        <w:rPr>
          <w:b/>
          <w:b/>
        </w:rPr>
      </w:pPr>
      <w:r>
        <w:rPr>
          <w:b/>
        </w:rPr>
        <w:t>Nevypĺňa sa</w:t>
      </w:r>
    </w:p>
    <w:p>
      <w:pPr>
        <w:pStyle w:val="Normal"/>
        <w:rPr/>
      </w:pPr>
      <w:r>
        <w:rPr/>
      </w:r>
    </w:p>
    <w:p>
      <w:pPr>
        <w:pStyle w:val="Normal"/>
        <w:rPr/>
      </w:pPr>
      <w:r>
        <w:rPr/>
        <w:t>Tabuľka č. 2</w:t>
      </w:r>
    </w:p>
    <w:p>
      <w:pPr>
        <w:pStyle w:val="Normal"/>
        <w:rPr>
          <w:b/>
          <w:b/>
        </w:rPr>
      </w:pPr>
      <w:r>
        <w:rPr>
          <w:b/>
        </w:rPr>
        <w:t>Nevypĺňa sa</w:t>
      </w:r>
    </w:p>
    <w:p>
      <w:pPr>
        <w:pStyle w:val="Nzov"/>
        <w:spacing w:beforeAutospacing="0" w:before="0" w:after="0"/>
        <w:jc w:val="left"/>
        <w:rPr/>
      </w:pPr>
      <w:r>
        <w:rPr/>
      </w:r>
    </w:p>
    <w:p>
      <w:pPr>
        <w:pStyle w:val="Nzov"/>
        <w:keepNext w:val="true"/>
        <w:spacing w:beforeAutospacing="0" w:before="0" w:after="0"/>
        <w:jc w:val="left"/>
        <w:rPr/>
      </w:pPr>
      <w:r>
        <w:rPr>
          <w:rFonts w:cs="Arial Narrow" w:ascii="Arial" w:hAnsi="Arial"/>
          <w:sz w:val="18"/>
          <w:szCs w:val="22"/>
        </w:rPr>
        <w:t>33. Informácie k časti G. písm. l) prílohy č. 3 o položkách zabezpečených derivátmi</w:t>
      </w:r>
    </w:p>
    <w:p>
      <w:pPr>
        <w:pStyle w:val="Normal"/>
        <w:rPr>
          <w:rFonts w:ascii="Times New Roman" w:hAnsi="Times New Roman"/>
          <w:b/>
          <w:b/>
        </w:rPr>
      </w:pPr>
      <w:r>
        <w:rPr>
          <w:rFonts w:ascii="Times New Roman" w:hAnsi="Times New Roman"/>
          <w:b/>
        </w:rPr>
      </w:r>
    </w:p>
    <w:p>
      <w:pPr>
        <w:pStyle w:val="Normal"/>
        <w:rPr>
          <w:b/>
          <w:b/>
        </w:rPr>
      </w:pPr>
      <w:r>
        <w:rPr>
          <w:b/>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43" w:name="_1406023325"/>
      <w:bookmarkStart w:id="44" w:name="_1406023325"/>
      <w:bookmarkEnd w:id="44"/>
    </w:p>
    <w:p>
      <w:pPr>
        <w:pStyle w:val="Nadpis1"/>
        <w:keepNext w:val="true"/>
        <w:widowControl w:val="false"/>
        <w:numPr>
          <w:ilvl w:val="0"/>
          <w:numId w:val="0"/>
        </w:numPr>
        <w:tabs>
          <w:tab w:val="clear" w:pos="708"/>
          <w:tab w:val="left" w:pos="360" w:leader="none"/>
        </w:tabs>
        <w:suppressAutoHyphens w:val="false"/>
        <w:ind w:left="360" w:hanging="0"/>
        <w:rPr>
          <w:szCs w:val="18"/>
        </w:rPr>
      </w:pPr>
      <w:r>
        <w:rPr>
          <w:szCs w:val="18"/>
        </w:rPr>
      </w:r>
    </w:p>
    <w:p>
      <w:pPr>
        <w:pStyle w:val="Nadpis1"/>
        <w:keepNext w:val="true"/>
        <w:widowControl w:val="false"/>
        <w:numPr>
          <w:ilvl w:val="0"/>
          <w:numId w:val="0"/>
        </w:numPr>
        <w:tabs>
          <w:tab w:val="clear" w:pos="708"/>
          <w:tab w:val="left" w:pos="426" w:leader="none"/>
        </w:tabs>
        <w:suppressAutoHyphens w:val="false"/>
        <w:rPr/>
      </w:pPr>
      <w:r>
        <w:rPr>
          <w:szCs w:val="18"/>
        </w:rPr>
        <w:t>H.</w:t>
        <w:tab/>
        <w:t>informácie o výnosoch</w:t>
      </w:r>
    </w:p>
    <w:p>
      <w:pPr>
        <w:pStyle w:val="Nadpis2"/>
        <w:keepNext w:val="true"/>
        <w:widowControl w:val="false"/>
        <w:numPr>
          <w:ilvl w:val="0"/>
          <w:numId w:val="0"/>
        </w:numPr>
        <w:suppressAutoHyphens w:val="false"/>
        <w:rPr>
          <w:rFonts w:ascii="Times New Roman" w:hAnsi="Times New Roman"/>
          <w:szCs w:val="18"/>
        </w:rPr>
      </w:pPr>
      <w:r>
        <w:rPr>
          <w:rFonts w:ascii="Times New Roman" w:hAnsi="Times New Roman"/>
          <w:szCs w:val="18"/>
        </w:rPr>
      </w:r>
    </w:p>
    <w:p>
      <w:pPr>
        <w:pStyle w:val="Nadpis2"/>
        <w:keepNext w:val="true"/>
        <w:widowControl w:val="false"/>
        <w:numPr>
          <w:ilvl w:val="0"/>
          <w:numId w:val="10"/>
        </w:numPr>
        <w:suppressAutoHyphens w:val="false"/>
        <w:rPr>
          <w:szCs w:val="18"/>
        </w:rPr>
      </w:pPr>
      <w:r>
        <w:rPr>
          <w:szCs w:val="18"/>
        </w:rPr>
        <w:t>Tržby za vlastné výkony a tovar</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Tržby za vlastné výkony a tovar podľa jednotlivých segmentov, t. j. podľa typov výrobkov a služieb sú uvedené v nasledujúcom prehľade:</w:t>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r>
        <w:rPr>
          <w:rFonts w:cs="Arial Narrow" w:ascii="Arial" w:hAnsi="Arial"/>
          <w:sz w:val="18"/>
          <w:szCs w:val="22"/>
        </w:rPr>
        <w:t>Informácie k časti H. písm. a) prílohy č. 3 o tržbách</w:t>
      </w:r>
      <w:r>
        <w:rPr>
          <w:rFonts w:ascii="Arial" w:hAnsi="Arial"/>
          <w:sz w:val="18"/>
        </w:rPr>
        <w:br/>
      </w:r>
    </w:p>
    <w:tbl>
      <w:tblPr>
        <w:tblW w:w="5000" w:type="pct"/>
        <w:jc w:val="center"/>
        <w:tblInd w:w="0" w:type="dxa"/>
        <w:tblCellMar>
          <w:top w:w="0" w:type="dxa"/>
          <w:left w:w="15" w:type="dxa"/>
          <w:bottom w:w="0" w:type="dxa"/>
          <w:right w:w="79" w:type="dxa"/>
        </w:tblCellMar>
        <w:tblLook w:val="00a0"/>
      </w:tblPr>
      <w:tblGrid>
        <w:gridCol w:w="1618"/>
        <w:gridCol w:w="951"/>
        <w:gridCol w:w="1587"/>
        <w:gridCol w:w="3"/>
        <w:gridCol w:w="950"/>
        <w:gridCol w:w="1586"/>
        <w:gridCol w:w="2"/>
        <w:gridCol w:w="955"/>
        <w:gridCol w:w="1588"/>
      </w:tblGrid>
      <w:tr>
        <w:trPr>
          <w:trHeight w:val="330" w:hRule="atLeast"/>
        </w:trPr>
        <w:tc>
          <w:tcPr>
            <w:tcW w:w="1618"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Oblasť odbytu</w:t>
            </w:r>
          </w:p>
        </w:tc>
        <w:tc>
          <w:tcPr>
            <w:tcW w:w="2541"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Typ výrobkov, tovarov, služieb  (napríklad A)</w:t>
            </w:r>
          </w:p>
        </w:tc>
        <w:tc>
          <w:tcPr>
            <w:tcW w:w="2536"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Typ výrobkov, tovarov, služieb  (napríklad B)</w:t>
            </w:r>
          </w:p>
        </w:tc>
        <w:tc>
          <w:tcPr>
            <w:tcW w:w="2545"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Typ výrobkov, tovarov, služieb  (napríklad C)</w:t>
            </w:r>
          </w:p>
        </w:tc>
      </w:tr>
      <w:tr>
        <w:trPr>
          <w:trHeight w:val="1005" w:hRule="atLeast"/>
        </w:trPr>
        <w:tc>
          <w:tcPr>
            <w:tcW w:w="1618" w:type="dxa"/>
            <w:vMerge w:val="continue"/>
            <w:tcBorders>
              <w:top w:val="single" w:sz="8" w:space="0" w:color="000001"/>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95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Bežné účtovné obdobie</w:t>
            </w:r>
          </w:p>
        </w:tc>
        <w:tc>
          <w:tcPr>
            <w:tcW w:w="15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Bezprostredne predchádzajúce účtovné obdobie</w:t>
            </w:r>
          </w:p>
        </w:tc>
        <w:tc>
          <w:tcPr>
            <w:tcW w:w="953"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Bežné účtovné obdobie</w:t>
            </w:r>
          </w:p>
        </w:tc>
        <w:tc>
          <w:tcPr>
            <w:tcW w:w="1588"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Bezprostredne predchádzajúce účtovné obdobie</w:t>
            </w:r>
          </w:p>
        </w:tc>
        <w:tc>
          <w:tcPr>
            <w:tcW w:w="95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Bežné účtovné obdobie</w:t>
            </w:r>
          </w:p>
        </w:tc>
        <w:tc>
          <w:tcPr>
            <w:tcW w:w="158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116" w:hRule="atLeast"/>
        </w:trPr>
        <w:tc>
          <w:tcPr>
            <w:tcW w:w="16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a</w:t>
            </w:r>
          </w:p>
        </w:tc>
        <w:tc>
          <w:tcPr>
            <w:tcW w:w="95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b</w:t>
            </w:r>
          </w:p>
        </w:tc>
        <w:tc>
          <w:tcPr>
            <w:tcW w:w="158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c</w:t>
            </w:r>
          </w:p>
        </w:tc>
        <w:tc>
          <w:tcPr>
            <w:tcW w:w="953"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d</w:t>
            </w:r>
          </w:p>
        </w:tc>
        <w:tc>
          <w:tcPr>
            <w:tcW w:w="1588"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e</w:t>
            </w:r>
          </w:p>
        </w:tc>
        <w:tc>
          <w:tcPr>
            <w:tcW w:w="95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f</w:t>
            </w:r>
          </w:p>
        </w:tc>
        <w:tc>
          <w:tcPr>
            <w:tcW w:w="158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highlight w:val="yellow"/>
              </w:rPr>
            </w:pPr>
            <w:r>
              <w:rPr/>
              <w:t>g</w:t>
            </w:r>
          </w:p>
        </w:tc>
      </w:tr>
      <w:tr>
        <w:trPr>
          <w:trHeight w:val="330" w:hRule="atLeast"/>
        </w:trPr>
        <w:tc>
          <w:tcPr>
            <w:tcW w:w="161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parkovne</w:t>
            </w:r>
          </w:p>
        </w:tc>
        <w:tc>
          <w:tcPr>
            <w:tcW w:w="951"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587"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13460</w:t>
            </w:r>
          </w:p>
        </w:tc>
        <w:tc>
          <w:tcPr>
            <w:tcW w:w="953" w:type="dxa"/>
            <w:gridSpan w:val="2"/>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gridSpan w:val="2"/>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zajazdy</w:t>
            </w:r>
          </w:p>
        </w:tc>
        <w:tc>
          <w:tcPr>
            <w:tcW w:w="95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46217</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31459</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ubytovanie</w:t>
            </w:r>
          </w:p>
        </w:tc>
        <w:tc>
          <w:tcPr>
            <w:tcW w:w="95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0</w:t>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500</w:t>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1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7"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3"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gridSpan w:val="2"/>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58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45" w:hRule="atLeast"/>
        </w:trPr>
        <w:tc>
          <w:tcPr>
            <w:tcW w:w="161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Spolu</w:t>
            </w:r>
          </w:p>
        </w:tc>
        <w:tc>
          <w:tcPr>
            <w:tcW w:w="951"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46217</w:t>
            </w:r>
          </w:p>
        </w:tc>
        <w:tc>
          <w:tcPr>
            <w:tcW w:w="1587"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45419</w:t>
            </w:r>
          </w:p>
        </w:tc>
        <w:tc>
          <w:tcPr>
            <w:tcW w:w="953" w:type="dxa"/>
            <w:gridSpan w:val="2"/>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1588" w:type="dxa"/>
            <w:gridSpan w:val="2"/>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955"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c>
          <w:tcPr>
            <w:tcW w:w="158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pPr>
            <w:r>
              <w:rPr/>
            </w:r>
          </w:p>
        </w:tc>
      </w:tr>
    </w:tbl>
    <w:p>
      <w:pPr>
        <w:pStyle w:val="Telotextu"/>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45" w:name="_1405949910"/>
      <w:bookmarkStart w:id="46" w:name="_1405949910"/>
      <w:bookmarkEnd w:id="46"/>
    </w:p>
    <w:p>
      <w:pPr>
        <w:pStyle w:val="Nadpis2"/>
        <w:keepNext w:val="true"/>
        <w:widowControl w:val="false"/>
        <w:numPr>
          <w:ilvl w:val="0"/>
          <w:numId w:val="10"/>
        </w:numPr>
        <w:suppressAutoHyphens w:val="false"/>
        <w:rPr>
          <w:szCs w:val="18"/>
        </w:rPr>
      </w:pPr>
      <w:r>
        <w:rPr>
          <w:szCs w:val="18"/>
        </w:rPr>
        <w:t>Zmena stavu zásob vlastnej výroby</w:t>
      </w:r>
    </w:p>
    <w:p>
      <w:pPr>
        <w:pStyle w:val="Telotextu"/>
        <w:widowControl w:val="false"/>
        <w:suppressAutoHyphens w:val="false"/>
        <w:rPr>
          <w:szCs w:val="18"/>
        </w:rPr>
      </w:pPr>
      <w:r>
        <w:rPr>
          <w:szCs w:val="18"/>
        </w:rPr>
      </w:r>
    </w:p>
    <w:p>
      <w:pPr>
        <w:pStyle w:val="Nzov"/>
        <w:keepNext w:val="true"/>
        <w:spacing w:beforeAutospacing="0" w:before="0" w:after="0"/>
        <w:jc w:val="left"/>
        <w:rPr/>
      </w:pPr>
      <w:bookmarkStart w:id="47" w:name="_1405949943"/>
      <w:bookmarkEnd w:id="47"/>
      <w:r>
        <w:rPr>
          <w:rFonts w:cs="Arial Narrow" w:ascii="Arial" w:hAnsi="Arial"/>
          <w:sz w:val="18"/>
          <w:szCs w:val="22"/>
        </w:rPr>
        <w:t>Informácie k časti H. písm. b) prílohy č. 3 o zmene stavu vnútroorganizačných zásob</w:t>
      </w:r>
    </w:p>
    <w:p>
      <w:pPr>
        <w:pStyle w:val="Normal"/>
        <w:rPr>
          <w:rFonts w:ascii="Times New Roman" w:hAnsi="Times New Roman"/>
          <w:b/>
          <w:b/>
        </w:rPr>
      </w:pPr>
      <w:r>
        <w:rPr>
          <w:rFonts w:ascii="Times New Roman" w:hAnsi="Times New Roman"/>
          <w:b/>
        </w:rPr>
      </w:r>
    </w:p>
    <w:p>
      <w:pPr>
        <w:pStyle w:val="Normal"/>
        <w:rPr>
          <w:b/>
          <w:b/>
        </w:rPr>
      </w:pPr>
      <w:r>
        <w:rPr>
          <w:b/>
        </w:rPr>
        <w:t>Nevypĺňa sa</w:t>
      </w:r>
    </w:p>
    <w:p>
      <w:pPr>
        <w:pStyle w:val="Normal"/>
        <w:widowControl w:val="false"/>
        <w:suppressAutoHyphens w:val="false"/>
        <w:spacing w:lineRule="auto" w:line="276" w:before="0" w:after="200"/>
        <w:rPr>
          <w:rFonts w:ascii="Times New Roman" w:hAnsi="Times New Roman"/>
          <w:szCs w:val="18"/>
        </w:rPr>
      </w:pPr>
      <w:r>
        <w:rPr>
          <w:rFonts w:ascii="Times New Roman" w:hAnsi="Times New Roman"/>
          <w:szCs w:val="18"/>
        </w:rPr>
      </w:r>
    </w:p>
    <w:p>
      <w:pPr>
        <w:pStyle w:val="Nadpis2"/>
        <w:keepNext w:val="true"/>
        <w:widowControl w:val="false"/>
        <w:numPr>
          <w:ilvl w:val="0"/>
          <w:numId w:val="10"/>
        </w:numPr>
        <w:suppressAutoHyphens w:val="false"/>
        <w:rPr/>
      </w:pPr>
      <w:r>
        <w:rPr>
          <w:szCs w:val="18"/>
        </w:rPr>
        <w:t>Aktivácia nákladov, výnosy z hospodárskej činnosti, finančnej činnosti a mimoriadnej činnosti</w:t>
      </w:r>
    </w:p>
    <w:p>
      <w:pPr>
        <w:pStyle w:val="Telotextu"/>
        <w:widowControl w:val="false"/>
        <w:suppressAutoHyphens w:val="false"/>
        <w:rPr>
          <w:szCs w:val="18"/>
        </w:rPr>
      </w:pPr>
      <w:r>
        <w:rPr>
          <w:szCs w:val="18"/>
        </w:rPr>
      </w:r>
    </w:p>
    <w:p>
      <w:pPr>
        <w:pStyle w:val="Telotextu"/>
        <w:widowControl w:val="false"/>
        <w:suppressAutoHyphens w:val="false"/>
        <w:rPr>
          <w:i/>
          <w:i/>
          <w:szCs w:val="18"/>
          <w:u w:val="single"/>
        </w:rPr>
      </w:pPr>
      <w:r>
        <w:rPr>
          <w:i/>
          <w:szCs w:val="18"/>
          <w:u w:val="single"/>
        </w:rPr>
      </w:r>
    </w:p>
    <w:p>
      <w:pPr>
        <w:pStyle w:val="Nzov"/>
        <w:keepNext w:val="true"/>
        <w:spacing w:beforeAutospacing="0" w:before="0" w:after="0"/>
        <w:jc w:val="left"/>
        <w:rPr/>
      </w:pPr>
      <w:r>
        <w:rPr>
          <w:rFonts w:cs="Arial Narrow" w:ascii="Arial" w:hAnsi="Arial"/>
          <w:sz w:val="18"/>
          <w:szCs w:val="22"/>
        </w:rPr>
        <w:t>Informácie k časti H. písm. c) až f)  prílohy č. 3 o výnosoch pri aktivácii nákladov a o výnosoch z hospodárskej činnosti, finančnej činnosti a mimoriadnej činnosti</w:t>
      </w:r>
    </w:p>
    <w:p>
      <w:pPr>
        <w:pStyle w:val="Normal"/>
        <w:rPr>
          <w:rFonts w:ascii="Times New Roman" w:hAnsi="Times New Roman"/>
        </w:rPr>
      </w:pPr>
      <w:r>
        <w:rPr>
          <w:rFonts w:ascii="Times New Roman" w:hAnsi="Times New Roman"/>
        </w:rPr>
      </w:r>
    </w:p>
    <w:p>
      <w:pPr>
        <w:pStyle w:val="Normal"/>
        <w:rPr>
          <w:b/>
          <w:b/>
        </w:rPr>
      </w:pPr>
      <w:r>
        <w:rPr>
          <w:b/>
        </w:rPr>
        <w:t>Nevypĺňa sa</w:t>
      </w:r>
    </w:p>
    <w:p>
      <w:pPr>
        <w:pStyle w:val="Normal"/>
        <w:widowControl w:val="false"/>
        <w:suppressAutoHyphens w:val="false"/>
        <w:spacing w:lineRule="auto" w:line="276" w:before="0" w:after="200"/>
        <w:rPr>
          <w:rFonts w:ascii="Times New Roman" w:hAnsi="Times New Roman"/>
          <w:b/>
          <w:b/>
          <w:szCs w:val="18"/>
          <w:highlight w:val="yellow"/>
          <w:lang w:val="de-DE"/>
        </w:rPr>
      </w:pPr>
      <w:r>
        <w:rPr>
          <w:rFonts w:ascii="Times New Roman" w:hAnsi="Times New Roman"/>
          <w:b/>
          <w:szCs w:val="18"/>
          <w:highlight w:val="yellow"/>
          <w:lang w:val="de-DE"/>
        </w:rPr>
      </w:r>
    </w:p>
    <w:p>
      <w:pPr>
        <w:pStyle w:val="Nadpis2"/>
        <w:keepNext w:val="true"/>
        <w:widowControl w:val="false"/>
        <w:numPr>
          <w:ilvl w:val="0"/>
          <w:numId w:val="10"/>
        </w:numPr>
        <w:suppressAutoHyphens w:val="false"/>
        <w:rPr>
          <w:szCs w:val="18"/>
        </w:rPr>
      </w:pPr>
      <w:r>
        <w:rPr>
          <w:szCs w:val="18"/>
        </w:rPr>
        <w:t xml:space="preserve">Čistý obrat </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Čistý obrat Spoločnosti na účely zistenia povinnosti overenia individuálnej účtovnej závierky audítorom [§ 19 ods. 1 písm. a) zákona o účtovníctve] predstavuje za obdobie od 01.01.2019 do 31.12.2019 sumu 44645 EUR – spoločnosť nemá povinnosť overenia účtovnej závierky audítorom</w:t>
      </w:r>
    </w:p>
    <w:p>
      <w:pPr>
        <w:pStyle w:val="Telotextu"/>
        <w:widowControl w:val="false"/>
        <w:suppressAutoHyphens w:val="false"/>
        <w:rPr>
          <w:i/>
          <w:i/>
          <w:szCs w:val="18"/>
          <w:u w:val="single"/>
        </w:rPr>
      </w:pPr>
      <w:r>
        <w:rPr>
          <w:i/>
          <w:szCs w:val="18"/>
          <w:u w:val="single"/>
        </w:rPr>
      </w:r>
    </w:p>
    <w:p>
      <w:pPr>
        <w:pStyle w:val="Telotextu"/>
        <w:widowControl w:val="false"/>
        <w:suppressAutoHyphens w:val="false"/>
        <w:rPr>
          <w:szCs w:val="18"/>
        </w:rPr>
      </w:pPr>
      <w:r>
        <w:rPr>
          <w:szCs w:val="18"/>
        </w:rPr>
      </w:r>
    </w:p>
    <w:p>
      <w:pPr>
        <w:pStyle w:val="Nzov"/>
        <w:keepNext w:val="true"/>
        <w:spacing w:beforeAutospacing="0" w:before="0" w:after="0"/>
        <w:jc w:val="left"/>
        <w:rPr/>
      </w:pPr>
      <w:bookmarkStart w:id="48" w:name="_1405950002"/>
      <w:bookmarkEnd w:id="48"/>
      <w:r>
        <w:rPr>
          <w:rFonts w:cs="Arial Narrow" w:ascii="Arial" w:hAnsi="Arial"/>
          <w:sz w:val="18"/>
          <w:szCs w:val="22"/>
        </w:rPr>
        <w:t>Informácie k časti H. písm. g)  prílohy č. 3 o čistom obrate</w:t>
      </w:r>
      <w:r>
        <w:rPr>
          <w:rFonts w:cs="Arial Narrow" w:ascii="Times New Roman" w:hAnsi="Times New Roman"/>
          <w:sz w:val="18"/>
          <w:szCs w:val="22"/>
        </w:rPr>
        <w:br/>
      </w:r>
    </w:p>
    <w:tbl>
      <w:tblPr>
        <w:tblW w:w="5000" w:type="pct"/>
        <w:jc w:val="center"/>
        <w:tblInd w:w="0" w:type="dxa"/>
        <w:tblCellMar>
          <w:top w:w="0" w:type="dxa"/>
          <w:left w:w="15" w:type="dxa"/>
          <w:bottom w:w="0" w:type="dxa"/>
          <w:right w:w="79" w:type="dxa"/>
        </w:tblCellMar>
        <w:tblLook w:val="00a0"/>
      </w:tblPr>
      <w:tblGrid>
        <w:gridCol w:w="5914"/>
        <w:gridCol w:w="1658"/>
        <w:gridCol w:w="1669"/>
      </w:tblGrid>
      <w:tr>
        <w:trPr>
          <w:trHeight w:val="1005" w:hRule="atLeast"/>
        </w:trPr>
        <w:tc>
          <w:tcPr>
            <w:tcW w:w="591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165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166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30" w:hRule="atLeast"/>
        </w:trPr>
        <w:tc>
          <w:tcPr>
            <w:tcW w:w="5914"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Tržby za  vlastné výrobky</w:t>
            </w:r>
          </w:p>
        </w:tc>
        <w:tc>
          <w:tcPr>
            <w:tcW w:w="165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69"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91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Tržby z predaja služieb</w:t>
            </w:r>
          </w:p>
        </w:tc>
        <w:tc>
          <w:tcPr>
            <w:tcW w:w="1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46217</w:t>
            </w:r>
          </w:p>
        </w:tc>
        <w:tc>
          <w:tcPr>
            <w:tcW w:w="1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45419</w:t>
            </w:r>
          </w:p>
        </w:tc>
      </w:tr>
      <w:tr>
        <w:trPr>
          <w:trHeight w:val="330" w:hRule="atLeast"/>
        </w:trPr>
        <w:tc>
          <w:tcPr>
            <w:tcW w:w="591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Tržby za tovar</w:t>
            </w:r>
          </w:p>
        </w:tc>
        <w:tc>
          <w:tcPr>
            <w:tcW w:w="1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91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Výnosy zo zákazky</w:t>
            </w:r>
          </w:p>
        </w:tc>
        <w:tc>
          <w:tcPr>
            <w:tcW w:w="1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914"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Výnosy z nehnuteľnosti na predaj</w:t>
            </w:r>
          </w:p>
        </w:tc>
        <w:tc>
          <w:tcPr>
            <w:tcW w:w="1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914"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Iné výnosy súvisiace s bežnou činnosťou</w:t>
            </w:r>
          </w:p>
        </w:tc>
        <w:tc>
          <w:tcPr>
            <w:tcW w:w="1658" w:type="dxa"/>
            <w:tcBorders>
              <w:top w:val="single" w:sz="4" w:space="0" w:color="00000A"/>
              <w:left w:val="single" w:sz="4" w:space="0" w:color="00000A"/>
              <w:bottom w:val="single" w:sz="4" w:space="0" w:color="00000A"/>
              <w:right w:val="single" w:sz="12" w:space="0" w:color="00000A"/>
            </w:tcBorders>
            <w:shd w:fill="auto" w:val="clear"/>
            <w:tcMar>
              <w:left w:w="33" w:type="dxa"/>
            </w:tcMar>
            <w:vAlign w:val="center"/>
          </w:tcPr>
          <w:p>
            <w:pPr>
              <w:pStyle w:val="Normal"/>
              <w:rPr/>
            </w:pPr>
            <w:r>
              <w:rPr/>
            </w:r>
          </w:p>
        </w:tc>
        <w:tc>
          <w:tcPr>
            <w:tcW w:w="1669"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r>
      <w:tr>
        <w:trPr>
          <w:trHeight w:val="345" w:hRule="atLeast"/>
        </w:trPr>
        <w:tc>
          <w:tcPr>
            <w:tcW w:w="5914"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rPr>
            </w:pPr>
            <w:r>
              <w:rPr>
                <w:b/>
                <w:bCs/>
              </w:rPr>
              <w:t>Čistý obrat celkom</w:t>
            </w:r>
          </w:p>
        </w:tc>
        <w:tc>
          <w:tcPr>
            <w:tcW w:w="165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46217</w:t>
            </w:r>
          </w:p>
        </w:tc>
        <w:tc>
          <w:tcPr>
            <w:tcW w:w="166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45419</w:t>
            </w:r>
          </w:p>
        </w:tc>
      </w:tr>
    </w:tbl>
    <w:p>
      <w:pPr>
        <w:pStyle w:val="Telotextu"/>
        <w:widowControl w:val="false"/>
        <w:suppressAutoHyphens w:val="false"/>
        <w:rPr>
          <w:szCs w:val="18"/>
        </w:rPr>
      </w:pPr>
      <w:r>
        <w:rPr>
          <w:szCs w:val="18"/>
        </w:rPr>
      </w:r>
    </w:p>
    <w:p>
      <w:pPr>
        <w:pStyle w:val="Telotextu"/>
        <w:widowControl w:val="false"/>
        <w:suppressAutoHyphens w:val="false"/>
        <w:rPr>
          <w:szCs w:val="18"/>
        </w:rPr>
      </w:pPr>
      <w:r>
        <w:rPr>
          <w:szCs w:val="18"/>
        </w:rPr>
      </w:r>
    </w:p>
    <w:p>
      <w:pPr>
        <w:pStyle w:val="Nadpis1"/>
        <w:keepNext w:val="true"/>
        <w:widowControl w:val="false"/>
        <w:numPr>
          <w:ilvl w:val="0"/>
          <w:numId w:val="0"/>
        </w:numPr>
        <w:tabs>
          <w:tab w:val="clear" w:pos="708"/>
          <w:tab w:val="left" w:pos="360" w:leader="none"/>
        </w:tabs>
        <w:suppressAutoHyphens w:val="false"/>
        <w:spacing w:before="240" w:after="60"/>
        <w:rPr>
          <w:szCs w:val="18"/>
        </w:rPr>
      </w:pPr>
      <w:r>
        <w:rPr>
          <w:szCs w:val="18"/>
        </w:rPr>
        <w:t>I.  Informácie o nákladoch</w:t>
      </w:r>
    </w:p>
    <w:p>
      <w:pPr>
        <w:pStyle w:val="Telotextu"/>
        <w:widowControl w:val="false"/>
        <w:suppressAutoHyphens w:val="false"/>
        <w:rPr>
          <w:szCs w:val="18"/>
        </w:rPr>
      </w:pPr>
      <w:r>
        <w:rPr>
          <w:szCs w:val="18"/>
        </w:rPr>
      </w:r>
    </w:p>
    <w:p>
      <w:pPr>
        <w:pStyle w:val="Nadpis2"/>
        <w:keepNext w:val="true"/>
        <w:widowControl w:val="false"/>
        <w:numPr>
          <w:ilvl w:val="0"/>
          <w:numId w:val="11"/>
        </w:numPr>
        <w:suppressAutoHyphens w:val="false"/>
        <w:rPr/>
      </w:pPr>
      <w:r>
        <w:rPr>
          <w:szCs w:val="18"/>
        </w:rPr>
        <w:t xml:space="preserve">Náklady na poskytnuté služby, ostatné náklady na hospodársku činnosť, finančné a mimoriadne náklady </w:t>
      </w:r>
    </w:p>
    <w:p>
      <w:pPr>
        <w:pStyle w:val="Normal"/>
        <w:widowControl w:val="false"/>
        <w:suppressAutoHyphens w:val="false"/>
        <w:rPr>
          <w:szCs w:val="18"/>
        </w:rPr>
      </w:pPr>
      <w:r>
        <w:rPr>
          <w:szCs w:val="18"/>
        </w:rPr>
      </w:r>
    </w:p>
    <w:p>
      <w:pPr>
        <w:pStyle w:val="Telotextu"/>
        <w:widowControl w:val="false"/>
        <w:suppressAutoHyphens w:val="false"/>
        <w:ind w:left="0" w:hanging="0"/>
        <w:rPr/>
      </w:pPr>
      <w:r>
        <w:rPr>
          <w:szCs w:val="18"/>
        </w:rPr>
        <w:t>Prehľad o nákladoch na poskytnuté služby, ostatných nákladoch na hospodársku činnosť, finančných a mimoriadnych nákladoch:</w:t>
      </w:r>
    </w:p>
    <w:p>
      <w:pPr>
        <w:pStyle w:val="Nadpis2"/>
        <w:keepNext w:val="true"/>
        <w:widowControl w:val="false"/>
        <w:numPr>
          <w:ilvl w:val="0"/>
          <w:numId w:val="0"/>
        </w:numPr>
        <w:suppressAutoHyphens w:val="false"/>
        <w:ind w:left="360" w:hanging="360"/>
        <w:rPr>
          <w:rFonts w:ascii="Times New Roman" w:hAnsi="Times New Roman"/>
          <w:i/>
          <w:i/>
          <w:szCs w:val="18"/>
          <w:u w:val="single"/>
        </w:rPr>
      </w:pPr>
      <w:r>
        <w:rPr>
          <w:rFonts w:ascii="Times New Roman" w:hAnsi="Times New Roman"/>
          <w:i/>
          <w:szCs w:val="18"/>
          <w:u w:val="single"/>
        </w:rPr>
      </w:r>
    </w:p>
    <w:p>
      <w:pPr>
        <w:pStyle w:val="Nzov"/>
        <w:keepNext w:val="true"/>
        <w:spacing w:beforeAutospacing="0" w:before="0" w:after="0"/>
        <w:jc w:val="left"/>
        <w:rPr/>
      </w:pPr>
      <w:r>
        <w:rPr>
          <w:rFonts w:cs="Arial Narrow" w:ascii="Arial" w:hAnsi="Arial"/>
          <w:sz w:val="18"/>
          <w:szCs w:val="22"/>
        </w:rPr>
        <w:t>Informácie k časti I. prílohy č. 3 o nákladoch</w:t>
      </w:r>
    </w:p>
    <w:p>
      <w:pPr>
        <w:pStyle w:val="Normal"/>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0a0"/>
      </w:tblPr>
      <w:tblGrid>
        <w:gridCol w:w="5850"/>
        <w:gridCol w:w="1706"/>
        <w:gridCol w:w="1685"/>
      </w:tblGrid>
      <w:tr>
        <w:trPr>
          <w:trHeight w:val="1005" w:hRule="atLeast"/>
        </w:trPr>
        <w:tc>
          <w:tcPr>
            <w:tcW w:w="585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170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168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77"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Náklady za poskytnuté služby,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8631</w:t>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17039</w:t>
            </w:r>
          </w:p>
        </w:tc>
      </w:tr>
      <w:tr>
        <w:trPr>
          <w:trHeight w:val="377"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i/>
                <w:iCs/>
              </w:rPr>
              <w:t>Náklady voči audítorovi, audítorskej spoločnosti,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i/>
              </w:rPr>
              <w:t xml:space="preserve"> </w:t>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i/>
              </w:rPr>
              <w:t xml:space="preserve"> </w:t>
            </w:r>
          </w:p>
        </w:tc>
      </w:tr>
      <w:tr>
        <w:trPr>
          <w:trHeight w:val="330" w:hRule="atLeast"/>
        </w:trPr>
        <w:tc>
          <w:tcPr>
            <w:tcW w:w="585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náklady za overenie individuálnej účtovnej závierky</w:t>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p>
        </w:tc>
        <w:tc>
          <w:tcPr>
            <w:tcW w:w="1685"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p>
        </w:tc>
      </w:tr>
      <w:tr>
        <w:trPr>
          <w:trHeight w:val="330" w:hRule="atLeast"/>
        </w:trPr>
        <w:tc>
          <w:tcPr>
            <w:tcW w:w="585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iné uisťovacie audítorské služby</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8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súvisiace audítorské služby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daňové poradenstvo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85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ostatné neaudítorské služby</w:t>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1685"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r>
      <w:tr>
        <w:trPr>
          <w:trHeight w:val="330" w:hRule="atLeast"/>
        </w:trPr>
        <w:tc>
          <w:tcPr>
            <w:tcW w:w="585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i/>
                <w:iCs/>
              </w:rPr>
              <w:t>Ostatné významné položky nákladov za poskytnuté služby, z toho:</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68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585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1685"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Ostatné významné položky nákladov z hospodárskej činnosti,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31567</w:t>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17244</w:t>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mzdové náklady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23115</w:t>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12492</w:t>
            </w:r>
          </w:p>
        </w:tc>
      </w:tr>
      <w:tr>
        <w:trPr>
          <w:trHeight w:val="330" w:hRule="atLeast"/>
        </w:trPr>
        <w:tc>
          <w:tcPr>
            <w:tcW w:w="585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Náklady na sociálne poistenie</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7421</w:t>
            </w:r>
          </w:p>
        </w:tc>
        <w:tc>
          <w:tcPr>
            <w:tcW w:w="168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4160</w:t>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Sociálne náklady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1031</w:t>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592</w:t>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bCs/>
              </w:rPr>
              <w:t>Finančné náklady,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1559</w:t>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179</w:t>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Kurzové straty,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r>
      <w:tr>
        <w:trPr>
          <w:trHeight w:val="329" w:hRule="atLeast"/>
        </w:trPr>
        <w:tc>
          <w:tcPr>
            <w:tcW w:w="585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kurzové straty ku dňu, ku ktorému sa zostavuje účtovná závierka</w:t>
            </w:r>
          </w:p>
        </w:tc>
        <w:tc>
          <w:tcPr>
            <w:tcW w:w="170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c>
          <w:tcPr>
            <w:tcW w:w="1685"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r>
          </w:p>
        </w:tc>
      </w:tr>
      <w:tr>
        <w:trPr>
          <w:trHeight w:val="330" w:hRule="atLeast"/>
        </w:trPr>
        <w:tc>
          <w:tcPr>
            <w:tcW w:w="585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i/>
                <w:iCs/>
              </w:rPr>
              <w:t>Ostatné významné položky finančných nákladov, z toho:</w:t>
            </w:r>
          </w:p>
        </w:tc>
        <w:tc>
          <w:tcPr>
            <w:tcW w:w="170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c>
          <w:tcPr>
            <w:tcW w:w="1685"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i/>
                <w:i/>
              </w:rPr>
            </w:pPr>
            <w:r>
              <w:rPr>
                <w:i/>
              </w:rPr>
            </w:r>
          </w:p>
        </w:tc>
      </w:tr>
      <w:tr>
        <w:trPr>
          <w:trHeight w:val="330" w:hRule="atLeast"/>
        </w:trPr>
        <w:tc>
          <w:tcPr>
            <w:tcW w:w="585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Úroky, bankové poplatky</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1559</w:t>
            </w:r>
          </w:p>
        </w:tc>
        <w:tc>
          <w:tcPr>
            <w:tcW w:w="1685"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179</w:t>
            </w:r>
          </w:p>
        </w:tc>
      </w:tr>
      <w:tr>
        <w:trPr>
          <w:trHeight w:val="330" w:hRule="atLeast"/>
        </w:trPr>
        <w:tc>
          <w:tcPr>
            <w:tcW w:w="5850" w:type="dxa"/>
            <w:tcBorders>
              <w:top w:val="single" w:sz="4" w:space="0" w:color="00000A"/>
              <w:left w:val="single" w:sz="4" w:space="0" w:color="00000A"/>
              <w:bottom w:val="single" w:sz="4" w:space="0" w:color="00000A"/>
              <w:right w:val="single" w:sz="12" w:space="0" w:color="00000A"/>
            </w:tcBorders>
            <w:shd w:fill="auto" w:val="clear"/>
            <w:tcMar>
              <w:left w:w="33" w:type="dxa"/>
            </w:tcMar>
            <w:vAlign w:val="center"/>
          </w:tcPr>
          <w:p>
            <w:pPr>
              <w:pStyle w:val="Normal"/>
              <w:rPr/>
            </w:pPr>
            <w:r>
              <w:rPr>
                <w:b/>
                <w:bCs/>
              </w:rPr>
              <w:t>Mimoriadne náklady, z toho:</w:t>
            </w:r>
          </w:p>
        </w:tc>
        <w:tc>
          <w:tcPr>
            <w:tcW w:w="1706"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c>
          <w:tcPr>
            <w:tcW w:w="168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r>
    </w:tbl>
    <w:p>
      <w:pPr>
        <w:pStyle w:val="Nzov"/>
        <w:spacing w:beforeAutospacing="0" w:before="0" w:after="0"/>
        <w:jc w:val="left"/>
        <w:rPr>
          <w:rFonts w:ascii="Times New Roman" w:hAnsi="Times New Roman"/>
          <w:szCs w:val="18"/>
        </w:rPr>
      </w:pPr>
      <w:r>
        <w:rPr>
          <w:rFonts w:ascii="Times New Roman" w:hAnsi="Times New Roman"/>
          <w:szCs w:val="18"/>
        </w:rPr>
      </w:r>
      <w:bookmarkStart w:id="49" w:name="_1405950034"/>
      <w:bookmarkStart w:id="50" w:name="_1405950034"/>
      <w:bookmarkEnd w:id="50"/>
    </w:p>
    <w:p>
      <w:pPr>
        <w:pStyle w:val="Telotextu"/>
        <w:widowControl w:val="false"/>
        <w:suppressAutoHyphens w:val="false"/>
        <w:rPr>
          <w:szCs w:val="18"/>
          <w:lang w:val="de-DE"/>
        </w:rPr>
      </w:pPr>
      <w:r>
        <w:rPr>
          <w:szCs w:val="18"/>
          <w:lang w:val="de-DE"/>
        </w:rPr>
      </w:r>
    </w:p>
    <w:p>
      <w:pPr>
        <w:pStyle w:val="Nadpis1"/>
        <w:keepNext w:val="true"/>
        <w:widowControl w:val="false"/>
        <w:numPr>
          <w:ilvl w:val="0"/>
          <w:numId w:val="0"/>
        </w:numPr>
        <w:tabs>
          <w:tab w:val="clear" w:pos="708"/>
          <w:tab w:val="left" w:pos="360" w:leader="none"/>
        </w:tabs>
        <w:suppressAutoHyphens w:val="false"/>
        <w:spacing w:before="120" w:after="0"/>
        <w:rPr/>
      </w:pPr>
      <w:r>
        <w:rPr>
          <w:szCs w:val="18"/>
        </w:rPr>
        <w:t>J.  Informácie o daniach z príjmov</w:t>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Prevod od teoretickej dane z príjmov k vykázanej dani z príjmov je uvedený v nasledujúcom prehľade:</w:t>
      </w:r>
    </w:p>
    <w:p>
      <w:pPr>
        <w:pStyle w:val="Nzov"/>
        <w:keepNext w:val="true"/>
        <w:spacing w:beforeAutospacing="0" w:before="0" w:after="0"/>
        <w:jc w:val="left"/>
        <w:rPr>
          <w:rFonts w:ascii="Times New Roman" w:hAnsi="Times New Roman" w:cs="Arial Narrow"/>
          <w:sz w:val="18"/>
          <w:szCs w:val="22"/>
        </w:rPr>
      </w:pPr>
      <w:r>
        <w:rPr>
          <w:rFonts w:cs="Arial Narrow" w:ascii="Times New Roman" w:hAnsi="Times New Roman"/>
          <w:sz w:val="18"/>
          <w:szCs w:val="22"/>
        </w:rPr>
      </w:r>
    </w:p>
    <w:p>
      <w:pPr>
        <w:pStyle w:val="Nzov"/>
        <w:keepNext w:val="true"/>
        <w:spacing w:beforeAutospacing="0" w:before="0" w:after="0"/>
        <w:jc w:val="left"/>
        <w:rPr/>
      </w:pPr>
      <w:r>
        <w:rPr>
          <w:rFonts w:cs="Arial Narrow" w:ascii="Arial" w:hAnsi="Arial"/>
          <w:sz w:val="18"/>
          <w:szCs w:val="22"/>
        </w:rPr>
        <w:t>Informácie k časti J. písm. a) až e) prílohy č. 3 o daniach z príjmov</w:t>
      </w:r>
    </w:p>
    <w:p>
      <w:pPr>
        <w:pStyle w:val="Normal"/>
        <w:rPr>
          <w:rFonts w:ascii="Times New Roman" w:hAnsi="Times New Roman"/>
          <w:b/>
          <w:b/>
        </w:rPr>
      </w:pPr>
      <w:r>
        <w:rPr>
          <w:rFonts w:ascii="Times New Roman" w:hAnsi="Times New Roman"/>
          <w:b/>
        </w:rPr>
      </w:r>
    </w:p>
    <w:p>
      <w:pPr>
        <w:pStyle w:val="Normal"/>
        <w:rPr>
          <w:rFonts w:ascii="Times New Roman" w:hAnsi="Times New Roman"/>
          <w:b/>
          <w:b/>
        </w:rPr>
      </w:pPr>
      <w:r>
        <w:rPr>
          <w:b/>
        </w:rPr>
        <w:t>Nevypĺňa sa</w:t>
      </w:r>
    </w:p>
    <w:p>
      <w:pPr>
        <w:pStyle w:val="Normal"/>
        <w:rPr>
          <w:rFonts w:ascii="Times New Roman" w:hAnsi="Times New Roman"/>
          <w:b/>
          <w:b/>
        </w:rPr>
      </w:pPr>
      <w:r>
        <w:rPr>
          <w:rFonts w:ascii="Times New Roman" w:hAnsi="Times New Roman"/>
          <w:b/>
        </w:rPr>
      </w:r>
    </w:p>
    <w:p>
      <w:pPr>
        <w:pStyle w:val="Nzov"/>
        <w:keepNext w:val="true"/>
        <w:spacing w:beforeAutospacing="0" w:before="0" w:after="0"/>
        <w:jc w:val="left"/>
        <w:rPr/>
      </w:pPr>
      <w:r>
        <w:rPr>
          <w:rFonts w:cs="Arial Narrow" w:ascii="Arial" w:hAnsi="Arial"/>
          <w:sz w:val="18"/>
          <w:szCs w:val="22"/>
        </w:rPr>
        <w:t>Informácie k časti J.  písm. f) a g) prílohy č. 3 o daniach z príjmov</w:t>
      </w:r>
    </w:p>
    <w:p>
      <w:pPr>
        <w:pStyle w:val="Normal"/>
        <w:rPr/>
      </w:pPr>
      <w:r>
        <w:rPr/>
      </w:r>
    </w:p>
    <w:tbl>
      <w:tblPr>
        <w:tblW w:w="5000" w:type="pct"/>
        <w:jc w:val="center"/>
        <w:tblInd w:w="0" w:type="dxa"/>
        <w:tblCellMar>
          <w:top w:w="0" w:type="dxa"/>
          <w:left w:w="15" w:type="dxa"/>
          <w:bottom w:w="0" w:type="dxa"/>
          <w:right w:w="79" w:type="dxa"/>
        </w:tblCellMar>
        <w:tblLook w:val="00a0"/>
      </w:tblPr>
      <w:tblGrid>
        <w:gridCol w:w="2618"/>
        <w:gridCol w:w="1881"/>
        <w:gridCol w:w="768"/>
        <w:gridCol w:w="658"/>
        <w:gridCol w:w="3"/>
        <w:gridCol w:w="1826"/>
        <w:gridCol w:w="817"/>
        <w:gridCol w:w="669"/>
      </w:tblGrid>
      <w:tr>
        <w:trPr>
          <w:trHeight w:val="642" w:hRule="atLeast"/>
        </w:trPr>
        <w:tc>
          <w:tcPr>
            <w:tcW w:w="2618" w:type="dxa"/>
            <w:vMerge w:val="restart"/>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Názov položky</w:t>
            </w:r>
          </w:p>
        </w:tc>
        <w:tc>
          <w:tcPr>
            <w:tcW w:w="3310" w:type="dxa"/>
            <w:gridSpan w:val="4"/>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Bežné účtovné obdobie</w:t>
            </w:r>
          </w:p>
        </w:tc>
        <w:tc>
          <w:tcPr>
            <w:tcW w:w="3312" w:type="dxa"/>
            <w:gridSpan w:val="3"/>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Bezprostredne predchádzajúce účtovné obdobie</w:t>
            </w:r>
          </w:p>
        </w:tc>
      </w:tr>
      <w:tr>
        <w:trPr>
          <w:trHeight w:val="345" w:hRule="atLeast"/>
        </w:trPr>
        <w:tc>
          <w:tcPr>
            <w:tcW w:w="2618" w:type="dxa"/>
            <w:vMerge w:val="continue"/>
            <w:tcBorders>
              <w:top w:val="single" w:sz="8" w:space="0" w:color="000001"/>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188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Základ dane</w:t>
            </w:r>
          </w:p>
        </w:tc>
        <w:tc>
          <w:tcPr>
            <w:tcW w:w="76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Daň</w:t>
            </w:r>
          </w:p>
        </w:tc>
        <w:tc>
          <w:tcPr>
            <w:tcW w:w="65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Daň v %</w:t>
            </w:r>
          </w:p>
        </w:tc>
        <w:tc>
          <w:tcPr>
            <w:tcW w:w="182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Základ dane</w:t>
            </w:r>
          </w:p>
        </w:tc>
        <w:tc>
          <w:tcPr>
            <w:tcW w:w="8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t>Daň</w:t>
            </w:r>
          </w:p>
        </w:tc>
        <w:tc>
          <w:tcPr>
            <w:tcW w:w="66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Daň v %</w:t>
            </w:r>
          </w:p>
        </w:tc>
      </w:tr>
      <w:tr>
        <w:trPr>
          <w:trHeight w:val="330" w:hRule="atLeast"/>
        </w:trPr>
        <w:tc>
          <w:tcPr>
            <w:tcW w:w="26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a</w:t>
            </w:r>
          </w:p>
        </w:tc>
        <w:tc>
          <w:tcPr>
            <w:tcW w:w="188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b</w:t>
            </w:r>
          </w:p>
        </w:tc>
        <w:tc>
          <w:tcPr>
            <w:tcW w:w="76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c</w:t>
            </w:r>
          </w:p>
        </w:tc>
        <w:tc>
          <w:tcPr>
            <w:tcW w:w="65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d</w:t>
            </w:r>
          </w:p>
        </w:tc>
        <w:tc>
          <w:tcPr>
            <w:tcW w:w="1829" w:type="dxa"/>
            <w:gridSpan w:val="2"/>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e</w:t>
            </w:r>
          </w:p>
        </w:tc>
        <w:tc>
          <w:tcPr>
            <w:tcW w:w="817"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f</w:t>
            </w:r>
          </w:p>
        </w:tc>
        <w:tc>
          <w:tcPr>
            <w:tcW w:w="66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t>g</w:t>
            </w:r>
          </w:p>
        </w:tc>
      </w:tr>
      <w:tr>
        <w:trPr>
          <w:trHeight w:val="330" w:hRule="atLeast"/>
        </w:trPr>
        <w:tc>
          <w:tcPr>
            <w:tcW w:w="261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b/>
              </w:rPr>
              <w:t>Výsledok hospodárenia pred  zdanením, z toho:</w:t>
            </w:r>
          </w:p>
        </w:tc>
        <w:tc>
          <w:tcPr>
            <w:tcW w:w="1881"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2348</w:t>
            </w:r>
          </w:p>
        </w:tc>
        <w:tc>
          <w:tcPr>
            <w:tcW w:w="768"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b/>
                <w:b/>
              </w:rPr>
            </w:pPr>
            <w:r>
              <w:rPr>
                <w:b/>
              </w:rPr>
              <w:t>x</w:t>
            </w:r>
          </w:p>
        </w:tc>
        <w:tc>
          <w:tcPr>
            <w:tcW w:w="65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b/>
                <w:b/>
              </w:rPr>
            </w:pPr>
            <w:r>
              <w:rPr>
                <w:b/>
              </w:rPr>
              <w:t>x</w:t>
            </w:r>
          </w:p>
        </w:tc>
        <w:tc>
          <w:tcPr>
            <w:tcW w:w="1829" w:type="dxa"/>
            <w:gridSpan w:val="2"/>
            <w:tcBorders>
              <w:top w:val="single" w:sz="12"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8204</w:t>
            </w:r>
          </w:p>
        </w:tc>
        <w:tc>
          <w:tcPr>
            <w:tcW w:w="817"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b/>
              </w:rPr>
              <w:t>x</w:t>
            </w:r>
          </w:p>
        </w:tc>
        <w:tc>
          <w:tcPr>
            <w:tcW w:w="669"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b/>
              </w:rPr>
              <w:t>x</w:t>
            </w:r>
          </w:p>
        </w:tc>
      </w:tr>
      <w:tr>
        <w:trPr>
          <w:trHeight w:val="330" w:hRule="atLeast"/>
        </w:trPr>
        <w:tc>
          <w:tcPr>
            <w:tcW w:w="2618"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teoretická daň </w:t>
            </w:r>
          </w:p>
        </w:tc>
        <w:tc>
          <w:tcPr>
            <w:tcW w:w="1881"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t>x</w:t>
            </w:r>
          </w:p>
        </w:tc>
        <w:tc>
          <w:tcPr>
            <w:tcW w:w="768"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rPr/>
            </w:pPr>
            <w:r>
              <w:rPr/>
              <w:t>493</w:t>
            </w:r>
          </w:p>
        </w:tc>
        <w:tc>
          <w:tcPr>
            <w:tcW w:w="658"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r>
              <w:rPr/>
              <w:t>21</w:t>
            </w:r>
          </w:p>
        </w:tc>
        <w:tc>
          <w:tcPr>
            <w:tcW w:w="1829" w:type="dxa"/>
            <w:gridSpan w:val="2"/>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t xml:space="preserve"> </w:t>
            </w:r>
            <w:r>
              <w:rPr/>
              <w:t>1723</w:t>
            </w:r>
          </w:p>
        </w:tc>
        <w:tc>
          <w:tcPr>
            <w:tcW w:w="817"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rPr/>
            </w:pPr>
            <w:r>
              <w:rPr/>
            </w:r>
          </w:p>
        </w:tc>
        <w:tc>
          <w:tcPr>
            <w:tcW w:w="669"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r>
              <w:rPr/>
              <w:t>21</w:t>
            </w:r>
          </w:p>
        </w:tc>
      </w:tr>
      <w:tr>
        <w:trPr>
          <w:trHeight w:val="330" w:hRule="atLeast"/>
        </w:trPr>
        <w:tc>
          <w:tcPr>
            <w:tcW w:w="2618"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Daňovo neuznané náklady</w:t>
            </w:r>
          </w:p>
        </w:tc>
        <w:tc>
          <w:tcPr>
            <w:tcW w:w="1881"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t>141</w:t>
            </w:r>
          </w:p>
        </w:tc>
        <w:tc>
          <w:tcPr>
            <w:tcW w:w="768"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rPr/>
            </w:pPr>
            <w:r>
              <w:rPr/>
              <w:t>30</w:t>
            </w:r>
          </w:p>
        </w:tc>
        <w:tc>
          <w:tcPr>
            <w:tcW w:w="658"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r>
              <w:rPr/>
              <w:t>21</w:t>
            </w:r>
          </w:p>
        </w:tc>
        <w:tc>
          <w:tcPr>
            <w:tcW w:w="1829" w:type="dxa"/>
            <w:gridSpan w:val="2"/>
            <w:tcBorders>
              <w:top w:val="single" w:sz="6" w:space="0" w:color="00000A"/>
              <w:left w:val="single" w:sz="12" w:space="0" w:color="00000A"/>
              <w:bottom w:val="single" w:sz="6" w:space="0" w:color="00000A"/>
              <w:right w:val="single" w:sz="4" w:space="0" w:color="00000A"/>
            </w:tcBorders>
            <w:shd w:fill="auto" w:val="clear"/>
            <w:vAlign w:val="center"/>
          </w:tcPr>
          <w:p>
            <w:pPr>
              <w:pStyle w:val="Normal"/>
              <w:rPr/>
            </w:pPr>
            <w:r>
              <w:rPr/>
            </w:r>
          </w:p>
        </w:tc>
        <w:tc>
          <w:tcPr>
            <w:tcW w:w="817"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rPr/>
            </w:pPr>
            <w:r>
              <w:rPr/>
            </w:r>
          </w:p>
        </w:tc>
        <w:tc>
          <w:tcPr>
            <w:tcW w:w="669"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 xml:space="preserve"> </w:t>
            </w:r>
            <w:r>
              <w:rPr/>
              <w:t>21</w:t>
            </w:r>
          </w:p>
        </w:tc>
      </w:tr>
      <w:tr>
        <w:trPr>
          <w:trHeight w:val="330" w:hRule="atLeast"/>
        </w:trPr>
        <w:tc>
          <w:tcPr>
            <w:tcW w:w="2618"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Výnosy nepodliehajúce dani</w:t>
            </w:r>
          </w:p>
        </w:tc>
        <w:tc>
          <w:tcPr>
            <w:tcW w:w="1881"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768"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r>
          </w:p>
        </w:tc>
        <w:tc>
          <w:tcPr>
            <w:tcW w:w="658"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829" w:type="dxa"/>
            <w:gridSpan w:val="2"/>
            <w:tcBorders>
              <w:top w:val="single" w:sz="6"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817"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r>
          </w:p>
        </w:tc>
        <w:tc>
          <w:tcPr>
            <w:tcW w:w="669"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2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Umorenie daňovej straty</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768"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r>
          </w:p>
        </w:tc>
        <w:tc>
          <w:tcPr>
            <w:tcW w:w="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c>
          <w:tcPr>
            <w:tcW w:w="1829"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r>
          </w:p>
        </w:tc>
        <w:tc>
          <w:tcPr>
            <w:tcW w:w="817"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r>
          </w:p>
        </w:tc>
        <w:tc>
          <w:tcPr>
            <w:tcW w:w="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r>
          </w:p>
        </w:tc>
      </w:tr>
      <w:tr>
        <w:trPr>
          <w:trHeight w:val="330" w:hRule="atLeast"/>
        </w:trPr>
        <w:tc>
          <w:tcPr>
            <w:tcW w:w="2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b/>
                <w:b/>
              </w:rPr>
            </w:pPr>
            <w:r>
              <w:rPr>
                <w:b/>
              </w:rPr>
              <w:t>Spolu</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2489</w:t>
            </w:r>
          </w:p>
        </w:tc>
        <w:tc>
          <w:tcPr>
            <w:tcW w:w="768"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b/>
              </w:rPr>
              <w:t>523</w:t>
            </w:r>
          </w:p>
        </w:tc>
        <w:tc>
          <w:tcPr>
            <w:tcW w:w="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rPr>
              <w:t xml:space="preserve"> </w:t>
            </w:r>
            <w:r>
              <w:rPr>
                <w:b/>
              </w:rPr>
              <w:t>21</w:t>
            </w:r>
          </w:p>
        </w:tc>
        <w:tc>
          <w:tcPr>
            <w:tcW w:w="1829"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b/>
              </w:rPr>
              <w:t xml:space="preserve"> </w:t>
            </w:r>
            <w:r>
              <w:rPr>
                <w:b/>
              </w:rPr>
              <w:t>8204</w:t>
            </w:r>
          </w:p>
        </w:tc>
        <w:tc>
          <w:tcPr>
            <w:tcW w:w="817"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b/>
              </w:rPr>
              <w:t>1723</w:t>
            </w:r>
          </w:p>
        </w:tc>
        <w:tc>
          <w:tcPr>
            <w:tcW w:w="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b/>
              </w:rPr>
              <w:t xml:space="preserve"> </w:t>
            </w:r>
            <w:r>
              <w:rPr>
                <w:b/>
              </w:rPr>
              <w:t>21</w:t>
            </w:r>
          </w:p>
        </w:tc>
      </w:tr>
      <w:tr>
        <w:trPr>
          <w:trHeight w:val="330" w:hRule="atLeast"/>
        </w:trPr>
        <w:tc>
          <w:tcPr>
            <w:tcW w:w="2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Splatná daň z príjmov</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x</w:t>
            </w:r>
          </w:p>
        </w:tc>
        <w:tc>
          <w:tcPr>
            <w:tcW w:w="768"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523</w:t>
            </w:r>
          </w:p>
        </w:tc>
        <w:tc>
          <w:tcPr>
            <w:tcW w:w="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21</w:t>
            </w:r>
          </w:p>
        </w:tc>
        <w:tc>
          <w:tcPr>
            <w:tcW w:w="1829"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 xml:space="preserve"> </w:t>
            </w:r>
          </w:p>
        </w:tc>
        <w:tc>
          <w:tcPr>
            <w:tcW w:w="817"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1723</w:t>
            </w:r>
          </w:p>
        </w:tc>
        <w:tc>
          <w:tcPr>
            <w:tcW w:w="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 xml:space="preserve"> </w:t>
            </w:r>
            <w:r>
              <w:rPr/>
              <w:t>21</w:t>
            </w:r>
          </w:p>
        </w:tc>
      </w:tr>
      <w:tr>
        <w:trPr>
          <w:trHeight w:val="330" w:hRule="atLeast"/>
        </w:trPr>
        <w:tc>
          <w:tcPr>
            <w:tcW w:w="26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Odložená daň z príjmov</w:t>
            </w:r>
          </w:p>
        </w:tc>
        <w:tc>
          <w:tcPr>
            <w:tcW w:w="1881"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x</w:t>
            </w:r>
          </w:p>
        </w:tc>
        <w:tc>
          <w:tcPr>
            <w:tcW w:w="768"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x</w:t>
            </w:r>
          </w:p>
        </w:tc>
        <w:tc>
          <w:tcPr>
            <w:tcW w:w="65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x</w:t>
            </w:r>
          </w:p>
        </w:tc>
        <w:tc>
          <w:tcPr>
            <w:tcW w:w="1829" w:type="dxa"/>
            <w:gridSpan w:val="2"/>
            <w:tcBorders>
              <w:top w:val="single" w:sz="4" w:space="0" w:color="00000A"/>
              <w:left w:val="single" w:sz="12" w:space="0" w:color="00000A"/>
              <w:bottom w:val="single" w:sz="4" w:space="0" w:color="00000A"/>
              <w:right w:val="single" w:sz="4" w:space="0" w:color="00000A"/>
            </w:tcBorders>
            <w:shd w:fill="auto" w:val="clear"/>
            <w:vAlign w:val="center"/>
          </w:tcPr>
          <w:p>
            <w:pPr>
              <w:pStyle w:val="Normal"/>
              <w:rPr/>
            </w:pPr>
            <w:r>
              <w:rPr/>
              <w:t>x</w:t>
            </w:r>
          </w:p>
        </w:tc>
        <w:tc>
          <w:tcPr>
            <w:tcW w:w="817"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rPr/>
            </w:pPr>
            <w:r>
              <w:rPr/>
              <w:t>x</w:t>
            </w:r>
          </w:p>
        </w:tc>
        <w:tc>
          <w:tcPr>
            <w:tcW w:w="66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x</w:t>
            </w:r>
          </w:p>
        </w:tc>
      </w:tr>
      <w:tr>
        <w:trPr>
          <w:trHeight w:val="345" w:hRule="atLeast"/>
        </w:trPr>
        <w:tc>
          <w:tcPr>
            <w:tcW w:w="26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Celková daň z príjmov </w:t>
            </w:r>
          </w:p>
        </w:tc>
        <w:tc>
          <w:tcPr>
            <w:tcW w:w="1881" w:type="dxa"/>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b/>
                <w:b/>
              </w:rPr>
            </w:pPr>
            <w:r>
              <w:rPr>
                <w:b/>
              </w:rPr>
              <w:t>x</w:t>
            </w:r>
          </w:p>
        </w:tc>
        <w:tc>
          <w:tcPr>
            <w:tcW w:w="768" w:type="dxa"/>
            <w:tcBorders>
              <w:top w:val="single" w:sz="12" w:space="0" w:color="00000A"/>
              <w:left w:val="single" w:sz="4" w:space="0" w:color="00000A"/>
              <w:bottom w:val="single" w:sz="12" w:space="0" w:color="00000A"/>
              <w:right w:val="single" w:sz="4" w:space="0" w:color="00000A"/>
            </w:tcBorders>
            <w:shd w:fill="auto" w:val="clear"/>
            <w:tcMar>
              <w:left w:w="38" w:type="dxa"/>
            </w:tcMar>
            <w:vAlign w:val="center"/>
          </w:tcPr>
          <w:p>
            <w:pPr>
              <w:pStyle w:val="Normal"/>
              <w:rPr/>
            </w:pPr>
            <w:r>
              <w:rPr>
                <w:b/>
              </w:rPr>
              <w:t>523</w:t>
            </w:r>
          </w:p>
        </w:tc>
        <w:tc>
          <w:tcPr>
            <w:tcW w:w="65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21</w:t>
            </w:r>
          </w:p>
        </w:tc>
        <w:tc>
          <w:tcPr>
            <w:tcW w:w="1829" w:type="dxa"/>
            <w:gridSpan w:val="2"/>
            <w:tcBorders>
              <w:top w:val="single" w:sz="12" w:space="0" w:color="00000A"/>
              <w:left w:val="single" w:sz="12" w:space="0" w:color="00000A"/>
              <w:bottom w:val="single" w:sz="12" w:space="0" w:color="00000A"/>
              <w:right w:val="single" w:sz="4" w:space="0" w:color="00000A"/>
            </w:tcBorders>
            <w:shd w:fill="auto" w:val="clear"/>
            <w:vAlign w:val="center"/>
          </w:tcPr>
          <w:p>
            <w:pPr>
              <w:pStyle w:val="Normal"/>
              <w:rPr/>
            </w:pPr>
            <w:r>
              <w:rPr>
                <w:b/>
              </w:rPr>
              <w:t xml:space="preserve"> </w:t>
            </w:r>
          </w:p>
        </w:tc>
        <w:tc>
          <w:tcPr>
            <w:tcW w:w="817" w:type="dxa"/>
            <w:tcBorders>
              <w:top w:val="single" w:sz="12" w:space="0" w:color="00000A"/>
              <w:left w:val="single" w:sz="4" w:space="0" w:color="00000A"/>
              <w:bottom w:val="single" w:sz="12" w:space="0" w:color="00000A"/>
              <w:right w:val="single" w:sz="4" w:space="0" w:color="00000A"/>
            </w:tcBorders>
            <w:shd w:fill="auto" w:val="clear"/>
            <w:tcMar>
              <w:left w:w="38" w:type="dxa"/>
            </w:tcMar>
            <w:vAlign w:val="center"/>
          </w:tcPr>
          <w:p>
            <w:pPr>
              <w:pStyle w:val="Normal"/>
              <w:rPr/>
            </w:pPr>
            <w:r>
              <w:rPr>
                <w:b/>
              </w:rPr>
              <w:t>1723</w:t>
            </w:r>
          </w:p>
        </w:tc>
        <w:tc>
          <w:tcPr>
            <w:tcW w:w="66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b/>
              </w:rPr>
              <w:t xml:space="preserve"> </w:t>
            </w:r>
            <w:r>
              <w:rPr>
                <w:b/>
              </w:rPr>
              <w:t>21</w:t>
            </w:r>
          </w:p>
        </w:tc>
      </w:tr>
    </w:tbl>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51" w:name="_1405950083"/>
      <w:bookmarkStart w:id="52" w:name="_1405950056"/>
      <w:bookmarkStart w:id="53" w:name="_1405950083"/>
      <w:bookmarkStart w:id="54" w:name="_1405950056"/>
      <w:bookmarkEnd w:id="53"/>
      <w:bookmarkEnd w:id="54"/>
    </w:p>
    <w:p>
      <w:pPr>
        <w:pStyle w:val="Nadpis1"/>
        <w:keepNext w:val="true"/>
        <w:widowControl w:val="false"/>
        <w:numPr>
          <w:ilvl w:val="0"/>
          <w:numId w:val="0"/>
        </w:numPr>
        <w:tabs>
          <w:tab w:val="clear" w:pos="708"/>
          <w:tab w:val="left" w:pos="360" w:leader="none"/>
        </w:tabs>
        <w:suppressAutoHyphens w:val="false"/>
        <w:spacing w:before="600" w:after="60"/>
        <w:rPr/>
      </w:pPr>
      <w:r>
        <w:rPr>
          <w:szCs w:val="18"/>
        </w:rPr>
        <w:t>K. Informácie o údajoch na podsúvahových  účtoch</w:t>
      </w:r>
    </w:p>
    <w:p>
      <w:pPr>
        <w:pStyle w:val="Telotextu"/>
        <w:widowControl w:val="false"/>
        <w:suppressAutoHyphens w:val="false"/>
        <w:rPr>
          <w:b/>
          <w:b/>
          <w:i/>
          <w:i/>
          <w:szCs w:val="18"/>
          <w:u w:val="single"/>
        </w:rPr>
      </w:pPr>
      <w:r>
        <w:rPr>
          <w:b/>
          <w:i/>
          <w:szCs w:val="18"/>
          <w:u w:val="single"/>
        </w:rPr>
      </w:r>
    </w:p>
    <w:p>
      <w:pPr>
        <w:pStyle w:val="Telotextu"/>
        <w:widowControl w:val="false"/>
        <w:suppressAutoHyphens w:val="false"/>
        <w:rPr>
          <w:b/>
          <w:b/>
          <w:i/>
          <w:i/>
          <w:szCs w:val="18"/>
          <w:u w:val="single"/>
        </w:rPr>
      </w:pPr>
      <w:r>
        <w:rPr>
          <w:b/>
          <w:i/>
          <w:szCs w:val="18"/>
          <w:u w:val="single"/>
        </w:rPr>
        <w:t>Najatý majetok</w:t>
      </w:r>
    </w:p>
    <w:p>
      <w:pPr>
        <w:pStyle w:val="Nadpis1"/>
        <w:keepNext w:val="true"/>
        <w:widowControl w:val="false"/>
        <w:numPr>
          <w:ilvl w:val="0"/>
          <w:numId w:val="0"/>
        </w:numPr>
        <w:suppressAutoHyphens w:val="false"/>
        <w:spacing w:before="120" w:after="60"/>
        <w:ind w:firstLine="284"/>
        <w:rPr>
          <w:caps w:val="false"/>
          <w:smallCaps w:val="false"/>
          <w:szCs w:val="18"/>
        </w:rPr>
      </w:pPr>
      <w:r>
        <w:rPr>
          <w:rFonts w:ascii="Times New Roman" w:hAnsi="Times New Roman"/>
          <w:caps w:val="false"/>
          <w:smallCaps w:val="false"/>
          <w:szCs w:val="18"/>
        </w:rPr>
        <w:t xml:space="preserve">   </w:t>
      </w:r>
      <w:r>
        <w:rPr>
          <w:caps w:val="false"/>
          <w:smallCaps w:val="false"/>
          <w:szCs w:val="18"/>
        </w:rPr>
        <w:t>Nevypĺňa sa</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rPr>
          <w:b/>
          <w:b/>
          <w:i/>
          <w:i/>
          <w:szCs w:val="18"/>
          <w:u w:val="single"/>
        </w:rPr>
      </w:pPr>
      <w:r>
        <w:rPr>
          <w:b/>
          <w:i/>
          <w:szCs w:val="18"/>
          <w:u w:val="single"/>
        </w:rPr>
        <w:t>Prenajatý majetok</w:t>
      </w:r>
    </w:p>
    <w:p>
      <w:pPr>
        <w:pStyle w:val="Telotextu"/>
        <w:widowControl w:val="false"/>
        <w:suppressAutoHyphens w:val="false"/>
        <w:rPr>
          <w:b/>
          <w:b/>
          <w:i/>
          <w:i/>
          <w:szCs w:val="18"/>
          <w:u w:val="single"/>
        </w:rPr>
      </w:pPr>
      <w:r>
        <w:rPr>
          <w:b/>
          <w:i/>
          <w:szCs w:val="18"/>
          <w:u w:val="single"/>
        </w:rPr>
      </w:r>
    </w:p>
    <w:p>
      <w:pPr>
        <w:pStyle w:val="Nadpis1"/>
        <w:keepNext w:val="true"/>
        <w:widowControl w:val="false"/>
        <w:numPr>
          <w:ilvl w:val="0"/>
          <w:numId w:val="0"/>
        </w:numPr>
        <w:suppressAutoHyphens w:val="false"/>
        <w:spacing w:before="120" w:after="60"/>
        <w:ind w:firstLine="284"/>
        <w:rPr>
          <w:caps w:val="false"/>
          <w:smallCaps w:val="false"/>
          <w:szCs w:val="18"/>
        </w:rPr>
      </w:pPr>
      <w:r>
        <w:rPr>
          <w:rFonts w:ascii="Times New Roman" w:hAnsi="Times New Roman"/>
          <w:caps w:val="false"/>
          <w:smallCaps w:val="false"/>
          <w:szCs w:val="18"/>
        </w:rPr>
        <w:t xml:space="preserve">   </w:t>
      </w:r>
      <w:r>
        <w:rPr>
          <w:caps w:val="false"/>
          <w:smallCaps w:val="false"/>
          <w:szCs w:val="18"/>
        </w:rPr>
        <w:t>Nevypĺňa sa</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rPr>
          <w:i/>
          <w:i/>
          <w:szCs w:val="18"/>
          <w:u w:val="single"/>
        </w:rPr>
      </w:pPr>
      <w:r>
        <w:rPr>
          <w:b/>
          <w:i/>
          <w:szCs w:val="18"/>
          <w:u w:val="single"/>
        </w:rPr>
        <w:t>Ostatné finančné povinnosti</w:t>
      </w:r>
    </w:p>
    <w:p>
      <w:pPr>
        <w:pStyle w:val="Telotextu"/>
        <w:widowControl w:val="false"/>
        <w:suppressAutoHyphens w:val="false"/>
        <w:rPr>
          <w:i/>
          <w:i/>
          <w:szCs w:val="18"/>
          <w:u w:val="single"/>
        </w:rPr>
      </w:pPr>
      <w:r>
        <w:rPr>
          <w:i/>
          <w:szCs w:val="18"/>
          <w:u w:val="single"/>
        </w:rPr>
      </w:r>
    </w:p>
    <w:p>
      <w:pPr>
        <w:pStyle w:val="Nadpis1"/>
        <w:keepNext w:val="true"/>
        <w:widowControl w:val="false"/>
        <w:numPr>
          <w:ilvl w:val="0"/>
          <w:numId w:val="0"/>
        </w:numPr>
        <w:suppressAutoHyphens w:val="false"/>
        <w:spacing w:before="120" w:after="60"/>
        <w:ind w:firstLine="284"/>
        <w:rPr/>
      </w:pPr>
      <w:r>
        <w:rPr>
          <w:rFonts w:ascii="Times New Roman" w:hAnsi="Times New Roman"/>
          <w:caps w:val="false"/>
          <w:smallCaps w:val="false"/>
          <w:szCs w:val="18"/>
        </w:rPr>
        <w:t xml:space="preserve">   </w:t>
      </w:r>
      <w:r>
        <w:rPr>
          <w:caps w:val="false"/>
          <w:smallCaps w:val="false"/>
          <w:szCs w:val="18"/>
        </w:rPr>
        <w:t>Nevypĺňa sa</w:t>
      </w:r>
    </w:p>
    <w:p>
      <w:pPr>
        <w:pStyle w:val="Nadpis1"/>
        <w:keepNext w:val="true"/>
        <w:widowControl w:val="false"/>
        <w:numPr>
          <w:ilvl w:val="0"/>
          <w:numId w:val="0"/>
        </w:numPr>
        <w:tabs>
          <w:tab w:val="clear" w:pos="708"/>
          <w:tab w:val="left" w:pos="360" w:leader="none"/>
        </w:tabs>
        <w:suppressAutoHyphens w:val="false"/>
        <w:spacing w:before="240" w:after="60"/>
        <w:rPr/>
      </w:pPr>
      <w:r>
        <w:rPr>
          <w:szCs w:val="18"/>
        </w:rPr>
        <w:t>L.</w:t>
      </w:r>
      <w:r>
        <w:rPr>
          <w:rFonts w:ascii="Times New Roman" w:hAnsi="Times New Roman"/>
          <w:szCs w:val="18"/>
        </w:rPr>
        <w:t xml:space="preserve"> </w:t>
      </w:r>
      <w:r>
        <w:rPr>
          <w:szCs w:val="18"/>
        </w:rPr>
        <w:t>Informácie o iných aktívach a iných pasívach</w:t>
      </w:r>
    </w:p>
    <w:p>
      <w:pPr>
        <w:pStyle w:val="Telotextu"/>
        <w:widowControl w:val="false"/>
        <w:suppressAutoHyphens w:val="false"/>
        <w:ind w:left="0" w:hanging="0"/>
        <w:rPr>
          <w:szCs w:val="18"/>
        </w:rPr>
      </w:pPr>
      <w:r>
        <w:rPr>
          <w:szCs w:val="18"/>
        </w:rPr>
      </w:r>
    </w:p>
    <w:p>
      <w:pPr>
        <w:pStyle w:val="Nadpis2"/>
        <w:keepNext w:val="true"/>
        <w:widowControl w:val="false"/>
        <w:numPr>
          <w:ilvl w:val="0"/>
          <w:numId w:val="12"/>
        </w:numPr>
        <w:suppressAutoHyphens w:val="false"/>
        <w:rPr>
          <w:szCs w:val="18"/>
        </w:rPr>
      </w:pPr>
      <w:r>
        <w:rPr>
          <w:szCs w:val="18"/>
        </w:rPr>
        <w:t>Podmienené záväzky</w:t>
      </w:r>
    </w:p>
    <w:p>
      <w:pPr>
        <w:pStyle w:val="Telotextu"/>
        <w:widowControl w:val="false"/>
        <w:suppressAutoHyphens w:val="false"/>
        <w:rPr>
          <w:szCs w:val="18"/>
        </w:rPr>
      </w:pPr>
      <w:r>
        <w:rPr>
          <w:szCs w:val="18"/>
        </w:rPr>
      </w:r>
    </w:p>
    <w:p>
      <w:pPr>
        <w:pStyle w:val="Nadpis1"/>
        <w:keepNext w:val="true"/>
        <w:widowControl w:val="false"/>
        <w:numPr>
          <w:ilvl w:val="0"/>
          <w:numId w:val="0"/>
        </w:numPr>
        <w:suppressAutoHyphens w:val="false"/>
        <w:spacing w:before="120" w:after="60"/>
        <w:ind w:firstLine="284"/>
        <w:rPr>
          <w:caps w:val="false"/>
          <w:smallCaps w:val="false"/>
          <w:szCs w:val="18"/>
        </w:rPr>
      </w:pPr>
      <w:r>
        <w:rPr>
          <w:caps w:val="false"/>
          <w:smallCaps w:val="false"/>
          <w:szCs w:val="18"/>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rPr/>
      </w:pPr>
      <w:r>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pPr>
        <w:pStyle w:val="Telotextu"/>
        <w:widowControl w:val="false"/>
        <w:suppressAutoHyphens w:val="false"/>
        <w:rPr>
          <w:szCs w:val="18"/>
        </w:rPr>
      </w:pPr>
      <w:r>
        <w:rPr>
          <w:szCs w:val="18"/>
        </w:rPr>
      </w:r>
    </w:p>
    <w:p>
      <w:pPr>
        <w:pStyle w:val="Nadpis2"/>
        <w:keepNext w:val="true"/>
        <w:widowControl w:val="false"/>
        <w:numPr>
          <w:ilvl w:val="0"/>
          <w:numId w:val="12"/>
        </w:numPr>
        <w:suppressAutoHyphens w:val="false"/>
        <w:rPr>
          <w:szCs w:val="18"/>
        </w:rPr>
      </w:pPr>
      <w:r>
        <w:rPr>
          <w:szCs w:val="18"/>
        </w:rPr>
        <w:t>Podmienený majetok</w:t>
      </w:r>
    </w:p>
    <w:p>
      <w:pPr>
        <w:pStyle w:val="Normal"/>
        <w:widowControl w:val="false"/>
        <w:suppressAutoHyphens w:val="false"/>
        <w:rPr>
          <w:szCs w:val="18"/>
        </w:rPr>
      </w:pPr>
      <w:r>
        <w:rPr>
          <w:szCs w:val="18"/>
        </w:rPr>
      </w:r>
    </w:p>
    <w:p>
      <w:pPr>
        <w:pStyle w:val="Nadpis1"/>
        <w:keepNext w:val="true"/>
        <w:widowControl w:val="false"/>
        <w:numPr>
          <w:ilvl w:val="0"/>
          <w:numId w:val="0"/>
        </w:numPr>
        <w:suppressAutoHyphens w:val="false"/>
        <w:spacing w:before="120" w:after="60"/>
        <w:ind w:firstLine="284"/>
        <w:rPr/>
      </w:pPr>
      <w:r>
        <w:rPr>
          <w:caps w:val="false"/>
          <w:smallCaps w:val="false"/>
          <w:szCs w:val="18"/>
        </w:rPr>
        <w:t>Nevypĺňa sa</w:t>
      </w:r>
    </w:p>
    <w:p>
      <w:pPr>
        <w:pStyle w:val="Nadpis1"/>
        <w:keepNext w:val="true"/>
        <w:widowControl w:val="false"/>
        <w:numPr>
          <w:ilvl w:val="0"/>
          <w:numId w:val="0"/>
        </w:numPr>
        <w:tabs>
          <w:tab w:val="clear" w:pos="708"/>
          <w:tab w:val="left" w:pos="426" w:leader="none"/>
        </w:tabs>
        <w:suppressAutoHyphens w:val="false"/>
        <w:spacing w:before="120" w:after="60"/>
        <w:rPr/>
      </w:pPr>
      <w:r>
        <w:rPr>
          <w:szCs w:val="18"/>
        </w:rPr>
        <w:t>M.</w:t>
      </w:r>
      <w:r>
        <w:rPr>
          <w:rFonts w:ascii="Times New Roman" w:hAnsi="Times New Roman"/>
          <w:szCs w:val="18"/>
        </w:rPr>
        <w:t xml:space="preserve"> </w:t>
      </w:r>
      <w:r>
        <w:rPr>
          <w:szCs w:val="18"/>
        </w:rPr>
        <w:t>Informácie o príjmoch a výhodách členov štatutárnych orgánov, dozorných orgánov a iných orgánov účtovnej jednotky</w:t>
      </w:r>
    </w:p>
    <w:p>
      <w:pPr>
        <w:pStyle w:val="Telotextu"/>
        <w:widowControl w:val="false"/>
        <w:suppressAutoHyphens w:val="false"/>
        <w:rPr>
          <w:rFonts w:ascii="Times New Roman" w:hAnsi="Times New Roman"/>
          <w:szCs w:val="18"/>
        </w:rPr>
      </w:pPr>
      <w:r>
        <w:rPr>
          <w:rFonts w:ascii="Times New Roman" w:hAnsi="Times New Roman"/>
          <w:szCs w:val="18"/>
        </w:rPr>
      </w:r>
    </w:p>
    <w:p>
      <w:pPr>
        <w:pStyle w:val="Telotextu"/>
        <w:widowControl w:val="false"/>
        <w:suppressAutoHyphens w:val="false"/>
        <w:ind w:left="0" w:hanging="0"/>
        <w:rPr/>
      </w:pPr>
      <w:r>
        <w:rPr>
          <w:szCs w:val="18"/>
        </w:rPr>
        <w:t>Členom štatutárnemu orgánu, ani členom dozorných orgánov  neboli v roku 2018 vyplatené žiadne odmeny, neboli poskytnuté žiadne pôžičky, záruky alebo iné formy zabezpečenia, ani finančné prostriedky alebo iné plnenia na súkromné účely členov, ktoré sa vyúčtovávajú.</w:t>
      </w:r>
    </w:p>
    <w:p>
      <w:pPr>
        <w:pStyle w:val="Normal"/>
        <w:widowControl w:val="false"/>
        <w:suppressAutoHyphens w:val="false"/>
        <w:spacing w:lineRule="auto" w:line="276" w:before="0" w:after="200"/>
        <w:rPr>
          <w:szCs w:val="18"/>
        </w:rPr>
      </w:pPr>
      <w:r>
        <w:rPr>
          <w:szCs w:val="18"/>
        </w:rPr>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N. Informácie o ekonomických vzťahoch účtovnej jednotky a spriaznených osôb</w:t>
      </w:r>
    </w:p>
    <w:p>
      <w:pPr>
        <w:pStyle w:val="Normal"/>
        <w:widowControl w:val="false"/>
        <w:suppressAutoHyphens w:val="false"/>
        <w:ind w:left="426" w:hanging="0"/>
        <w:jc w:val="both"/>
        <w:rPr>
          <w:szCs w:val="18"/>
        </w:rPr>
      </w:pPr>
      <w:r>
        <w:rPr>
          <w:szCs w:val="18"/>
        </w:rPr>
      </w:r>
    </w:p>
    <w:p>
      <w:pPr>
        <w:pStyle w:val="Nadpis1"/>
        <w:keepNext w:val="true"/>
        <w:widowControl w:val="false"/>
        <w:numPr>
          <w:ilvl w:val="0"/>
          <w:numId w:val="0"/>
        </w:numPr>
        <w:suppressAutoHyphens w:val="false"/>
        <w:spacing w:before="120" w:after="60"/>
        <w:rPr>
          <w:rFonts w:ascii="Times New Roman" w:hAnsi="Times New Roman"/>
          <w:caps w:val="false"/>
          <w:smallCaps w:val="false"/>
          <w:szCs w:val="18"/>
        </w:rPr>
      </w:pPr>
      <w:bookmarkStart w:id="55" w:name="_1405950497"/>
      <w:bookmarkStart w:id="56" w:name="_1405950538"/>
      <w:bookmarkEnd w:id="55"/>
      <w:bookmarkEnd w:id="56"/>
      <w:r>
        <w:rPr>
          <w:caps w:val="false"/>
          <w:smallCaps w:val="false"/>
          <w:szCs w:val="18"/>
        </w:rPr>
        <w:t>Nevypĺňa sa</w:t>
      </w:r>
    </w:p>
    <w:p>
      <w:pPr>
        <w:pStyle w:val="Telotextu"/>
        <w:widowControl w:val="false"/>
        <w:suppressAutoHyphens w:val="false"/>
        <w:rPr>
          <w:szCs w:val="18"/>
        </w:rPr>
      </w:pPr>
      <w:r>
        <w:rPr>
          <w:szCs w:val="18"/>
        </w:rPr>
      </w:r>
    </w:p>
    <w:p>
      <w:pPr>
        <w:pStyle w:val="Nadpis1"/>
        <w:keepNext w:val="true"/>
        <w:widowControl w:val="false"/>
        <w:numPr>
          <w:ilvl w:val="0"/>
          <w:numId w:val="0"/>
        </w:numPr>
        <w:tabs>
          <w:tab w:val="clear" w:pos="708"/>
          <w:tab w:val="left" w:pos="426" w:leader="none"/>
        </w:tabs>
        <w:suppressAutoHyphens w:val="false"/>
        <w:spacing w:before="120" w:after="60"/>
        <w:rPr/>
      </w:pPr>
      <w:r>
        <w:rPr>
          <w:szCs w:val="18"/>
        </w:rPr>
        <w:t>O. INformácie o skutočnostiach, ktoré nastali po dni, ku ktorému sa zostavuje účtovná závierka, do dňa zostavenia účtovnej závierky</w:t>
      </w:r>
    </w:p>
    <w:p>
      <w:pPr>
        <w:pStyle w:val="Telotextu"/>
        <w:widowControl w:val="false"/>
        <w:suppressAutoHyphens w:val="false"/>
        <w:rPr>
          <w:szCs w:val="18"/>
        </w:rPr>
      </w:pPr>
      <w:r>
        <w:rPr>
          <w:szCs w:val="18"/>
        </w:rPr>
      </w:r>
    </w:p>
    <w:p>
      <w:pPr>
        <w:pStyle w:val="Nadpis1"/>
        <w:keepNext w:val="true"/>
        <w:widowControl w:val="false"/>
        <w:numPr>
          <w:ilvl w:val="0"/>
          <w:numId w:val="0"/>
        </w:numPr>
        <w:suppressAutoHyphens w:val="false"/>
        <w:spacing w:before="120" w:after="60"/>
        <w:rPr>
          <w:caps w:val="false"/>
          <w:smallCaps w:val="false"/>
          <w:szCs w:val="18"/>
        </w:rPr>
      </w:pPr>
      <w:r>
        <w:rPr>
          <w:caps w:val="false"/>
          <w:smallCaps w:val="false"/>
          <w:szCs w:val="18"/>
        </w:rPr>
        <w:t>Nevypĺňa sa</w:t>
      </w:r>
    </w:p>
    <w:p>
      <w:pPr>
        <w:pStyle w:val="Normal"/>
        <w:widowControl w:val="false"/>
        <w:suppressAutoHyphens w:val="false"/>
        <w:spacing w:lineRule="auto" w:line="276" w:before="0" w:after="200"/>
        <w:rPr>
          <w:rFonts w:ascii="Times New Roman" w:hAnsi="Times New Roman"/>
          <w:b/>
          <w:b/>
          <w:caps/>
          <w:szCs w:val="18"/>
        </w:rPr>
      </w:pPr>
      <w:r>
        <w:rPr>
          <w:rFonts w:ascii="Times New Roman" w:hAnsi="Times New Roman"/>
          <w:b/>
          <w:caps/>
          <w:szCs w:val="18"/>
        </w:rPr>
      </w:r>
    </w:p>
    <w:p>
      <w:pPr>
        <w:pStyle w:val="Nadpis1"/>
        <w:keepNext w:val="true"/>
        <w:widowControl w:val="false"/>
        <w:numPr>
          <w:ilvl w:val="0"/>
          <w:numId w:val="0"/>
        </w:numPr>
        <w:tabs>
          <w:tab w:val="clear" w:pos="708"/>
          <w:tab w:val="left" w:pos="360" w:leader="none"/>
        </w:tabs>
        <w:suppressAutoHyphens w:val="false"/>
        <w:spacing w:before="120" w:after="60"/>
        <w:rPr>
          <w:szCs w:val="18"/>
        </w:rPr>
      </w:pPr>
      <w:r>
        <w:rPr>
          <w:szCs w:val="18"/>
        </w:rPr>
        <w:t>P.  Informácie o Vlastnom imaní</w:t>
      </w:r>
    </w:p>
    <w:p>
      <w:pPr>
        <w:pStyle w:val="Normal"/>
        <w:widowControl w:val="false"/>
        <w:suppressAutoHyphens w:val="false"/>
        <w:jc w:val="both"/>
        <w:rPr>
          <w:rFonts w:ascii="Times New Roman" w:hAnsi="Times New Roman"/>
          <w:szCs w:val="18"/>
        </w:rPr>
      </w:pPr>
      <w:r>
        <w:rPr>
          <w:rFonts w:ascii="Times New Roman" w:hAnsi="Times New Roman"/>
          <w:szCs w:val="18"/>
        </w:rPr>
      </w:r>
    </w:p>
    <w:p>
      <w:pPr>
        <w:pStyle w:val="Normal"/>
        <w:widowControl w:val="false"/>
        <w:suppressAutoHyphens w:val="false"/>
        <w:jc w:val="both"/>
        <w:rPr/>
      </w:pPr>
      <w:r>
        <w:rPr>
          <w:szCs w:val="18"/>
        </w:rPr>
        <w:t xml:space="preserve">Základné imanie spoločnosti je vo výške 5000 EUR sa v priebehu účtovného obdobia nemenilo. Táto výška základného imania je k 31.12.2018 zapísaná v obchodnom registri. </w:t>
      </w:r>
    </w:p>
    <w:p>
      <w:pPr>
        <w:pStyle w:val="Normal"/>
        <w:widowControl w:val="false"/>
        <w:suppressAutoHyphens w:val="false"/>
        <w:jc w:val="both"/>
        <w:rPr/>
      </w:pPr>
      <w:r>
        <w:rPr>
          <w:szCs w:val="18"/>
        </w:rPr>
        <w:t>Základné imanie je splatené v plnom rozsahu.</w:t>
      </w:r>
    </w:p>
    <w:p>
      <w:pPr>
        <w:pStyle w:val="Normal"/>
        <w:widowControl w:val="false"/>
        <w:suppressAutoHyphens w:val="false"/>
        <w:ind w:left="426" w:hanging="0"/>
        <w:jc w:val="both"/>
        <w:rPr>
          <w:rFonts w:ascii="Times New Roman" w:hAnsi="Times New Roman"/>
          <w:szCs w:val="18"/>
        </w:rPr>
      </w:pPr>
      <w:r>
        <w:rPr>
          <w:rFonts w:ascii="Times New Roman" w:hAnsi="Times New Roman"/>
          <w:szCs w:val="18"/>
        </w:rPr>
      </w:r>
    </w:p>
    <w:p>
      <w:pPr>
        <w:pStyle w:val="Nzov"/>
        <w:spacing w:beforeAutospacing="0" w:before="0" w:after="0"/>
        <w:jc w:val="left"/>
        <w:rPr/>
      </w:pPr>
      <w:r>
        <w:rPr>
          <w:rFonts w:cs="Arial Narrow" w:ascii="Arial" w:hAnsi="Arial"/>
          <w:sz w:val="18"/>
          <w:szCs w:val="22"/>
        </w:rPr>
        <w:t>Informácie k časti P. prílohy č. 3 o zmenách vlastného imania</w:t>
      </w:r>
    </w:p>
    <w:p>
      <w:pPr>
        <w:pStyle w:val="Normal"/>
        <w:rPr>
          <w:rFonts w:ascii="Times New Roman" w:hAnsi="Times New Roman"/>
        </w:rPr>
      </w:pPr>
      <w:r>
        <w:rPr>
          <w:rFonts w:ascii="Times New Roman" w:hAnsi="Times New Roman"/>
        </w:rPr>
      </w:r>
    </w:p>
    <w:p>
      <w:pPr>
        <w:pStyle w:val="Normal"/>
        <w:rPr/>
      </w:pPr>
      <w:r>
        <w:rPr/>
        <w:t>Tabuľka č. 1</w:t>
      </w:r>
    </w:p>
    <w:tbl>
      <w:tblPr>
        <w:tblW w:w="5000" w:type="pct"/>
        <w:jc w:val="center"/>
        <w:tblInd w:w="0" w:type="dxa"/>
        <w:tblCellMar>
          <w:top w:w="0" w:type="dxa"/>
          <w:left w:w="15" w:type="dxa"/>
          <w:bottom w:w="0" w:type="dxa"/>
          <w:right w:w="79" w:type="dxa"/>
        </w:tblCellMar>
        <w:tblLook w:val="00a0"/>
      </w:tblPr>
      <w:tblGrid>
        <w:gridCol w:w="2141"/>
        <w:gridCol w:w="1415"/>
        <w:gridCol w:w="1419"/>
        <w:gridCol w:w="1422"/>
        <w:gridCol w:w="1424"/>
        <w:gridCol w:w="1419"/>
      </w:tblGrid>
      <w:tr>
        <w:trPr>
          <w:trHeight w:val="318" w:hRule="atLeast"/>
        </w:trPr>
        <w:tc>
          <w:tcPr>
            <w:tcW w:w="2141" w:type="dxa"/>
            <w:vMerge w:val="restart"/>
            <w:tcBorders>
              <w:top w:val="single" w:sz="12" w:space="0" w:color="00000A"/>
              <w:left w:val="single" w:sz="12" w:space="0" w:color="00000A"/>
              <w:right w:val="single" w:sz="12" w:space="0" w:color="00000A"/>
            </w:tcBorders>
            <w:shd w:fill="auto" w:val="clear"/>
            <w:vAlign w:val="center"/>
          </w:tcPr>
          <w:p>
            <w:pPr>
              <w:pStyle w:val="TopHeader"/>
              <w:rPr/>
            </w:pPr>
            <w:r>
              <w:rPr>
                <w:rFonts w:ascii="Arial" w:hAnsi="Arial"/>
                <w:sz w:val="18"/>
              </w:rPr>
              <w:t>Položka vlastného imania</w:t>
            </w:r>
          </w:p>
        </w:tc>
        <w:tc>
          <w:tcPr>
            <w:tcW w:w="7099"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Bežné účtovné obdobie</w:t>
            </w:r>
          </w:p>
        </w:tc>
      </w:tr>
      <w:tr>
        <w:trPr/>
        <w:tc>
          <w:tcPr>
            <w:tcW w:w="2141" w:type="dxa"/>
            <w:vMerge w:val="continue"/>
            <w:tcBorders>
              <w:top w:val="single" w:sz="8"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14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Stav na začiatku účtovného obdobia  </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Prírastky </w:t>
            </w:r>
          </w:p>
        </w:tc>
        <w:tc>
          <w:tcPr>
            <w:tcW w:w="142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Úbytky </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Presuny</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Stav na konci účtovného obdobia</w:t>
            </w:r>
          </w:p>
        </w:tc>
      </w:tr>
      <w:tr>
        <w:trPr>
          <w:trHeight w:val="330" w:hRule="atLeast"/>
        </w:trPr>
        <w:tc>
          <w:tcPr>
            <w:tcW w:w="214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a</w:t>
            </w:r>
          </w:p>
        </w:tc>
        <w:tc>
          <w:tcPr>
            <w:tcW w:w="14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c</w:t>
            </w:r>
          </w:p>
        </w:tc>
        <w:tc>
          <w:tcPr>
            <w:tcW w:w="1422"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e</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f</w:t>
            </w:r>
          </w:p>
        </w:tc>
      </w:tr>
      <w:tr>
        <w:trPr>
          <w:trHeight w:val="330" w:hRule="atLeast"/>
        </w:trPr>
        <w:tc>
          <w:tcPr>
            <w:tcW w:w="2141"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Základné imanie</w:t>
            </w:r>
          </w:p>
        </w:tc>
        <w:tc>
          <w:tcPr>
            <w:tcW w:w="1415"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jc w:val="center"/>
              <w:rPr/>
            </w:pPr>
            <w:r>
              <w:rPr/>
              <w:t>5000</w:t>
            </w:r>
          </w:p>
        </w:tc>
        <w:tc>
          <w:tcPr>
            <w:tcW w:w="1419"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0</w:t>
            </w:r>
          </w:p>
        </w:tc>
        <w:tc>
          <w:tcPr>
            <w:tcW w:w="1422"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center"/>
              <w:rPr/>
            </w:pPr>
            <w:r>
              <w:rPr/>
              <w:t>5000</w:t>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Vlastné akcie a vlastné obchodné podiely</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Zmena základného imania</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Pohľadávky za upísané vlastné imanie</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Emisné ážio</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kapitálové fondy</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 (nedeliteľný fond) z kapitálových vkladov</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majetku a záväzkov</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kapitálových účastín</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6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pri zlúčení, splynutí a rozdelení</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t>500</w:t>
            </w:r>
          </w:p>
        </w:tc>
        <w:tc>
          <w:tcPr>
            <w:tcW w:w="1422"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t>500</w:t>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Nedeliteľný fond</w:t>
            </w:r>
          </w:p>
        </w:tc>
        <w:tc>
          <w:tcPr>
            <w:tcW w:w="1415"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Štatutárne fondy a ostatné fondy</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Nerozdelený zisk minulých rokov</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t>5408</w:t>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6481</w:t>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t>11889</w:t>
            </w:r>
          </w:p>
        </w:tc>
      </w:tr>
      <w:tr>
        <w:trPr>
          <w:trHeight w:val="330" w:hRule="atLeast"/>
        </w:trPr>
        <w:tc>
          <w:tcPr>
            <w:tcW w:w="2141"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Neuhradená strata minulých rokov</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6" w:space="0" w:color="00000A"/>
              <w:left w:val="single" w:sz="12" w:space="0" w:color="00000A"/>
              <w:right w:val="single" w:sz="12" w:space="0" w:color="00000A"/>
            </w:tcBorders>
            <w:shd w:fill="auto" w:val="clear"/>
            <w:vAlign w:val="center"/>
          </w:tcPr>
          <w:p>
            <w:pPr>
              <w:pStyle w:val="Normal"/>
              <w:rPr/>
            </w:pPr>
            <w:r>
              <w:rPr/>
              <w:t>Výsledok hospodárenia bežného účtovného obdobia</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t>6481</w:t>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4656</w:t>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t>1825</w:t>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Vyplatené dividendy</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1"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položky vlastného imania</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52" w:hRule="atLeast"/>
        </w:trPr>
        <w:tc>
          <w:tcPr>
            <w:tcW w:w="2141"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t>Účet 491 - Vlastné imanie fyzickej osoby - podnikateľa</w:t>
            </w:r>
          </w:p>
        </w:tc>
        <w:tc>
          <w:tcPr>
            <w:tcW w:w="1415"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12" w:space="0" w:color="00000A"/>
              <w:right w:val="single" w:sz="4" w:space="0" w:color="00000A"/>
            </w:tcBorders>
            <w:shd w:fill="auto" w:val="clear"/>
            <w:tcMar>
              <w:left w:w="38" w:type="dxa"/>
            </w:tcMar>
            <w:vAlign w:val="center"/>
          </w:tcPr>
          <w:p>
            <w:pPr>
              <w:pStyle w:val="Normal"/>
              <w:jc w:val="center"/>
              <w:rPr/>
            </w:pPr>
            <w:r>
              <w:rPr/>
            </w:r>
          </w:p>
        </w:tc>
        <w:tc>
          <w:tcPr>
            <w:tcW w:w="1422" w:type="dxa"/>
            <w:tcBorders>
              <w:top w:val="single" w:sz="4" w:space="0" w:color="00000A"/>
              <w:left w:val="single" w:sz="4" w:space="0" w:color="00000A"/>
              <w:bottom w:val="single" w:sz="12"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12" w:space="0" w:color="00000A"/>
              <w:right w:val="single" w:sz="4" w:space="0" w:color="00000A"/>
            </w:tcBorders>
            <w:shd w:fill="auto" w:val="clear"/>
            <w:tcMar>
              <w:left w:w="38" w:type="dxa"/>
            </w:tcMar>
            <w:vAlign w:val="center"/>
          </w:tcPr>
          <w:p>
            <w:pPr>
              <w:pStyle w:val="Normal"/>
              <w:jc w:val="center"/>
              <w:rPr/>
            </w:pPr>
            <w:r>
              <w:rPr/>
            </w:r>
          </w:p>
        </w:tc>
        <w:tc>
          <w:tcPr>
            <w:tcW w:w="1419"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center"/>
              <w:rPr/>
            </w:pPr>
            <w:r>
              <w:rPr/>
            </w:r>
          </w:p>
        </w:tc>
      </w:tr>
    </w:tbl>
    <w:p>
      <w:pPr>
        <w:pStyle w:val="Normal"/>
        <w:rPr>
          <w:rFonts w:ascii="Times New Roman" w:hAnsi="Times New Roman"/>
        </w:rPr>
      </w:pPr>
      <w:r>
        <w:rPr>
          <w:rFonts w:ascii="Times New Roman" w:hAnsi="Times New Roman"/>
        </w:rPr>
      </w:r>
    </w:p>
    <w:p>
      <w:pPr>
        <w:pStyle w:val="Normal"/>
        <w:rPr/>
      </w:pPr>
      <w:r>
        <w:rPr/>
        <w:t>Tabuľka č. 2</w:t>
      </w:r>
    </w:p>
    <w:p>
      <w:pPr>
        <w:pStyle w:val="Normal"/>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0a0"/>
      </w:tblPr>
      <w:tblGrid>
        <w:gridCol w:w="2140"/>
        <w:gridCol w:w="1415"/>
        <w:gridCol w:w="1419"/>
        <w:gridCol w:w="1424"/>
        <w:gridCol w:w="1424"/>
        <w:gridCol w:w="1418"/>
      </w:tblGrid>
      <w:tr>
        <w:trPr>
          <w:trHeight w:val="318" w:hRule="atLeast"/>
        </w:trPr>
        <w:tc>
          <w:tcPr>
            <w:tcW w:w="2140" w:type="dxa"/>
            <w:vMerge w:val="restart"/>
            <w:tcBorders>
              <w:top w:val="single" w:sz="12" w:space="0" w:color="00000A"/>
              <w:left w:val="single" w:sz="12" w:space="0" w:color="00000A"/>
              <w:right w:val="single" w:sz="12" w:space="0" w:color="00000A"/>
            </w:tcBorders>
            <w:shd w:fill="auto" w:val="clear"/>
            <w:vAlign w:val="center"/>
          </w:tcPr>
          <w:p>
            <w:pPr>
              <w:pStyle w:val="TopHeader"/>
              <w:rPr/>
            </w:pPr>
            <w:r>
              <w:rPr>
                <w:rFonts w:ascii="Arial" w:hAnsi="Arial"/>
                <w:sz w:val="18"/>
              </w:rPr>
              <w:t>Položka vlastného imania</w:t>
            </w:r>
          </w:p>
        </w:tc>
        <w:tc>
          <w:tcPr>
            <w:tcW w:w="7100" w:type="dxa"/>
            <w:gridSpan w:val="5"/>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Bezprostredne predchádzajúce účtovné obdobie</w:t>
            </w:r>
          </w:p>
        </w:tc>
      </w:tr>
      <w:tr>
        <w:trPr/>
        <w:tc>
          <w:tcPr>
            <w:tcW w:w="2140" w:type="dxa"/>
            <w:vMerge w:val="continue"/>
            <w:tcBorders>
              <w:top w:val="single" w:sz="8" w:space="0" w:color="00000A"/>
              <w:left w:val="single" w:sz="12" w:space="0" w:color="00000A"/>
              <w:bottom w:val="single" w:sz="12" w:space="0" w:color="00000A"/>
              <w:right w:val="single" w:sz="12" w:space="0" w:color="00000A"/>
            </w:tcBorders>
            <w:shd w:fill="auto" w:val="clear"/>
            <w:vAlign w:val="center"/>
          </w:tcPr>
          <w:p>
            <w:pPr>
              <w:pStyle w:val="TopHeader"/>
              <w:rPr>
                <w:rFonts w:ascii="Arial" w:hAnsi="Arial"/>
                <w:sz w:val="18"/>
              </w:rPr>
            </w:pPr>
            <w:r>
              <w:rPr>
                <w:rFonts w:ascii="Arial" w:hAnsi="Arial"/>
                <w:sz w:val="18"/>
              </w:rPr>
            </w:r>
          </w:p>
        </w:tc>
        <w:tc>
          <w:tcPr>
            <w:tcW w:w="14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Stav na začiatku účtovného obdobia  </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Prírastky </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 xml:space="preserve">Úbytky </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Presuny</w:t>
            </w:r>
          </w:p>
        </w:tc>
        <w:tc>
          <w:tcPr>
            <w:tcW w:w="14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Stav na konci účtovného obdobia</w:t>
            </w:r>
          </w:p>
        </w:tc>
      </w:tr>
      <w:tr>
        <w:trPr>
          <w:trHeight w:val="330" w:hRule="atLeast"/>
        </w:trPr>
        <w:tc>
          <w:tcPr>
            <w:tcW w:w="214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a</w:t>
            </w:r>
          </w:p>
        </w:tc>
        <w:tc>
          <w:tcPr>
            <w:tcW w:w="1415"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b</w:t>
            </w:r>
          </w:p>
        </w:tc>
        <w:tc>
          <w:tcPr>
            <w:tcW w:w="1419"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c</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d</w:t>
            </w:r>
          </w:p>
        </w:tc>
        <w:tc>
          <w:tcPr>
            <w:tcW w:w="142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e</w:t>
            </w:r>
          </w:p>
        </w:tc>
        <w:tc>
          <w:tcPr>
            <w:tcW w:w="1418"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pPr>
            <w:r>
              <w:rPr>
                <w:rFonts w:ascii="Arial" w:hAnsi="Arial"/>
                <w:sz w:val="18"/>
              </w:rPr>
              <w:t>f</w:t>
            </w:r>
          </w:p>
        </w:tc>
      </w:tr>
      <w:tr>
        <w:trPr>
          <w:trHeight w:val="330" w:hRule="atLeast"/>
        </w:trPr>
        <w:tc>
          <w:tcPr>
            <w:tcW w:w="2140"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rPr/>
            </w:pPr>
            <w:r>
              <w:rPr/>
              <w:t>Základné imanie</w:t>
            </w:r>
          </w:p>
        </w:tc>
        <w:tc>
          <w:tcPr>
            <w:tcW w:w="1415" w:type="dxa"/>
            <w:tcBorders>
              <w:top w:val="single" w:sz="12" w:space="0" w:color="00000A"/>
              <w:left w:val="single" w:sz="12" w:space="0" w:color="00000A"/>
              <w:bottom w:val="single" w:sz="4" w:space="0" w:color="00000A"/>
              <w:right w:val="single" w:sz="4" w:space="0" w:color="00000A"/>
            </w:tcBorders>
            <w:shd w:fill="auto" w:val="clear"/>
            <w:vAlign w:val="center"/>
          </w:tcPr>
          <w:p>
            <w:pPr>
              <w:pStyle w:val="Normal"/>
              <w:jc w:val="center"/>
              <w:rPr/>
            </w:pPr>
            <w:r>
              <w:rPr/>
              <w:t>5000</w:t>
            </w:r>
          </w:p>
        </w:tc>
        <w:tc>
          <w:tcPr>
            <w:tcW w:w="1419"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0</w:t>
            </w:r>
          </w:p>
        </w:tc>
        <w:tc>
          <w:tcPr>
            <w:tcW w:w="1424"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12"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12" w:space="0" w:color="00000A"/>
              <w:left w:val="single" w:sz="12" w:space="0" w:color="00000A"/>
              <w:bottom w:val="single" w:sz="4" w:space="0" w:color="00000A"/>
              <w:right w:val="single" w:sz="12" w:space="0" w:color="00000A"/>
            </w:tcBorders>
            <w:shd w:fill="auto" w:val="clear"/>
            <w:vAlign w:val="center"/>
          </w:tcPr>
          <w:p>
            <w:pPr>
              <w:pStyle w:val="Normal"/>
              <w:jc w:val="center"/>
              <w:rPr/>
            </w:pPr>
            <w:r>
              <w:rPr/>
              <w:t>5000</w:t>
            </w:r>
          </w:p>
        </w:tc>
      </w:tr>
      <w:tr>
        <w:trPr>
          <w:trHeight w:val="33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Vlastné akcie a vlastné obchodné podiely</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Zmena základného imania</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Pohľadávky za upísané vlastné imanie</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Emisné ážio</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kapitálové fondy</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 (nedeliteľný fond) z kapitálových vkladov</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majetku a záväzkov</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kapitálových účastín</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6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Oceňovacie rozdiely z precenenia pri zlúčení, splynutí a rozdelení</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t>Zákonný rezervný fond</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t>0</w:t>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t>500</w:t>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t>500</w:t>
            </w:r>
          </w:p>
        </w:tc>
      </w:tr>
      <w:tr>
        <w:trPr>
          <w:trHeight w:val="330" w:hRule="atLeast"/>
        </w:trPr>
        <w:tc>
          <w:tcPr>
            <w:tcW w:w="214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Nedeliteľný fond</w:t>
            </w:r>
          </w:p>
        </w:tc>
        <w:tc>
          <w:tcPr>
            <w:tcW w:w="1415" w:type="dxa"/>
            <w:tcBorders>
              <w:top w:val="single" w:sz="6"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t>Štatutárne fondy a ostatné fondy</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Nerozdelený zisk minulých rokov</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t>5908</w:t>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500</w:t>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t>5408</w:t>
            </w:r>
          </w:p>
        </w:tc>
      </w:tr>
      <w:tr>
        <w:trPr>
          <w:trHeight w:val="330" w:hRule="atLeast"/>
        </w:trPr>
        <w:tc>
          <w:tcPr>
            <w:tcW w:w="2140"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t>Neuhradená strata minulých rokov</w:t>
            </w:r>
          </w:p>
        </w:tc>
        <w:tc>
          <w:tcPr>
            <w:tcW w:w="1415" w:type="dxa"/>
            <w:tcBorders>
              <w:top w:val="single" w:sz="4" w:space="0" w:color="00000A"/>
              <w:left w:val="single" w:sz="12" w:space="0" w:color="00000A"/>
              <w:bottom w:val="single" w:sz="6"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6"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6" w:space="0" w:color="00000A"/>
              <w:left w:val="single" w:sz="12" w:space="0" w:color="00000A"/>
              <w:right w:val="single" w:sz="12" w:space="0" w:color="00000A"/>
            </w:tcBorders>
            <w:shd w:fill="auto" w:val="clear"/>
            <w:vAlign w:val="center"/>
          </w:tcPr>
          <w:p>
            <w:pPr>
              <w:pStyle w:val="Normal"/>
              <w:rPr/>
            </w:pPr>
            <w:r>
              <w:rPr/>
              <w:t>Výsledok hospodárenia bežného účtovného obdobia</w:t>
            </w:r>
          </w:p>
        </w:tc>
        <w:tc>
          <w:tcPr>
            <w:tcW w:w="1415" w:type="dxa"/>
            <w:tcBorders>
              <w:top w:val="single" w:sz="6" w:space="0" w:color="00000A"/>
              <w:left w:val="single" w:sz="12" w:space="0" w:color="00000A"/>
              <w:bottom w:val="single" w:sz="4" w:space="0" w:color="00000A"/>
              <w:right w:val="single" w:sz="4" w:space="0" w:color="00000A"/>
            </w:tcBorders>
            <w:shd w:fill="auto" w:val="clear"/>
            <w:vAlign w:val="center"/>
          </w:tcPr>
          <w:p>
            <w:pPr>
              <w:pStyle w:val="Normal"/>
              <w:jc w:val="center"/>
              <w:rPr/>
            </w:pPr>
            <w:r>
              <w:rPr/>
              <w:t>5908</w:t>
            </w:r>
          </w:p>
        </w:tc>
        <w:tc>
          <w:tcPr>
            <w:tcW w:w="1419"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t>573</w:t>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6"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jc w:val="center"/>
              <w:rPr/>
            </w:pPr>
            <w:r>
              <w:rPr/>
              <w:t>6481</w:t>
            </w:r>
          </w:p>
        </w:tc>
      </w:tr>
      <w:tr>
        <w:trPr>
          <w:trHeight w:val="33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Vyplatené dividendy</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330" w:hRule="atLeast"/>
        </w:trPr>
        <w:tc>
          <w:tcPr>
            <w:tcW w:w="2140"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rPr/>
            </w:pPr>
            <w:r>
              <w:rPr/>
              <w:t>Ostatné položky vlastného imania</w:t>
            </w:r>
          </w:p>
        </w:tc>
        <w:tc>
          <w:tcPr>
            <w:tcW w:w="1415" w:type="dxa"/>
            <w:tcBorders>
              <w:top w:val="single" w:sz="4" w:space="0" w:color="00000A"/>
              <w:left w:val="single" w:sz="12" w:space="0" w:color="00000A"/>
              <w:bottom w:val="single" w:sz="4"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4"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4" w:space="0" w:color="00000A"/>
              <w:right w:val="single" w:sz="12" w:space="0" w:color="00000A"/>
            </w:tcBorders>
            <w:shd w:fill="auto" w:val="clear"/>
            <w:vAlign w:val="center"/>
          </w:tcPr>
          <w:p>
            <w:pPr>
              <w:pStyle w:val="Normal"/>
              <w:jc w:val="center"/>
              <w:rPr/>
            </w:pPr>
            <w:r>
              <w:rPr/>
            </w:r>
          </w:p>
        </w:tc>
      </w:tr>
      <w:tr>
        <w:trPr>
          <w:trHeight w:val="652" w:hRule="atLeast"/>
        </w:trPr>
        <w:tc>
          <w:tcPr>
            <w:tcW w:w="2140"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t>Účet 491 - Vlastné imanie fyzickej osoby - podnikateľa</w:t>
            </w:r>
          </w:p>
        </w:tc>
        <w:tc>
          <w:tcPr>
            <w:tcW w:w="1415" w:type="dxa"/>
            <w:tcBorders>
              <w:top w:val="single" w:sz="4" w:space="0" w:color="00000A"/>
              <w:left w:val="single" w:sz="12" w:space="0" w:color="00000A"/>
              <w:bottom w:val="single" w:sz="12" w:space="0" w:color="00000A"/>
              <w:right w:val="single" w:sz="4" w:space="0" w:color="00000A"/>
            </w:tcBorders>
            <w:shd w:fill="auto" w:val="clear"/>
            <w:vAlign w:val="center"/>
          </w:tcPr>
          <w:p>
            <w:pPr>
              <w:pStyle w:val="Normal"/>
              <w:jc w:val="center"/>
              <w:rPr/>
            </w:pPr>
            <w:r>
              <w:rPr/>
            </w:r>
          </w:p>
        </w:tc>
        <w:tc>
          <w:tcPr>
            <w:tcW w:w="1419" w:type="dxa"/>
            <w:tcBorders>
              <w:top w:val="single" w:sz="4" w:space="0" w:color="00000A"/>
              <w:left w:val="single" w:sz="4" w:space="0" w:color="00000A"/>
              <w:bottom w:val="single" w:sz="12"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12" w:space="0" w:color="00000A"/>
              <w:right w:val="single" w:sz="4" w:space="0" w:color="00000A"/>
            </w:tcBorders>
            <w:shd w:fill="auto" w:val="clear"/>
            <w:tcMar>
              <w:left w:w="38" w:type="dxa"/>
            </w:tcMar>
            <w:vAlign w:val="center"/>
          </w:tcPr>
          <w:p>
            <w:pPr>
              <w:pStyle w:val="Normal"/>
              <w:jc w:val="center"/>
              <w:rPr/>
            </w:pPr>
            <w:r>
              <w:rPr/>
            </w:r>
          </w:p>
        </w:tc>
        <w:tc>
          <w:tcPr>
            <w:tcW w:w="1424" w:type="dxa"/>
            <w:tcBorders>
              <w:top w:val="single" w:sz="4" w:space="0" w:color="00000A"/>
              <w:left w:val="single" w:sz="4" w:space="0" w:color="00000A"/>
              <w:bottom w:val="single" w:sz="12" w:space="0" w:color="00000A"/>
              <w:right w:val="single" w:sz="4" w:space="0" w:color="00000A"/>
            </w:tcBorders>
            <w:shd w:fill="auto" w:val="clear"/>
            <w:tcMar>
              <w:left w:w="38" w:type="dxa"/>
            </w:tcMar>
            <w:vAlign w:val="center"/>
          </w:tcPr>
          <w:p>
            <w:pPr>
              <w:pStyle w:val="Normal"/>
              <w:jc w:val="center"/>
              <w:rPr/>
            </w:pPr>
            <w:r>
              <w:rPr/>
            </w:r>
          </w:p>
        </w:tc>
        <w:tc>
          <w:tcPr>
            <w:tcW w:w="1418"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center"/>
              <w:rPr/>
            </w:pPr>
            <w:r>
              <w:rPr/>
            </w:r>
          </w:p>
        </w:tc>
      </w:tr>
    </w:tbl>
    <w:p>
      <w:pPr>
        <w:pStyle w:val="Normal"/>
        <w:rPr>
          <w:rFonts w:ascii="Times New Roman" w:hAnsi="Times New Roman"/>
        </w:rPr>
      </w:pPr>
      <w:r>
        <w:rPr>
          <w:rFonts w:ascii="Times New Roman" w:hAnsi="Times New Roman"/>
        </w:rPr>
      </w:r>
    </w:p>
    <w:p>
      <w:pPr>
        <w:pStyle w:val="Normal"/>
        <w:widowControl w:val="false"/>
        <w:suppressAutoHyphens w:val="false"/>
        <w:ind w:left="0" w:hanging="0"/>
        <w:rPr>
          <w:rFonts w:ascii="Times New Roman" w:hAnsi="Times New Roman"/>
          <w:i/>
          <w:i/>
          <w:szCs w:val="18"/>
          <w:u w:val="single"/>
        </w:rPr>
      </w:pPr>
      <w:r>
        <w:rPr>
          <w:rFonts w:ascii="Times New Roman" w:hAnsi="Times New Roman"/>
          <w:i/>
          <w:szCs w:val="18"/>
          <w:u w:val="single"/>
        </w:rPr>
      </w:r>
    </w:p>
    <w:p>
      <w:pPr>
        <w:pStyle w:val="Telotextu"/>
        <w:widowControl w:val="false"/>
        <w:suppressAutoHyphens w:val="false"/>
        <w:ind w:left="0" w:hanging="0"/>
        <w:rPr/>
      </w:pPr>
      <w:r>
        <w:rPr>
          <w:rFonts w:cs="Arial Narrow"/>
          <w:b/>
          <w:szCs w:val="22"/>
          <w:lang w:eastAsia="en-US"/>
        </w:rPr>
        <w:t>Informácie k časti G. písm. a) tretiemu bodu prílohy č. 3 o rozdelení účtovného zisku alebo o vysporiadaní účtovnej straty</w:t>
      </w:r>
    </w:p>
    <w:p>
      <w:pPr>
        <w:pStyle w:val="Telotextu"/>
        <w:widowControl w:val="false"/>
        <w:suppressAutoHyphens w:val="false"/>
        <w:ind w:left="0" w:hanging="0"/>
        <w:rPr>
          <w:rFonts w:ascii="Times New Roman" w:hAnsi="Times New Roman"/>
          <w:szCs w:val="18"/>
        </w:rPr>
      </w:pPr>
      <w:r>
        <w:rPr>
          <w:rFonts w:ascii="Times New Roman" w:hAnsi="Times New Roman"/>
          <w:szCs w:val="18"/>
        </w:rPr>
      </w:r>
      <w:bookmarkStart w:id="57" w:name="_1405948121"/>
      <w:bookmarkStart w:id="58" w:name="_1405948107"/>
      <w:bookmarkStart w:id="59" w:name="_1405948121"/>
      <w:bookmarkStart w:id="60" w:name="_1405948107"/>
      <w:bookmarkEnd w:id="59"/>
      <w:bookmarkEnd w:id="60"/>
    </w:p>
    <w:p>
      <w:pPr>
        <w:pStyle w:val="Telotextu"/>
        <w:widowControl w:val="false"/>
        <w:suppressAutoHyphens w:val="false"/>
        <w:ind w:left="0" w:hanging="0"/>
        <w:rPr/>
      </w:pPr>
      <w:r>
        <w:rPr>
          <w:szCs w:val="18"/>
        </w:rPr>
        <w:t>O rozdelení</w:t>
      </w:r>
      <w:r>
        <w:rPr>
          <w:rFonts w:ascii="Times New Roman" w:hAnsi="Times New Roman"/>
          <w:szCs w:val="18"/>
        </w:rPr>
        <w:t xml:space="preserve"> </w:t>
      </w:r>
      <w:r>
        <w:rPr>
          <w:szCs w:val="18"/>
        </w:rPr>
        <w:t>výsledku hospodárenia za účtovné obdobie 2018 vo výške 6481</w:t>
      </w:r>
      <w:r>
        <w:rPr>
          <w:color w:val="000000"/>
          <w:szCs w:val="18"/>
        </w:rPr>
        <w:t xml:space="preserve"> EUR</w:t>
      </w:r>
      <w:r>
        <w:rPr>
          <w:szCs w:val="18"/>
        </w:rPr>
        <w:t xml:space="preserve"> rozhodne valné zhromaždenie. </w:t>
      </w:r>
    </w:p>
    <w:p>
      <w:pPr>
        <w:pStyle w:val="Telotextu"/>
        <w:widowControl w:val="false"/>
        <w:suppressAutoHyphens w:val="false"/>
        <w:ind w:left="0" w:hanging="0"/>
        <w:rPr>
          <w:szCs w:val="18"/>
        </w:rPr>
      </w:pPr>
      <w:r>
        <w:rPr>
          <w:szCs w:val="18"/>
        </w:rPr>
      </w:r>
    </w:p>
    <w:p>
      <w:pPr>
        <w:pStyle w:val="Telotextu"/>
        <w:widowControl w:val="false"/>
        <w:suppressAutoHyphens w:val="false"/>
        <w:ind w:left="0" w:hanging="0"/>
        <w:rPr>
          <w:szCs w:val="18"/>
        </w:rPr>
      </w:pPr>
      <w:r>
        <w:rPr>
          <w:szCs w:val="18"/>
        </w:rPr>
        <w:t>Návrh štatutárneho orgánu valnému zhromaždeniu je takýto:</w:t>
      </w:r>
    </w:p>
    <w:p>
      <w:pPr>
        <w:pStyle w:val="Telotextu"/>
        <w:widowControl w:val="false"/>
        <w:suppressAutoHyphens w:val="false"/>
        <w:ind w:left="0" w:hanging="0"/>
        <w:rPr/>
      </w:pPr>
      <w:r>
        <w:rPr>
          <w:rFonts w:ascii="Times New Roman" w:hAnsi="Times New Roman"/>
          <w:szCs w:val="18"/>
        </w:rPr>
        <w:t xml:space="preserve">- </w:t>
      </w:r>
      <w:r>
        <w:rPr>
          <w:szCs w:val="18"/>
        </w:rPr>
        <w:t>prevod na nerozdelený zisk minulých rokov 6481</w:t>
      </w:r>
      <w:r>
        <w:rPr>
          <w:color w:val="000000"/>
          <w:szCs w:val="18"/>
        </w:rPr>
        <w:t xml:space="preserve"> EUR</w:t>
      </w:r>
    </w:p>
    <w:p>
      <w:pPr>
        <w:pStyle w:val="Telotextu"/>
        <w:widowControl w:val="false"/>
        <w:suppressAutoHyphens w:val="false"/>
        <w:ind w:left="0" w:hanging="0"/>
        <w:rPr>
          <w:color w:val="000000"/>
          <w:szCs w:val="18"/>
        </w:rPr>
      </w:pPr>
      <w:r>
        <w:rPr>
          <w:color w:val="000000"/>
          <w:szCs w:val="18"/>
        </w:rPr>
      </w:r>
    </w:p>
    <w:p>
      <w:pPr>
        <w:pStyle w:val="Telotextu"/>
        <w:widowControl w:val="false"/>
        <w:suppressAutoHyphens w:val="false"/>
        <w:rPr>
          <w:szCs w:val="18"/>
        </w:rPr>
      </w:pPr>
      <w:r>
        <w:rPr>
          <w:szCs w:val="18"/>
        </w:rPr>
      </w:r>
    </w:p>
    <w:p>
      <w:pPr>
        <w:pStyle w:val="Telotextu"/>
        <w:widowControl w:val="false"/>
        <w:suppressAutoHyphens w:val="false"/>
        <w:ind w:left="0" w:hanging="0"/>
        <w:rPr/>
      </w:pPr>
      <w:r>
        <w:rPr>
          <w:szCs w:val="18"/>
        </w:rPr>
        <w:t>Povinný prídel do zákonného rezervného fondu v r.2018 dosiahol výšku 10% z hodnoty základneho imania a dosiahol tak svoju maximálnu hranicu stanovenú v právnych pr edpisoch a v spoločenskej zmluve.</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Normal"/>
        <w:rPr>
          <w:rFonts w:ascii="Times New Roman" w:hAnsi="Times New Roman"/>
        </w:rPr>
      </w:pPr>
      <w:r>
        <w:rPr/>
        <w:t>Tabuľka č. 1</w:t>
      </w:r>
    </w:p>
    <w:p>
      <w:pPr>
        <w:pStyle w:val="Normal"/>
        <w:rPr>
          <w:rFonts w:ascii="Times New Roman" w:hAnsi="Times New Roman"/>
        </w:rPr>
      </w:pPr>
      <w:r>
        <w:rPr>
          <w:rFonts w:ascii="Times New Roman" w:hAnsi="Times New Roman"/>
        </w:rPr>
      </w:r>
    </w:p>
    <w:tbl>
      <w:tblPr>
        <w:tblW w:w="5000" w:type="pct"/>
        <w:jc w:val="center"/>
        <w:tblInd w:w="0" w:type="dxa"/>
        <w:tblCellMar>
          <w:top w:w="0" w:type="dxa"/>
          <w:left w:w="15" w:type="dxa"/>
          <w:bottom w:w="0" w:type="dxa"/>
          <w:right w:w="79" w:type="dxa"/>
        </w:tblCellMar>
        <w:tblLook w:val="04a0"/>
      </w:tblPr>
      <w:tblGrid>
        <w:gridCol w:w="6736"/>
        <w:gridCol w:w="2504"/>
      </w:tblGrid>
      <w:tr>
        <w:trPr>
          <w:trHeight w:val="765"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sz w:val="18"/>
                <w:szCs w:val="18"/>
              </w:rPr>
            </w:pPr>
            <w:r>
              <w:rPr>
                <w:sz w:val="18"/>
                <w:szCs w:val="18"/>
              </w:rPr>
              <w:t>Názov položky</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TopHeader"/>
              <w:rPr>
                <w:sz w:val="18"/>
                <w:szCs w:val="18"/>
              </w:rPr>
            </w:pPr>
            <w:r>
              <w:rPr>
                <w:sz w:val="18"/>
                <w:szCs w:val="18"/>
              </w:rPr>
              <w:t>Bezprostredne predchádzajúce účtovné obdobie</w:t>
            </w:r>
          </w:p>
        </w:tc>
      </w:tr>
      <w:tr>
        <w:trPr>
          <w:trHeight w:val="425"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 w:val="18"/>
                <w:szCs w:val="18"/>
              </w:rPr>
              <w:t xml:space="preserve">Účtovný zisk </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pPr>
            <w:r>
              <w:rPr>
                <w:sz w:val="18"/>
                <w:szCs w:val="18"/>
              </w:rPr>
              <w:t>6481</w:t>
            </w:r>
          </w:p>
        </w:tc>
      </w:tr>
      <w:tr>
        <w:trPr>
          <w:trHeight w:val="330"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szCs w:val="22"/>
              </w:rPr>
            </w:pPr>
            <w:r>
              <w:rPr>
                <w:b/>
                <w:bCs/>
                <w:sz w:val="18"/>
                <w:szCs w:val="18"/>
              </w:rPr>
              <w:t>Rozdelenie účtovného zisku</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b/>
                <w:b/>
                <w:szCs w:val="22"/>
              </w:rPr>
            </w:pPr>
            <w:r>
              <w:rPr>
                <w:b/>
                <w:sz w:val="18"/>
                <w:szCs w:val="18"/>
              </w:rPr>
              <w:t>Bežné účtovné obdobie</w:t>
            </w:r>
          </w:p>
        </w:tc>
      </w:tr>
      <w:tr>
        <w:trPr>
          <w:trHeight w:val="369" w:hRule="atLeast"/>
        </w:trPr>
        <w:tc>
          <w:tcPr>
            <w:tcW w:w="6736" w:type="dxa"/>
            <w:tcBorders>
              <w:top w:val="single" w:sz="12" w:space="0" w:color="00000A"/>
              <w:left w:val="single" w:sz="12" w:space="0" w:color="00000A"/>
              <w:bottom w:val="single" w:sz="8" w:space="0" w:color="00000A"/>
              <w:right w:val="single" w:sz="12" w:space="0" w:color="00000A"/>
            </w:tcBorders>
            <w:shd w:fill="auto" w:val="clear"/>
            <w:vAlign w:val="center"/>
          </w:tcPr>
          <w:p>
            <w:pPr>
              <w:pStyle w:val="Normal"/>
              <w:rPr>
                <w:szCs w:val="22"/>
              </w:rPr>
            </w:pPr>
            <w:r>
              <w:rPr>
                <w:sz w:val="18"/>
                <w:szCs w:val="18"/>
              </w:rPr>
              <w:t>Prídel do zákonného rezervného fondu</w:t>
            </w:r>
          </w:p>
        </w:tc>
        <w:tc>
          <w:tcPr>
            <w:tcW w:w="2504" w:type="dxa"/>
            <w:tcBorders>
              <w:top w:val="single" w:sz="12" w:space="0" w:color="00000A"/>
              <w:left w:val="single" w:sz="12" w:space="0" w:color="00000A"/>
              <w:bottom w:val="single" w:sz="8" w:space="0" w:color="00000A"/>
              <w:right w:val="single" w:sz="12" w:space="0" w:color="00000A"/>
            </w:tcBorders>
            <w:shd w:fill="auto" w:val="clear"/>
            <w:vAlign w:val="center"/>
          </w:tcPr>
          <w:p>
            <w:pPr>
              <w:pStyle w:val="Normal"/>
              <w:rPr/>
            </w:pPr>
            <w:r>
              <w:rPr>
                <w:sz w:val="18"/>
                <w:szCs w:val="18"/>
              </w:rPr>
              <w:t xml:space="preserve"> </w:t>
            </w:r>
          </w:p>
        </w:tc>
      </w:tr>
      <w:tr>
        <w:trPr>
          <w:trHeight w:val="369" w:hRule="atLeast"/>
        </w:trPr>
        <w:tc>
          <w:tcPr>
            <w:tcW w:w="6736" w:type="dxa"/>
            <w:tcBorders>
              <w:top w:val="single" w:sz="8"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t>Prídel do štatutárnych a ostatných fondov</w:t>
            </w:r>
          </w:p>
        </w:tc>
        <w:tc>
          <w:tcPr>
            <w:tcW w:w="2504" w:type="dxa"/>
            <w:tcBorders>
              <w:top w:val="single" w:sz="8"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 w:val="18"/>
                <w:szCs w:val="18"/>
              </w:rPr>
              <w:t>Prídel do sociálneho fondu</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rFonts w:ascii="Times New Roman" w:hAnsi="Times New Roman"/>
                <w:sz w:val="18"/>
                <w:szCs w:val="18"/>
              </w:rPr>
            </w:pPr>
            <w:r>
              <w:rPr>
                <w:rFonts w:ascii="Times New Roman" w:hAnsi="Times New Roman"/>
                <w:sz w:val="18"/>
                <w:szCs w:val="18"/>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t>Prídel na zvýšenie základného imania</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 w:val="18"/>
                <w:szCs w:val="18"/>
              </w:rPr>
            </w:pPr>
            <w:r>
              <w:rPr>
                <w:sz w:val="18"/>
                <w:szCs w:val="18"/>
              </w:rPr>
              <w:t>Úhrada straty minulých období</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 w:val="18"/>
                <w:szCs w:val="18"/>
              </w:rPr>
              <w:t>Prevod do nerozdeleného zisku minulých rokov</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pPr>
            <w:r>
              <w:rPr>
                <w:sz w:val="18"/>
                <w:szCs w:val="18"/>
              </w:rPr>
              <w:t xml:space="preserve"> </w:t>
            </w:r>
            <w:r>
              <w:rPr>
                <w:sz w:val="18"/>
                <w:szCs w:val="18"/>
              </w:rPr>
              <w:t>6481</w:t>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t>Rozdelenie podielu na zisku spoločníkom, členom</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 w:val="18"/>
                <w:szCs w:val="18"/>
              </w:rPr>
              <w:t xml:space="preserve">Iné </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 w:val="18"/>
                <w:szCs w:val="18"/>
              </w:rPr>
            </w:pPr>
            <w:r>
              <w:rPr>
                <w:sz w:val="18"/>
                <w:szCs w:val="18"/>
              </w:rPr>
            </w:r>
          </w:p>
        </w:tc>
      </w:tr>
      <w:tr>
        <w:trPr>
          <w:trHeight w:val="369" w:hRule="atLeast"/>
        </w:trPr>
        <w:tc>
          <w:tcPr>
            <w:tcW w:w="6736"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 w:val="18"/>
                <w:szCs w:val="18"/>
              </w:rPr>
              <w:t>Spolu</w:t>
            </w:r>
          </w:p>
        </w:tc>
        <w:tc>
          <w:tcPr>
            <w:tcW w:w="2504" w:type="dxa"/>
            <w:tcBorders>
              <w:top w:val="single" w:sz="6" w:space="0" w:color="00000A"/>
              <w:left w:val="single" w:sz="12" w:space="0" w:color="00000A"/>
              <w:bottom w:val="single" w:sz="12" w:space="0" w:color="00000A"/>
              <w:right w:val="single" w:sz="12" w:space="0" w:color="00000A"/>
            </w:tcBorders>
            <w:shd w:fill="auto" w:val="clear"/>
            <w:vAlign w:val="center"/>
          </w:tcPr>
          <w:p>
            <w:pPr>
              <w:pStyle w:val="Normal"/>
              <w:rPr/>
            </w:pPr>
            <w:r>
              <w:rPr>
                <w:sz w:val="18"/>
                <w:szCs w:val="18"/>
              </w:rPr>
              <w:t xml:space="preserve"> </w:t>
            </w:r>
            <w:r>
              <w:rPr>
                <w:sz w:val="18"/>
                <w:szCs w:val="18"/>
              </w:rPr>
              <w:t>6481</w:t>
            </w:r>
          </w:p>
        </w:tc>
      </w:tr>
    </w:tbl>
    <w:p>
      <w:pPr>
        <w:pStyle w:val="Normal"/>
        <w:rPr>
          <w:szCs w:val="22"/>
        </w:rPr>
      </w:pPr>
      <w:r>
        <w:rPr>
          <w:szCs w:val="22"/>
        </w:rPr>
      </w:r>
    </w:p>
    <w:p>
      <w:pPr>
        <w:pStyle w:val="Normal"/>
        <w:rPr/>
      </w:pPr>
      <w:r>
        <w:rPr/>
        <w:t>Tabuľka č. 2</w:t>
      </w:r>
    </w:p>
    <w:p>
      <w:pPr>
        <w:pStyle w:val="Normal"/>
        <w:rPr>
          <w:rFonts w:ascii="Times New Roman" w:hAnsi="Times New Roman"/>
          <w:b/>
          <w:b/>
        </w:rPr>
      </w:pPr>
      <w:r>
        <w:rPr>
          <w:b/>
        </w:rPr>
        <w:t>Nevypĺňa sa</w:t>
      </w:r>
    </w:p>
    <w:p>
      <w:pPr>
        <w:pStyle w:val="Normal"/>
        <w:rPr>
          <w:rFonts w:ascii="Times New Roman" w:hAnsi="Times New Roman"/>
          <w:szCs w:val="22"/>
        </w:rPr>
      </w:pPr>
      <w:r>
        <w:rPr>
          <w:rFonts w:ascii="Times New Roman" w:hAnsi="Times New Roman"/>
          <w:szCs w:val="22"/>
        </w:rPr>
      </w:r>
    </w:p>
    <w:tbl>
      <w:tblPr>
        <w:tblW w:w="5000" w:type="pct"/>
        <w:jc w:val="center"/>
        <w:tblInd w:w="0" w:type="dxa"/>
        <w:tblCellMar>
          <w:top w:w="0" w:type="dxa"/>
          <w:left w:w="15" w:type="dxa"/>
          <w:bottom w:w="0" w:type="dxa"/>
          <w:right w:w="79" w:type="dxa"/>
        </w:tblCellMar>
        <w:tblLook w:val="04a0"/>
      </w:tblPr>
      <w:tblGrid>
        <w:gridCol w:w="6736"/>
        <w:gridCol w:w="2504"/>
      </w:tblGrid>
      <w:tr>
        <w:trPr>
          <w:trHeight w:val="330"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pPr>
            <w:r>
              <w:rPr>
                <w:b/>
                <w:bCs/>
                <w:szCs w:val="22"/>
              </w:rPr>
              <w:t>Názov položky</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b/>
                <w:b/>
                <w:szCs w:val="22"/>
              </w:rPr>
            </w:pPr>
            <w:r>
              <w:rPr>
                <w:b/>
                <w:szCs w:val="22"/>
              </w:rPr>
              <w:t>Bezprostredne predchádzajúce účtovné obdobie</w:t>
            </w:r>
          </w:p>
        </w:tc>
      </w:tr>
      <w:tr>
        <w:trPr>
          <w:trHeight w:val="425" w:hRule="atLeast"/>
        </w:trPr>
        <w:tc>
          <w:tcPr>
            <w:tcW w:w="6736"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Cs w:val="22"/>
              </w:rPr>
              <w:t>Účtovná strata</w:t>
            </w:r>
          </w:p>
        </w:tc>
        <w:tc>
          <w:tcPr>
            <w:tcW w:w="2504"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jc w:val="center"/>
              <w:rPr>
                <w:szCs w:val="22"/>
              </w:rPr>
            </w:pPr>
            <w:r>
              <w:rPr>
                <w:szCs w:val="22"/>
              </w:rPr>
            </w:r>
          </w:p>
        </w:tc>
      </w:tr>
      <w:tr>
        <w:trPr>
          <w:trHeight w:val="425" w:hRule="atLeast"/>
        </w:trPr>
        <w:tc>
          <w:tcPr>
            <w:tcW w:w="6736"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szCs w:val="22"/>
              </w:rPr>
            </w:pPr>
            <w:r>
              <w:rPr>
                <w:b/>
                <w:bCs/>
                <w:szCs w:val="22"/>
              </w:rPr>
              <w:t>Vysporiadanie účtovnej straty</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jc w:val="center"/>
              <w:rPr>
                <w:szCs w:val="22"/>
              </w:rPr>
            </w:pPr>
            <w:r>
              <w:rPr>
                <w:b/>
                <w:szCs w:val="22"/>
              </w:rPr>
              <w:t>Bežné účtovné obdobie</w:t>
            </w:r>
          </w:p>
        </w:tc>
      </w:tr>
      <w:tr>
        <w:trPr>
          <w:trHeight w:val="369" w:hRule="atLeast"/>
        </w:trPr>
        <w:tc>
          <w:tcPr>
            <w:tcW w:w="6736"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t>Zo zákonného rezervného fondu</w:t>
            </w:r>
          </w:p>
        </w:tc>
        <w:tc>
          <w:tcPr>
            <w:tcW w:w="2504" w:type="dxa"/>
            <w:tcBorders>
              <w:top w:val="single" w:sz="12"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Zo štatutárnych a ostatných fondov</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pPr>
            <w:r>
              <w:rPr>
                <w:szCs w:val="22"/>
              </w:rPr>
              <w:t>Z nerozdeleného zisku minulých rokov</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pPr>
            <w:r>
              <w:rPr>
                <w:szCs w:val="22"/>
              </w:rPr>
              <w:t>Úhrada straty spoločníkmi, členmi</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4"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t>Prevod na účet neuhradenej straty minulých rokov</w:t>
            </w:r>
          </w:p>
        </w:tc>
        <w:tc>
          <w:tcPr>
            <w:tcW w:w="2504" w:type="dxa"/>
            <w:tcBorders>
              <w:top w:val="single" w:sz="6" w:space="0" w:color="00000A"/>
              <w:left w:val="single" w:sz="12" w:space="0" w:color="00000A"/>
              <w:bottom w:val="single" w:sz="6"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t xml:space="preserve">Iné </w:t>
            </w:r>
          </w:p>
        </w:tc>
        <w:tc>
          <w:tcPr>
            <w:tcW w:w="2504" w:type="dxa"/>
            <w:tcBorders>
              <w:top w:val="single" w:sz="6" w:space="0" w:color="00000A"/>
              <w:left w:val="single" w:sz="12" w:space="0" w:color="00000A"/>
              <w:bottom w:val="single" w:sz="4" w:space="0" w:color="00000A"/>
              <w:right w:val="single" w:sz="12" w:space="0" w:color="00000A"/>
            </w:tcBorders>
            <w:shd w:fill="auto" w:val="clear"/>
            <w:vAlign w:val="center"/>
          </w:tcPr>
          <w:p>
            <w:pPr>
              <w:pStyle w:val="Normal"/>
              <w:rPr>
                <w:szCs w:val="22"/>
              </w:rPr>
            </w:pPr>
            <w:r>
              <w:rPr>
                <w:szCs w:val="22"/>
              </w:rPr>
            </w:r>
          </w:p>
        </w:tc>
      </w:tr>
      <w:tr>
        <w:trPr>
          <w:trHeight w:val="369" w:hRule="atLeast"/>
        </w:trPr>
        <w:tc>
          <w:tcPr>
            <w:tcW w:w="6736" w:type="dxa"/>
            <w:tcBorders>
              <w:top w:val="single" w:sz="4" w:space="0" w:color="00000A"/>
              <w:left w:val="single" w:sz="12" w:space="0" w:color="00000A"/>
              <w:bottom w:val="single" w:sz="12" w:space="0" w:color="00000A"/>
              <w:right w:val="single" w:sz="12" w:space="0" w:color="00000A"/>
            </w:tcBorders>
            <w:shd w:fill="auto" w:val="clear"/>
            <w:vAlign w:val="center"/>
          </w:tcPr>
          <w:p>
            <w:pPr>
              <w:pStyle w:val="Normal"/>
              <w:rPr>
                <w:b/>
                <w:b/>
                <w:bCs/>
                <w:szCs w:val="22"/>
              </w:rPr>
            </w:pPr>
            <w:r>
              <w:rPr>
                <w:b/>
                <w:bCs/>
                <w:szCs w:val="22"/>
              </w:rPr>
              <w:t xml:space="preserve">Spolu </w:t>
            </w:r>
          </w:p>
        </w:tc>
        <w:tc>
          <w:tcPr>
            <w:tcW w:w="2504" w:type="dxa"/>
            <w:tcBorders>
              <w:top w:val="single" w:sz="12" w:space="0" w:color="00000A"/>
              <w:left w:val="single" w:sz="12" w:space="0" w:color="00000A"/>
              <w:bottom w:val="single" w:sz="12" w:space="0" w:color="00000A"/>
              <w:right w:val="single" w:sz="12" w:space="0" w:color="00000A"/>
            </w:tcBorders>
            <w:shd w:fill="auto" w:val="clear"/>
            <w:vAlign w:val="center"/>
          </w:tcPr>
          <w:p>
            <w:pPr>
              <w:pStyle w:val="Normal"/>
              <w:rPr>
                <w:szCs w:val="22"/>
              </w:rPr>
            </w:pPr>
            <w:r>
              <w:rPr>
                <w:szCs w:val="22"/>
              </w:rPr>
              <w:t>0</w:t>
            </w:r>
          </w:p>
        </w:tc>
      </w:tr>
    </w:tbl>
    <w:p>
      <w:pPr>
        <w:pStyle w:val="Nzov"/>
        <w:spacing w:beforeAutospacing="0" w:before="0" w:after="0"/>
        <w:jc w:val="left"/>
        <w:rPr>
          <w:rFonts w:ascii="Times New Roman" w:hAnsi="Times New Roman"/>
          <w:b/>
          <w:b/>
          <w:caps/>
          <w:szCs w:val="18"/>
        </w:rPr>
      </w:pPr>
      <w:r>
        <w:rPr>
          <w:rFonts w:ascii="Times New Roman" w:hAnsi="Times New Roman"/>
          <w:b/>
          <w:caps/>
          <w:szCs w:val="18"/>
        </w:rPr>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Q.  Informácie účtovných jednotiek, v ktorých má orgán verejnej moci väčšinový podiel na hlasovacích právach</w:t>
      </w:r>
    </w:p>
    <w:p>
      <w:pPr>
        <w:pStyle w:val="Nadpis1"/>
        <w:keepNext w:val="true"/>
        <w:widowControl w:val="false"/>
        <w:numPr>
          <w:ilvl w:val="0"/>
          <w:numId w:val="0"/>
        </w:numPr>
        <w:suppressAutoHyphens w:val="false"/>
        <w:spacing w:before="120" w:after="60"/>
        <w:rPr>
          <w:caps w:val="false"/>
          <w:smallCaps w:val="false"/>
          <w:szCs w:val="18"/>
        </w:rPr>
      </w:pPr>
      <w:r>
        <w:rPr>
          <w:caps w:val="false"/>
          <w:smallCaps w:val="false"/>
          <w:szCs w:val="18"/>
        </w:rPr>
        <w:t>Nevypĺňa sa</w:t>
      </w:r>
    </w:p>
    <w:p>
      <w:pPr>
        <w:pStyle w:val="Normal"/>
        <w:rPr>
          <w:rFonts w:ascii="Times New Roman" w:hAnsi="Times New Roman"/>
        </w:rPr>
      </w:pPr>
      <w:r>
        <w:rPr>
          <w:rFonts w:ascii="Times New Roman" w:hAnsi="Times New Roman"/>
        </w:rPr>
      </w:r>
    </w:p>
    <w:p>
      <w:pPr>
        <w:pStyle w:val="Normal"/>
        <w:rPr>
          <w:b/>
          <w:b/>
          <w:caps/>
          <w:szCs w:val="18"/>
        </w:rPr>
      </w:pPr>
      <w:r>
        <w:rPr>
          <w:b/>
          <w:caps/>
          <w:szCs w:val="18"/>
        </w:rPr>
        <w:t>R.  PREHĽAD PEŇAŽNÝCH TOKOV</w:t>
      </w:r>
    </w:p>
    <w:p>
      <w:pPr>
        <w:pStyle w:val="Normal"/>
        <w:rPr>
          <w:rFonts w:ascii="Times New Roman" w:hAnsi="Times New Roman"/>
        </w:rPr>
      </w:pPr>
      <w:r>
        <w:rPr>
          <w:rFonts w:ascii="Times New Roman" w:hAnsi="Times New Roman"/>
        </w:rPr>
      </w:r>
    </w:p>
    <w:p>
      <w:pPr>
        <w:pStyle w:val="Telotextu"/>
        <w:widowControl w:val="false"/>
        <w:suppressAutoHyphens w:val="false"/>
        <w:ind w:left="0" w:hanging="0"/>
        <w:rPr/>
      </w:pPr>
      <w:r>
        <w:rPr>
          <w:b/>
          <w:szCs w:val="18"/>
        </w:rPr>
        <w:t>Peňažné toky z prevádzky</w:t>
      </w:r>
    </w:p>
    <w:p>
      <w:pPr>
        <w:pStyle w:val="Telotextu"/>
        <w:widowControl w:val="false"/>
        <w:suppressAutoHyphens w:val="false"/>
        <w:ind w:left="0" w:right="0" w:hanging="0"/>
        <w:rPr>
          <w:b/>
          <w:b/>
          <w:szCs w:val="18"/>
        </w:rPr>
      </w:pPr>
      <w:r>
        <w:rPr>
          <w:b/>
          <w:szCs w:val="18"/>
        </w:rPr>
      </w:r>
    </w:p>
    <w:p>
      <w:pPr>
        <w:pStyle w:val="Telotextu"/>
        <w:widowControl w:val="false"/>
        <w:suppressAutoHyphens w:val="false"/>
        <w:ind w:left="0" w:hanging="0"/>
        <w:rPr>
          <w:b/>
          <w:b/>
          <w:szCs w:val="18"/>
        </w:rPr>
      </w:pPr>
      <w:r>
        <w:rPr>
          <w:b/>
          <w:szCs w:val="18"/>
        </w:rPr>
        <w:t>Peňažné prostriedky</w:t>
      </w:r>
    </w:p>
    <w:p>
      <w:pPr>
        <w:pStyle w:val="Telotextu"/>
        <w:widowControl w:val="false"/>
        <w:suppressAutoHyphens w:val="false"/>
        <w:rPr>
          <w:b/>
          <w:b/>
          <w:szCs w:val="18"/>
        </w:rPr>
      </w:pPr>
      <w:r>
        <w:rPr>
          <w:b/>
          <w:szCs w:val="18"/>
        </w:rPr>
      </w:r>
    </w:p>
    <w:p>
      <w:pPr>
        <w:pStyle w:val="Telotextu"/>
        <w:widowControl w:val="false"/>
        <w:suppressAutoHyphens w:val="false"/>
        <w:ind w:left="0" w:hanging="0"/>
        <w:rPr/>
      </w:pPr>
      <w:r>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pPr>
        <w:pStyle w:val="Telotextu"/>
        <w:widowControl w:val="false"/>
        <w:suppressAutoHyphens w:val="false"/>
        <w:rPr>
          <w:szCs w:val="18"/>
        </w:rPr>
      </w:pPr>
      <w:r>
        <w:rPr>
          <w:szCs w:val="18"/>
        </w:rPr>
      </w:r>
    </w:p>
    <w:p>
      <w:pPr>
        <w:pStyle w:val="Telotextu"/>
        <w:widowControl w:val="false"/>
        <w:suppressAutoHyphens w:val="false"/>
        <w:ind w:left="0" w:hanging="0"/>
        <w:rPr>
          <w:b/>
          <w:b/>
          <w:szCs w:val="18"/>
        </w:rPr>
      </w:pPr>
      <w:r>
        <w:rPr>
          <w:b/>
          <w:szCs w:val="18"/>
        </w:rPr>
        <w:t>Ekvivalenty peňažných prostriedkov</w:t>
      </w:r>
    </w:p>
    <w:p>
      <w:pPr>
        <w:pStyle w:val="Telotextu"/>
        <w:widowControl w:val="false"/>
        <w:suppressAutoHyphens w:val="false"/>
        <w:rPr>
          <w:b/>
          <w:b/>
          <w:szCs w:val="18"/>
        </w:rPr>
      </w:pPr>
      <w:r>
        <w:rPr>
          <w:b/>
          <w:szCs w:val="18"/>
        </w:rPr>
      </w:r>
    </w:p>
    <w:p>
      <w:pPr>
        <w:pStyle w:val="Telotextu"/>
        <w:widowControl w:val="false"/>
        <w:suppressAutoHyphens w:val="false"/>
        <w:ind w:left="0" w:hanging="0"/>
        <w:rPr/>
      </w:pPr>
      <w:r>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ind w:left="0" w:hanging="0"/>
        <w:jc w:val="left"/>
        <w:rPr>
          <w:b/>
          <w:b/>
          <w:szCs w:val="18"/>
        </w:rPr>
      </w:pPr>
      <w:r>
        <w:rPr>
          <w:b/>
          <w:szCs w:val="18"/>
        </w:rPr>
        <w:t>Peňažné toky z prevádzkovej činnosti</w:t>
      </w:r>
      <w:r>
        <w:rPr>
          <w:rFonts w:ascii="Times New Roman" w:hAnsi="Times New Roman"/>
          <w:b/>
          <w:szCs w:val="18"/>
        </w:rPr>
        <w:br/>
      </w:r>
      <w:r>
        <w:rPr>
          <w:b/>
          <w:szCs w:val="18"/>
        </w:rPr>
        <w:t xml:space="preserve"> </w:t>
      </w:r>
    </w:p>
    <w:p>
      <w:pPr>
        <w:pStyle w:val="Telotextu"/>
        <w:widowControl w:val="false"/>
        <w:suppressAutoHyphens w:val="false"/>
        <w:ind w:left="0" w:hanging="0"/>
        <w:rPr>
          <w:rFonts w:ascii="Times New Roman" w:hAnsi="Times New Roman"/>
          <w:szCs w:val="18"/>
        </w:rPr>
      </w:pPr>
      <w:r>
        <w:rPr>
          <w:szCs w:val="18"/>
        </w:rPr>
        <w:t>Peňažné toky, ktoré súvisia s predmetom podnikania účtovnej jednotky a spôsobujú vznik zisku alebo straty, napríklad príjmy z predaja tovaru, výrobkov a služieb, vrátane prijatých preddavkov, príjmy z poplatkov za priemyselné práva a autorské práva, z provízií a ďalšie príjmy vzťahujúce sa k výnosom z bežnej činnosti, výdavky na úhrady za dodávky materiálu, tovaru a externých služieb, vrátane zaplatených preddavkov, výdavky na zamestnancov, napríklad mzdy a odmeny a výdavky platené v mene zamestnancov, napríklad na zdravotné poistenie, nemocenské poistenie, dôchodkové poistenie, poistenie v nezamestnanosti a preddavky na daň z príjmov, odvádzané za zamestnancov, výdavky na daň z príjmov účtovnej jednotky po odpočítaní príjmov z vrátenia preplatku dane z príjmov, s výnimkou takýchto výdavkov za investičnú činnosť a finančnú činnosť, príjmy a výdavky zo zmlúv, ktorých predmetom je uplatnenie práva kúpy alebo predaja, ktoré je určené na predaj alebo na obchodovanie, príjmy a výdavky z nákupu a predaja cenných papierov určených na predaj alebo na obchodovanie, príjmy z pôžičiek a úverov, ktoré poskytla účtovnej jednotke banka alebo pobočka zahraničnej banky, ak sa vzťahujú na činnosť súvisiacu s jej predmetom podnikania</w:t>
      </w:r>
      <w:r>
        <w:rPr>
          <w:rFonts w:ascii="Times New Roman" w:hAnsi="Times New Roman"/>
          <w:szCs w:val="18"/>
        </w:rPr>
        <w:t>.</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ind w:left="0" w:hanging="0"/>
        <w:rPr/>
      </w:pPr>
      <w:r>
        <w:rPr>
          <w:b/>
          <w:szCs w:val="18"/>
        </w:rPr>
        <w:t xml:space="preserve">Peňažné toky z investičnej činnosti </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p>
      <w:pPr>
        <w:pStyle w:val="Telotextu"/>
        <w:widowControl w:val="false"/>
        <w:suppressAutoHyphens w:val="false"/>
        <w:ind w:left="0" w:hanging="0"/>
        <w:rPr>
          <w:szCs w:val="18"/>
        </w:rPr>
      </w:pPr>
      <w:r>
        <w:rPr>
          <w:szCs w:val="18"/>
        </w:rPr>
        <w:t>Peňažné toky, ktoré súvisia s predmetom podnikania účtovnej jednotky a spôsobujú vznik zisku alebo straty, napríklad výdavky na obstaranie dlhodobého nehmotného majetku a dlhodobého hmotného majetku</w:t>
      </w:r>
      <w:r>
        <w:rPr>
          <w:rFonts w:ascii="Times New Roman" w:hAnsi="Times New Roman"/>
          <w:szCs w:val="18"/>
        </w:rPr>
        <w:t xml:space="preserve">, </w:t>
      </w:r>
      <w:r>
        <w:rPr>
          <w:szCs w:val="18"/>
        </w:rPr>
        <w:t>príjmy z predaja dlhodobého nehmotného majetku a dlhodobého hmotného majetku, výdavky na obstaranie dlhodobých cenných papierov a podielov v iných účtovných jednotkách, s výnimkou cenných papierov, ktoré sa považujú za peňažné ekvivalenty a cenných papierov, ktoré sú určené na predaj alebo na obchodovanie, príjmy z predaja dlhodobých cenných papierov a podielov v iných účtovných jednotkách, s výnimkou cenných papierov, ktoré sa považujú za peňažné ekvivalenty a cenných papierov, ktoré sú určené na predaj alebo na obchodovanie, výdavky na pôžičky poskytnuté tretím osobám, príjmy zo splácania pôžičiek od tretích osôb, príjmy z prenájmu súboru hnuteľného majetku a nehnuteľného majetku používaného a odpisovaného nájomcom, výdavky súvisiace s derivátmi, s výnimkou, ak sú určené na predaj alebo na obchodovanie, alebo ak sa tieto výdavky považujú za peňažné toky z finančnej činnosti, príjmy súvisiace s derivátmi s výnimkou, ak sú určené na predaj alebo na obchodovanie, alebo ak sa tieto výdavky považujú za peňažné toky z finančnej činnosti, príjmy a výdavky súvisiace s derivátmi, ak sa nimi zabezpečuje majetok alebo záväzky účtovnej jednotky, pričom sa vykazujú rovnakým spôsobom ako peňažný tok súvisiaci s rizikom, ktoré sa zabezpečuje.</w:t>
      </w:r>
    </w:p>
    <w:p>
      <w:pPr>
        <w:pStyle w:val="Normal"/>
        <w:rPr>
          <w:rFonts w:ascii="Times New Roman" w:hAnsi="Times New Roman"/>
        </w:rPr>
      </w:pPr>
      <w:r>
        <w:rPr>
          <w:rFonts w:ascii="Times New Roman" w:hAnsi="Times New Roman"/>
        </w:rPr>
      </w:r>
    </w:p>
    <w:p>
      <w:pPr>
        <w:pStyle w:val="Telotextu"/>
        <w:widowControl w:val="false"/>
        <w:suppressAutoHyphens w:val="false"/>
        <w:ind w:left="0" w:hanging="0"/>
        <w:rPr/>
      </w:pPr>
      <w:r>
        <w:rPr>
          <w:b/>
          <w:szCs w:val="18"/>
        </w:rPr>
        <w:t xml:space="preserve">Peňažné toky z finančnej činnosti </w:t>
      </w:r>
    </w:p>
    <w:p>
      <w:pPr>
        <w:pStyle w:val="Normal"/>
        <w:rPr>
          <w:rFonts w:ascii="Times New Roman" w:hAnsi="Times New Roman"/>
        </w:rPr>
      </w:pPr>
      <w:r>
        <w:rPr>
          <w:rFonts w:ascii="Times New Roman" w:hAnsi="Times New Roman"/>
        </w:rPr>
      </w:r>
    </w:p>
    <w:p>
      <w:pPr>
        <w:pStyle w:val="Normal"/>
        <w:rPr>
          <w:rFonts w:ascii="Times New Roman" w:hAnsi="Times New Roman"/>
          <w:szCs w:val="18"/>
        </w:rPr>
      </w:pPr>
      <w:r>
        <w:rPr>
          <w:szCs w:val="18"/>
        </w:rPr>
        <w:t>Peňažné toky, ktoré súvisia s predmetom podnikania účtovnej jednotky a spôsobujú vznik zisku alebo straty, napríklad príjmy z emisie akcií, príjmy z upísaných obchodných podielov a príjmy z iného zvýšenia vlastného imania, výdavky na obstaranie alebo spätné odkúpenie vlastných akcií alebo vlastných obchodných podielov a výdavky na iné zníženie vlastného imania, príjmy z emisie dlhových cenných papierov, úverov a pôžičiek, výdavky na úhradu záväzkov z cenných papierov, na splácanie úverov a pôžičiek, výdavky na úhradu záväzkov z používania majetku, ktorý je predmetom zmluvy o kúpe prenajatej veci, výdavky za nájom súboru hnuteľného majetku a nehnuteľného majetku používaného a odpisovaného nájomcom</w:t>
      </w:r>
      <w:r>
        <w:rPr>
          <w:rFonts w:ascii="Times New Roman" w:hAnsi="Times New Roman"/>
          <w:szCs w:val="18"/>
        </w:rPr>
        <w:t>.</w:t>
      </w:r>
    </w:p>
    <w:p>
      <w:pPr>
        <w:pStyle w:val="Normal"/>
        <w:rPr>
          <w:rFonts w:ascii="Times New Roman" w:hAnsi="Times New Roman"/>
          <w:szCs w:val="18"/>
        </w:rPr>
      </w:pPr>
      <w:r>
        <w:rPr>
          <w:rFonts w:ascii="Times New Roman" w:hAnsi="Times New Roman"/>
          <w:szCs w:val="18"/>
        </w:rPr>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S. Prehľad peňažných tokov k 31. decembru 2019 – PRIAMA METÓDA</w:t>
      </w:r>
    </w:p>
    <w:p>
      <w:pPr>
        <w:pStyle w:val="Normal"/>
        <w:rPr>
          <w:rFonts w:ascii="Times New Roman" w:hAnsi="Times New Roman"/>
        </w:rPr>
      </w:pPr>
      <w:r>
        <w:rPr>
          <w:rFonts w:ascii="Times New Roman" w:hAnsi="Times New Roman"/>
        </w:rPr>
      </w:r>
    </w:p>
    <w:p>
      <w:pPr>
        <w:pStyle w:val="Normal"/>
        <w:rPr/>
      </w:pPr>
      <w:r>
        <w:rPr>
          <w:szCs w:val="18"/>
        </w:rPr>
        <w:t>Priamou metódou sa rozumie vykazovanie vhodne zvolených hlavných skupín hrubých príjmov a hrubých výdavkov a možno ju uplatniť ako čistú priamu metódu, pri ktorej sa vychádza z vhodne vytvorených analytických účtov k účtom peňažných prostriedkov alebo ako modifikovanú priamu metódu, pri ktorej sa vychádza z položiek výkazu ziskov a strát, pričom sa upravia tržby z predaja, náklady na obstaranie predaného tovaru a ďalšie položky výkazu ziskov a strát, ktoré sa týkajú prevádzkovej činnosti účtovnej jednotky, o zmenu stavu zásob, pohľadávok z prevádzkových činností a záväzkov z prevádzkových činností, o ostatné nepeňažné položky a o ostatné položky, ktorých peňažné toky sú peňažnými tokmi z investičnej činnosti alebo peňažnými tokmi z finančnej činnosti.</w:t>
      </w:r>
    </w:p>
    <w:p>
      <w:pPr>
        <w:pStyle w:val="Nadpis1"/>
        <w:keepNext w:val="true"/>
        <w:widowControl w:val="false"/>
        <w:numPr>
          <w:ilvl w:val="0"/>
          <w:numId w:val="0"/>
        </w:numPr>
        <w:suppressAutoHyphens w:val="false"/>
        <w:spacing w:before="120" w:after="60"/>
        <w:ind w:left="0" w:hanging="0"/>
        <w:rPr/>
      </w:pPr>
      <w:r>
        <w:rPr>
          <w:rFonts w:eastAsia="Times New Roman" w:cs="Times New Roman"/>
          <w:b/>
          <w:caps w:val="false"/>
          <w:smallCaps w:val="false"/>
          <w:color w:val="00000A"/>
          <w:sz w:val="18"/>
          <w:szCs w:val="18"/>
          <w:lang w:val="sk-SK" w:eastAsia="zh-CN" w:bidi="ar-SA"/>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T. Prehľad peňažných tokov k 31. decembru 2019 – NEPRIAMA METÓDA</w:t>
      </w:r>
    </w:p>
    <w:p>
      <w:pPr>
        <w:pStyle w:val="Normal"/>
        <w:rPr>
          <w:szCs w:val="18"/>
        </w:rPr>
      </w:pPr>
      <w:r>
        <w:rPr>
          <w:szCs w:val="18"/>
        </w:rPr>
      </w:r>
    </w:p>
    <w:p>
      <w:pPr>
        <w:pStyle w:val="Normal"/>
        <w:rPr/>
      </w:pPr>
      <w:bookmarkStart w:id="61" w:name="_1405950641"/>
      <w:bookmarkEnd w:id="61"/>
      <w:r>
        <w:rPr>
          <w:szCs w:val="18"/>
        </w:rPr>
        <w:t>Nepriamou metódou sa rozumie vykazovanie peňažných tokov, pri ktorých sa vychádza z výsledku hospodárenia z bežnej činnosti pred zdanením daňou z príjmov, upraveného o vplyv nepeňažných položiek, napríklad odpisov dlhodobého majetku, rezerv, opravných položiek, zmien stavu zásob, pohľadávok z prevádzkových činností a záväzkov z prevádzkových činností, počas bežného účtovného obdobia a všetkých ostatných položiek, ktorých peňažné toky sú peňažnými tokmi z investičnej činnosti alebo peňažnými tokmi z finančnej činnosti.</w:t>
      </w:r>
    </w:p>
    <w:p>
      <w:pPr>
        <w:pStyle w:val="Nadpis1"/>
        <w:keepNext w:val="true"/>
        <w:widowControl w:val="false"/>
        <w:numPr>
          <w:ilvl w:val="0"/>
          <w:numId w:val="0"/>
        </w:numPr>
        <w:suppressAutoHyphens w:val="false"/>
        <w:spacing w:before="120" w:after="60"/>
        <w:ind w:left="0" w:hanging="0"/>
        <w:rPr/>
      </w:pPr>
      <w:bookmarkStart w:id="62" w:name="__DdeLink__3754_328339585"/>
      <w:bookmarkEnd w:id="62"/>
      <w:r>
        <w:rPr>
          <w:rFonts w:eastAsia="Times New Roman" w:cs="Times New Roman"/>
          <w:b/>
          <w:caps w:val="false"/>
          <w:smallCaps w:val="false"/>
          <w:color w:val="00000A"/>
          <w:sz w:val="18"/>
          <w:szCs w:val="18"/>
          <w:lang w:val="sk-SK" w:eastAsia="zh-CN" w:bidi="ar-SA"/>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U. informácie účtovných jednotiek podľa § 23d ods. 6 zákona, ktorých činnosť je zaradená do kategórie priemyselnej výroby podľa osobitného predpisu a ktorých čistý obrat za bezprostredne predchádzajúce účtovné obdobie bol väčší ako 250 000 000 eur</w:t>
      </w:r>
    </w:p>
    <w:p>
      <w:pPr>
        <w:pStyle w:val="Nadpis1"/>
        <w:keepNext w:val="true"/>
        <w:widowControl w:val="false"/>
        <w:numPr>
          <w:ilvl w:val="0"/>
          <w:numId w:val="0"/>
        </w:numPr>
        <w:suppressAutoHyphens w:val="false"/>
        <w:spacing w:before="120" w:after="60"/>
        <w:rPr/>
      </w:pPr>
      <w:r>
        <w:rPr>
          <w:caps w:val="false"/>
          <w:smallCaps w:val="false"/>
          <w:szCs w:val="18"/>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V. informácie účtovnÝch jednotiek podľa § 23d ods. 6 zákona o finančnÝch vzťahoch medzi orgánom verejnej moci a účtovnou jednotkou</w:t>
      </w:r>
    </w:p>
    <w:p>
      <w:pPr>
        <w:pStyle w:val="Nadpis1"/>
        <w:keepNext w:val="true"/>
        <w:widowControl w:val="false"/>
        <w:numPr>
          <w:ilvl w:val="0"/>
          <w:numId w:val="0"/>
        </w:numPr>
        <w:suppressAutoHyphens w:val="false"/>
        <w:spacing w:before="120" w:after="60"/>
        <w:rPr/>
      </w:pPr>
      <w:r>
        <w:rPr>
          <w:caps w:val="false"/>
          <w:smallCaps w:val="false"/>
          <w:szCs w:val="18"/>
        </w:rPr>
        <w:t>Nevypĺňa sa</w:t>
      </w:r>
    </w:p>
    <w:p>
      <w:pPr>
        <w:pStyle w:val="Nadpis1"/>
        <w:keepNext w:val="true"/>
        <w:widowControl w:val="false"/>
        <w:numPr>
          <w:ilvl w:val="0"/>
          <w:numId w:val="0"/>
        </w:numPr>
        <w:tabs>
          <w:tab w:val="clear" w:pos="708"/>
          <w:tab w:val="left" w:pos="360" w:leader="none"/>
        </w:tabs>
        <w:suppressAutoHyphens w:val="false"/>
        <w:spacing w:before="120" w:after="60"/>
        <w:rPr/>
      </w:pPr>
      <w:r>
        <w:rPr>
          <w:szCs w:val="18"/>
        </w:rPr>
        <w:t>W. V poznámkach účtovných jednotiek, ktorým bolo udelené výlučné právo alebo osobitné právo a účtovných jednotiek, ktorým bolo udelené právo poskytovať služby vo verejnom záujme, pričom prijímajú náhradu za túto činnosť v akejkoľvek forme a zároveň vykonávajú aj iné činnosti</w:t>
      </w:r>
    </w:p>
    <w:p>
      <w:pPr>
        <w:pStyle w:val="Nadpis1"/>
        <w:keepNext w:val="true"/>
        <w:widowControl w:val="false"/>
        <w:numPr>
          <w:ilvl w:val="0"/>
          <w:numId w:val="0"/>
        </w:numPr>
        <w:suppressAutoHyphens w:val="false"/>
        <w:spacing w:before="120" w:after="60"/>
        <w:rPr/>
      </w:pPr>
      <w:r>
        <w:rPr>
          <w:caps w:val="false"/>
          <w:smallCaps w:val="false"/>
          <w:szCs w:val="18"/>
        </w:rPr>
        <w:t>Nevypĺňa sa</w:t>
      </w:r>
    </w:p>
    <w:p>
      <w:pPr>
        <w:pStyle w:val="Telotextu"/>
        <w:widowControl w:val="false"/>
        <w:suppressAutoHyphens w:val="false"/>
        <w:ind w:left="0" w:hanging="0"/>
        <w:rPr>
          <w:rFonts w:ascii="Times New Roman" w:hAnsi="Times New Roman"/>
          <w:szCs w:val="18"/>
        </w:rPr>
      </w:pPr>
      <w:r>
        <w:rPr>
          <w:rFonts w:ascii="Times New Roman" w:hAnsi="Times New Roman"/>
          <w:szCs w:val="18"/>
        </w:rPr>
      </w:r>
    </w:p>
    <w:tbl>
      <w:tblPr>
        <w:tblStyle w:val="TableGrid"/>
        <w:tblW w:w="9458" w:type="dxa"/>
        <w:jc w:val="left"/>
        <w:tblInd w:w="-70" w:type="dxa"/>
        <w:tblCellMar>
          <w:top w:w="0" w:type="dxa"/>
          <w:left w:w="38" w:type="dxa"/>
          <w:bottom w:w="0" w:type="dxa"/>
          <w:right w:w="108" w:type="dxa"/>
        </w:tblCellMar>
        <w:tblLook w:val="00bf"/>
      </w:tblPr>
      <w:tblGrid>
        <w:gridCol w:w="1622"/>
        <w:gridCol w:w="2513"/>
        <w:gridCol w:w="2530"/>
        <w:gridCol w:w="2792"/>
      </w:tblGrid>
      <w:tr>
        <w:trPr/>
        <w:tc>
          <w:tcPr>
            <w:tcW w:w="1622" w:type="dxa"/>
            <w:tcBorders/>
            <w:shd w:fill="auto" w:val="clear"/>
          </w:tcPr>
          <w:p>
            <w:pPr>
              <w:pStyle w:val="Telotextu"/>
              <w:widowControl w:val="false"/>
              <w:suppressAutoHyphens w:val="false"/>
              <w:ind w:left="0" w:hanging="0"/>
              <w:jc w:val="left"/>
              <w:rPr>
                <w:szCs w:val="18"/>
              </w:rPr>
            </w:pPr>
            <w:r>
              <w:rPr>
                <w:rFonts w:ascii="Arial Narrow" w:hAnsi="Arial Narrow"/>
                <w:szCs w:val="18"/>
              </w:rPr>
              <w:t>Zostavené dňa:</w:t>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pPr>
            <w:r>
              <w:rPr>
                <w:rFonts w:cs="Arial Narrow" w:ascii="Arial Narrow" w:hAnsi="Arial Narrow"/>
                <w:color w:val="000000"/>
                <w:szCs w:val="22"/>
                <w:lang w:val="en-US" w:eastAsia="en-US"/>
              </w:rPr>
              <w:t>30</w:t>
            </w:r>
            <w:r>
              <w:rPr>
                <w:rFonts w:cs="Arial Narrow" w:ascii="Arial Narrow" w:hAnsi="Arial Narrow"/>
                <w:color w:val="000000"/>
                <w:szCs w:val="22"/>
                <w:lang w:val="en-US" w:eastAsia="en-US"/>
              </w:rPr>
              <w:t>.06.2020</w:t>
            </w:r>
            <w:r>
              <w:rPr>
                <w:rFonts w:ascii="Arial Narrow" w:hAnsi="Arial Narrow"/>
                <w:szCs w:val="18"/>
              </w:rPr>
              <w:br/>
            </w:r>
          </w:p>
        </w:tc>
        <w:tc>
          <w:tcPr>
            <w:tcW w:w="2513" w:type="dxa"/>
            <w:vMerge w:val="restart"/>
            <w:tcBorders/>
            <w:shd w:fill="auto" w:val="clear"/>
          </w:tcPr>
          <w:p>
            <w:pPr>
              <w:pStyle w:val="Telotextu"/>
              <w:widowControl w:val="false"/>
              <w:suppressAutoHyphens w:val="false"/>
              <w:ind w:left="0" w:hanging="0"/>
              <w:jc w:val="left"/>
              <w:rPr/>
            </w:pPr>
            <w:r>
              <w:rPr>
                <w:rFonts w:ascii="Arial Narrow" w:hAnsi="Arial Narrow"/>
                <w:szCs w:val="18"/>
              </w:rPr>
              <w:t>Podpisový záznam člena štatutárneho orgánu účtovnej jednotky alebo fyzickej osoby, ktorá je účtovnou jednotkou:</w:t>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drawing>
                <wp:anchor behindDoc="0" distT="0" distB="0" distL="0" distR="0" simplePos="0" locked="0" layoutInCell="1" allowOverlap="1" relativeHeight="2">
                  <wp:simplePos x="0" y="0"/>
                  <wp:positionH relativeFrom="column">
                    <wp:posOffset>45085</wp:posOffset>
                  </wp:positionH>
                  <wp:positionV relativeFrom="paragraph">
                    <wp:posOffset>27940</wp:posOffset>
                  </wp:positionV>
                  <wp:extent cx="1506220" cy="65532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506220" cy="655320"/>
                          </a:xfrm>
                          <a:prstGeom prst="rect">
                            <a:avLst/>
                          </a:prstGeom>
                        </pic:spPr>
                      </pic:pic>
                    </a:graphicData>
                  </a:graphic>
                </wp:anchor>
              </w:drawing>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pPr>
            <w:r>
              <w:rPr>
                <w:rFonts w:ascii="Arial Narrow" w:hAnsi="Arial Narrow"/>
                <w:szCs w:val="18"/>
              </w:rPr>
              <w:br/>
              <w:br/>
              <w:br/>
              <w:br/>
            </w:r>
          </w:p>
        </w:tc>
        <w:tc>
          <w:tcPr>
            <w:tcW w:w="2530" w:type="dxa"/>
            <w:vMerge w:val="restart"/>
            <w:tcBorders/>
            <w:shd w:fill="auto" w:val="clear"/>
          </w:tcPr>
          <w:p>
            <w:pPr>
              <w:pStyle w:val="Telotextu"/>
              <w:widowControl w:val="false"/>
              <w:suppressAutoHyphens w:val="false"/>
              <w:ind w:left="0" w:hanging="0"/>
              <w:jc w:val="left"/>
              <w:rPr/>
            </w:pPr>
            <w:r>
              <w:rPr>
                <w:rFonts w:ascii="Arial Narrow" w:hAnsi="Arial Narrow"/>
                <w:szCs w:val="18"/>
              </w:rPr>
              <w:t>Podpisový záznam osoby zodpovednej za zostavenie účtovnej závierky:</w:t>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drawing>
                <wp:anchor behindDoc="0" distT="0" distB="0" distL="0" distR="0" simplePos="0" locked="0" layoutInCell="1" allowOverlap="1" relativeHeight="3">
                  <wp:simplePos x="0" y="0"/>
                  <wp:positionH relativeFrom="column">
                    <wp:posOffset>14605</wp:posOffset>
                  </wp:positionH>
                  <wp:positionV relativeFrom="paragraph">
                    <wp:posOffset>191135</wp:posOffset>
                  </wp:positionV>
                  <wp:extent cx="1506220" cy="65532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tretch>
                            <a:fillRect/>
                          </a:stretch>
                        </pic:blipFill>
                        <pic:spPr bwMode="auto">
                          <a:xfrm>
                            <a:off x="0" y="0"/>
                            <a:ext cx="1506220" cy="655320"/>
                          </a:xfrm>
                          <a:prstGeom prst="rect">
                            <a:avLst/>
                          </a:prstGeom>
                        </pic:spPr>
                      </pic:pic>
                    </a:graphicData>
                  </a:graphic>
                </wp:anchor>
              </w:drawing>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r>
          </w:p>
          <w:p>
            <w:pPr>
              <w:pStyle w:val="Telotextu"/>
              <w:widowControl w:val="false"/>
              <w:suppressAutoHyphens w:val="false"/>
              <w:ind w:left="0" w:hanging="0"/>
              <w:jc w:val="left"/>
              <w:rPr>
                <w:rFonts w:ascii="Times New Roman" w:hAnsi="Times New Roman"/>
                <w:szCs w:val="18"/>
              </w:rPr>
            </w:pPr>
            <w:r>
              <w:rPr>
                <w:rFonts w:ascii="Times New Roman" w:hAnsi="Times New Roman"/>
                <w:szCs w:val="18"/>
              </w:rPr>
            </w:r>
          </w:p>
        </w:tc>
        <w:tc>
          <w:tcPr>
            <w:tcW w:w="2792" w:type="dxa"/>
            <w:vMerge w:val="restart"/>
            <w:tcBorders/>
            <w:shd w:fill="auto" w:val="clear"/>
          </w:tcPr>
          <w:p>
            <w:pPr>
              <w:pStyle w:val="Telotextu"/>
              <w:widowControl w:val="false"/>
              <w:suppressAutoHyphens w:val="false"/>
              <w:ind w:left="0" w:hanging="0"/>
              <w:jc w:val="left"/>
              <w:rPr/>
            </w:pPr>
            <w:r>
              <w:rPr>
                <w:rFonts w:ascii="Arial Narrow" w:hAnsi="Arial Narrow"/>
                <w:szCs w:val="18"/>
              </w:rPr>
              <w:t>Podpisový záznam osoby zodpovednej za vedenie účtovníctva:</w:t>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drawing>
                <wp:anchor behindDoc="0" distT="0" distB="0" distL="0" distR="0" simplePos="0" locked="0" layoutInCell="1" allowOverlap="1" relativeHeight="4">
                  <wp:simplePos x="0" y="0"/>
                  <wp:positionH relativeFrom="column">
                    <wp:posOffset>14605</wp:posOffset>
                  </wp:positionH>
                  <wp:positionV relativeFrom="paragraph">
                    <wp:posOffset>13970</wp:posOffset>
                  </wp:positionV>
                  <wp:extent cx="1506220" cy="655320"/>
                  <wp:effectExtent l="0" t="0" r="0" b="0"/>
                  <wp:wrapSquare wrapText="largest"/>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tretch>
                            <a:fillRect/>
                          </a:stretch>
                        </pic:blipFill>
                        <pic:spPr bwMode="auto">
                          <a:xfrm>
                            <a:off x="0" y="0"/>
                            <a:ext cx="1506220" cy="655320"/>
                          </a:xfrm>
                          <a:prstGeom prst="rect">
                            <a:avLst/>
                          </a:prstGeom>
                        </pic:spPr>
                      </pic:pic>
                    </a:graphicData>
                  </a:graphic>
                </wp:anchor>
              </w:drawing>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p>
            <w:pPr>
              <w:pStyle w:val="Telotextu"/>
              <w:widowControl w:val="false"/>
              <w:suppressAutoHyphens w:val="false"/>
              <w:ind w:left="0" w:hanging="0"/>
              <w:jc w:val="left"/>
              <w:rPr>
                <w:rFonts w:ascii="Arial Narrow" w:hAnsi="Arial Narrow"/>
                <w:szCs w:val="18"/>
              </w:rPr>
            </w:pPr>
            <w:r>
              <w:rPr>
                <w:rFonts w:ascii="Arial Narrow" w:hAnsi="Arial Narrow"/>
                <w:szCs w:val="18"/>
              </w:rPr>
            </w:r>
          </w:p>
        </w:tc>
      </w:tr>
      <w:tr>
        <w:trPr/>
        <w:tc>
          <w:tcPr>
            <w:tcW w:w="1622" w:type="dxa"/>
            <w:tcBorders/>
            <w:shd w:fill="auto" w:val="clear"/>
          </w:tcPr>
          <w:p>
            <w:pPr>
              <w:pStyle w:val="Telotextu"/>
              <w:widowControl w:val="false"/>
              <w:suppressAutoHyphens w:val="false"/>
              <w:ind w:left="0" w:hanging="0"/>
              <w:jc w:val="left"/>
              <w:rPr>
                <w:rFonts w:cs="Arial Narrow"/>
                <w:color w:val="000000"/>
                <w:szCs w:val="22"/>
                <w:lang w:val="en-US" w:eastAsia="en-US"/>
              </w:rPr>
            </w:pPr>
            <w:r>
              <w:rPr>
                <w:rFonts w:cs="Arial Narrow" w:ascii="Arial Narrow" w:hAnsi="Arial Narrow"/>
                <w:color w:val="000000"/>
                <w:szCs w:val="22"/>
                <w:lang w:val="en-US" w:eastAsia="en-US"/>
              </w:rPr>
              <w:t>Schválené dňa:</w:t>
              <w:br/>
            </w:r>
          </w:p>
          <w:p>
            <w:pPr>
              <w:pStyle w:val="Telotextu"/>
              <w:widowControl w:val="false"/>
              <w:suppressAutoHyphens w:val="false"/>
              <w:ind w:left="0" w:hanging="0"/>
              <w:jc w:val="left"/>
              <w:rPr/>
            </w:pPr>
            <w:r>
              <w:rPr>
                <w:rFonts w:cs="Arial Narrow" w:ascii="Arial Narrow" w:hAnsi="Arial Narrow"/>
                <w:color w:val="000000"/>
                <w:szCs w:val="22"/>
                <w:lang w:val="en-US" w:eastAsia="en-US"/>
              </w:rPr>
              <w:br/>
            </w:r>
          </w:p>
        </w:tc>
        <w:tc>
          <w:tcPr>
            <w:tcW w:w="2513" w:type="dxa"/>
            <w:vMerge w:val="continue"/>
            <w:tcBorders/>
            <w:shd w:fill="auto" w:val="clear"/>
          </w:tcPr>
          <w:p>
            <w:pPr>
              <w:pStyle w:val="Telotextu"/>
              <w:widowControl w:val="false"/>
              <w:suppressAutoHyphens w:val="false"/>
              <w:ind w:left="0" w:hanging="0"/>
              <w:jc w:val="left"/>
              <w:rPr>
                <w:rFonts w:ascii="Arial Narrow" w:hAnsi="Arial Narrow"/>
                <w:szCs w:val="18"/>
              </w:rPr>
            </w:pPr>
            <w:r>
              <w:rPr>
                <w:rFonts w:ascii="Arial Narrow" w:hAnsi="Arial Narrow"/>
                <w:szCs w:val="18"/>
              </w:rPr>
            </w:r>
          </w:p>
        </w:tc>
        <w:tc>
          <w:tcPr>
            <w:tcW w:w="2530" w:type="dxa"/>
            <w:vMerge w:val="continue"/>
            <w:tcBorders/>
            <w:shd w:fill="auto" w:val="clear"/>
          </w:tcPr>
          <w:p>
            <w:pPr>
              <w:pStyle w:val="Telotextu"/>
              <w:widowControl w:val="false"/>
              <w:suppressAutoHyphens w:val="false"/>
              <w:ind w:left="0" w:hanging="0"/>
              <w:jc w:val="left"/>
              <w:rPr>
                <w:rFonts w:ascii="Arial Narrow" w:hAnsi="Arial Narrow"/>
                <w:szCs w:val="18"/>
              </w:rPr>
            </w:pPr>
            <w:r>
              <w:rPr>
                <w:rFonts w:ascii="Arial Narrow" w:hAnsi="Arial Narrow"/>
                <w:szCs w:val="18"/>
              </w:rPr>
            </w:r>
          </w:p>
        </w:tc>
        <w:tc>
          <w:tcPr>
            <w:tcW w:w="2792" w:type="dxa"/>
            <w:vMerge w:val="continue"/>
            <w:tcBorders/>
            <w:shd w:fill="auto" w:val="clear"/>
          </w:tcPr>
          <w:p>
            <w:pPr>
              <w:pStyle w:val="Telotextu"/>
              <w:widowControl w:val="false"/>
              <w:suppressAutoHyphens w:val="false"/>
              <w:ind w:left="0" w:hanging="0"/>
              <w:jc w:val="left"/>
              <w:rPr>
                <w:rFonts w:ascii="Arial Narrow" w:hAnsi="Arial Narrow"/>
                <w:szCs w:val="18"/>
              </w:rPr>
            </w:pPr>
            <w:r>
              <w:rPr>
                <w:rFonts w:ascii="Arial Narrow" w:hAnsi="Arial Narrow"/>
                <w:szCs w:val="18"/>
              </w:rPr>
            </w:r>
          </w:p>
        </w:tc>
      </w:tr>
    </w:tbl>
    <w:p>
      <w:pPr>
        <w:pStyle w:val="Telotextu"/>
        <w:widowControl w:val="false"/>
        <w:suppressAutoHyphens w:val="false"/>
        <w:ind w:left="0" w:hanging="0"/>
        <w:jc w:val="left"/>
        <w:rPr/>
      </w:pPr>
      <w:r>
        <w:rPr/>
      </w:r>
    </w:p>
    <w:sectPr>
      <w:headerReference w:type="default" r:id="rId5"/>
      <w:type w:val="nextPage"/>
      <w:pgSz w:w="11906" w:h="16838"/>
      <w:pgMar w:left="1673" w:right="992" w:header="675" w:top="1800" w:footer="0" w:bottom="567" w:gutter="0"/>
      <w:pgNumType w:fmt="decimal"/>
      <w:formProt w:val="false"/>
      <w:textDirection w:val="lrTb"/>
      <w:docGrid w:type="default" w:linePitch="360"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Arial Narrow">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imes">
    <w:altName w:val="Times New Roman"/>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roman"/>
    <w:pitch w:val="variable"/>
  </w:font>
  <w:font w:name="Trebuchet MS">
    <w:charset w:val="01"/>
    <w:family w:val="roman"/>
    <w:pitch w:val="variable"/>
  </w:font>
  <w:font w:name="Univers 55">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lavika"/>
      <w:tabs>
        <w:tab w:val="clear" w:pos="708"/>
        <w:tab w:val="center" w:pos="3969" w:leader="none"/>
        <w:tab w:val="left" w:pos="7920" w:leader="none"/>
        <w:tab w:val="right" w:pos="9213" w:leader="none"/>
      </w:tabs>
      <w:rPr>
        <w:szCs w:val="18"/>
      </w:rPr>
    </w:pPr>
    <w:r>
      <w:rPr/>
      <w:tab/>
      <w:tab/>
    </w:r>
  </w:p>
  <w:tbl>
    <w:tblPr>
      <w:tblW w:w="9207" w:type="dxa"/>
      <w:jc w:val="left"/>
      <w:tblInd w:w="0" w:type="dxa"/>
      <w:tblCellMar>
        <w:top w:w="0" w:type="dxa"/>
        <w:left w:w="70" w:type="dxa"/>
        <w:bottom w:w="0" w:type="dxa"/>
        <w:right w:w="70" w:type="dxa"/>
      </w:tblCellMar>
      <w:tblLook w:val="0000"/>
    </w:tblPr>
    <w:tblGrid>
      <w:gridCol w:w="2331"/>
      <w:gridCol w:w="4046"/>
      <w:gridCol w:w="280"/>
      <w:gridCol w:w="277"/>
      <w:gridCol w:w="281"/>
      <w:gridCol w:w="277"/>
      <w:gridCol w:w="277"/>
      <w:gridCol w:w="277"/>
      <w:gridCol w:w="278"/>
      <w:gridCol w:w="280"/>
      <w:gridCol w:w="280"/>
      <w:gridCol w:w="322"/>
    </w:tblGrid>
    <w:tr>
      <w:trPr>
        <w:trHeight w:val="126" w:hRule="atLeast"/>
      </w:trPr>
      <w:tc>
        <w:tcPr>
          <w:tcW w:w="2331" w:type="dxa"/>
          <w:tcBorders/>
          <w:shd w:color="auto" w:fill="auto" w:val="clear"/>
          <w:vAlign w:val="center"/>
        </w:tcPr>
        <w:p>
          <w:pPr>
            <w:pStyle w:val="Hlavika"/>
            <w:tabs>
              <w:tab w:val="clear" w:pos="708"/>
              <w:tab w:val="center" w:pos="4253" w:leader="none"/>
              <w:tab w:val="right" w:pos="9213" w:leader="none"/>
            </w:tabs>
            <w:ind w:firstLine="2"/>
            <w:rPr>
              <w:szCs w:val="18"/>
            </w:rPr>
          </w:pPr>
          <w:r>
            <w:rPr>
              <w:szCs w:val="18"/>
            </w:rPr>
            <w:t>Poznámky Úč POD 3 - 01</w:t>
          </w:r>
        </w:p>
      </w:tc>
      <w:tc>
        <w:tcPr>
          <w:tcW w:w="4046"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t xml:space="preserve">                                                                                     </w:t>
          </w:r>
          <w:r>
            <w:rPr>
              <w:szCs w:val="18"/>
            </w:rPr>
            <w:t>IČO</w:t>
          </w:r>
        </w:p>
      </w:tc>
      <w:tc>
        <w:tcPr>
          <w:tcW w:w="280"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r>
        </w:p>
      </w:tc>
      <w:tc>
        <w:tcPr>
          <w:tcW w:w="277"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r>
        </w:p>
      </w:tc>
      <w:tc>
        <w:tcPr>
          <w:tcW w:w="281"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5</w:t>
          </w:r>
        </w:p>
      </w:tc>
      <w:tc>
        <w:tcPr>
          <w:tcW w:w="277"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0</w:t>
          </w:r>
        </w:p>
      </w:tc>
      <w:tc>
        <w:tcPr>
          <w:tcW w:w="277"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9</w:t>
          </w:r>
        </w:p>
      </w:tc>
      <w:tc>
        <w:tcPr>
          <w:tcW w:w="277"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8</w:t>
          </w:r>
        </w:p>
      </w:tc>
      <w:tc>
        <w:tcPr>
          <w:tcW w:w="278"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szCs w:val="18"/>
            </w:rPr>
          </w:pPr>
          <w:r>
            <w:rPr>
              <w:szCs w:val="18"/>
            </w:rPr>
            <w:t>1</w:t>
          </w:r>
        </w:p>
      </w:tc>
      <w:tc>
        <w:tcPr>
          <w:tcW w:w="280"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0</w:t>
          </w:r>
        </w:p>
      </w:tc>
      <w:tc>
        <w:tcPr>
          <w:tcW w:w="280"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3</w:t>
          </w:r>
        </w:p>
      </w:tc>
      <w:tc>
        <w:tcPr>
          <w:tcW w:w="322" w:type="dxa"/>
          <w:tcBorders>
            <w:top w:val="single" w:sz="4" w:space="0" w:color="000001"/>
            <w:left w:val="single" w:sz="4" w:space="0" w:color="000001"/>
            <w:bottom w:val="single" w:sz="4" w:space="0" w:color="000001"/>
            <w:right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0</w:t>
          </w:r>
        </w:p>
      </w:tc>
    </w:tr>
  </w:tbl>
  <w:p>
    <w:pPr>
      <w:pStyle w:val="Hlavika"/>
      <w:tabs>
        <w:tab w:val="clear" w:pos="708"/>
        <w:tab w:val="center" w:pos="4962" w:leader="none"/>
        <w:tab w:val="right" w:pos="9213" w:leader="none"/>
      </w:tabs>
      <w:ind w:right="0" w:hanging="0"/>
      <w:rPr>
        <w:szCs w:val="18"/>
        <w:lang w:val="en-GB"/>
      </w:rPr>
    </w:pPr>
    <w:r>
      <w:rPr>
        <w:szCs w:val="18"/>
        <w:lang w:val="en-GB"/>
      </w:rPr>
    </w:r>
  </w:p>
  <w:tbl>
    <w:tblPr>
      <w:tblW w:w="8980" w:type="dxa"/>
      <w:jc w:val="left"/>
      <w:tblInd w:w="210" w:type="dxa"/>
      <w:tblCellMar>
        <w:top w:w="0" w:type="dxa"/>
        <w:left w:w="70" w:type="dxa"/>
        <w:bottom w:w="0" w:type="dxa"/>
        <w:right w:w="70" w:type="dxa"/>
      </w:tblCellMar>
      <w:tblLook w:val="0000"/>
    </w:tblPr>
    <w:tblGrid>
      <w:gridCol w:w="2125"/>
      <w:gridCol w:w="4044"/>
      <w:gridCol w:w="277"/>
      <w:gridCol w:w="281"/>
      <w:gridCol w:w="281"/>
      <w:gridCol w:w="285"/>
      <w:gridCol w:w="281"/>
      <w:gridCol w:w="277"/>
      <w:gridCol w:w="276"/>
      <w:gridCol w:w="276"/>
      <w:gridCol w:w="281"/>
      <w:gridCol w:w="295"/>
    </w:tblGrid>
    <w:tr>
      <w:trPr>
        <w:trHeight w:val="127" w:hRule="atLeast"/>
      </w:trPr>
      <w:tc>
        <w:tcPr>
          <w:tcW w:w="2125" w:type="dxa"/>
          <w:tcBorders/>
          <w:shd w:color="auto" w:fill="auto" w:val="clear"/>
          <w:vAlign w:val="center"/>
        </w:tcPr>
        <w:p>
          <w:pPr>
            <w:pStyle w:val="Hlavika"/>
            <w:tabs>
              <w:tab w:val="clear" w:pos="708"/>
              <w:tab w:val="center" w:pos="4253" w:leader="none"/>
              <w:tab w:val="right" w:pos="9213" w:leader="none"/>
            </w:tabs>
            <w:rPr>
              <w:szCs w:val="18"/>
            </w:rPr>
          </w:pPr>
          <w:r>
            <w:rPr>
              <w:szCs w:val="18"/>
            </w:rPr>
          </w:r>
        </w:p>
      </w:tc>
      <w:tc>
        <w:tcPr>
          <w:tcW w:w="4044" w:type="dxa"/>
          <w:tcBorders/>
          <w:shd w:color="auto" w:fill="auto" w:val="clear"/>
          <w:vAlign w:val="center"/>
        </w:tcPr>
        <w:p>
          <w:pPr>
            <w:pStyle w:val="Hlavika"/>
            <w:tabs>
              <w:tab w:val="clear" w:pos="708"/>
              <w:tab w:val="center" w:pos="4253" w:leader="none"/>
              <w:tab w:val="right" w:pos="9213" w:leader="none"/>
            </w:tabs>
            <w:jc w:val="center"/>
            <w:rPr>
              <w:szCs w:val="18"/>
            </w:rPr>
          </w:pPr>
          <w:r>
            <w:rPr>
              <w:szCs w:val="18"/>
            </w:rPr>
            <w:t xml:space="preserve">                                                                                </w:t>
          </w:r>
          <w:r>
            <w:rPr>
              <w:szCs w:val="18"/>
            </w:rPr>
            <w:t>DIČ</w:t>
          </w:r>
        </w:p>
      </w:tc>
      <w:tc>
        <w:tcPr>
          <w:tcW w:w="277"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szCs w:val="18"/>
            </w:rPr>
          </w:pPr>
          <w:r>
            <w:rPr>
              <w:szCs w:val="18"/>
            </w:rPr>
            <w:t>2</w:t>
          </w:r>
        </w:p>
      </w:tc>
      <w:tc>
        <w:tcPr>
          <w:tcW w:w="281"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1</w:t>
          </w:r>
        </w:p>
      </w:tc>
      <w:tc>
        <w:tcPr>
          <w:tcW w:w="281"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szCs w:val="18"/>
            </w:rPr>
          </w:pPr>
          <w:r>
            <w:rPr>
              <w:szCs w:val="18"/>
            </w:rPr>
            <w:t>2</w:t>
          </w:r>
        </w:p>
      </w:tc>
      <w:tc>
        <w:tcPr>
          <w:tcW w:w="285"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0</w:t>
          </w:r>
        </w:p>
      </w:tc>
      <w:tc>
        <w:tcPr>
          <w:tcW w:w="281"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5</w:t>
          </w:r>
        </w:p>
      </w:tc>
      <w:tc>
        <w:tcPr>
          <w:tcW w:w="277"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5</w:t>
          </w:r>
        </w:p>
      </w:tc>
      <w:tc>
        <w:tcPr>
          <w:tcW w:w="276"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4</w:t>
          </w:r>
        </w:p>
      </w:tc>
      <w:tc>
        <w:tcPr>
          <w:tcW w:w="276"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szCs w:val="18"/>
            </w:rPr>
          </w:pPr>
          <w:r>
            <w:rPr>
              <w:szCs w:val="18"/>
            </w:rPr>
            <w:t>2</w:t>
          </w:r>
        </w:p>
      </w:tc>
      <w:tc>
        <w:tcPr>
          <w:tcW w:w="281" w:type="dxa"/>
          <w:tcBorders>
            <w:top w:val="single" w:sz="4" w:space="0" w:color="000001"/>
            <w:left w:val="single" w:sz="4" w:space="0" w:color="000001"/>
            <w:bottom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0</w:t>
          </w:r>
        </w:p>
      </w:tc>
      <w:tc>
        <w:tcPr>
          <w:tcW w:w="295" w:type="dxa"/>
          <w:tcBorders>
            <w:top w:val="single" w:sz="4" w:space="0" w:color="000001"/>
            <w:left w:val="single" w:sz="4" w:space="0" w:color="000001"/>
            <w:bottom w:val="single" w:sz="4" w:space="0" w:color="000001"/>
            <w:right w:val="single" w:sz="4" w:space="0" w:color="000001"/>
          </w:tcBorders>
          <w:shd w:color="auto" w:fill="auto" w:val="clear"/>
          <w:tcMar>
            <w:left w:w="0" w:type="dxa"/>
          </w:tcMar>
          <w:vAlign w:val="center"/>
        </w:tcPr>
        <w:p>
          <w:pPr>
            <w:pStyle w:val="Hlavika"/>
            <w:tabs>
              <w:tab w:val="clear" w:pos="708"/>
              <w:tab w:val="center" w:pos="4253" w:leader="none"/>
              <w:tab w:val="right" w:pos="9213" w:leader="none"/>
            </w:tabs>
            <w:jc w:val="center"/>
            <w:rPr/>
          </w:pPr>
          <w:r>
            <w:rPr>
              <w:szCs w:val="18"/>
            </w:rPr>
            <w:t>5</w:t>
          </w:r>
        </w:p>
      </w:tc>
    </w:tr>
  </w:tbl>
  <w:p>
    <w:pPr>
      <w:pStyle w:val="Hlavika"/>
      <w:tabs>
        <w:tab w:val="clear" w:pos="708"/>
        <w:tab w:val="center" w:pos="3969" w:leader="none"/>
        <w:tab w:val="right" w:pos="9214"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4"/>
      <w:numFmt w:val="upperLetter"/>
      <w:lvlText w:val="%1."/>
      <w:lvlJc w:val="left"/>
      <w:pPr>
        <w:ind w:left="170" w:hanging="170"/>
      </w:pPr>
      <w:rPr>
        <w:sz w:val="18"/>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lowerLetter"/>
      <w:lvlText w:val="%1)"/>
      <w:lvlJc w:val="left"/>
      <w:pPr>
        <w:tabs>
          <w:tab w:val="num" w:pos="1192"/>
        </w:tabs>
        <w:ind w:left="11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2"/>
      <w:numFmt w:val="upperLetter"/>
      <w:lvlText w:val="%1."/>
      <w:lvlJc w:val="left"/>
      <w:pPr>
        <w:ind w:left="170" w:hanging="170"/>
      </w:pPr>
      <w:rPr>
        <w:sz w:val="18"/>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3"/>
      <w:numFmt w:val="upperLetter"/>
      <w:lvlText w:val="%1."/>
      <w:lvlJc w:val="left"/>
      <w:pPr>
        <w:ind w:left="170" w:hanging="170"/>
      </w:pPr>
      <w:rPr>
        <w:sz w:val="18"/>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2"/>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decimal"/>
      <w:lvlText w:val="%1."/>
      <w:lvlJc w:val="left"/>
      <w:pPr>
        <w:tabs>
          <w:tab w:val="num" w:pos="360"/>
        </w:tabs>
        <w:ind w:left="360" w:hanging="360"/>
      </w:pPr>
      <w:rPr>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6"/>
      <w:numFmt w:val="upperLetter"/>
      <w:lvlText w:val="%1."/>
      <w:lvlJc w:val="left"/>
      <w:pPr>
        <w:ind w:left="530" w:hanging="360"/>
      </w:pPr>
      <w:rPr>
        <w:sz w:val="18"/>
        <w:i w:val="false"/>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86"/>
  <w:displayBackgroundShape/>
  <w:embedSystemFonts/>
  <w:defaultTabStop w:val="708"/>
  <w:autoHyphenation w:val="false"/>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4"/>
        <w:lang w:val="en-US" w:eastAsia="en-US" w:bidi="ar-SA"/>
      </w:rPr>
    </w:rPrDefault>
    <w:pPrDefault>
      <w:pPr/>
    </w:pPrDefault>
  </w:docDefaults>
  <w:latentStyles w:defLockedState="0" w:defUIPriority="0" w:defSemiHidden="0" w:defUnhideWhenUsed="0" w:defQFormat="0" w:count="276"/>
  <w:style w:type="paragraph" w:styleId="Normal" w:default="1">
    <w:name w:val="Normal"/>
    <w:qFormat/>
    <w:rsid w:val="00705bfe"/>
    <w:pPr>
      <w:widowControl/>
      <w:suppressAutoHyphens w:val="true"/>
      <w:bidi w:val="0"/>
      <w:jc w:val="left"/>
    </w:pPr>
    <w:rPr>
      <w:rFonts w:ascii="Arial" w:hAnsi="Arial" w:eastAsia="Times New Roman" w:cs="Times New Roman"/>
      <w:color w:val="00000A"/>
      <w:kern w:val="0"/>
      <w:sz w:val="18"/>
      <w:szCs w:val="24"/>
      <w:lang w:val="sk-SK" w:eastAsia="zh-CN" w:bidi="ar-SA"/>
    </w:rPr>
  </w:style>
  <w:style w:type="character" w:styleId="DefaultParagraphFont" w:default="1">
    <w:name w:val="Default Paragraph Font"/>
    <w:semiHidden/>
    <w:unhideWhenUsed/>
    <w:qFormat/>
    <w:rPr/>
  </w:style>
  <w:style w:type="character" w:styleId="Heading3Char" w:customStyle="1">
    <w:name w:val="Heading 3 Char"/>
    <w:basedOn w:val="DefaultParagraphFont"/>
    <w:link w:val="Heading3"/>
    <w:uiPriority w:val="99"/>
    <w:qFormat/>
    <w:rsid w:val="00f07b6a"/>
    <w:rPr>
      <w:rFonts w:ascii="Cambria" w:hAnsi="Cambria"/>
      <w:b/>
      <w:bCs/>
      <w:sz w:val="26"/>
      <w:szCs w:val="26"/>
      <w:lang w:val="sk-SK"/>
    </w:rPr>
  </w:style>
  <w:style w:type="character" w:styleId="Heading4Char" w:customStyle="1">
    <w:name w:val="Heading 4 Char"/>
    <w:basedOn w:val="DefaultParagraphFont"/>
    <w:link w:val="Heading4"/>
    <w:uiPriority w:val="99"/>
    <w:qFormat/>
    <w:rsid w:val="00f07b6a"/>
    <w:rPr>
      <w:rFonts w:ascii="Arial Narrow" w:hAnsi="Arial Narrow"/>
      <w:b/>
      <w:bCs/>
      <w:sz w:val="28"/>
      <w:szCs w:val="28"/>
      <w:lang w:val="sk-SK"/>
    </w:rPr>
  </w:style>
  <w:style w:type="character" w:styleId="Heading5Char" w:customStyle="1">
    <w:name w:val="Heading 5 Char"/>
    <w:basedOn w:val="DefaultParagraphFont"/>
    <w:link w:val="Heading5"/>
    <w:uiPriority w:val="99"/>
    <w:qFormat/>
    <w:rsid w:val="00f07b6a"/>
    <w:rPr>
      <w:rFonts w:ascii="Arial Narrow" w:hAnsi="Arial Narrow"/>
      <w:b/>
      <w:bCs/>
      <w:i/>
      <w:iCs/>
      <w:sz w:val="26"/>
      <w:szCs w:val="26"/>
      <w:lang w:val="sk-SK"/>
    </w:rPr>
  </w:style>
  <w:style w:type="character" w:styleId="Heading7Char" w:customStyle="1">
    <w:name w:val="Heading 7 Char"/>
    <w:basedOn w:val="DefaultParagraphFont"/>
    <w:link w:val="Heading7"/>
    <w:uiPriority w:val="99"/>
    <w:semiHidden/>
    <w:qFormat/>
    <w:rsid w:val="00f07b6a"/>
    <w:rPr>
      <w:rFonts w:ascii="Arial Narrow" w:hAnsi="Arial Narrow"/>
      <w:sz w:val="22"/>
      <w:szCs w:val="24"/>
      <w:lang w:val="sk-SK"/>
    </w:rPr>
  </w:style>
  <w:style w:type="character" w:styleId="Heading8Char" w:customStyle="1">
    <w:name w:val="Heading 8 Char"/>
    <w:basedOn w:val="DefaultParagraphFont"/>
    <w:link w:val="Heading8"/>
    <w:uiPriority w:val="99"/>
    <w:semiHidden/>
    <w:qFormat/>
    <w:rsid w:val="00f07b6a"/>
    <w:rPr>
      <w:rFonts w:ascii="Arial Narrow" w:hAnsi="Arial Narrow"/>
      <w:i/>
      <w:iCs/>
      <w:sz w:val="22"/>
      <w:szCs w:val="24"/>
      <w:lang w:val="sk-SK"/>
    </w:rPr>
  </w:style>
  <w:style w:type="character" w:styleId="WW8Num1z0" w:customStyle="1">
    <w:name w:val="WW8Num1z0"/>
    <w:qFormat/>
    <w:rsid w:val="00705bfe"/>
    <w:rPr>
      <w:rFonts w:cs="Times New Roman"/>
      <w:caps w:val="false"/>
      <w:smallCaps w:val="false"/>
      <w:szCs w:val="18"/>
    </w:rPr>
  </w:style>
  <w:style w:type="character" w:styleId="WW8Num2z0" w:customStyle="1">
    <w:name w:val="WW8Num2z0"/>
    <w:qFormat/>
    <w:rsid w:val="00705bfe"/>
    <w:rPr>
      <w:rFonts w:ascii="Arial" w:hAnsi="Arial" w:cs="Arial"/>
      <w:b/>
      <w:i w:val="false"/>
      <w:sz w:val="18"/>
    </w:rPr>
  </w:style>
  <w:style w:type="character" w:styleId="WW8Num2z1" w:customStyle="1">
    <w:name w:val="WW8Num2z1"/>
    <w:qFormat/>
    <w:rsid w:val="00705bfe"/>
    <w:rPr/>
  </w:style>
  <w:style w:type="character" w:styleId="WW8Num2z2" w:customStyle="1">
    <w:name w:val="WW8Num2z2"/>
    <w:qFormat/>
    <w:rsid w:val="00705bfe"/>
    <w:rPr/>
  </w:style>
  <w:style w:type="character" w:styleId="WW8Num2z3" w:customStyle="1">
    <w:name w:val="WW8Num2z3"/>
    <w:qFormat/>
    <w:rsid w:val="00705bfe"/>
    <w:rPr/>
  </w:style>
  <w:style w:type="character" w:styleId="WW8Num2z4" w:customStyle="1">
    <w:name w:val="WW8Num2z4"/>
    <w:qFormat/>
    <w:rsid w:val="00705bfe"/>
    <w:rPr/>
  </w:style>
  <w:style w:type="character" w:styleId="WW8Num2z5" w:customStyle="1">
    <w:name w:val="WW8Num2z5"/>
    <w:qFormat/>
    <w:rsid w:val="00705bfe"/>
    <w:rPr/>
  </w:style>
  <w:style w:type="character" w:styleId="WW8Num2z6" w:customStyle="1">
    <w:name w:val="WW8Num2z6"/>
    <w:qFormat/>
    <w:rsid w:val="00705bfe"/>
    <w:rPr/>
  </w:style>
  <w:style w:type="character" w:styleId="WW8Num2z7" w:customStyle="1">
    <w:name w:val="WW8Num2z7"/>
    <w:qFormat/>
    <w:rsid w:val="00705bfe"/>
    <w:rPr/>
  </w:style>
  <w:style w:type="character" w:styleId="WW8Num2z8" w:customStyle="1">
    <w:name w:val="WW8Num2z8"/>
    <w:qFormat/>
    <w:rsid w:val="00705bfe"/>
    <w:rPr/>
  </w:style>
  <w:style w:type="character" w:styleId="WW8Num3z0" w:customStyle="1">
    <w:name w:val="WW8Num3z0"/>
    <w:qFormat/>
    <w:rsid w:val="00705bfe"/>
    <w:rPr/>
  </w:style>
  <w:style w:type="character" w:styleId="WW8Num3z1" w:customStyle="1">
    <w:name w:val="WW8Num3z1"/>
    <w:qFormat/>
    <w:rsid w:val="00705bfe"/>
    <w:rPr/>
  </w:style>
  <w:style w:type="character" w:styleId="WW8Num3z2" w:customStyle="1">
    <w:name w:val="WW8Num3z2"/>
    <w:qFormat/>
    <w:rsid w:val="00705bfe"/>
    <w:rPr/>
  </w:style>
  <w:style w:type="character" w:styleId="WW8Num3z3" w:customStyle="1">
    <w:name w:val="WW8Num3z3"/>
    <w:qFormat/>
    <w:rsid w:val="00705bfe"/>
    <w:rPr/>
  </w:style>
  <w:style w:type="character" w:styleId="WW8Num3z4" w:customStyle="1">
    <w:name w:val="WW8Num3z4"/>
    <w:qFormat/>
    <w:rsid w:val="00705bfe"/>
    <w:rPr/>
  </w:style>
  <w:style w:type="character" w:styleId="WW8Num3z5" w:customStyle="1">
    <w:name w:val="WW8Num3z5"/>
    <w:qFormat/>
    <w:rsid w:val="00705bfe"/>
    <w:rPr/>
  </w:style>
  <w:style w:type="character" w:styleId="WW8Num3z6" w:customStyle="1">
    <w:name w:val="WW8Num3z6"/>
    <w:qFormat/>
    <w:rsid w:val="00705bfe"/>
    <w:rPr/>
  </w:style>
  <w:style w:type="character" w:styleId="WW8Num3z7" w:customStyle="1">
    <w:name w:val="WW8Num3z7"/>
    <w:qFormat/>
    <w:rsid w:val="00705bfe"/>
    <w:rPr/>
  </w:style>
  <w:style w:type="character" w:styleId="WW8Num3z8" w:customStyle="1">
    <w:name w:val="WW8Num3z8"/>
    <w:qFormat/>
    <w:rsid w:val="00705bfe"/>
    <w:rPr/>
  </w:style>
  <w:style w:type="character" w:styleId="WW8Num4z0" w:customStyle="1">
    <w:name w:val="WW8Num4z0"/>
    <w:qFormat/>
    <w:rsid w:val="00705bfe"/>
    <w:rPr>
      <w:rFonts w:cs="Times New Roman"/>
    </w:rPr>
  </w:style>
  <w:style w:type="character" w:styleId="WW8Num5z0" w:customStyle="1">
    <w:name w:val="WW8Num5z0"/>
    <w:qFormat/>
    <w:rsid w:val="00705bfe"/>
    <w:rPr>
      <w:rFonts w:ascii="Symbol" w:hAnsi="Symbol" w:cs="Symbol"/>
      <w:sz w:val="18"/>
      <w:szCs w:val="18"/>
    </w:rPr>
  </w:style>
  <w:style w:type="character" w:styleId="WW8Num5z1" w:customStyle="1">
    <w:name w:val="WW8Num5z1"/>
    <w:qFormat/>
    <w:rsid w:val="00705bfe"/>
    <w:rPr/>
  </w:style>
  <w:style w:type="character" w:styleId="WW8Num5z2" w:customStyle="1">
    <w:name w:val="WW8Num5z2"/>
    <w:qFormat/>
    <w:rsid w:val="00705bfe"/>
    <w:rPr/>
  </w:style>
  <w:style w:type="character" w:styleId="WW8Num5z3" w:customStyle="1">
    <w:name w:val="WW8Num5z3"/>
    <w:qFormat/>
    <w:rsid w:val="00705bfe"/>
    <w:rPr/>
  </w:style>
  <w:style w:type="character" w:styleId="WW8Num5z4" w:customStyle="1">
    <w:name w:val="WW8Num5z4"/>
    <w:qFormat/>
    <w:rsid w:val="00705bfe"/>
    <w:rPr/>
  </w:style>
  <w:style w:type="character" w:styleId="WW8Num5z5" w:customStyle="1">
    <w:name w:val="WW8Num5z5"/>
    <w:qFormat/>
    <w:rsid w:val="00705bfe"/>
    <w:rPr/>
  </w:style>
  <w:style w:type="character" w:styleId="WW8Num5z6" w:customStyle="1">
    <w:name w:val="WW8Num5z6"/>
    <w:qFormat/>
    <w:rsid w:val="00705bfe"/>
    <w:rPr/>
  </w:style>
  <w:style w:type="character" w:styleId="WW8Num5z7" w:customStyle="1">
    <w:name w:val="WW8Num5z7"/>
    <w:qFormat/>
    <w:rsid w:val="00705bfe"/>
    <w:rPr/>
  </w:style>
  <w:style w:type="character" w:styleId="WW8Num5z8" w:customStyle="1">
    <w:name w:val="WW8Num5z8"/>
    <w:qFormat/>
    <w:rsid w:val="00705bfe"/>
    <w:rPr/>
  </w:style>
  <w:style w:type="character" w:styleId="WW8Num6z0" w:customStyle="1">
    <w:name w:val="WW8Num6z0"/>
    <w:qFormat/>
    <w:rsid w:val="00705bfe"/>
    <w:rPr>
      <w:rFonts w:ascii="Symbol" w:hAnsi="Symbol" w:cs="Symbol"/>
      <w:color w:val="00000A"/>
      <w:sz w:val="22"/>
    </w:rPr>
  </w:style>
  <w:style w:type="character" w:styleId="WW8Num7z0" w:customStyle="1">
    <w:name w:val="WW8Num7z0"/>
    <w:qFormat/>
    <w:rsid w:val="00705bfe"/>
    <w:rPr/>
  </w:style>
  <w:style w:type="character" w:styleId="WW8Num7z1" w:customStyle="1">
    <w:name w:val="WW8Num7z1"/>
    <w:qFormat/>
    <w:rsid w:val="00705bfe"/>
    <w:rPr/>
  </w:style>
  <w:style w:type="character" w:styleId="WW8Num7z2" w:customStyle="1">
    <w:name w:val="WW8Num7z2"/>
    <w:qFormat/>
    <w:rsid w:val="00705bfe"/>
    <w:rPr/>
  </w:style>
  <w:style w:type="character" w:styleId="WW8Num7z3" w:customStyle="1">
    <w:name w:val="WW8Num7z3"/>
    <w:qFormat/>
    <w:rsid w:val="00705bfe"/>
    <w:rPr/>
  </w:style>
  <w:style w:type="character" w:styleId="WW8Num7z4" w:customStyle="1">
    <w:name w:val="WW8Num7z4"/>
    <w:qFormat/>
    <w:rsid w:val="00705bfe"/>
    <w:rPr/>
  </w:style>
  <w:style w:type="character" w:styleId="WW8Num7z5" w:customStyle="1">
    <w:name w:val="WW8Num7z5"/>
    <w:qFormat/>
    <w:rsid w:val="00705bfe"/>
    <w:rPr/>
  </w:style>
  <w:style w:type="character" w:styleId="WW8Num7z6" w:customStyle="1">
    <w:name w:val="WW8Num7z6"/>
    <w:qFormat/>
    <w:rsid w:val="00705bfe"/>
    <w:rPr/>
  </w:style>
  <w:style w:type="character" w:styleId="WW8Num7z7" w:customStyle="1">
    <w:name w:val="WW8Num7z7"/>
    <w:qFormat/>
    <w:rsid w:val="00705bfe"/>
    <w:rPr/>
  </w:style>
  <w:style w:type="character" w:styleId="WW8Num7z8" w:customStyle="1">
    <w:name w:val="WW8Num7z8"/>
    <w:qFormat/>
    <w:rsid w:val="00705bfe"/>
    <w:rPr/>
  </w:style>
  <w:style w:type="character" w:styleId="WW8Num8z0" w:customStyle="1">
    <w:name w:val="WW8Num8z0"/>
    <w:qFormat/>
    <w:rsid w:val="00705bfe"/>
    <w:rPr>
      <w:rFonts w:ascii="Symbol" w:hAnsi="Symbol" w:cs="Symbol"/>
      <w:color w:val="00000A"/>
      <w:sz w:val="22"/>
    </w:rPr>
  </w:style>
  <w:style w:type="character" w:styleId="WW8Num9z0" w:customStyle="1">
    <w:name w:val="WW8Num9z0"/>
    <w:qFormat/>
    <w:rsid w:val="00705bfe"/>
    <w:rPr>
      <w:rFonts w:ascii="Arial" w:hAnsi="Arial" w:cs="Arial"/>
      <w:b/>
      <w:i w:val="false"/>
      <w:sz w:val="20"/>
    </w:rPr>
  </w:style>
  <w:style w:type="character" w:styleId="WW8Num9z1" w:customStyle="1">
    <w:name w:val="WW8Num9z1"/>
    <w:qFormat/>
    <w:rsid w:val="00705bfe"/>
    <w:rPr/>
  </w:style>
  <w:style w:type="character" w:styleId="WW8Num9z2" w:customStyle="1">
    <w:name w:val="WW8Num9z2"/>
    <w:qFormat/>
    <w:rsid w:val="00705bfe"/>
    <w:rPr/>
  </w:style>
  <w:style w:type="character" w:styleId="WW8Num9z3" w:customStyle="1">
    <w:name w:val="WW8Num9z3"/>
    <w:qFormat/>
    <w:rsid w:val="00705bfe"/>
    <w:rPr/>
  </w:style>
  <w:style w:type="character" w:styleId="WW8Num9z4" w:customStyle="1">
    <w:name w:val="WW8Num9z4"/>
    <w:qFormat/>
    <w:rsid w:val="00705bfe"/>
    <w:rPr/>
  </w:style>
  <w:style w:type="character" w:styleId="WW8Num9z5" w:customStyle="1">
    <w:name w:val="WW8Num9z5"/>
    <w:qFormat/>
    <w:rsid w:val="00705bfe"/>
    <w:rPr/>
  </w:style>
  <w:style w:type="character" w:styleId="WW8Num9z6" w:customStyle="1">
    <w:name w:val="WW8Num9z6"/>
    <w:qFormat/>
    <w:rsid w:val="00705bfe"/>
    <w:rPr/>
  </w:style>
  <w:style w:type="character" w:styleId="WW8Num9z7" w:customStyle="1">
    <w:name w:val="WW8Num9z7"/>
    <w:qFormat/>
    <w:rsid w:val="00705bfe"/>
    <w:rPr/>
  </w:style>
  <w:style w:type="character" w:styleId="WW8Num9z8" w:customStyle="1">
    <w:name w:val="WW8Num9z8"/>
    <w:qFormat/>
    <w:rsid w:val="00705bfe"/>
    <w:rPr/>
  </w:style>
  <w:style w:type="character" w:styleId="WW8Num10z0" w:customStyle="1">
    <w:name w:val="WW8Num10z0"/>
    <w:qFormat/>
    <w:rsid w:val="00705bfe"/>
    <w:rPr>
      <w:rFonts w:ascii="Symbol" w:hAnsi="Symbol" w:cs="Symbol"/>
      <w:color w:val="00000A"/>
      <w:sz w:val="22"/>
      <w:szCs w:val="18"/>
    </w:rPr>
  </w:style>
  <w:style w:type="character" w:styleId="WW8Num11z0" w:customStyle="1">
    <w:name w:val="WW8Num11z0"/>
    <w:qFormat/>
    <w:rsid w:val="00705bfe"/>
    <w:rPr>
      <w:rFonts w:ascii="Symbol" w:hAnsi="Symbol" w:cs="Symbol"/>
      <w:color w:val="00000A"/>
      <w:sz w:val="22"/>
    </w:rPr>
  </w:style>
  <w:style w:type="character" w:styleId="WW8Num12z0" w:customStyle="1">
    <w:name w:val="WW8Num12z0"/>
    <w:qFormat/>
    <w:rsid w:val="00705bfe"/>
    <w:rPr>
      <w:rFonts w:ascii="Times New Roman" w:hAnsi="Times New Roman" w:cs="Times New Roman"/>
    </w:rPr>
  </w:style>
  <w:style w:type="character" w:styleId="WW8Num12z1" w:customStyle="1">
    <w:name w:val="WW8Num12z1"/>
    <w:qFormat/>
    <w:rsid w:val="00705bfe"/>
    <w:rPr>
      <w:rFonts w:ascii="Courier New" w:hAnsi="Courier New" w:cs="Symbol"/>
    </w:rPr>
  </w:style>
  <w:style w:type="character" w:styleId="WW8Num12z2" w:customStyle="1">
    <w:name w:val="WW8Num12z2"/>
    <w:qFormat/>
    <w:rsid w:val="00705bfe"/>
    <w:rPr>
      <w:rFonts w:ascii="Wingdings" w:hAnsi="Wingdings" w:cs="Wingdings"/>
    </w:rPr>
  </w:style>
  <w:style w:type="character" w:styleId="WW8Num12z3" w:customStyle="1">
    <w:name w:val="WW8Num12z3"/>
    <w:qFormat/>
    <w:rsid w:val="00705bfe"/>
    <w:rPr>
      <w:rFonts w:ascii="Symbol" w:hAnsi="Symbol" w:cs="Symbol"/>
    </w:rPr>
  </w:style>
  <w:style w:type="character" w:styleId="WW8Num13z0" w:customStyle="1">
    <w:name w:val="WW8Num13z0"/>
    <w:qFormat/>
    <w:rsid w:val="00705bfe"/>
    <w:rPr>
      <w:rFonts w:ascii="Times New Roman" w:hAnsi="Times New Roman" w:cs="Times New Roman"/>
    </w:rPr>
  </w:style>
  <w:style w:type="character" w:styleId="WW8Num13z1" w:customStyle="1">
    <w:name w:val="WW8Num13z1"/>
    <w:qFormat/>
    <w:rsid w:val="00705bfe"/>
    <w:rPr>
      <w:rFonts w:ascii="Courier New" w:hAnsi="Courier New" w:cs="Courier New"/>
    </w:rPr>
  </w:style>
  <w:style w:type="character" w:styleId="WW8Num13z2" w:customStyle="1">
    <w:name w:val="WW8Num13z2"/>
    <w:qFormat/>
    <w:rsid w:val="00705bfe"/>
    <w:rPr>
      <w:rFonts w:ascii="Wingdings" w:hAnsi="Wingdings" w:cs="Wingdings"/>
    </w:rPr>
  </w:style>
  <w:style w:type="character" w:styleId="WW8Num13z3" w:customStyle="1">
    <w:name w:val="WW8Num13z3"/>
    <w:qFormat/>
    <w:rsid w:val="00705bfe"/>
    <w:rPr>
      <w:rFonts w:ascii="Symbol" w:hAnsi="Symbol" w:cs="Symbol"/>
    </w:rPr>
  </w:style>
  <w:style w:type="character" w:styleId="WW8Num14z0" w:customStyle="1">
    <w:name w:val="WW8Num14z0"/>
    <w:qFormat/>
    <w:rsid w:val="00705bfe"/>
    <w:rPr>
      <w:rFonts w:ascii="Times New Roman" w:hAnsi="Times New Roman" w:cs="Times New Roman"/>
    </w:rPr>
  </w:style>
  <w:style w:type="character" w:styleId="WW8Num14z1" w:customStyle="1">
    <w:name w:val="WW8Num14z1"/>
    <w:qFormat/>
    <w:rsid w:val="00705bfe"/>
    <w:rPr>
      <w:rFonts w:ascii="Courier New" w:hAnsi="Courier New" w:cs="Courier New"/>
    </w:rPr>
  </w:style>
  <w:style w:type="character" w:styleId="WW8Num14z2" w:customStyle="1">
    <w:name w:val="WW8Num14z2"/>
    <w:qFormat/>
    <w:rsid w:val="00705bfe"/>
    <w:rPr>
      <w:rFonts w:ascii="Wingdings" w:hAnsi="Wingdings" w:cs="Wingdings"/>
    </w:rPr>
  </w:style>
  <w:style w:type="character" w:styleId="WW8Num14z3" w:customStyle="1">
    <w:name w:val="WW8Num14z3"/>
    <w:qFormat/>
    <w:rsid w:val="00705bfe"/>
    <w:rPr>
      <w:rFonts w:ascii="Symbol" w:hAnsi="Symbol" w:cs="Symbol"/>
    </w:rPr>
  </w:style>
  <w:style w:type="character" w:styleId="WW8Num15z0" w:customStyle="1">
    <w:name w:val="WW8Num15z0"/>
    <w:qFormat/>
    <w:rsid w:val="00705bfe"/>
    <w:rPr>
      <w:rFonts w:ascii="Arial" w:hAnsi="Arial" w:cs="Arial"/>
      <w:b/>
      <w:i w:val="false"/>
      <w:sz w:val="18"/>
    </w:rPr>
  </w:style>
  <w:style w:type="character" w:styleId="WW8Num15z1" w:customStyle="1">
    <w:name w:val="WW8Num15z1"/>
    <w:qFormat/>
    <w:rsid w:val="00705bfe"/>
    <w:rPr/>
  </w:style>
  <w:style w:type="character" w:styleId="WW8Num15z2" w:customStyle="1">
    <w:name w:val="WW8Num15z2"/>
    <w:qFormat/>
    <w:rsid w:val="00705bfe"/>
    <w:rPr/>
  </w:style>
  <w:style w:type="character" w:styleId="WW8Num15z3" w:customStyle="1">
    <w:name w:val="WW8Num15z3"/>
    <w:qFormat/>
    <w:rsid w:val="00705bfe"/>
    <w:rPr/>
  </w:style>
  <w:style w:type="character" w:styleId="WW8Num15z4" w:customStyle="1">
    <w:name w:val="WW8Num15z4"/>
    <w:qFormat/>
    <w:rsid w:val="00705bfe"/>
    <w:rPr/>
  </w:style>
  <w:style w:type="character" w:styleId="WW8Num15z5" w:customStyle="1">
    <w:name w:val="WW8Num15z5"/>
    <w:qFormat/>
    <w:rsid w:val="00705bfe"/>
    <w:rPr/>
  </w:style>
  <w:style w:type="character" w:styleId="WW8Num15z6" w:customStyle="1">
    <w:name w:val="WW8Num15z6"/>
    <w:qFormat/>
    <w:rsid w:val="00705bfe"/>
    <w:rPr/>
  </w:style>
  <w:style w:type="character" w:styleId="WW8Num15z7" w:customStyle="1">
    <w:name w:val="WW8Num15z7"/>
    <w:qFormat/>
    <w:rsid w:val="00705bfe"/>
    <w:rPr/>
  </w:style>
  <w:style w:type="character" w:styleId="WW8Num15z8" w:customStyle="1">
    <w:name w:val="WW8Num15z8"/>
    <w:qFormat/>
    <w:rsid w:val="00705bfe"/>
    <w:rPr/>
  </w:style>
  <w:style w:type="character" w:styleId="WW8Num16z0" w:customStyle="1">
    <w:name w:val="WW8Num16z0"/>
    <w:qFormat/>
    <w:rsid w:val="00705bfe"/>
    <w:rPr>
      <w:rFonts w:ascii="Arial" w:hAnsi="Arial" w:cs="Arial"/>
      <w:b/>
      <w:i w:val="false"/>
      <w:sz w:val="20"/>
    </w:rPr>
  </w:style>
  <w:style w:type="character" w:styleId="WW8Num16z1" w:customStyle="1">
    <w:name w:val="WW8Num16z1"/>
    <w:qFormat/>
    <w:rsid w:val="00705bfe"/>
    <w:rPr/>
  </w:style>
  <w:style w:type="character" w:styleId="WW8Num16z2" w:customStyle="1">
    <w:name w:val="WW8Num16z2"/>
    <w:qFormat/>
    <w:rsid w:val="00705bfe"/>
    <w:rPr/>
  </w:style>
  <w:style w:type="character" w:styleId="WW8Num16z3" w:customStyle="1">
    <w:name w:val="WW8Num16z3"/>
    <w:qFormat/>
    <w:rsid w:val="00705bfe"/>
    <w:rPr/>
  </w:style>
  <w:style w:type="character" w:styleId="WW8Num16z4" w:customStyle="1">
    <w:name w:val="WW8Num16z4"/>
    <w:qFormat/>
    <w:rsid w:val="00705bfe"/>
    <w:rPr/>
  </w:style>
  <w:style w:type="character" w:styleId="WW8Num16z5" w:customStyle="1">
    <w:name w:val="WW8Num16z5"/>
    <w:qFormat/>
    <w:rsid w:val="00705bfe"/>
    <w:rPr/>
  </w:style>
  <w:style w:type="character" w:styleId="WW8Num16z6" w:customStyle="1">
    <w:name w:val="WW8Num16z6"/>
    <w:qFormat/>
    <w:rsid w:val="00705bfe"/>
    <w:rPr/>
  </w:style>
  <w:style w:type="character" w:styleId="WW8Num16z7" w:customStyle="1">
    <w:name w:val="WW8Num16z7"/>
    <w:qFormat/>
    <w:rsid w:val="00705bfe"/>
    <w:rPr/>
  </w:style>
  <w:style w:type="character" w:styleId="WW8Num16z8" w:customStyle="1">
    <w:name w:val="WW8Num16z8"/>
    <w:qFormat/>
    <w:rsid w:val="00705bfe"/>
    <w:rPr/>
  </w:style>
  <w:style w:type="character" w:styleId="WW8Num17z0" w:customStyle="1">
    <w:name w:val="WW8Num17z0"/>
    <w:qFormat/>
    <w:rsid w:val="00705bfe"/>
    <w:rPr>
      <w:rFonts w:ascii="Times New Roman" w:hAnsi="Times New Roman" w:cs="Times New Roman"/>
    </w:rPr>
  </w:style>
  <w:style w:type="character" w:styleId="WW8Num17z1" w:customStyle="1">
    <w:name w:val="WW8Num17z1"/>
    <w:qFormat/>
    <w:rsid w:val="00705bfe"/>
    <w:rPr>
      <w:rFonts w:ascii="Courier New" w:hAnsi="Courier New" w:cs="Symbol"/>
    </w:rPr>
  </w:style>
  <w:style w:type="character" w:styleId="WW8Num17z2" w:customStyle="1">
    <w:name w:val="WW8Num17z2"/>
    <w:qFormat/>
    <w:rsid w:val="00705bfe"/>
    <w:rPr>
      <w:rFonts w:ascii="Wingdings" w:hAnsi="Wingdings" w:cs="Wingdings"/>
    </w:rPr>
  </w:style>
  <w:style w:type="character" w:styleId="WW8Num17z3" w:customStyle="1">
    <w:name w:val="WW8Num17z3"/>
    <w:qFormat/>
    <w:rsid w:val="00705bfe"/>
    <w:rPr>
      <w:rFonts w:ascii="Symbol" w:hAnsi="Symbol" w:cs="Symbol"/>
    </w:rPr>
  </w:style>
  <w:style w:type="character" w:styleId="WW8Num18z0" w:customStyle="1">
    <w:name w:val="WW8Num18z0"/>
    <w:qFormat/>
    <w:rsid w:val="00705bfe"/>
    <w:rPr>
      <w:rFonts w:cs="Times New Roman"/>
      <w:sz w:val="20"/>
      <w:szCs w:val="20"/>
    </w:rPr>
  </w:style>
  <w:style w:type="character" w:styleId="WW8Num19z0" w:customStyle="1">
    <w:name w:val="WW8Num19z0"/>
    <w:qFormat/>
    <w:rsid w:val="00705bfe"/>
    <w:rPr>
      <w:rFonts w:ascii="Times New Roman" w:hAnsi="Times New Roman" w:cs="Times New Roman"/>
    </w:rPr>
  </w:style>
  <w:style w:type="character" w:styleId="WW8Num19z1" w:customStyle="1">
    <w:name w:val="WW8Num19z1"/>
    <w:qFormat/>
    <w:rsid w:val="00705bfe"/>
    <w:rPr/>
  </w:style>
  <w:style w:type="character" w:styleId="WW8Num19z2" w:customStyle="1">
    <w:name w:val="WW8Num19z2"/>
    <w:qFormat/>
    <w:rsid w:val="00705bfe"/>
    <w:rPr/>
  </w:style>
  <w:style w:type="character" w:styleId="WW8Num19z3" w:customStyle="1">
    <w:name w:val="WW8Num19z3"/>
    <w:qFormat/>
    <w:rsid w:val="00705bfe"/>
    <w:rPr/>
  </w:style>
  <w:style w:type="character" w:styleId="WW8Num19z4" w:customStyle="1">
    <w:name w:val="WW8Num19z4"/>
    <w:qFormat/>
    <w:rsid w:val="00705bfe"/>
    <w:rPr/>
  </w:style>
  <w:style w:type="character" w:styleId="WW8Num19z5" w:customStyle="1">
    <w:name w:val="WW8Num19z5"/>
    <w:qFormat/>
    <w:rsid w:val="00705bfe"/>
    <w:rPr/>
  </w:style>
  <w:style w:type="character" w:styleId="WW8Num19z6" w:customStyle="1">
    <w:name w:val="WW8Num19z6"/>
    <w:qFormat/>
    <w:rsid w:val="00705bfe"/>
    <w:rPr/>
  </w:style>
  <w:style w:type="character" w:styleId="WW8Num19z7" w:customStyle="1">
    <w:name w:val="WW8Num19z7"/>
    <w:qFormat/>
    <w:rsid w:val="00705bfe"/>
    <w:rPr/>
  </w:style>
  <w:style w:type="character" w:styleId="WW8Num19z8" w:customStyle="1">
    <w:name w:val="WW8Num19z8"/>
    <w:qFormat/>
    <w:rsid w:val="00705bfe"/>
    <w:rPr/>
  </w:style>
  <w:style w:type="character" w:styleId="WW8Num20z0" w:customStyle="1">
    <w:name w:val="WW8Num20z0"/>
    <w:qFormat/>
    <w:rsid w:val="00705bfe"/>
    <w:rPr>
      <w:rFonts w:cs="Times New Roman"/>
      <w:szCs w:val="18"/>
    </w:rPr>
  </w:style>
  <w:style w:type="character" w:styleId="WW8Num21z0" w:customStyle="1">
    <w:name w:val="WW8Num21z0"/>
    <w:qFormat/>
    <w:rsid w:val="00705bfe"/>
    <w:rPr>
      <w:rFonts w:ascii="Times New Roman" w:hAnsi="Times New Roman" w:cs="Times New Roman"/>
    </w:rPr>
  </w:style>
  <w:style w:type="character" w:styleId="WW8Num21z1" w:customStyle="1">
    <w:name w:val="WW8Num21z1"/>
    <w:qFormat/>
    <w:rsid w:val="00705bfe"/>
    <w:rPr>
      <w:rFonts w:ascii="Courier New" w:hAnsi="Courier New" w:cs="Courier New"/>
    </w:rPr>
  </w:style>
  <w:style w:type="character" w:styleId="WW8Num21z2" w:customStyle="1">
    <w:name w:val="WW8Num21z2"/>
    <w:qFormat/>
    <w:rsid w:val="00705bfe"/>
    <w:rPr>
      <w:rFonts w:ascii="Wingdings" w:hAnsi="Wingdings" w:cs="Wingdings"/>
    </w:rPr>
  </w:style>
  <w:style w:type="character" w:styleId="WW8Num21z3" w:customStyle="1">
    <w:name w:val="WW8Num21z3"/>
    <w:qFormat/>
    <w:rsid w:val="00705bfe"/>
    <w:rPr>
      <w:rFonts w:ascii="Symbol" w:hAnsi="Symbol" w:cs="Symbol"/>
    </w:rPr>
  </w:style>
  <w:style w:type="character" w:styleId="WW8Num22z0" w:customStyle="1">
    <w:name w:val="WW8Num22z0"/>
    <w:qFormat/>
    <w:rsid w:val="00705bfe"/>
    <w:rPr>
      <w:rFonts w:ascii="Arial" w:hAnsi="Arial" w:cs="Arial"/>
      <w:b/>
      <w:i w:val="false"/>
      <w:sz w:val="18"/>
    </w:rPr>
  </w:style>
  <w:style w:type="character" w:styleId="WW8Num22z1" w:customStyle="1">
    <w:name w:val="WW8Num22z1"/>
    <w:qFormat/>
    <w:rsid w:val="00705bfe"/>
    <w:rPr/>
  </w:style>
  <w:style w:type="character" w:styleId="WW8Num22z2" w:customStyle="1">
    <w:name w:val="WW8Num22z2"/>
    <w:qFormat/>
    <w:rsid w:val="00705bfe"/>
    <w:rPr/>
  </w:style>
  <w:style w:type="character" w:styleId="WW8Num22z3" w:customStyle="1">
    <w:name w:val="WW8Num22z3"/>
    <w:qFormat/>
    <w:rsid w:val="00705bfe"/>
    <w:rPr/>
  </w:style>
  <w:style w:type="character" w:styleId="WW8Num22z4" w:customStyle="1">
    <w:name w:val="WW8Num22z4"/>
    <w:qFormat/>
    <w:rsid w:val="00705bfe"/>
    <w:rPr/>
  </w:style>
  <w:style w:type="character" w:styleId="WW8Num22z5" w:customStyle="1">
    <w:name w:val="WW8Num22z5"/>
    <w:qFormat/>
    <w:rsid w:val="00705bfe"/>
    <w:rPr/>
  </w:style>
  <w:style w:type="character" w:styleId="WW8Num22z6" w:customStyle="1">
    <w:name w:val="WW8Num22z6"/>
    <w:qFormat/>
    <w:rsid w:val="00705bfe"/>
    <w:rPr/>
  </w:style>
  <w:style w:type="character" w:styleId="WW8Num22z7" w:customStyle="1">
    <w:name w:val="WW8Num22z7"/>
    <w:qFormat/>
    <w:rsid w:val="00705bfe"/>
    <w:rPr/>
  </w:style>
  <w:style w:type="character" w:styleId="WW8Num22z8" w:customStyle="1">
    <w:name w:val="WW8Num22z8"/>
    <w:qFormat/>
    <w:rsid w:val="00705bfe"/>
    <w:rPr/>
  </w:style>
  <w:style w:type="character" w:styleId="WW8Num23z0" w:customStyle="1">
    <w:name w:val="WW8Num23z0"/>
    <w:qFormat/>
    <w:rsid w:val="00705bfe"/>
    <w:rPr>
      <w:rFonts w:ascii="Arial" w:hAnsi="Arial" w:cs="Arial"/>
      <w:b/>
      <w:i w:val="false"/>
      <w:sz w:val="18"/>
    </w:rPr>
  </w:style>
  <w:style w:type="character" w:styleId="WW8Num23z1" w:customStyle="1">
    <w:name w:val="WW8Num23z1"/>
    <w:qFormat/>
    <w:rsid w:val="00705bfe"/>
    <w:rPr/>
  </w:style>
  <w:style w:type="character" w:styleId="WW8Num23z2" w:customStyle="1">
    <w:name w:val="WW8Num23z2"/>
    <w:qFormat/>
    <w:rsid w:val="00705bfe"/>
    <w:rPr/>
  </w:style>
  <w:style w:type="character" w:styleId="WW8Num23z3" w:customStyle="1">
    <w:name w:val="WW8Num23z3"/>
    <w:qFormat/>
    <w:rsid w:val="00705bfe"/>
    <w:rPr/>
  </w:style>
  <w:style w:type="character" w:styleId="WW8Num23z4" w:customStyle="1">
    <w:name w:val="WW8Num23z4"/>
    <w:qFormat/>
    <w:rsid w:val="00705bfe"/>
    <w:rPr/>
  </w:style>
  <w:style w:type="character" w:styleId="WW8Num23z5" w:customStyle="1">
    <w:name w:val="WW8Num23z5"/>
    <w:qFormat/>
    <w:rsid w:val="00705bfe"/>
    <w:rPr/>
  </w:style>
  <w:style w:type="character" w:styleId="WW8Num23z6" w:customStyle="1">
    <w:name w:val="WW8Num23z6"/>
    <w:qFormat/>
    <w:rsid w:val="00705bfe"/>
    <w:rPr/>
  </w:style>
  <w:style w:type="character" w:styleId="WW8Num23z7" w:customStyle="1">
    <w:name w:val="WW8Num23z7"/>
    <w:qFormat/>
    <w:rsid w:val="00705bfe"/>
    <w:rPr/>
  </w:style>
  <w:style w:type="character" w:styleId="WW8Num23z8" w:customStyle="1">
    <w:name w:val="WW8Num23z8"/>
    <w:qFormat/>
    <w:rsid w:val="00705bfe"/>
    <w:rPr/>
  </w:style>
  <w:style w:type="character" w:styleId="WW8Num24z0" w:customStyle="1">
    <w:name w:val="WW8Num24z0"/>
    <w:qFormat/>
    <w:rsid w:val="00705bfe"/>
    <w:rPr/>
  </w:style>
  <w:style w:type="character" w:styleId="WW8Num24z1" w:customStyle="1">
    <w:name w:val="WW8Num24z1"/>
    <w:qFormat/>
    <w:rsid w:val="00705bfe"/>
    <w:rPr/>
  </w:style>
  <w:style w:type="character" w:styleId="WW8Num24z2" w:customStyle="1">
    <w:name w:val="WW8Num24z2"/>
    <w:qFormat/>
    <w:rsid w:val="00705bfe"/>
    <w:rPr/>
  </w:style>
  <w:style w:type="character" w:styleId="WW8Num24z3" w:customStyle="1">
    <w:name w:val="WW8Num24z3"/>
    <w:qFormat/>
    <w:rsid w:val="00705bfe"/>
    <w:rPr/>
  </w:style>
  <w:style w:type="character" w:styleId="WW8Num24z4" w:customStyle="1">
    <w:name w:val="WW8Num24z4"/>
    <w:qFormat/>
    <w:rsid w:val="00705bfe"/>
    <w:rPr/>
  </w:style>
  <w:style w:type="character" w:styleId="WW8Num24z5" w:customStyle="1">
    <w:name w:val="WW8Num24z5"/>
    <w:qFormat/>
    <w:rsid w:val="00705bfe"/>
    <w:rPr/>
  </w:style>
  <w:style w:type="character" w:styleId="WW8Num24z6" w:customStyle="1">
    <w:name w:val="WW8Num24z6"/>
    <w:qFormat/>
    <w:rsid w:val="00705bfe"/>
    <w:rPr/>
  </w:style>
  <w:style w:type="character" w:styleId="WW8Num24z7" w:customStyle="1">
    <w:name w:val="WW8Num24z7"/>
    <w:qFormat/>
    <w:rsid w:val="00705bfe"/>
    <w:rPr/>
  </w:style>
  <w:style w:type="character" w:styleId="WW8Num24z8" w:customStyle="1">
    <w:name w:val="WW8Num24z8"/>
    <w:qFormat/>
    <w:rsid w:val="00705bfe"/>
    <w:rPr/>
  </w:style>
  <w:style w:type="character" w:styleId="WW8Num25z0" w:customStyle="1">
    <w:name w:val="WW8Num25z0"/>
    <w:qFormat/>
    <w:rsid w:val="00705bfe"/>
    <w:rPr/>
  </w:style>
  <w:style w:type="character" w:styleId="WW8Num25z1" w:customStyle="1">
    <w:name w:val="WW8Num25z1"/>
    <w:qFormat/>
    <w:rsid w:val="00705bfe"/>
    <w:rPr>
      <w:rFonts w:ascii="Courier New" w:hAnsi="Courier New" w:cs="Symbol"/>
    </w:rPr>
  </w:style>
  <w:style w:type="character" w:styleId="WW8Num25z2" w:customStyle="1">
    <w:name w:val="WW8Num25z2"/>
    <w:qFormat/>
    <w:rsid w:val="00705bfe"/>
    <w:rPr>
      <w:rFonts w:ascii="Wingdings" w:hAnsi="Wingdings" w:cs="Wingdings"/>
    </w:rPr>
  </w:style>
  <w:style w:type="character" w:styleId="WW8Num25z3" w:customStyle="1">
    <w:name w:val="WW8Num25z3"/>
    <w:qFormat/>
    <w:rsid w:val="00705bfe"/>
    <w:rPr>
      <w:rFonts w:ascii="Symbol" w:hAnsi="Symbol" w:cs="Symbol"/>
    </w:rPr>
  </w:style>
  <w:style w:type="character" w:styleId="WW8Num26z0" w:customStyle="1">
    <w:name w:val="WW8Num26z0"/>
    <w:qFormat/>
    <w:rsid w:val="00705bfe"/>
    <w:rPr>
      <w:rFonts w:ascii="Times New Roman" w:hAnsi="Times New Roman" w:cs="Times New Roman"/>
    </w:rPr>
  </w:style>
  <w:style w:type="character" w:styleId="WW8Num27z0" w:customStyle="1">
    <w:name w:val="WW8Num27z0"/>
    <w:qFormat/>
    <w:rsid w:val="00705bfe"/>
    <w:rPr>
      <w:rFonts w:ascii="Arial" w:hAnsi="Arial" w:cs="Arial"/>
      <w:b/>
      <w:i w:val="false"/>
      <w:sz w:val="20"/>
    </w:rPr>
  </w:style>
  <w:style w:type="character" w:styleId="WW8Num27z1" w:customStyle="1">
    <w:name w:val="WW8Num27z1"/>
    <w:qFormat/>
    <w:rsid w:val="00705bfe"/>
    <w:rPr/>
  </w:style>
  <w:style w:type="character" w:styleId="WW8Num27z2" w:customStyle="1">
    <w:name w:val="WW8Num27z2"/>
    <w:qFormat/>
    <w:rsid w:val="00705bfe"/>
    <w:rPr/>
  </w:style>
  <w:style w:type="character" w:styleId="WW8Num27z3" w:customStyle="1">
    <w:name w:val="WW8Num27z3"/>
    <w:qFormat/>
    <w:rsid w:val="00705bfe"/>
    <w:rPr/>
  </w:style>
  <w:style w:type="character" w:styleId="WW8Num27z4" w:customStyle="1">
    <w:name w:val="WW8Num27z4"/>
    <w:qFormat/>
    <w:rsid w:val="00705bfe"/>
    <w:rPr/>
  </w:style>
  <w:style w:type="character" w:styleId="WW8Num27z5" w:customStyle="1">
    <w:name w:val="WW8Num27z5"/>
    <w:qFormat/>
    <w:rsid w:val="00705bfe"/>
    <w:rPr/>
  </w:style>
  <w:style w:type="character" w:styleId="WW8Num27z6" w:customStyle="1">
    <w:name w:val="WW8Num27z6"/>
    <w:qFormat/>
    <w:rsid w:val="00705bfe"/>
    <w:rPr/>
  </w:style>
  <w:style w:type="character" w:styleId="WW8Num27z7" w:customStyle="1">
    <w:name w:val="WW8Num27z7"/>
    <w:qFormat/>
    <w:rsid w:val="00705bfe"/>
    <w:rPr/>
  </w:style>
  <w:style w:type="character" w:styleId="WW8Num27z8" w:customStyle="1">
    <w:name w:val="WW8Num27z8"/>
    <w:qFormat/>
    <w:rsid w:val="00705bfe"/>
    <w:rPr/>
  </w:style>
  <w:style w:type="character" w:styleId="WW8Num28z0" w:customStyle="1">
    <w:name w:val="WW8Num28z0"/>
    <w:qFormat/>
    <w:rsid w:val="00705bfe"/>
    <w:rPr>
      <w:rFonts w:cs="Times New Roman"/>
    </w:rPr>
  </w:style>
  <w:style w:type="character" w:styleId="HeaderChar" w:customStyle="1">
    <w:name w:val="Header Char"/>
    <w:basedOn w:val="DefaultParagraphFont"/>
    <w:uiPriority w:val="99"/>
    <w:qFormat/>
    <w:rsid w:val="00705bfe"/>
    <w:rPr/>
  </w:style>
  <w:style w:type="character" w:styleId="FooterChar" w:customStyle="1">
    <w:name w:val="Footer Char"/>
    <w:basedOn w:val="DefaultParagraphFont"/>
    <w:uiPriority w:val="99"/>
    <w:qFormat/>
    <w:rsid w:val="00705bfe"/>
    <w:rPr/>
  </w:style>
  <w:style w:type="character" w:styleId="Slostrany" w:customStyle="1">
    <w:name w:val="Číslo strany"/>
    <w:uiPriority w:val="99"/>
    <w:qFormat/>
    <w:rsid w:val="00705bfe"/>
    <w:rPr>
      <w:rFonts w:cs="Times New Roman"/>
    </w:rPr>
  </w:style>
  <w:style w:type="character" w:styleId="Heading1Char" w:customStyle="1">
    <w:name w:val="Heading 1 Char"/>
    <w:uiPriority w:val="99"/>
    <w:qFormat/>
    <w:rsid w:val="00705bfe"/>
    <w:rPr>
      <w:rFonts w:ascii="Times New Roman" w:hAnsi="Times New Roman" w:eastAsia="Times New Roman" w:cs="Times New Roman"/>
      <w:b/>
      <w:caps/>
      <w:sz w:val="18"/>
    </w:rPr>
  </w:style>
  <w:style w:type="character" w:styleId="Heading2Char" w:customStyle="1">
    <w:name w:val="Heading 2 Char"/>
    <w:uiPriority w:val="99"/>
    <w:qFormat/>
    <w:rsid w:val="00705bfe"/>
    <w:rPr>
      <w:rFonts w:ascii="Times New Roman" w:hAnsi="Times New Roman" w:eastAsia="Times New Roman" w:cs="Times New Roman"/>
      <w:b/>
      <w:sz w:val="18"/>
    </w:rPr>
  </w:style>
  <w:style w:type="character" w:styleId="Heading6Char" w:customStyle="1">
    <w:name w:val="Heading 6 Char"/>
    <w:uiPriority w:val="99"/>
    <w:qFormat/>
    <w:rsid w:val="00705bfe"/>
    <w:rPr>
      <w:rFonts w:ascii="Times New Roman" w:hAnsi="Times New Roman" w:eastAsia="Times New Roman" w:cs="Times New Roman"/>
      <w:b/>
      <w:caps/>
      <w:sz w:val="32"/>
      <w:szCs w:val="20"/>
    </w:rPr>
  </w:style>
  <w:style w:type="character" w:styleId="BodyTextChar" w:customStyle="1">
    <w:name w:val="Body Text Char"/>
    <w:uiPriority w:val="99"/>
    <w:qFormat/>
    <w:rsid w:val="00705bfe"/>
    <w:rPr>
      <w:rFonts w:ascii="Times New Roman" w:hAnsi="Times New Roman" w:eastAsia="Times New Roman" w:cs="Times New Roman"/>
      <w:sz w:val="18"/>
      <w:szCs w:val="20"/>
    </w:rPr>
  </w:style>
  <w:style w:type="character" w:styleId="Znakyprepoznmkupodiarou" w:customStyle="1">
    <w:name w:val="Znaky pre poznámku pod čiarou"/>
    <w:qFormat/>
    <w:rsid w:val="00705bfe"/>
    <w:rPr>
      <w:rFonts w:cs="Times New Roman"/>
      <w:sz w:val="16"/>
      <w:szCs w:val="16"/>
    </w:rPr>
  </w:style>
  <w:style w:type="character" w:styleId="ZifChar" w:customStyle="1">
    <w:name w:val="zif Char"/>
    <w:qFormat/>
    <w:rsid w:val="00705bfe"/>
    <w:rPr>
      <w:rFonts w:ascii="Times" w:hAnsi="Times" w:eastAsia="Times New Roman" w:cs="Times New Roman"/>
      <w:sz w:val="20"/>
      <w:szCs w:val="20"/>
      <w:lang w:val="en-US"/>
    </w:rPr>
  </w:style>
  <w:style w:type="character" w:styleId="Heading9Char" w:customStyle="1">
    <w:name w:val="Heading 9 Char"/>
    <w:uiPriority w:val="99"/>
    <w:qFormat/>
    <w:rsid w:val="00705bfe"/>
    <w:rPr>
      <w:rFonts w:ascii="Cambria" w:hAnsi="Cambria" w:eastAsia="Times New Roman" w:cs="Times New Roman"/>
      <w:i/>
      <w:iCs/>
      <w:color w:val="404040"/>
      <w:sz w:val="20"/>
      <w:szCs w:val="20"/>
    </w:rPr>
  </w:style>
  <w:style w:type="character" w:styleId="BalloonTextChar" w:customStyle="1">
    <w:name w:val="Balloon Text Char"/>
    <w:uiPriority w:val="99"/>
    <w:qFormat/>
    <w:rsid w:val="00705bfe"/>
    <w:rPr>
      <w:rFonts w:ascii="Tahoma" w:hAnsi="Tahoma" w:eastAsia="Times New Roman" w:cs="Tahoma"/>
      <w:sz w:val="16"/>
      <w:szCs w:val="16"/>
    </w:rPr>
  </w:style>
  <w:style w:type="character" w:styleId="Annotationreference">
    <w:name w:val="annotation reference"/>
    <w:qFormat/>
    <w:rsid w:val="00705bfe"/>
    <w:rPr>
      <w:sz w:val="16"/>
      <w:szCs w:val="16"/>
    </w:rPr>
  </w:style>
  <w:style w:type="character" w:styleId="CommentTextChar" w:customStyle="1">
    <w:name w:val="Comment Text Char"/>
    <w:qFormat/>
    <w:rsid w:val="00705bfe"/>
    <w:rPr>
      <w:rFonts w:ascii="Times New Roman" w:hAnsi="Times New Roman" w:eastAsia="Times New Roman" w:cs="Times New Roman"/>
      <w:sz w:val="20"/>
      <w:szCs w:val="20"/>
    </w:rPr>
  </w:style>
  <w:style w:type="character" w:styleId="CommentSubjectChar" w:customStyle="1">
    <w:name w:val="Comment Subject Char"/>
    <w:qFormat/>
    <w:rsid w:val="00705bfe"/>
    <w:rPr>
      <w:rFonts w:ascii="Times New Roman" w:hAnsi="Times New Roman" w:eastAsia="Times New Roman" w:cs="Times New Roman"/>
      <w:b/>
      <w:bCs/>
      <w:sz w:val="20"/>
      <w:szCs w:val="20"/>
    </w:rPr>
  </w:style>
  <w:style w:type="character" w:styleId="BodyText3Char" w:customStyle="1">
    <w:name w:val="Body Text 3 Char"/>
    <w:qFormat/>
    <w:rsid w:val="00705bfe"/>
    <w:rPr>
      <w:rFonts w:ascii="Times New Roman" w:hAnsi="Times New Roman" w:eastAsia="Times New Roman" w:cs="Times New Roman"/>
      <w:sz w:val="16"/>
      <w:szCs w:val="16"/>
    </w:rPr>
  </w:style>
  <w:style w:type="character" w:styleId="Internetovodkaz" w:customStyle="1">
    <w:name w:val="Internetový odkaz"/>
    <w:qFormat/>
    <w:rsid w:val="00705bfe"/>
    <w:rPr>
      <w:color w:val="0000FF"/>
      <w:u w:val="single"/>
    </w:rPr>
  </w:style>
  <w:style w:type="character" w:styleId="Ra" w:customStyle="1">
    <w:name w:val="ra"/>
    <w:basedOn w:val="DefaultParagraphFont"/>
    <w:qFormat/>
    <w:rsid w:val="00705bfe"/>
    <w:rPr/>
  </w:style>
  <w:style w:type="character" w:styleId="TitleChar" w:customStyle="1">
    <w:name w:val="Title Char"/>
    <w:basedOn w:val="DefaultParagraphFont"/>
    <w:link w:val="Title"/>
    <w:uiPriority w:val="10"/>
    <w:qFormat/>
    <w:rsid w:val="00f07b6a"/>
    <w:rPr>
      <w:rFonts w:ascii="Arial Narrow" w:hAnsi="Arial Narrow"/>
      <w:b/>
      <w:bCs/>
      <w:sz w:val="22"/>
      <w:szCs w:val="32"/>
      <w:lang w:val="sk-SK"/>
    </w:rPr>
  </w:style>
  <w:style w:type="character" w:styleId="FootnoteTextChar" w:customStyle="1">
    <w:name w:val="Footnote Text Char"/>
    <w:basedOn w:val="DefaultParagraphFont"/>
    <w:link w:val="FootnoteText"/>
    <w:uiPriority w:val="99"/>
    <w:semiHidden/>
    <w:qFormat/>
    <w:rsid w:val="00f07b6a"/>
    <w:rPr>
      <w:lang w:val="sk-SK" w:eastAsia="cs-CZ"/>
    </w:rPr>
  </w:style>
  <w:style w:type="character" w:styleId="NzovChar136" w:customStyle="1">
    <w:name w:val="N‡zov Char13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5" w:customStyle="1">
    <w:name w:val="N‡zov Char13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4" w:customStyle="1">
    <w:name w:val="N‡zov Char13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3" w:customStyle="1">
    <w:name w:val="N‡zov Char13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2" w:customStyle="1">
    <w:name w:val="N‡zov Char13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1" w:customStyle="1">
    <w:name w:val="N‡zov Char13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0" w:customStyle="1">
    <w:name w:val="N‡zov Char130"/>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9" w:customStyle="1">
    <w:name w:val="N‡zov Char129"/>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8" w:customStyle="1">
    <w:name w:val="N‡zov Char128"/>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7" w:customStyle="1">
    <w:name w:val="N‡zov Char127"/>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6" w:customStyle="1">
    <w:name w:val="N‡zov Char12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5" w:customStyle="1">
    <w:name w:val="N‡zov Char12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4" w:customStyle="1">
    <w:name w:val="N‡zov Char12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3" w:customStyle="1">
    <w:name w:val="N‡zov Char12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2" w:customStyle="1">
    <w:name w:val="N‡zov Char12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1" w:customStyle="1">
    <w:name w:val="N‡zov Char12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0" w:customStyle="1">
    <w:name w:val="N‡zov Char120"/>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9" w:customStyle="1">
    <w:name w:val="N‡zov Char119"/>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8" w:customStyle="1">
    <w:name w:val="N‡zov Char118"/>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7" w:customStyle="1">
    <w:name w:val="N‡zov Char117"/>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6" w:customStyle="1">
    <w:name w:val="N‡zov Char11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5" w:customStyle="1">
    <w:name w:val="N‡zov Char11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4" w:customStyle="1">
    <w:name w:val="N‡zov Char11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3" w:customStyle="1">
    <w:name w:val="N‡zov Char11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2" w:customStyle="1">
    <w:name w:val="N‡zov Char11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1" w:customStyle="1">
    <w:name w:val="N‡zov Char11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0" w:customStyle="1">
    <w:name w:val="N‡zov Char110"/>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9" w:customStyle="1">
    <w:name w:val="N‡zov Char19"/>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8" w:customStyle="1">
    <w:name w:val="N‡zov Char18"/>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7" w:customStyle="1">
    <w:name w:val="N‡zov Char17"/>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6" w:customStyle="1">
    <w:name w:val="N‡zov Char16"/>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5" w:customStyle="1">
    <w:name w:val="N‡zov Char15"/>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4" w:customStyle="1">
    <w:name w:val="N‡zov Char14"/>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3" w:customStyle="1">
    <w:name w:val="N‡zov Char13"/>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2" w:customStyle="1">
    <w:name w:val="N‡zov Char12"/>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NzovChar11" w:customStyle="1">
    <w:name w:val="N‡zov Char11"/>
    <w:basedOn w:val="DefaultParagraphFont"/>
    <w:uiPriority w:val="10"/>
    <w:qFormat/>
    <w:rsid w:val="00f07b6a"/>
    <w:rPr>
      <w:rFonts w:ascii="Calibri" w:hAnsi="Calibri" w:eastAsia="" w:cs="Times New Roman" w:asciiTheme="majorHAnsi" w:eastAsiaTheme="majorEastAsia" w:hAnsiTheme="majorHAnsi"/>
      <w:b/>
      <w:bCs/>
      <w:sz w:val="32"/>
      <w:szCs w:val="32"/>
    </w:rPr>
  </w:style>
  <w:style w:type="character" w:styleId="PodtitulChar136" w:customStyle="1">
    <w:name w:val="Podtitul Char13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SubtitleChar" w:customStyle="1">
    <w:name w:val="Subtitle Char"/>
    <w:basedOn w:val="DefaultParagraphFont"/>
    <w:link w:val="Subtitle"/>
    <w:uiPriority w:val="99"/>
    <w:qFormat/>
    <w:rsid w:val="00f07b6a"/>
    <w:rPr>
      <w:rFonts w:ascii="Cambria" w:hAnsi="Cambria"/>
      <w:sz w:val="22"/>
      <w:szCs w:val="24"/>
      <w:lang w:val="sk-SK"/>
    </w:rPr>
  </w:style>
  <w:style w:type="character" w:styleId="PodtitulChar135" w:customStyle="1">
    <w:name w:val="Podtitul Char13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4" w:customStyle="1">
    <w:name w:val="Podtitul Char13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3" w:customStyle="1">
    <w:name w:val="Podtitul Char13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2" w:customStyle="1">
    <w:name w:val="Podtitul Char13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1" w:customStyle="1">
    <w:name w:val="Podtitul Char13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0" w:customStyle="1">
    <w:name w:val="Podtitul Char130"/>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9" w:customStyle="1">
    <w:name w:val="Podtitul Char129"/>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8" w:customStyle="1">
    <w:name w:val="Podtitul Char128"/>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7" w:customStyle="1">
    <w:name w:val="Podtitul Char127"/>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6" w:customStyle="1">
    <w:name w:val="Podtitul Char12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5" w:customStyle="1">
    <w:name w:val="Podtitul Char12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4" w:customStyle="1">
    <w:name w:val="Podtitul Char12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3" w:customStyle="1">
    <w:name w:val="Podtitul Char12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2" w:customStyle="1">
    <w:name w:val="Podtitul Char12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1" w:customStyle="1">
    <w:name w:val="Podtitul Char12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0" w:customStyle="1">
    <w:name w:val="Podtitul Char120"/>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9" w:customStyle="1">
    <w:name w:val="Podtitul Char119"/>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8" w:customStyle="1">
    <w:name w:val="Podtitul Char118"/>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7" w:customStyle="1">
    <w:name w:val="Podtitul Char117"/>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6" w:customStyle="1">
    <w:name w:val="Podtitul Char11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5" w:customStyle="1">
    <w:name w:val="Podtitul Char11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4" w:customStyle="1">
    <w:name w:val="Podtitul Char11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3" w:customStyle="1">
    <w:name w:val="Podtitul Char11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2" w:customStyle="1">
    <w:name w:val="Podtitul Char11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1" w:customStyle="1">
    <w:name w:val="Podtitul Char11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0" w:customStyle="1">
    <w:name w:val="Podtitul Char110"/>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9" w:customStyle="1">
    <w:name w:val="Podtitul Char19"/>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8" w:customStyle="1">
    <w:name w:val="Podtitul Char18"/>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7" w:customStyle="1">
    <w:name w:val="Podtitul Char17"/>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6" w:customStyle="1">
    <w:name w:val="Podtitul Char16"/>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5" w:customStyle="1">
    <w:name w:val="Podtitul Char15"/>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4" w:customStyle="1">
    <w:name w:val="Podtitul Char14"/>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3" w:customStyle="1">
    <w:name w:val="Podtitul Char13"/>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2" w:customStyle="1">
    <w:name w:val="Podtitul Char12"/>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PodtitulChar11" w:customStyle="1">
    <w:name w:val="Podtitul Char11"/>
    <w:basedOn w:val="DefaultParagraphFont"/>
    <w:uiPriority w:val="11"/>
    <w:qFormat/>
    <w:rsid w:val="00f07b6a"/>
    <w:rPr>
      <w:rFonts w:ascii="Calibri" w:hAnsi="Calibri" w:eastAsia="" w:cs="Times New Roman" w:asciiTheme="majorHAnsi" w:eastAsiaTheme="majorEastAsia" w:hAnsiTheme="majorHAnsi"/>
      <w:sz w:val="24"/>
      <w:szCs w:val="24"/>
    </w:rPr>
  </w:style>
  <w:style w:type="character" w:styleId="BodyText2Char" w:customStyle="1">
    <w:name w:val="Body Text 2 Char"/>
    <w:basedOn w:val="DefaultParagraphFont"/>
    <w:link w:val="BodyText2"/>
    <w:uiPriority w:val="99"/>
    <w:qFormat/>
    <w:rsid w:val="00f07b6a"/>
    <w:rPr>
      <w:sz w:val="24"/>
      <w:szCs w:val="24"/>
      <w:lang w:val="sk-SK" w:eastAsia="cs-CZ"/>
    </w:rPr>
  </w:style>
  <w:style w:type="character" w:styleId="BodyTextIndent2Char" w:customStyle="1">
    <w:name w:val="Body Text Indent 2 Char"/>
    <w:basedOn w:val="DefaultParagraphFont"/>
    <w:link w:val="BodyTextIndent2"/>
    <w:uiPriority w:val="99"/>
    <w:qFormat/>
    <w:rsid w:val="00f07b6a"/>
    <w:rPr>
      <w:sz w:val="24"/>
      <w:szCs w:val="24"/>
      <w:lang w:val="sk-SK" w:eastAsia="cs-CZ"/>
    </w:rPr>
  </w:style>
  <w:style w:type="character" w:styleId="BodyTextIndent3Char" w:customStyle="1">
    <w:name w:val="Body Text Indent 3 Char"/>
    <w:basedOn w:val="DefaultParagraphFont"/>
    <w:link w:val="BodyTextIndent3"/>
    <w:uiPriority w:val="99"/>
    <w:qFormat/>
    <w:rsid w:val="00f07b6a"/>
    <w:rPr>
      <w:sz w:val="24"/>
      <w:szCs w:val="24"/>
      <w:lang w:val="sk-SK" w:eastAsia="cs-CZ"/>
    </w:rPr>
  </w:style>
  <w:style w:type="character" w:styleId="Strong">
    <w:name w:val="Strong"/>
    <w:uiPriority w:val="99"/>
    <w:qFormat/>
    <w:rsid w:val="004b054f"/>
    <w:rPr>
      <w:rFonts w:cs="Times New Roman"/>
      <w:b/>
      <w:bCs/>
    </w:rPr>
  </w:style>
  <w:style w:type="character" w:styleId="Zdraznenie">
    <w:name w:val="Zdôraznenie"/>
    <w:uiPriority w:val="99"/>
    <w:qFormat/>
    <w:rsid w:val="004b054f"/>
    <w:rPr>
      <w:rFonts w:ascii="Calibri" w:hAnsi="Calibri" w:cs="Calibri"/>
      <w:b/>
      <w:bCs/>
      <w:i/>
      <w:iCs/>
    </w:rPr>
  </w:style>
  <w:style w:type="character" w:styleId="ListLabel1">
    <w:name w:val="ListLabel 1"/>
    <w:qFormat/>
    <w:rPr>
      <w:rFonts w:cs="Calibri"/>
      <w:b/>
      <w:i w:val="false"/>
      <w:sz w:val="18"/>
    </w:rPr>
  </w:style>
  <w:style w:type="character" w:styleId="ListLabel2">
    <w:name w:val="ListLabel 2"/>
    <w:qFormat/>
    <w:rPr>
      <w:rFonts w:cs="Times New Roman"/>
    </w:rPr>
  </w:style>
  <w:style w:type="character" w:styleId="ListLabel3">
    <w:name w:val="ListLabel 3"/>
    <w:qFormat/>
    <w:rPr>
      <w:rFonts w:cs="Times New Roman"/>
      <w:szCs w:val="18"/>
    </w:rPr>
  </w:style>
  <w:style w:type="character" w:styleId="ListLabel4">
    <w:name w:val="ListLabel 4"/>
    <w:qFormat/>
    <w:rPr>
      <w:b/>
      <w:i w:val="false"/>
      <w:sz w:val="18"/>
    </w:rPr>
  </w:style>
  <w:style w:type="character" w:styleId="ListLabel5">
    <w:name w:val="ListLabel 5"/>
    <w:qFormat/>
    <w:rPr>
      <w:i w:val="false"/>
      <w:u w:val="none"/>
    </w:rPr>
  </w:style>
  <w:style w:type="character" w:styleId="ListLabel6">
    <w:name w:val="ListLabel 6"/>
    <w:qFormat/>
    <w:rPr>
      <w:b/>
      <w:i w:val="false"/>
      <w:sz w:val="18"/>
    </w:rPr>
  </w:style>
  <w:style w:type="character" w:styleId="ListLabel7">
    <w:name w:val="ListLabel 7"/>
    <w:qFormat/>
    <w:rPr>
      <w:szCs w:val="18"/>
    </w:rPr>
  </w:style>
  <w:style w:type="character" w:styleId="ListLabel8">
    <w:name w:val="ListLabel 8"/>
    <w:qFormat/>
    <w:rPr>
      <w:b/>
      <w:i w:val="false"/>
      <w:sz w:val="18"/>
    </w:rPr>
  </w:style>
  <w:style w:type="character" w:styleId="ListLabel9">
    <w:name w:val="ListLabel 9"/>
    <w:qFormat/>
    <w:rPr>
      <w:szCs w:val="18"/>
    </w:rPr>
  </w:style>
  <w:style w:type="character" w:styleId="ListLabel10">
    <w:name w:val="ListLabel 10"/>
    <w:qFormat/>
    <w:rPr>
      <w:b/>
      <w:i w:val="false"/>
      <w:sz w:val="18"/>
    </w:rPr>
  </w:style>
  <w:style w:type="character" w:styleId="ListLabel11">
    <w:name w:val="ListLabel 11"/>
    <w:qFormat/>
    <w:rPr>
      <w:szCs w:val="18"/>
    </w:rPr>
  </w:style>
  <w:style w:type="character" w:styleId="ListLabel12">
    <w:name w:val="ListLabel 12"/>
    <w:qFormat/>
    <w:rPr>
      <w:b/>
      <w:i w:val="false"/>
      <w:sz w:val="18"/>
    </w:rPr>
  </w:style>
  <w:style w:type="character" w:styleId="ListLabel13">
    <w:name w:val="ListLabel 13"/>
    <w:qFormat/>
    <w:rPr>
      <w:szCs w:val="18"/>
    </w:rPr>
  </w:style>
  <w:style w:type="character" w:styleId="ListLabel14">
    <w:name w:val="ListLabel 14"/>
    <w:qFormat/>
    <w:rPr>
      <w:b/>
      <w:i w:val="false"/>
      <w:sz w:val="18"/>
    </w:rPr>
  </w:style>
  <w:style w:type="character" w:styleId="ListLabel15">
    <w:name w:val="ListLabel 15"/>
    <w:qFormat/>
    <w:rPr>
      <w:szCs w:val="18"/>
    </w:rPr>
  </w:style>
  <w:style w:type="character" w:styleId="ListLabel16">
    <w:name w:val="ListLabel 16"/>
    <w:qFormat/>
    <w:rPr>
      <w:b/>
      <w:i w:val="false"/>
      <w:sz w:val="18"/>
    </w:rPr>
  </w:style>
  <w:style w:type="character" w:styleId="ListLabel17">
    <w:name w:val="ListLabel 17"/>
    <w:qFormat/>
    <w:rPr>
      <w:szCs w:val="18"/>
    </w:rPr>
  </w:style>
  <w:style w:type="character" w:styleId="ListLabel18">
    <w:name w:val="ListLabel 18"/>
    <w:qFormat/>
    <w:rPr>
      <w:b/>
      <w:i w:val="false"/>
      <w:sz w:val="18"/>
    </w:rPr>
  </w:style>
  <w:style w:type="character" w:styleId="ListLabel19">
    <w:name w:val="ListLabel 19"/>
    <w:qFormat/>
    <w:rPr>
      <w:szCs w:val="18"/>
    </w:rPr>
  </w:style>
  <w:style w:type="character" w:styleId="ListLabel20">
    <w:name w:val="ListLabel 20"/>
    <w:qFormat/>
    <w:rPr>
      <w:b/>
      <w:i w:val="false"/>
      <w:sz w:val="18"/>
    </w:rPr>
  </w:style>
  <w:style w:type="character" w:styleId="ListLabel21">
    <w:name w:val="ListLabel 21"/>
    <w:qFormat/>
    <w:rPr>
      <w:szCs w:val="18"/>
    </w:rPr>
  </w:style>
  <w:style w:type="character" w:styleId="ListLabel22">
    <w:name w:val="ListLabel 22"/>
    <w:qFormat/>
    <w:rPr>
      <w:b/>
      <w:i w:val="false"/>
      <w:sz w:val="18"/>
    </w:rPr>
  </w:style>
  <w:style w:type="character" w:styleId="ListLabel23">
    <w:name w:val="ListLabel 23"/>
    <w:qFormat/>
    <w:rPr>
      <w:szCs w:val="18"/>
    </w:rPr>
  </w:style>
  <w:style w:type="character" w:styleId="ListLabel24">
    <w:name w:val="ListLabel 24"/>
    <w:qFormat/>
    <w:rPr>
      <w:b/>
      <w:i w:val="false"/>
      <w:sz w:val="18"/>
    </w:rPr>
  </w:style>
  <w:style w:type="character" w:styleId="ListLabel25">
    <w:name w:val="ListLabel 25"/>
    <w:qFormat/>
    <w:rPr>
      <w:szCs w:val="18"/>
    </w:rPr>
  </w:style>
  <w:style w:type="character" w:styleId="ListLabel26">
    <w:name w:val="ListLabel 26"/>
    <w:qFormat/>
    <w:rPr>
      <w:b/>
      <w:i w:val="false"/>
      <w:sz w:val="18"/>
    </w:rPr>
  </w:style>
  <w:style w:type="character" w:styleId="ListLabel27">
    <w:name w:val="ListLabel 27"/>
    <w:qFormat/>
    <w:rPr>
      <w:szCs w:val="18"/>
    </w:rPr>
  </w:style>
  <w:style w:type="character" w:styleId="ListLabel28">
    <w:name w:val="ListLabel 28"/>
    <w:qFormat/>
    <w:rPr>
      <w:b/>
      <w:i w:val="false"/>
      <w:sz w:val="18"/>
    </w:rPr>
  </w:style>
  <w:style w:type="character" w:styleId="ListLabel29">
    <w:name w:val="ListLabel 29"/>
    <w:qFormat/>
    <w:rPr>
      <w:szCs w:val="18"/>
    </w:rPr>
  </w:style>
  <w:style w:type="character" w:styleId="ListLabel30">
    <w:name w:val="ListLabel 30"/>
    <w:qFormat/>
    <w:rPr>
      <w:b/>
      <w:i w:val="false"/>
      <w:sz w:val="18"/>
    </w:rPr>
  </w:style>
  <w:style w:type="character" w:styleId="ListLabel31">
    <w:name w:val="ListLabel 31"/>
    <w:qFormat/>
    <w:rPr>
      <w:szCs w:val="18"/>
    </w:rPr>
  </w:style>
  <w:style w:type="character" w:styleId="ListLabel32">
    <w:name w:val="ListLabel 32"/>
    <w:qFormat/>
    <w:rPr>
      <w:b/>
      <w:i w:val="false"/>
      <w:sz w:val="18"/>
    </w:rPr>
  </w:style>
  <w:style w:type="character" w:styleId="ListLabel33">
    <w:name w:val="ListLabel 33"/>
    <w:qFormat/>
    <w:rPr>
      <w:szCs w:val="18"/>
    </w:rPr>
  </w:style>
  <w:style w:type="character" w:styleId="ListLabel34">
    <w:name w:val="ListLabel 34"/>
    <w:qFormat/>
    <w:rPr>
      <w:b/>
      <w:i w:val="false"/>
      <w:sz w:val="18"/>
    </w:rPr>
  </w:style>
  <w:style w:type="character" w:styleId="ListLabel35">
    <w:name w:val="ListLabel 35"/>
    <w:qFormat/>
    <w:rPr>
      <w:b/>
      <w:i w:val="false"/>
      <w:sz w:val="18"/>
    </w:rPr>
  </w:style>
  <w:style w:type="character" w:styleId="ListLabel36">
    <w:name w:val="ListLabel 36"/>
    <w:qFormat/>
    <w:rPr>
      <w:szCs w:val="18"/>
    </w:rPr>
  </w:style>
  <w:style w:type="character" w:styleId="ListLabel37">
    <w:name w:val="ListLabel 37"/>
    <w:qFormat/>
    <w:rPr>
      <w:b/>
      <w:i w:val="false"/>
      <w:sz w:val="18"/>
    </w:rPr>
  </w:style>
  <w:style w:type="character" w:styleId="ListLabel38">
    <w:name w:val="ListLabel 38"/>
    <w:qFormat/>
    <w:rPr>
      <w:szCs w:val="18"/>
    </w:rPr>
  </w:style>
  <w:style w:type="character" w:styleId="ListLabel39">
    <w:name w:val="ListLabel 39"/>
    <w:qFormat/>
    <w:rPr>
      <w:szCs w:val="18"/>
    </w:rPr>
  </w:style>
  <w:style w:type="character" w:styleId="ListLabel40">
    <w:name w:val="ListLabel 40"/>
    <w:qFormat/>
    <w:rPr>
      <w:szCs w:val="18"/>
    </w:rPr>
  </w:style>
  <w:style w:type="character" w:styleId="ListLabel41">
    <w:name w:val="ListLabel 41"/>
    <w:qFormat/>
    <w:rPr>
      <w:szCs w:val="18"/>
    </w:rPr>
  </w:style>
  <w:style w:type="character" w:styleId="ListLabel42">
    <w:name w:val="ListLabel 42"/>
    <w:qFormat/>
    <w:rPr>
      <w:szCs w:val="18"/>
    </w:rPr>
  </w:style>
  <w:style w:type="character" w:styleId="ListLabel43">
    <w:name w:val="ListLabel 43"/>
    <w:qFormat/>
    <w:rPr>
      <w:szCs w:val="18"/>
    </w:rPr>
  </w:style>
  <w:style w:type="character" w:styleId="ListLabel44">
    <w:name w:val="ListLabel 44"/>
    <w:qFormat/>
    <w:rPr>
      <w:b/>
      <w:i w:val="false"/>
      <w:sz w:val="18"/>
    </w:rPr>
  </w:style>
  <w:style w:type="character" w:styleId="ListLabel45">
    <w:name w:val="ListLabel 45"/>
    <w:qFormat/>
    <w:rPr>
      <w:b/>
      <w:i w:val="false"/>
      <w:sz w:val="18"/>
    </w:rPr>
  </w:style>
  <w:style w:type="character" w:styleId="ListLabel46">
    <w:name w:val="ListLabel 46"/>
    <w:qFormat/>
    <w:rPr>
      <w:b/>
      <w:i w:val="false"/>
      <w:sz w:val="18"/>
    </w:rPr>
  </w:style>
  <w:style w:type="character" w:styleId="ListLabel47">
    <w:name w:val="ListLabel 47"/>
    <w:qFormat/>
    <w:rPr>
      <w:szCs w:val="18"/>
    </w:rPr>
  </w:style>
  <w:style w:type="character" w:styleId="ListLabel48">
    <w:name w:val="ListLabel 48"/>
    <w:qFormat/>
    <w:rPr>
      <w:b/>
      <w:i w:val="false"/>
      <w:sz w:val="18"/>
    </w:rPr>
  </w:style>
  <w:style w:type="character" w:styleId="ListLabel49">
    <w:name w:val="ListLabel 49"/>
    <w:qFormat/>
    <w:rPr>
      <w:szCs w:val="18"/>
    </w:rPr>
  </w:style>
  <w:style w:type="character" w:styleId="ListLabel50">
    <w:name w:val="ListLabel 50"/>
    <w:qFormat/>
    <w:rPr>
      <w:szCs w:val="18"/>
    </w:rPr>
  </w:style>
  <w:style w:type="character" w:styleId="ListLabel51">
    <w:name w:val="ListLabel 51"/>
    <w:qFormat/>
    <w:rPr>
      <w:szCs w:val="18"/>
    </w:rPr>
  </w:style>
  <w:style w:type="character" w:styleId="ListLabel52">
    <w:name w:val="ListLabel 52"/>
    <w:qFormat/>
    <w:rPr>
      <w:szCs w:val="18"/>
    </w:rPr>
  </w:style>
  <w:style w:type="character" w:styleId="ListLabel53">
    <w:name w:val="ListLabel 53"/>
    <w:qFormat/>
    <w:rPr>
      <w:szCs w:val="18"/>
    </w:rPr>
  </w:style>
  <w:style w:type="character" w:styleId="ListLabel54">
    <w:name w:val="ListLabel 54"/>
    <w:qFormat/>
    <w:rPr>
      <w:szCs w:val="18"/>
    </w:rPr>
  </w:style>
  <w:style w:type="character" w:styleId="ListLabel55">
    <w:name w:val="ListLabel 55"/>
    <w:qFormat/>
    <w:rPr>
      <w:b/>
      <w:i w:val="false"/>
      <w:sz w:val="18"/>
    </w:rPr>
  </w:style>
  <w:style w:type="character" w:styleId="ListLabel56">
    <w:name w:val="ListLabel 56"/>
    <w:qFormat/>
    <w:rPr>
      <w:b/>
      <w:i w:val="false"/>
      <w:sz w:val="18"/>
    </w:rPr>
  </w:style>
  <w:style w:type="character" w:styleId="ListLabel57">
    <w:name w:val="ListLabel 57"/>
    <w:qFormat/>
    <w:rPr>
      <w:b/>
      <w:i w:val="false"/>
      <w:sz w:val="18"/>
    </w:rPr>
  </w:style>
  <w:style w:type="character" w:styleId="ListLabel58">
    <w:name w:val="ListLabel 58"/>
    <w:qFormat/>
    <w:rPr>
      <w:szCs w:val="18"/>
    </w:rPr>
  </w:style>
  <w:style w:type="character" w:styleId="ListLabel59">
    <w:name w:val="ListLabel 59"/>
    <w:qFormat/>
    <w:rPr>
      <w:b/>
      <w:i w:val="false"/>
      <w:sz w:val="18"/>
    </w:rPr>
  </w:style>
  <w:style w:type="character" w:styleId="ListLabel60">
    <w:name w:val="ListLabel 60"/>
    <w:qFormat/>
    <w:rPr>
      <w:szCs w:val="18"/>
    </w:rPr>
  </w:style>
  <w:style w:type="character" w:styleId="ListLabel61">
    <w:name w:val="ListLabel 61"/>
    <w:qFormat/>
    <w:rPr>
      <w:szCs w:val="18"/>
    </w:rPr>
  </w:style>
  <w:style w:type="character" w:styleId="ListLabel62">
    <w:name w:val="ListLabel 62"/>
    <w:qFormat/>
    <w:rPr>
      <w:szCs w:val="18"/>
    </w:rPr>
  </w:style>
  <w:style w:type="character" w:styleId="ListLabel63">
    <w:name w:val="ListLabel 63"/>
    <w:qFormat/>
    <w:rPr>
      <w:szCs w:val="18"/>
    </w:rPr>
  </w:style>
  <w:style w:type="character" w:styleId="ListLabel64">
    <w:name w:val="ListLabel 64"/>
    <w:qFormat/>
    <w:rPr>
      <w:szCs w:val="18"/>
    </w:rPr>
  </w:style>
  <w:style w:type="character" w:styleId="ListLabel65">
    <w:name w:val="ListLabel 65"/>
    <w:qFormat/>
    <w:rPr>
      <w:szCs w:val="18"/>
    </w:rPr>
  </w:style>
  <w:style w:type="character" w:styleId="ListLabel66">
    <w:name w:val="ListLabel 66"/>
    <w:qFormat/>
    <w:rPr>
      <w:b/>
      <w:i w:val="false"/>
      <w:sz w:val="18"/>
    </w:rPr>
  </w:style>
  <w:style w:type="character" w:styleId="ListLabel67">
    <w:name w:val="ListLabel 67"/>
    <w:qFormat/>
    <w:rPr>
      <w:b/>
      <w:i w:val="false"/>
      <w:sz w:val="18"/>
    </w:rPr>
  </w:style>
  <w:style w:type="character" w:styleId="ListLabel68">
    <w:name w:val="ListLabel 68"/>
    <w:qFormat/>
    <w:rPr>
      <w:b/>
      <w:i w:val="false"/>
      <w:sz w:val="18"/>
    </w:rPr>
  </w:style>
  <w:style w:type="character" w:styleId="ListLabel69">
    <w:name w:val="ListLabel 69"/>
    <w:qFormat/>
    <w:rPr>
      <w:szCs w:val="18"/>
    </w:rPr>
  </w:style>
  <w:style w:type="character" w:styleId="ListLabel70">
    <w:name w:val="ListLabel 70"/>
    <w:qFormat/>
    <w:rPr>
      <w:b/>
      <w:i w:val="false"/>
      <w:sz w:val="18"/>
    </w:rPr>
  </w:style>
  <w:style w:type="character" w:styleId="ListLabel71">
    <w:name w:val="ListLabel 71"/>
    <w:qFormat/>
    <w:rPr>
      <w:szCs w:val="18"/>
    </w:rPr>
  </w:style>
  <w:style w:type="character" w:styleId="ListLabel72">
    <w:name w:val="ListLabel 72"/>
    <w:qFormat/>
    <w:rPr>
      <w:szCs w:val="18"/>
    </w:rPr>
  </w:style>
  <w:style w:type="character" w:styleId="ListLabel73">
    <w:name w:val="ListLabel 73"/>
    <w:qFormat/>
    <w:rPr>
      <w:szCs w:val="18"/>
    </w:rPr>
  </w:style>
  <w:style w:type="character" w:styleId="ListLabel74">
    <w:name w:val="ListLabel 74"/>
    <w:qFormat/>
    <w:rPr>
      <w:szCs w:val="18"/>
    </w:rPr>
  </w:style>
  <w:style w:type="character" w:styleId="ListLabel75">
    <w:name w:val="ListLabel 75"/>
    <w:qFormat/>
    <w:rPr>
      <w:szCs w:val="18"/>
    </w:rPr>
  </w:style>
  <w:style w:type="character" w:styleId="ListLabel76">
    <w:name w:val="ListLabel 76"/>
    <w:qFormat/>
    <w:rPr>
      <w:szCs w:val="18"/>
    </w:rPr>
  </w:style>
  <w:style w:type="character" w:styleId="ListLabel77">
    <w:name w:val="ListLabel 77"/>
    <w:qFormat/>
    <w:rPr>
      <w:b/>
      <w:i w:val="false"/>
      <w:sz w:val="18"/>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customStyle="1">
    <w:name w:val="Index"/>
    <w:basedOn w:val="Normal"/>
    <w:qFormat/>
    <w:rsid w:val="00705bfe"/>
    <w:pPr>
      <w:suppressLineNumbers/>
    </w:pPr>
    <w:rPr>
      <w:rFonts w:ascii="Trebuchet MS" w:hAnsi="Trebuchet MS" w:cs="Lucida Sans"/>
    </w:rPr>
  </w:style>
  <w:style w:type="paragraph" w:styleId="Nadpis1" w:customStyle="1">
    <w:name w:val="Nadpis 1"/>
    <w:basedOn w:val="Normal"/>
    <w:next w:val="Normal"/>
    <w:uiPriority w:val="99"/>
    <w:qFormat/>
    <w:rsid w:val="00705bfe"/>
    <w:pPr>
      <w:keepNext w:val="true"/>
      <w:outlineLvl w:val="0"/>
    </w:pPr>
    <w:rPr>
      <w:b/>
      <w:caps/>
    </w:rPr>
  </w:style>
  <w:style w:type="paragraph" w:styleId="Nadpis2" w:customStyle="1">
    <w:name w:val="Nadpis 2"/>
    <w:basedOn w:val="Normal"/>
    <w:next w:val="Normal"/>
    <w:uiPriority w:val="99"/>
    <w:qFormat/>
    <w:rsid w:val="00705bfe"/>
    <w:pPr>
      <w:keepNext w:val="true"/>
      <w:outlineLvl w:val="1"/>
    </w:pPr>
    <w:rPr>
      <w:b/>
    </w:rPr>
  </w:style>
  <w:style w:type="paragraph" w:styleId="Nadpis3">
    <w:name w:val="Nadpis 3"/>
    <w:basedOn w:val="Normal"/>
    <w:next w:val="Normal"/>
    <w:link w:val="Heading3Char"/>
    <w:uiPriority w:val="99"/>
    <w:unhideWhenUsed/>
    <w:qFormat/>
    <w:rsid w:val="00f07b6a"/>
    <w:pPr>
      <w:keepNext w:val="true"/>
      <w:suppressAutoHyphens w:val="false"/>
      <w:spacing w:before="240" w:after="60"/>
      <w:outlineLvl w:val="2"/>
    </w:pPr>
    <w:rPr>
      <w:rFonts w:ascii="Cambria" w:hAnsi="Cambria"/>
      <w:b/>
      <w:bCs/>
      <w:sz w:val="26"/>
      <w:szCs w:val="26"/>
      <w:lang w:eastAsia="en-US"/>
    </w:rPr>
  </w:style>
  <w:style w:type="paragraph" w:styleId="Nadpis4">
    <w:name w:val="Nadpis 4"/>
    <w:basedOn w:val="Normal"/>
    <w:next w:val="Normal"/>
    <w:link w:val="Heading4Char"/>
    <w:uiPriority w:val="99"/>
    <w:unhideWhenUsed/>
    <w:qFormat/>
    <w:rsid w:val="00f07b6a"/>
    <w:pPr>
      <w:keepNext w:val="true"/>
      <w:suppressAutoHyphens w:val="false"/>
      <w:spacing w:before="240" w:after="60"/>
      <w:outlineLvl w:val="3"/>
    </w:pPr>
    <w:rPr>
      <w:rFonts w:ascii="Arial Narrow" w:hAnsi="Arial Narrow"/>
      <w:b/>
      <w:bCs/>
      <w:sz w:val="28"/>
      <w:szCs w:val="28"/>
      <w:lang w:eastAsia="en-US"/>
    </w:rPr>
  </w:style>
  <w:style w:type="paragraph" w:styleId="Nadpis5">
    <w:name w:val="Nadpis 5"/>
    <w:basedOn w:val="Normal"/>
    <w:next w:val="Normal"/>
    <w:link w:val="Heading5Char"/>
    <w:uiPriority w:val="99"/>
    <w:unhideWhenUsed/>
    <w:qFormat/>
    <w:rsid w:val="00f07b6a"/>
    <w:pPr>
      <w:suppressAutoHyphens w:val="false"/>
      <w:spacing w:before="240" w:after="60"/>
      <w:outlineLvl w:val="4"/>
    </w:pPr>
    <w:rPr>
      <w:rFonts w:ascii="Arial Narrow" w:hAnsi="Arial Narrow"/>
      <w:b/>
      <w:bCs/>
      <w:i/>
      <w:iCs/>
      <w:sz w:val="26"/>
      <w:szCs w:val="26"/>
      <w:lang w:eastAsia="en-US"/>
    </w:rPr>
  </w:style>
  <w:style w:type="paragraph" w:styleId="Nadpis6" w:customStyle="1">
    <w:name w:val="Nadpis 6"/>
    <w:basedOn w:val="Normal"/>
    <w:next w:val="Normal"/>
    <w:uiPriority w:val="99"/>
    <w:qFormat/>
    <w:rsid w:val="00705bfe"/>
    <w:pPr>
      <w:keepNext w:val="true"/>
      <w:outlineLvl w:val="5"/>
    </w:pPr>
    <w:rPr>
      <w:b/>
      <w:caps/>
      <w:sz w:val="32"/>
    </w:rPr>
  </w:style>
  <w:style w:type="paragraph" w:styleId="Nadpis7">
    <w:name w:val="Nadpis 7"/>
    <w:basedOn w:val="Normal"/>
    <w:next w:val="Normal"/>
    <w:link w:val="Heading7Char"/>
    <w:uiPriority w:val="99"/>
    <w:unhideWhenUsed/>
    <w:qFormat/>
    <w:rsid w:val="00f07b6a"/>
    <w:pPr>
      <w:suppressAutoHyphens w:val="false"/>
      <w:spacing w:before="240" w:after="60"/>
      <w:outlineLvl w:val="6"/>
    </w:pPr>
    <w:rPr>
      <w:rFonts w:ascii="Arial Narrow" w:hAnsi="Arial Narrow"/>
      <w:sz w:val="22"/>
      <w:lang w:eastAsia="en-US"/>
    </w:rPr>
  </w:style>
  <w:style w:type="paragraph" w:styleId="Nadpis8">
    <w:name w:val="Nadpis 8"/>
    <w:basedOn w:val="Normal"/>
    <w:next w:val="Normal"/>
    <w:link w:val="Heading8Char"/>
    <w:uiPriority w:val="99"/>
    <w:unhideWhenUsed/>
    <w:qFormat/>
    <w:rsid w:val="00f07b6a"/>
    <w:pPr>
      <w:suppressAutoHyphens w:val="false"/>
      <w:spacing w:before="240" w:after="60"/>
      <w:outlineLvl w:val="7"/>
    </w:pPr>
    <w:rPr>
      <w:rFonts w:ascii="Arial Narrow" w:hAnsi="Arial Narrow"/>
      <w:i/>
      <w:iCs/>
      <w:sz w:val="22"/>
      <w:lang w:eastAsia="en-US"/>
    </w:rPr>
  </w:style>
  <w:style w:type="paragraph" w:styleId="Nadpis9" w:customStyle="1">
    <w:name w:val="Nadpis 9"/>
    <w:basedOn w:val="Normal"/>
    <w:next w:val="Normal"/>
    <w:uiPriority w:val="99"/>
    <w:qFormat/>
    <w:rsid w:val="00705bfe"/>
    <w:pPr>
      <w:keepNext w:val="true"/>
      <w:keepLines/>
      <w:spacing w:before="200" w:after="0"/>
      <w:outlineLvl w:val="8"/>
    </w:pPr>
    <w:rPr>
      <w:rFonts w:ascii="Cambria" w:hAnsi="Cambria" w:cs="Cambria"/>
      <w:i/>
      <w:iCs/>
      <w:color w:val="404040"/>
    </w:rPr>
  </w:style>
  <w:style w:type="paragraph" w:styleId="Nadpis" w:customStyle="1">
    <w:name w:val="Nadpis"/>
    <w:basedOn w:val="Normal"/>
    <w:qFormat/>
    <w:rsid w:val="00705bfe"/>
    <w:pPr>
      <w:keepNext w:val="true"/>
      <w:spacing w:before="240" w:after="120"/>
    </w:pPr>
    <w:rPr>
      <w:rFonts w:eastAsia="SimSun" w:cs="Lucida Sans"/>
      <w:sz w:val="28"/>
      <w:szCs w:val="28"/>
    </w:rPr>
  </w:style>
  <w:style w:type="paragraph" w:styleId="Telotextu" w:customStyle="1">
    <w:name w:val="Telo textu"/>
    <w:basedOn w:val="Normal"/>
    <w:uiPriority w:val="99"/>
    <w:qFormat/>
    <w:rsid w:val="00705bfe"/>
    <w:pPr>
      <w:ind w:left="426" w:hanging="0"/>
      <w:jc w:val="both"/>
    </w:pPr>
    <w:rPr/>
  </w:style>
  <w:style w:type="paragraph" w:styleId="Zoznam" w:customStyle="1">
    <w:name w:val="Zoznam"/>
    <w:basedOn w:val="Telotextu"/>
    <w:qFormat/>
    <w:rsid w:val="00705bfe"/>
    <w:pPr/>
    <w:rPr>
      <w:rFonts w:ascii="Trebuchet MS" w:hAnsi="Trebuchet MS" w:cs="Lucida Sans"/>
    </w:rPr>
  </w:style>
  <w:style w:type="paragraph" w:styleId="Popis" w:customStyle="1">
    <w:name w:val="Popis"/>
    <w:basedOn w:val="Normal"/>
    <w:qFormat/>
    <w:rsid w:val="00705bfe"/>
    <w:pPr>
      <w:suppressLineNumbers/>
      <w:spacing w:before="120" w:after="120"/>
    </w:pPr>
    <w:rPr>
      <w:rFonts w:ascii="Trebuchet MS" w:hAnsi="Trebuchet MS" w:cs="Lucida Sans"/>
      <w:i/>
      <w:iCs/>
      <w:sz w:val="24"/>
    </w:rPr>
  </w:style>
  <w:style w:type="paragraph" w:styleId="Hlavika" w:customStyle="1">
    <w:name w:val="Hlavička"/>
    <w:basedOn w:val="Normal"/>
    <w:uiPriority w:val="99"/>
    <w:qFormat/>
    <w:rsid w:val="00705bfe"/>
    <w:pPr/>
    <w:rPr/>
  </w:style>
  <w:style w:type="paragraph" w:styleId="Pta" w:customStyle="1">
    <w:name w:val="Päta"/>
    <w:basedOn w:val="Normal"/>
    <w:uiPriority w:val="99"/>
    <w:qFormat/>
    <w:rsid w:val="00705bfe"/>
    <w:pPr/>
    <w:rPr/>
  </w:style>
  <w:style w:type="paragraph" w:styleId="Uvod" w:customStyle="1">
    <w:name w:val="Uvod"/>
    <w:basedOn w:val="Normal"/>
    <w:qFormat/>
    <w:rsid w:val="00705bfe"/>
    <w:pPr>
      <w:ind w:left="284" w:hanging="284"/>
      <w:jc w:val="both"/>
    </w:pPr>
    <w:rPr>
      <w:sz w:val="22"/>
    </w:rPr>
  </w:style>
  <w:style w:type="paragraph" w:styleId="Lita" w:customStyle="1">
    <w:name w:val="lit_a"/>
    <w:basedOn w:val="Normal"/>
    <w:qFormat/>
    <w:rsid w:val="00705bfe"/>
    <w:pPr>
      <w:spacing w:before="0" w:after="20"/>
      <w:ind w:left="624" w:hanging="340"/>
      <w:jc w:val="both"/>
    </w:pPr>
    <w:rPr>
      <w:rFonts w:ascii="Times" w:hAnsi="Times" w:cs="Times"/>
      <w:lang w:val="en-US"/>
    </w:rPr>
  </w:style>
  <w:style w:type="paragraph" w:styleId="Zif" w:customStyle="1">
    <w:name w:val="zif"/>
    <w:basedOn w:val="Normal"/>
    <w:qFormat/>
    <w:rsid w:val="00705bfe"/>
    <w:pPr>
      <w:spacing w:before="0" w:after="80"/>
      <w:jc w:val="both"/>
    </w:pPr>
    <w:rPr>
      <w:rFonts w:ascii="Times" w:hAnsi="Times" w:cs="Times"/>
      <w:lang w:val="en-US"/>
    </w:rPr>
  </w:style>
  <w:style w:type="paragraph" w:styleId="ListParagraph">
    <w:name w:val="List Paragraph"/>
    <w:basedOn w:val="Normal"/>
    <w:uiPriority w:val="99"/>
    <w:qFormat/>
    <w:rsid w:val="00705bfe"/>
    <w:pPr>
      <w:ind w:left="708" w:hanging="0"/>
    </w:pPr>
    <w:rPr/>
  </w:style>
  <w:style w:type="paragraph" w:styleId="Tabulka" w:customStyle="1">
    <w:name w:val="Tabulka"/>
    <w:basedOn w:val="Normal"/>
    <w:qFormat/>
    <w:rsid w:val="00705bfe"/>
    <w:pPr/>
    <w:rPr>
      <w:color w:val="000000"/>
    </w:rPr>
  </w:style>
  <w:style w:type="paragraph" w:styleId="Pismenka" w:customStyle="1">
    <w:name w:val="Pismenka"/>
    <w:basedOn w:val="Telotextu"/>
    <w:qFormat/>
    <w:rsid w:val="00705bfe"/>
    <w:pPr>
      <w:tabs>
        <w:tab w:val="clear" w:pos="708"/>
        <w:tab w:val="left" w:pos="426" w:leader="none"/>
      </w:tabs>
      <w:ind w:left="426" w:hanging="426"/>
    </w:pPr>
    <w:rPr>
      <w:b/>
    </w:rPr>
  </w:style>
  <w:style w:type="paragraph" w:styleId="BalloonText">
    <w:name w:val="Balloon Text"/>
    <w:basedOn w:val="Normal"/>
    <w:uiPriority w:val="99"/>
    <w:qFormat/>
    <w:rsid w:val="00705bfe"/>
    <w:pPr/>
    <w:rPr>
      <w:rFonts w:ascii="Tahoma" w:hAnsi="Tahoma" w:cs="Tahoma"/>
      <w:sz w:val="16"/>
      <w:szCs w:val="16"/>
    </w:rPr>
  </w:style>
  <w:style w:type="paragraph" w:styleId="Annotationtext">
    <w:name w:val="annotation text"/>
    <w:basedOn w:val="Normal"/>
    <w:qFormat/>
    <w:rsid w:val="00705bfe"/>
    <w:pPr/>
    <w:rPr/>
  </w:style>
  <w:style w:type="paragraph" w:styleId="Annotationsubject">
    <w:name w:val="annotation subject"/>
    <w:basedOn w:val="Annotationtext"/>
    <w:qFormat/>
    <w:rsid w:val="00705bfe"/>
    <w:pPr/>
    <w:rPr>
      <w:b/>
      <w:bCs/>
    </w:rPr>
  </w:style>
  <w:style w:type="paragraph" w:styleId="Revision">
    <w:name w:val="Revision"/>
    <w:qFormat/>
    <w:rsid w:val="00705bfe"/>
    <w:pPr>
      <w:widowControl/>
      <w:suppressAutoHyphens w:val="true"/>
      <w:bidi w:val="0"/>
      <w:jc w:val="left"/>
    </w:pPr>
    <w:rPr>
      <w:rFonts w:ascii="Times New Roman" w:hAnsi="Times New Roman" w:eastAsia="Times New Roman" w:cs="Times New Roman"/>
      <w:color w:val="00000A"/>
      <w:kern w:val="0"/>
      <w:sz w:val="20"/>
      <w:szCs w:val="20"/>
      <w:lang w:val="sk-SK" w:eastAsia="zh-CN" w:bidi="ar-SA"/>
    </w:rPr>
  </w:style>
  <w:style w:type="paragraph" w:styleId="Subhead2" w:customStyle="1">
    <w:name w:val="Subhead 2"/>
    <w:basedOn w:val="Normal"/>
    <w:qFormat/>
    <w:rsid w:val="00705bfe"/>
    <w:pPr>
      <w:spacing w:lineRule="atLeast" w:line="260"/>
      <w:ind w:left="1531" w:right="1134" w:hanging="1531"/>
    </w:pPr>
    <w:rPr>
      <w:rFonts w:ascii="Univers 55" w:hAnsi="Univers 55" w:cs="Univers 55"/>
      <w:b/>
      <w:bCs/>
      <w:color w:val="0C2D83"/>
      <w:lang w:val="en-NZ"/>
    </w:rPr>
  </w:style>
  <w:style w:type="paragraph" w:styleId="TabelLinks" w:customStyle="1">
    <w:name w:val="tabelLinks"/>
    <w:basedOn w:val="Normal"/>
    <w:qFormat/>
    <w:rsid w:val="00705bfe"/>
    <w:pPr>
      <w:spacing w:lineRule="exact" w:line="260"/>
    </w:pPr>
    <w:rPr>
      <w:rFonts w:ascii="Times" w:hAnsi="Times" w:cs="Times"/>
      <w:lang w:val="en-GB"/>
    </w:rPr>
  </w:style>
  <w:style w:type="paragraph" w:styleId="BodyText3">
    <w:name w:val="Body Text 3"/>
    <w:basedOn w:val="Normal"/>
    <w:qFormat/>
    <w:rsid w:val="00705bfe"/>
    <w:pPr>
      <w:spacing w:before="0" w:after="120"/>
    </w:pPr>
    <w:rPr>
      <w:sz w:val="16"/>
      <w:szCs w:val="16"/>
    </w:rPr>
  </w:style>
  <w:style w:type="paragraph" w:styleId="Obsahtabuky" w:customStyle="1">
    <w:name w:val="Obsah tabuľky"/>
    <w:basedOn w:val="Normal"/>
    <w:qFormat/>
    <w:rsid w:val="00705bfe"/>
    <w:pPr>
      <w:suppressLineNumbers/>
    </w:pPr>
    <w:rPr/>
  </w:style>
  <w:style w:type="paragraph" w:styleId="Nadpistabuky" w:customStyle="1">
    <w:name w:val="Nadpis tabuľky"/>
    <w:basedOn w:val="Obsahtabuky"/>
    <w:qFormat/>
    <w:rsid w:val="00705bfe"/>
    <w:pPr>
      <w:jc w:val="center"/>
    </w:pPr>
    <w:rPr>
      <w:b/>
      <w:bCs/>
    </w:rPr>
  </w:style>
  <w:style w:type="paragraph" w:styleId="TopHeader" w:customStyle="1">
    <w:name w:val="Top Header"/>
    <w:basedOn w:val="Normal"/>
    <w:qFormat/>
    <w:rsid w:val="00e8387b"/>
    <w:pPr>
      <w:suppressAutoHyphens w:val="false"/>
      <w:jc w:val="center"/>
    </w:pPr>
    <w:rPr>
      <w:rFonts w:ascii="Arial Narrow" w:hAnsi="Arial Narrow" w:cs="Arial Narrow"/>
      <w:b/>
      <w:bCs/>
      <w:sz w:val="22"/>
      <w:szCs w:val="22"/>
      <w:lang w:eastAsia="en-US"/>
    </w:rPr>
  </w:style>
  <w:style w:type="paragraph" w:styleId="Nzov">
    <w:name w:val="Názov"/>
    <w:basedOn w:val="Normal"/>
    <w:next w:val="Normal"/>
    <w:link w:val="TitleChar"/>
    <w:uiPriority w:val="99"/>
    <w:qFormat/>
    <w:rsid w:val="00f07b6a"/>
    <w:pPr>
      <w:keepNext w:val="true"/>
      <w:suppressAutoHyphens w:val="false"/>
      <w:spacing w:beforeAutospacing="1" w:after="220"/>
      <w:jc w:val="center"/>
      <w:outlineLvl w:val="0"/>
    </w:pPr>
    <w:rPr>
      <w:rFonts w:ascii="Arial Narrow" w:hAnsi="Arial Narrow"/>
      <w:b/>
      <w:bCs/>
      <w:sz w:val="22"/>
      <w:szCs w:val="32"/>
      <w:lang w:eastAsia="en-US"/>
    </w:rPr>
  </w:style>
  <w:style w:type="paragraph" w:styleId="Footnote">
    <w:name w:val="Footnote Text"/>
    <w:basedOn w:val="Normal"/>
    <w:link w:val="FootnoteTextChar"/>
    <w:uiPriority w:val="99"/>
    <w:semiHidden/>
    <w:unhideWhenUsed/>
    <w:qFormat/>
    <w:rsid w:val="00f07b6a"/>
    <w:pPr>
      <w:suppressAutoHyphens w:val="false"/>
    </w:pPr>
    <w:rPr>
      <w:lang w:eastAsia="cs-CZ"/>
    </w:rPr>
  </w:style>
  <w:style w:type="paragraph" w:styleId="Podnzov">
    <w:name w:val="Podnázov"/>
    <w:basedOn w:val="Normal"/>
    <w:next w:val="Normal"/>
    <w:link w:val="SubtitleChar"/>
    <w:uiPriority w:val="99"/>
    <w:qFormat/>
    <w:rsid w:val="00f07b6a"/>
    <w:pPr>
      <w:suppressAutoHyphens w:val="false"/>
      <w:spacing w:before="0" w:after="60"/>
      <w:jc w:val="center"/>
      <w:outlineLvl w:val="1"/>
    </w:pPr>
    <w:rPr>
      <w:rFonts w:ascii="Cambria" w:hAnsi="Cambria"/>
      <w:sz w:val="22"/>
      <w:lang w:eastAsia="en-US"/>
    </w:rPr>
  </w:style>
  <w:style w:type="paragraph" w:styleId="BodyText2">
    <w:name w:val="Body Text 2"/>
    <w:basedOn w:val="Normal"/>
    <w:link w:val="BodyText2Char"/>
    <w:uiPriority w:val="99"/>
    <w:unhideWhenUsed/>
    <w:qFormat/>
    <w:rsid w:val="00f07b6a"/>
    <w:pPr>
      <w:suppressAutoHyphens w:val="false"/>
      <w:ind w:left="2124" w:hanging="2124"/>
      <w:jc w:val="both"/>
    </w:pPr>
    <w:rPr>
      <w:sz w:val="24"/>
      <w:lang w:eastAsia="cs-CZ"/>
    </w:rPr>
  </w:style>
  <w:style w:type="paragraph" w:styleId="BodyTextIndent2">
    <w:name w:val="Body Text Indent 2"/>
    <w:basedOn w:val="Normal"/>
    <w:link w:val="BodyTextIndent2Char"/>
    <w:uiPriority w:val="99"/>
    <w:unhideWhenUsed/>
    <w:qFormat/>
    <w:rsid w:val="00f07b6a"/>
    <w:pPr>
      <w:suppressAutoHyphens w:val="false"/>
      <w:ind w:firstLine="708"/>
      <w:jc w:val="both"/>
    </w:pPr>
    <w:rPr>
      <w:sz w:val="24"/>
      <w:lang w:eastAsia="cs-CZ"/>
    </w:rPr>
  </w:style>
  <w:style w:type="paragraph" w:styleId="BodyTextIndent3">
    <w:name w:val="Body Text Indent 3"/>
    <w:basedOn w:val="Normal"/>
    <w:link w:val="BodyTextIndent3Char"/>
    <w:uiPriority w:val="99"/>
    <w:unhideWhenUsed/>
    <w:qFormat/>
    <w:rsid w:val="00f07b6a"/>
    <w:pPr>
      <w:suppressAutoHyphens w:val="false"/>
      <w:ind w:left="708" w:firstLine="708"/>
      <w:jc w:val="both"/>
    </w:pPr>
    <w:rPr>
      <w:sz w:val="24"/>
      <w:lang w:eastAsia="cs-CZ"/>
    </w:rPr>
  </w:style>
  <w:style w:type="paragraph" w:styleId="Hlavikaobsahu1" w:customStyle="1">
    <w:name w:val="Hlavička obsahu1"/>
    <w:basedOn w:val="Nadpis1"/>
    <w:next w:val="Normal"/>
    <w:uiPriority w:val="99"/>
    <w:semiHidden/>
    <w:qFormat/>
    <w:rsid w:val="004b054f"/>
    <w:pPr>
      <w:suppressAutoHyphens w:val="false"/>
      <w:spacing w:before="240" w:after="60"/>
    </w:pPr>
    <w:rPr>
      <w:rFonts w:ascii="Cambria" w:hAnsi="Cambria"/>
      <w:bCs/>
      <w:caps w:val="false"/>
      <w:smallCaps w:val="false"/>
      <w:sz w:val="32"/>
      <w:szCs w:val="32"/>
    </w:rPr>
  </w:style>
  <w:style w:type="paragraph" w:styleId="Default" w:customStyle="1">
    <w:name w:val="Default"/>
    <w:qFormat/>
    <w:rsid w:val="00ff2cb1"/>
    <w:pPr>
      <w:widowControl w:val="false"/>
      <w:suppressAutoHyphens w:val="true"/>
      <w:bidi w:val="0"/>
      <w:jc w:val="left"/>
    </w:pPr>
    <w:rPr>
      <w:rFonts w:ascii="Arial Narrow" w:hAnsi="Arial Narrow" w:eastAsia="Times New Roman" w:cs="Arial Narrow"/>
      <w:color w:val="000000"/>
      <w:kern w:val="0"/>
      <w:sz w:val="18"/>
      <w:szCs w:val="24"/>
      <w:lang w:val="en-US" w:eastAsia="en-US" w:bidi="ar-SA"/>
    </w:rPr>
  </w:style>
  <w:style w:type="paragraph" w:styleId="Header">
    <w:name w:val="Header"/>
    <w:basedOn w:val="Normal"/>
    <w:pPr/>
    <w:rPr/>
  </w:style>
  <w:style w:type="paragraph" w:styleId="TableContents">
    <w:name w:val="Table Contents"/>
    <w:basedOn w:val="Normal"/>
    <w:qFormat/>
    <w:pPr/>
    <w:rPr/>
  </w:style>
  <w:style w:type="paragraph" w:styleId="TableHeading">
    <w:name w:val="Table Heading"/>
    <w:basedOn w:val="TableContents"/>
    <w:qFormat/>
    <w:pPr/>
    <w:rPr/>
  </w:style>
  <w:style w:type="numbering" w:styleId="NoList" w:default="1">
    <w:name w:val="No List"/>
    <w:semiHidden/>
    <w:unhideWhenUsed/>
    <w:qFormat/>
  </w:style>
  <w:style w:type="table" w:default="1" w:styleId="TableNormal">
    <w:name w:val="Normal Table"/>
    <w:semiHidden/>
    <w:unhideWhenUsed/>
    <w:qFormat/>
    <w:tblPr>
      <w:tblInd w:w="0" w:type="dxa"/>
      <w:tblCellMar>
        <w:top w:w="0" w:type="dxa"/>
        <w:left w:w="108" w:type="dxa"/>
        <w:bottom w:w="0" w:type="dxa"/>
        <w:right w:w="108" w:type="dxa"/>
      </w:tblCellMar>
    </w:tblPr>
  </w:style>
  <w:style w:type="table" w:styleId="TableGrid">
    <w:name w:val="Table Grid"/>
    <w:basedOn w:val="TableNormal"/>
    <w:uiPriority w:val="99"/>
    <w:rsid w:val="004b054f"/>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1998</TotalTime>
  <Application>LibreOffice/6.2.3.2$MacOSX_X86_64 LibreOffice_project/aecc05fe267cc68dde00352a451aa867b3b546ac</Application>
  <Pages>20</Pages>
  <Words>5722</Words>
  <Characters>33203</Characters>
  <CharactersWithSpaces>38669</CharactersWithSpaces>
  <Paragraphs>865</Paragraphs>
  <Company>MikosTrade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2015-03-20T12:53:00Z</dcterms:created>
  <dc:creator>Sikulova, Andrea</dc:creator>
  <dc:description/>
  <dc:language>sk-SK</dc:language>
  <cp:lastModifiedBy/>
  <cp:lastPrinted>2016-03-29T17:26:42Z</cp:lastPrinted>
  <dcterms:modified xsi:type="dcterms:W3CDTF">2020-06-30T14:58:03Z</dcterms:modified>
  <cp:revision>179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MikosTrade</vt:lpwstr>
  </property>
  <property fmtid="{D5CDD505-2E9C-101B-9397-08002B2CF9AE}" pid="4" name="ContentTypeId">
    <vt:lpwstr>0x01010D00FE7E355AA6FBC74B9F426ADBE00604EE</vt:lpwstr>
  </property>
  <property fmtid="{D5CDD505-2E9C-101B-9397-08002B2CF9AE}" pid="5" name="DocSecurity">
    <vt:i4>0</vt:i4>
  </property>
  <property fmtid="{D5CDD505-2E9C-101B-9397-08002B2CF9AE}" pid="6" name="HyperlinksChanged">
    <vt:bool>0</vt:bool>
  </property>
  <property fmtid="{D5CDD505-2E9C-101B-9397-08002B2CF9AE}" pid="7" name="KPMGMW3DocumentType">
    <vt:lpwstr>None Selected</vt:lpwstr>
  </property>
  <property fmtid="{D5CDD505-2E9C-101B-9397-08002B2CF9AE}" pid="8" name="KPMGMW3Function">
    <vt:lpwstr>Advisory;</vt:lpwstr>
  </property>
  <property fmtid="{D5CDD505-2E9C-101B-9397-08002B2CF9AE}" pid="9" name="KPMGMW3FunctionSelection">
    <vt:lpwstr>;#Advisory;;;#Accounting Advisory Services;#;#</vt:lpwstr>
  </property>
  <property fmtid="{D5CDD505-2E9C-101B-9397-08002B2CF9AE}" pid="10" name="KPMGMW3Geography">
    <vt:lpwstr>;#Global;#</vt:lpwstr>
  </property>
  <property fmtid="{D5CDD505-2E9C-101B-9397-08002B2CF9AE}" pid="11" name="KPMGMW3Language">
    <vt:lpwstr>Slovak</vt:lpwstr>
  </property>
  <property fmtid="{D5CDD505-2E9C-101B-9397-08002B2CF9AE}" pid="12" name="KPMGMW3Service">
    <vt:lpwstr>Accounting Advisory Services</vt:lpwstr>
  </property>
  <property fmtid="{D5CDD505-2E9C-101B-9397-08002B2CF9AE}" pid="13" name="LinksUpToDate">
    <vt:bool>0</vt:bool>
  </property>
  <property fmtid="{D5CDD505-2E9C-101B-9397-08002B2CF9AE}" pid="14" name="ScaleCrop">
    <vt:bool>0</vt:bool>
  </property>
  <property fmtid="{D5CDD505-2E9C-101B-9397-08002B2CF9AE}" pid="15" name="ShareDoc">
    <vt:bool>0</vt:bool>
  </property>
</Properties>
</file>