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60"/>
        <w:rPr>
          <w:rFonts w:ascii="Times New Roman" w:hAnsi="Times New Roman" w:cs="Times New Roman"/>
          <w:sz w:val="24"/>
          <w:szCs w:val="24"/>
        </w:rPr>
      </w:pPr>
      <w:bookmarkStart w:id="0" w:name="page1"/>
      <w:bookmarkEnd w:id="0"/>
      <w:r>
        <w:rPr>
          <w:rFonts w:ascii="Times New Roman" w:hAnsi="Times New Roman" w:cs="Times New Roman"/>
          <w:sz w:val="24"/>
          <w:szCs w:val="24"/>
        </w:rPr>
        <w:t>SAFE, n.o.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3660" w:right="3240" w:hanging="14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 sídlom Hlavná 128, 94907 Nitra IČO: 45744475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8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sz w:val="36"/>
          <w:szCs w:val="36"/>
        </w:rPr>
        <w:t xml:space="preserve">Výročná správa neziskovej organizácie Pokoj a zdravie, n. o. za rok </w:t>
      </w:r>
      <w:r w:rsidR="004F5E41">
        <w:rPr>
          <w:rFonts w:ascii="Calibri" w:hAnsi="Calibri" w:cs="Calibri"/>
          <w:b/>
          <w:bCs/>
          <w:sz w:val="36"/>
          <w:szCs w:val="36"/>
        </w:rPr>
        <w:t>2019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698" w:right="1580" w:bottom="1440" w:left="1420" w:header="708" w:footer="708" w:gutter="0"/>
          <w:cols w:space="708" w:equalWidth="0">
            <w:col w:w="890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1" w:name="page2"/>
      <w:bookmarkEnd w:id="1"/>
      <w:r>
        <w:rPr>
          <w:rFonts w:ascii="Calibri" w:hAnsi="Calibri" w:cs="Calibri"/>
          <w:sz w:val="24"/>
          <w:szCs w:val="24"/>
        </w:rPr>
        <w:lastRenderedPageBreak/>
        <w:t>V Nitre 22.6.2015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7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sz w:val="32"/>
          <w:szCs w:val="32"/>
          <w:u w:val="single"/>
        </w:rPr>
        <w:t>OBSAH: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hyperlink w:anchor="page3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 Vznik Neziskovej organizáci</w:t>
        </w:r>
      </w:hyperlink>
      <w:r>
        <w:rPr>
          <w:rFonts w:ascii="Calibri" w:hAnsi="Calibri" w:cs="Calibri"/>
          <w:b/>
          <w:bCs/>
          <w:sz w:val="28"/>
          <w:szCs w:val="28"/>
        </w:rPr>
        <w:t>e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3" w:history="1">
        <w:r>
          <w:rPr>
            <w:rFonts w:ascii="Times New Roman" w:hAnsi="Times New Roman" w:cs="Times New Roman"/>
            <w:b/>
            <w:bCs/>
            <w:sz w:val="18"/>
            <w:szCs w:val="18"/>
          </w:rPr>
          <w:t xml:space="preserve"> </w:t>
        </w:r>
      </w:hyperlink>
      <w:r>
        <w:rPr>
          <w:rFonts w:ascii="Times New Roman" w:hAnsi="Times New Roman" w:cs="Times New Roman"/>
          <w:b/>
          <w:bCs/>
          <w:sz w:val="18"/>
          <w:szCs w:val="18"/>
        </w:rPr>
        <w:t>3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hyperlink w:anchor="page3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1.1  Orgány neziskovej organizáci</w:t>
        </w:r>
      </w:hyperlink>
      <w:r>
        <w:rPr>
          <w:rFonts w:ascii="Calibri" w:hAnsi="Calibri" w:cs="Calibri"/>
          <w:b/>
          <w:bCs/>
          <w:sz w:val="28"/>
          <w:szCs w:val="28"/>
        </w:rPr>
        <w:t>e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3" w:history="1">
        <w:r>
          <w:rPr>
            <w:rFonts w:ascii="Calibri" w:hAnsi="Calibri" w:cs="Calibri"/>
            <w:b/>
            <w:bCs/>
            <w:sz w:val="19"/>
            <w:szCs w:val="19"/>
          </w:rPr>
          <w:t xml:space="preserve"> </w:t>
        </w:r>
      </w:hyperlink>
      <w:r>
        <w:rPr>
          <w:rFonts w:ascii="Calibri" w:hAnsi="Calibri" w:cs="Calibri"/>
          <w:b/>
          <w:bCs/>
          <w:sz w:val="19"/>
          <w:szCs w:val="19"/>
        </w:rPr>
        <w:t>3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hyperlink w:anchor="page4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1.2  Všeobecne prospešné služb</w:t>
        </w:r>
      </w:hyperlink>
      <w:r>
        <w:rPr>
          <w:rFonts w:ascii="Calibri" w:hAnsi="Calibri" w:cs="Calibri"/>
          <w:b/>
          <w:bCs/>
          <w:sz w:val="28"/>
          <w:szCs w:val="28"/>
        </w:rPr>
        <w:t>y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4" w:history="1">
        <w:r>
          <w:rPr>
            <w:rFonts w:ascii="Calibri" w:hAnsi="Calibri" w:cs="Calibri"/>
            <w:b/>
            <w:bCs/>
            <w:sz w:val="19"/>
            <w:szCs w:val="19"/>
          </w:rPr>
          <w:t xml:space="preserve"> </w:t>
        </w:r>
      </w:hyperlink>
      <w:r>
        <w:rPr>
          <w:rFonts w:ascii="Calibri" w:hAnsi="Calibri" w:cs="Calibri"/>
          <w:b/>
          <w:bCs/>
          <w:sz w:val="19"/>
          <w:szCs w:val="19"/>
        </w:rPr>
        <w:t>4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hyperlink w:anchor="page4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1.3  Domov sociálnych služieb a Zariadenie pre senioro</w:t>
        </w:r>
      </w:hyperlink>
      <w:r>
        <w:rPr>
          <w:rFonts w:ascii="Calibri" w:hAnsi="Calibri" w:cs="Calibri"/>
          <w:b/>
          <w:bCs/>
          <w:sz w:val="28"/>
          <w:szCs w:val="28"/>
        </w:rPr>
        <w:t>v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4" w:history="1">
        <w:r>
          <w:rPr>
            <w:rFonts w:ascii="Calibri" w:hAnsi="Calibri" w:cs="Calibri"/>
            <w:b/>
            <w:bCs/>
            <w:sz w:val="19"/>
            <w:szCs w:val="19"/>
          </w:rPr>
          <w:t xml:space="preserve"> </w:t>
        </w:r>
      </w:hyperlink>
      <w:r>
        <w:rPr>
          <w:rFonts w:ascii="Calibri" w:hAnsi="Calibri" w:cs="Calibri"/>
          <w:b/>
          <w:bCs/>
          <w:sz w:val="19"/>
          <w:szCs w:val="19"/>
        </w:rPr>
        <w:t>4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4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hyperlink w:anchor="page4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1.4  Ciele organizáci</w:t>
        </w:r>
      </w:hyperlink>
      <w:r>
        <w:rPr>
          <w:rFonts w:ascii="Calibri" w:hAnsi="Calibri" w:cs="Calibri"/>
          <w:b/>
          <w:bCs/>
          <w:sz w:val="28"/>
          <w:szCs w:val="28"/>
        </w:rPr>
        <w:t>e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4" w:history="1">
        <w:r>
          <w:rPr>
            <w:rFonts w:ascii="Calibri" w:hAnsi="Calibri" w:cs="Calibri"/>
            <w:b/>
            <w:bCs/>
            <w:sz w:val="19"/>
            <w:szCs w:val="19"/>
          </w:rPr>
          <w:t xml:space="preserve"> </w:t>
        </w:r>
      </w:hyperlink>
      <w:r>
        <w:rPr>
          <w:rFonts w:ascii="Calibri" w:hAnsi="Calibri" w:cs="Calibri"/>
          <w:b/>
          <w:bCs/>
          <w:sz w:val="19"/>
          <w:szCs w:val="19"/>
        </w:rPr>
        <w:t>4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hyperlink w:anchor="page5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1.5  Štruktúra zariadenia sociálnych služie</w:t>
        </w:r>
      </w:hyperlink>
      <w:r>
        <w:rPr>
          <w:rFonts w:ascii="Calibri" w:hAnsi="Calibri" w:cs="Calibri"/>
          <w:b/>
          <w:bCs/>
          <w:sz w:val="28"/>
          <w:szCs w:val="28"/>
        </w:rPr>
        <w:t>b</w:t>
      </w:r>
      <w:r>
        <w:rPr>
          <w:rFonts w:ascii="Times New Roman" w:hAnsi="Times New Roman" w:cs="Times New Roman"/>
          <w:sz w:val="24"/>
          <w:szCs w:val="24"/>
        </w:rPr>
        <w:tab/>
      </w:r>
      <w:hyperlink w:anchor="page5" w:history="1">
        <w:r>
          <w:rPr>
            <w:rFonts w:ascii="Calibri" w:hAnsi="Calibri" w:cs="Calibri"/>
            <w:b/>
            <w:bCs/>
            <w:sz w:val="19"/>
            <w:szCs w:val="19"/>
          </w:rPr>
          <w:t xml:space="preserve"> </w:t>
        </w:r>
      </w:hyperlink>
      <w:r>
        <w:rPr>
          <w:rFonts w:ascii="Calibri" w:hAnsi="Calibri" w:cs="Calibri"/>
          <w:b/>
          <w:bCs/>
          <w:sz w:val="19"/>
          <w:szCs w:val="19"/>
        </w:rPr>
        <w:t>5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6" w:history="1">
        <w:r>
          <w:rPr>
            <w:rFonts w:ascii="Calibri" w:hAnsi="Calibri" w:cs="Calibri"/>
            <w:b/>
            <w:bCs/>
            <w:sz w:val="28"/>
            <w:szCs w:val="28"/>
          </w:rPr>
          <w:t xml:space="preserve"> 2.Ročná</w:t>
        </w:r>
      </w:hyperlink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účtovná</w:t>
      </w:r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závierka a zhodnotenie základných údajov v</w:t>
      </w:r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nej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7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obsianutých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>6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6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3 Pohľadávky a záväzky k 31.12.201</w:t>
      </w:r>
      <w:r w:rsidR="004F5E41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>7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6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7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4. Prehľad o finančom majetku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>7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2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7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5.Prehľad o peňažných príjmoch a výdavkov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>.7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leader="dot" w:pos="88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6. Zmeny a nové zloženie organizácie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>7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11" w:right="1420" w:bottom="439" w:left="1420" w:header="708" w:footer="708" w:gutter="0"/>
          <w:cols w:space="708" w:equalWidth="0">
            <w:col w:w="906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1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11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2" w:name="page3"/>
      <w:bookmarkEnd w:id="2"/>
      <w:r>
        <w:rPr>
          <w:rFonts w:ascii="Arial" w:hAnsi="Arial" w:cs="Arial"/>
          <w:b/>
          <w:bCs/>
          <w:i/>
          <w:iCs/>
          <w:sz w:val="32"/>
          <w:szCs w:val="32"/>
          <w:u w:val="single"/>
        </w:rPr>
        <w:lastRenderedPageBreak/>
        <w:t>1. VZNIK NEZISKOVEJ ORGANIZÁCIE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5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Nezisková organizácia </w:t>
      </w:r>
      <w:r>
        <w:rPr>
          <w:rFonts w:ascii="Calibri" w:hAnsi="Calibri" w:cs="Calibri"/>
          <w:b/>
          <w:bCs/>
          <w:sz w:val="24"/>
          <w:szCs w:val="24"/>
        </w:rPr>
        <w:t>SAFE, n. o.</w:t>
      </w:r>
      <w:r>
        <w:rPr>
          <w:rFonts w:ascii="Calibri" w:hAnsi="Calibri" w:cs="Calibri"/>
          <w:sz w:val="24"/>
          <w:szCs w:val="24"/>
        </w:rPr>
        <w:t xml:space="preserve"> so sídlom: Hlavná 128,Nitra IČO: </w:t>
      </w:r>
      <w:r>
        <w:rPr>
          <w:rFonts w:ascii="Times New Roman" w:hAnsi="Times New Roman" w:cs="Times New Roman"/>
          <w:sz w:val="24"/>
          <w:szCs w:val="24"/>
        </w:rPr>
        <w:t>45744475</w:t>
      </w:r>
      <w:r>
        <w:rPr>
          <w:rFonts w:ascii="Calibri" w:hAnsi="Calibri" w:cs="Calibri"/>
          <w:sz w:val="24"/>
          <w:szCs w:val="24"/>
        </w:rPr>
        <w:t xml:space="preserve"> vznikla dňa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348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24.11.2014 , na základe Zakladacej listiny z 20.10.2014 v Nitre a bola zapísaná do registra neziskových organizácií poskytujúcich všeobecne prospešné služby rozhodnutím Obvodného úradu v Nitre, podľa ustanovenia § 9 ods. 1 zákona č. 213/1997 Z . z. o neziskových organizáciách poskytujúcich všeobecne prospešné služby v platnom znení (ďalej len „</w:t>
      </w:r>
      <w:r>
        <w:rPr>
          <w:rFonts w:ascii="Calibri" w:hAnsi="Calibri" w:cs="Calibri"/>
          <w:b/>
          <w:bCs/>
          <w:sz w:val="24"/>
          <w:szCs w:val="24"/>
        </w:rPr>
        <w:t>Zákon</w:t>
      </w:r>
      <w:r>
        <w:rPr>
          <w:rFonts w:ascii="Calibri" w:hAnsi="Calibri" w:cs="Calibri"/>
          <w:sz w:val="24"/>
          <w:szCs w:val="24"/>
        </w:rPr>
        <w:t>“).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Názov organizácie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SAFE, n. o.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Registračné číslo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VVS/NO-22/2014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5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Sídlo organizácie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Hlavná 128, 949 07 Nitra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IČO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45744475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2024164241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Doba trvania: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neurčitá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Zriaďovateľ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Zaujec Milan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2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Štatutárny orgán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3"/>
          <w:szCs w:val="23"/>
        </w:rPr>
        <w:t>Táňa Zaujecová, riaditeľ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Forma hospodárenia :       nezisková organizácia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74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1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724"/>
        <w:jc w:val="both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Orgány neziskovej organizácie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Orgánmi neziskovej organizácie sú: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2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Riaditeľ Zaujecová Táňa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Calibri" w:hAnsi="Calibri" w:cs="Calibri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2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Revízor – Milan Zaujec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Calibri" w:hAnsi="Calibri" w:cs="Calibri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2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Správna rada – MUDr. Štefan Krištof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99" w:lineRule="exact"/>
        <w:rPr>
          <w:rFonts w:ascii="Calibri" w:hAnsi="Calibri" w:cs="Calibri"/>
          <w:sz w:val="24"/>
          <w:szCs w:val="24"/>
        </w:rPr>
      </w:pPr>
    </w:p>
    <w:p w:rsidR="00A20F7D" w:rsidRDefault="00A20F7D">
      <w:pPr>
        <w:widowControl w:val="0"/>
        <w:numPr>
          <w:ilvl w:val="1"/>
          <w:numId w:val="2"/>
        </w:numPr>
        <w:tabs>
          <w:tab w:val="clear" w:pos="1440"/>
          <w:tab w:val="num" w:pos="2530"/>
        </w:tabs>
        <w:overflowPunct w:val="0"/>
        <w:autoSpaceDE w:val="0"/>
        <w:autoSpaceDN w:val="0"/>
        <w:adjustRightInd w:val="0"/>
        <w:spacing w:after="0" w:line="316" w:lineRule="auto"/>
        <w:ind w:left="2400" w:right="4940" w:firstLine="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Mária Zaujecová Slávka Babčanová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09" w:right="1400" w:bottom="439" w:left="1420" w:header="708" w:footer="708" w:gutter="0"/>
          <w:cols w:space="708" w:equalWidth="0">
            <w:col w:w="908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8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09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numPr>
          <w:ilvl w:val="0"/>
          <w:numId w:val="3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724"/>
        <w:jc w:val="both"/>
        <w:rPr>
          <w:rFonts w:ascii="Arial" w:hAnsi="Arial" w:cs="Arial"/>
          <w:b/>
          <w:bCs/>
          <w:i/>
          <w:iCs/>
          <w:sz w:val="28"/>
          <w:szCs w:val="28"/>
        </w:rPr>
      </w:pPr>
      <w:bookmarkStart w:id="3" w:name="page4"/>
      <w:bookmarkEnd w:id="3"/>
      <w:r>
        <w:rPr>
          <w:rFonts w:ascii="Arial" w:hAnsi="Arial" w:cs="Arial"/>
          <w:b/>
          <w:bCs/>
          <w:i/>
          <w:iCs/>
          <w:sz w:val="28"/>
          <w:szCs w:val="28"/>
        </w:rPr>
        <w:lastRenderedPageBreak/>
        <w:t xml:space="preserve">Všeobecne prospešné služby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2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SAFE,  n.  o.  poskytuje  nasledovné  všeobecne  prospešné  služby  zapísané  v registri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neziskových organizácií poskytujúcich všeobecne prospešné služby: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9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45" w:lineRule="auto"/>
        <w:ind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Poskytovanie sociálnej služby v zariadení pre fyzické osoby, ktoré sú odkázané na pomoc inej fyzickej osoby, pre fyzické osoby s nepriaznivým zdravotným stavom a pre fyzické osoby, ktoré dovŕšili dôchodkový vek, zabezpečenie pobytovej a ambulantnej formy sociálnej služby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9" w:lineRule="exact"/>
        <w:rPr>
          <w:rFonts w:ascii="Calibri" w:hAnsi="Calibri" w:cs="Calibri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Vykonávanie   odborných   činností,   obslužných   činností   a ďalších   činností,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"/>
        <w:gridCol w:w="1700"/>
        <w:gridCol w:w="1640"/>
        <w:gridCol w:w="680"/>
        <w:gridCol w:w="860"/>
        <w:gridCol w:w="1460"/>
        <w:gridCol w:w="660"/>
        <w:gridCol w:w="1440"/>
      </w:tblGrid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zabezpečovanie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vykonávania  týchto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činností,  vytváranie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podmienok  na  ich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vykonávanie, zvyšovanie kvality sociálnej služby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c)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Zabezpečovanie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poskytovanie</w:t>
            </w:r>
          </w:p>
        </w:tc>
        <w:tc>
          <w:tcPr>
            <w:tcW w:w="30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sociálnej prevencie, podporu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sociálnej integrácie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tvorbu  a rozvoj  oddychových</w:t>
            </w:r>
          </w:p>
        </w:tc>
        <w:tc>
          <w:tcPr>
            <w:tcW w:w="36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kultúrnych,  športových  a ďalších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w w:val="98"/>
                <w:sz w:val="24"/>
                <w:szCs w:val="24"/>
              </w:rPr>
              <w:t>spoločenských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hodnôt s cieľom integrácie znevýhodnených občanov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d)</w:t>
            </w:r>
          </w:p>
        </w:tc>
        <w:tc>
          <w:tcPr>
            <w:tcW w:w="33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Aktivity zamerané na ochranu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ľudských práv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základných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w w:val="97"/>
                <w:sz w:val="24"/>
                <w:szCs w:val="24"/>
              </w:rPr>
              <w:t>slobôd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– prednášky,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konferencie, semináre, školenia,  spracovanie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analýz a odporúčaní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v predmetnej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oblasti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20F7D" w:rsidRDefault="00A20F7D">
      <w:pPr>
        <w:widowControl w:val="0"/>
        <w:autoSpaceDE w:val="0"/>
        <w:autoSpaceDN w:val="0"/>
        <w:adjustRightInd w:val="0"/>
        <w:spacing w:after="0" w:line="14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Zariadenie pre seniorov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Calibri" w:hAnsi="Calibri" w:cs="Calibri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hanging="36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Domov sociálnych služieb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55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6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724"/>
        <w:jc w:val="both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Domov sociálnych služieb a Zariadenie pre seniorov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b/>
          <w:bCs/>
          <w:sz w:val="24"/>
          <w:szCs w:val="24"/>
        </w:rPr>
        <w:t>roku 2014</w:t>
      </w:r>
      <w:r>
        <w:rPr>
          <w:rFonts w:ascii="Times New Roman" w:hAnsi="Times New Roman" w:cs="Times New Roman"/>
          <w:sz w:val="24"/>
          <w:szCs w:val="24"/>
        </w:rPr>
        <w:t xml:space="preserve"> nezisková organizácia neposkytovala všeobecne prospešné služby   z dôvodu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3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rekonštrukcie priestorov na ich poskytovanie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2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7"/>
        </w:numPr>
        <w:tabs>
          <w:tab w:val="clear" w:pos="72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724"/>
        <w:jc w:val="both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Ciele organizácie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9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Hlavnými cieľmi zariadenia SAFE , n. o. je najmä: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11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tabs>
          <w:tab w:val="left" w:pos="340"/>
        </w:tabs>
        <w:overflowPunct w:val="0"/>
        <w:autoSpaceDE w:val="0"/>
        <w:autoSpaceDN w:val="0"/>
        <w:adjustRightInd w:val="0"/>
        <w:spacing w:after="0" w:line="305" w:lineRule="auto"/>
        <w:ind w:left="360" w:right="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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Poskytovanie starostlivosti klientom zariadenia podľa zákona č. 488/2008 Z. z. o sociálnych službách a o zmene a doplnení zákona č. 455/1991 Zb. o živnostenskom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11" w:right="1400" w:bottom="439" w:left="1420" w:header="708" w:footer="708" w:gutter="0"/>
          <w:cols w:space="708" w:equalWidth="0">
            <w:col w:w="908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11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4"/>
        <w:rPr>
          <w:rFonts w:ascii="Times New Roman" w:hAnsi="Times New Roman" w:cs="Times New Roman"/>
          <w:sz w:val="24"/>
          <w:szCs w:val="24"/>
        </w:rPr>
      </w:pPr>
      <w:bookmarkStart w:id="4" w:name="page5"/>
      <w:bookmarkEnd w:id="4"/>
      <w:r>
        <w:rPr>
          <w:rFonts w:ascii="Calibri" w:hAnsi="Calibri" w:cs="Calibri"/>
          <w:sz w:val="24"/>
          <w:szCs w:val="24"/>
        </w:rPr>
        <w:lastRenderedPageBreak/>
        <w:t>podnikaní  /živnostenský  zákon/  v znení  neskorších  predpisov  /ďalej  len  zákon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4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 sociálnych službách/.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5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8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40" w:lineRule="auto"/>
        <w:ind w:left="364" w:hanging="364"/>
        <w:jc w:val="both"/>
        <w:rPr>
          <w:rFonts w:ascii="Symbol" w:hAnsi="Symbol" w:cs="Symbol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Poskytnúť seniorom pokojné prežitie staroby v príjemnom prostredí.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5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numPr>
          <w:ilvl w:val="0"/>
          <w:numId w:val="8"/>
        </w:numPr>
        <w:tabs>
          <w:tab w:val="clear" w:pos="720"/>
          <w:tab w:val="num" w:pos="364"/>
        </w:tabs>
        <w:overflowPunct w:val="0"/>
        <w:autoSpaceDE w:val="0"/>
        <w:autoSpaceDN w:val="0"/>
        <w:adjustRightInd w:val="0"/>
        <w:spacing w:after="0" w:line="240" w:lineRule="auto"/>
        <w:ind w:left="364" w:hanging="364"/>
        <w:jc w:val="both"/>
        <w:rPr>
          <w:rFonts w:ascii="Symbol" w:hAnsi="Symbol" w:cs="Symbol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Vytvoriť prostredie čo najviac podobné rodinnému prostrediu. 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89" w:lineRule="exact"/>
        <w:rPr>
          <w:rFonts w:ascii="Symbol" w:hAnsi="Symbol" w:cs="Symbol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64"/>
        <w:jc w:val="both"/>
        <w:rPr>
          <w:rFonts w:ascii="Symbol" w:hAnsi="Symbol" w:cs="Symbol"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1.5   Štruktúra zariadenia sociálnych služieb </w:t>
      </w:r>
    </w:p>
    <w:p w:rsidR="00A20F7D" w:rsidRDefault="00396D1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51435</wp:posOffset>
            </wp:positionH>
            <wp:positionV relativeFrom="paragraph">
              <wp:posOffset>986790</wp:posOffset>
            </wp:positionV>
            <wp:extent cx="5532120" cy="3163570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120" cy="3163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8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9" w:lineRule="auto"/>
        <w:ind w:left="3864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color w:val="FFFFFF"/>
          <w:sz w:val="40"/>
          <w:szCs w:val="40"/>
        </w:rPr>
        <w:t>riaditeľ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8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00"/>
        <w:gridCol w:w="2320"/>
        <w:gridCol w:w="2300"/>
        <w:gridCol w:w="1280"/>
      </w:tblGrid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sociálno -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sz w:val="26"/>
                <w:szCs w:val="26"/>
              </w:rPr>
              <w:t>vedúca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sz w:val="26"/>
                <w:szCs w:val="26"/>
              </w:rPr>
              <w:t>hlavná sestra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right="2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sz w:val="26"/>
                <w:szCs w:val="26"/>
              </w:rPr>
              <w:t>administaratívna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right="3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8"/>
                <w:sz w:val="26"/>
                <w:szCs w:val="26"/>
              </w:rPr>
              <w:t>stravovacej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4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6"/>
                <w:sz w:val="26"/>
                <w:szCs w:val="26"/>
              </w:rPr>
              <w:t>ekonóm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right="2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pracovníčka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right="3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8"/>
                <w:sz w:val="26"/>
                <w:szCs w:val="26"/>
              </w:rPr>
              <w:t>prevádzky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zdravotnícky 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sociálno-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8"/>
                <w:sz w:val="26"/>
                <w:szCs w:val="26"/>
              </w:rPr>
              <w:t>ošetrovateľský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3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aktivačná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7"/>
                <w:sz w:val="26"/>
                <w:szCs w:val="26"/>
              </w:rPr>
              <w:t>kuchár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sz w:val="26"/>
                <w:szCs w:val="26"/>
              </w:rPr>
              <w:t>personál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3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pracovníčka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6"/>
                <w:sz w:val="26"/>
                <w:szCs w:val="26"/>
              </w:rPr>
              <w:t>upratovačky,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9"/>
                <w:sz w:val="26"/>
                <w:szCs w:val="26"/>
              </w:rPr>
              <w:t>pomocný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sz w:val="26"/>
                <w:szCs w:val="26"/>
              </w:rPr>
              <w:t>pomocnice,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2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8"/>
                <w:sz w:val="26"/>
                <w:szCs w:val="26"/>
              </w:rPr>
              <w:t>personál 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1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8"/>
                <w:sz w:val="26"/>
                <w:szCs w:val="26"/>
              </w:rPr>
              <w:t>údržba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84" w:lineRule="exact"/>
              <w:ind w:left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FFFFFF"/>
                <w:w w:val="97"/>
                <w:sz w:val="26"/>
                <w:szCs w:val="26"/>
              </w:rPr>
              <w:t>kuchyňa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11" w:right="1420" w:bottom="439" w:left="1416" w:header="708" w:footer="708" w:gutter="0"/>
          <w:cols w:space="708" w:equalWidth="0">
            <w:col w:w="9064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29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11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9" w:lineRule="exact"/>
        <w:rPr>
          <w:rFonts w:ascii="Times New Roman" w:hAnsi="Times New Roman" w:cs="Times New Roman"/>
          <w:sz w:val="24"/>
          <w:szCs w:val="24"/>
        </w:rPr>
      </w:pPr>
      <w:bookmarkStart w:id="5" w:name="page6"/>
      <w:bookmarkEnd w:id="5"/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2. ROČNÁ ÚČTOVNÁ ZÁVIERKA A ZHODNOTENIE ZÁKLADNÝCH ÚDAJOV V NEJ OBSIAHNUTÝCH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1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V súlade s § 4 ods. 2 zákona č. 431/2002 Z. z. o účtovníctve v znení neskorších predpisov n.o. účtuje v sústave podvojného účtovníctva.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Účtovná závierka je výsledným produktom účtovnej uzávierky. Príprava a zostavenie účtovnej závierky sa skladá z 3 etáp 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1etapa: prípravné práce – sem patrí zúčtovanie všetkých účtovných prípadov za daný rok do peňažného denníka, vykonanie inventarizácie majetku a záväzkov a zaúčtovanie uzávierkových účtovných operácií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2 etapa: uzatvorenie účtovných kníh t.j. účtovná uzávierka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 etapa: zostavenie účtovných výkazov t.j. účtovná závierka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29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Účtovná uzávierka predstavuje sústavu výstupných informácií z bežného účtovníctva. Na základe účtovnej závierky k 31.12.201</w:t>
      </w:r>
      <w:r w:rsidR="004F5E41">
        <w:rPr>
          <w:rFonts w:ascii="Calibri" w:hAnsi="Calibri" w:cs="Calibri"/>
          <w:sz w:val="24"/>
          <w:szCs w:val="24"/>
        </w:rPr>
        <w:t>9</w:t>
      </w:r>
      <w:r>
        <w:rPr>
          <w:rFonts w:ascii="Calibri" w:hAnsi="Calibri" w:cs="Calibri"/>
          <w:sz w:val="24"/>
          <w:szCs w:val="24"/>
        </w:rPr>
        <w:t>., n. o. zostavuje Výkaz ziskov a strát, Súvahu a Poznámky k účtovnej závierke. Tieto výkazy tvoria účtovnú závierku v podvojnom účtovníctve a sú súčasťou daňového priznania dani z príjmov.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42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</w:rPr>
        <w:t>Ročná účtovná uzávierka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4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Tvorí prílohu výročnej správy za rok 201</w:t>
      </w:r>
      <w:r w:rsidR="004F5E41">
        <w:rPr>
          <w:rFonts w:ascii="Calibri" w:hAnsi="Calibri" w:cs="Calibri"/>
          <w:sz w:val="24"/>
          <w:szCs w:val="24"/>
        </w:rPr>
        <w:t>9</w:t>
      </w:r>
      <w:r>
        <w:rPr>
          <w:rFonts w:ascii="Calibri" w:hAnsi="Calibri" w:cs="Calibri"/>
          <w:sz w:val="24"/>
          <w:szCs w:val="24"/>
        </w:rPr>
        <w:t>.i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Účtovné obdobie </w:t>
      </w:r>
      <w:r w:rsidR="00784F2B">
        <w:rPr>
          <w:rFonts w:ascii="Calibri" w:hAnsi="Calibri" w:cs="Calibri"/>
          <w:sz w:val="24"/>
          <w:szCs w:val="24"/>
        </w:rPr>
        <w:t>01.01.201</w:t>
      </w:r>
      <w:r w:rsidR="004F5E41">
        <w:rPr>
          <w:rFonts w:ascii="Calibri" w:hAnsi="Calibri" w:cs="Calibri"/>
          <w:sz w:val="24"/>
          <w:szCs w:val="24"/>
        </w:rPr>
        <w:t>9</w:t>
      </w:r>
      <w:r>
        <w:rPr>
          <w:rFonts w:ascii="Calibri" w:hAnsi="Calibri" w:cs="Calibri"/>
          <w:sz w:val="24"/>
          <w:szCs w:val="24"/>
        </w:rPr>
        <w:t xml:space="preserve"> – 31.12.201</w:t>
      </w:r>
      <w:r w:rsidR="004F5E41">
        <w:rPr>
          <w:rFonts w:ascii="Calibri" w:hAnsi="Calibri" w:cs="Calibri"/>
          <w:sz w:val="24"/>
          <w:szCs w:val="24"/>
        </w:rPr>
        <w:t>9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63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</w:rPr>
        <w:t>Finančná správa za rok 201</w:t>
      </w:r>
      <w:r w:rsidR="004F5E41">
        <w:rPr>
          <w:rFonts w:ascii="Calibri" w:hAnsi="Calibri" w:cs="Calibri"/>
          <w:b/>
          <w:bCs/>
          <w:i/>
          <w:iCs/>
          <w:sz w:val="32"/>
          <w:szCs w:val="32"/>
        </w:rPr>
        <w:t>9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4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: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3. VÝROK AUDÍTORA K ROČNEJ ÚČTOVNEJ ZÁVIERKE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88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</w:rPr>
        <w:t>Organizácia nemá povinnosť mať overenú účtovnú závierku za rok 201</w:t>
      </w:r>
      <w:r w:rsidR="004F5E41">
        <w:rPr>
          <w:rFonts w:ascii="Calibri" w:hAnsi="Calibri" w:cs="Calibri"/>
        </w:rPr>
        <w:t>9</w:t>
      </w:r>
      <w:r>
        <w:rPr>
          <w:rFonts w:ascii="Calibri" w:hAnsi="Calibri" w:cs="Calibri"/>
        </w:rPr>
        <w:t xml:space="preserve"> audítorom, ako určuje zákon č. 213/1997 Z.z. o neziskových organizáciách.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40" w:right="1400" w:bottom="439" w:left="1420" w:header="708" w:footer="708" w:gutter="0"/>
          <w:cols w:space="708" w:equalWidth="0">
            <w:col w:w="908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8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40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bookmarkStart w:id="6" w:name="page7"/>
      <w:bookmarkEnd w:id="6"/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lastRenderedPageBreak/>
        <w:t>4.POHĽADÁVKY A ZÁVÄZKY  K 31.12. 201</w:t>
      </w:r>
      <w:r w:rsidR="004F5E41"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9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9" w:lineRule="auto"/>
        <w:ind w:left="54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8"/>
          <w:szCs w:val="28"/>
        </w:rPr>
        <w:t>Nezisková organizácia neeviduje žiadne záväzky 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5.PREHĽAD O FINANČNOM MAJETKU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7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90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80"/>
        <w:gridCol w:w="740"/>
      </w:tblGrid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/>
        </w:trPr>
        <w:tc>
          <w:tcPr>
            <w:tcW w:w="3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Finančný majetok</w:t>
            </w:r>
            <w:r>
              <w:rPr>
                <w:rFonts w:ascii="Times New Roman" w:hAnsi="Times New Roman" w:cs="Times New Roman"/>
                <w:b/>
                <w:bCs/>
              </w:rPr>
              <w:t>: hotovosť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3"/>
                <w:sz w:val="28"/>
                <w:szCs w:val="28"/>
              </w:rPr>
              <w:t>66 €</w:t>
            </w:r>
          </w:p>
        </w:tc>
      </w:tr>
    </w:tbl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9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39" w:lineRule="auto"/>
        <w:ind w:left="60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28"/>
          <w:szCs w:val="28"/>
        </w:rPr>
        <w:t>Finančný majetok</w:t>
      </w:r>
      <w:r>
        <w:rPr>
          <w:rFonts w:ascii="Calibri" w:hAnsi="Calibri" w:cs="Calibri"/>
        </w:rPr>
        <w:t>: bankové účty</w:t>
      </w:r>
      <w:r>
        <w:rPr>
          <w:rFonts w:ascii="Calibri" w:hAnsi="Calibri" w:cs="Calibri"/>
          <w:b/>
          <w:bCs/>
          <w:i/>
          <w:iCs/>
          <w:sz w:val="28"/>
          <w:szCs w:val="28"/>
        </w:rPr>
        <w:t xml:space="preserve"> </w:t>
      </w:r>
      <w:r>
        <w:rPr>
          <w:rFonts w:ascii="Calibri" w:hAnsi="Calibri" w:cs="Calibri"/>
        </w:rPr>
        <w:t>:</w:t>
      </w:r>
      <w:r>
        <w:rPr>
          <w:rFonts w:ascii="Calibri" w:hAnsi="Calibri" w:cs="Calibri"/>
          <w:b/>
          <w:bCs/>
          <w:i/>
          <w:iCs/>
          <w:sz w:val="28"/>
          <w:szCs w:val="28"/>
        </w:rPr>
        <w:t xml:space="preserve">  0 €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6.PREHĽAD O PEŇAŽNÝCH PRÍJMOCH A VÝDAVKOV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40"/>
        <w:gridCol w:w="2320"/>
        <w:gridCol w:w="2300"/>
        <w:gridCol w:w="80"/>
        <w:gridCol w:w="240"/>
        <w:gridCol w:w="1980"/>
      </w:tblGrid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/>
        </w:trPr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Príjmy (v EUR)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Výdavky (v EUR)</w:t>
            </w:r>
          </w:p>
        </w:tc>
        <w:tc>
          <w:tcPr>
            <w:tcW w:w="8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 w:rsidP="004F5E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Zostatok k 31.12.201</w:t>
            </w:r>
            <w:r w:rsidR="004F5E41">
              <w:rPr>
                <w:rFonts w:ascii="Calibri" w:hAnsi="Calibri" w:cs="Calibri"/>
              </w:rPr>
              <w:t>9</w:t>
            </w: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/>
        </w:trPr>
        <w:tc>
          <w:tcPr>
            <w:tcW w:w="18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Celkom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</w:rPr>
              <w:t>66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FFCC99"/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5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w w:val="98"/>
              </w:rPr>
              <w:t>66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20F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0F7D" w:rsidRDefault="00A20F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</w:tr>
    </w:tbl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2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sz w:val="32"/>
          <w:szCs w:val="32"/>
          <w:u w:val="single"/>
        </w:rPr>
        <w:t>7. ZMENY A NOVÉ ZLOŽENIE ORGANIZÁCIE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55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Správna rada SAFE, n. o. sa neuzniesla na žiadnych zmenách v štatúte ani zložení orgánov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neziskovej organizácie.</w:t>
      </w:r>
    </w:p>
    <w:p w:rsidR="00A20F7D" w:rsidRDefault="00396D1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27" style="position:absolute;z-index:-251657216" from="325.9pt,103.1pt" to="455.05pt,103.1pt" o:allowincell="f" strokeweight=".16931mm"/>
        </w:pic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62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ind w:left="662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Táňa Zaujecová</w:t>
      </w:r>
      <w:r w:rsidR="004F5E41">
        <w:rPr>
          <w:rFonts w:ascii="Calibri" w:hAnsi="Calibri" w:cs="Calibri"/>
          <w:sz w:val="24"/>
          <w:szCs w:val="24"/>
        </w:rPr>
        <w:t>,V.R.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39" w:lineRule="auto"/>
        <w:ind w:left="6620"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Riaditeľ n.o.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pgSz w:w="11900" w:h="16838"/>
          <w:pgMar w:top="1405" w:right="1380" w:bottom="439" w:left="1420" w:header="708" w:footer="708" w:gutter="0"/>
          <w:cols w:space="708" w:equalWidth="0">
            <w:col w:w="910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5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20F7D">
          <w:type w:val="continuous"/>
          <w:pgSz w:w="11900" w:h="16838"/>
          <w:pgMar w:top="1405" w:right="5880" w:bottom="439" w:left="5900" w:header="708" w:footer="708" w:gutter="0"/>
          <w:cols w:space="708" w:equalWidth="0">
            <w:col w:w="120"/>
          </w:cols>
          <w:noEndnote/>
        </w:sect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bookmarkStart w:id="7" w:name="page8"/>
      <w:bookmarkEnd w:id="7"/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:rsidR="00A20F7D" w:rsidRDefault="00A20F7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</w:p>
    <w:sectPr w:rsidR="00A20F7D">
      <w:pgSz w:w="11900" w:h="16838"/>
      <w:pgMar w:top="1440" w:right="5880" w:bottom="439" w:left="5900" w:header="708" w:footer="708" w:gutter="0"/>
      <w:cols w:space="708" w:equalWidth="0">
        <w:col w:w="12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1.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BB3"/>
    <w:multiLevelType w:val="hybridMultilevel"/>
    <w:tmpl w:val="00002EA6"/>
    <w:lvl w:ilvl="0" w:tplc="000012DB">
      <w:start w:val="3"/>
      <w:numFmt w:val="decimal"/>
      <w:lvlText w:val="1.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F3E"/>
    <w:multiLevelType w:val="hybridMultilevel"/>
    <w:tmpl w:val="00000099"/>
    <w:lvl w:ilvl="0" w:tplc="000001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3C"/>
    <w:multiLevelType w:val="hybridMultilevel"/>
    <w:tmpl w:val="00007E87"/>
    <w:lvl w:ilvl="0" w:tplc="0000390C">
      <w:start w:val="4"/>
      <w:numFmt w:val="decimal"/>
      <w:lvlText w:val="1.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1649"/>
    <w:multiLevelType w:val="hybridMultilevel"/>
    <w:tmpl w:val="00006DF1"/>
    <w:lvl w:ilvl="0" w:tplc="00005AF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41BB"/>
    <w:multiLevelType w:val="hybridMultilevel"/>
    <w:tmpl w:val="000026E9"/>
    <w:lvl w:ilvl="0" w:tplc="000001EB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6784"/>
    <w:multiLevelType w:val="hybridMultilevel"/>
    <w:tmpl w:val="00004AE1"/>
    <w:lvl w:ilvl="0" w:tplc="00003D6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CD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72AE"/>
    <w:multiLevelType w:val="hybridMultilevel"/>
    <w:tmpl w:val="00006952"/>
    <w:lvl w:ilvl="0" w:tplc="00005F90">
      <w:start w:val="2"/>
      <w:numFmt w:val="decimal"/>
      <w:lvlText w:val="1.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</w:compat>
  <w:rsids>
    <w:rsidRoot w:val="00784F2B"/>
    <w:rsid w:val="00396D13"/>
    <w:rsid w:val="004F5E41"/>
    <w:rsid w:val="00566558"/>
    <w:rsid w:val="00784F2B"/>
    <w:rsid w:val="008D5632"/>
    <w:rsid w:val="00A20F7D"/>
    <w:rsid w:val="00D47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918</Words>
  <Characters>5234</Characters>
  <Application>Microsoft Office Word</Application>
  <DocSecurity>0</DocSecurity>
  <Lines>43</Lines>
  <Paragraphs>12</Paragraphs>
  <ScaleCrop>false</ScaleCrop>
  <Company/>
  <LinksUpToDate>false</LinksUpToDate>
  <CharactersWithSpaces>6140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2020-06-30T20:19:00Z</dcterms:created>
  <dcterms:modified xsi:type="dcterms:W3CDTF">2020-06-30T20:19:00Z</dcterms:modified>
</cp:coreProperties>
</file>