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ind w:left="0" w:right="0" w:hanging="0"/>
        <w:rPr/>
      </w:pPr>
      <w:r>
        <w:rPr>
          <w:rFonts w:eastAsia="Arial Narrow" w:cs="Arial Narrow" w:ascii="Arial Narrow" w:hAnsi="Arial Narrow"/>
          <w:sz w:val="22"/>
        </w:rPr>
        <w:t xml:space="preserve">(1) </w:t>
      </w:r>
      <w:r>
        <w:rPr>
          <w:rFonts w:eastAsia="Arial Narrow" w:cs="Arial Narrow" w:ascii="Arial Narrow" w:hAnsi="Arial Narrow"/>
          <w:sz w:val="23"/>
        </w:rPr>
        <w:t>Názov právnickej osoby a jej sídlo alebo meno a priezvisko fyzickej osoby</w:t>
      </w:r>
      <w:r>
        <w:rPr>
          <w:rFonts w:eastAsia="Arial Narrow"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Allrisk Slovakia. s.r.o.</w:t>
      </w:r>
    </w:p>
    <w:p>
      <w:pPr>
        <w:pStyle w:val="Normalpodnadpis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Prievozská  4B, 82109 Bratislava</w:t>
      </w:r>
    </w:p>
    <w:p>
      <w:pPr>
        <w:pStyle w:val="Normalpodnadpis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35947501</w:t>
      </w:r>
    </w:p>
    <w:p>
      <w:pPr>
        <w:pStyle w:val="Normalpodnadpis"/>
        <w:spacing w:lineRule="auto" w:line="360" w:before="0" w:after="0"/>
        <w:ind w:left="284" w:right="0" w:hanging="0"/>
        <w:jc w:val="left"/>
        <w:rPr/>
      </w:pPr>
      <w:r>
        <w:rPr>
          <w:sz w:val="22"/>
          <w:szCs w:val="24"/>
          <w:lang w:eastAsia="sk-SK"/>
        </w:rPr>
        <w:t>zap</w:t>
      </w:r>
      <w:r>
        <w:rPr>
          <w:sz w:val="22"/>
          <w:szCs w:val="24"/>
        </w:rPr>
        <w:t>ísaná do obchodného registra dňa: 12.11.2014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 xml:space="preserve">Hlavné činnosti spoločnosti: 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Kúpa tovaru na účely jeho predaja konečnému spotrebiteľovi (maloobchod) v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rozsahu voľnej živnosti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Kúpa tovaru na účely jeho predaja iným prevádzkovateľom živností (veľkoobchod) v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rozsahu voľnej živnosti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Sprostredkovateľská činnosť v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oblasti obchodu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 xml:space="preserve">služieb </w:t>
      </w:r>
      <w:r>
        <w:rPr>
          <w:sz w:val="22"/>
          <w:szCs w:val="24"/>
        </w:rPr>
        <w:t>v rozsahu volnej živnosti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Reklamná a propagačná činnosť v rozsahu volnej živnosti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Poradenská a konzultačná činnosť v oblasti propagácie, obchodu, reklamy a služieb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Prieskum trhu a verejnej mienky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Organizačné a ekonomické poradenstvo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Vedenie účtovníctva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Administratívne práce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Automatizované spracovanie dát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Organizovanie školení, kurzov a seminárov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Tlmočenie a preklady z a do anglického jazyka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Obstarávanie služieb spojených so správou nehnutelností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S</w:t>
      </w:r>
      <w:r>
        <w:rPr>
          <w:sz w:val="22"/>
          <w:szCs w:val="24"/>
        </w:rPr>
        <w:t>amostatný finančný agent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Samostatný finančný agent v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sektoroch – poistenia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zaistenia, kapitálového trhu, doplnkového dôchodkového sporenia, prijímania vkladov, poskytovania úverov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spotrebiteľských úverov, starobného dôchodkového sporenia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>(2) Údaje o konsolidovanom celku: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ascii="Arial Narrow" w:hAnsi="Arial Narrow"/>
          <w:b w:val="false"/>
          <w:b w:val="false"/>
          <w:bCs w:val="false"/>
          <w:i w:val="false"/>
          <w:i w:val="false"/>
          <w:iCs w:val="false"/>
          <w:sz w:val="22"/>
          <w:szCs w:val="22"/>
        </w:rPr>
      </w:pP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  <w:t>Účtovná jednotka je materskou účtovnou jednotkou, je povinná zostaviť konsolidovanú účtovnú závierku a</w:t>
      </w:r>
      <w:r>
        <w:rPr>
          <w:rFonts w:cs="Times New Roman" w:ascii="Arial Narrow" w:hAnsi="Arial Narrow"/>
          <w:b w:val="false"/>
          <w:bCs w:val="false"/>
          <w:i w:val="false"/>
          <w:iCs w:val="false"/>
          <w:sz w:val="22"/>
          <w:szCs w:val="22"/>
        </w:rPr>
        <w:t> </w:t>
      </w: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  <w:t xml:space="preserve">konsolidovanú výročnú správu, </w:t>
      </w:r>
      <w:r>
        <w:rPr>
          <w:rFonts w:cs="Arial Narrow"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 xml:space="preserve"> za skupinu </w:t>
      </w: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>úč</w:t>
      </w:r>
      <w:r>
        <w:rPr>
          <w:rFonts w:cs="Arial Narrow"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>tovn</w:t>
      </w: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>ý</w:t>
      </w:r>
      <w:r>
        <w:rPr>
          <w:rFonts w:cs="Arial Narrow"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>ch jednotiek konsolidovan</w:t>
      </w: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>é</w:t>
      </w:r>
      <w:r>
        <w:rPr>
          <w:rFonts w:cs="Arial Narrow"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 xml:space="preserve">ho celku </w:t>
      </w:r>
      <w:r>
        <w:rPr>
          <w:rFonts w:cs="Arial Narrow" w:ascii="Arial Narrow" w:hAnsi="Arial Narrow"/>
          <w:b/>
          <w:bCs/>
          <w:i w:val="false"/>
          <w:iCs w:val="false"/>
          <w:sz w:val="22"/>
          <w:szCs w:val="22"/>
          <w:lang w:val="sk-SK" w:eastAsia="cs-CZ"/>
        </w:rPr>
        <w:t>Allrisk Slovakia</w:t>
      </w:r>
      <w:r>
        <w:rPr>
          <w:rFonts w:cs="Arial Narrow" w:ascii="Arial Narrow" w:hAnsi="Arial Narrow"/>
          <w:b w:val="false"/>
          <w:bCs w:val="false"/>
          <w:i w:val="false"/>
          <w:iCs w:val="false"/>
          <w:sz w:val="22"/>
          <w:szCs w:val="22"/>
          <w:lang w:val="sk-SK" w:eastAsia="cs-CZ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Arial Narrow"/>
          <w:lang w:val="sk-SK" w:eastAsia="cs-CZ"/>
        </w:rPr>
      </w:pP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Arial Narrow"/>
          <w:lang w:val="sk-SK" w:eastAsia="cs-CZ"/>
        </w:rPr>
      </w:pP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Arial Narrow"/>
          <w:lang w:val="sk-SK" w:eastAsia="cs-CZ"/>
        </w:rPr>
      </w:pP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Arial Narrow"/>
          <w:lang w:val="sk-SK" w:eastAsia="cs-CZ"/>
        </w:rPr>
      </w:pP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Arial Narrow"/>
          <w:lang w:val="sk-SK" w:eastAsia="cs-CZ"/>
        </w:rPr>
      </w:pP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Arial Narrow"/>
          <w:lang w:val="sk-SK" w:eastAsia="cs-CZ"/>
        </w:rPr>
      </w:pPr>
      <w:r>
        <w:rPr>
          <w:rFonts w:ascii="Arial Narrow" w:hAnsi="Arial Narrow"/>
          <w:b w:val="false"/>
          <w:bCs w:val="false"/>
          <w:i w:val="false"/>
          <w:iCs w:val="false"/>
          <w:sz w:val="22"/>
          <w:szCs w:val="22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>(3) Priemerný prepočítaný počet zamestnancov</w:t>
      </w:r>
    </w:p>
    <w:p>
      <w:pPr>
        <w:pStyle w:val="Normalpodnadpis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  <w:szCs w:val="24"/>
        </w:rPr>
        <w:t>Tabuľka k zamestnancom</w:t>
      </w:r>
    </w:p>
    <w:tbl>
      <w:tblPr>
        <w:tblW w:w="992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6"/>
        <w:gridCol w:w="2560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 účtovné obdobie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szCs w:val="24"/>
              </w:rPr>
              <w:t>2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szCs w:val="24"/>
              </w:rPr>
              <w:t>2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szCs w:val="24"/>
              </w:rPr>
              <w:t>2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szCs w:val="24"/>
              </w:rPr>
              <w:t>2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Počet vedúcich zamestnancov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  <w:szCs w:val="24"/>
        </w:rPr>
        <w:t>ČL. II  INFORMÁCIE O PRIJATÝCH POSTUPOCH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(1) Účtovná závierka je zostavená za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 xml:space="preserve">splnenia predpokladu, že účtovná jednotka bude nepretržite pokračovať vo svojej činnosti. 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(2) Spôsob oceňovania jednotlivých položiek majetku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záväzkov, a to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a) dlhodobého nehmotného majetku, dlhodobého hmotného majetku a dlhodobého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Obstarávacia cena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b) zásob obstaraných kúpou, zásob vytvorených vlastnou činnosťou,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Obstarávacia cena, vlastné náklady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c) pohľadávok,</w:t>
      </w:r>
    </w:p>
    <w:p>
      <w:pPr>
        <w:pStyle w:val="Normalpodnadpis"/>
        <w:bidi w:val="0"/>
        <w:spacing w:lineRule="auto" w:line="360" w:before="0" w:after="120"/>
        <w:ind w:left="360" w:right="0" w:hanging="0"/>
        <w:rPr/>
      </w:pPr>
      <w:r>
        <w:rPr>
          <w:sz w:val="22"/>
          <w:szCs w:val="24"/>
        </w:rPr>
        <w:t xml:space="preserve">    </w:t>
      </w:r>
      <w:r>
        <w:rPr>
          <w:sz w:val="22"/>
          <w:szCs w:val="24"/>
        </w:rPr>
        <w:t>Nominálna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d) krátkodobého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e) záväzkov vrátane rezerv, dlhopisov, pôžičiek a úverov,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f) derivátových operácií</w:t>
      </w:r>
      <w:r>
        <w:rPr>
          <w:rFonts w:cs="Times New Roman"/>
          <w:sz w:val="22"/>
          <w:szCs w:val="24"/>
        </w:rPr>
        <w:t>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Reálna hodnota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(3) Spôsob zostavenia odpisového plánu pre jednotlivé druhy dlhodobého hmotného majetku 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dlhodobého nehmotného majetku, pričom sa uvádza doba odpisovania, použité sadzby odpisov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 xml:space="preserve">odpisové metódy pri určení odpisov.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7"/>
        <w:gridCol w:w="927"/>
        <w:gridCol w:w="1882"/>
        <w:gridCol w:w="1936"/>
        <w:gridCol w:w="1736"/>
      </w:tblGrid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(%)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Metóda odpisovania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  <w:szCs w:val="24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  <w:szCs w:val="24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  <w:szCs w:val="24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cs="Times New Roman"/>
                <w:sz w:val="22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4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Počítače s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sz w:val="22"/>
                <w:szCs w:val="24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K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žiadnym zmenám účtovných zásad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účtovných metód nedošlo.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(5) Informácie o dotáciách a ich oceňovanie v účtovníctve.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cs="Times New Roman"/>
          <w:b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  <w:szCs w:val="24"/>
        </w:rPr>
        <w:t>ČL. III  INFORMÁCIE, KTORÉ DOPĹŇAJÚ A</w:t>
      </w:r>
      <w:r>
        <w:rPr>
          <w:rFonts w:cs="Times New Roman"/>
          <w:b/>
          <w:sz w:val="24"/>
          <w:szCs w:val="24"/>
        </w:rPr>
        <w:t> </w:t>
      </w:r>
      <w:r>
        <w:rPr>
          <w:b/>
          <w:sz w:val="24"/>
          <w:szCs w:val="24"/>
        </w:rPr>
        <w:t>VYSVETĽUJÚ SÚVAHU A</w:t>
      </w:r>
      <w:r>
        <w:rPr>
          <w:rFonts w:cs="Times New Roman"/>
          <w:b/>
          <w:sz w:val="24"/>
          <w:szCs w:val="24"/>
        </w:rPr>
        <w:t> </w:t>
      </w:r>
      <w:r>
        <w:rPr>
          <w:b/>
          <w:sz w:val="24"/>
          <w:szCs w:val="24"/>
        </w:rPr>
        <w:t>VÝKAZ ZISKOV A STRÁT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Informácie o záväzkoch,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celkovej sume záväzkov so zostatkovou dobou splatnosti dlhšou ako päť rokov:         0,- EUR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b) celkovej sume zabezpečených záväzkov, opis a spôsoby zabezpečenia záväzkov:     0,- EUR</w:t>
      </w:r>
    </w:p>
    <w:p>
      <w:pPr>
        <w:pStyle w:val="Normalpodnadpis"/>
        <w:bidi w:val="0"/>
        <w:spacing w:lineRule="auto" w:line="360"/>
        <w:ind w:left="284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  <w:szCs w:val="24"/>
        </w:rPr>
        <w:t>Tabuľka k</w:t>
      </w:r>
      <w:r>
        <w:rPr>
          <w:rFonts w:cs="Times New Roman"/>
          <w:b/>
          <w:sz w:val="22"/>
          <w:szCs w:val="24"/>
        </w:rPr>
        <w:t> </w:t>
      </w:r>
      <w:r>
        <w:rPr>
          <w:b/>
          <w:sz w:val="22"/>
          <w:szCs w:val="24"/>
        </w:rPr>
        <w:t>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8"/>
        <w:gridCol w:w="2813"/>
        <w:gridCol w:w="3199"/>
      </w:tblGrid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účtovné obdobie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szCs w:val="24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szCs w:val="24"/>
                <w:lang w:eastAsia="sk-SK"/>
              </w:rPr>
              <w:t>77 555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szCs w:val="24"/>
                <w:lang w:eastAsia="sk-SK"/>
              </w:rPr>
              <w:t>97 996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  <w:lang w:val="cs-CZ" w:eastAsia="sk-SK"/>
              </w:rPr>
              <w:t>203 672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  <w:lang w:val="cs-CZ" w:eastAsia="sk-SK"/>
              </w:rPr>
              <w:t>28 308</w:t>
            </w:r>
          </w:p>
        </w:tc>
      </w:tr>
      <w:tr>
        <w:trPr>
          <w:trHeight w:val="447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  <w:szCs w:val="24"/>
              </w:rPr>
              <w:t>281 227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  <w:szCs w:val="24"/>
              </w:rPr>
              <w:t>126 304</w:t>
            </w:r>
          </w:p>
        </w:tc>
      </w:tr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181 389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</w:rPr>
              <w:t>181 389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Krátkodobé a</w:t>
            </w:r>
            <w:r>
              <w:rPr>
                <w:rFonts w:cs="Times New Roman"/>
                <w:b/>
                <w:sz w:val="18"/>
                <w:szCs w:val="24"/>
              </w:rPr>
              <w:t> </w:t>
            </w:r>
            <w:r>
              <w:rPr>
                <w:b/>
                <w:sz w:val="18"/>
                <w:szCs w:val="24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  <w:lang w:val="cs-CZ"/>
              </w:rPr>
              <w:t>462 616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  <w:lang w:val="cs-CZ"/>
              </w:rPr>
              <w:t>126 304</w:t>
            </w:r>
          </w:p>
        </w:tc>
      </w:tr>
    </w:tbl>
    <w:p>
      <w:pPr>
        <w:pStyle w:val="Normalpodnadpis"/>
        <w:bidi w:val="0"/>
        <w:spacing w:lineRule="auto" w:line="360"/>
        <w:ind w:left="567" w:right="0" w:hanging="0"/>
        <w:rPr/>
      </w:pPr>
      <w:r>
        <w:rPr/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  <w:szCs w:val="24"/>
        </w:rPr>
        <w:t>(3) Informácie o vlastných akciách, a to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  <w:szCs w:val="24"/>
        </w:rPr>
        <w:t>(4) Informácie o orgánoch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Členom štatutárneho orgánu neboli poskytnuté záruky alebo iné zabezpečenie.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Členom štatutárneho orgánu neboli poskytnuté pôžičky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cs="Times New Roman"/>
          <w:sz w:val="22"/>
          <w:szCs w:val="24"/>
        </w:rPr>
        <w:t>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>(5) Informácie o povinnostiach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b) celkovej sume významných podmienených záväzkov, ktorými sa rozumie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  <w:szCs w:val="24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  <w:szCs w:val="24"/>
        </w:rPr>
        <w:t>2. existujúca povinnosť, ktorá vznikla ako dôsledok minulej udalosti, ale ktorá sa nevykazuje v súvahe, pretože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2a. nie je pravdepodobné, že na splnenie tejto povinnosti bude potrebný úbytok ekonomických úžitkov, alebo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2b. výška tejto povinnosti sa nedá spoľahlivo oceniť</w:t>
      </w:r>
      <w:r>
        <w:rPr>
          <w:rFonts w:cs="Times New Roman"/>
          <w:sz w:val="22"/>
          <w:szCs w:val="24"/>
        </w:rPr>
        <w:t>,</w:t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 xml:space="preserve">  </w:t>
      </w:r>
      <w:r>
        <w:rPr>
          <w:sz w:val="22"/>
          <w:szCs w:val="24"/>
        </w:rPr>
        <w:tab/>
        <w:t xml:space="preserve">   Nie je plnenie.</w:t>
      </w:r>
    </w:p>
    <w:p>
      <w:pPr>
        <w:pStyle w:val="Normalpodnadpis"/>
        <w:bidi w:val="0"/>
        <w:spacing w:lineRule="auto" w:line="360"/>
        <w:ind w:left="0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c) opise významných finančných povinností a významných podmienených záväzkov,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e) opise významných povinností účtovnej jednotky vyplývajúcich z dôchodkových programov pre zamestnancov.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before="0" w:after="120"/>
        <w:ind w:left="0" w:right="0" w:hanging="0"/>
        <w:jc w:val="left"/>
        <w:rPr>
          <w:sz w:val="22"/>
          <w:lang w:eastAsia="sk-SK"/>
        </w:rPr>
      </w:pPr>
      <w:r>
        <w:rPr/>
      </w:r>
      <w:bookmarkStart w:id="6" w:name="ICOHLAV_END4"/>
      <w:bookmarkStart w:id="7" w:name="ICOHLAV4"/>
      <w:bookmarkStart w:id="8" w:name="DICHLAV_END4"/>
      <w:bookmarkStart w:id="9" w:name="DICHLAV4"/>
      <w:bookmarkStart w:id="10" w:name="__DdeLink__1773_76882015512"/>
      <w:bookmarkStart w:id="11" w:name="__DdeLink__1773_7688201551"/>
      <w:bookmarkStart w:id="12" w:name="__DdeLink__1773_7688201552"/>
      <w:bookmarkStart w:id="13" w:name="__DdeLink__1773_76882015511"/>
      <w:bookmarkStart w:id="14" w:name="__DdeLink__1773_768820155"/>
      <w:bookmarkStart w:id="15" w:name="ICOHLAV_END4"/>
      <w:bookmarkStart w:id="16" w:name="ICOHLAV4"/>
      <w:bookmarkStart w:id="17" w:name="DICHLAV_END4"/>
      <w:bookmarkStart w:id="18" w:name="DICHLAV4"/>
      <w:bookmarkStart w:id="19" w:name="__DdeLink__1773_76882015512"/>
      <w:bookmarkStart w:id="20" w:name="__DdeLink__1773_7688201551"/>
      <w:bookmarkStart w:id="21" w:name="__DdeLink__1773_7688201552"/>
      <w:bookmarkStart w:id="22" w:name="__DdeLink__1773_76882015511"/>
      <w:bookmarkStart w:id="23" w:name="__DdeLink__1773_768820155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Strana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PAGE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4</w:t>
    </w:r>
    <w:r>
      <w:rPr>
        <w:sz w:val="20"/>
        <w:kern w:val="2"/>
        <w:rFonts w:eastAsia="Arial" w:cs="Arial" w:ascii="Arial" w:hAnsi="Arial"/>
      </w:rPr>
      <w:fldChar w:fldCharType="end"/>
    </w: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 z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NUMPAGES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color w:val="auto"/>
        <w:kern w:val="2"/>
        <w:sz w:val="20"/>
        <w:lang w:val="sk-SK" w:eastAsia="ar-SA"/>
      </w:rPr>
    </w:pPr>
    <w:r>
      <w:rPr>
        <w:rFonts w:eastAsia="Arial"/>
        <w:color w:val="auto"/>
        <w:kern w:val="2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24" w:name="DICHLAV"/>
                          <w:bookmarkEnd w:id="24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2022036511</w:t>
                          </w:r>
                          <w:bookmarkStart w:id="25" w:name="DICHLAV_END"/>
                          <w:bookmarkEnd w:id="25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26" w:name="DICHLAV"/>
                    <w:bookmarkEnd w:id="26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2022036511</w:t>
                    </w:r>
                    <w:bookmarkStart w:id="27" w:name="DICHLAV_END"/>
                    <w:bookmarkEnd w:id="27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28" w:name="ICOHLAV_END"/>
                          <w:bookmarkStart w:id="29" w:name="ICOHLAV"/>
                          <w:bookmarkEnd w:id="28"/>
                          <w:bookmarkEnd w:id="29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35947501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30" w:name="ICOHLAV_END"/>
                    <w:bookmarkStart w:id="31" w:name="ICOHLAV"/>
                    <w:bookmarkEnd w:id="30"/>
                    <w:bookmarkEnd w:id="31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35947501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jc w:val="left"/>
    </w:pPr>
    <w:rPr>
      <w:rFonts w:ascii="Liberation Serif" w:hAnsi="Liberation Serif" w:eastAsia="Liberation Serif" w:cs="Liberation Serif"/>
      <w:color w:val="auto"/>
      <w:kern w:val="2"/>
      <w:sz w:val="24"/>
      <w:szCs w:val="24"/>
      <w:lang w:val="cs-CZ" w:eastAsia="cs-CZ" w:bidi="hi-IN"/>
    </w:rPr>
  </w:style>
  <w:style w:type="paragraph" w:styleId="Heading2">
    <w:name w:val="Heading 2"/>
    <w:basedOn w:val="Heading"/>
    <w:qFormat/>
    <w:pPr>
      <w:keepNext w:val="true"/>
      <w:widowControl/>
      <w:suppressAutoHyphens w:val="true"/>
      <w:bidi w:val="0"/>
      <w:spacing w:lineRule="auto" w:line="360" w:before="240" w:after="60"/>
      <w:jc w:val="both"/>
      <w:textAlignment w:val="auto"/>
    </w:pPr>
    <w:rPr>
      <w:rFonts w:ascii="Arial Narrow" w:hAnsi="Arial Narrow" w:eastAsia="Liberation Serif"/>
      <w:b/>
      <w:i/>
      <w:color w:val="auto"/>
      <w:kern w:val="2"/>
      <w:sz w:val="28"/>
      <w:lang w:val="sk-SK" w:eastAsia="cs-CZ"/>
    </w:rPr>
  </w:style>
  <w:style w:type="paragraph" w:styleId="Heading3">
    <w:name w:val="Heading 3"/>
    <w:basedOn w:val="Heading"/>
    <w:qFormat/>
    <w:pPr>
      <w:keepNext w:val="true"/>
      <w:widowControl/>
      <w:suppressAutoHyphens w:val="true"/>
      <w:bidi w:val="0"/>
      <w:spacing w:lineRule="auto" w:line="360" w:before="240" w:after="60"/>
      <w:jc w:val="both"/>
      <w:textAlignment w:val="auto"/>
    </w:pPr>
    <w:rPr>
      <w:rFonts w:ascii="Cambria" w:hAnsi="Cambria" w:eastAsia="Liberation Serif"/>
      <w:b/>
      <w:color w:val="auto"/>
      <w:kern w:val="2"/>
      <w:sz w:val="26"/>
      <w:lang w:val="sk-SK" w:eastAsia="cs-CZ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character" w:styleId="ListLabel117">
    <w:name w:val="ListLabel 117"/>
    <w:qFormat/>
    <w:rPr>
      <w:rFonts w:eastAsia="Times New Roman"/>
      <w:b/>
      <w:sz w:val="18"/>
    </w:rPr>
  </w:style>
  <w:style w:type="character" w:styleId="ListLabel118">
    <w:name w:val="ListLabel 118"/>
    <w:qFormat/>
    <w:rPr>
      <w:rFonts w:eastAsia="Times New Roman"/>
    </w:rPr>
  </w:style>
  <w:style w:type="character" w:styleId="ListLabel119">
    <w:name w:val="ListLabel 119"/>
    <w:qFormat/>
    <w:rPr>
      <w:rFonts w:eastAsia="Times New Roman"/>
    </w:rPr>
  </w:style>
  <w:style w:type="character" w:styleId="ListLabel120">
    <w:name w:val="ListLabel 120"/>
    <w:qFormat/>
    <w:rPr>
      <w:rFonts w:eastAsia="Times New Roman"/>
    </w:rPr>
  </w:style>
  <w:style w:type="character" w:styleId="ListLabel121">
    <w:name w:val="ListLabel 121"/>
    <w:qFormat/>
    <w:rPr>
      <w:rFonts w:eastAsia="Times New Roman"/>
    </w:rPr>
  </w:style>
  <w:style w:type="character" w:styleId="ListLabel122">
    <w:name w:val="ListLabel 122"/>
    <w:qFormat/>
    <w:rPr>
      <w:rFonts w:eastAsia="Times New Roman"/>
    </w:rPr>
  </w:style>
  <w:style w:type="character" w:styleId="ListLabel123">
    <w:name w:val="ListLabel 123"/>
    <w:qFormat/>
    <w:rPr>
      <w:rFonts w:eastAsia="Times New Roman"/>
    </w:rPr>
  </w:style>
  <w:style w:type="character" w:styleId="ListLabel124">
    <w:name w:val="ListLabel 124"/>
    <w:qFormat/>
    <w:rPr>
      <w:rFonts w:eastAsia="Times New Roman"/>
    </w:rPr>
  </w:style>
  <w:style w:type="character" w:styleId="ListLabel125">
    <w:name w:val="ListLabel 125"/>
    <w:qFormat/>
    <w:rPr>
      <w:rFonts w:eastAsia="Times New Roman"/>
    </w:rPr>
  </w:style>
  <w:style w:type="character" w:styleId="ListLabel126">
    <w:name w:val="ListLabel 126"/>
    <w:qFormat/>
    <w:rPr>
      <w:rFonts w:eastAsia="Times New Roman"/>
      <w:sz w:val="22"/>
    </w:rPr>
  </w:style>
  <w:style w:type="character" w:styleId="ListLabel127">
    <w:name w:val="ListLabel 127"/>
    <w:qFormat/>
    <w:rPr>
      <w:rFonts w:eastAsia="Times New Roman"/>
    </w:rPr>
  </w:style>
  <w:style w:type="character" w:styleId="ListLabel128">
    <w:name w:val="ListLabel 128"/>
    <w:qFormat/>
    <w:rPr>
      <w:rFonts w:eastAsia="Times New Roman"/>
    </w:rPr>
  </w:style>
  <w:style w:type="character" w:styleId="ListLabel129">
    <w:name w:val="ListLabel 129"/>
    <w:qFormat/>
    <w:rPr>
      <w:rFonts w:eastAsia="Times New Roman"/>
    </w:rPr>
  </w:style>
  <w:style w:type="character" w:styleId="ListLabel130">
    <w:name w:val="ListLabel 130"/>
    <w:qFormat/>
    <w:rPr>
      <w:rFonts w:eastAsia="Times New Roman"/>
    </w:rPr>
  </w:style>
  <w:style w:type="character" w:styleId="ListLabel131">
    <w:name w:val="ListLabel 131"/>
    <w:qFormat/>
    <w:rPr>
      <w:rFonts w:eastAsia="Times New Roman"/>
    </w:rPr>
  </w:style>
  <w:style w:type="character" w:styleId="ListLabel132">
    <w:name w:val="ListLabel 132"/>
    <w:qFormat/>
    <w:rPr>
      <w:rFonts w:eastAsia="Times New Roman"/>
    </w:rPr>
  </w:style>
  <w:style w:type="character" w:styleId="ListLabel133">
    <w:name w:val="ListLabel 133"/>
    <w:qFormat/>
    <w:rPr>
      <w:rFonts w:eastAsia="Times New Roman"/>
    </w:rPr>
  </w:style>
  <w:style w:type="character" w:styleId="ListLabel134">
    <w:name w:val="ListLabel 134"/>
    <w:qFormat/>
    <w:rPr>
      <w:rFonts w:eastAsia="Times New Roman"/>
    </w:rPr>
  </w:style>
  <w:style w:type="character" w:styleId="ListLabel135">
    <w:name w:val="ListLabel 135"/>
    <w:qFormat/>
    <w:rPr>
      <w:rFonts w:eastAsia="Times New Roman"/>
      <w:b w:val="false"/>
    </w:rPr>
  </w:style>
  <w:style w:type="character" w:styleId="ListLabel136">
    <w:name w:val="ListLabel 136"/>
    <w:qFormat/>
    <w:rPr>
      <w:rFonts w:eastAsia="Times New Roman"/>
    </w:rPr>
  </w:style>
  <w:style w:type="character" w:styleId="ListLabel137">
    <w:name w:val="ListLabel 137"/>
    <w:qFormat/>
    <w:rPr>
      <w:rFonts w:eastAsia="Times New Roman"/>
    </w:rPr>
  </w:style>
  <w:style w:type="character" w:styleId="ListLabel138">
    <w:name w:val="ListLabel 138"/>
    <w:qFormat/>
    <w:rPr>
      <w:rFonts w:eastAsia="Times New Roman"/>
    </w:rPr>
  </w:style>
  <w:style w:type="character" w:styleId="ListLabel139">
    <w:name w:val="ListLabel 139"/>
    <w:qFormat/>
    <w:rPr>
      <w:rFonts w:eastAsia="Times New Roman"/>
    </w:rPr>
  </w:style>
  <w:style w:type="character" w:styleId="ListLabel140">
    <w:name w:val="ListLabel 140"/>
    <w:qFormat/>
    <w:rPr>
      <w:rFonts w:eastAsia="Times New Roman"/>
    </w:rPr>
  </w:style>
  <w:style w:type="character" w:styleId="ListLabel141">
    <w:name w:val="ListLabel 141"/>
    <w:qFormat/>
    <w:rPr>
      <w:rFonts w:eastAsia="Times New Roman"/>
    </w:rPr>
  </w:style>
  <w:style w:type="character" w:styleId="ListLabel142">
    <w:name w:val="ListLabel 142"/>
    <w:qFormat/>
    <w:rPr>
      <w:rFonts w:eastAsia="Times New Roman"/>
    </w:rPr>
  </w:style>
  <w:style w:type="character" w:styleId="ListLabel143">
    <w:name w:val="ListLabel 143"/>
    <w:qFormat/>
    <w:rPr>
      <w:rFonts w:eastAsia="Times New Roman"/>
      <w:b w:val="false"/>
      <w:sz w:val="22"/>
    </w:rPr>
  </w:style>
  <w:style w:type="character" w:styleId="ListLabel144">
    <w:name w:val="ListLabel 144"/>
    <w:qFormat/>
    <w:rPr>
      <w:rFonts w:eastAsia="Times New Roman"/>
    </w:rPr>
  </w:style>
  <w:style w:type="character" w:styleId="ListLabel145">
    <w:name w:val="ListLabel 145"/>
    <w:qFormat/>
    <w:rPr>
      <w:rFonts w:eastAsia="Times New Roman"/>
    </w:rPr>
  </w:style>
  <w:style w:type="character" w:styleId="ListLabel146">
    <w:name w:val="ListLabel 146"/>
    <w:qFormat/>
    <w:rPr>
      <w:rFonts w:eastAsia="Times New Roman"/>
    </w:rPr>
  </w:style>
  <w:style w:type="character" w:styleId="ListLabel147">
    <w:name w:val="ListLabel 147"/>
    <w:qFormat/>
    <w:rPr>
      <w:rFonts w:eastAsia="Times New Roman"/>
    </w:rPr>
  </w:style>
  <w:style w:type="character" w:styleId="ListLabel148">
    <w:name w:val="ListLabel 148"/>
    <w:qFormat/>
    <w:rPr>
      <w:rFonts w:eastAsia="Times New Roman"/>
    </w:rPr>
  </w:style>
  <w:style w:type="character" w:styleId="ListLabel149">
    <w:name w:val="ListLabel 149"/>
    <w:qFormat/>
    <w:rPr>
      <w:rFonts w:eastAsia="Times New Roman"/>
    </w:rPr>
  </w:style>
  <w:style w:type="character" w:styleId="ListLabel150">
    <w:name w:val="ListLabel 150"/>
    <w:qFormat/>
    <w:rPr>
      <w:rFonts w:eastAsia="Times New Roman"/>
    </w:rPr>
  </w:style>
  <w:style w:type="character" w:styleId="ListLabel151">
    <w:name w:val="ListLabel 151"/>
    <w:qFormat/>
    <w:rPr>
      <w:rFonts w:eastAsia="Times New Roman"/>
    </w:rPr>
  </w:style>
  <w:style w:type="character" w:styleId="ListLabel152">
    <w:name w:val="ListLabel 152"/>
    <w:qFormat/>
    <w:rPr>
      <w:rFonts w:eastAsia="Times New Roman"/>
      <w:b/>
      <w:sz w:val="18"/>
    </w:rPr>
  </w:style>
  <w:style w:type="character" w:styleId="ListLabel153">
    <w:name w:val="ListLabel 153"/>
    <w:qFormat/>
    <w:rPr>
      <w:rFonts w:eastAsia="Times New Roman"/>
    </w:rPr>
  </w:style>
  <w:style w:type="character" w:styleId="ListLabel154">
    <w:name w:val="ListLabel 154"/>
    <w:qFormat/>
    <w:rPr>
      <w:rFonts w:eastAsia="Times New Roman"/>
    </w:rPr>
  </w:style>
  <w:style w:type="character" w:styleId="ListLabel155">
    <w:name w:val="ListLabel 155"/>
    <w:qFormat/>
    <w:rPr>
      <w:rFonts w:eastAsia="Times New Roman"/>
    </w:rPr>
  </w:style>
  <w:style w:type="character" w:styleId="ListLabel156">
    <w:name w:val="ListLabel 156"/>
    <w:qFormat/>
    <w:rPr>
      <w:rFonts w:eastAsia="Times New Roman"/>
    </w:rPr>
  </w:style>
  <w:style w:type="character" w:styleId="ListLabel157">
    <w:name w:val="ListLabel 157"/>
    <w:qFormat/>
    <w:rPr>
      <w:rFonts w:eastAsia="Times New Roman"/>
    </w:rPr>
  </w:style>
  <w:style w:type="character" w:styleId="ListLabel158">
    <w:name w:val="ListLabel 158"/>
    <w:qFormat/>
    <w:rPr>
      <w:rFonts w:eastAsia="Times New Roman"/>
    </w:rPr>
  </w:style>
  <w:style w:type="character" w:styleId="ListLabel159">
    <w:name w:val="ListLabel 159"/>
    <w:qFormat/>
    <w:rPr>
      <w:rFonts w:eastAsia="Times New Roman"/>
    </w:rPr>
  </w:style>
  <w:style w:type="character" w:styleId="ListLabel160">
    <w:name w:val="ListLabel 160"/>
    <w:qFormat/>
    <w:rPr>
      <w:rFonts w:eastAsia="Times New Roman"/>
    </w:rPr>
  </w:style>
  <w:style w:type="character" w:styleId="ListLabel161">
    <w:name w:val="ListLabel 161"/>
    <w:qFormat/>
    <w:rPr>
      <w:rFonts w:eastAsia="Times New Roman"/>
      <w:sz w:val="22"/>
    </w:rPr>
  </w:style>
  <w:style w:type="character" w:styleId="ListLabel162">
    <w:name w:val="ListLabel 162"/>
    <w:qFormat/>
    <w:rPr>
      <w:rFonts w:eastAsia="Times New Roman"/>
    </w:rPr>
  </w:style>
  <w:style w:type="character" w:styleId="ListLabel163">
    <w:name w:val="ListLabel 163"/>
    <w:qFormat/>
    <w:rPr>
      <w:rFonts w:eastAsia="Times New Roman"/>
    </w:rPr>
  </w:style>
  <w:style w:type="character" w:styleId="ListLabel164">
    <w:name w:val="ListLabel 164"/>
    <w:qFormat/>
    <w:rPr>
      <w:rFonts w:eastAsia="Times New Roman"/>
    </w:rPr>
  </w:style>
  <w:style w:type="character" w:styleId="ListLabel165">
    <w:name w:val="ListLabel 165"/>
    <w:qFormat/>
    <w:rPr>
      <w:rFonts w:eastAsia="Times New Roman"/>
    </w:rPr>
  </w:style>
  <w:style w:type="character" w:styleId="ListLabel166">
    <w:name w:val="ListLabel 166"/>
    <w:qFormat/>
    <w:rPr>
      <w:rFonts w:eastAsia="Times New Roman"/>
    </w:rPr>
  </w:style>
  <w:style w:type="character" w:styleId="ListLabel167">
    <w:name w:val="ListLabel 167"/>
    <w:qFormat/>
    <w:rPr>
      <w:rFonts w:eastAsia="Times New Roman"/>
    </w:rPr>
  </w:style>
  <w:style w:type="character" w:styleId="ListLabel168">
    <w:name w:val="ListLabel 168"/>
    <w:qFormat/>
    <w:rPr>
      <w:rFonts w:eastAsia="Times New Roman"/>
    </w:rPr>
  </w:style>
  <w:style w:type="character" w:styleId="ListLabel169">
    <w:name w:val="ListLabel 169"/>
    <w:qFormat/>
    <w:rPr>
      <w:rFonts w:eastAsia="Times New Roman"/>
    </w:rPr>
  </w:style>
  <w:style w:type="character" w:styleId="ListLabel170">
    <w:name w:val="ListLabel 170"/>
    <w:qFormat/>
    <w:rPr>
      <w:rFonts w:eastAsia="Times New Roman"/>
      <w:b w:val="false"/>
    </w:rPr>
  </w:style>
  <w:style w:type="character" w:styleId="ListLabel171">
    <w:name w:val="ListLabel 171"/>
    <w:qFormat/>
    <w:rPr>
      <w:rFonts w:eastAsia="Times New Roman"/>
    </w:rPr>
  </w:style>
  <w:style w:type="character" w:styleId="ListLabel172">
    <w:name w:val="ListLabel 172"/>
    <w:qFormat/>
    <w:rPr>
      <w:rFonts w:eastAsia="Times New Roman"/>
    </w:rPr>
  </w:style>
  <w:style w:type="character" w:styleId="ListLabel173">
    <w:name w:val="ListLabel 173"/>
    <w:qFormat/>
    <w:rPr>
      <w:rFonts w:eastAsia="Times New Roman"/>
    </w:rPr>
  </w:style>
  <w:style w:type="character" w:styleId="ListLabel174">
    <w:name w:val="ListLabel 174"/>
    <w:qFormat/>
    <w:rPr>
      <w:rFonts w:eastAsia="Times New Roman"/>
    </w:rPr>
  </w:style>
  <w:style w:type="character" w:styleId="ListLabel175">
    <w:name w:val="ListLabel 175"/>
    <w:qFormat/>
    <w:rPr>
      <w:rFonts w:eastAsia="Times New Roman"/>
    </w:rPr>
  </w:style>
  <w:style w:type="character" w:styleId="ListLabel176">
    <w:name w:val="ListLabel 176"/>
    <w:qFormat/>
    <w:rPr>
      <w:rFonts w:eastAsia="Times New Roman"/>
    </w:rPr>
  </w:style>
  <w:style w:type="character" w:styleId="ListLabel177">
    <w:name w:val="ListLabel 177"/>
    <w:qFormat/>
    <w:rPr>
      <w:rFonts w:eastAsia="Times New Roman"/>
    </w:rPr>
  </w:style>
  <w:style w:type="character" w:styleId="ListLabel178">
    <w:name w:val="ListLabel 178"/>
    <w:qFormat/>
    <w:rPr>
      <w:rFonts w:eastAsia="Times New Roman"/>
      <w:b w:val="false"/>
      <w:sz w:val="22"/>
    </w:rPr>
  </w:style>
  <w:style w:type="character" w:styleId="ListLabel179">
    <w:name w:val="ListLabel 179"/>
    <w:qFormat/>
    <w:rPr>
      <w:rFonts w:eastAsia="Times New Roman"/>
    </w:rPr>
  </w:style>
  <w:style w:type="character" w:styleId="ListLabel180">
    <w:name w:val="ListLabel 180"/>
    <w:qFormat/>
    <w:rPr>
      <w:rFonts w:eastAsia="Times New Roman"/>
    </w:rPr>
  </w:style>
  <w:style w:type="character" w:styleId="ListLabel181">
    <w:name w:val="ListLabel 181"/>
    <w:qFormat/>
    <w:rPr>
      <w:rFonts w:eastAsia="Times New Roman"/>
    </w:rPr>
  </w:style>
  <w:style w:type="character" w:styleId="ListLabel182">
    <w:name w:val="ListLabel 182"/>
    <w:qFormat/>
    <w:rPr>
      <w:rFonts w:eastAsia="Times New Roman"/>
    </w:rPr>
  </w:style>
  <w:style w:type="character" w:styleId="ListLabel183">
    <w:name w:val="ListLabel 183"/>
    <w:qFormat/>
    <w:rPr>
      <w:rFonts w:eastAsia="Times New Roman"/>
    </w:rPr>
  </w:style>
  <w:style w:type="character" w:styleId="ListLabel184">
    <w:name w:val="ListLabel 184"/>
    <w:qFormat/>
    <w:rPr>
      <w:rFonts w:eastAsia="Times New Roman"/>
    </w:rPr>
  </w:style>
  <w:style w:type="character" w:styleId="ListLabel185">
    <w:name w:val="ListLabel 185"/>
    <w:qFormat/>
    <w:rPr>
      <w:rFonts w:eastAsia="Times New Roman"/>
    </w:rPr>
  </w:style>
  <w:style w:type="character" w:styleId="ListLabel186">
    <w:name w:val="ListLabel 18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uppressAutoHyphens w:val="true"/>
      <w:bidi w:val="0"/>
      <w:spacing w:before="240" w:after="120"/>
      <w:jc w:val="left"/>
    </w:pPr>
    <w:rPr>
      <w:rFonts w:ascii="Liberation Sans" w:hAnsi="Liberation Sans" w:eastAsia="Liberation Serif"/>
      <w:color w:val="auto"/>
      <w:kern w:val="2"/>
      <w:sz w:val="28"/>
      <w:lang w:eastAsia="cs-CZ"/>
    </w:rPr>
  </w:style>
  <w:style w:type="paragraph" w:styleId="TextBody">
    <w:name w:val="Body Text"/>
    <w:basedOn w:val="Normal"/>
    <w:pPr>
      <w:widowControl/>
      <w:suppressAutoHyphens w:val="true"/>
      <w:bidi w:val="0"/>
      <w:spacing w:lineRule="auto" w:line="276" w:before="0" w:after="140"/>
      <w:jc w:val="left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List">
    <w:name w:val="List"/>
    <w:basedOn w:val="TextBody"/>
    <w:pPr>
      <w:widowControl/>
      <w:suppressAutoHyphens w:val="true"/>
      <w:bidi w:val="0"/>
      <w:spacing w:lineRule="auto" w:line="276" w:before="0" w:after="140"/>
      <w:jc w:val="left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Caption">
    <w:name w:val="Caption"/>
    <w:basedOn w:val="Normal"/>
    <w:qFormat/>
    <w:pPr>
      <w:widowControl/>
      <w:suppressAutoHyphens w:val="true"/>
      <w:bidi w:val="0"/>
      <w:spacing w:before="120" w:after="120"/>
      <w:jc w:val="left"/>
    </w:pPr>
    <w:rPr>
      <w:rFonts w:ascii="Liberation Serif" w:hAnsi="Liberation Serif" w:eastAsia="Liberation Serif"/>
      <w:i/>
      <w:color w:val="auto"/>
      <w:kern w:val="2"/>
      <w:sz w:val="24"/>
      <w:lang w:eastAsia="cs-CZ"/>
    </w:rPr>
  </w:style>
  <w:style w:type="paragraph" w:styleId="Index">
    <w:name w:val="Index"/>
    <w:basedOn w:val="Normal"/>
    <w:qFormat/>
    <w:pPr>
      <w:widowControl/>
      <w:suppressAutoHyphens w:val="true"/>
      <w:bidi w:val="0"/>
      <w:jc w:val="left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Normalpodnadpis">
    <w:name w:val="Normal,podnadpis"/>
    <w:qFormat/>
    <w:pPr>
      <w:widowControl/>
      <w:suppressAutoHyphens w:val="true"/>
      <w:bidi w:val="0"/>
      <w:spacing w:lineRule="auto" w:line="360" w:before="120" w:after="12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0"/>
      <w:szCs w:val="24"/>
      <w:lang w:val="sk-SK" w:eastAsia="hi-IN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uppressAutoHyphens w:val="true"/>
      <w:bidi w:val="0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bidi w:val="0"/>
      <w:jc w:val="left"/>
      <w:textAlignment w:val="auto"/>
    </w:pPr>
    <w:rPr>
      <w:rFonts w:ascii="Times New Roman" w:hAnsi="Times New Roman" w:eastAsia="Liberation Serif" w:cs="Liberation Serif"/>
      <w:color w:val="auto"/>
      <w:kern w:val="2"/>
      <w:sz w:val="20"/>
      <w:szCs w:val="24"/>
      <w:lang w:val="cs-CZ" w:eastAsia="hi-IN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bidi w:val="0"/>
      <w:spacing w:lineRule="auto" w:line="360"/>
      <w:jc w:val="both"/>
      <w:textAlignment w:val="auto"/>
    </w:pPr>
    <w:rPr>
      <w:rFonts w:ascii="Arial" w:hAnsi="Arial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uppressAutoHyphens w:val="true"/>
      <w:bidi w:val="0"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bidi w:val="0"/>
      <w:spacing w:before="120" w:after="120"/>
      <w:jc w:val="left"/>
      <w:textAlignment w:val="auto"/>
    </w:pPr>
    <w:rPr>
      <w:rFonts w:ascii="Arial" w:hAnsi="Arial" w:eastAsia="Liberation Serif" w:cs="Liberation Serif"/>
      <w:b/>
      <w:color w:val="auto"/>
      <w:kern w:val="2"/>
      <w:sz w:val="24"/>
      <w:szCs w:val="24"/>
      <w:lang w:val="sk-SK" w:eastAsia="hi-IN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bidi w:val="0"/>
      <w:jc w:val="both"/>
      <w:textAlignment w:val="auto"/>
    </w:pPr>
    <w:rPr>
      <w:rFonts w:ascii="Arial" w:hAnsi="Arial" w:eastAsia="Liberation Serif" w:cs="Liberation Serif"/>
      <w:color w:val="auto"/>
      <w:kern w:val="2"/>
      <w:sz w:val="16"/>
      <w:szCs w:val="24"/>
      <w:lang w:val="sk-SK" w:eastAsia="hi-IN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uppressAutoHyphens w:val="true"/>
      <w:bidi w:val="0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suppressAutoHyphens w:val="true"/>
      <w:bidi w:val="0"/>
      <w:jc w:val="left"/>
      <w:textAlignment w:val="auto"/>
    </w:pPr>
    <w:rPr>
      <w:rFonts w:ascii="Arial" w:hAnsi="Arial" w:eastAsia="Liberation Serif"/>
      <w:color w:val="auto"/>
      <w:kern w:val="2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bidi w:val="0"/>
      <w:spacing w:lineRule="auto" w:line="360" w:before="120" w:after="120"/>
      <w:ind w:firstLine="709"/>
      <w:jc w:val="both"/>
      <w:textAlignment w:val="auto"/>
    </w:pPr>
    <w:rPr>
      <w:rFonts w:ascii="Arial" w:hAnsi="Arial" w:eastAsia="Liberation Serif" w:cs="Liberation Serif"/>
      <w:color w:val="auto"/>
      <w:kern w:val="2"/>
      <w:sz w:val="24"/>
      <w:szCs w:val="24"/>
      <w:lang w:val="sk-SK" w:eastAsia="hi-IN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bidi w:val="0"/>
      <w:spacing w:before="120" w:after="120"/>
      <w:ind w:left="1440" w:hanging="36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2"/>
      <w:szCs w:val="24"/>
      <w:lang w:val="sk-SK" w:eastAsia="hi-IN" w:bidi="hi-IN"/>
    </w:rPr>
  </w:style>
  <w:style w:type="paragraph" w:styleId="TopHeader">
    <w:name w:val="Top Header"/>
    <w:basedOn w:val="Normalpodnadpis"/>
    <w:qFormat/>
    <w:pPr>
      <w:widowControl/>
      <w:suppressAutoHyphens w:val="true"/>
      <w:bidi w:val="0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uppressAutoHyphens w:val="true"/>
      <w:bidi w:val="0"/>
      <w:spacing w:lineRule="auto" w:line="360" w:before="120" w:after="120"/>
      <w:jc w:val="both"/>
      <w:textAlignment w:val="auto"/>
    </w:pPr>
    <w:rPr>
      <w:rFonts w:ascii="Tahoma" w:hAnsi="Tahoma" w:eastAsia="Liberation Serif"/>
      <w:color w:val="auto"/>
      <w:kern w:val="2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uppressAutoHyphens w:val="true"/>
      <w:bidi w:val="0"/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bidi w:val="0"/>
      <w:jc w:val="left"/>
      <w:textAlignment w:val="auto"/>
    </w:pPr>
    <w:rPr>
      <w:rFonts w:ascii="Times New Roman" w:hAnsi="Times New Roman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uppressAutoHyphens w:val="true"/>
      <w:bidi w:val="0"/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Liberation Serif"/>
      <w:b/>
      <w:i/>
      <w:color w:val="auto"/>
      <w:kern w:val="2"/>
      <w:sz w:val="20"/>
      <w:lang w:val="sk-SK" w:eastAsia="cs-CZ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uppressAutoHyphens w:val="true"/>
      <w:bidi w:val="0"/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Liberation Serif"/>
      <w:b/>
      <w:caps/>
      <w:color w:val="auto"/>
      <w:kern w:val="2"/>
      <w:sz w:val="18"/>
      <w:lang w:val="sk-SK" w:eastAsia="cs-CZ"/>
    </w:rPr>
  </w:style>
  <w:style w:type="paragraph" w:styleId="ListParagraph">
    <w:name w:val="List Paragraph"/>
    <w:basedOn w:val="Normalpodnadpis"/>
    <w:qFormat/>
    <w:pPr>
      <w:widowControl/>
      <w:suppressAutoHyphens w:val="true"/>
      <w:bidi w:val="0"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  <w:suppressAutoHyphens w:val="true"/>
      <w:bidi w:val="0"/>
      <w:jc w:val="left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Contents">
    <w:name w:val="Table Contents"/>
    <w:basedOn w:val="Normal"/>
    <w:qFormat/>
    <w:pPr>
      <w:widowControl/>
      <w:suppressAutoHyphens w:val="true"/>
      <w:bidi w:val="0"/>
      <w:jc w:val="left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Heading">
    <w:name w:val="Table Heading"/>
    <w:basedOn w:val="TableContents"/>
    <w:qFormat/>
    <w:pPr>
      <w:widowControl/>
      <w:suppressAutoHyphens w:val="true"/>
      <w:bidi w:val="0"/>
      <w:jc w:val="center"/>
    </w:pPr>
    <w:rPr>
      <w:rFonts w:ascii="Liberation Serif" w:hAnsi="Liberation Serif" w:eastAsia="Liberation Serif"/>
      <w:b/>
      <w:color w:val="auto"/>
      <w:kern w:val="2"/>
      <w:sz w:val="24"/>
      <w:lang w:eastAsia="cs-CZ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LibreOffice/6.2.3.2$Windows_X86_64 LibreOffice_project/aecc05fe267cc68dde00352a451aa867b3b546ac</Application>
  <Pages>5</Pages>
  <Words>1004</Words>
  <Characters>6211</Characters>
  <CharactersWithSpaces>7107</CharactersWithSpaces>
  <Paragraphs>158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2020-06-30T16:16:03Z</dcterms:modified>
  <cp:revision>2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