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GENUS AKG, s.r.o.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Sídlo: 977 01 Brezno, Židlovo 2670/32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 xml:space="preserve">             </w:t>
      </w: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 xml:space="preserve">Účtovná jednotka nie je členom konsolidovaného celku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16">
                <wp:simplePos x="0" y="0"/>
                <wp:positionH relativeFrom="column">
                  <wp:posOffset>433705</wp:posOffset>
                </wp:positionH>
                <wp:positionV relativeFrom="paragraph">
                  <wp:posOffset>196215</wp:posOffset>
                </wp:positionV>
                <wp:extent cx="3751580" cy="15875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0840" cy="756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5.2pt" to="329.45pt,15.75pt" ID="Rovná spojnica 1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2138908839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17">
                <wp:simplePos x="0" y="0"/>
                <wp:positionH relativeFrom="column">
                  <wp:posOffset>438150</wp:posOffset>
                </wp:positionH>
                <wp:positionV relativeFrom="paragraph">
                  <wp:posOffset>178435</wp:posOffset>
                </wp:positionV>
                <wp:extent cx="3751580" cy="15875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0840" cy="756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8pt" to="329.8pt,14.35pt" ID="Rovná spojnica 5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003484872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78" w:type="dxa"/>
        <w:tblCellMar>
          <w:top w:w="0" w:type="dxa"/>
          <w:left w:w="63" w:type="dxa"/>
          <w:bottom w:w="0" w:type="dxa"/>
          <w:right w:w="108" w:type="dxa"/>
        </w:tblCellMar>
        <w:tblLook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78" w:type="dxa"/>
        <w:tblCellMar>
          <w:top w:w="0" w:type="dxa"/>
          <w:left w:w="63" w:type="dxa"/>
          <w:bottom w:w="0" w:type="dxa"/>
          <w:right w:w="108" w:type="dxa"/>
        </w:tblCellMar>
        <w:tblLook w:val="04a0"/>
      </w:tblPr>
      <w:tblGrid>
        <w:gridCol w:w="4115"/>
        <w:gridCol w:w="2407"/>
        <w:gridCol w:w="2550"/>
      </w:tblGrid>
      <w:tr>
        <w:trPr/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sdt>
        <w:sdtPr>
          <w:id w:val="1713600683"/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</w:rPr>
            <w:t>X</w:t>
          </w:r>
          <w:r>
            <w:rPr>
              <w:rFonts w:eastAsia="MS Gothic" w:cs="Times New Roman" w:ascii="Times New Roman" w:hAnsi="Times New Roman"/>
              <w:b/>
              <w:sz w:val="32"/>
              <w:szCs w:val="24"/>
            </w:rPr>
            <w:t xml:space="preserve"> 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sdt>
        <w:sdtPr>
          <w:id w:val="444064409"/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eastAsia="MS Gothic" w:cs="Times New Roman" w:ascii="Times New Roman" w:hAnsi="Times New Roman"/>
          <w:b/>
          <w:sz w:val="24"/>
          <w:szCs w:val="24"/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val="04a0"/>
      </w:tblPr>
      <w:tblGrid>
        <w:gridCol w:w="3825"/>
        <w:gridCol w:w="2547"/>
        <w:gridCol w:w="2685"/>
      </w:tblGrid>
      <w:tr>
        <w:trPr/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Nebol obstaraný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Nevznikli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Nebol obstaraný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Nevznikli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Nebol obstaraný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Nevznikli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Cenou obstarania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Nákupnou cenou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Neboli obstarané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Nevznikli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Cenou obstarania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Cenou obstarania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Cenou obstarania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Menovitou hodnotou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Neboli obstarané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Nevznikli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            </w:t>
      </w: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 xml:space="preserve">Účtovná jednotka neúčtuje o dlhodobom majetku, ani o odpisoch         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sdt>
        <w:sdtPr>
          <w:id w:val="1861475983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18">
                <wp:simplePos x="0" y="0"/>
                <wp:positionH relativeFrom="column">
                  <wp:posOffset>428625</wp:posOffset>
                </wp:positionH>
                <wp:positionV relativeFrom="paragraph">
                  <wp:posOffset>568960</wp:posOffset>
                </wp:positionV>
                <wp:extent cx="3751580" cy="15875"/>
                <wp:effectExtent l="0" t="0" r="0" b="0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0840" cy="756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4.55pt" to="329.05pt,45.1pt" ID="Rovná spojnica 10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eastAsia="MS Gothic" w:cs="Segoe UI Symbol" w:ascii="Segoe UI Symbol" w:hAnsi="Segoe UI Symbol"/>
          <w:b/>
          <w:sz w:val="32"/>
          <w:szCs w:val="24"/>
        </w:rPr>
        <w:t>☐</w:t>
      </w:r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</w:rPr>
      </w:pPr>
      <w:sdt>
        <w:sdtPr>
          <w:id w:val="1627711516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</w:rPr>
      </w:pPr>
      <w:sdt>
        <w:sdtPr>
          <w:id w:val="491859627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 xml:space="preserve">Účtovné metódy a zásady boli aplikované v rámci platného zákona o účtovníctve počas </w:t>
        <w:tab/>
        <w:t>celého účtovného obdobia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Neboli poskytnuté</w:t>
      </w:r>
    </w:p>
    <w:tbl>
      <w:tblPr>
        <w:tblStyle w:val="Mriekatabuky"/>
        <w:tblW w:w="906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20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 xml:space="preserve">vykonaných v bežnom účtovnom období: 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Neúčtuje sa o takých opravách</w:t>
      </w:r>
    </w:p>
    <w:tbl>
      <w:tblPr>
        <w:tblStyle w:val="Mriekatabuky"/>
        <w:tblW w:w="906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Popis chyby a vplyvu opravy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 xml:space="preserve">Informácie o sume a dôvodoch vzniku jednotlivých položiek nákladov alebo </w:t>
        <w:tab/>
        <w:t xml:space="preserve">výnosov, ktoré majú výnimočný rozsah alebo výskyt: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Neúčtuje sa o výnimočných výnosoch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2.a)</w:t>
        <w:tab/>
        <w:t xml:space="preserve">Informácie o záväzkoch: 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193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1153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193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1153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2.b)</w:t>
        <w:tab/>
        <w:t xml:space="preserve">Hodnota záväzkov zabezpečená záložným právom: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Neúčtuje sa o takých záväzkoch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3. </w:t>
        <w:tab/>
        <w:t xml:space="preserve">Informácie o vlastných akciách: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Neúčtuje sa o akciách</w:t>
      </w:r>
    </w:p>
    <w:tbl>
      <w:tblPr>
        <w:tblStyle w:val="Mriekatabuky"/>
        <w:tblW w:w="9041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val="04a0"/>
      </w:tblPr>
      <w:tblGrid>
        <w:gridCol w:w="1810"/>
        <w:gridCol w:w="1581"/>
        <w:gridCol w:w="2119"/>
        <w:gridCol w:w="1975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restart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 </w:t>
        <w:tab/>
        <w:t xml:space="preserve">Informácie o orgánoch účtovnej jednotky: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Členom orgánov spoločnosti neboli poskytnuté záruky, pôžičky ani finančné prostriedky na súkromné účely</w:t>
      </w:r>
    </w:p>
    <w:tbl>
      <w:tblPr>
        <w:tblStyle w:val="Mriekatabuky"/>
        <w:tblW w:w="9173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val="04a0"/>
      </w:tblPr>
      <w:tblGrid>
        <w:gridCol w:w="1814"/>
        <w:gridCol w:w="1305"/>
        <w:gridCol w:w="1133"/>
        <w:gridCol w:w="1113"/>
        <w:gridCol w:w="1305"/>
        <w:gridCol w:w="1276"/>
        <w:gridCol w:w="1226"/>
      </w:tblGrid>
      <w:tr>
        <w:trPr>
          <w:trHeight w:val="828" w:hRule="atLeast"/>
        </w:trPr>
        <w:tc>
          <w:tcPr>
            <w:tcW w:w="18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>
        <w:trPr/>
        <w:tc>
          <w:tcPr>
            <w:tcW w:w="18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8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1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1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2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699" w:hRule="atLeast"/>
        </w:trPr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1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2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694" w:hRule="atLeast"/>
        </w:trPr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1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2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4.d) </w:t>
        <w:tab/>
        <w:t xml:space="preserve">Hlavné podmienky, na základe ktorých boli záruky alebo iné zabezpečenia </w:t>
        <w:tab/>
        <w:t xml:space="preserve">poskytnuté (pri pôžičkách sa uvádzajú úrokové sadzby):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Neboli poskytnuté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6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val="04a0"/>
      </w:tblPr>
      <w:tblGrid>
        <w:gridCol w:w="3823"/>
        <w:gridCol w:w="2551"/>
        <w:gridCol w:w="2688"/>
      </w:tblGrid>
      <w:tr>
        <w:trPr/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>
        <w:trPr/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Opis významných finančných povinností: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Účtovná jednotka nemá finančné povinnosti, ktoré sa nevykazujú v súvahe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</w:rPr>
      </w:pPr>
      <w:r>
        <w:rPr>
          <w:rFonts w:eastAsia="MS Gothic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5.b) </w:t>
        <w:tab/>
        <w:t>Informácie o významných podmienených záväzkoch</w:t>
      </w:r>
    </w:p>
    <w:tbl>
      <w:tblPr>
        <w:tblStyle w:val="Mriekatabuky"/>
        <w:tblW w:w="906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i/>
          <w:i/>
          <w:color w:val="000000"/>
          <w:sz w:val="24"/>
          <w:szCs w:val="24"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 xml:space="preserve">Opis významných podmienených záväzkov: </w:t>
      </w:r>
      <w:r>
        <w:rPr>
          <w:rFonts w:eastAsia="Times New Roman" w:cs="Times New Roman" w:ascii="Times New Roman" w:hAnsi="Times New Roman"/>
          <w:b/>
          <w:bCs/>
          <w:i/>
          <w:color w:val="000000"/>
          <w:sz w:val="24"/>
          <w:szCs w:val="24"/>
          <w:u w:val="single"/>
          <w:lang w:eastAsia="sk-SK"/>
        </w:rPr>
        <w:t>Účtovná jednotka neúčtuje o 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</w:rPr>
      </w:pPr>
      <w:r>
        <w:rPr>
          <w:rFonts w:eastAsia="MS Gothic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i/>
          <w:i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5.e)</w:t>
        <w:tab/>
        <w:t xml:space="preserve">Opis významných povinností účtovnej jednotky vyplývajúcich z dôchodkových </w:t>
        <w:tab/>
        <w:t xml:space="preserve">programov pre zamestnancov: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Účtovná jednotka nemá povinnosti vyplývajúce z dôchodkových programov zamestnancov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i/>
          <w:i/>
          <w:sz w:val="24"/>
          <w:szCs w:val="24"/>
          <w:u w:val="single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 xml:space="preserve">činnosť v akejkoľvek forme): </w:t>
      </w:r>
      <w:r>
        <w:rPr>
          <w:rFonts w:eastAsia="MS Gothic" w:cs="Times New Roman" w:ascii="Times New Roman" w:hAnsi="Times New Roman"/>
          <w:b/>
          <w:i/>
          <w:sz w:val="24"/>
          <w:szCs w:val="24"/>
          <w:u w:val="single"/>
        </w:rPr>
        <w:t>Účtovná jednotka nemá udelené právo poskytovať služby  vo verejnom záujme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19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8290" cy="343535"/>
                <wp:effectExtent l="0" t="0" r="0" b="0"/>
                <wp:wrapSquare wrapText="bothSides"/>
                <wp:docPr id="4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80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stroked="f" style="position:absolute;margin-left:347.55pt;margin-top:24.8pt;width:222.6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165.4pt;margin-top:-0.9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178.9pt;margin-top:-0.9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192.4pt;margin-top:-0.9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205.9pt;margin-top:-0.9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219.4pt;margin-top:-0.9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232.9pt;margin-top:-0.9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3990" cy="202565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246.15pt;margin-top:-1.05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0" b="0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259.9pt;margin-top:-0.9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0" b="0"/>
              <wp:wrapNone/>
              <wp:docPr id="2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42.5pt;margin-top:-1.05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0" b="0"/>
              <wp:wrapNone/>
              <wp:docPr id="2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56pt;margin-top:-1.05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0" b="0"/>
              <wp:wrapNone/>
              <wp:docPr id="2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69.5pt;margin-top:-1.05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0" b="0"/>
              <wp:wrapNone/>
              <wp:docPr id="2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83pt;margin-top:-1.05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9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0" b="0"/>
              <wp:wrapNone/>
              <wp:docPr id="3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96.5pt;margin-top:-1.05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0" b="0"/>
              <wp:wrapNone/>
              <wp:docPr id="3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410.25pt;margin-top:-0.9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0" b="0"/>
              <wp:wrapNone/>
              <wp:docPr id="3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423.75pt;margin-top:-0.9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0" b="0"/>
              <wp:wrapNone/>
              <wp:docPr id="3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437.25pt;margin-top:-0.9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3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0" b="0"/>
              <wp:wrapNone/>
              <wp:docPr id="3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15.4pt;margin-top:-1.05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0" b="0"/>
              <wp:wrapNone/>
              <wp:docPr id="4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style="position:absolute;margin-left:328.9pt;margin-top:-1.05pt;width:13.6pt;height:15.8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5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3220" cy="191770"/>
              <wp:effectExtent l="0" t="0" r="0" b="0"/>
              <wp:wrapNone/>
              <wp:docPr id="4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2520" cy="191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style="position:absolute;margin-left:283.9pt;margin-top:-0.9pt;width:28.5pt;height:15pt">
              <w10:wrap type="squar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f2c8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92908-1CD5-461B-AFA9-0B1AE35C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LibreOffice/5.1.1.3$Windows_x86 LibreOffice_project/89f508ef3ecebd2cfb8e1def0f0ba9a803b88a6d</Application>
  <Pages>6</Pages>
  <Words>977</Words>
  <Characters>6162</Characters>
  <CharactersWithSpaces>7084</CharactersWithSpaces>
  <Paragraphs>192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2020-06-30T16:13:00Z</dcterms:created>
  <dc:creator>Martin T</dc:creator>
  <dc:description/>
  <dc:language>sk-SK</dc:language>
  <cp:lastModifiedBy/>
  <cp:lastPrinted>2016-01-13T16:38:00Z</cp:lastPrinted>
  <dcterms:modified xsi:type="dcterms:W3CDTF">2020-07-14T12:52:48Z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