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4BA8E" w14:textId="77777777" w:rsidR="00C75CCF" w:rsidRPr="00226892" w:rsidRDefault="00C75CCF" w:rsidP="00B31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napToGrid w:val="0"/>
          <w:color w:val="000080"/>
          <w:sz w:val="18"/>
          <w:szCs w:val="18"/>
        </w:rPr>
      </w:pPr>
    </w:p>
    <w:p w14:paraId="43C5D179" w14:textId="77777777" w:rsidR="00C75CCF" w:rsidRPr="00226892" w:rsidRDefault="00C75CCF" w:rsidP="00B31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napToGrid w:val="0"/>
          <w:color w:val="000080"/>
          <w:sz w:val="18"/>
          <w:szCs w:val="18"/>
        </w:rPr>
      </w:pPr>
    </w:p>
    <w:p w14:paraId="1701DA6A" w14:textId="77777777" w:rsidR="00C75CCF" w:rsidRPr="00226892" w:rsidRDefault="00C75CCF" w:rsidP="00B31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80"/>
          <w:sz w:val="18"/>
          <w:szCs w:val="18"/>
        </w:rPr>
      </w:pPr>
    </w:p>
    <w:p w14:paraId="3D24C49D" w14:textId="77777777" w:rsidR="00C75CCF" w:rsidRPr="00226892" w:rsidRDefault="00C75CCF" w:rsidP="00B31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80"/>
          <w:sz w:val="18"/>
          <w:szCs w:val="18"/>
        </w:rPr>
      </w:pPr>
    </w:p>
    <w:p w14:paraId="4697860A" w14:textId="77777777" w:rsidR="00C75CCF" w:rsidRPr="00226892" w:rsidRDefault="00B9263D" w:rsidP="00B312CE">
      <w:pPr>
        <w:tabs>
          <w:tab w:val="left" w:pos="2550"/>
          <w:tab w:val="left" w:pos="2880"/>
          <w:tab w:val="left" w:pos="3600"/>
          <w:tab w:val="left" w:pos="4320"/>
          <w:tab w:val="left" w:pos="5040"/>
          <w:tab w:val="left" w:pos="5760"/>
          <w:tab w:val="left" w:pos="6480"/>
          <w:tab w:val="left" w:pos="7200"/>
          <w:tab w:val="left" w:pos="7920"/>
          <w:tab w:val="left" w:pos="8640"/>
        </w:tabs>
        <w:suppressAutoHyphens/>
        <w:ind w:left="2550" w:hanging="2550"/>
        <w:jc w:val="both"/>
        <w:rPr>
          <w:rFonts w:ascii="Arial" w:hAnsi="Arial" w:cs="Arial"/>
          <w:snapToGrid w:val="0"/>
          <w:color w:val="000080"/>
          <w:sz w:val="18"/>
          <w:szCs w:val="18"/>
        </w:rPr>
      </w:pPr>
      <w:r w:rsidRPr="00226892">
        <w:rPr>
          <w:rFonts w:ascii="Arial" w:hAnsi="Arial" w:cs="Arial"/>
          <w:snapToGrid w:val="0"/>
          <w:color w:val="000080"/>
          <w:sz w:val="18"/>
          <w:szCs w:val="18"/>
        </w:rPr>
        <w:tab/>
      </w:r>
      <w:r w:rsidRPr="00226892">
        <w:rPr>
          <w:rFonts w:ascii="Arial" w:hAnsi="Arial" w:cs="Arial"/>
          <w:snapToGrid w:val="0"/>
          <w:color w:val="000080"/>
          <w:sz w:val="18"/>
          <w:szCs w:val="18"/>
        </w:rPr>
        <w:tab/>
      </w:r>
      <w:r w:rsidRPr="00226892">
        <w:rPr>
          <w:rFonts w:ascii="Arial" w:hAnsi="Arial" w:cs="Arial"/>
          <w:snapToGrid w:val="0"/>
          <w:color w:val="000080"/>
          <w:sz w:val="18"/>
          <w:szCs w:val="18"/>
        </w:rPr>
        <w:tab/>
      </w:r>
    </w:p>
    <w:p w14:paraId="3DFE00A7" w14:textId="77777777" w:rsidR="00C75CCF" w:rsidRPr="00226892" w:rsidRDefault="00C75CCF" w:rsidP="00B31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80"/>
          <w:sz w:val="18"/>
          <w:szCs w:val="18"/>
        </w:rPr>
      </w:pPr>
    </w:p>
    <w:p w14:paraId="546BEA66" w14:textId="77777777" w:rsidR="00C75CCF" w:rsidRPr="00226892" w:rsidRDefault="00C75CCF" w:rsidP="00B31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80"/>
          <w:sz w:val="18"/>
          <w:szCs w:val="18"/>
        </w:rPr>
      </w:pPr>
    </w:p>
    <w:p w14:paraId="4B0C1BD4" w14:textId="77777777" w:rsidR="00C75CCF" w:rsidRPr="00226892" w:rsidRDefault="00C75CCF" w:rsidP="00B31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snapToGrid w:val="0"/>
          <w:color w:val="000080"/>
          <w:sz w:val="18"/>
          <w:szCs w:val="18"/>
        </w:rPr>
      </w:pPr>
    </w:p>
    <w:p w14:paraId="2A946683" w14:textId="04E35292" w:rsidR="00302C89" w:rsidRPr="00226892" w:rsidRDefault="00302C89" w:rsidP="00302C89">
      <w:pPr>
        <w:tabs>
          <w:tab w:val="left" w:pos="658"/>
          <w:tab w:val="left" w:pos="1440"/>
          <w:tab w:val="left" w:pos="3192"/>
          <w:tab w:val="left" w:pos="3600"/>
          <w:tab w:val="left" w:pos="4320"/>
          <w:tab w:val="left" w:pos="5040"/>
          <w:tab w:val="left" w:pos="5760"/>
          <w:tab w:val="left" w:pos="6480"/>
          <w:tab w:val="left" w:pos="7200"/>
          <w:tab w:val="left" w:pos="7920"/>
          <w:tab w:val="left" w:pos="8640"/>
        </w:tabs>
        <w:suppressAutoHyphens/>
        <w:ind w:left="700" w:firstLine="14"/>
        <w:jc w:val="both"/>
        <w:rPr>
          <w:rFonts w:ascii="Arial" w:hAnsi="Arial" w:cs="Arial"/>
          <w:snapToGrid w:val="0"/>
          <w:sz w:val="28"/>
          <w:szCs w:val="28"/>
          <w:lang w:val="sk-SK"/>
        </w:rPr>
      </w:pPr>
      <w:r w:rsidRPr="00226892">
        <w:rPr>
          <w:rFonts w:ascii="Arial" w:hAnsi="Arial" w:cs="Arial"/>
          <w:b/>
          <w:snapToGrid w:val="0"/>
          <w:sz w:val="28"/>
          <w:szCs w:val="28"/>
          <w:lang w:val="sk-SK"/>
        </w:rPr>
        <w:t>MATADOR</w:t>
      </w:r>
      <w:r w:rsidR="0078035E" w:rsidRPr="00226892">
        <w:rPr>
          <w:rFonts w:ascii="Arial" w:hAnsi="Arial" w:cs="Arial"/>
          <w:b/>
          <w:snapToGrid w:val="0"/>
          <w:sz w:val="28"/>
          <w:szCs w:val="28"/>
          <w:lang w:val="sk-SK"/>
        </w:rPr>
        <w:t xml:space="preserve"> </w:t>
      </w:r>
      <w:proofErr w:type="spellStart"/>
      <w:r w:rsidR="0078035E" w:rsidRPr="00226892">
        <w:rPr>
          <w:rFonts w:ascii="Arial" w:hAnsi="Arial" w:cs="Arial"/>
          <w:b/>
          <w:snapToGrid w:val="0"/>
          <w:sz w:val="28"/>
          <w:szCs w:val="28"/>
          <w:lang w:val="sk-SK"/>
        </w:rPr>
        <w:t>Automotive</w:t>
      </w:r>
      <w:proofErr w:type="spellEnd"/>
      <w:r w:rsidR="0078035E" w:rsidRPr="00226892">
        <w:rPr>
          <w:rFonts w:ascii="Arial" w:hAnsi="Arial" w:cs="Arial"/>
          <w:b/>
          <w:snapToGrid w:val="0"/>
          <w:sz w:val="28"/>
          <w:szCs w:val="28"/>
          <w:lang w:val="sk-SK"/>
        </w:rPr>
        <w:t xml:space="preserve"> Vráble, </w:t>
      </w:r>
      <w:proofErr w:type="spellStart"/>
      <w:r w:rsidR="0078035E" w:rsidRPr="00226892">
        <w:rPr>
          <w:rFonts w:ascii="Arial" w:hAnsi="Arial" w:cs="Arial"/>
          <w:b/>
          <w:snapToGrid w:val="0"/>
          <w:sz w:val="28"/>
          <w:szCs w:val="28"/>
          <w:lang w:val="sk-SK"/>
        </w:rPr>
        <w:t>a.s</w:t>
      </w:r>
      <w:proofErr w:type="spellEnd"/>
      <w:r w:rsidR="0078035E" w:rsidRPr="00226892">
        <w:rPr>
          <w:rFonts w:ascii="Arial" w:hAnsi="Arial" w:cs="Arial"/>
          <w:b/>
          <w:snapToGrid w:val="0"/>
          <w:sz w:val="28"/>
          <w:szCs w:val="28"/>
          <w:lang w:val="sk-SK"/>
        </w:rPr>
        <w:t>.</w:t>
      </w:r>
    </w:p>
    <w:p w14:paraId="1A2D88E8" w14:textId="77777777" w:rsidR="00302C89" w:rsidRPr="00226892" w:rsidRDefault="00302C89" w:rsidP="00302C89">
      <w:pPr>
        <w:tabs>
          <w:tab w:val="left" w:pos="658"/>
          <w:tab w:val="left" w:pos="1440"/>
          <w:tab w:val="left" w:pos="3192"/>
          <w:tab w:val="left" w:pos="3600"/>
          <w:tab w:val="left" w:pos="4320"/>
          <w:tab w:val="left" w:pos="5040"/>
          <w:tab w:val="left" w:pos="5760"/>
          <w:tab w:val="left" w:pos="6480"/>
          <w:tab w:val="left" w:pos="7200"/>
          <w:tab w:val="left" w:pos="7920"/>
          <w:tab w:val="left" w:pos="8640"/>
        </w:tabs>
        <w:suppressAutoHyphens/>
        <w:ind w:left="700" w:firstLine="14"/>
        <w:jc w:val="both"/>
        <w:rPr>
          <w:rFonts w:ascii="Arial" w:hAnsi="Arial" w:cs="Arial"/>
          <w:snapToGrid w:val="0"/>
          <w:sz w:val="28"/>
          <w:szCs w:val="28"/>
          <w:lang w:val="sk-SK"/>
        </w:rPr>
      </w:pPr>
    </w:p>
    <w:p w14:paraId="5FE9F389" w14:textId="77777777" w:rsidR="00302C89" w:rsidRPr="00226892" w:rsidRDefault="00302C89" w:rsidP="00302C89">
      <w:pPr>
        <w:tabs>
          <w:tab w:val="left" w:pos="658"/>
          <w:tab w:val="left" w:pos="1440"/>
          <w:tab w:val="left" w:pos="3192"/>
          <w:tab w:val="left" w:pos="3600"/>
          <w:tab w:val="left" w:pos="4320"/>
          <w:tab w:val="left" w:pos="5040"/>
          <w:tab w:val="left" w:pos="5760"/>
          <w:tab w:val="left" w:pos="6480"/>
          <w:tab w:val="left" w:pos="7200"/>
          <w:tab w:val="left" w:pos="7920"/>
          <w:tab w:val="left" w:pos="8640"/>
        </w:tabs>
        <w:suppressAutoHyphens/>
        <w:ind w:left="700" w:firstLine="14"/>
        <w:jc w:val="both"/>
        <w:rPr>
          <w:rFonts w:ascii="Arial" w:hAnsi="Arial" w:cs="Arial"/>
          <w:snapToGrid w:val="0"/>
          <w:sz w:val="28"/>
          <w:szCs w:val="28"/>
          <w:lang w:val="sk-SK"/>
        </w:rPr>
      </w:pPr>
      <w:r w:rsidRPr="00226892">
        <w:rPr>
          <w:rFonts w:ascii="Arial" w:hAnsi="Arial" w:cs="Arial"/>
          <w:b/>
          <w:snapToGrid w:val="0"/>
          <w:sz w:val="28"/>
          <w:szCs w:val="28"/>
          <w:lang w:val="sk-SK"/>
        </w:rPr>
        <w:t>Konsolidovaná účtovná závierka</w:t>
      </w:r>
    </w:p>
    <w:p w14:paraId="2D30C502" w14:textId="2BEA3AC1" w:rsidR="00302C89" w:rsidRPr="00226892" w:rsidRDefault="00302C89" w:rsidP="00302C89">
      <w:pPr>
        <w:tabs>
          <w:tab w:val="left" w:pos="658"/>
          <w:tab w:val="left" w:pos="1440"/>
          <w:tab w:val="left" w:pos="3192"/>
          <w:tab w:val="left" w:pos="3600"/>
          <w:tab w:val="left" w:pos="4320"/>
          <w:tab w:val="left" w:pos="5040"/>
          <w:tab w:val="left" w:pos="5760"/>
          <w:tab w:val="left" w:pos="6480"/>
          <w:tab w:val="left" w:pos="7200"/>
          <w:tab w:val="left" w:pos="7920"/>
          <w:tab w:val="left" w:pos="8640"/>
        </w:tabs>
        <w:suppressAutoHyphens/>
        <w:ind w:left="700" w:firstLine="14"/>
        <w:jc w:val="both"/>
        <w:rPr>
          <w:rFonts w:ascii="Arial" w:hAnsi="Arial" w:cs="Arial"/>
          <w:snapToGrid w:val="0"/>
          <w:sz w:val="28"/>
          <w:szCs w:val="28"/>
          <w:lang w:val="sk-SK"/>
        </w:rPr>
      </w:pPr>
      <w:r w:rsidRPr="00226892">
        <w:rPr>
          <w:rFonts w:ascii="Arial" w:hAnsi="Arial" w:cs="Arial"/>
          <w:b/>
          <w:snapToGrid w:val="0"/>
          <w:sz w:val="28"/>
          <w:szCs w:val="28"/>
          <w:lang w:val="sk-SK"/>
        </w:rPr>
        <w:t xml:space="preserve">k 31. decembru </w:t>
      </w:r>
      <w:r w:rsidR="00FD3AC5" w:rsidRPr="00226892">
        <w:rPr>
          <w:rFonts w:ascii="Arial" w:hAnsi="Arial" w:cs="Arial"/>
          <w:b/>
          <w:snapToGrid w:val="0"/>
          <w:sz w:val="28"/>
          <w:szCs w:val="28"/>
          <w:lang w:val="sk-SK"/>
        </w:rPr>
        <w:t>2018</w:t>
      </w:r>
    </w:p>
    <w:p w14:paraId="4302A954" w14:textId="77777777" w:rsidR="00302C89" w:rsidRPr="00226892" w:rsidRDefault="00302C89" w:rsidP="00302C89">
      <w:pPr>
        <w:tabs>
          <w:tab w:val="left" w:pos="658"/>
          <w:tab w:val="left" w:pos="1440"/>
          <w:tab w:val="left" w:pos="3192"/>
          <w:tab w:val="left" w:pos="3600"/>
          <w:tab w:val="left" w:pos="4320"/>
          <w:tab w:val="left" w:pos="5040"/>
          <w:tab w:val="left" w:pos="5760"/>
          <w:tab w:val="left" w:pos="6480"/>
          <w:tab w:val="left" w:pos="7200"/>
          <w:tab w:val="left" w:pos="7920"/>
          <w:tab w:val="left" w:pos="8640"/>
        </w:tabs>
        <w:suppressAutoHyphens/>
        <w:ind w:left="700" w:firstLine="14"/>
        <w:jc w:val="both"/>
        <w:rPr>
          <w:rFonts w:ascii="Arial" w:hAnsi="Arial" w:cs="Arial"/>
          <w:snapToGrid w:val="0"/>
          <w:sz w:val="28"/>
          <w:szCs w:val="28"/>
          <w:lang w:val="sk-SK"/>
        </w:rPr>
      </w:pPr>
    </w:p>
    <w:p w14:paraId="5826DFEB" w14:textId="77777777" w:rsidR="00302C89" w:rsidRPr="00226892" w:rsidRDefault="00302C89" w:rsidP="00302C89">
      <w:pPr>
        <w:tabs>
          <w:tab w:val="left" w:pos="658"/>
          <w:tab w:val="left" w:pos="1440"/>
          <w:tab w:val="left" w:pos="3192"/>
          <w:tab w:val="left" w:pos="3600"/>
          <w:tab w:val="left" w:pos="4320"/>
          <w:tab w:val="left" w:pos="5040"/>
          <w:tab w:val="left" w:pos="5760"/>
          <w:tab w:val="left" w:pos="6480"/>
          <w:tab w:val="left" w:pos="7200"/>
          <w:tab w:val="left" w:pos="7920"/>
          <w:tab w:val="left" w:pos="8640"/>
        </w:tabs>
        <w:suppressAutoHyphens/>
        <w:ind w:left="700" w:firstLine="14"/>
        <w:jc w:val="both"/>
        <w:rPr>
          <w:rFonts w:ascii="Arial" w:hAnsi="Arial" w:cs="Arial"/>
          <w:b/>
          <w:snapToGrid w:val="0"/>
          <w:sz w:val="28"/>
          <w:szCs w:val="28"/>
          <w:lang w:val="sk-SK"/>
        </w:rPr>
      </w:pPr>
      <w:r w:rsidRPr="00226892">
        <w:rPr>
          <w:rFonts w:ascii="Arial" w:hAnsi="Arial" w:cs="Arial"/>
          <w:b/>
          <w:snapToGrid w:val="0"/>
          <w:sz w:val="28"/>
          <w:szCs w:val="28"/>
          <w:lang w:val="sk-SK"/>
        </w:rPr>
        <w:t xml:space="preserve">zostavená podľa </w:t>
      </w:r>
    </w:p>
    <w:p w14:paraId="6A8392E7" w14:textId="77777777" w:rsidR="00302C89" w:rsidRPr="00226892" w:rsidRDefault="00302C89" w:rsidP="00302C89">
      <w:pPr>
        <w:tabs>
          <w:tab w:val="left" w:pos="658"/>
          <w:tab w:val="left" w:pos="1440"/>
          <w:tab w:val="left" w:pos="3192"/>
          <w:tab w:val="left" w:pos="3600"/>
          <w:tab w:val="left" w:pos="4320"/>
          <w:tab w:val="left" w:pos="5040"/>
          <w:tab w:val="left" w:pos="5760"/>
          <w:tab w:val="left" w:pos="6480"/>
          <w:tab w:val="left" w:pos="7200"/>
          <w:tab w:val="left" w:pos="7920"/>
          <w:tab w:val="left" w:pos="8640"/>
        </w:tabs>
        <w:suppressAutoHyphens/>
        <w:ind w:left="700" w:firstLine="14"/>
        <w:jc w:val="both"/>
        <w:rPr>
          <w:rFonts w:ascii="Arial" w:hAnsi="Arial" w:cs="Arial"/>
          <w:b/>
          <w:snapToGrid w:val="0"/>
          <w:sz w:val="28"/>
          <w:szCs w:val="28"/>
          <w:lang w:val="sk-SK"/>
        </w:rPr>
      </w:pPr>
      <w:r w:rsidRPr="00226892">
        <w:rPr>
          <w:rFonts w:ascii="Arial" w:hAnsi="Arial" w:cs="Arial"/>
          <w:b/>
          <w:snapToGrid w:val="0"/>
          <w:sz w:val="28"/>
          <w:szCs w:val="28"/>
          <w:lang w:val="sk-SK"/>
        </w:rPr>
        <w:t>Medzinárodných štandardov pre finančné</w:t>
      </w:r>
    </w:p>
    <w:p w14:paraId="54A7AAF7" w14:textId="77777777" w:rsidR="00302C89" w:rsidRPr="00226892" w:rsidRDefault="00302C89" w:rsidP="00302C89">
      <w:pPr>
        <w:tabs>
          <w:tab w:val="left" w:pos="658"/>
          <w:tab w:val="left" w:pos="1440"/>
          <w:tab w:val="left" w:pos="3192"/>
          <w:tab w:val="left" w:pos="3600"/>
          <w:tab w:val="left" w:pos="4320"/>
          <w:tab w:val="left" w:pos="5040"/>
          <w:tab w:val="left" w:pos="5760"/>
          <w:tab w:val="left" w:pos="6480"/>
          <w:tab w:val="left" w:pos="7200"/>
          <w:tab w:val="left" w:pos="7920"/>
          <w:tab w:val="left" w:pos="8640"/>
        </w:tabs>
        <w:suppressAutoHyphens/>
        <w:ind w:left="700" w:firstLine="14"/>
        <w:jc w:val="both"/>
        <w:rPr>
          <w:rFonts w:ascii="Arial" w:hAnsi="Arial" w:cs="Arial"/>
          <w:b/>
          <w:snapToGrid w:val="0"/>
          <w:sz w:val="28"/>
          <w:szCs w:val="28"/>
          <w:lang w:val="sk-SK"/>
        </w:rPr>
      </w:pPr>
      <w:r w:rsidRPr="00226892">
        <w:rPr>
          <w:rFonts w:ascii="Arial" w:hAnsi="Arial" w:cs="Arial"/>
          <w:b/>
          <w:snapToGrid w:val="0"/>
          <w:sz w:val="28"/>
          <w:szCs w:val="28"/>
          <w:lang w:val="sk-SK"/>
        </w:rPr>
        <w:t>výkazníctvo platných v Európskej Únii</w:t>
      </w:r>
    </w:p>
    <w:p w14:paraId="3F56BA05" w14:textId="77777777" w:rsidR="00EA76E1" w:rsidRPr="00226892" w:rsidRDefault="00EA76E1" w:rsidP="00B312CE">
      <w:pPr>
        <w:tabs>
          <w:tab w:val="left" w:pos="720"/>
          <w:tab w:val="left" w:pos="1440"/>
          <w:tab w:val="left" w:pos="3192"/>
          <w:tab w:val="left" w:pos="3600"/>
          <w:tab w:val="left" w:pos="4320"/>
          <w:tab w:val="left" w:pos="5040"/>
          <w:tab w:val="left" w:pos="5760"/>
          <w:tab w:val="left" w:pos="6480"/>
          <w:tab w:val="left" w:pos="7200"/>
          <w:tab w:val="left" w:pos="7920"/>
          <w:tab w:val="left" w:pos="8640"/>
        </w:tabs>
        <w:suppressAutoHyphens/>
        <w:ind w:left="1767"/>
        <w:jc w:val="both"/>
        <w:rPr>
          <w:rFonts w:ascii="Arial" w:hAnsi="Arial" w:cs="Arial"/>
          <w:b/>
          <w:snapToGrid w:val="0"/>
          <w:sz w:val="18"/>
          <w:szCs w:val="18"/>
          <w:lang w:val="sk-SK"/>
        </w:rPr>
      </w:pPr>
    </w:p>
    <w:p w14:paraId="7D2B280E" w14:textId="77777777" w:rsidR="00494D05" w:rsidRPr="00226892" w:rsidRDefault="00494D05" w:rsidP="00B312CE">
      <w:pPr>
        <w:pStyle w:val="Zarkazkladnhotextu"/>
        <w:widowControl/>
        <w:suppressAutoHyphens/>
        <w:rPr>
          <w:rFonts w:ascii="Arial" w:hAnsi="Arial" w:cs="Arial"/>
          <w:color w:val="auto"/>
          <w:sz w:val="18"/>
          <w:szCs w:val="18"/>
          <w:lang w:val="sk-SK"/>
        </w:rPr>
      </w:pPr>
    </w:p>
    <w:p w14:paraId="7BACA3E8" w14:textId="77777777" w:rsidR="00C75CCF" w:rsidRPr="00226892" w:rsidRDefault="00C75CCF" w:rsidP="00B312CE">
      <w:pPr>
        <w:tabs>
          <w:tab w:val="left" w:pos="720"/>
          <w:tab w:val="left" w:pos="1440"/>
          <w:tab w:val="left" w:pos="2160"/>
          <w:tab w:val="left" w:pos="3192"/>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80"/>
          <w:sz w:val="18"/>
          <w:szCs w:val="18"/>
          <w:lang w:val="sk-SK"/>
        </w:rPr>
      </w:pPr>
    </w:p>
    <w:p w14:paraId="2919012E" w14:textId="77777777" w:rsidR="001B7467" w:rsidRPr="00226892" w:rsidRDefault="001B7467" w:rsidP="00B312CE">
      <w:pPr>
        <w:tabs>
          <w:tab w:val="left" w:pos="720"/>
          <w:tab w:val="left" w:pos="1440"/>
          <w:tab w:val="left" w:pos="2160"/>
          <w:tab w:val="left" w:pos="3192"/>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80"/>
          <w:sz w:val="18"/>
          <w:szCs w:val="18"/>
          <w:lang w:val="sk-SK"/>
        </w:rPr>
      </w:pPr>
    </w:p>
    <w:p w14:paraId="3F4F0BF7" w14:textId="77777777" w:rsidR="00C75CCF" w:rsidRPr="00226892" w:rsidRDefault="0003461B" w:rsidP="00B312CE">
      <w:pPr>
        <w:tabs>
          <w:tab w:val="left" w:pos="5040"/>
        </w:tabs>
        <w:suppressAutoHyphens/>
        <w:jc w:val="both"/>
        <w:rPr>
          <w:rFonts w:ascii="Arial" w:hAnsi="Arial" w:cs="Arial"/>
          <w:snapToGrid w:val="0"/>
          <w:color w:val="000080"/>
          <w:sz w:val="18"/>
          <w:szCs w:val="18"/>
          <w:lang w:val="sk-SK"/>
        </w:rPr>
      </w:pPr>
      <w:r w:rsidRPr="00226892">
        <w:rPr>
          <w:rFonts w:ascii="Arial" w:hAnsi="Arial" w:cs="Arial"/>
          <w:snapToGrid w:val="0"/>
          <w:color w:val="000080"/>
          <w:sz w:val="18"/>
          <w:szCs w:val="18"/>
          <w:lang w:val="sk-SK"/>
        </w:rPr>
        <w:tab/>
      </w:r>
    </w:p>
    <w:p w14:paraId="491D824E" w14:textId="7A73E02A" w:rsidR="00DE7614" w:rsidRPr="00226892" w:rsidRDefault="00DE7614" w:rsidP="00B312CE">
      <w:pPr>
        <w:tabs>
          <w:tab w:val="left" w:pos="5040"/>
        </w:tabs>
        <w:suppressAutoHyphens/>
        <w:jc w:val="both"/>
        <w:rPr>
          <w:rFonts w:ascii="Arial" w:hAnsi="Arial" w:cs="Arial"/>
          <w:snapToGrid w:val="0"/>
          <w:color w:val="000080"/>
          <w:sz w:val="18"/>
          <w:szCs w:val="18"/>
          <w:lang w:val="sk-SK"/>
        </w:rPr>
      </w:pPr>
    </w:p>
    <w:p w14:paraId="0C1CC8E6" w14:textId="77777777" w:rsidR="00DE7614" w:rsidRPr="00226892" w:rsidRDefault="00DE7614" w:rsidP="00B312CE">
      <w:pPr>
        <w:tabs>
          <w:tab w:val="left" w:pos="5040"/>
        </w:tabs>
        <w:suppressAutoHyphens/>
        <w:jc w:val="both"/>
        <w:rPr>
          <w:rFonts w:ascii="Arial" w:hAnsi="Arial" w:cs="Arial"/>
          <w:snapToGrid w:val="0"/>
          <w:color w:val="000080"/>
          <w:sz w:val="18"/>
          <w:szCs w:val="18"/>
          <w:lang w:val="sk-SK"/>
        </w:rPr>
      </w:pPr>
    </w:p>
    <w:p w14:paraId="4753DBDF" w14:textId="77777777" w:rsidR="00DE7614" w:rsidRPr="00226892" w:rsidRDefault="00DE7614" w:rsidP="00B312CE">
      <w:pPr>
        <w:tabs>
          <w:tab w:val="left" w:pos="5040"/>
        </w:tabs>
        <w:suppressAutoHyphens/>
        <w:jc w:val="both"/>
        <w:rPr>
          <w:rFonts w:ascii="Arial" w:hAnsi="Arial" w:cs="Arial"/>
          <w:snapToGrid w:val="0"/>
          <w:color w:val="000080"/>
          <w:sz w:val="18"/>
          <w:szCs w:val="18"/>
          <w:lang w:val="sk-SK"/>
        </w:rPr>
      </w:pPr>
    </w:p>
    <w:p w14:paraId="7726DC51" w14:textId="77777777" w:rsidR="00B309B3" w:rsidRPr="00226892" w:rsidRDefault="00B309B3" w:rsidP="00B312CE">
      <w:pPr>
        <w:tabs>
          <w:tab w:val="left" w:pos="5040"/>
        </w:tabs>
        <w:suppressAutoHyphens/>
        <w:jc w:val="both"/>
        <w:rPr>
          <w:rFonts w:ascii="Arial" w:hAnsi="Arial" w:cs="Arial"/>
          <w:snapToGrid w:val="0"/>
          <w:color w:val="000080"/>
          <w:sz w:val="18"/>
          <w:szCs w:val="18"/>
          <w:lang w:val="sk-SK"/>
        </w:rPr>
      </w:pPr>
    </w:p>
    <w:p w14:paraId="28DEF541" w14:textId="77777777" w:rsidR="006C1367" w:rsidRPr="00226892" w:rsidRDefault="006C1367" w:rsidP="00B312CE">
      <w:pPr>
        <w:tabs>
          <w:tab w:val="left" w:pos="5040"/>
        </w:tabs>
        <w:suppressAutoHyphens/>
        <w:jc w:val="both"/>
        <w:rPr>
          <w:rFonts w:ascii="Arial" w:hAnsi="Arial" w:cs="Arial"/>
          <w:snapToGrid w:val="0"/>
          <w:color w:val="000080"/>
          <w:sz w:val="18"/>
          <w:szCs w:val="18"/>
          <w:lang w:val="sk-SK"/>
        </w:rPr>
      </w:pPr>
    </w:p>
    <w:p w14:paraId="0C7392C3" w14:textId="77777777" w:rsidR="006C1367" w:rsidRPr="00226892" w:rsidRDefault="006C1367" w:rsidP="00B312CE">
      <w:pPr>
        <w:tabs>
          <w:tab w:val="left" w:pos="5040"/>
        </w:tabs>
        <w:suppressAutoHyphens/>
        <w:jc w:val="both"/>
        <w:rPr>
          <w:rFonts w:ascii="Arial" w:hAnsi="Arial" w:cs="Arial"/>
          <w:snapToGrid w:val="0"/>
          <w:color w:val="000080"/>
          <w:sz w:val="18"/>
          <w:szCs w:val="18"/>
          <w:lang w:val="sk-SK"/>
        </w:rPr>
      </w:pPr>
    </w:p>
    <w:p w14:paraId="48D1F5A4" w14:textId="77777777" w:rsidR="001D669A" w:rsidRPr="00226892" w:rsidRDefault="001D669A">
      <w:pPr>
        <w:rPr>
          <w:rFonts w:ascii="Arial" w:eastAsia="Times New Roman" w:hAnsi="Arial" w:cs="Arial"/>
          <w:b/>
          <w:sz w:val="18"/>
          <w:szCs w:val="18"/>
          <w:lang w:val="sk-SK"/>
        </w:rPr>
      </w:pPr>
      <w:bookmarkStart w:id="0" w:name="_Toc165452894"/>
      <w:bookmarkStart w:id="1" w:name="_Toc165645695"/>
      <w:bookmarkStart w:id="2" w:name="_Toc165687013"/>
      <w:bookmarkStart w:id="3" w:name="_Toc165732899"/>
      <w:bookmarkStart w:id="4" w:name="_Toc165733962"/>
      <w:r w:rsidRPr="00226892">
        <w:rPr>
          <w:rFonts w:ascii="Arial" w:eastAsia="Times New Roman" w:hAnsi="Arial" w:cs="Arial"/>
          <w:b/>
          <w:sz w:val="18"/>
          <w:szCs w:val="18"/>
          <w:lang w:val="sk-SK"/>
        </w:rPr>
        <w:br w:type="page"/>
      </w:r>
    </w:p>
    <w:bookmarkEnd w:id="0"/>
    <w:bookmarkEnd w:id="1"/>
    <w:bookmarkEnd w:id="2"/>
    <w:bookmarkEnd w:id="3"/>
    <w:bookmarkEnd w:id="4"/>
    <w:p w14:paraId="39C97443" w14:textId="77777777" w:rsidR="00DC67E3" w:rsidRPr="00226892" w:rsidRDefault="00CF6611" w:rsidP="00273496">
      <w:pPr>
        <w:rPr>
          <w:rFonts w:ascii="Arial" w:eastAsia="Times New Roman" w:hAnsi="Arial" w:cs="Arial"/>
          <w:b/>
          <w:lang w:val="sk-SK"/>
        </w:rPr>
      </w:pPr>
      <w:r w:rsidRPr="00226892">
        <w:rPr>
          <w:rFonts w:ascii="Arial" w:eastAsia="Times New Roman" w:hAnsi="Arial" w:cs="Arial"/>
          <w:b/>
          <w:lang w:val="sk-SK"/>
        </w:rPr>
        <w:lastRenderedPageBreak/>
        <w:t>Obsah konsolidovanej účtovnej závierky</w:t>
      </w:r>
    </w:p>
    <w:p w14:paraId="007E0676" w14:textId="77777777" w:rsidR="00DC67E3" w:rsidRPr="00226892" w:rsidRDefault="00DC67E3" w:rsidP="00B312CE">
      <w:pPr>
        <w:pStyle w:val="Name"/>
        <w:tabs>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 w:val="left" w:pos="-528"/>
          <w:tab w:val="left" w:pos="1134"/>
          <w:tab w:val="right" w:pos="9355"/>
        </w:tabs>
        <w:ind w:right="1984"/>
        <w:rPr>
          <w:rFonts w:cs="Arial"/>
          <w:b w:val="0"/>
          <w:caps/>
          <w:color w:val="000000"/>
          <w:spacing w:val="0"/>
          <w:lang w:val="sk-SK"/>
        </w:rPr>
      </w:pPr>
    </w:p>
    <w:p w14:paraId="7DCA815B" w14:textId="77777777" w:rsidR="00DC67E3" w:rsidRPr="00664206" w:rsidRDefault="006919D2" w:rsidP="00206D7F">
      <w:pPr>
        <w:pStyle w:val="Obsah1"/>
        <w:rPr>
          <w:sz w:val="16"/>
          <w:szCs w:val="16"/>
        </w:rPr>
      </w:pPr>
      <w:r w:rsidRPr="00664206">
        <w:rPr>
          <w:sz w:val="16"/>
          <w:szCs w:val="16"/>
        </w:rPr>
        <w:t>Správa nezávislého audítora</w:t>
      </w:r>
      <w:r w:rsidR="00F50855" w:rsidRPr="00664206">
        <w:rPr>
          <w:sz w:val="16"/>
          <w:szCs w:val="16"/>
        </w:rPr>
        <w:tab/>
        <w:t>1</w:t>
      </w:r>
    </w:p>
    <w:p w14:paraId="5CD16B81" w14:textId="77777777" w:rsidR="00DC67E3" w:rsidRPr="00664206" w:rsidRDefault="00DC67E3" w:rsidP="00206D7F">
      <w:pPr>
        <w:pStyle w:val="Obsah1"/>
        <w:rPr>
          <w:sz w:val="16"/>
          <w:szCs w:val="16"/>
        </w:rPr>
      </w:pPr>
    </w:p>
    <w:p w14:paraId="69162B5F" w14:textId="77777777" w:rsidR="006919D2" w:rsidRPr="00664206" w:rsidRDefault="006919D2" w:rsidP="00206D7F">
      <w:pPr>
        <w:pStyle w:val="Obsah1"/>
        <w:rPr>
          <w:sz w:val="16"/>
          <w:szCs w:val="16"/>
        </w:rPr>
      </w:pPr>
      <w:r w:rsidRPr="00664206">
        <w:rPr>
          <w:sz w:val="16"/>
          <w:szCs w:val="16"/>
        </w:rPr>
        <w:t>ÚČTOVNÁ ZÁVIERKA</w:t>
      </w:r>
    </w:p>
    <w:p w14:paraId="128AD0DA" w14:textId="77777777" w:rsidR="006919D2" w:rsidRPr="00664206" w:rsidRDefault="006919D2" w:rsidP="006919D2">
      <w:pPr>
        <w:pStyle w:val="Name"/>
        <w:tabs>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 w:val="left" w:pos="-528"/>
          <w:tab w:val="left" w:pos="1134"/>
          <w:tab w:val="right" w:pos="9355"/>
        </w:tabs>
        <w:ind w:right="1985"/>
        <w:outlineLvl w:val="0"/>
        <w:rPr>
          <w:rFonts w:cs="Arial"/>
          <w:b w:val="0"/>
          <w:caps/>
          <w:smallCaps w:val="0"/>
          <w:color w:val="000000"/>
          <w:spacing w:val="0"/>
          <w:sz w:val="16"/>
          <w:szCs w:val="16"/>
          <w:lang w:val="sk-SK"/>
        </w:rPr>
      </w:pPr>
    </w:p>
    <w:p w14:paraId="727AFFE7" w14:textId="0C263E95" w:rsidR="006919D2" w:rsidRPr="00664206" w:rsidRDefault="006919D2" w:rsidP="00206D7F">
      <w:pPr>
        <w:pStyle w:val="Obsah1"/>
        <w:rPr>
          <w:sz w:val="16"/>
          <w:szCs w:val="16"/>
        </w:rPr>
      </w:pPr>
      <w:r w:rsidRPr="00664206">
        <w:rPr>
          <w:sz w:val="16"/>
          <w:szCs w:val="16"/>
        </w:rPr>
        <w:t>Konsolidovan</w:t>
      </w:r>
      <w:r w:rsidR="00D0618D" w:rsidRPr="00664206">
        <w:rPr>
          <w:sz w:val="16"/>
          <w:szCs w:val="16"/>
        </w:rPr>
        <w:t>ý výkaz finančnej pozície</w:t>
      </w:r>
      <w:r w:rsidRPr="00664206">
        <w:rPr>
          <w:sz w:val="16"/>
          <w:szCs w:val="16"/>
        </w:rPr>
        <w:tab/>
      </w:r>
      <w:r w:rsidR="00CB7029" w:rsidRPr="00664206">
        <w:rPr>
          <w:sz w:val="16"/>
          <w:szCs w:val="16"/>
        </w:rPr>
        <w:t>1</w:t>
      </w:r>
    </w:p>
    <w:p w14:paraId="73B83069" w14:textId="3357FD9A" w:rsidR="006919D2" w:rsidRPr="00664206" w:rsidRDefault="006919D2" w:rsidP="00206D7F">
      <w:pPr>
        <w:pStyle w:val="Obsah1"/>
        <w:rPr>
          <w:sz w:val="16"/>
          <w:szCs w:val="16"/>
        </w:rPr>
      </w:pPr>
      <w:r w:rsidRPr="00664206">
        <w:rPr>
          <w:sz w:val="16"/>
          <w:szCs w:val="16"/>
        </w:rPr>
        <w:t>Konsolidovaný výkaz ziskov a strát a ostatného súhrnného zisku alebo strát</w:t>
      </w:r>
      <w:r w:rsidRPr="00664206">
        <w:rPr>
          <w:sz w:val="16"/>
          <w:szCs w:val="16"/>
        </w:rPr>
        <w:tab/>
      </w:r>
      <w:r w:rsidR="00CB7029" w:rsidRPr="00664206">
        <w:rPr>
          <w:sz w:val="16"/>
          <w:szCs w:val="16"/>
        </w:rPr>
        <w:t>2</w:t>
      </w:r>
    </w:p>
    <w:p w14:paraId="7C2610C5" w14:textId="53775373" w:rsidR="006919D2" w:rsidRPr="00664206" w:rsidRDefault="006919D2" w:rsidP="00206D7F">
      <w:pPr>
        <w:pStyle w:val="Obsah1"/>
        <w:rPr>
          <w:sz w:val="16"/>
          <w:szCs w:val="16"/>
        </w:rPr>
      </w:pPr>
      <w:r w:rsidRPr="00664206">
        <w:rPr>
          <w:sz w:val="16"/>
          <w:szCs w:val="16"/>
        </w:rPr>
        <w:t>Konsolidovaný výkaz zmien vlastného imania</w:t>
      </w:r>
      <w:r w:rsidRPr="00664206">
        <w:rPr>
          <w:sz w:val="16"/>
          <w:szCs w:val="16"/>
        </w:rPr>
        <w:tab/>
      </w:r>
      <w:r w:rsidR="00CB7029" w:rsidRPr="00664206">
        <w:rPr>
          <w:sz w:val="16"/>
          <w:szCs w:val="16"/>
        </w:rPr>
        <w:t>3</w:t>
      </w:r>
    </w:p>
    <w:p w14:paraId="4CBCBBEF" w14:textId="7897BD0B" w:rsidR="006919D2" w:rsidRPr="00664206" w:rsidRDefault="006919D2" w:rsidP="00206D7F">
      <w:pPr>
        <w:pStyle w:val="Obsah1"/>
        <w:rPr>
          <w:b/>
          <w:smallCaps/>
          <w:sz w:val="16"/>
          <w:szCs w:val="16"/>
        </w:rPr>
      </w:pPr>
      <w:r w:rsidRPr="00664206">
        <w:rPr>
          <w:sz w:val="16"/>
          <w:szCs w:val="16"/>
        </w:rPr>
        <w:t>Konsolidovaný výkaz peňažných tokov</w:t>
      </w:r>
      <w:r w:rsidRPr="00664206">
        <w:rPr>
          <w:sz w:val="16"/>
          <w:szCs w:val="16"/>
        </w:rPr>
        <w:tab/>
      </w:r>
      <w:r w:rsidR="00CB7029" w:rsidRPr="00664206">
        <w:rPr>
          <w:sz w:val="16"/>
          <w:szCs w:val="16"/>
        </w:rPr>
        <w:t>4</w:t>
      </w:r>
    </w:p>
    <w:p w14:paraId="7F82A07A" w14:textId="77777777" w:rsidR="006919D2" w:rsidRPr="00664206" w:rsidRDefault="006919D2" w:rsidP="006919D2">
      <w:pPr>
        <w:pStyle w:val="Name"/>
        <w:tabs>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 w:val="left" w:pos="-528"/>
          <w:tab w:val="left" w:pos="1134"/>
          <w:tab w:val="right" w:pos="9355"/>
        </w:tabs>
        <w:ind w:right="1984"/>
        <w:outlineLvl w:val="0"/>
        <w:rPr>
          <w:rFonts w:cs="Arial"/>
          <w:b w:val="0"/>
          <w:smallCaps w:val="0"/>
          <w:color w:val="000000"/>
          <w:spacing w:val="0"/>
          <w:sz w:val="16"/>
          <w:szCs w:val="16"/>
          <w:lang w:val="sk-SK"/>
        </w:rPr>
      </w:pPr>
    </w:p>
    <w:p w14:paraId="515374A9" w14:textId="77777777" w:rsidR="006919D2" w:rsidRPr="00664206" w:rsidRDefault="006919D2" w:rsidP="006919D2">
      <w:pPr>
        <w:pStyle w:val="Name"/>
        <w:tabs>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 w:val="left" w:pos="-528"/>
          <w:tab w:val="left" w:pos="1134"/>
          <w:tab w:val="right" w:pos="9355"/>
        </w:tabs>
        <w:ind w:right="1984"/>
        <w:outlineLvl w:val="0"/>
        <w:rPr>
          <w:rFonts w:cs="Arial"/>
          <w:b w:val="0"/>
          <w:smallCaps w:val="0"/>
          <w:color w:val="000000"/>
          <w:spacing w:val="0"/>
          <w:sz w:val="16"/>
          <w:szCs w:val="16"/>
          <w:lang w:val="sk-SK"/>
        </w:rPr>
      </w:pPr>
      <w:r w:rsidRPr="00664206">
        <w:rPr>
          <w:rFonts w:cs="Arial"/>
          <w:b w:val="0"/>
          <w:smallCaps w:val="0"/>
          <w:color w:val="000000"/>
          <w:spacing w:val="0"/>
          <w:sz w:val="16"/>
          <w:szCs w:val="16"/>
          <w:lang w:val="sk-SK"/>
        </w:rPr>
        <w:t>Poznámky ku konsolidovanej účtovnej závierke</w:t>
      </w:r>
    </w:p>
    <w:p w14:paraId="27086E3F" w14:textId="77777777" w:rsidR="00023A98" w:rsidRPr="00664206" w:rsidRDefault="00023A98" w:rsidP="00B312CE">
      <w:pPr>
        <w:pStyle w:val="Name"/>
        <w:tabs>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 w:val="left" w:pos="-528"/>
          <w:tab w:val="left" w:pos="1134"/>
          <w:tab w:val="right" w:pos="9355"/>
        </w:tabs>
        <w:ind w:right="1984"/>
        <w:outlineLvl w:val="0"/>
        <w:rPr>
          <w:rFonts w:cs="Arial"/>
          <w:b w:val="0"/>
          <w:smallCaps w:val="0"/>
          <w:color w:val="000000"/>
          <w:spacing w:val="0"/>
          <w:sz w:val="16"/>
          <w:szCs w:val="16"/>
          <w:lang w:val="sk-SK"/>
        </w:rPr>
      </w:pPr>
    </w:p>
    <w:p w14:paraId="63C13D4F" w14:textId="69C42D9E" w:rsidR="00664206" w:rsidRPr="00664206" w:rsidRDefault="000342BC">
      <w:pPr>
        <w:pStyle w:val="Obsah3"/>
        <w:rPr>
          <w:rFonts w:ascii="Arial" w:eastAsiaTheme="minorEastAsia" w:hAnsi="Arial" w:cs="Arial"/>
          <w:noProof/>
          <w:sz w:val="16"/>
          <w:szCs w:val="16"/>
          <w:lang w:val="sk-SK" w:eastAsia="sk-SK"/>
        </w:rPr>
      </w:pPr>
      <w:r w:rsidRPr="00664206">
        <w:rPr>
          <w:rStyle w:val="Hypertextovprepojenie"/>
          <w:rFonts w:ascii="Arial" w:hAnsi="Arial" w:cs="Arial"/>
          <w:sz w:val="16"/>
          <w:szCs w:val="16"/>
        </w:rPr>
        <w:fldChar w:fldCharType="begin"/>
      </w:r>
      <w:r w:rsidR="00243540" w:rsidRPr="00664206">
        <w:rPr>
          <w:rStyle w:val="Hypertextovprepojenie"/>
          <w:rFonts w:ascii="Arial" w:hAnsi="Arial" w:cs="Arial"/>
          <w:sz w:val="16"/>
          <w:szCs w:val="16"/>
        </w:rPr>
        <w:instrText xml:space="preserve"> TOC \o "1-3" \h \z \t "Head 1;1" </w:instrText>
      </w:r>
      <w:r w:rsidRPr="00664206">
        <w:rPr>
          <w:rStyle w:val="Hypertextovprepojenie"/>
          <w:rFonts w:ascii="Arial" w:hAnsi="Arial" w:cs="Arial"/>
          <w:sz w:val="16"/>
          <w:szCs w:val="16"/>
        </w:rPr>
        <w:fldChar w:fldCharType="separate"/>
      </w:r>
      <w:hyperlink w:anchor="_Toc27409965" w:history="1">
        <w:r w:rsidR="00664206" w:rsidRPr="00664206">
          <w:rPr>
            <w:rStyle w:val="Hypertextovprepojenie"/>
            <w:rFonts w:ascii="Arial" w:hAnsi="Arial" w:cs="Arial"/>
            <w:noProof/>
            <w:sz w:val="16"/>
            <w:szCs w:val="16"/>
          </w:rPr>
          <w:t>1</w:t>
        </w:r>
        <w:r w:rsidR="00664206" w:rsidRPr="00664206">
          <w:rPr>
            <w:rFonts w:ascii="Arial" w:eastAsiaTheme="minorEastAsia" w:hAnsi="Arial" w:cs="Arial"/>
            <w:noProof/>
            <w:sz w:val="16"/>
            <w:szCs w:val="16"/>
            <w:lang w:val="sk-SK" w:eastAsia="sk-SK"/>
          </w:rPr>
          <w:tab/>
        </w:r>
        <w:r w:rsidR="00664206" w:rsidRPr="00664206">
          <w:rPr>
            <w:rStyle w:val="Hypertextovprepojenie"/>
            <w:rFonts w:ascii="Arial" w:hAnsi="Arial" w:cs="Arial"/>
            <w:noProof/>
            <w:sz w:val="16"/>
            <w:szCs w:val="16"/>
          </w:rPr>
          <w:t>Všeobecné informácie</w:t>
        </w:r>
        <w:r w:rsidR="00664206" w:rsidRPr="00664206">
          <w:rPr>
            <w:rFonts w:ascii="Arial" w:hAnsi="Arial" w:cs="Arial"/>
            <w:noProof/>
            <w:webHidden/>
            <w:sz w:val="16"/>
            <w:szCs w:val="16"/>
          </w:rPr>
          <w:tab/>
        </w:r>
        <w:r w:rsidR="00664206" w:rsidRPr="00664206">
          <w:rPr>
            <w:rFonts w:ascii="Arial" w:hAnsi="Arial" w:cs="Arial"/>
            <w:noProof/>
            <w:webHidden/>
            <w:sz w:val="16"/>
            <w:szCs w:val="16"/>
          </w:rPr>
          <w:fldChar w:fldCharType="begin"/>
        </w:r>
        <w:r w:rsidR="00664206" w:rsidRPr="00664206">
          <w:rPr>
            <w:rFonts w:ascii="Arial" w:hAnsi="Arial" w:cs="Arial"/>
            <w:noProof/>
            <w:webHidden/>
            <w:sz w:val="16"/>
            <w:szCs w:val="16"/>
          </w:rPr>
          <w:instrText xml:space="preserve"> PAGEREF _Toc27409965 \h </w:instrText>
        </w:r>
        <w:r w:rsidR="00664206" w:rsidRPr="00664206">
          <w:rPr>
            <w:rFonts w:ascii="Arial" w:hAnsi="Arial" w:cs="Arial"/>
            <w:noProof/>
            <w:webHidden/>
            <w:sz w:val="16"/>
            <w:szCs w:val="16"/>
          </w:rPr>
        </w:r>
        <w:r w:rsidR="00664206" w:rsidRPr="00664206">
          <w:rPr>
            <w:rFonts w:ascii="Arial" w:hAnsi="Arial" w:cs="Arial"/>
            <w:noProof/>
            <w:webHidden/>
            <w:sz w:val="16"/>
            <w:szCs w:val="16"/>
          </w:rPr>
          <w:fldChar w:fldCharType="separate"/>
        </w:r>
        <w:r w:rsidR="00664206" w:rsidRPr="00664206">
          <w:rPr>
            <w:rFonts w:ascii="Arial" w:hAnsi="Arial" w:cs="Arial"/>
            <w:noProof/>
            <w:webHidden/>
            <w:sz w:val="16"/>
            <w:szCs w:val="16"/>
          </w:rPr>
          <w:t>5</w:t>
        </w:r>
        <w:r w:rsidR="00664206" w:rsidRPr="00664206">
          <w:rPr>
            <w:rFonts w:ascii="Arial" w:hAnsi="Arial" w:cs="Arial"/>
            <w:noProof/>
            <w:webHidden/>
            <w:sz w:val="16"/>
            <w:szCs w:val="16"/>
          </w:rPr>
          <w:fldChar w:fldCharType="end"/>
        </w:r>
      </w:hyperlink>
    </w:p>
    <w:p w14:paraId="0759E4DB" w14:textId="1734C75A" w:rsidR="00664206" w:rsidRPr="00664206" w:rsidRDefault="00B83132">
      <w:pPr>
        <w:pStyle w:val="Obsah3"/>
        <w:rPr>
          <w:rFonts w:ascii="Arial" w:eastAsiaTheme="minorEastAsia" w:hAnsi="Arial" w:cs="Arial"/>
          <w:noProof/>
          <w:sz w:val="16"/>
          <w:szCs w:val="16"/>
          <w:lang w:val="sk-SK" w:eastAsia="sk-SK"/>
        </w:rPr>
      </w:pPr>
      <w:hyperlink w:anchor="_Toc27409966" w:history="1">
        <w:r w:rsidR="00664206" w:rsidRPr="00664206">
          <w:rPr>
            <w:rStyle w:val="Hypertextovprepojenie"/>
            <w:rFonts w:ascii="Arial" w:hAnsi="Arial" w:cs="Arial"/>
            <w:noProof/>
            <w:sz w:val="16"/>
            <w:szCs w:val="16"/>
          </w:rPr>
          <w:t>2</w:t>
        </w:r>
        <w:r w:rsidR="00664206" w:rsidRPr="00664206">
          <w:rPr>
            <w:rFonts w:ascii="Arial" w:eastAsiaTheme="minorEastAsia" w:hAnsi="Arial" w:cs="Arial"/>
            <w:noProof/>
            <w:sz w:val="16"/>
            <w:szCs w:val="16"/>
            <w:lang w:val="sk-SK" w:eastAsia="sk-SK"/>
          </w:rPr>
          <w:tab/>
        </w:r>
        <w:r w:rsidR="00664206" w:rsidRPr="00664206">
          <w:rPr>
            <w:rStyle w:val="Hypertextovprepojenie"/>
            <w:rFonts w:ascii="Arial" w:hAnsi="Arial" w:cs="Arial"/>
            <w:noProof/>
            <w:sz w:val="16"/>
            <w:szCs w:val="16"/>
          </w:rPr>
          <w:t>Súhrn hlavných účtovných postupov</w:t>
        </w:r>
        <w:r w:rsidR="00664206" w:rsidRPr="00664206">
          <w:rPr>
            <w:rFonts w:ascii="Arial" w:hAnsi="Arial" w:cs="Arial"/>
            <w:noProof/>
            <w:webHidden/>
            <w:sz w:val="16"/>
            <w:szCs w:val="16"/>
          </w:rPr>
          <w:tab/>
        </w:r>
        <w:r w:rsidR="00664206" w:rsidRPr="00664206">
          <w:rPr>
            <w:rFonts w:ascii="Arial" w:hAnsi="Arial" w:cs="Arial"/>
            <w:noProof/>
            <w:webHidden/>
            <w:sz w:val="16"/>
            <w:szCs w:val="16"/>
          </w:rPr>
          <w:fldChar w:fldCharType="begin"/>
        </w:r>
        <w:r w:rsidR="00664206" w:rsidRPr="00664206">
          <w:rPr>
            <w:rFonts w:ascii="Arial" w:hAnsi="Arial" w:cs="Arial"/>
            <w:noProof/>
            <w:webHidden/>
            <w:sz w:val="16"/>
            <w:szCs w:val="16"/>
          </w:rPr>
          <w:instrText xml:space="preserve"> PAGEREF _Toc27409966 \h </w:instrText>
        </w:r>
        <w:r w:rsidR="00664206" w:rsidRPr="00664206">
          <w:rPr>
            <w:rFonts w:ascii="Arial" w:hAnsi="Arial" w:cs="Arial"/>
            <w:noProof/>
            <w:webHidden/>
            <w:sz w:val="16"/>
            <w:szCs w:val="16"/>
          </w:rPr>
        </w:r>
        <w:r w:rsidR="00664206" w:rsidRPr="00664206">
          <w:rPr>
            <w:rFonts w:ascii="Arial" w:hAnsi="Arial" w:cs="Arial"/>
            <w:noProof/>
            <w:webHidden/>
            <w:sz w:val="16"/>
            <w:szCs w:val="16"/>
          </w:rPr>
          <w:fldChar w:fldCharType="separate"/>
        </w:r>
        <w:r w:rsidR="00664206" w:rsidRPr="00664206">
          <w:rPr>
            <w:rFonts w:ascii="Arial" w:hAnsi="Arial" w:cs="Arial"/>
            <w:noProof/>
            <w:webHidden/>
            <w:sz w:val="16"/>
            <w:szCs w:val="16"/>
          </w:rPr>
          <w:t>7</w:t>
        </w:r>
        <w:r w:rsidR="00664206" w:rsidRPr="00664206">
          <w:rPr>
            <w:rFonts w:ascii="Arial" w:hAnsi="Arial" w:cs="Arial"/>
            <w:noProof/>
            <w:webHidden/>
            <w:sz w:val="16"/>
            <w:szCs w:val="16"/>
          </w:rPr>
          <w:fldChar w:fldCharType="end"/>
        </w:r>
      </w:hyperlink>
    </w:p>
    <w:p w14:paraId="1EAD6147" w14:textId="628764CE" w:rsidR="00664206" w:rsidRPr="00664206" w:rsidRDefault="00B83132">
      <w:pPr>
        <w:pStyle w:val="Obsah1"/>
        <w:rPr>
          <w:rFonts w:eastAsiaTheme="minorEastAsia"/>
          <w:color w:val="auto"/>
          <w:sz w:val="16"/>
          <w:szCs w:val="16"/>
          <w:lang w:eastAsia="sk-SK"/>
        </w:rPr>
      </w:pPr>
      <w:hyperlink w:anchor="_Toc27409967" w:history="1">
        <w:r w:rsidR="00664206" w:rsidRPr="00664206">
          <w:rPr>
            <w:rStyle w:val="Hypertextovprepojenie"/>
            <w:sz w:val="16"/>
            <w:szCs w:val="16"/>
          </w:rPr>
          <w:t>2.1</w:t>
        </w:r>
        <w:r w:rsidR="00664206" w:rsidRPr="00664206">
          <w:rPr>
            <w:rFonts w:eastAsiaTheme="minorEastAsia"/>
            <w:color w:val="auto"/>
            <w:sz w:val="16"/>
            <w:szCs w:val="16"/>
            <w:lang w:eastAsia="sk-SK"/>
          </w:rPr>
          <w:tab/>
        </w:r>
        <w:r w:rsidR="00664206" w:rsidRPr="00664206">
          <w:rPr>
            <w:rStyle w:val="Hypertextovprepojenie"/>
            <w:sz w:val="16"/>
            <w:szCs w:val="16"/>
          </w:rPr>
          <w:t>Základné zásady pre zostavenie účtovnej závierky</w:t>
        </w:r>
        <w:r w:rsidR="00664206" w:rsidRPr="00664206">
          <w:rPr>
            <w:webHidden/>
            <w:sz w:val="16"/>
            <w:szCs w:val="16"/>
          </w:rPr>
          <w:tab/>
        </w:r>
        <w:r w:rsidR="00664206" w:rsidRPr="00664206">
          <w:rPr>
            <w:webHidden/>
            <w:sz w:val="16"/>
            <w:szCs w:val="16"/>
          </w:rPr>
          <w:fldChar w:fldCharType="begin"/>
        </w:r>
        <w:r w:rsidR="00664206" w:rsidRPr="00664206">
          <w:rPr>
            <w:webHidden/>
            <w:sz w:val="16"/>
            <w:szCs w:val="16"/>
          </w:rPr>
          <w:instrText xml:space="preserve"> PAGEREF _Toc27409967 \h </w:instrText>
        </w:r>
        <w:r w:rsidR="00664206" w:rsidRPr="00664206">
          <w:rPr>
            <w:webHidden/>
            <w:sz w:val="16"/>
            <w:szCs w:val="16"/>
          </w:rPr>
        </w:r>
        <w:r w:rsidR="00664206" w:rsidRPr="00664206">
          <w:rPr>
            <w:webHidden/>
            <w:sz w:val="16"/>
            <w:szCs w:val="16"/>
          </w:rPr>
          <w:fldChar w:fldCharType="separate"/>
        </w:r>
        <w:r w:rsidR="00664206" w:rsidRPr="00664206">
          <w:rPr>
            <w:webHidden/>
            <w:sz w:val="16"/>
            <w:szCs w:val="16"/>
          </w:rPr>
          <w:t>7</w:t>
        </w:r>
        <w:r w:rsidR="00664206" w:rsidRPr="00664206">
          <w:rPr>
            <w:webHidden/>
            <w:sz w:val="16"/>
            <w:szCs w:val="16"/>
          </w:rPr>
          <w:fldChar w:fldCharType="end"/>
        </w:r>
      </w:hyperlink>
    </w:p>
    <w:p w14:paraId="63A399E9" w14:textId="287E850A" w:rsidR="00664206" w:rsidRPr="00664206" w:rsidRDefault="00B83132">
      <w:pPr>
        <w:pStyle w:val="Obsah1"/>
        <w:rPr>
          <w:rFonts w:eastAsiaTheme="minorEastAsia"/>
          <w:color w:val="auto"/>
          <w:sz w:val="16"/>
          <w:szCs w:val="16"/>
          <w:lang w:eastAsia="sk-SK"/>
        </w:rPr>
      </w:pPr>
      <w:hyperlink w:anchor="_Toc27409969" w:history="1">
        <w:r w:rsidR="00664206" w:rsidRPr="00664206">
          <w:rPr>
            <w:rStyle w:val="Hypertextovprepojenie"/>
            <w:sz w:val="16"/>
            <w:szCs w:val="16"/>
          </w:rPr>
          <w:t>2.2</w:t>
        </w:r>
        <w:r w:rsidR="00664206" w:rsidRPr="00664206">
          <w:rPr>
            <w:rFonts w:eastAsiaTheme="minorEastAsia"/>
            <w:color w:val="auto"/>
            <w:sz w:val="16"/>
            <w:szCs w:val="16"/>
            <w:lang w:eastAsia="sk-SK"/>
          </w:rPr>
          <w:tab/>
        </w:r>
        <w:r w:rsidR="00664206" w:rsidRPr="00664206">
          <w:rPr>
            <w:rStyle w:val="Hypertextovprepojenie"/>
            <w:sz w:val="16"/>
            <w:szCs w:val="16"/>
          </w:rPr>
          <w:t>Konsolidácia</w:t>
        </w:r>
        <w:r w:rsidR="00664206" w:rsidRPr="00664206">
          <w:rPr>
            <w:webHidden/>
            <w:sz w:val="16"/>
            <w:szCs w:val="16"/>
          </w:rPr>
          <w:tab/>
        </w:r>
        <w:r w:rsidR="00664206" w:rsidRPr="00664206">
          <w:rPr>
            <w:webHidden/>
            <w:sz w:val="16"/>
            <w:szCs w:val="16"/>
          </w:rPr>
          <w:fldChar w:fldCharType="begin"/>
        </w:r>
        <w:r w:rsidR="00664206" w:rsidRPr="00664206">
          <w:rPr>
            <w:webHidden/>
            <w:sz w:val="16"/>
            <w:szCs w:val="16"/>
          </w:rPr>
          <w:instrText xml:space="preserve"> PAGEREF _Toc27409969 \h </w:instrText>
        </w:r>
        <w:r w:rsidR="00664206" w:rsidRPr="00664206">
          <w:rPr>
            <w:webHidden/>
            <w:sz w:val="16"/>
            <w:szCs w:val="16"/>
          </w:rPr>
        </w:r>
        <w:r w:rsidR="00664206" w:rsidRPr="00664206">
          <w:rPr>
            <w:webHidden/>
            <w:sz w:val="16"/>
            <w:szCs w:val="16"/>
          </w:rPr>
          <w:fldChar w:fldCharType="separate"/>
        </w:r>
        <w:r w:rsidR="00664206" w:rsidRPr="00664206">
          <w:rPr>
            <w:webHidden/>
            <w:sz w:val="16"/>
            <w:szCs w:val="16"/>
          </w:rPr>
          <w:t>13</w:t>
        </w:r>
        <w:r w:rsidR="00664206" w:rsidRPr="00664206">
          <w:rPr>
            <w:webHidden/>
            <w:sz w:val="16"/>
            <w:szCs w:val="16"/>
          </w:rPr>
          <w:fldChar w:fldCharType="end"/>
        </w:r>
      </w:hyperlink>
    </w:p>
    <w:p w14:paraId="16547728" w14:textId="0D7B0A5B" w:rsidR="00664206" w:rsidRPr="00664206" w:rsidRDefault="00B83132">
      <w:pPr>
        <w:pStyle w:val="Obsah1"/>
        <w:rPr>
          <w:rFonts w:eastAsiaTheme="minorEastAsia"/>
          <w:color w:val="auto"/>
          <w:sz w:val="16"/>
          <w:szCs w:val="16"/>
          <w:lang w:eastAsia="sk-SK"/>
        </w:rPr>
      </w:pPr>
      <w:hyperlink w:anchor="_Toc27409970" w:history="1">
        <w:r w:rsidR="00664206" w:rsidRPr="00664206">
          <w:rPr>
            <w:rStyle w:val="Hypertextovprepojenie"/>
            <w:sz w:val="16"/>
            <w:szCs w:val="16"/>
          </w:rPr>
          <w:t>2.3</w:t>
        </w:r>
        <w:r w:rsidR="00664206" w:rsidRPr="00664206">
          <w:rPr>
            <w:rFonts w:eastAsiaTheme="minorEastAsia"/>
            <w:color w:val="auto"/>
            <w:sz w:val="16"/>
            <w:szCs w:val="16"/>
            <w:lang w:eastAsia="sk-SK"/>
          </w:rPr>
          <w:tab/>
        </w:r>
        <w:r w:rsidR="00664206" w:rsidRPr="00664206">
          <w:rPr>
            <w:rStyle w:val="Hypertextovprepojenie"/>
            <w:sz w:val="16"/>
            <w:szCs w:val="16"/>
          </w:rPr>
          <w:t>Prepočet cudzích mien</w:t>
        </w:r>
        <w:r w:rsidR="00664206" w:rsidRPr="00664206">
          <w:rPr>
            <w:webHidden/>
            <w:sz w:val="16"/>
            <w:szCs w:val="16"/>
          </w:rPr>
          <w:tab/>
        </w:r>
        <w:r w:rsidR="00664206" w:rsidRPr="00664206">
          <w:rPr>
            <w:webHidden/>
            <w:sz w:val="16"/>
            <w:szCs w:val="16"/>
          </w:rPr>
          <w:fldChar w:fldCharType="begin"/>
        </w:r>
        <w:r w:rsidR="00664206" w:rsidRPr="00664206">
          <w:rPr>
            <w:webHidden/>
            <w:sz w:val="16"/>
            <w:szCs w:val="16"/>
          </w:rPr>
          <w:instrText xml:space="preserve"> PAGEREF _Toc27409970 \h </w:instrText>
        </w:r>
        <w:r w:rsidR="00664206" w:rsidRPr="00664206">
          <w:rPr>
            <w:webHidden/>
            <w:sz w:val="16"/>
            <w:szCs w:val="16"/>
          </w:rPr>
        </w:r>
        <w:r w:rsidR="00664206" w:rsidRPr="00664206">
          <w:rPr>
            <w:webHidden/>
            <w:sz w:val="16"/>
            <w:szCs w:val="16"/>
          </w:rPr>
          <w:fldChar w:fldCharType="separate"/>
        </w:r>
        <w:r w:rsidR="00664206" w:rsidRPr="00664206">
          <w:rPr>
            <w:webHidden/>
            <w:sz w:val="16"/>
            <w:szCs w:val="16"/>
          </w:rPr>
          <w:t>14</w:t>
        </w:r>
        <w:r w:rsidR="00664206" w:rsidRPr="00664206">
          <w:rPr>
            <w:webHidden/>
            <w:sz w:val="16"/>
            <w:szCs w:val="16"/>
          </w:rPr>
          <w:fldChar w:fldCharType="end"/>
        </w:r>
      </w:hyperlink>
    </w:p>
    <w:p w14:paraId="416C0882" w14:textId="746B29E9" w:rsidR="00664206" w:rsidRPr="00664206" w:rsidRDefault="00B83132">
      <w:pPr>
        <w:pStyle w:val="Obsah1"/>
        <w:rPr>
          <w:rFonts w:eastAsiaTheme="minorEastAsia"/>
          <w:color w:val="auto"/>
          <w:sz w:val="16"/>
          <w:szCs w:val="16"/>
          <w:lang w:eastAsia="sk-SK"/>
        </w:rPr>
      </w:pPr>
      <w:hyperlink w:anchor="_Toc27409971" w:history="1">
        <w:r w:rsidR="00664206" w:rsidRPr="00664206">
          <w:rPr>
            <w:rStyle w:val="Hypertextovprepojenie"/>
            <w:sz w:val="16"/>
            <w:szCs w:val="16"/>
          </w:rPr>
          <w:t>2.4</w:t>
        </w:r>
        <w:r w:rsidR="00664206" w:rsidRPr="00664206">
          <w:rPr>
            <w:rFonts w:eastAsiaTheme="minorEastAsia"/>
            <w:color w:val="auto"/>
            <w:sz w:val="16"/>
            <w:szCs w:val="16"/>
            <w:lang w:eastAsia="sk-SK"/>
          </w:rPr>
          <w:tab/>
        </w:r>
        <w:r w:rsidR="00664206" w:rsidRPr="00664206">
          <w:rPr>
            <w:rStyle w:val="Hypertextovprepojenie"/>
            <w:sz w:val="16"/>
            <w:szCs w:val="16"/>
          </w:rPr>
          <w:t>Nehmotný majetok</w:t>
        </w:r>
        <w:r w:rsidR="00664206" w:rsidRPr="00664206">
          <w:rPr>
            <w:webHidden/>
            <w:sz w:val="16"/>
            <w:szCs w:val="16"/>
          </w:rPr>
          <w:tab/>
        </w:r>
        <w:r w:rsidR="00664206" w:rsidRPr="00664206">
          <w:rPr>
            <w:webHidden/>
            <w:sz w:val="16"/>
            <w:szCs w:val="16"/>
          </w:rPr>
          <w:fldChar w:fldCharType="begin"/>
        </w:r>
        <w:r w:rsidR="00664206" w:rsidRPr="00664206">
          <w:rPr>
            <w:webHidden/>
            <w:sz w:val="16"/>
            <w:szCs w:val="16"/>
          </w:rPr>
          <w:instrText xml:space="preserve"> PAGEREF _Toc27409971 \h </w:instrText>
        </w:r>
        <w:r w:rsidR="00664206" w:rsidRPr="00664206">
          <w:rPr>
            <w:webHidden/>
            <w:sz w:val="16"/>
            <w:szCs w:val="16"/>
          </w:rPr>
        </w:r>
        <w:r w:rsidR="00664206" w:rsidRPr="00664206">
          <w:rPr>
            <w:webHidden/>
            <w:sz w:val="16"/>
            <w:szCs w:val="16"/>
          </w:rPr>
          <w:fldChar w:fldCharType="separate"/>
        </w:r>
        <w:r w:rsidR="00664206" w:rsidRPr="00664206">
          <w:rPr>
            <w:webHidden/>
            <w:sz w:val="16"/>
            <w:szCs w:val="16"/>
          </w:rPr>
          <w:t>14</w:t>
        </w:r>
        <w:r w:rsidR="00664206" w:rsidRPr="00664206">
          <w:rPr>
            <w:webHidden/>
            <w:sz w:val="16"/>
            <w:szCs w:val="16"/>
          </w:rPr>
          <w:fldChar w:fldCharType="end"/>
        </w:r>
      </w:hyperlink>
    </w:p>
    <w:p w14:paraId="688F27EF" w14:textId="126A7075" w:rsidR="00664206" w:rsidRPr="00664206" w:rsidRDefault="00B83132">
      <w:pPr>
        <w:pStyle w:val="Obsah1"/>
        <w:rPr>
          <w:rFonts w:eastAsiaTheme="minorEastAsia"/>
          <w:color w:val="auto"/>
          <w:sz w:val="16"/>
          <w:szCs w:val="16"/>
          <w:lang w:eastAsia="sk-SK"/>
        </w:rPr>
      </w:pPr>
      <w:hyperlink w:anchor="_Toc27409972" w:history="1">
        <w:r w:rsidR="00664206" w:rsidRPr="00664206">
          <w:rPr>
            <w:rStyle w:val="Hypertextovprepojenie"/>
            <w:sz w:val="16"/>
            <w:szCs w:val="16"/>
          </w:rPr>
          <w:t>2.5</w:t>
        </w:r>
        <w:r w:rsidR="00664206" w:rsidRPr="00664206">
          <w:rPr>
            <w:rFonts w:eastAsiaTheme="minorEastAsia"/>
            <w:color w:val="auto"/>
            <w:sz w:val="16"/>
            <w:szCs w:val="16"/>
            <w:lang w:eastAsia="sk-SK"/>
          </w:rPr>
          <w:tab/>
        </w:r>
        <w:r w:rsidR="00664206" w:rsidRPr="00664206">
          <w:rPr>
            <w:rStyle w:val="Hypertextovprepojenie"/>
            <w:sz w:val="16"/>
            <w:szCs w:val="16"/>
          </w:rPr>
          <w:t>Dlhodobý hmotný majetok</w:t>
        </w:r>
        <w:r w:rsidR="00664206" w:rsidRPr="00664206">
          <w:rPr>
            <w:webHidden/>
            <w:sz w:val="16"/>
            <w:szCs w:val="16"/>
          </w:rPr>
          <w:tab/>
        </w:r>
        <w:r w:rsidR="00664206" w:rsidRPr="00664206">
          <w:rPr>
            <w:webHidden/>
            <w:sz w:val="16"/>
            <w:szCs w:val="16"/>
          </w:rPr>
          <w:fldChar w:fldCharType="begin"/>
        </w:r>
        <w:r w:rsidR="00664206" w:rsidRPr="00664206">
          <w:rPr>
            <w:webHidden/>
            <w:sz w:val="16"/>
            <w:szCs w:val="16"/>
          </w:rPr>
          <w:instrText xml:space="preserve"> PAGEREF _Toc27409972 \h </w:instrText>
        </w:r>
        <w:r w:rsidR="00664206" w:rsidRPr="00664206">
          <w:rPr>
            <w:webHidden/>
            <w:sz w:val="16"/>
            <w:szCs w:val="16"/>
          </w:rPr>
        </w:r>
        <w:r w:rsidR="00664206" w:rsidRPr="00664206">
          <w:rPr>
            <w:webHidden/>
            <w:sz w:val="16"/>
            <w:szCs w:val="16"/>
          </w:rPr>
          <w:fldChar w:fldCharType="separate"/>
        </w:r>
        <w:r w:rsidR="00664206" w:rsidRPr="00664206">
          <w:rPr>
            <w:webHidden/>
            <w:sz w:val="16"/>
            <w:szCs w:val="16"/>
          </w:rPr>
          <w:t>15</w:t>
        </w:r>
        <w:r w:rsidR="00664206" w:rsidRPr="00664206">
          <w:rPr>
            <w:webHidden/>
            <w:sz w:val="16"/>
            <w:szCs w:val="16"/>
          </w:rPr>
          <w:fldChar w:fldCharType="end"/>
        </w:r>
      </w:hyperlink>
    </w:p>
    <w:p w14:paraId="56FBEB51" w14:textId="5C124122" w:rsidR="00664206" w:rsidRPr="00664206" w:rsidRDefault="00B83132">
      <w:pPr>
        <w:pStyle w:val="Obsah1"/>
        <w:rPr>
          <w:rFonts w:eastAsiaTheme="minorEastAsia"/>
          <w:color w:val="auto"/>
          <w:sz w:val="16"/>
          <w:szCs w:val="16"/>
          <w:lang w:eastAsia="sk-SK"/>
        </w:rPr>
      </w:pPr>
      <w:hyperlink w:anchor="_Toc27409973" w:history="1">
        <w:r w:rsidR="00664206" w:rsidRPr="00664206">
          <w:rPr>
            <w:rStyle w:val="Hypertextovprepojenie"/>
            <w:sz w:val="16"/>
            <w:szCs w:val="16"/>
          </w:rPr>
          <w:t>2.6</w:t>
        </w:r>
        <w:r w:rsidR="00664206" w:rsidRPr="00664206">
          <w:rPr>
            <w:rFonts w:eastAsiaTheme="minorEastAsia"/>
            <w:color w:val="auto"/>
            <w:sz w:val="16"/>
            <w:szCs w:val="16"/>
            <w:lang w:eastAsia="sk-SK"/>
          </w:rPr>
          <w:tab/>
        </w:r>
        <w:r w:rsidR="00664206" w:rsidRPr="00664206">
          <w:rPr>
            <w:rStyle w:val="Hypertextovprepojenie"/>
            <w:sz w:val="16"/>
            <w:szCs w:val="16"/>
          </w:rPr>
          <w:t>Leasing</w:t>
        </w:r>
        <w:r w:rsidR="00664206" w:rsidRPr="00664206">
          <w:rPr>
            <w:webHidden/>
            <w:sz w:val="16"/>
            <w:szCs w:val="16"/>
          </w:rPr>
          <w:tab/>
        </w:r>
        <w:r w:rsidR="00664206" w:rsidRPr="00664206">
          <w:rPr>
            <w:webHidden/>
            <w:sz w:val="16"/>
            <w:szCs w:val="16"/>
          </w:rPr>
          <w:fldChar w:fldCharType="begin"/>
        </w:r>
        <w:r w:rsidR="00664206" w:rsidRPr="00664206">
          <w:rPr>
            <w:webHidden/>
            <w:sz w:val="16"/>
            <w:szCs w:val="16"/>
          </w:rPr>
          <w:instrText xml:space="preserve"> PAGEREF _Toc27409973 \h </w:instrText>
        </w:r>
        <w:r w:rsidR="00664206" w:rsidRPr="00664206">
          <w:rPr>
            <w:webHidden/>
            <w:sz w:val="16"/>
            <w:szCs w:val="16"/>
          </w:rPr>
        </w:r>
        <w:r w:rsidR="00664206" w:rsidRPr="00664206">
          <w:rPr>
            <w:webHidden/>
            <w:sz w:val="16"/>
            <w:szCs w:val="16"/>
          </w:rPr>
          <w:fldChar w:fldCharType="separate"/>
        </w:r>
        <w:r w:rsidR="00664206" w:rsidRPr="00664206">
          <w:rPr>
            <w:webHidden/>
            <w:sz w:val="16"/>
            <w:szCs w:val="16"/>
          </w:rPr>
          <w:t>15</w:t>
        </w:r>
        <w:r w:rsidR="00664206" w:rsidRPr="00664206">
          <w:rPr>
            <w:webHidden/>
            <w:sz w:val="16"/>
            <w:szCs w:val="16"/>
          </w:rPr>
          <w:fldChar w:fldCharType="end"/>
        </w:r>
      </w:hyperlink>
    </w:p>
    <w:p w14:paraId="197F670F" w14:textId="1D2F7C45" w:rsidR="00664206" w:rsidRPr="00664206" w:rsidRDefault="00B83132">
      <w:pPr>
        <w:pStyle w:val="Obsah1"/>
        <w:rPr>
          <w:rFonts w:eastAsiaTheme="minorEastAsia"/>
          <w:color w:val="auto"/>
          <w:sz w:val="16"/>
          <w:szCs w:val="16"/>
          <w:lang w:eastAsia="sk-SK"/>
        </w:rPr>
      </w:pPr>
      <w:hyperlink w:anchor="_Toc27409974" w:history="1">
        <w:r w:rsidR="00664206" w:rsidRPr="00664206">
          <w:rPr>
            <w:rStyle w:val="Hypertextovprepojenie"/>
            <w:sz w:val="16"/>
            <w:szCs w:val="16"/>
          </w:rPr>
          <w:t>2.7</w:t>
        </w:r>
        <w:r w:rsidR="00664206" w:rsidRPr="00664206">
          <w:rPr>
            <w:rFonts w:eastAsiaTheme="minorEastAsia"/>
            <w:color w:val="auto"/>
            <w:sz w:val="16"/>
            <w:szCs w:val="16"/>
            <w:lang w:eastAsia="sk-SK"/>
          </w:rPr>
          <w:tab/>
        </w:r>
        <w:r w:rsidR="00664206" w:rsidRPr="00664206">
          <w:rPr>
            <w:rStyle w:val="Hypertextovprepojenie"/>
            <w:sz w:val="16"/>
            <w:szCs w:val="16"/>
          </w:rPr>
          <w:t>Pokles hodnoty dlhodobého majetku</w:t>
        </w:r>
        <w:r w:rsidR="00664206" w:rsidRPr="00664206">
          <w:rPr>
            <w:webHidden/>
            <w:sz w:val="16"/>
            <w:szCs w:val="16"/>
          </w:rPr>
          <w:tab/>
        </w:r>
        <w:r w:rsidR="00664206" w:rsidRPr="00664206">
          <w:rPr>
            <w:webHidden/>
            <w:sz w:val="16"/>
            <w:szCs w:val="16"/>
          </w:rPr>
          <w:fldChar w:fldCharType="begin"/>
        </w:r>
        <w:r w:rsidR="00664206" w:rsidRPr="00664206">
          <w:rPr>
            <w:webHidden/>
            <w:sz w:val="16"/>
            <w:szCs w:val="16"/>
          </w:rPr>
          <w:instrText xml:space="preserve"> PAGEREF _Toc27409974 \h </w:instrText>
        </w:r>
        <w:r w:rsidR="00664206" w:rsidRPr="00664206">
          <w:rPr>
            <w:webHidden/>
            <w:sz w:val="16"/>
            <w:szCs w:val="16"/>
          </w:rPr>
        </w:r>
        <w:r w:rsidR="00664206" w:rsidRPr="00664206">
          <w:rPr>
            <w:webHidden/>
            <w:sz w:val="16"/>
            <w:szCs w:val="16"/>
          </w:rPr>
          <w:fldChar w:fldCharType="separate"/>
        </w:r>
        <w:r w:rsidR="00664206" w:rsidRPr="00664206">
          <w:rPr>
            <w:webHidden/>
            <w:sz w:val="16"/>
            <w:szCs w:val="16"/>
          </w:rPr>
          <w:t>16</w:t>
        </w:r>
        <w:r w:rsidR="00664206" w:rsidRPr="00664206">
          <w:rPr>
            <w:webHidden/>
            <w:sz w:val="16"/>
            <w:szCs w:val="16"/>
          </w:rPr>
          <w:fldChar w:fldCharType="end"/>
        </w:r>
      </w:hyperlink>
    </w:p>
    <w:p w14:paraId="47A15BC0" w14:textId="3E384EAB" w:rsidR="00664206" w:rsidRPr="00664206" w:rsidRDefault="00B83132">
      <w:pPr>
        <w:pStyle w:val="Obsah1"/>
        <w:rPr>
          <w:rFonts w:eastAsiaTheme="minorEastAsia"/>
          <w:color w:val="auto"/>
          <w:sz w:val="16"/>
          <w:szCs w:val="16"/>
          <w:lang w:eastAsia="sk-SK"/>
        </w:rPr>
      </w:pPr>
      <w:hyperlink w:anchor="_Toc27409975" w:history="1">
        <w:r w:rsidR="00664206" w:rsidRPr="00664206">
          <w:rPr>
            <w:rStyle w:val="Hypertextovprepojenie"/>
            <w:sz w:val="16"/>
            <w:szCs w:val="16"/>
          </w:rPr>
          <w:t>2.8</w:t>
        </w:r>
        <w:r w:rsidR="00664206" w:rsidRPr="00664206">
          <w:rPr>
            <w:rFonts w:eastAsiaTheme="minorEastAsia"/>
            <w:color w:val="auto"/>
            <w:sz w:val="16"/>
            <w:szCs w:val="16"/>
            <w:lang w:eastAsia="sk-SK"/>
          </w:rPr>
          <w:tab/>
        </w:r>
        <w:r w:rsidR="00664206" w:rsidRPr="00664206">
          <w:rPr>
            <w:rStyle w:val="Hypertextovprepojenie"/>
            <w:sz w:val="16"/>
            <w:szCs w:val="16"/>
          </w:rPr>
          <w:t>Zásoby</w:t>
        </w:r>
        <w:r w:rsidR="00664206" w:rsidRPr="00664206">
          <w:rPr>
            <w:webHidden/>
            <w:sz w:val="16"/>
            <w:szCs w:val="16"/>
          </w:rPr>
          <w:tab/>
        </w:r>
        <w:r w:rsidR="00664206" w:rsidRPr="00664206">
          <w:rPr>
            <w:webHidden/>
            <w:sz w:val="16"/>
            <w:szCs w:val="16"/>
          </w:rPr>
          <w:fldChar w:fldCharType="begin"/>
        </w:r>
        <w:r w:rsidR="00664206" w:rsidRPr="00664206">
          <w:rPr>
            <w:webHidden/>
            <w:sz w:val="16"/>
            <w:szCs w:val="16"/>
          </w:rPr>
          <w:instrText xml:space="preserve"> PAGEREF _Toc27409975 \h </w:instrText>
        </w:r>
        <w:r w:rsidR="00664206" w:rsidRPr="00664206">
          <w:rPr>
            <w:webHidden/>
            <w:sz w:val="16"/>
            <w:szCs w:val="16"/>
          </w:rPr>
        </w:r>
        <w:r w:rsidR="00664206" w:rsidRPr="00664206">
          <w:rPr>
            <w:webHidden/>
            <w:sz w:val="16"/>
            <w:szCs w:val="16"/>
          </w:rPr>
          <w:fldChar w:fldCharType="separate"/>
        </w:r>
        <w:r w:rsidR="00664206" w:rsidRPr="00664206">
          <w:rPr>
            <w:webHidden/>
            <w:sz w:val="16"/>
            <w:szCs w:val="16"/>
          </w:rPr>
          <w:t>16</w:t>
        </w:r>
        <w:r w:rsidR="00664206" w:rsidRPr="00664206">
          <w:rPr>
            <w:webHidden/>
            <w:sz w:val="16"/>
            <w:szCs w:val="16"/>
          </w:rPr>
          <w:fldChar w:fldCharType="end"/>
        </w:r>
      </w:hyperlink>
    </w:p>
    <w:p w14:paraId="1449C286" w14:textId="7B559A61" w:rsidR="00664206" w:rsidRPr="00664206" w:rsidRDefault="00B83132">
      <w:pPr>
        <w:pStyle w:val="Obsah1"/>
        <w:rPr>
          <w:rFonts w:eastAsiaTheme="minorEastAsia"/>
          <w:color w:val="auto"/>
          <w:sz w:val="16"/>
          <w:szCs w:val="16"/>
          <w:lang w:eastAsia="sk-SK"/>
        </w:rPr>
      </w:pPr>
      <w:hyperlink w:anchor="_Toc27409976" w:history="1">
        <w:r w:rsidR="00664206" w:rsidRPr="00664206">
          <w:rPr>
            <w:rStyle w:val="Hypertextovprepojenie"/>
            <w:sz w:val="16"/>
            <w:szCs w:val="16"/>
          </w:rPr>
          <w:t>2.9</w:t>
        </w:r>
        <w:r w:rsidR="00664206" w:rsidRPr="00664206">
          <w:rPr>
            <w:rFonts w:eastAsiaTheme="minorEastAsia"/>
            <w:color w:val="auto"/>
            <w:sz w:val="16"/>
            <w:szCs w:val="16"/>
            <w:lang w:eastAsia="sk-SK"/>
          </w:rPr>
          <w:tab/>
        </w:r>
        <w:r w:rsidR="00664206" w:rsidRPr="00664206">
          <w:rPr>
            <w:rStyle w:val="Hypertextovprepojenie"/>
            <w:sz w:val="16"/>
            <w:szCs w:val="16"/>
          </w:rPr>
          <w:t>Ostatný dlhodobý a krátkodobý majetok</w:t>
        </w:r>
        <w:r w:rsidR="00664206" w:rsidRPr="00664206">
          <w:rPr>
            <w:webHidden/>
            <w:sz w:val="16"/>
            <w:szCs w:val="16"/>
          </w:rPr>
          <w:tab/>
        </w:r>
        <w:r w:rsidR="00664206" w:rsidRPr="00664206">
          <w:rPr>
            <w:webHidden/>
            <w:sz w:val="16"/>
            <w:szCs w:val="16"/>
          </w:rPr>
          <w:fldChar w:fldCharType="begin"/>
        </w:r>
        <w:r w:rsidR="00664206" w:rsidRPr="00664206">
          <w:rPr>
            <w:webHidden/>
            <w:sz w:val="16"/>
            <w:szCs w:val="16"/>
          </w:rPr>
          <w:instrText xml:space="preserve"> PAGEREF _Toc27409976 \h </w:instrText>
        </w:r>
        <w:r w:rsidR="00664206" w:rsidRPr="00664206">
          <w:rPr>
            <w:webHidden/>
            <w:sz w:val="16"/>
            <w:szCs w:val="16"/>
          </w:rPr>
        </w:r>
        <w:r w:rsidR="00664206" w:rsidRPr="00664206">
          <w:rPr>
            <w:webHidden/>
            <w:sz w:val="16"/>
            <w:szCs w:val="16"/>
          </w:rPr>
          <w:fldChar w:fldCharType="separate"/>
        </w:r>
        <w:r w:rsidR="00664206" w:rsidRPr="00664206">
          <w:rPr>
            <w:webHidden/>
            <w:sz w:val="16"/>
            <w:szCs w:val="16"/>
          </w:rPr>
          <w:t>16</w:t>
        </w:r>
        <w:r w:rsidR="00664206" w:rsidRPr="00664206">
          <w:rPr>
            <w:webHidden/>
            <w:sz w:val="16"/>
            <w:szCs w:val="16"/>
          </w:rPr>
          <w:fldChar w:fldCharType="end"/>
        </w:r>
      </w:hyperlink>
    </w:p>
    <w:p w14:paraId="6CB84620" w14:textId="7E03E640" w:rsidR="00664206" w:rsidRPr="00664206" w:rsidRDefault="00B83132">
      <w:pPr>
        <w:pStyle w:val="Obsah1"/>
        <w:rPr>
          <w:rFonts w:eastAsiaTheme="minorEastAsia"/>
          <w:color w:val="auto"/>
          <w:sz w:val="16"/>
          <w:szCs w:val="16"/>
          <w:lang w:eastAsia="sk-SK"/>
        </w:rPr>
      </w:pPr>
      <w:hyperlink w:anchor="_Toc27409977" w:history="1">
        <w:r w:rsidR="00664206" w:rsidRPr="00664206">
          <w:rPr>
            <w:rStyle w:val="Hypertextovprepojenie"/>
            <w:sz w:val="16"/>
            <w:szCs w:val="16"/>
          </w:rPr>
          <w:t>2.10</w:t>
        </w:r>
        <w:r w:rsidR="00664206" w:rsidRPr="00664206">
          <w:rPr>
            <w:rFonts w:eastAsiaTheme="minorEastAsia"/>
            <w:color w:val="auto"/>
            <w:sz w:val="16"/>
            <w:szCs w:val="16"/>
            <w:lang w:eastAsia="sk-SK"/>
          </w:rPr>
          <w:tab/>
        </w:r>
        <w:r w:rsidR="00664206" w:rsidRPr="00664206">
          <w:rPr>
            <w:rStyle w:val="Hypertextovprepojenie"/>
            <w:sz w:val="16"/>
            <w:szCs w:val="16"/>
          </w:rPr>
          <w:t>Finančný majetok</w:t>
        </w:r>
        <w:r w:rsidR="00664206" w:rsidRPr="00664206">
          <w:rPr>
            <w:webHidden/>
            <w:sz w:val="16"/>
            <w:szCs w:val="16"/>
          </w:rPr>
          <w:tab/>
        </w:r>
        <w:r w:rsidR="00664206" w:rsidRPr="00664206">
          <w:rPr>
            <w:webHidden/>
            <w:sz w:val="16"/>
            <w:szCs w:val="16"/>
          </w:rPr>
          <w:fldChar w:fldCharType="begin"/>
        </w:r>
        <w:r w:rsidR="00664206" w:rsidRPr="00664206">
          <w:rPr>
            <w:webHidden/>
            <w:sz w:val="16"/>
            <w:szCs w:val="16"/>
          </w:rPr>
          <w:instrText xml:space="preserve"> PAGEREF _Toc27409977 \h </w:instrText>
        </w:r>
        <w:r w:rsidR="00664206" w:rsidRPr="00664206">
          <w:rPr>
            <w:webHidden/>
            <w:sz w:val="16"/>
            <w:szCs w:val="16"/>
          </w:rPr>
        </w:r>
        <w:r w:rsidR="00664206" w:rsidRPr="00664206">
          <w:rPr>
            <w:webHidden/>
            <w:sz w:val="16"/>
            <w:szCs w:val="16"/>
          </w:rPr>
          <w:fldChar w:fldCharType="separate"/>
        </w:r>
        <w:r w:rsidR="00664206" w:rsidRPr="00664206">
          <w:rPr>
            <w:webHidden/>
            <w:sz w:val="16"/>
            <w:szCs w:val="16"/>
          </w:rPr>
          <w:t>17</w:t>
        </w:r>
        <w:r w:rsidR="00664206" w:rsidRPr="00664206">
          <w:rPr>
            <w:webHidden/>
            <w:sz w:val="16"/>
            <w:szCs w:val="16"/>
          </w:rPr>
          <w:fldChar w:fldCharType="end"/>
        </w:r>
      </w:hyperlink>
    </w:p>
    <w:p w14:paraId="74672359" w14:textId="07C52748" w:rsidR="00664206" w:rsidRPr="00664206" w:rsidRDefault="00B83132">
      <w:pPr>
        <w:pStyle w:val="Obsah1"/>
        <w:rPr>
          <w:rFonts w:eastAsiaTheme="minorEastAsia"/>
          <w:color w:val="auto"/>
          <w:sz w:val="16"/>
          <w:szCs w:val="16"/>
          <w:lang w:eastAsia="sk-SK"/>
        </w:rPr>
      </w:pPr>
      <w:hyperlink w:anchor="_Toc27409978" w:history="1">
        <w:r w:rsidR="00664206" w:rsidRPr="00664206">
          <w:rPr>
            <w:rStyle w:val="Hypertextovprepojenie"/>
            <w:sz w:val="16"/>
            <w:szCs w:val="16"/>
          </w:rPr>
          <w:t>2.11</w:t>
        </w:r>
        <w:r w:rsidR="00664206" w:rsidRPr="00664206">
          <w:rPr>
            <w:rFonts w:eastAsiaTheme="minorEastAsia"/>
            <w:color w:val="auto"/>
            <w:sz w:val="16"/>
            <w:szCs w:val="16"/>
            <w:lang w:eastAsia="sk-SK"/>
          </w:rPr>
          <w:tab/>
        </w:r>
        <w:r w:rsidR="00664206" w:rsidRPr="00664206">
          <w:rPr>
            <w:rStyle w:val="Hypertextovprepojenie"/>
            <w:sz w:val="16"/>
            <w:szCs w:val="16"/>
          </w:rPr>
          <w:t>Pohľadávky z obchodného styku a iné pohľadávky</w:t>
        </w:r>
        <w:r w:rsidR="00664206" w:rsidRPr="00664206">
          <w:rPr>
            <w:webHidden/>
            <w:sz w:val="16"/>
            <w:szCs w:val="16"/>
          </w:rPr>
          <w:tab/>
        </w:r>
        <w:r w:rsidR="00664206" w:rsidRPr="00664206">
          <w:rPr>
            <w:webHidden/>
            <w:sz w:val="16"/>
            <w:szCs w:val="16"/>
          </w:rPr>
          <w:fldChar w:fldCharType="begin"/>
        </w:r>
        <w:r w:rsidR="00664206" w:rsidRPr="00664206">
          <w:rPr>
            <w:webHidden/>
            <w:sz w:val="16"/>
            <w:szCs w:val="16"/>
          </w:rPr>
          <w:instrText xml:space="preserve"> PAGEREF _Toc27409978 \h </w:instrText>
        </w:r>
        <w:r w:rsidR="00664206" w:rsidRPr="00664206">
          <w:rPr>
            <w:webHidden/>
            <w:sz w:val="16"/>
            <w:szCs w:val="16"/>
          </w:rPr>
        </w:r>
        <w:r w:rsidR="00664206" w:rsidRPr="00664206">
          <w:rPr>
            <w:webHidden/>
            <w:sz w:val="16"/>
            <w:szCs w:val="16"/>
          </w:rPr>
          <w:fldChar w:fldCharType="separate"/>
        </w:r>
        <w:r w:rsidR="00664206" w:rsidRPr="00664206">
          <w:rPr>
            <w:webHidden/>
            <w:sz w:val="16"/>
            <w:szCs w:val="16"/>
          </w:rPr>
          <w:t>19</w:t>
        </w:r>
        <w:r w:rsidR="00664206" w:rsidRPr="00664206">
          <w:rPr>
            <w:webHidden/>
            <w:sz w:val="16"/>
            <w:szCs w:val="16"/>
          </w:rPr>
          <w:fldChar w:fldCharType="end"/>
        </w:r>
      </w:hyperlink>
    </w:p>
    <w:p w14:paraId="33C3F290" w14:textId="6CE5A618" w:rsidR="00664206" w:rsidRPr="00664206" w:rsidRDefault="00B83132">
      <w:pPr>
        <w:pStyle w:val="Obsah1"/>
        <w:rPr>
          <w:rFonts w:eastAsiaTheme="minorEastAsia"/>
          <w:color w:val="auto"/>
          <w:sz w:val="16"/>
          <w:szCs w:val="16"/>
          <w:lang w:eastAsia="sk-SK"/>
        </w:rPr>
      </w:pPr>
      <w:hyperlink w:anchor="_Toc27409979" w:history="1">
        <w:r w:rsidR="00664206" w:rsidRPr="00664206">
          <w:rPr>
            <w:rStyle w:val="Hypertextovprepojenie"/>
            <w:sz w:val="16"/>
            <w:szCs w:val="16"/>
          </w:rPr>
          <w:t>2.12</w:t>
        </w:r>
        <w:r w:rsidR="00664206" w:rsidRPr="00664206">
          <w:rPr>
            <w:rFonts w:eastAsiaTheme="minorEastAsia"/>
            <w:color w:val="auto"/>
            <w:sz w:val="16"/>
            <w:szCs w:val="16"/>
            <w:lang w:eastAsia="sk-SK"/>
          </w:rPr>
          <w:tab/>
        </w:r>
        <w:r w:rsidR="00664206" w:rsidRPr="00664206">
          <w:rPr>
            <w:rStyle w:val="Hypertextovprepojenie"/>
            <w:sz w:val="16"/>
            <w:szCs w:val="16"/>
          </w:rPr>
          <w:t>Peňažné prostriedky a peňažné ekvivalenty</w:t>
        </w:r>
        <w:r w:rsidR="00664206" w:rsidRPr="00664206">
          <w:rPr>
            <w:webHidden/>
            <w:sz w:val="16"/>
            <w:szCs w:val="16"/>
          </w:rPr>
          <w:tab/>
        </w:r>
        <w:r w:rsidR="00664206" w:rsidRPr="00664206">
          <w:rPr>
            <w:webHidden/>
            <w:sz w:val="16"/>
            <w:szCs w:val="16"/>
          </w:rPr>
          <w:fldChar w:fldCharType="begin"/>
        </w:r>
        <w:r w:rsidR="00664206" w:rsidRPr="00664206">
          <w:rPr>
            <w:webHidden/>
            <w:sz w:val="16"/>
            <w:szCs w:val="16"/>
          </w:rPr>
          <w:instrText xml:space="preserve"> PAGEREF _Toc27409979 \h </w:instrText>
        </w:r>
        <w:r w:rsidR="00664206" w:rsidRPr="00664206">
          <w:rPr>
            <w:webHidden/>
            <w:sz w:val="16"/>
            <w:szCs w:val="16"/>
          </w:rPr>
        </w:r>
        <w:r w:rsidR="00664206" w:rsidRPr="00664206">
          <w:rPr>
            <w:webHidden/>
            <w:sz w:val="16"/>
            <w:szCs w:val="16"/>
          </w:rPr>
          <w:fldChar w:fldCharType="separate"/>
        </w:r>
        <w:r w:rsidR="00664206" w:rsidRPr="00664206">
          <w:rPr>
            <w:webHidden/>
            <w:sz w:val="16"/>
            <w:szCs w:val="16"/>
          </w:rPr>
          <w:t>19</w:t>
        </w:r>
        <w:r w:rsidR="00664206" w:rsidRPr="00664206">
          <w:rPr>
            <w:webHidden/>
            <w:sz w:val="16"/>
            <w:szCs w:val="16"/>
          </w:rPr>
          <w:fldChar w:fldCharType="end"/>
        </w:r>
      </w:hyperlink>
    </w:p>
    <w:p w14:paraId="7F3D4112" w14:textId="7DA9A3AB" w:rsidR="00664206" w:rsidRPr="00664206" w:rsidRDefault="00B83132">
      <w:pPr>
        <w:pStyle w:val="Obsah1"/>
        <w:rPr>
          <w:rFonts w:eastAsiaTheme="minorEastAsia"/>
          <w:color w:val="auto"/>
          <w:sz w:val="16"/>
          <w:szCs w:val="16"/>
          <w:lang w:eastAsia="sk-SK"/>
        </w:rPr>
      </w:pPr>
      <w:hyperlink w:anchor="_Toc27409980" w:history="1">
        <w:r w:rsidR="00664206" w:rsidRPr="00664206">
          <w:rPr>
            <w:rStyle w:val="Hypertextovprepojenie"/>
            <w:sz w:val="16"/>
            <w:szCs w:val="16"/>
          </w:rPr>
          <w:t>2.13</w:t>
        </w:r>
        <w:r w:rsidR="00664206" w:rsidRPr="00664206">
          <w:rPr>
            <w:rFonts w:eastAsiaTheme="minorEastAsia"/>
            <w:color w:val="auto"/>
            <w:sz w:val="16"/>
            <w:szCs w:val="16"/>
            <w:lang w:eastAsia="sk-SK"/>
          </w:rPr>
          <w:tab/>
        </w:r>
        <w:r w:rsidR="00664206" w:rsidRPr="00664206">
          <w:rPr>
            <w:rStyle w:val="Hypertextovprepojenie"/>
            <w:sz w:val="16"/>
            <w:szCs w:val="16"/>
          </w:rPr>
          <w:t>Základné imanie</w:t>
        </w:r>
        <w:r w:rsidR="00664206" w:rsidRPr="00664206">
          <w:rPr>
            <w:webHidden/>
            <w:sz w:val="16"/>
            <w:szCs w:val="16"/>
          </w:rPr>
          <w:tab/>
        </w:r>
        <w:r w:rsidR="00664206" w:rsidRPr="00664206">
          <w:rPr>
            <w:webHidden/>
            <w:sz w:val="16"/>
            <w:szCs w:val="16"/>
          </w:rPr>
          <w:fldChar w:fldCharType="begin"/>
        </w:r>
        <w:r w:rsidR="00664206" w:rsidRPr="00664206">
          <w:rPr>
            <w:webHidden/>
            <w:sz w:val="16"/>
            <w:szCs w:val="16"/>
          </w:rPr>
          <w:instrText xml:space="preserve"> PAGEREF _Toc27409980 \h </w:instrText>
        </w:r>
        <w:r w:rsidR="00664206" w:rsidRPr="00664206">
          <w:rPr>
            <w:webHidden/>
            <w:sz w:val="16"/>
            <w:szCs w:val="16"/>
          </w:rPr>
        </w:r>
        <w:r w:rsidR="00664206" w:rsidRPr="00664206">
          <w:rPr>
            <w:webHidden/>
            <w:sz w:val="16"/>
            <w:szCs w:val="16"/>
          </w:rPr>
          <w:fldChar w:fldCharType="separate"/>
        </w:r>
        <w:r w:rsidR="00664206" w:rsidRPr="00664206">
          <w:rPr>
            <w:webHidden/>
            <w:sz w:val="16"/>
            <w:szCs w:val="16"/>
          </w:rPr>
          <w:t>19</w:t>
        </w:r>
        <w:r w:rsidR="00664206" w:rsidRPr="00664206">
          <w:rPr>
            <w:webHidden/>
            <w:sz w:val="16"/>
            <w:szCs w:val="16"/>
          </w:rPr>
          <w:fldChar w:fldCharType="end"/>
        </w:r>
      </w:hyperlink>
    </w:p>
    <w:p w14:paraId="6BF649AB" w14:textId="084DA4D5" w:rsidR="00664206" w:rsidRPr="00664206" w:rsidRDefault="00B83132">
      <w:pPr>
        <w:pStyle w:val="Obsah1"/>
        <w:rPr>
          <w:rFonts w:eastAsiaTheme="minorEastAsia"/>
          <w:color w:val="auto"/>
          <w:sz w:val="16"/>
          <w:szCs w:val="16"/>
          <w:lang w:eastAsia="sk-SK"/>
        </w:rPr>
      </w:pPr>
      <w:hyperlink w:anchor="_Toc27409981" w:history="1">
        <w:r w:rsidR="00664206" w:rsidRPr="00664206">
          <w:rPr>
            <w:rStyle w:val="Hypertextovprepojenie"/>
            <w:sz w:val="16"/>
            <w:szCs w:val="16"/>
          </w:rPr>
          <w:t>2.14</w:t>
        </w:r>
        <w:r w:rsidR="00664206" w:rsidRPr="00664206">
          <w:rPr>
            <w:rFonts w:eastAsiaTheme="minorEastAsia"/>
            <w:color w:val="auto"/>
            <w:sz w:val="16"/>
            <w:szCs w:val="16"/>
            <w:lang w:eastAsia="sk-SK"/>
          </w:rPr>
          <w:tab/>
        </w:r>
        <w:r w:rsidR="00664206" w:rsidRPr="00664206">
          <w:rPr>
            <w:rStyle w:val="Hypertextovprepojenie"/>
            <w:sz w:val="16"/>
            <w:szCs w:val="16"/>
          </w:rPr>
          <w:t>Výplata dividend</w:t>
        </w:r>
        <w:r w:rsidR="00664206" w:rsidRPr="00664206">
          <w:rPr>
            <w:webHidden/>
            <w:sz w:val="16"/>
            <w:szCs w:val="16"/>
          </w:rPr>
          <w:tab/>
        </w:r>
        <w:r w:rsidR="00664206" w:rsidRPr="00664206">
          <w:rPr>
            <w:webHidden/>
            <w:sz w:val="16"/>
            <w:szCs w:val="16"/>
          </w:rPr>
          <w:fldChar w:fldCharType="begin"/>
        </w:r>
        <w:r w:rsidR="00664206" w:rsidRPr="00664206">
          <w:rPr>
            <w:webHidden/>
            <w:sz w:val="16"/>
            <w:szCs w:val="16"/>
          </w:rPr>
          <w:instrText xml:space="preserve"> PAGEREF _Toc27409981 \h </w:instrText>
        </w:r>
        <w:r w:rsidR="00664206" w:rsidRPr="00664206">
          <w:rPr>
            <w:webHidden/>
            <w:sz w:val="16"/>
            <w:szCs w:val="16"/>
          </w:rPr>
        </w:r>
        <w:r w:rsidR="00664206" w:rsidRPr="00664206">
          <w:rPr>
            <w:webHidden/>
            <w:sz w:val="16"/>
            <w:szCs w:val="16"/>
          </w:rPr>
          <w:fldChar w:fldCharType="separate"/>
        </w:r>
        <w:r w:rsidR="00664206" w:rsidRPr="00664206">
          <w:rPr>
            <w:webHidden/>
            <w:sz w:val="16"/>
            <w:szCs w:val="16"/>
          </w:rPr>
          <w:t>19</w:t>
        </w:r>
        <w:r w:rsidR="00664206" w:rsidRPr="00664206">
          <w:rPr>
            <w:webHidden/>
            <w:sz w:val="16"/>
            <w:szCs w:val="16"/>
          </w:rPr>
          <w:fldChar w:fldCharType="end"/>
        </w:r>
      </w:hyperlink>
    </w:p>
    <w:p w14:paraId="62752852" w14:textId="464F5AAD" w:rsidR="00664206" w:rsidRPr="00664206" w:rsidRDefault="00B83132">
      <w:pPr>
        <w:pStyle w:val="Obsah1"/>
        <w:rPr>
          <w:rFonts w:eastAsiaTheme="minorEastAsia"/>
          <w:color w:val="auto"/>
          <w:sz w:val="16"/>
          <w:szCs w:val="16"/>
          <w:lang w:eastAsia="sk-SK"/>
        </w:rPr>
      </w:pPr>
      <w:hyperlink w:anchor="_Toc27409982" w:history="1">
        <w:r w:rsidR="00664206" w:rsidRPr="00664206">
          <w:rPr>
            <w:rStyle w:val="Hypertextovprepojenie"/>
            <w:sz w:val="16"/>
            <w:szCs w:val="16"/>
          </w:rPr>
          <w:t>2.15</w:t>
        </w:r>
        <w:r w:rsidR="00664206" w:rsidRPr="00664206">
          <w:rPr>
            <w:rFonts w:eastAsiaTheme="minorEastAsia"/>
            <w:color w:val="auto"/>
            <w:sz w:val="16"/>
            <w:szCs w:val="16"/>
            <w:lang w:eastAsia="sk-SK"/>
          </w:rPr>
          <w:tab/>
        </w:r>
        <w:r w:rsidR="00664206" w:rsidRPr="00664206">
          <w:rPr>
            <w:rStyle w:val="Hypertextovprepojenie"/>
            <w:sz w:val="16"/>
            <w:szCs w:val="16"/>
          </w:rPr>
          <w:t>Úvery a pôžičky</w:t>
        </w:r>
        <w:r w:rsidR="00664206" w:rsidRPr="00664206">
          <w:rPr>
            <w:webHidden/>
            <w:sz w:val="16"/>
            <w:szCs w:val="16"/>
          </w:rPr>
          <w:tab/>
        </w:r>
        <w:r w:rsidR="00664206" w:rsidRPr="00664206">
          <w:rPr>
            <w:webHidden/>
            <w:sz w:val="16"/>
            <w:szCs w:val="16"/>
          </w:rPr>
          <w:fldChar w:fldCharType="begin"/>
        </w:r>
        <w:r w:rsidR="00664206" w:rsidRPr="00664206">
          <w:rPr>
            <w:webHidden/>
            <w:sz w:val="16"/>
            <w:szCs w:val="16"/>
          </w:rPr>
          <w:instrText xml:space="preserve"> PAGEREF _Toc27409982 \h </w:instrText>
        </w:r>
        <w:r w:rsidR="00664206" w:rsidRPr="00664206">
          <w:rPr>
            <w:webHidden/>
            <w:sz w:val="16"/>
            <w:szCs w:val="16"/>
          </w:rPr>
        </w:r>
        <w:r w:rsidR="00664206" w:rsidRPr="00664206">
          <w:rPr>
            <w:webHidden/>
            <w:sz w:val="16"/>
            <w:szCs w:val="16"/>
          </w:rPr>
          <w:fldChar w:fldCharType="separate"/>
        </w:r>
        <w:r w:rsidR="00664206" w:rsidRPr="00664206">
          <w:rPr>
            <w:webHidden/>
            <w:sz w:val="16"/>
            <w:szCs w:val="16"/>
          </w:rPr>
          <w:t>19</w:t>
        </w:r>
        <w:r w:rsidR="00664206" w:rsidRPr="00664206">
          <w:rPr>
            <w:webHidden/>
            <w:sz w:val="16"/>
            <w:szCs w:val="16"/>
          </w:rPr>
          <w:fldChar w:fldCharType="end"/>
        </w:r>
      </w:hyperlink>
    </w:p>
    <w:p w14:paraId="4398ADBA" w14:textId="21723C28" w:rsidR="00664206" w:rsidRPr="00664206" w:rsidRDefault="00B83132">
      <w:pPr>
        <w:pStyle w:val="Obsah1"/>
        <w:rPr>
          <w:rFonts w:eastAsiaTheme="minorEastAsia"/>
          <w:color w:val="auto"/>
          <w:sz w:val="16"/>
          <w:szCs w:val="16"/>
          <w:lang w:eastAsia="sk-SK"/>
        </w:rPr>
      </w:pPr>
      <w:hyperlink w:anchor="_Toc27409983" w:history="1">
        <w:r w:rsidR="00664206" w:rsidRPr="00664206">
          <w:rPr>
            <w:rStyle w:val="Hypertextovprepojenie"/>
            <w:sz w:val="16"/>
            <w:szCs w:val="16"/>
          </w:rPr>
          <w:t>2.16</w:t>
        </w:r>
        <w:r w:rsidR="00664206" w:rsidRPr="00664206">
          <w:rPr>
            <w:rFonts w:eastAsiaTheme="minorEastAsia"/>
            <w:color w:val="auto"/>
            <w:sz w:val="16"/>
            <w:szCs w:val="16"/>
            <w:lang w:eastAsia="sk-SK"/>
          </w:rPr>
          <w:tab/>
        </w:r>
        <w:r w:rsidR="00664206" w:rsidRPr="00664206">
          <w:rPr>
            <w:rStyle w:val="Hypertextovprepojenie"/>
            <w:sz w:val="16"/>
            <w:szCs w:val="16"/>
          </w:rPr>
          <w:t>Záväzky z obchodného styku a ostatné záväzky</w:t>
        </w:r>
        <w:r w:rsidR="00664206" w:rsidRPr="00664206">
          <w:rPr>
            <w:webHidden/>
            <w:sz w:val="16"/>
            <w:szCs w:val="16"/>
          </w:rPr>
          <w:tab/>
        </w:r>
        <w:r w:rsidR="00664206" w:rsidRPr="00664206">
          <w:rPr>
            <w:webHidden/>
            <w:sz w:val="16"/>
            <w:szCs w:val="16"/>
          </w:rPr>
          <w:fldChar w:fldCharType="begin"/>
        </w:r>
        <w:r w:rsidR="00664206" w:rsidRPr="00664206">
          <w:rPr>
            <w:webHidden/>
            <w:sz w:val="16"/>
            <w:szCs w:val="16"/>
          </w:rPr>
          <w:instrText xml:space="preserve"> PAGEREF _Toc27409983 \h </w:instrText>
        </w:r>
        <w:r w:rsidR="00664206" w:rsidRPr="00664206">
          <w:rPr>
            <w:webHidden/>
            <w:sz w:val="16"/>
            <w:szCs w:val="16"/>
          </w:rPr>
        </w:r>
        <w:r w:rsidR="00664206" w:rsidRPr="00664206">
          <w:rPr>
            <w:webHidden/>
            <w:sz w:val="16"/>
            <w:szCs w:val="16"/>
          </w:rPr>
          <w:fldChar w:fldCharType="separate"/>
        </w:r>
        <w:r w:rsidR="00664206" w:rsidRPr="00664206">
          <w:rPr>
            <w:webHidden/>
            <w:sz w:val="16"/>
            <w:szCs w:val="16"/>
          </w:rPr>
          <w:t>20</w:t>
        </w:r>
        <w:r w:rsidR="00664206" w:rsidRPr="00664206">
          <w:rPr>
            <w:webHidden/>
            <w:sz w:val="16"/>
            <w:szCs w:val="16"/>
          </w:rPr>
          <w:fldChar w:fldCharType="end"/>
        </w:r>
      </w:hyperlink>
    </w:p>
    <w:p w14:paraId="534D8D8A" w14:textId="512D802D" w:rsidR="00664206" w:rsidRPr="00664206" w:rsidRDefault="00B83132">
      <w:pPr>
        <w:pStyle w:val="Obsah1"/>
        <w:rPr>
          <w:rFonts w:eastAsiaTheme="minorEastAsia"/>
          <w:color w:val="auto"/>
          <w:sz w:val="16"/>
          <w:szCs w:val="16"/>
          <w:lang w:eastAsia="sk-SK"/>
        </w:rPr>
      </w:pPr>
      <w:hyperlink w:anchor="_Toc27409984" w:history="1">
        <w:r w:rsidR="00664206" w:rsidRPr="00664206">
          <w:rPr>
            <w:rStyle w:val="Hypertextovprepojenie"/>
            <w:sz w:val="16"/>
            <w:szCs w:val="16"/>
          </w:rPr>
          <w:t>2.17</w:t>
        </w:r>
        <w:r w:rsidR="00664206" w:rsidRPr="00664206">
          <w:rPr>
            <w:rFonts w:eastAsiaTheme="minorEastAsia"/>
            <w:color w:val="auto"/>
            <w:sz w:val="16"/>
            <w:szCs w:val="16"/>
            <w:lang w:eastAsia="sk-SK"/>
          </w:rPr>
          <w:tab/>
        </w:r>
        <w:r w:rsidR="00664206" w:rsidRPr="00664206">
          <w:rPr>
            <w:rStyle w:val="Hypertextovprepojenie"/>
            <w:sz w:val="16"/>
            <w:szCs w:val="16"/>
          </w:rPr>
          <w:t>Dane</w:t>
        </w:r>
        <w:r w:rsidR="00664206" w:rsidRPr="00664206">
          <w:rPr>
            <w:webHidden/>
            <w:sz w:val="16"/>
            <w:szCs w:val="16"/>
          </w:rPr>
          <w:tab/>
        </w:r>
        <w:r w:rsidR="00664206" w:rsidRPr="00664206">
          <w:rPr>
            <w:webHidden/>
            <w:sz w:val="16"/>
            <w:szCs w:val="16"/>
          </w:rPr>
          <w:fldChar w:fldCharType="begin"/>
        </w:r>
        <w:r w:rsidR="00664206" w:rsidRPr="00664206">
          <w:rPr>
            <w:webHidden/>
            <w:sz w:val="16"/>
            <w:szCs w:val="16"/>
          </w:rPr>
          <w:instrText xml:space="preserve"> PAGEREF _Toc27409984 \h </w:instrText>
        </w:r>
        <w:r w:rsidR="00664206" w:rsidRPr="00664206">
          <w:rPr>
            <w:webHidden/>
            <w:sz w:val="16"/>
            <w:szCs w:val="16"/>
          </w:rPr>
        </w:r>
        <w:r w:rsidR="00664206" w:rsidRPr="00664206">
          <w:rPr>
            <w:webHidden/>
            <w:sz w:val="16"/>
            <w:szCs w:val="16"/>
          </w:rPr>
          <w:fldChar w:fldCharType="separate"/>
        </w:r>
        <w:r w:rsidR="00664206" w:rsidRPr="00664206">
          <w:rPr>
            <w:webHidden/>
            <w:sz w:val="16"/>
            <w:szCs w:val="16"/>
          </w:rPr>
          <w:t>20</w:t>
        </w:r>
        <w:r w:rsidR="00664206" w:rsidRPr="00664206">
          <w:rPr>
            <w:webHidden/>
            <w:sz w:val="16"/>
            <w:szCs w:val="16"/>
          </w:rPr>
          <w:fldChar w:fldCharType="end"/>
        </w:r>
      </w:hyperlink>
    </w:p>
    <w:p w14:paraId="613BC039" w14:textId="3ADBDBC5" w:rsidR="00664206" w:rsidRPr="00664206" w:rsidRDefault="00B83132">
      <w:pPr>
        <w:pStyle w:val="Obsah1"/>
        <w:rPr>
          <w:rFonts w:eastAsiaTheme="minorEastAsia"/>
          <w:color w:val="auto"/>
          <w:sz w:val="16"/>
          <w:szCs w:val="16"/>
          <w:lang w:eastAsia="sk-SK"/>
        </w:rPr>
      </w:pPr>
      <w:hyperlink w:anchor="_Toc27409985" w:history="1">
        <w:r w:rsidR="00664206" w:rsidRPr="00664206">
          <w:rPr>
            <w:rStyle w:val="Hypertextovprepojenie"/>
            <w:sz w:val="16"/>
            <w:szCs w:val="16"/>
          </w:rPr>
          <w:t>2.18</w:t>
        </w:r>
        <w:r w:rsidR="00664206" w:rsidRPr="00664206">
          <w:rPr>
            <w:rFonts w:eastAsiaTheme="minorEastAsia"/>
            <w:color w:val="auto"/>
            <w:sz w:val="16"/>
            <w:szCs w:val="16"/>
            <w:lang w:eastAsia="sk-SK"/>
          </w:rPr>
          <w:tab/>
        </w:r>
        <w:r w:rsidR="00664206" w:rsidRPr="00664206">
          <w:rPr>
            <w:rStyle w:val="Hypertextovprepojenie"/>
            <w:sz w:val="16"/>
            <w:szCs w:val="16"/>
          </w:rPr>
          <w:t>Zamestnanecké požitky</w:t>
        </w:r>
        <w:r w:rsidR="00664206" w:rsidRPr="00664206">
          <w:rPr>
            <w:webHidden/>
            <w:sz w:val="16"/>
            <w:szCs w:val="16"/>
          </w:rPr>
          <w:tab/>
        </w:r>
        <w:r w:rsidR="00664206" w:rsidRPr="00664206">
          <w:rPr>
            <w:webHidden/>
            <w:sz w:val="16"/>
            <w:szCs w:val="16"/>
          </w:rPr>
          <w:fldChar w:fldCharType="begin"/>
        </w:r>
        <w:r w:rsidR="00664206" w:rsidRPr="00664206">
          <w:rPr>
            <w:webHidden/>
            <w:sz w:val="16"/>
            <w:szCs w:val="16"/>
          </w:rPr>
          <w:instrText xml:space="preserve"> PAGEREF _Toc27409985 \h </w:instrText>
        </w:r>
        <w:r w:rsidR="00664206" w:rsidRPr="00664206">
          <w:rPr>
            <w:webHidden/>
            <w:sz w:val="16"/>
            <w:szCs w:val="16"/>
          </w:rPr>
        </w:r>
        <w:r w:rsidR="00664206" w:rsidRPr="00664206">
          <w:rPr>
            <w:webHidden/>
            <w:sz w:val="16"/>
            <w:szCs w:val="16"/>
          </w:rPr>
          <w:fldChar w:fldCharType="separate"/>
        </w:r>
        <w:r w:rsidR="00664206" w:rsidRPr="00664206">
          <w:rPr>
            <w:webHidden/>
            <w:sz w:val="16"/>
            <w:szCs w:val="16"/>
          </w:rPr>
          <w:t>20</w:t>
        </w:r>
        <w:r w:rsidR="00664206" w:rsidRPr="00664206">
          <w:rPr>
            <w:webHidden/>
            <w:sz w:val="16"/>
            <w:szCs w:val="16"/>
          </w:rPr>
          <w:fldChar w:fldCharType="end"/>
        </w:r>
      </w:hyperlink>
    </w:p>
    <w:p w14:paraId="4C4A236C" w14:textId="4E6211A7" w:rsidR="00664206" w:rsidRPr="00664206" w:rsidRDefault="00B83132">
      <w:pPr>
        <w:pStyle w:val="Obsah1"/>
        <w:rPr>
          <w:rFonts w:eastAsiaTheme="minorEastAsia"/>
          <w:color w:val="auto"/>
          <w:sz w:val="16"/>
          <w:szCs w:val="16"/>
          <w:lang w:eastAsia="sk-SK"/>
        </w:rPr>
      </w:pPr>
      <w:hyperlink w:anchor="_Toc27409986" w:history="1">
        <w:r w:rsidR="00664206" w:rsidRPr="00664206">
          <w:rPr>
            <w:rStyle w:val="Hypertextovprepojenie"/>
            <w:sz w:val="16"/>
            <w:szCs w:val="16"/>
          </w:rPr>
          <w:t>2.19</w:t>
        </w:r>
        <w:r w:rsidR="00664206" w:rsidRPr="00664206">
          <w:rPr>
            <w:rFonts w:eastAsiaTheme="minorEastAsia"/>
            <w:color w:val="auto"/>
            <w:sz w:val="16"/>
            <w:szCs w:val="16"/>
            <w:lang w:eastAsia="sk-SK"/>
          </w:rPr>
          <w:tab/>
        </w:r>
        <w:r w:rsidR="00664206" w:rsidRPr="00664206">
          <w:rPr>
            <w:rStyle w:val="Hypertextovprepojenie"/>
            <w:sz w:val="16"/>
            <w:szCs w:val="16"/>
          </w:rPr>
          <w:t>Rezervy na ostatné záväzky a náklady</w:t>
        </w:r>
        <w:r w:rsidR="00664206" w:rsidRPr="00664206">
          <w:rPr>
            <w:webHidden/>
            <w:sz w:val="16"/>
            <w:szCs w:val="16"/>
          </w:rPr>
          <w:tab/>
        </w:r>
        <w:r w:rsidR="00664206" w:rsidRPr="00664206">
          <w:rPr>
            <w:webHidden/>
            <w:sz w:val="16"/>
            <w:szCs w:val="16"/>
          </w:rPr>
          <w:fldChar w:fldCharType="begin"/>
        </w:r>
        <w:r w:rsidR="00664206" w:rsidRPr="00664206">
          <w:rPr>
            <w:webHidden/>
            <w:sz w:val="16"/>
            <w:szCs w:val="16"/>
          </w:rPr>
          <w:instrText xml:space="preserve"> PAGEREF _Toc27409986 \h </w:instrText>
        </w:r>
        <w:r w:rsidR="00664206" w:rsidRPr="00664206">
          <w:rPr>
            <w:webHidden/>
            <w:sz w:val="16"/>
            <w:szCs w:val="16"/>
          </w:rPr>
        </w:r>
        <w:r w:rsidR="00664206" w:rsidRPr="00664206">
          <w:rPr>
            <w:webHidden/>
            <w:sz w:val="16"/>
            <w:szCs w:val="16"/>
          </w:rPr>
          <w:fldChar w:fldCharType="separate"/>
        </w:r>
        <w:r w:rsidR="00664206" w:rsidRPr="00664206">
          <w:rPr>
            <w:webHidden/>
            <w:sz w:val="16"/>
            <w:szCs w:val="16"/>
          </w:rPr>
          <w:t>22</w:t>
        </w:r>
        <w:r w:rsidR="00664206" w:rsidRPr="00664206">
          <w:rPr>
            <w:webHidden/>
            <w:sz w:val="16"/>
            <w:szCs w:val="16"/>
          </w:rPr>
          <w:fldChar w:fldCharType="end"/>
        </w:r>
      </w:hyperlink>
    </w:p>
    <w:p w14:paraId="533DC278" w14:textId="326EA4D2" w:rsidR="00664206" w:rsidRPr="00664206" w:rsidRDefault="00B83132">
      <w:pPr>
        <w:pStyle w:val="Obsah1"/>
        <w:rPr>
          <w:rFonts w:eastAsiaTheme="minorEastAsia"/>
          <w:color w:val="auto"/>
          <w:sz w:val="16"/>
          <w:szCs w:val="16"/>
          <w:lang w:eastAsia="sk-SK"/>
        </w:rPr>
      </w:pPr>
      <w:hyperlink w:anchor="_Toc27409987" w:history="1">
        <w:r w:rsidR="00664206" w:rsidRPr="00664206">
          <w:rPr>
            <w:rStyle w:val="Hypertextovprepojenie"/>
            <w:sz w:val="16"/>
            <w:szCs w:val="16"/>
          </w:rPr>
          <w:t>2.20</w:t>
        </w:r>
        <w:r w:rsidR="00664206" w:rsidRPr="00664206">
          <w:rPr>
            <w:rFonts w:eastAsiaTheme="minorEastAsia"/>
            <w:color w:val="auto"/>
            <w:sz w:val="16"/>
            <w:szCs w:val="16"/>
            <w:lang w:eastAsia="sk-SK"/>
          </w:rPr>
          <w:tab/>
        </w:r>
        <w:r w:rsidR="00664206" w:rsidRPr="00664206">
          <w:rPr>
            <w:rStyle w:val="Hypertextovprepojenie"/>
            <w:sz w:val="16"/>
            <w:szCs w:val="16"/>
          </w:rPr>
          <w:t>Štátne dotácie</w:t>
        </w:r>
        <w:r w:rsidR="00664206" w:rsidRPr="00664206">
          <w:rPr>
            <w:webHidden/>
            <w:sz w:val="16"/>
            <w:szCs w:val="16"/>
          </w:rPr>
          <w:tab/>
        </w:r>
        <w:r w:rsidR="00664206" w:rsidRPr="00664206">
          <w:rPr>
            <w:webHidden/>
            <w:sz w:val="16"/>
            <w:szCs w:val="16"/>
          </w:rPr>
          <w:fldChar w:fldCharType="begin"/>
        </w:r>
        <w:r w:rsidR="00664206" w:rsidRPr="00664206">
          <w:rPr>
            <w:webHidden/>
            <w:sz w:val="16"/>
            <w:szCs w:val="16"/>
          </w:rPr>
          <w:instrText xml:space="preserve"> PAGEREF _Toc27409987 \h </w:instrText>
        </w:r>
        <w:r w:rsidR="00664206" w:rsidRPr="00664206">
          <w:rPr>
            <w:webHidden/>
            <w:sz w:val="16"/>
            <w:szCs w:val="16"/>
          </w:rPr>
        </w:r>
        <w:r w:rsidR="00664206" w:rsidRPr="00664206">
          <w:rPr>
            <w:webHidden/>
            <w:sz w:val="16"/>
            <w:szCs w:val="16"/>
          </w:rPr>
          <w:fldChar w:fldCharType="separate"/>
        </w:r>
        <w:r w:rsidR="00664206" w:rsidRPr="00664206">
          <w:rPr>
            <w:webHidden/>
            <w:sz w:val="16"/>
            <w:szCs w:val="16"/>
          </w:rPr>
          <w:t>22</w:t>
        </w:r>
        <w:r w:rsidR="00664206" w:rsidRPr="00664206">
          <w:rPr>
            <w:webHidden/>
            <w:sz w:val="16"/>
            <w:szCs w:val="16"/>
          </w:rPr>
          <w:fldChar w:fldCharType="end"/>
        </w:r>
      </w:hyperlink>
    </w:p>
    <w:p w14:paraId="035A6671" w14:textId="06B964F6" w:rsidR="00664206" w:rsidRPr="00664206" w:rsidRDefault="00B83132">
      <w:pPr>
        <w:pStyle w:val="Obsah1"/>
        <w:rPr>
          <w:rFonts w:eastAsiaTheme="minorEastAsia"/>
          <w:color w:val="auto"/>
          <w:sz w:val="16"/>
          <w:szCs w:val="16"/>
          <w:lang w:eastAsia="sk-SK"/>
        </w:rPr>
      </w:pPr>
      <w:hyperlink w:anchor="_Toc27409988" w:history="1">
        <w:r w:rsidR="00664206" w:rsidRPr="00664206">
          <w:rPr>
            <w:rStyle w:val="Hypertextovprepojenie"/>
            <w:sz w:val="16"/>
            <w:szCs w:val="16"/>
          </w:rPr>
          <w:t>2.21</w:t>
        </w:r>
        <w:r w:rsidR="00664206" w:rsidRPr="00664206">
          <w:rPr>
            <w:rFonts w:eastAsiaTheme="minorEastAsia"/>
            <w:color w:val="auto"/>
            <w:sz w:val="16"/>
            <w:szCs w:val="16"/>
            <w:lang w:eastAsia="sk-SK"/>
          </w:rPr>
          <w:tab/>
        </w:r>
        <w:r w:rsidR="00664206" w:rsidRPr="00664206">
          <w:rPr>
            <w:rStyle w:val="Hypertextovprepojenie"/>
            <w:sz w:val="16"/>
            <w:szCs w:val="16"/>
          </w:rPr>
          <w:t>Výdavky budúcich období a výnosy budúcich období</w:t>
        </w:r>
        <w:r w:rsidR="00664206" w:rsidRPr="00664206">
          <w:rPr>
            <w:webHidden/>
            <w:sz w:val="16"/>
            <w:szCs w:val="16"/>
          </w:rPr>
          <w:tab/>
        </w:r>
        <w:r w:rsidR="00664206" w:rsidRPr="00664206">
          <w:rPr>
            <w:webHidden/>
            <w:sz w:val="16"/>
            <w:szCs w:val="16"/>
          </w:rPr>
          <w:fldChar w:fldCharType="begin"/>
        </w:r>
        <w:r w:rsidR="00664206" w:rsidRPr="00664206">
          <w:rPr>
            <w:webHidden/>
            <w:sz w:val="16"/>
            <w:szCs w:val="16"/>
          </w:rPr>
          <w:instrText xml:space="preserve"> PAGEREF _Toc27409988 \h </w:instrText>
        </w:r>
        <w:r w:rsidR="00664206" w:rsidRPr="00664206">
          <w:rPr>
            <w:webHidden/>
            <w:sz w:val="16"/>
            <w:szCs w:val="16"/>
          </w:rPr>
        </w:r>
        <w:r w:rsidR="00664206" w:rsidRPr="00664206">
          <w:rPr>
            <w:webHidden/>
            <w:sz w:val="16"/>
            <w:szCs w:val="16"/>
          </w:rPr>
          <w:fldChar w:fldCharType="separate"/>
        </w:r>
        <w:r w:rsidR="00664206" w:rsidRPr="00664206">
          <w:rPr>
            <w:webHidden/>
            <w:sz w:val="16"/>
            <w:szCs w:val="16"/>
          </w:rPr>
          <w:t>22</w:t>
        </w:r>
        <w:r w:rsidR="00664206" w:rsidRPr="00664206">
          <w:rPr>
            <w:webHidden/>
            <w:sz w:val="16"/>
            <w:szCs w:val="16"/>
          </w:rPr>
          <w:fldChar w:fldCharType="end"/>
        </w:r>
      </w:hyperlink>
    </w:p>
    <w:p w14:paraId="3E189F4B" w14:textId="315BC144" w:rsidR="00664206" w:rsidRPr="00664206" w:rsidRDefault="00B83132">
      <w:pPr>
        <w:pStyle w:val="Obsah1"/>
        <w:rPr>
          <w:rFonts w:eastAsiaTheme="minorEastAsia"/>
          <w:color w:val="auto"/>
          <w:sz w:val="16"/>
          <w:szCs w:val="16"/>
          <w:lang w:eastAsia="sk-SK"/>
        </w:rPr>
      </w:pPr>
      <w:hyperlink w:anchor="_Toc27409989" w:history="1">
        <w:r w:rsidR="00664206" w:rsidRPr="00664206">
          <w:rPr>
            <w:rStyle w:val="Hypertextovprepojenie"/>
            <w:sz w:val="16"/>
            <w:szCs w:val="16"/>
          </w:rPr>
          <w:t>2.22</w:t>
        </w:r>
        <w:r w:rsidR="00664206" w:rsidRPr="00664206">
          <w:rPr>
            <w:rFonts w:eastAsiaTheme="minorEastAsia"/>
            <w:color w:val="auto"/>
            <w:sz w:val="16"/>
            <w:szCs w:val="16"/>
            <w:lang w:eastAsia="sk-SK"/>
          </w:rPr>
          <w:tab/>
        </w:r>
        <w:r w:rsidR="00664206" w:rsidRPr="00664206">
          <w:rPr>
            <w:rStyle w:val="Hypertextovprepojenie"/>
            <w:sz w:val="16"/>
            <w:szCs w:val="16"/>
          </w:rPr>
          <w:t>Vykazovanie výnosov</w:t>
        </w:r>
        <w:r w:rsidR="00664206" w:rsidRPr="00664206">
          <w:rPr>
            <w:webHidden/>
            <w:sz w:val="16"/>
            <w:szCs w:val="16"/>
          </w:rPr>
          <w:tab/>
        </w:r>
        <w:r w:rsidR="00664206" w:rsidRPr="00664206">
          <w:rPr>
            <w:webHidden/>
            <w:sz w:val="16"/>
            <w:szCs w:val="16"/>
          </w:rPr>
          <w:fldChar w:fldCharType="begin"/>
        </w:r>
        <w:r w:rsidR="00664206" w:rsidRPr="00664206">
          <w:rPr>
            <w:webHidden/>
            <w:sz w:val="16"/>
            <w:szCs w:val="16"/>
          </w:rPr>
          <w:instrText xml:space="preserve"> PAGEREF _Toc27409989 \h </w:instrText>
        </w:r>
        <w:r w:rsidR="00664206" w:rsidRPr="00664206">
          <w:rPr>
            <w:webHidden/>
            <w:sz w:val="16"/>
            <w:szCs w:val="16"/>
          </w:rPr>
        </w:r>
        <w:r w:rsidR="00664206" w:rsidRPr="00664206">
          <w:rPr>
            <w:webHidden/>
            <w:sz w:val="16"/>
            <w:szCs w:val="16"/>
          </w:rPr>
          <w:fldChar w:fldCharType="separate"/>
        </w:r>
        <w:r w:rsidR="00664206" w:rsidRPr="00664206">
          <w:rPr>
            <w:webHidden/>
            <w:sz w:val="16"/>
            <w:szCs w:val="16"/>
          </w:rPr>
          <w:t>22</w:t>
        </w:r>
        <w:r w:rsidR="00664206" w:rsidRPr="00664206">
          <w:rPr>
            <w:webHidden/>
            <w:sz w:val="16"/>
            <w:szCs w:val="16"/>
          </w:rPr>
          <w:fldChar w:fldCharType="end"/>
        </w:r>
      </w:hyperlink>
    </w:p>
    <w:p w14:paraId="51A3DA76" w14:textId="4178ED21" w:rsidR="00664206" w:rsidRPr="00664206" w:rsidRDefault="00B83132">
      <w:pPr>
        <w:pStyle w:val="Obsah3"/>
        <w:rPr>
          <w:rFonts w:ascii="Arial" w:eastAsiaTheme="minorEastAsia" w:hAnsi="Arial" w:cs="Arial"/>
          <w:noProof/>
          <w:sz w:val="16"/>
          <w:szCs w:val="16"/>
          <w:lang w:val="sk-SK" w:eastAsia="sk-SK"/>
        </w:rPr>
      </w:pPr>
      <w:hyperlink w:anchor="_Toc27409990" w:history="1">
        <w:r w:rsidR="00664206" w:rsidRPr="00664206">
          <w:rPr>
            <w:rStyle w:val="Hypertextovprepojenie"/>
            <w:rFonts w:ascii="Arial" w:hAnsi="Arial" w:cs="Arial"/>
            <w:noProof/>
            <w:sz w:val="16"/>
            <w:szCs w:val="16"/>
          </w:rPr>
          <w:t>3</w:t>
        </w:r>
        <w:r w:rsidR="00664206" w:rsidRPr="00664206">
          <w:rPr>
            <w:rFonts w:ascii="Arial" w:eastAsiaTheme="minorEastAsia" w:hAnsi="Arial" w:cs="Arial"/>
            <w:noProof/>
            <w:sz w:val="16"/>
            <w:szCs w:val="16"/>
            <w:lang w:val="sk-SK" w:eastAsia="sk-SK"/>
          </w:rPr>
          <w:tab/>
        </w:r>
        <w:r w:rsidR="00664206" w:rsidRPr="00664206">
          <w:rPr>
            <w:rStyle w:val="Hypertextovprepojenie"/>
            <w:rFonts w:ascii="Arial" w:hAnsi="Arial" w:cs="Arial"/>
            <w:noProof/>
            <w:sz w:val="16"/>
            <w:szCs w:val="16"/>
          </w:rPr>
          <w:t>Riadenie finančného rizika</w:t>
        </w:r>
        <w:r w:rsidR="00664206" w:rsidRPr="00664206">
          <w:rPr>
            <w:rFonts w:ascii="Arial" w:hAnsi="Arial" w:cs="Arial"/>
            <w:noProof/>
            <w:webHidden/>
            <w:sz w:val="16"/>
            <w:szCs w:val="16"/>
          </w:rPr>
          <w:tab/>
        </w:r>
        <w:r w:rsidR="00664206" w:rsidRPr="00664206">
          <w:rPr>
            <w:rFonts w:ascii="Arial" w:hAnsi="Arial" w:cs="Arial"/>
            <w:noProof/>
            <w:webHidden/>
            <w:sz w:val="16"/>
            <w:szCs w:val="16"/>
          </w:rPr>
          <w:fldChar w:fldCharType="begin"/>
        </w:r>
        <w:r w:rsidR="00664206" w:rsidRPr="00664206">
          <w:rPr>
            <w:rFonts w:ascii="Arial" w:hAnsi="Arial" w:cs="Arial"/>
            <w:noProof/>
            <w:webHidden/>
            <w:sz w:val="16"/>
            <w:szCs w:val="16"/>
          </w:rPr>
          <w:instrText xml:space="preserve"> PAGEREF _Toc27409990 \h </w:instrText>
        </w:r>
        <w:r w:rsidR="00664206" w:rsidRPr="00664206">
          <w:rPr>
            <w:rFonts w:ascii="Arial" w:hAnsi="Arial" w:cs="Arial"/>
            <w:noProof/>
            <w:webHidden/>
            <w:sz w:val="16"/>
            <w:szCs w:val="16"/>
          </w:rPr>
        </w:r>
        <w:r w:rsidR="00664206" w:rsidRPr="00664206">
          <w:rPr>
            <w:rFonts w:ascii="Arial" w:hAnsi="Arial" w:cs="Arial"/>
            <w:noProof/>
            <w:webHidden/>
            <w:sz w:val="16"/>
            <w:szCs w:val="16"/>
          </w:rPr>
          <w:fldChar w:fldCharType="separate"/>
        </w:r>
        <w:r w:rsidR="00664206" w:rsidRPr="00664206">
          <w:rPr>
            <w:rFonts w:ascii="Arial" w:hAnsi="Arial" w:cs="Arial"/>
            <w:noProof/>
            <w:webHidden/>
            <w:sz w:val="16"/>
            <w:szCs w:val="16"/>
          </w:rPr>
          <w:t>23</w:t>
        </w:r>
        <w:r w:rsidR="00664206" w:rsidRPr="00664206">
          <w:rPr>
            <w:rFonts w:ascii="Arial" w:hAnsi="Arial" w:cs="Arial"/>
            <w:noProof/>
            <w:webHidden/>
            <w:sz w:val="16"/>
            <w:szCs w:val="16"/>
          </w:rPr>
          <w:fldChar w:fldCharType="end"/>
        </w:r>
      </w:hyperlink>
    </w:p>
    <w:p w14:paraId="1600AF05" w14:textId="41FF3273" w:rsidR="00664206" w:rsidRPr="00664206" w:rsidRDefault="00B83132">
      <w:pPr>
        <w:pStyle w:val="Obsah1"/>
        <w:rPr>
          <w:rFonts w:eastAsiaTheme="minorEastAsia"/>
          <w:color w:val="auto"/>
          <w:sz w:val="16"/>
          <w:szCs w:val="16"/>
          <w:lang w:eastAsia="sk-SK"/>
        </w:rPr>
      </w:pPr>
      <w:hyperlink w:anchor="_Toc27409991" w:history="1">
        <w:r w:rsidR="00664206" w:rsidRPr="00664206">
          <w:rPr>
            <w:rStyle w:val="Hypertextovprepojenie"/>
            <w:sz w:val="16"/>
            <w:szCs w:val="16"/>
          </w:rPr>
          <w:t>3.1</w:t>
        </w:r>
        <w:r w:rsidR="00664206" w:rsidRPr="00664206">
          <w:rPr>
            <w:rFonts w:eastAsiaTheme="minorEastAsia"/>
            <w:color w:val="auto"/>
            <w:sz w:val="16"/>
            <w:szCs w:val="16"/>
            <w:lang w:eastAsia="sk-SK"/>
          </w:rPr>
          <w:tab/>
        </w:r>
        <w:r w:rsidR="00664206" w:rsidRPr="00664206">
          <w:rPr>
            <w:rStyle w:val="Hypertextovprepojenie"/>
            <w:sz w:val="16"/>
            <w:szCs w:val="16"/>
          </w:rPr>
          <w:t>Faktory finančného rizika</w:t>
        </w:r>
        <w:r w:rsidR="00664206" w:rsidRPr="00664206">
          <w:rPr>
            <w:webHidden/>
            <w:sz w:val="16"/>
            <w:szCs w:val="16"/>
          </w:rPr>
          <w:tab/>
        </w:r>
        <w:r w:rsidR="00664206" w:rsidRPr="00664206">
          <w:rPr>
            <w:webHidden/>
            <w:sz w:val="16"/>
            <w:szCs w:val="16"/>
          </w:rPr>
          <w:fldChar w:fldCharType="begin"/>
        </w:r>
        <w:r w:rsidR="00664206" w:rsidRPr="00664206">
          <w:rPr>
            <w:webHidden/>
            <w:sz w:val="16"/>
            <w:szCs w:val="16"/>
          </w:rPr>
          <w:instrText xml:space="preserve"> PAGEREF _Toc27409991 \h </w:instrText>
        </w:r>
        <w:r w:rsidR="00664206" w:rsidRPr="00664206">
          <w:rPr>
            <w:webHidden/>
            <w:sz w:val="16"/>
            <w:szCs w:val="16"/>
          </w:rPr>
        </w:r>
        <w:r w:rsidR="00664206" w:rsidRPr="00664206">
          <w:rPr>
            <w:webHidden/>
            <w:sz w:val="16"/>
            <w:szCs w:val="16"/>
          </w:rPr>
          <w:fldChar w:fldCharType="separate"/>
        </w:r>
        <w:r w:rsidR="00664206" w:rsidRPr="00664206">
          <w:rPr>
            <w:webHidden/>
            <w:sz w:val="16"/>
            <w:szCs w:val="16"/>
          </w:rPr>
          <w:t>23</w:t>
        </w:r>
        <w:r w:rsidR="00664206" w:rsidRPr="00664206">
          <w:rPr>
            <w:webHidden/>
            <w:sz w:val="16"/>
            <w:szCs w:val="16"/>
          </w:rPr>
          <w:fldChar w:fldCharType="end"/>
        </w:r>
      </w:hyperlink>
    </w:p>
    <w:p w14:paraId="3347179A" w14:textId="5A8805F7" w:rsidR="00664206" w:rsidRPr="00664206" w:rsidRDefault="00B83132">
      <w:pPr>
        <w:pStyle w:val="Obsah1"/>
        <w:rPr>
          <w:rFonts w:eastAsiaTheme="minorEastAsia"/>
          <w:color w:val="auto"/>
          <w:sz w:val="16"/>
          <w:szCs w:val="16"/>
          <w:lang w:eastAsia="sk-SK"/>
        </w:rPr>
      </w:pPr>
      <w:hyperlink w:anchor="_Toc27409992" w:history="1">
        <w:r w:rsidR="00664206" w:rsidRPr="00664206">
          <w:rPr>
            <w:rStyle w:val="Hypertextovprepojenie"/>
            <w:sz w:val="16"/>
            <w:szCs w:val="16"/>
          </w:rPr>
          <w:t>3.2</w:t>
        </w:r>
        <w:r w:rsidR="00664206" w:rsidRPr="00664206">
          <w:rPr>
            <w:rFonts w:eastAsiaTheme="minorEastAsia"/>
            <w:color w:val="auto"/>
            <w:sz w:val="16"/>
            <w:szCs w:val="16"/>
            <w:lang w:eastAsia="sk-SK"/>
          </w:rPr>
          <w:tab/>
        </w:r>
        <w:r w:rsidR="00664206" w:rsidRPr="00664206">
          <w:rPr>
            <w:rStyle w:val="Hypertextovprepojenie"/>
            <w:sz w:val="16"/>
            <w:szCs w:val="16"/>
          </w:rPr>
          <w:t>Riadenie kapitálu</w:t>
        </w:r>
        <w:r w:rsidR="00664206" w:rsidRPr="00664206">
          <w:rPr>
            <w:webHidden/>
            <w:sz w:val="16"/>
            <w:szCs w:val="16"/>
          </w:rPr>
          <w:tab/>
        </w:r>
        <w:r w:rsidR="00664206" w:rsidRPr="00664206">
          <w:rPr>
            <w:webHidden/>
            <w:sz w:val="16"/>
            <w:szCs w:val="16"/>
          </w:rPr>
          <w:fldChar w:fldCharType="begin"/>
        </w:r>
        <w:r w:rsidR="00664206" w:rsidRPr="00664206">
          <w:rPr>
            <w:webHidden/>
            <w:sz w:val="16"/>
            <w:szCs w:val="16"/>
          </w:rPr>
          <w:instrText xml:space="preserve"> PAGEREF _Toc27409992 \h </w:instrText>
        </w:r>
        <w:r w:rsidR="00664206" w:rsidRPr="00664206">
          <w:rPr>
            <w:webHidden/>
            <w:sz w:val="16"/>
            <w:szCs w:val="16"/>
          </w:rPr>
        </w:r>
        <w:r w:rsidR="00664206" w:rsidRPr="00664206">
          <w:rPr>
            <w:webHidden/>
            <w:sz w:val="16"/>
            <w:szCs w:val="16"/>
          </w:rPr>
          <w:fldChar w:fldCharType="separate"/>
        </w:r>
        <w:r w:rsidR="00664206" w:rsidRPr="00664206">
          <w:rPr>
            <w:webHidden/>
            <w:sz w:val="16"/>
            <w:szCs w:val="16"/>
          </w:rPr>
          <w:t>26</w:t>
        </w:r>
        <w:r w:rsidR="00664206" w:rsidRPr="00664206">
          <w:rPr>
            <w:webHidden/>
            <w:sz w:val="16"/>
            <w:szCs w:val="16"/>
          </w:rPr>
          <w:fldChar w:fldCharType="end"/>
        </w:r>
      </w:hyperlink>
    </w:p>
    <w:p w14:paraId="49613F0B" w14:textId="18F93D63" w:rsidR="00664206" w:rsidRPr="00664206" w:rsidRDefault="00B83132">
      <w:pPr>
        <w:pStyle w:val="Obsah1"/>
        <w:rPr>
          <w:rFonts w:eastAsiaTheme="minorEastAsia"/>
          <w:color w:val="auto"/>
          <w:sz w:val="16"/>
          <w:szCs w:val="16"/>
          <w:lang w:eastAsia="sk-SK"/>
        </w:rPr>
      </w:pPr>
      <w:hyperlink w:anchor="_Toc27409993" w:history="1">
        <w:r w:rsidR="00664206" w:rsidRPr="00664206">
          <w:rPr>
            <w:rStyle w:val="Hypertextovprepojenie"/>
            <w:sz w:val="16"/>
            <w:szCs w:val="16"/>
          </w:rPr>
          <w:t>3.3</w:t>
        </w:r>
        <w:r w:rsidR="00664206" w:rsidRPr="00664206">
          <w:rPr>
            <w:rFonts w:eastAsiaTheme="minorEastAsia"/>
            <w:color w:val="auto"/>
            <w:sz w:val="16"/>
            <w:szCs w:val="16"/>
            <w:lang w:eastAsia="sk-SK"/>
          </w:rPr>
          <w:tab/>
        </w:r>
        <w:r w:rsidR="00664206" w:rsidRPr="00664206">
          <w:rPr>
            <w:rStyle w:val="Hypertextovprepojenie"/>
            <w:sz w:val="16"/>
            <w:szCs w:val="16"/>
          </w:rPr>
          <w:t>Odhad reálnej hodnoty</w:t>
        </w:r>
        <w:r w:rsidR="00664206" w:rsidRPr="00664206">
          <w:rPr>
            <w:webHidden/>
            <w:sz w:val="16"/>
            <w:szCs w:val="16"/>
          </w:rPr>
          <w:tab/>
        </w:r>
        <w:r w:rsidR="00664206" w:rsidRPr="00664206">
          <w:rPr>
            <w:webHidden/>
            <w:sz w:val="16"/>
            <w:szCs w:val="16"/>
          </w:rPr>
          <w:fldChar w:fldCharType="begin"/>
        </w:r>
        <w:r w:rsidR="00664206" w:rsidRPr="00664206">
          <w:rPr>
            <w:webHidden/>
            <w:sz w:val="16"/>
            <w:szCs w:val="16"/>
          </w:rPr>
          <w:instrText xml:space="preserve"> PAGEREF _Toc27409993 \h </w:instrText>
        </w:r>
        <w:r w:rsidR="00664206" w:rsidRPr="00664206">
          <w:rPr>
            <w:webHidden/>
            <w:sz w:val="16"/>
            <w:szCs w:val="16"/>
          </w:rPr>
        </w:r>
        <w:r w:rsidR="00664206" w:rsidRPr="00664206">
          <w:rPr>
            <w:webHidden/>
            <w:sz w:val="16"/>
            <w:szCs w:val="16"/>
          </w:rPr>
          <w:fldChar w:fldCharType="separate"/>
        </w:r>
        <w:r w:rsidR="00664206" w:rsidRPr="00664206">
          <w:rPr>
            <w:webHidden/>
            <w:sz w:val="16"/>
            <w:szCs w:val="16"/>
          </w:rPr>
          <w:t>27</w:t>
        </w:r>
        <w:r w:rsidR="00664206" w:rsidRPr="00664206">
          <w:rPr>
            <w:webHidden/>
            <w:sz w:val="16"/>
            <w:szCs w:val="16"/>
          </w:rPr>
          <w:fldChar w:fldCharType="end"/>
        </w:r>
      </w:hyperlink>
    </w:p>
    <w:p w14:paraId="32BC6981" w14:textId="66A2FDCD" w:rsidR="00664206" w:rsidRPr="00664206" w:rsidRDefault="00B83132">
      <w:pPr>
        <w:pStyle w:val="Obsah3"/>
        <w:rPr>
          <w:rFonts w:ascii="Arial" w:eastAsiaTheme="minorEastAsia" w:hAnsi="Arial" w:cs="Arial"/>
          <w:noProof/>
          <w:sz w:val="16"/>
          <w:szCs w:val="16"/>
          <w:lang w:val="sk-SK" w:eastAsia="sk-SK"/>
        </w:rPr>
      </w:pPr>
      <w:hyperlink w:anchor="_Toc27409994" w:history="1">
        <w:r w:rsidR="00664206" w:rsidRPr="00664206">
          <w:rPr>
            <w:rStyle w:val="Hypertextovprepojenie"/>
            <w:rFonts w:ascii="Arial" w:hAnsi="Arial" w:cs="Arial"/>
            <w:noProof/>
            <w:sz w:val="16"/>
            <w:szCs w:val="16"/>
          </w:rPr>
          <w:t>4</w:t>
        </w:r>
        <w:r w:rsidR="00664206" w:rsidRPr="00664206">
          <w:rPr>
            <w:rFonts w:ascii="Arial" w:eastAsiaTheme="minorEastAsia" w:hAnsi="Arial" w:cs="Arial"/>
            <w:noProof/>
            <w:sz w:val="16"/>
            <w:szCs w:val="16"/>
            <w:lang w:val="sk-SK" w:eastAsia="sk-SK"/>
          </w:rPr>
          <w:tab/>
        </w:r>
        <w:r w:rsidR="00664206" w:rsidRPr="00664206">
          <w:rPr>
            <w:rStyle w:val="Hypertextovprepojenie"/>
            <w:rFonts w:ascii="Arial" w:hAnsi="Arial" w:cs="Arial"/>
            <w:noProof/>
            <w:sz w:val="16"/>
            <w:szCs w:val="16"/>
          </w:rPr>
          <w:t>Zásadné účtovné odhady a predpoklady</w:t>
        </w:r>
        <w:r w:rsidR="00664206" w:rsidRPr="00664206">
          <w:rPr>
            <w:rFonts w:ascii="Arial" w:hAnsi="Arial" w:cs="Arial"/>
            <w:noProof/>
            <w:webHidden/>
            <w:sz w:val="16"/>
            <w:szCs w:val="16"/>
          </w:rPr>
          <w:tab/>
        </w:r>
        <w:r w:rsidR="00664206" w:rsidRPr="00664206">
          <w:rPr>
            <w:rFonts w:ascii="Arial" w:hAnsi="Arial" w:cs="Arial"/>
            <w:noProof/>
            <w:webHidden/>
            <w:sz w:val="16"/>
            <w:szCs w:val="16"/>
          </w:rPr>
          <w:fldChar w:fldCharType="begin"/>
        </w:r>
        <w:r w:rsidR="00664206" w:rsidRPr="00664206">
          <w:rPr>
            <w:rFonts w:ascii="Arial" w:hAnsi="Arial" w:cs="Arial"/>
            <w:noProof/>
            <w:webHidden/>
            <w:sz w:val="16"/>
            <w:szCs w:val="16"/>
          </w:rPr>
          <w:instrText xml:space="preserve"> PAGEREF _Toc27409994 \h </w:instrText>
        </w:r>
        <w:r w:rsidR="00664206" w:rsidRPr="00664206">
          <w:rPr>
            <w:rFonts w:ascii="Arial" w:hAnsi="Arial" w:cs="Arial"/>
            <w:noProof/>
            <w:webHidden/>
            <w:sz w:val="16"/>
            <w:szCs w:val="16"/>
          </w:rPr>
        </w:r>
        <w:r w:rsidR="00664206" w:rsidRPr="00664206">
          <w:rPr>
            <w:rFonts w:ascii="Arial" w:hAnsi="Arial" w:cs="Arial"/>
            <w:noProof/>
            <w:webHidden/>
            <w:sz w:val="16"/>
            <w:szCs w:val="16"/>
          </w:rPr>
          <w:fldChar w:fldCharType="separate"/>
        </w:r>
        <w:r w:rsidR="00664206" w:rsidRPr="00664206">
          <w:rPr>
            <w:rFonts w:ascii="Arial" w:hAnsi="Arial" w:cs="Arial"/>
            <w:noProof/>
            <w:webHidden/>
            <w:sz w:val="16"/>
            <w:szCs w:val="16"/>
          </w:rPr>
          <w:t>27</w:t>
        </w:r>
        <w:r w:rsidR="00664206" w:rsidRPr="00664206">
          <w:rPr>
            <w:rFonts w:ascii="Arial" w:hAnsi="Arial" w:cs="Arial"/>
            <w:noProof/>
            <w:webHidden/>
            <w:sz w:val="16"/>
            <w:szCs w:val="16"/>
          </w:rPr>
          <w:fldChar w:fldCharType="end"/>
        </w:r>
      </w:hyperlink>
    </w:p>
    <w:p w14:paraId="012851E8" w14:textId="6413744B" w:rsidR="00664206" w:rsidRPr="00664206" w:rsidRDefault="00B83132">
      <w:pPr>
        <w:pStyle w:val="Obsah3"/>
        <w:rPr>
          <w:rFonts w:ascii="Arial" w:eastAsiaTheme="minorEastAsia" w:hAnsi="Arial" w:cs="Arial"/>
          <w:noProof/>
          <w:sz w:val="16"/>
          <w:szCs w:val="16"/>
          <w:lang w:val="sk-SK" w:eastAsia="sk-SK"/>
        </w:rPr>
      </w:pPr>
      <w:hyperlink w:anchor="_Toc27409995" w:history="1">
        <w:r w:rsidR="00664206" w:rsidRPr="00664206">
          <w:rPr>
            <w:rStyle w:val="Hypertextovprepojenie"/>
            <w:rFonts w:ascii="Arial" w:hAnsi="Arial" w:cs="Arial"/>
            <w:noProof/>
            <w:sz w:val="16"/>
            <w:szCs w:val="16"/>
          </w:rPr>
          <w:t>5</w:t>
        </w:r>
        <w:r w:rsidR="00664206" w:rsidRPr="00664206">
          <w:rPr>
            <w:rFonts w:ascii="Arial" w:eastAsiaTheme="minorEastAsia" w:hAnsi="Arial" w:cs="Arial"/>
            <w:noProof/>
            <w:sz w:val="16"/>
            <w:szCs w:val="16"/>
            <w:lang w:val="sk-SK" w:eastAsia="sk-SK"/>
          </w:rPr>
          <w:tab/>
        </w:r>
        <w:r w:rsidR="00664206" w:rsidRPr="00664206">
          <w:rPr>
            <w:rStyle w:val="Hypertextovprepojenie"/>
            <w:rFonts w:ascii="Arial" w:hAnsi="Arial" w:cs="Arial"/>
            <w:noProof/>
            <w:sz w:val="16"/>
            <w:szCs w:val="16"/>
          </w:rPr>
          <w:t>Nehmotný majetok</w:t>
        </w:r>
        <w:r w:rsidR="00664206" w:rsidRPr="00664206">
          <w:rPr>
            <w:rFonts w:ascii="Arial" w:hAnsi="Arial" w:cs="Arial"/>
            <w:noProof/>
            <w:webHidden/>
            <w:sz w:val="16"/>
            <w:szCs w:val="16"/>
          </w:rPr>
          <w:tab/>
        </w:r>
        <w:r w:rsidR="00664206" w:rsidRPr="00664206">
          <w:rPr>
            <w:rFonts w:ascii="Arial" w:hAnsi="Arial" w:cs="Arial"/>
            <w:noProof/>
            <w:webHidden/>
            <w:sz w:val="16"/>
            <w:szCs w:val="16"/>
          </w:rPr>
          <w:fldChar w:fldCharType="begin"/>
        </w:r>
        <w:r w:rsidR="00664206" w:rsidRPr="00664206">
          <w:rPr>
            <w:rFonts w:ascii="Arial" w:hAnsi="Arial" w:cs="Arial"/>
            <w:noProof/>
            <w:webHidden/>
            <w:sz w:val="16"/>
            <w:szCs w:val="16"/>
          </w:rPr>
          <w:instrText xml:space="preserve"> PAGEREF _Toc27409995 \h </w:instrText>
        </w:r>
        <w:r w:rsidR="00664206" w:rsidRPr="00664206">
          <w:rPr>
            <w:rFonts w:ascii="Arial" w:hAnsi="Arial" w:cs="Arial"/>
            <w:noProof/>
            <w:webHidden/>
            <w:sz w:val="16"/>
            <w:szCs w:val="16"/>
          </w:rPr>
        </w:r>
        <w:r w:rsidR="00664206" w:rsidRPr="00664206">
          <w:rPr>
            <w:rFonts w:ascii="Arial" w:hAnsi="Arial" w:cs="Arial"/>
            <w:noProof/>
            <w:webHidden/>
            <w:sz w:val="16"/>
            <w:szCs w:val="16"/>
          </w:rPr>
          <w:fldChar w:fldCharType="separate"/>
        </w:r>
        <w:r w:rsidR="00664206" w:rsidRPr="00664206">
          <w:rPr>
            <w:rFonts w:ascii="Arial" w:hAnsi="Arial" w:cs="Arial"/>
            <w:noProof/>
            <w:webHidden/>
            <w:sz w:val="16"/>
            <w:szCs w:val="16"/>
          </w:rPr>
          <w:t>28</w:t>
        </w:r>
        <w:r w:rsidR="00664206" w:rsidRPr="00664206">
          <w:rPr>
            <w:rFonts w:ascii="Arial" w:hAnsi="Arial" w:cs="Arial"/>
            <w:noProof/>
            <w:webHidden/>
            <w:sz w:val="16"/>
            <w:szCs w:val="16"/>
          </w:rPr>
          <w:fldChar w:fldCharType="end"/>
        </w:r>
      </w:hyperlink>
    </w:p>
    <w:p w14:paraId="02DAF52C" w14:textId="389DCBDB" w:rsidR="00664206" w:rsidRPr="00664206" w:rsidRDefault="00B83132">
      <w:pPr>
        <w:pStyle w:val="Obsah3"/>
        <w:rPr>
          <w:rFonts w:ascii="Arial" w:eastAsiaTheme="minorEastAsia" w:hAnsi="Arial" w:cs="Arial"/>
          <w:noProof/>
          <w:sz w:val="16"/>
          <w:szCs w:val="16"/>
          <w:lang w:val="sk-SK" w:eastAsia="sk-SK"/>
        </w:rPr>
      </w:pPr>
      <w:hyperlink w:anchor="_Toc27409996" w:history="1">
        <w:r w:rsidR="00664206" w:rsidRPr="00664206">
          <w:rPr>
            <w:rStyle w:val="Hypertextovprepojenie"/>
            <w:rFonts w:ascii="Arial" w:hAnsi="Arial" w:cs="Arial"/>
            <w:noProof/>
            <w:sz w:val="16"/>
            <w:szCs w:val="16"/>
          </w:rPr>
          <w:t>6</w:t>
        </w:r>
        <w:r w:rsidR="00664206" w:rsidRPr="00664206">
          <w:rPr>
            <w:rFonts w:ascii="Arial" w:eastAsiaTheme="minorEastAsia" w:hAnsi="Arial" w:cs="Arial"/>
            <w:noProof/>
            <w:sz w:val="16"/>
            <w:szCs w:val="16"/>
            <w:lang w:val="sk-SK" w:eastAsia="sk-SK"/>
          </w:rPr>
          <w:tab/>
        </w:r>
        <w:r w:rsidR="00664206" w:rsidRPr="00664206">
          <w:rPr>
            <w:rStyle w:val="Hypertextovprepojenie"/>
            <w:rFonts w:ascii="Arial" w:hAnsi="Arial" w:cs="Arial"/>
            <w:noProof/>
            <w:sz w:val="16"/>
            <w:szCs w:val="16"/>
          </w:rPr>
          <w:t>Dlhodobý hmotný majetok</w:t>
        </w:r>
        <w:r w:rsidR="00664206" w:rsidRPr="00664206">
          <w:rPr>
            <w:rFonts w:ascii="Arial" w:hAnsi="Arial" w:cs="Arial"/>
            <w:noProof/>
            <w:webHidden/>
            <w:sz w:val="16"/>
            <w:szCs w:val="16"/>
          </w:rPr>
          <w:tab/>
        </w:r>
        <w:r w:rsidR="00664206" w:rsidRPr="00664206">
          <w:rPr>
            <w:rFonts w:ascii="Arial" w:hAnsi="Arial" w:cs="Arial"/>
            <w:noProof/>
            <w:webHidden/>
            <w:sz w:val="16"/>
            <w:szCs w:val="16"/>
          </w:rPr>
          <w:fldChar w:fldCharType="begin"/>
        </w:r>
        <w:r w:rsidR="00664206" w:rsidRPr="00664206">
          <w:rPr>
            <w:rFonts w:ascii="Arial" w:hAnsi="Arial" w:cs="Arial"/>
            <w:noProof/>
            <w:webHidden/>
            <w:sz w:val="16"/>
            <w:szCs w:val="16"/>
          </w:rPr>
          <w:instrText xml:space="preserve"> PAGEREF _Toc27409996 \h </w:instrText>
        </w:r>
        <w:r w:rsidR="00664206" w:rsidRPr="00664206">
          <w:rPr>
            <w:rFonts w:ascii="Arial" w:hAnsi="Arial" w:cs="Arial"/>
            <w:noProof/>
            <w:webHidden/>
            <w:sz w:val="16"/>
            <w:szCs w:val="16"/>
          </w:rPr>
        </w:r>
        <w:r w:rsidR="00664206" w:rsidRPr="00664206">
          <w:rPr>
            <w:rFonts w:ascii="Arial" w:hAnsi="Arial" w:cs="Arial"/>
            <w:noProof/>
            <w:webHidden/>
            <w:sz w:val="16"/>
            <w:szCs w:val="16"/>
          </w:rPr>
          <w:fldChar w:fldCharType="separate"/>
        </w:r>
        <w:r w:rsidR="00664206" w:rsidRPr="00664206">
          <w:rPr>
            <w:rFonts w:ascii="Arial" w:hAnsi="Arial" w:cs="Arial"/>
            <w:noProof/>
            <w:webHidden/>
            <w:sz w:val="16"/>
            <w:szCs w:val="16"/>
          </w:rPr>
          <w:t>29</w:t>
        </w:r>
        <w:r w:rsidR="00664206" w:rsidRPr="00664206">
          <w:rPr>
            <w:rFonts w:ascii="Arial" w:hAnsi="Arial" w:cs="Arial"/>
            <w:noProof/>
            <w:webHidden/>
            <w:sz w:val="16"/>
            <w:szCs w:val="16"/>
          </w:rPr>
          <w:fldChar w:fldCharType="end"/>
        </w:r>
      </w:hyperlink>
    </w:p>
    <w:p w14:paraId="24FC3BD4" w14:textId="04340C1C" w:rsidR="00664206" w:rsidRPr="00664206" w:rsidRDefault="00B83132">
      <w:pPr>
        <w:pStyle w:val="Obsah3"/>
        <w:rPr>
          <w:rFonts w:ascii="Arial" w:eastAsiaTheme="minorEastAsia" w:hAnsi="Arial" w:cs="Arial"/>
          <w:noProof/>
          <w:sz w:val="16"/>
          <w:szCs w:val="16"/>
          <w:lang w:val="sk-SK" w:eastAsia="sk-SK"/>
        </w:rPr>
      </w:pPr>
      <w:hyperlink w:anchor="_Toc27409997" w:history="1">
        <w:r w:rsidR="00664206" w:rsidRPr="00664206">
          <w:rPr>
            <w:rStyle w:val="Hypertextovprepojenie"/>
            <w:rFonts w:ascii="Arial" w:hAnsi="Arial" w:cs="Arial"/>
            <w:noProof/>
            <w:sz w:val="16"/>
            <w:szCs w:val="16"/>
          </w:rPr>
          <w:t>7</w:t>
        </w:r>
        <w:r w:rsidR="00664206" w:rsidRPr="00664206">
          <w:rPr>
            <w:rFonts w:ascii="Arial" w:eastAsiaTheme="minorEastAsia" w:hAnsi="Arial" w:cs="Arial"/>
            <w:noProof/>
            <w:sz w:val="16"/>
            <w:szCs w:val="16"/>
            <w:lang w:val="sk-SK" w:eastAsia="sk-SK"/>
          </w:rPr>
          <w:tab/>
        </w:r>
        <w:r w:rsidR="00664206" w:rsidRPr="00664206">
          <w:rPr>
            <w:rStyle w:val="Hypertextovprepojenie"/>
            <w:rFonts w:ascii="Arial" w:hAnsi="Arial" w:cs="Arial"/>
            <w:noProof/>
            <w:sz w:val="16"/>
            <w:szCs w:val="16"/>
          </w:rPr>
          <w:t>Konsolidácia</w:t>
        </w:r>
        <w:r w:rsidR="00664206" w:rsidRPr="00664206">
          <w:rPr>
            <w:rFonts w:ascii="Arial" w:hAnsi="Arial" w:cs="Arial"/>
            <w:noProof/>
            <w:webHidden/>
            <w:sz w:val="16"/>
            <w:szCs w:val="16"/>
          </w:rPr>
          <w:tab/>
        </w:r>
        <w:r w:rsidR="00664206" w:rsidRPr="00664206">
          <w:rPr>
            <w:rFonts w:ascii="Arial" w:hAnsi="Arial" w:cs="Arial"/>
            <w:noProof/>
            <w:webHidden/>
            <w:sz w:val="16"/>
            <w:szCs w:val="16"/>
          </w:rPr>
          <w:fldChar w:fldCharType="begin"/>
        </w:r>
        <w:r w:rsidR="00664206" w:rsidRPr="00664206">
          <w:rPr>
            <w:rFonts w:ascii="Arial" w:hAnsi="Arial" w:cs="Arial"/>
            <w:noProof/>
            <w:webHidden/>
            <w:sz w:val="16"/>
            <w:szCs w:val="16"/>
          </w:rPr>
          <w:instrText xml:space="preserve"> PAGEREF _Toc27409997 \h </w:instrText>
        </w:r>
        <w:r w:rsidR="00664206" w:rsidRPr="00664206">
          <w:rPr>
            <w:rFonts w:ascii="Arial" w:hAnsi="Arial" w:cs="Arial"/>
            <w:noProof/>
            <w:webHidden/>
            <w:sz w:val="16"/>
            <w:szCs w:val="16"/>
          </w:rPr>
        </w:r>
        <w:r w:rsidR="00664206" w:rsidRPr="00664206">
          <w:rPr>
            <w:rFonts w:ascii="Arial" w:hAnsi="Arial" w:cs="Arial"/>
            <w:noProof/>
            <w:webHidden/>
            <w:sz w:val="16"/>
            <w:szCs w:val="16"/>
          </w:rPr>
          <w:fldChar w:fldCharType="separate"/>
        </w:r>
        <w:r w:rsidR="00664206" w:rsidRPr="00664206">
          <w:rPr>
            <w:rFonts w:ascii="Arial" w:hAnsi="Arial" w:cs="Arial"/>
            <w:noProof/>
            <w:webHidden/>
            <w:sz w:val="16"/>
            <w:szCs w:val="16"/>
          </w:rPr>
          <w:t>30</w:t>
        </w:r>
        <w:r w:rsidR="00664206" w:rsidRPr="00664206">
          <w:rPr>
            <w:rFonts w:ascii="Arial" w:hAnsi="Arial" w:cs="Arial"/>
            <w:noProof/>
            <w:webHidden/>
            <w:sz w:val="16"/>
            <w:szCs w:val="16"/>
          </w:rPr>
          <w:fldChar w:fldCharType="end"/>
        </w:r>
      </w:hyperlink>
    </w:p>
    <w:p w14:paraId="7B9004BF" w14:textId="3DE20B47" w:rsidR="00664206" w:rsidRPr="00664206" w:rsidRDefault="00B83132">
      <w:pPr>
        <w:pStyle w:val="Obsah3"/>
        <w:rPr>
          <w:rFonts w:ascii="Arial" w:eastAsiaTheme="minorEastAsia" w:hAnsi="Arial" w:cs="Arial"/>
          <w:noProof/>
          <w:sz w:val="16"/>
          <w:szCs w:val="16"/>
          <w:lang w:val="sk-SK" w:eastAsia="sk-SK"/>
        </w:rPr>
      </w:pPr>
      <w:hyperlink w:anchor="_Toc27409998" w:history="1">
        <w:r w:rsidR="00664206" w:rsidRPr="00664206">
          <w:rPr>
            <w:rStyle w:val="Hypertextovprepojenie"/>
            <w:rFonts w:ascii="Arial" w:hAnsi="Arial" w:cs="Arial"/>
            <w:noProof/>
            <w:sz w:val="16"/>
            <w:szCs w:val="16"/>
            <w:lang w:val="sk-SK"/>
          </w:rPr>
          <w:t>8</w:t>
        </w:r>
        <w:r w:rsidR="00664206" w:rsidRPr="00664206">
          <w:rPr>
            <w:rFonts w:ascii="Arial" w:eastAsiaTheme="minorEastAsia" w:hAnsi="Arial" w:cs="Arial"/>
            <w:noProof/>
            <w:sz w:val="16"/>
            <w:szCs w:val="16"/>
            <w:lang w:val="sk-SK" w:eastAsia="sk-SK"/>
          </w:rPr>
          <w:tab/>
        </w:r>
        <w:r w:rsidR="00664206" w:rsidRPr="00664206">
          <w:rPr>
            <w:rStyle w:val="Hypertextovprepojenie"/>
            <w:rFonts w:ascii="Arial" w:hAnsi="Arial" w:cs="Arial"/>
            <w:noProof/>
            <w:sz w:val="16"/>
            <w:szCs w:val="16"/>
            <w:lang w:val="sk-SK"/>
          </w:rPr>
          <w:t>Investície v pridružených spoločnostiach a spoločných podnikoch</w:t>
        </w:r>
        <w:r w:rsidR="00664206" w:rsidRPr="00664206">
          <w:rPr>
            <w:rFonts w:ascii="Arial" w:hAnsi="Arial" w:cs="Arial"/>
            <w:noProof/>
            <w:webHidden/>
            <w:sz w:val="16"/>
            <w:szCs w:val="16"/>
          </w:rPr>
          <w:tab/>
        </w:r>
        <w:r w:rsidR="00664206" w:rsidRPr="00664206">
          <w:rPr>
            <w:rFonts w:ascii="Arial" w:hAnsi="Arial" w:cs="Arial"/>
            <w:noProof/>
            <w:webHidden/>
            <w:sz w:val="16"/>
            <w:szCs w:val="16"/>
          </w:rPr>
          <w:fldChar w:fldCharType="begin"/>
        </w:r>
        <w:r w:rsidR="00664206" w:rsidRPr="00664206">
          <w:rPr>
            <w:rFonts w:ascii="Arial" w:hAnsi="Arial" w:cs="Arial"/>
            <w:noProof/>
            <w:webHidden/>
            <w:sz w:val="16"/>
            <w:szCs w:val="16"/>
          </w:rPr>
          <w:instrText xml:space="preserve"> PAGEREF _Toc27409998 \h </w:instrText>
        </w:r>
        <w:r w:rsidR="00664206" w:rsidRPr="00664206">
          <w:rPr>
            <w:rFonts w:ascii="Arial" w:hAnsi="Arial" w:cs="Arial"/>
            <w:noProof/>
            <w:webHidden/>
            <w:sz w:val="16"/>
            <w:szCs w:val="16"/>
          </w:rPr>
        </w:r>
        <w:r w:rsidR="00664206" w:rsidRPr="00664206">
          <w:rPr>
            <w:rFonts w:ascii="Arial" w:hAnsi="Arial" w:cs="Arial"/>
            <w:noProof/>
            <w:webHidden/>
            <w:sz w:val="16"/>
            <w:szCs w:val="16"/>
          </w:rPr>
          <w:fldChar w:fldCharType="separate"/>
        </w:r>
        <w:r w:rsidR="00664206" w:rsidRPr="00664206">
          <w:rPr>
            <w:rFonts w:ascii="Arial" w:hAnsi="Arial" w:cs="Arial"/>
            <w:noProof/>
            <w:webHidden/>
            <w:sz w:val="16"/>
            <w:szCs w:val="16"/>
          </w:rPr>
          <w:t>30</w:t>
        </w:r>
        <w:r w:rsidR="00664206" w:rsidRPr="00664206">
          <w:rPr>
            <w:rFonts w:ascii="Arial" w:hAnsi="Arial" w:cs="Arial"/>
            <w:noProof/>
            <w:webHidden/>
            <w:sz w:val="16"/>
            <w:szCs w:val="16"/>
          </w:rPr>
          <w:fldChar w:fldCharType="end"/>
        </w:r>
      </w:hyperlink>
    </w:p>
    <w:p w14:paraId="5F1304F0" w14:textId="6D0D0FD7" w:rsidR="00664206" w:rsidRPr="00664206" w:rsidRDefault="00B83132">
      <w:pPr>
        <w:pStyle w:val="Obsah3"/>
        <w:rPr>
          <w:rFonts w:ascii="Arial" w:eastAsiaTheme="minorEastAsia" w:hAnsi="Arial" w:cs="Arial"/>
          <w:noProof/>
          <w:sz w:val="16"/>
          <w:szCs w:val="16"/>
          <w:lang w:val="sk-SK" w:eastAsia="sk-SK"/>
        </w:rPr>
      </w:pPr>
      <w:hyperlink w:anchor="_Toc27409999" w:history="1">
        <w:r w:rsidR="00664206" w:rsidRPr="00664206">
          <w:rPr>
            <w:rStyle w:val="Hypertextovprepojenie"/>
            <w:rFonts w:ascii="Arial" w:hAnsi="Arial" w:cs="Arial"/>
            <w:noProof/>
            <w:sz w:val="16"/>
            <w:szCs w:val="16"/>
          </w:rPr>
          <w:t>9</w:t>
        </w:r>
        <w:r w:rsidR="00664206" w:rsidRPr="00664206">
          <w:rPr>
            <w:rFonts w:ascii="Arial" w:eastAsiaTheme="minorEastAsia" w:hAnsi="Arial" w:cs="Arial"/>
            <w:noProof/>
            <w:sz w:val="16"/>
            <w:szCs w:val="16"/>
            <w:lang w:val="sk-SK" w:eastAsia="sk-SK"/>
          </w:rPr>
          <w:tab/>
        </w:r>
        <w:r w:rsidR="00664206" w:rsidRPr="00664206">
          <w:rPr>
            <w:rStyle w:val="Hypertextovprepojenie"/>
            <w:rFonts w:ascii="Arial" w:hAnsi="Arial" w:cs="Arial"/>
            <w:noProof/>
            <w:sz w:val="16"/>
            <w:szCs w:val="16"/>
          </w:rPr>
          <w:t>Finančné nástroje podľa kategórie</w:t>
        </w:r>
        <w:r w:rsidR="00664206" w:rsidRPr="00664206">
          <w:rPr>
            <w:rFonts w:ascii="Arial" w:hAnsi="Arial" w:cs="Arial"/>
            <w:noProof/>
            <w:webHidden/>
            <w:sz w:val="16"/>
            <w:szCs w:val="16"/>
          </w:rPr>
          <w:tab/>
        </w:r>
        <w:r w:rsidR="00664206" w:rsidRPr="00664206">
          <w:rPr>
            <w:rFonts w:ascii="Arial" w:hAnsi="Arial" w:cs="Arial"/>
            <w:noProof/>
            <w:webHidden/>
            <w:sz w:val="16"/>
            <w:szCs w:val="16"/>
          </w:rPr>
          <w:fldChar w:fldCharType="begin"/>
        </w:r>
        <w:r w:rsidR="00664206" w:rsidRPr="00664206">
          <w:rPr>
            <w:rFonts w:ascii="Arial" w:hAnsi="Arial" w:cs="Arial"/>
            <w:noProof/>
            <w:webHidden/>
            <w:sz w:val="16"/>
            <w:szCs w:val="16"/>
          </w:rPr>
          <w:instrText xml:space="preserve"> PAGEREF _Toc27409999 \h </w:instrText>
        </w:r>
        <w:r w:rsidR="00664206" w:rsidRPr="00664206">
          <w:rPr>
            <w:rFonts w:ascii="Arial" w:hAnsi="Arial" w:cs="Arial"/>
            <w:noProof/>
            <w:webHidden/>
            <w:sz w:val="16"/>
            <w:szCs w:val="16"/>
          </w:rPr>
        </w:r>
        <w:r w:rsidR="00664206" w:rsidRPr="00664206">
          <w:rPr>
            <w:rFonts w:ascii="Arial" w:hAnsi="Arial" w:cs="Arial"/>
            <w:noProof/>
            <w:webHidden/>
            <w:sz w:val="16"/>
            <w:szCs w:val="16"/>
          </w:rPr>
          <w:fldChar w:fldCharType="separate"/>
        </w:r>
        <w:r w:rsidR="00664206" w:rsidRPr="00664206">
          <w:rPr>
            <w:rFonts w:ascii="Arial" w:hAnsi="Arial" w:cs="Arial"/>
            <w:noProof/>
            <w:webHidden/>
            <w:sz w:val="16"/>
            <w:szCs w:val="16"/>
          </w:rPr>
          <w:t>31</w:t>
        </w:r>
        <w:r w:rsidR="00664206" w:rsidRPr="00664206">
          <w:rPr>
            <w:rFonts w:ascii="Arial" w:hAnsi="Arial" w:cs="Arial"/>
            <w:noProof/>
            <w:webHidden/>
            <w:sz w:val="16"/>
            <w:szCs w:val="16"/>
          </w:rPr>
          <w:fldChar w:fldCharType="end"/>
        </w:r>
      </w:hyperlink>
    </w:p>
    <w:p w14:paraId="77B162D8" w14:textId="2DC9B576" w:rsidR="00664206" w:rsidRPr="00664206" w:rsidRDefault="00B83132">
      <w:pPr>
        <w:pStyle w:val="Obsah3"/>
        <w:rPr>
          <w:rFonts w:ascii="Arial" w:eastAsiaTheme="minorEastAsia" w:hAnsi="Arial" w:cs="Arial"/>
          <w:noProof/>
          <w:sz w:val="16"/>
          <w:szCs w:val="16"/>
          <w:lang w:val="sk-SK" w:eastAsia="sk-SK"/>
        </w:rPr>
      </w:pPr>
      <w:hyperlink w:anchor="_Toc27410000" w:history="1">
        <w:r w:rsidR="00664206" w:rsidRPr="00664206">
          <w:rPr>
            <w:rStyle w:val="Hypertextovprepojenie"/>
            <w:rFonts w:ascii="Arial" w:hAnsi="Arial" w:cs="Arial"/>
            <w:noProof/>
            <w:sz w:val="16"/>
            <w:szCs w:val="16"/>
          </w:rPr>
          <w:t>10</w:t>
        </w:r>
        <w:r w:rsidR="00664206" w:rsidRPr="00664206">
          <w:rPr>
            <w:rFonts w:ascii="Arial" w:eastAsiaTheme="minorEastAsia" w:hAnsi="Arial" w:cs="Arial"/>
            <w:noProof/>
            <w:sz w:val="16"/>
            <w:szCs w:val="16"/>
            <w:lang w:val="sk-SK" w:eastAsia="sk-SK"/>
          </w:rPr>
          <w:tab/>
        </w:r>
        <w:r w:rsidR="00664206" w:rsidRPr="00664206">
          <w:rPr>
            <w:rStyle w:val="Hypertextovprepojenie"/>
            <w:rFonts w:ascii="Arial" w:hAnsi="Arial" w:cs="Arial"/>
            <w:noProof/>
            <w:sz w:val="16"/>
            <w:szCs w:val="16"/>
          </w:rPr>
          <w:t>Pohľadávky z obchodného styku a ostatné pohľadávky</w:t>
        </w:r>
        <w:r w:rsidR="00664206" w:rsidRPr="00664206">
          <w:rPr>
            <w:rFonts w:ascii="Arial" w:hAnsi="Arial" w:cs="Arial"/>
            <w:noProof/>
            <w:webHidden/>
            <w:sz w:val="16"/>
            <w:szCs w:val="16"/>
          </w:rPr>
          <w:tab/>
        </w:r>
        <w:r w:rsidR="00664206" w:rsidRPr="00664206">
          <w:rPr>
            <w:rFonts w:ascii="Arial" w:hAnsi="Arial" w:cs="Arial"/>
            <w:noProof/>
            <w:webHidden/>
            <w:sz w:val="16"/>
            <w:szCs w:val="16"/>
          </w:rPr>
          <w:fldChar w:fldCharType="begin"/>
        </w:r>
        <w:r w:rsidR="00664206" w:rsidRPr="00664206">
          <w:rPr>
            <w:rFonts w:ascii="Arial" w:hAnsi="Arial" w:cs="Arial"/>
            <w:noProof/>
            <w:webHidden/>
            <w:sz w:val="16"/>
            <w:szCs w:val="16"/>
          </w:rPr>
          <w:instrText xml:space="preserve"> PAGEREF _Toc27410000 \h </w:instrText>
        </w:r>
        <w:r w:rsidR="00664206" w:rsidRPr="00664206">
          <w:rPr>
            <w:rFonts w:ascii="Arial" w:hAnsi="Arial" w:cs="Arial"/>
            <w:noProof/>
            <w:webHidden/>
            <w:sz w:val="16"/>
            <w:szCs w:val="16"/>
          </w:rPr>
        </w:r>
        <w:r w:rsidR="00664206" w:rsidRPr="00664206">
          <w:rPr>
            <w:rFonts w:ascii="Arial" w:hAnsi="Arial" w:cs="Arial"/>
            <w:noProof/>
            <w:webHidden/>
            <w:sz w:val="16"/>
            <w:szCs w:val="16"/>
          </w:rPr>
          <w:fldChar w:fldCharType="separate"/>
        </w:r>
        <w:r w:rsidR="00664206" w:rsidRPr="00664206">
          <w:rPr>
            <w:rFonts w:ascii="Arial" w:hAnsi="Arial" w:cs="Arial"/>
            <w:noProof/>
            <w:webHidden/>
            <w:sz w:val="16"/>
            <w:szCs w:val="16"/>
          </w:rPr>
          <w:t>32</w:t>
        </w:r>
        <w:r w:rsidR="00664206" w:rsidRPr="00664206">
          <w:rPr>
            <w:rFonts w:ascii="Arial" w:hAnsi="Arial" w:cs="Arial"/>
            <w:noProof/>
            <w:webHidden/>
            <w:sz w:val="16"/>
            <w:szCs w:val="16"/>
          </w:rPr>
          <w:fldChar w:fldCharType="end"/>
        </w:r>
      </w:hyperlink>
    </w:p>
    <w:p w14:paraId="6B29FBBE" w14:textId="2D3D391E" w:rsidR="00664206" w:rsidRPr="00664206" w:rsidRDefault="00B83132">
      <w:pPr>
        <w:pStyle w:val="Obsah3"/>
        <w:rPr>
          <w:rFonts w:ascii="Arial" w:eastAsiaTheme="minorEastAsia" w:hAnsi="Arial" w:cs="Arial"/>
          <w:noProof/>
          <w:sz w:val="16"/>
          <w:szCs w:val="16"/>
          <w:lang w:val="sk-SK" w:eastAsia="sk-SK"/>
        </w:rPr>
      </w:pPr>
      <w:hyperlink w:anchor="_Toc27410001" w:history="1">
        <w:r w:rsidR="00664206" w:rsidRPr="00664206">
          <w:rPr>
            <w:rStyle w:val="Hypertextovprepojenie"/>
            <w:rFonts w:ascii="Arial" w:hAnsi="Arial" w:cs="Arial"/>
            <w:noProof/>
            <w:sz w:val="16"/>
            <w:szCs w:val="16"/>
          </w:rPr>
          <w:t>11</w:t>
        </w:r>
        <w:r w:rsidR="00664206" w:rsidRPr="00664206">
          <w:rPr>
            <w:rFonts w:ascii="Arial" w:eastAsiaTheme="minorEastAsia" w:hAnsi="Arial" w:cs="Arial"/>
            <w:noProof/>
            <w:sz w:val="16"/>
            <w:szCs w:val="16"/>
            <w:lang w:val="sk-SK" w:eastAsia="sk-SK"/>
          </w:rPr>
          <w:tab/>
        </w:r>
        <w:r w:rsidR="00664206" w:rsidRPr="00664206">
          <w:rPr>
            <w:rStyle w:val="Hypertextovprepojenie"/>
            <w:rFonts w:ascii="Arial" w:hAnsi="Arial" w:cs="Arial"/>
            <w:noProof/>
            <w:sz w:val="16"/>
            <w:szCs w:val="16"/>
          </w:rPr>
          <w:t>Ostatný krátkodobý a dlhodobý majetok</w:t>
        </w:r>
        <w:r w:rsidR="00664206" w:rsidRPr="00664206">
          <w:rPr>
            <w:rFonts w:ascii="Arial" w:hAnsi="Arial" w:cs="Arial"/>
            <w:noProof/>
            <w:webHidden/>
            <w:sz w:val="16"/>
            <w:szCs w:val="16"/>
          </w:rPr>
          <w:tab/>
        </w:r>
        <w:r w:rsidR="00664206" w:rsidRPr="00664206">
          <w:rPr>
            <w:rFonts w:ascii="Arial" w:hAnsi="Arial" w:cs="Arial"/>
            <w:noProof/>
            <w:webHidden/>
            <w:sz w:val="16"/>
            <w:szCs w:val="16"/>
          </w:rPr>
          <w:fldChar w:fldCharType="begin"/>
        </w:r>
        <w:r w:rsidR="00664206" w:rsidRPr="00664206">
          <w:rPr>
            <w:rFonts w:ascii="Arial" w:hAnsi="Arial" w:cs="Arial"/>
            <w:noProof/>
            <w:webHidden/>
            <w:sz w:val="16"/>
            <w:szCs w:val="16"/>
          </w:rPr>
          <w:instrText xml:space="preserve"> PAGEREF _Toc27410001 \h </w:instrText>
        </w:r>
        <w:r w:rsidR="00664206" w:rsidRPr="00664206">
          <w:rPr>
            <w:rFonts w:ascii="Arial" w:hAnsi="Arial" w:cs="Arial"/>
            <w:noProof/>
            <w:webHidden/>
            <w:sz w:val="16"/>
            <w:szCs w:val="16"/>
          </w:rPr>
        </w:r>
        <w:r w:rsidR="00664206" w:rsidRPr="00664206">
          <w:rPr>
            <w:rFonts w:ascii="Arial" w:hAnsi="Arial" w:cs="Arial"/>
            <w:noProof/>
            <w:webHidden/>
            <w:sz w:val="16"/>
            <w:szCs w:val="16"/>
          </w:rPr>
          <w:fldChar w:fldCharType="separate"/>
        </w:r>
        <w:r w:rsidR="00664206" w:rsidRPr="00664206">
          <w:rPr>
            <w:rFonts w:ascii="Arial" w:hAnsi="Arial" w:cs="Arial"/>
            <w:noProof/>
            <w:webHidden/>
            <w:sz w:val="16"/>
            <w:szCs w:val="16"/>
          </w:rPr>
          <w:t>35</w:t>
        </w:r>
        <w:r w:rsidR="00664206" w:rsidRPr="00664206">
          <w:rPr>
            <w:rFonts w:ascii="Arial" w:hAnsi="Arial" w:cs="Arial"/>
            <w:noProof/>
            <w:webHidden/>
            <w:sz w:val="16"/>
            <w:szCs w:val="16"/>
          </w:rPr>
          <w:fldChar w:fldCharType="end"/>
        </w:r>
      </w:hyperlink>
    </w:p>
    <w:p w14:paraId="44AB8ADB" w14:textId="1CAF026C" w:rsidR="00664206" w:rsidRPr="00664206" w:rsidRDefault="00B83132">
      <w:pPr>
        <w:pStyle w:val="Obsah3"/>
        <w:rPr>
          <w:rFonts w:ascii="Arial" w:eastAsiaTheme="minorEastAsia" w:hAnsi="Arial" w:cs="Arial"/>
          <w:noProof/>
          <w:sz w:val="16"/>
          <w:szCs w:val="16"/>
          <w:lang w:val="sk-SK" w:eastAsia="sk-SK"/>
        </w:rPr>
      </w:pPr>
      <w:hyperlink w:anchor="_Toc27410002" w:history="1">
        <w:r w:rsidR="00664206" w:rsidRPr="00664206">
          <w:rPr>
            <w:rStyle w:val="Hypertextovprepojenie"/>
            <w:rFonts w:ascii="Arial" w:hAnsi="Arial" w:cs="Arial"/>
            <w:noProof/>
            <w:sz w:val="16"/>
            <w:szCs w:val="16"/>
          </w:rPr>
          <w:t>12</w:t>
        </w:r>
        <w:r w:rsidR="00664206" w:rsidRPr="00664206">
          <w:rPr>
            <w:rFonts w:ascii="Arial" w:eastAsiaTheme="minorEastAsia" w:hAnsi="Arial" w:cs="Arial"/>
            <w:noProof/>
            <w:sz w:val="16"/>
            <w:szCs w:val="16"/>
            <w:lang w:val="sk-SK" w:eastAsia="sk-SK"/>
          </w:rPr>
          <w:tab/>
        </w:r>
        <w:r w:rsidR="00664206" w:rsidRPr="00664206">
          <w:rPr>
            <w:rStyle w:val="Hypertextovprepojenie"/>
            <w:rFonts w:ascii="Arial" w:hAnsi="Arial" w:cs="Arial"/>
            <w:noProof/>
            <w:sz w:val="16"/>
            <w:szCs w:val="16"/>
          </w:rPr>
          <w:t>Zásoby</w:t>
        </w:r>
        <w:r w:rsidR="00664206" w:rsidRPr="00664206">
          <w:rPr>
            <w:rFonts w:ascii="Arial" w:hAnsi="Arial" w:cs="Arial"/>
            <w:noProof/>
            <w:webHidden/>
            <w:sz w:val="16"/>
            <w:szCs w:val="16"/>
          </w:rPr>
          <w:tab/>
        </w:r>
        <w:r w:rsidR="00664206" w:rsidRPr="00664206">
          <w:rPr>
            <w:rFonts w:ascii="Arial" w:hAnsi="Arial" w:cs="Arial"/>
            <w:noProof/>
            <w:webHidden/>
            <w:sz w:val="16"/>
            <w:szCs w:val="16"/>
          </w:rPr>
          <w:fldChar w:fldCharType="begin"/>
        </w:r>
        <w:r w:rsidR="00664206" w:rsidRPr="00664206">
          <w:rPr>
            <w:rFonts w:ascii="Arial" w:hAnsi="Arial" w:cs="Arial"/>
            <w:noProof/>
            <w:webHidden/>
            <w:sz w:val="16"/>
            <w:szCs w:val="16"/>
          </w:rPr>
          <w:instrText xml:space="preserve"> PAGEREF _Toc27410002 \h </w:instrText>
        </w:r>
        <w:r w:rsidR="00664206" w:rsidRPr="00664206">
          <w:rPr>
            <w:rFonts w:ascii="Arial" w:hAnsi="Arial" w:cs="Arial"/>
            <w:noProof/>
            <w:webHidden/>
            <w:sz w:val="16"/>
            <w:szCs w:val="16"/>
          </w:rPr>
        </w:r>
        <w:r w:rsidR="00664206" w:rsidRPr="00664206">
          <w:rPr>
            <w:rFonts w:ascii="Arial" w:hAnsi="Arial" w:cs="Arial"/>
            <w:noProof/>
            <w:webHidden/>
            <w:sz w:val="16"/>
            <w:szCs w:val="16"/>
          </w:rPr>
          <w:fldChar w:fldCharType="separate"/>
        </w:r>
        <w:r w:rsidR="00664206" w:rsidRPr="00664206">
          <w:rPr>
            <w:rFonts w:ascii="Arial" w:hAnsi="Arial" w:cs="Arial"/>
            <w:noProof/>
            <w:webHidden/>
            <w:sz w:val="16"/>
            <w:szCs w:val="16"/>
          </w:rPr>
          <w:t>35</w:t>
        </w:r>
        <w:r w:rsidR="00664206" w:rsidRPr="00664206">
          <w:rPr>
            <w:rFonts w:ascii="Arial" w:hAnsi="Arial" w:cs="Arial"/>
            <w:noProof/>
            <w:webHidden/>
            <w:sz w:val="16"/>
            <w:szCs w:val="16"/>
          </w:rPr>
          <w:fldChar w:fldCharType="end"/>
        </w:r>
      </w:hyperlink>
    </w:p>
    <w:p w14:paraId="03FABD84" w14:textId="6AF91EA7" w:rsidR="00664206" w:rsidRPr="00664206" w:rsidRDefault="00B83132">
      <w:pPr>
        <w:pStyle w:val="Obsah3"/>
        <w:rPr>
          <w:rFonts w:ascii="Arial" w:eastAsiaTheme="minorEastAsia" w:hAnsi="Arial" w:cs="Arial"/>
          <w:noProof/>
          <w:sz w:val="16"/>
          <w:szCs w:val="16"/>
          <w:lang w:val="sk-SK" w:eastAsia="sk-SK"/>
        </w:rPr>
      </w:pPr>
      <w:hyperlink w:anchor="_Toc27410003" w:history="1">
        <w:r w:rsidR="00664206" w:rsidRPr="00664206">
          <w:rPr>
            <w:rStyle w:val="Hypertextovprepojenie"/>
            <w:rFonts w:ascii="Arial" w:hAnsi="Arial" w:cs="Arial"/>
            <w:noProof/>
            <w:sz w:val="16"/>
            <w:szCs w:val="16"/>
          </w:rPr>
          <w:t>13</w:t>
        </w:r>
        <w:r w:rsidR="00664206" w:rsidRPr="00664206">
          <w:rPr>
            <w:rFonts w:ascii="Arial" w:eastAsiaTheme="minorEastAsia" w:hAnsi="Arial" w:cs="Arial"/>
            <w:noProof/>
            <w:sz w:val="16"/>
            <w:szCs w:val="16"/>
            <w:lang w:val="sk-SK" w:eastAsia="sk-SK"/>
          </w:rPr>
          <w:tab/>
        </w:r>
        <w:r w:rsidR="00664206" w:rsidRPr="00664206">
          <w:rPr>
            <w:rStyle w:val="Hypertextovprepojenie"/>
            <w:rFonts w:ascii="Arial" w:hAnsi="Arial" w:cs="Arial"/>
            <w:noProof/>
            <w:sz w:val="16"/>
            <w:szCs w:val="16"/>
          </w:rPr>
          <w:t>Peňažné prostriedky a peňažné ekvivalenty</w:t>
        </w:r>
        <w:r w:rsidR="00664206" w:rsidRPr="00664206">
          <w:rPr>
            <w:rFonts w:ascii="Arial" w:hAnsi="Arial" w:cs="Arial"/>
            <w:noProof/>
            <w:webHidden/>
            <w:sz w:val="16"/>
            <w:szCs w:val="16"/>
          </w:rPr>
          <w:tab/>
        </w:r>
        <w:r w:rsidR="00664206" w:rsidRPr="00664206">
          <w:rPr>
            <w:rFonts w:ascii="Arial" w:hAnsi="Arial" w:cs="Arial"/>
            <w:noProof/>
            <w:webHidden/>
            <w:sz w:val="16"/>
            <w:szCs w:val="16"/>
          </w:rPr>
          <w:fldChar w:fldCharType="begin"/>
        </w:r>
        <w:r w:rsidR="00664206" w:rsidRPr="00664206">
          <w:rPr>
            <w:rFonts w:ascii="Arial" w:hAnsi="Arial" w:cs="Arial"/>
            <w:noProof/>
            <w:webHidden/>
            <w:sz w:val="16"/>
            <w:szCs w:val="16"/>
          </w:rPr>
          <w:instrText xml:space="preserve"> PAGEREF _Toc27410003 \h </w:instrText>
        </w:r>
        <w:r w:rsidR="00664206" w:rsidRPr="00664206">
          <w:rPr>
            <w:rFonts w:ascii="Arial" w:hAnsi="Arial" w:cs="Arial"/>
            <w:noProof/>
            <w:webHidden/>
            <w:sz w:val="16"/>
            <w:szCs w:val="16"/>
          </w:rPr>
        </w:r>
        <w:r w:rsidR="00664206" w:rsidRPr="00664206">
          <w:rPr>
            <w:rFonts w:ascii="Arial" w:hAnsi="Arial" w:cs="Arial"/>
            <w:noProof/>
            <w:webHidden/>
            <w:sz w:val="16"/>
            <w:szCs w:val="16"/>
          </w:rPr>
          <w:fldChar w:fldCharType="separate"/>
        </w:r>
        <w:r w:rsidR="00664206" w:rsidRPr="00664206">
          <w:rPr>
            <w:rFonts w:ascii="Arial" w:hAnsi="Arial" w:cs="Arial"/>
            <w:noProof/>
            <w:webHidden/>
            <w:sz w:val="16"/>
            <w:szCs w:val="16"/>
          </w:rPr>
          <w:t>36</w:t>
        </w:r>
        <w:r w:rsidR="00664206" w:rsidRPr="00664206">
          <w:rPr>
            <w:rFonts w:ascii="Arial" w:hAnsi="Arial" w:cs="Arial"/>
            <w:noProof/>
            <w:webHidden/>
            <w:sz w:val="16"/>
            <w:szCs w:val="16"/>
          </w:rPr>
          <w:fldChar w:fldCharType="end"/>
        </w:r>
      </w:hyperlink>
    </w:p>
    <w:p w14:paraId="45452F25" w14:textId="62A2D915" w:rsidR="00664206" w:rsidRPr="00664206" w:rsidRDefault="00B83132">
      <w:pPr>
        <w:pStyle w:val="Obsah3"/>
        <w:rPr>
          <w:rFonts w:ascii="Arial" w:eastAsiaTheme="minorEastAsia" w:hAnsi="Arial" w:cs="Arial"/>
          <w:noProof/>
          <w:sz w:val="16"/>
          <w:szCs w:val="16"/>
          <w:lang w:val="sk-SK" w:eastAsia="sk-SK"/>
        </w:rPr>
      </w:pPr>
      <w:hyperlink w:anchor="_Toc27410004" w:history="1">
        <w:r w:rsidR="00664206" w:rsidRPr="00664206">
          <w:rPr>
            <w:rStyle w:val="Hypertextovprepojenie"/>
            <w:rFonts w:ascii="Arial" w:hAnsi="Arial" w:cs="Arial"/>
            <w:noProof/>
            <w:sz w:val="16"/>
            <w:szCs w:val="16"/>
          </w:rPr>
          <w:t>14</w:t>
        </w:r>
        <w:r w:rsidR="00664206" w:rsidRPr="00664206">
          <w:rPr>
            <w:rFonts w:ascii="Arial" w:eastAsiaTheme="minorEastAsia" w:hAnsi="Arial" w:cs="Arial"/>
            <w:noProof/>
            <w:sz w:val="16"/>
            <w:szCs w:val="16"/>
            <w:lang w:val="sk-SK" w:eastAsia="sk-SK"/>
          </w:rPr>
          <w:tab/>
        </w:r>
        <w:r w:rsidR="00664206" w:rsidRPr="00664206">
          <w:rPr>
            <w:rStyle w:val="Hypertextovprepojenie"/>
            <w:rFonts w:ascii="Arial" w:hAnsi="Arial" w:cs="Arial"/>
            <w:noProof/>
            <w:sz w:val="16"/>
            <w:szCs w:val="16"/>
          </w:rPr>
          <w:t>Základné imanie</w:t>
        </w:r>
        <w:r w:rsidR="00664206" w:rsidRPr="00664206">
          <w:rPr>
            <w:rFonts w:ascii="Arial" w:hAnsi="Arial" w:cs="Arial"/>
            <w:noProof/>
            <w:webHidden/>
            <w:sz w:val="16"/>
            <w:szCs w:val="16"/>
          </w:rPr>
          <w:tab/>
        </w:r>
        <w:r w:rsidR="00664206" w:rsidRPr="00664206">
          <w:rPr>
            <w:rFonts w:ascii="Arial" w:hAnsi="Arial" w:cs="Arial"/>
            <w:noProof/>
            <w:webHidden/>
            <w:sz w:val="16"/>
            <w:szCs w:val="16"/>
          </w:rPr>
          <w:fldChar w:fldCharType="begin"/>
        </w:r>
        <w:r w:rsidR="00664206" w:rsidRPr="00664206">
          <w:rPr>
            <w:rFonts w:ascii="Arial" w:hAnsi="Arial" w:cs="Arial"/>
            <w:noProof/>
            <w:webHidden/>
            <w:sz w:val="16"/>
            <w:szCs w:val="16"/>
          </w:rPr>
          <w:instrText xml:space="preserve"> PAGEREF _Toc27410004 \h </w:instrText>
        </w:r>
        <w:r w:rsidR="00664206" w:rsidRPr="00664206">
          <w:rPr>
            <w:rFonts w:ascii="Arial" w:hAnsi="Arial" w:cs="Arial"/>
            <w:noProof/>
            <w:webHidden/>
            <w:sz w:val="16"/>
            <w:szCs w:val="16"/>
          </w:rPr>
        </w:r>
        <w:r w:rsidR="00664206" w:rsidRPr="00664206">
          <w:rPr>
            <w:rFonts w:ascii="Arial" w:hAnsi="Arial" w:cs="Arial"/>
            <w:noProof/>
            <w:webHidden/>
            <w:sz w:val="16"/>
            <w:szCs w:val="16"/>
          </w:rPr>
          <w:fldChar w:fldCharType="separate"/>
        </w:r>
        <w:r w:rsidR="00664206" w:rsidRPr="00664206">
          <w:rPr>
            <w:rFonts w:ascii="Arial" w:hAnsi="Arial" w:cs="Arial"/>
            <w:noProof/>
            <w:webHidden/>
            <w:sz w:val="16"/>
            <w:szCs w:val="16"/>
          </w:rPr>
          <w:t>37</w:t>
        </w:r>
        <w:r w:rsidR="00664206" w:rsidRPr="00664206">
          <w:rPr>
            <w:rFonts w:ascii="Arial" w:hAnsi="Arial" w:cs="Arial"/>
            <w:noProof/>
            <w:webHidden/>
            <w:sz w:val="16"/>
            <w:szCs w:val="16"/>
          </w:rPr>
          <w:fldChar w:fldCharType="end"/>
        </w:r>
      </w:hyperlink>
    </w:p>
    <w:p w14:paraId="0A2E6F25" w14:textId="2B384B77" w:rsidR="00664206" w:rsidRPr="00664206" w:rsidRDefault="00B83132">
      <w:pPr>
        <w:pStyle w:val="Obsah3"/>
        <w:rPr>
          <w:rFonts w:ascii="Arial" w:eastAsiaTheme="minorEastAsia" w:hAnsi="Arial" w:cs="Arial"/>
          <w:noProof/>
          <w:sz w:val="16"/>
          <w:szCs w:val="16"/>
          <w:lang w:val="sk-SK" w:eastAsia="sk-SK"/>
        </w:rPr>
      </w:pPr>
      <w:hyperlink w:anchor="_Toc27410005" w:history="1">
        <w:r w:rsidR="00664206" w:rsidRPr="00664206">
          <w:rPr>
            <w:rStyle w:val="Hypertextovprepojenie"/>
            <w:rFonts w:ascii="Arial" w:hAnsi="Arial" w:cs="Arial"/>
            <w:noProof/>
            <w:sz w:val="16"/>
            <w:szCs w:val="16"/>
          </w:rPr>
          <w:t>15</w:t>
        </w:r>
        <w:r w:rsidR="00664206" w:rsidRPr="00664206">
          <w:rPr>
            <w:rFonts w:ascii="Arial" w:eastAsiaTheme="minorEastAsia" w:hAnsi="Arial" w:cs="Arial"/>
            <w:noProof/>
            <w:sz w:val="16"/>
            <w:szCs w:val="16"/>
            <w:lang w:val="sk-SK" w:eastAsia="sk-SK"/>
          </w:rPr>
          <w:tab/>
        </w:r>
        <w:r w:rsidR="00664206" w:rsidRPr="00664206">
          <w:rPr>
            <w:rStyle w:val="Hypertextovprepojenie"/>
            <w:rFonts w:ascii="Arial" w:hAnsi="Arial" w:cs="Arial"/>
            <w:noProof/>
            <w:sz w:val="16"/>
            <w:szCs w:val="16"/>
          </w:rPr>
          <w:t>Úvery a pôžičky</w:t>
        </w:r>
        <w:r w:rsidR="00664206" w:rsidRPr="00664206">
          <w:rPr>
            <w:rFonts w:ascii="Arial" w:hAnsi="Arial" w:cs="Arial"/>
            <w:noProof/>
            <w:webHidden/>
            <w:sz w:val="16"/>
            <w:szCs w:val="16"/>
          </w:rPr>
          <w:tab/>
        </w:r>
        <w:r w:rsidR="00664206" w:rsidRPr="00664206">
          <w:rPr>
            <w:rFonts w:ascii="Arial" w:hAnsi="Arial" w:cs="Arial"/>
            <w:noProof/>
            <w:webHidden/>
            <w:sz w:val="16"/>
            <w:szCs w:val="16"/>
          </w:rPr>
          <w:fldChar w:fldCharType="begin"/>
        </w:r>
        <w:r w:rsidR="00664206" w:rsidRPr="00664206">
          <w:rPr>
            <w:rFonts w:ascii="Arial" w:hAnsi="Arial" w:cs="Arial"/>
            <w:noProof/>
            <w:webHidden/>
            <w:sz w:val="16"/>
            <w:szCs w:val="16"/>
          </w:rPr>
          <w:instrText xml:space="preserve"> PAGEREF _Toc27410005 \h </w:instrText>
        </w:r>
        <w:r w:rsidR="00664206" w:rsidRPr="00664206">
          <w:rPr>
            <w:rFonts w:ascii="Arial" w:hAnsi="Arial" w:cs="Arial"/>
            <w:noProof/>
            <w:webHidden/>
            <w:sz w:val="16"/>
            <w:szCs w:val="16"/>
          </w:rPr>
        </w:r>
        <w:r w:rsidR="00664206" w:rsidRPr="00664206">
          <w:rPr>
            <w:rFonts w:ascii="Arial" w:hAnsi="Arial" w:cs="Arial"/>
            <w:noProof/>
            <w:webHidden/>
            <w:sz w:val="16"/>
            <w:szCs w:val="16"/>
          </w:rPr>
          <w:fldChar w:fldCharType="separate"/>
        </w:r>
        <w:r w:rsidR="00664206" w:rsidRPr="00664206">
          <w:rPr>
            <w:rFonts w:ascii="Arial" w:hAnsi="Arial" w:cs="Arial"/>
            <w:noProof/>
            <w:webHidden/>
            <w:sz w:val="16"/>
            <w:szCs w:val="16"/>
          </w:rPr>
          <w:t>37</w:t>
        </w:r>
        <w:r w:rsidR="00664206" w:rsidRPr="00664206">
          <w:rPr>
            <w:rFonts w:ascii="Arial" w:hAnsi="Arial" w:cs="Arial"/>
            <w:noProof/>
            <w:webHidden/>
            <w:sz w:val="16"/>
            <w:szCs w:val="16"/>
          </w:rPr>
          <w:fldChar w:fldCharType="end"/>
        </w:r>
      </w:hyperlink>
    </w:p>
    <w:p w14:paraId="326A839B" w14:textId="0AF36723" w:rsidR="00664206" w:rsidRPr="00664206" w:rsidRDefault="00B83132">
      <w:pPr>
        <w:pStyle w:val="Obsah3"/>
        <w:rPr>
          <w:rFonts w:ascii="Arial" w:eastAsiaTheme="minorEastAsia" w:hAnsi="Arial" w:cs="Arial"/>
          <w:noProof/>
          <w:sz w:val="16"/>
          <w:szCs w:val="16"/>
          <w:lang w:val="sk-SK" w:eastAsia="sk-SK"/>
        </w:rPr>
      </w:pPr>
      <w:hyperlink w:anchor="_Toc27410006" w:history="1">
        <w:r w:rsidR="00664206" w:rsidRPr="00664206">
          <w:rPr>
            <w:rStyle w:val="Hypertextovprepojenie"/>
            <w:rFonts w:ascii="Arial" w:hAnsi="Arial" w:cs="Arial"/>
            <w:noProof/>
            <w:sz w:val="16"/>
            <w:szCs w:val="16"/>
          </w:rPr>
          <w:t>16</w:t>
        </w:r>
        <w:r w:rsidR="00664206" w:rsidRPr="00664206">
          <w:rPr>
            <w:rFonts w:ascii="Arial" w:eastAsiaTheme="minorEastAsia" w:hAnsi="Arial" w:cs="Arial"/>
            <w:noProof/>
            <w:sz w:val="16"/>
            <w:szCs w:val="16"/>
            <w:lang w:val="sk-SK" w:eastAsia="sk-SK"/>
          </w:rPr>
          <w:tab/>
        </w:r>
        <w:r w:rsidR="00664206" w:rsidRPr="00664206">
          <w:rPr>
            <w:rStyle w:val="Hypertextovprepojenie"/>
            <w:rFonts w:ascii="Arial" w:hAnsi="Arial" w:cs="Arial"/>
            <w:noProof/>
            <w:sz w:val="16"/>
            <w:szCs w:val="16"/>
          </w:rPr>
          <w:t>Odložená daň z príjmu</w:t>
        </w:r>
        <w:r w:rsidR="00664206" w:rsidRPr="00664206">
          <w:rPr>
            <w:rFonts w:ascii="Arial" w:hAnsi="Arial" w:cs="Arial"/>
            <w:noProof/>
            <w:webHidden/>
            <w:sz w:val="16"/>
            <w:szCs w:val="16"/>
          </w:rPr>
          <w:tab/>
        </w:r>
        <w:r w:rsidR="00664206" w:rsidRPr="00664206">
          <w:rPr>
            <w:rFonts w:ascii="Arial" w:hAnsi="Arial" w:cs="Arial"/>
            <w:noProof/>
            <w:webHidden/>
            <w:sz w:val="16"/>
            <w:szCs w:val="16"/>
          </w:rPr>
          <w:fldChar w:fldCharType="begin"/>
        </w:r>
        <w:r w:rsidR="00664206" w:rsidRPr="00664206">
          <w:rPr>
            <w:rFonts w:ascii="Arial" w:hAnsi="Arial" w:cs="Arial"/>
            <w:noProof/>
            <w:webHidden/>
            <w:sz w:val="16"/>
            <w:szCs w:val="16"/>
          </w:rPr>
          <w:instrText xml:space="preserve"> PAGEREF _Toc27410006 \h </w:instrText>
        </w:r>
        <w:r w:rsidR="00664206" w:rsidRPr="00664206">
          <w:rPr>
            <w:rFonts w:ascii="Arial" w:hAnsi="Arial" w:cs="Arial"/>
            <w:noProof/>
            <w:webHidden/>
            <w:sz w:val="16"/>
            <w:szCs w:val="16"/>
          </w:rPr>
        </w:r>
        <w:r w:rsidR="00664206" w:rsidRPr="00664206">
          <w:rPr>
            <w:rFonts w:ascii="Arial" w:hAnsi="Arial" w:cs="Arial"/>
            <w:noProof/>
            <w:webHidden/>
            <w:sz w:val="16"/>
            <w:szCs w:val="16"/>
          </w:rPr>
          <w:fldChar w:fldCharType="separate"/>
        </w:r>
        <w:r w:rsidR="00664206" w:rsidRPr="00664206">
          <w:rPr>
            <w:rFonts w:ascii="Arial" w:hAnsi="Arial" w:cs="Arial"/>
            <w:noProof/>
            <w:webHidden/>
            <w:sz w:val="16"/>
            <w:szCs w:val="16"/>
          </w:rPr>
          <w:t>39</w:t>
        </w:r>
        <w:r w:rsidR="00664206" w:rsidRPr="00664206">
          <w:rPr>
            <w:rFonts w:ascii="Arial" w:hAnsi="Arial" w:cs="Arial"/>
            <w:noProof/>
            <w:webHidden/>
            <w:sz w:val="16"/>
            <w:szCs w:val="16"/>
          </w:rPr>
          <w:fldChar w:fldCharType="end"/>
        </w:r>
      </w:hyperlink>
    </w:p>
    <w:p w14:paraId="3B47AEBF" w14:textId="0EB04BCF" w:rsidR="00664206" w:rsidRPr="00664206" w:rsidRDefault="00B83132">
      <w:pPr>
        <w:pStyle w:val="Obsah3"/>
        <w:rPr>
          <w:rFonts w:ascii="Arial" w:eastAsiaTheme="minorEastAsia" w:hAnsi="Arial" w:cs="Arial"/>
          <w:noProof/>
          <w:sz w:val="16"/>
          <w:szCs w:val="16"/>
          <w:lang w:val="sk-SK" w:eastAsia="sk-SK"/>
        </w:rPr>
      </w:pPr>
      <w:hyperlink w:anchor="_Toc27410007" w:history="1">
        <w:r w:rsidR="00664206" w:rsidRPr="00664206">
          <w:rPr>
            <w:rStyle w:val="Hypertextovprepojenie"/>
            <w:rFonts w:ascii="Arial" w:hAnsi="Arial" w:cs="Arial"/>
            <w:noProof/>
            <w:sz w:val="16"/>
            <w:szCs w:val="16"/>
            <w:lang w:val="sk-SK"/>
          </w:rPr>
          <w:t>17</w:t>
        </w:r>
        <w:r w:rsidR="00664206" w:rsidRPr="00664206">
          <w:rPr>
            <w:rFonts w:ascii="Arial" w:eastAsiaTheme="minorEastAsia" w:hAnsi="Arial" w:cs="Arial"/>
            <w:noProof/>
            <w:sz w:val="16"/>
            <w:szCs w:val="16"/>
            <w:lang w:val="sk-SK" w:eastAsia="sk-SK"/>
          </w:rPr>
          <w:tab/>
        </w:r>
        <w:r w:rsidR="00664206" w:rsidRPr="00664206">
          <w:rPr>
            <w:rStyle w:val="Hypertextovprepojenie"/>
            <w:rFonts w:ascii="Arial" w:hAnsi="Arial" w:cs="Arial"/>
            <w:noProof/>
            <w:sz w:val="16"/>
            <w:szCs w:val="16"/>
            <w:lang w:val="sk-SK"/>
          </w:rPr>
          <w:t>Rezervy</w:t>
        </w:r>
        <w:r w:rsidR="00664206" w:rsidRPr="00664206">
          <w:rPr>
            <w:rFonts w:ascii="Arial" w:hAnsi="Arial" w:cs="Arial"/>
            <w:noProof/>
            <w:webHidden/>
            <w:sz w:val="16"/>
            <w:szCs w:val="16"/>
          </w:rPr>
          <w:tab/>
        </w:r>
        <w:r w:rsidR="00664206" w:rsidRPr="00664206">
          <w:rPr>
            <w:rFonts w:ascii="Arial" w:hAnsi="Arial" w:cs="Arial"/>
            <w:noProof/>
            <w:webHidden/>
            <w:sz w:val="16"/>
            <w:szCs w:val="16"/>
          </w:rPr>
          <w:fldChar w:fldCharType="begin"/>
        </w:r>
        <w:r w:rsidR="00664206" w:rsidRPr="00664206">
          <w:rPr>
            <w:rFonts w:ascii="Arial" w:hAnsi="Arial" w:cs="Arial"/>
            <w:noProof/>
            <w:webHidden/>
            <w:sz w:val="16"/>
            <w:szCs w:val="16"/>
          </w:rPr>
          <w:instrText xml:space="preserve"> PAGEREF _Toc27410007 \h </w:instrText>
        </w:r>
        <w:r w:rsidR="00664206" w:rsidRPr="00664206">
          <w:rPr>
            <w:rFonts w:ascii="Arial" w:hAnsi="Arial" w:cs="Arial"/>
            <w:noProof/>
            <w:webHidden/>
            <w:sz w:val="16"/>
            <w:szCs w:val="16"/>
          </w:rPr>
        </w:r>
        <w:r w:rsidR="00664206" w:rsidRPr="00664206">
          <w:rPr>
            <w:rFonts w:ascii="Arial" w:hAnsi="Arial" w:cs="Arial"/>
            <w:noProof/>
            <w:webHidden/>
            <w:sz w:val="16"/>
            <w:szCs w:val="16"/>
          </w:rPr>
          <w:fldChar w:fldCharType="separate"/>
        </w:r>
        <w:r w:rsidR="00664206" w:rsidRPr="00664206">
          <w:rPr>
            <w:rFonts w:ascii="Arial" w:hAnsi="Arial" w:cs="Arial"/>
            <w:noProof/>
            <w:webHidden/>
            <w:sz w:val="16"/>
            <w:szCs w:val="16"/>
          </w:rPr>
          <w:t>40</w:t>
        </w:r>
        <w:r w:rsidR="00664206" w:rsidRPr="00664206">
          <w:rPr>
            <w:rFonts w:ascii="Arial" w:hAnsi="Arial" w:cs="Arial"/>
            <w:noProof/>
            <w:webHidden/>
            <w:sz w:val="16"/>
            <w:szCs w:val="16"/>
          </w:rPr>
          <w:fldChar w:fldCharType="end"/>
        </w:r>
      </w:hyperlink>
    </w:p>
    <w:p w14:paraId="48079C45" w14:textId="63D66AF6" w:rsidR="00664206" w:rsidRPr="00664206" w:rsidRDefault="00B83132">
      <w:pPr>
        <w:pStyle w:val="Obsah3"/>
        <w:rPr>
          <w:rFonts w:ascii="Arial" w:eastAsiaTheme="minorEastAsia" w:hAnsi="Arial" w:cs="Arial"/>
          <w:noProof/>
          <w:sz w:val="16"/>
          <w:szCs w:val="16"/>
          <w:lang w:val="sk-SK" w:eastAsia="sk-SK"/>
        </w:rPr>
      </w:pPr>
      <w:hyperlink w:anchor="_Toc27410008" w:history="1">
        <w:r w:rsidR="00664206" w:rsidRPr="00664206">
          <w:rPr>
            <w:rStyle w:val="Hypertextovprepojenie"/>
            <w:rFonts w:ascii="Arial" w:hAnsi="Arial" w:cs="Arial"/>
            <w:noProof/>
            <w:sz w:val="16"/>
            <w:szCs w:val="16"/>
            <w:lang w:val="sk-SK"/>
          </w:rPr>
          <w:t>18</w:t>
        </w:r>
        <w:r w:rsidR="00664206" w:rsidRPr="00664206">
          <w:rPr>
            <w:rFonts w:ascii="Arial" w:eastAsiaTheme="minorEastAsia" w:hAnsi="Arial" w:cs="Arial"/>
            <w:noProof/>
            <w:sz w:val="16"/>
            <w:szCs w:val="16"/>
            <w:lang w:val="sk-SK" w:eastAsia="sk-SK"/>
          </w:rPr>
          <w:tab/>
        </w:r>
        <w:r w:rsidR="00664206" w:rsidRPr="00664206">
          <w:rPr>
            <w:rStyle w:val="Hypertextovprepojenie"/>
            <w:rFonts w:ascii="Arial" w:hAnsi="Arial" w:cs="Arial"/>
            <w:noProof/>
            <w:sz w:val="16"/>
            <w:szCs w:val="16"/>
            <w:lang w:val="sk-SK"/>
          </w:rPr>
          <w:t>Záväzky z obchodného styku a ostatné záväzky</w:t>
        </w:r>
        <w:r w:rsidR="00664206" w:rsidRPr="00664206">
          <w:rPr>
            <w:rFonts w:ascii="Arial" w:hAnsi="Arial" w:cs="Arial"/>
            <w:noProof/>
            <w:webHidden/>
            <w:sz w:val="16"/>
            <w:szCs w:val="16"/>
          </w:rPr>
          <w:tab/>
        </w:r>
        <w:r w:rsidR="00664206" w:rsidRPr="00664206">
          <w:rPr>
            <w:rFonts w:ascii="Arial" w:hAnsi="Arial" w:cs="Arial"/>
            <w:noProof/>
            <w:webHidden/>
            <w:sz w:val="16"/>
            <w:szCs w:val="16"/>
          </w:rPr>
          <w:fldChar w:fldCharType="begin"/>
        </w:r>
        <w:r w:rsidR="00664206" w:rsidRPr="00664206">
          <w:rPr>
            <w:rFonts w:ascii="Arial" w:hAnsi="Arial" w:cs="Arial"/>
            <w:noProof/>
            <w:webHidden/>
            <w:sz w:val="16"/>
            <w:szCs w:val="16"/>
          </w:rPr>
          <w:instrText xml:space="preserve"> PAGEREF _Toc27410008 \h </w:instrText>
        </w:r>
        <w:r w:rsidR="00664206" w:rsidRPr="00664206">
          <w:rPr>
            <w:rFonts w:ascii="Arial" w:hAnsi="Arial" w:cs="Arial"/>
            <w:noProof/>
            <w:webHidden/>
            <w:sz w:val="16"/>
            <w:szCs w:val="16"/>
          </w:rPr>
        </w:r>
        <w:r w:rsidR="00664206" w:rsidRPr="00664206">
          <w:rPr>
            <w:rFonts w:ascii="Arial" w:hAnsi="Arial" w:cs="Arial"/>
            <w:noProof/>
            <w:webHidden/>
            <w:sz w:val="16"/>
            <w:szCs w:val="16"/>
          </w:rPr>
          <w:fldChar w:fldCharType="separate"/>
        </w:r>
        <w:r w:rsidR="00664206" w:rsidRPr="00664206">
          <w:rPr>
            <w:rFonts w:ascii="Arial" w:hAnsi="Arial" w:cs="Arial"/>
            <w:noProof/>
            <w:webHidden/>
            <w:sz w:val="16"/>
            <w:szCs w:val="16"/>
          </w:rPr>
          <w:t>41</w:t>
        </w:r>
        <w:r w:rsidR="00664206" w:rsidRPr="00664206">
          <w:rPr>
            <w:rFonts w:ascii="Arial" w:hAnsi="Arial" w:cs="Arial"/>
            <w:noProof/>
            <w:webHidden/>
            <w:sz w:val="16"/>
            <w:szCs w:val="16"/>
          </w:rPr>
          <w:fldChar w:fldCharType="end"/>
        </w:r>
      </w:hyperlink>
    </w:p>
    <w:p w14:paraId="6702D676" w14:textId="524E3E47" w:rsidR="00664206" w:rsidRPr="00664206" w:rsidRDefault="00B83132">
      <w:pPr>
        <w:pStyle w:val="Obsah3"/>
        <w:rPr>
          <w:rFonts w:ascii="Arial" w:eastAsiaTheme="minorEastAsia" w:hAnsi="Arial" w:cs="Arial"/>
          <w:noProof/>
          <w:sz w:val="16"/>
          <w:szCs w:val="16"/>
          <w:lang w:val="sk-SK" w:eastAsia="sk-SK"/>
        </w:rPr>
      </w:pPr>
      <w:hyperlink w:anchor="_Toc27410009" w:history="1">
        <w:r w:rsidR="00664206" w:rsidRPr="00664206">
          <w:rPr>
            <w:rStyle w:val="Hypertextovprepojenie"/>
            <w:rFonts w:ascii="Arial" w:hAnsi="Arial" w:cs="Arial"/>
            <w:noProof/>
            <w:sz w:val="16"/>
            <w:szCs w:val="16"/>
          </w:rPr>
          <w:t>19</w:t>
        </w:r>
        <w:r w:rsidR="00664206" w:rsidRPr="00664206">
          <w:rPr>
            <w:rFonts w:ascii="Arial" w:eastAsiaTheme="minorEastAsia" w:hAnsi="Arial" w:cs="Arial"/>
            <w:noProof/>
            <w:sz w:val="16"/>
            <w:szCs w:val="16"/>
            <w:lang w:val="sk-SK" w:eastAsia="sk-SK"/>
          </w:rPr>
          <w:tab/>
        </w:r>
        <w:r w:rsidR="00664206" w:rsidRPr="00664206">
          <w:rPr>
            <w:rStyle w:val="Hypertextovprepojenie"/>
            <w:rFonts w:ascii="Arial" w:hAnsi="Arial" w:cs="Arial"/>
            <w:noProof/>
            <w:sz w:val="16"/>
            <w:szCs w:val="16"/>
          </w:rPr>
          <w:t>Výnosy budúcich období</w:t>
        </w:r>
        <w:r w:rsidR="00664206" w:rsidRPr="00664206">
          <w:rPr>
            <w:rFonts w:ascii="Arial" w:hAnsi="Arial" w:cs="Arial"/>
            <w:noProof/>
            <w:webHidden/>
            <w:sz w:val="16"/>
            <w:szCs w:val="16"/>
          </w:rPr>
          <w:tab/>
        </w:r>
        <w:r w:rsidR="00664206" w:rsidRPr="00664206">
          <w:rPr>
            <w:rFonts w:ascii="Arial" w:hAnsi="Arial" w:cs="Arial"/>
            <w:noProof/>
            <w:webHidden/>
            <w:sz w:val="16"/>
            <w:szCs w:val="16"/>
          </w:rPr>
          <w:fldChar w:fldCharType="begin"/>
        </w:r>
        <w:r w:rsidR="00664206" w:rsidRPr="00664206">
          <w:rPr>
            <w:rFonts w:ascii="Arial" w:hAnsi="Arial" w:cs="Arial"/>
            <w:noProof/>
            <w:webHidden/>
            <w:sz w:val="16"/>
            <w:szCs w:val="16"/>
          </w:rPr>
          <w:instrText xml:space="preserve"> PAGEREF _Toc27410009 \h </w:instrText>
        </w:r>
        <w:r w:rsidR="00664206" w:rsidRPr="00664206">
          <w:rPr>
            <w:rFonts w:ascii="Arial" w:hAnsi="Arial" w:cs="Arial"/>
            <w:noProof/>
            <w:webHidden/>
            <w:sz w:val="16"/>
            <w:szCs w:val="16"/>
          </w:rPr>
        </w:r>
        <w:r w:rsidR="00664206" w:rsidRPr="00664206">
          <w:rPr>
            <w:rFonts w:ascii="Arial" w:hAnsi="Arial" w:cs="Arial"/>
            <w:noProof/>
            <w:webHidden/>
            <w:sz w:val="16"/>
            <w:szCs w:val="16"/>
          </w:rPr>
          <w:fldChar w:fldCharType="separate"/>
        </w:r>
        <w:r w:rsidR="00664206" w:rsidRPr="00664206">
          <w:rPr>
            <w:rFonts w:ascii="Arial" w:hAnsi="Arial" w:cs="Arial"/>
            <w:noProof/>
            <w:webHidden/>
            <w:sz w:val="16"/>
            <w:szCs w:val="16"/>
          </w:rPr>
          <w:t>42</w:t>
        </w:r>
        <w:r w:rsidR="00664206" w:rsidRPr="00664206">
          <w:rPr>
            <w:rFonts w:ascii="Arial" w:hAnsi="Arial" w:cs="Arial"/>
            <w:noProof/>
            <w:webHidden/>
            <w:sz w:val="16"/>
            <w:szCs w:val="16"/>
          </w:rPr>
          <w:fldChar w:fldCharType="end"/>
        </w:r>
      </w:hyperlink>
    </w:p>
    <w:p w14:paraId="72EA4D13" w14:textId="3B570ACD" w:rsidR="00664206" w:rsidRPr="00664206" w:rsidRDefault="00B83132">
      <w:pPr>
        <w:pStyle w:val="Obsah3"/>
        <w:rPr>
          <w:rFonts w:ascii="Arial" w:eastAsiaTheme="minorEastAsia" w:hAnsi="Arial" w:cs="Arial"/>
          <w:noProof/>
          <w:sz w:val="16"/>
          <w:szCs w:val="16"/>
          <w:lang w:val="sk-SK" w:eastAsia="sk-SK"/>
        </w:rPr>
      </w:pPr>
      <w:hyperlink w:anchor="_Toc27410010" w:history="1">
        <w:r w:rsidR="00664206" w:rsidRPr="00664206">
          <w:rPr>
            <w:rStyle w:val="Hypertextovprepojenie"/>
            <w:rFonts w:ascii="Arial" w:hAnsi="Arial" w:cs="Arial"/>
            <w:noProof/>
            <w:sz w:val="16"/>
            <w:szCs w:val="16"/>
          </w:rPr>
          <w:t>20</w:t>
        </w:r>
        <w:r w:rsidR="00664206" w:rsidRPr="00664206">
          <w:rPr>
            <w:rFonts w:ascii="Arial" w:eastAsiaTheme="minorEastAsia" w:hAnsi="Arial" w:cs="Arial"/>
            <w:noProof/>
            <w:sz w:val="16"/>
            <w:szCs w:val="16"/>
            <w:lang w:val="sk-SK" w:eastAsia="sk-SK"/>
          </w:rPr>
          <w:tab/>
        </w:r>
        <w:r w:rsidR="00664206" w:rsidRPr="00664206">
          <w:rPr>
            <w:rStyle w:val="Hypertextovprepojenie"/>
            <w:rFonts w:ascii="Arial" w:hAnsi="Arial" w:cs="Arial"/>
            <w:noProof/>
            <w:sz w:val="16"/>
            <w:szCs w:val="16"/>
          </w:rPr>
          <w:t>Tržby</w:t>
        </w:r>
        <w:r w:rsidR="00664206" w:rsidRPr="00664206">
          <w:rPr>
            <w:rFonts w:ascii="Arial" w:hAnsi="Arial" w:cs="Arial"/>
            <w:noProof/>
            <w:webHidden/>
            <w:sz w:val="16"/>
            <w:szCs w:val="16"/>
          </w:rPr>
          <w:tab/>
        </w:r>
        <w:r w:rsidR="00664206" w:rsidRPr="00664206">
          <w:rPr>
            <w:rFonts w:ascii="Arial" w:hAnsi="Arial" w:cs="Arial"/>
            <w:noProof/>
            <w:webHidden/>
            <w:sz w:val="16"/>
            <w:szCs w:val="16"/>
          </w:rPr>
          <w:fldChar w:fldCharType="begin"/>
        </w:r>
        <w:r w:rsidR="00664206" w:rsidRPr="00664206">
          <w:rPr>
            <w:rFonts w:ascii="Arial" w:hAnsi="Arial" w:cs="Arial"/>
            <w:noProof/>
            <w:webHidden/>
            <w:sz w:val="16"/>
            <w:szCs w:val="16"/>
          </w:rPr>
          <w:instrText xml:space="preserve"> PAGEREF _Toc27410010 \h </w:instrText>
        </w:r>
        <w:r w:rsidR="00664206" w:rsidRPr="00664206">
          <w:rPr>
            <w:rFonts w:ascii="Arial" w:hAnsi="Arial" w:cs="Arial"/>
            <w:noProof/>
            <w:webHidden/>
            <w:sz w:val="16"/>
            <w:szCs w:val="16"/>
          </w:rPr>
        </w:r>
        <w:r w:rsidR="00664206" w:rsidRPr="00664206">
          <w:rPr>
            <w:rFonts w:ascii="Arial" w:hAnsi="Arial" w:cs="Arial"/>
            <w:noProof/>
            <w:webHidden/>
            <w:sz w:val="16"/>
            <w:szCs w:val="16"/>
          </w:rPr>
          <w:fldChar w:fldCharType="separate"/>
        </w:r>
        <w:r w:rsidR="00664206" w:rsidRPr="00664206">
          <w:rPr>
            <w:rFonts w:ascii="Arial" w:hAnsi="Arial" w:cs="Arial"/>
            <w:noProof/>
            <w:webHidden/>
            <w:sz w:val="16"/>
            <w:szCs w:val="16"/>
          </w:rPr>
          <w:t>42</w:t>
        </w:r>
        <w:r w:rsidR="00664206" w:rsidRPr="00664206">
          <w:rPr>
            <w:rFonts w:ascii="Arial" w:hAnsi="Arial" w:cs="Arial"/>
            <w:noProof/>
            <w:webHidden/>
            <w:sz w:val="16"/>
            <w:szCs w:val="16"/>
          </w:rPr>
          <w:fldChar w:fldCharType="end"/>
        </w:r>
      </w:hyperlink>
    </w:p>
    <w:p w14:paraId="219BB46F" w14:textId="28D7F6F1" w:rsidR="00664206" w:rsidRPr="00664206" w:rsidRDefault="00B83132">
      <w:pPr>
        <w:pStyle w:val="Obsah3"/>
        <w:rPr>
          <w:rFonts w:ascii="Arial" w:eastAsiaTheme="minorEastAsia" w:hAnsi="Arial" w:cs="Arial"/>
          <w:noProof/>
          <w:sz w:val="16"/>
          <w:szCs w:val="16"/>
          <w:lang w:val="sk-SK" w:eastAsia="sk-SK"/>
        </w:rPr>
      </w:pPr>
      <w:hyperlink w:anchor="_Toc27410011" w:history="1">
        <w:r w:rsidR="00664206" w:rsidRPr="00664206">
          <w:rPr>
            <w:rStyle w:val="Hypertextovprepojenie"/>
            <w:rFonts w:ascii="Arial" w:hAnsi="Arial" w:cs="Arial"/>
            <w:noProof/>
            <w:sz w:val="16"/>
            <w:szCs w:val="16"/>
          </w:rPr>
          <w:t>21</w:t>
        </w:r>
        <w:r w:rsidR="00664206" w:rsidRPr="00664206">
          <w:rPr>
            <w:rFonts w:ascii="Arial" w:eastAsiaTheme="minorEastAsia" w:hAnsi="Arial" w:cs="Arial"/>
            <w:noProof/>
            <w:sz w:val="16"/>
            <w:szCs w:val="16"/>
            <w:lang w:val="sk-SK" w:eastAsia="sk-SK"/>
          </w:rPr>
          <w:tab/>
        </w:r>
        <w:r w:rsidR="00664206" w:rsidRPr="00664206">
          <w:rPr>
            <w:rStyle w:val="Hypertextovprepojenie"/>
            <w:rFonts w:ascii="Arial" w:hAnsi="Arial" w:cs="Arial"/>
            <w:noProof/>
            <w:sz w:val="16"/>
            <w:szCs w:val="16"/>
          </w:rPr>
          <w:t>Prevádzkové náklady / (-) výnosy</w:t>
        </w:r>
        <w:r w:rsidR="00664206" w:rsidRPr="00664206">
          <w:rPr>
            <w:rFonts w:ascii="Arial" w:hAnsi="Arial" w:cs="Arial"/>
            <w:noProof/>
            <w:webHidden/>
            <w:sz w:val="16"/>
            <w:szCs w:val="16"/>
          </w:rPr>
          <w:tab/>
        </w:r>
        <w:r w:rsidR="00664206" w:rsidRPr="00664206">
          <w:rPr>
            <w:rFonts w:ascii="Arial" w:hAnsi="Arial" w:cs="Arial"/>
            <w:noProof/>
            <w:webHidden/>
            <w:sz w:val="16"/>
            <w:szCs w:val="16"/>
          </w:rPr>
          <w:fldChar w:fldCharType="begin"/>
        </w:r>
        <w:r w:rsidR="00664206" w:rsidRPr="00664206">
          <w:rPr>
            <w:rFonts w:ascii="Arial" w:hAnsi="Arial" w:cs="Arial"/>
            <w:noProof/>
            <w:webHidden/>
            <w:sz w:val="16"/>
            <w:szCs w:val="16"/>
          </w:rPr>
          <w:instrText xml:space="preserve"> PAGEREF _Toc27410011 \h </w:instrText>
        </w:r>
        <w:r w:rsidR="00664206" w:rsidRPr="00664206">
          <w:rPr>
            <w:rFonts w:ascii="Arial" w:hAnsi="Arial" w:cs="Arial"/>
            <w:noProof/>
            <w:webHidden/>
            <w:sz w:val="16"/>
            <w:szCs w:val="16"/>
          </w:rPr>
        </w:r>
        <w:r w:rsidR="00664206" w:rsidRPr="00664206">
          <w:rPr>
            <w:rFonts w:ascii="Arial" w:hAnsi="Arial" w:cs="Arial"/>
            <w:noProof/>
            <w:webHidden/>
            <w:sz w:val="16"/>
            <w:szCs w:val="16"/>
          </w:rPr>
          <w:fldChar w:fldCharType="separate"/>
        </w:r>
        <w:r w:rsidR="00664206" w:rsidRPr="00664206">
          <w:rPr>
            <w:rFonts w:ascii="Arial" w:hAnsi="Arial" w:cs="Arial"/>
            <w:noProof/>
            <w:webHidden/>
            <w:sz w:val="16"/>
            <w:szCs w:val="16"/>
          </w:rPr>
          <w:t>43</w:t>
        </w:r>
        <w:r w:rsidR="00664206" w:rsidRPr="00664206">
          <w:rPr>
            <w:rFonts w:ascii="Arial" w:hAnsi="Arial" w:cs="Arial"/>
            <w:noProof/>
            <w:webHidden/>
            <w:sz w:val="16"/>
            <w:szCs w:val="16"/>
          </w:rPr>
          <w:fldChar w:fldCharType="end"/>
        </w:r>
      </w:hyperlink>
    </w:p>
    <w:p w14:paraId="6D65DAC4" w14:textId="5A4B50B8" w:rsidR="00664206" w:rsidRPr="00664206" w:rsidRDefault="00B83132">
      <w:pPr>
        <w:pStyle w:val="Obsah3"/>
        <w:rPr>
          <w:rFonts w:ascii="Arial" w:eastAsiaTheme="minorEastAsia" w:hAnsi="Arial" w:cs="Arial"/>
          <w:noProof/>
          <w:sz w:val="16"/>
          <w:szCs w:val="16"/>
          <w:lang w:val="sk-SK" w:eastAsia="sk-SK"/>
        </w:rPr>
      </w:pPr>
      <w:hyperlink w:anchor="_Toc27410012" w:history="1">
        <w:r w:rsidR="00664206" w:rsidRPr="00664206">
          <w:rPr>
            <w:rStyle w:val="Hypertextovprepojenie"/>
            <w:rFonts w:ascii="Arial" w:hAnsi="Arial" w:cs="Arial"/>
            <w:noProof/>
            <w:sz w:val="16"/>
            <w:szCs w:val="16"/>
          </w:rPr>
          <w:t>22</w:t>
        </w:r>
        <w:r w:rsidR="00664206" w:rsidRPr="00664206">
          <w:rPr>
            <w:rFonts w:ascii="Arial" w:eastAsiaTheme="minorEastAsia" w:hAnsi="Arial" w:cs="Arial"/>
            <w:noProof/>
            <w:sz w:val="16"/>
            <w:szCs w:val="16"/>
            <w:lang w:val="sk-SK" w:eastAsia="sk-SK"/>
          </w:rPr>
          <w:tab/>
        </w:r>
        <w:r w:rsidR="00664206" w:rsidRPr="00664206">
          <w:rPr>
            <w:rStyle w:val="Hypertextovprepojenie"/>
            <w:rFonts w:ascii="Arial" w:hAnsi="Arial" w:cs="Arial"/>
            <w:noProof/>
            <w:sz w:val="16"/>
            <w:szCs w:val="16"/>
          </w:rPr>
          <w:t>Náklady na odmeňovanie zamestnancov</w:t>
        </w:r>
        <w:r w:rsidR="00664206" w:rsidRPr="00664206">
          <w:rPr>
            <w:rFonts w:ascii="Arial" w:hAnsi="Arial" w:cs="Arial"/>
            <w:noProof/>
            <w:webHidden/>
            <w:sz w:val="16"/>
            <w:szCs w:val="16"/>
          </w:rPr>
          <w:tab/>
        </w:r>
        <w:r w:rsidR="00664206" w:rsidRPr="00664206">
          <w:rPr>
            <w:rFonts w:ascii="Arial" w:hAnsi="Arial" w:cs="Arial"/>
            <w:noProof/>
            <w:webHidden/>
            <w:sz w:val="16"/>
            <w:szCs w:val="16"/>
          </w:rPr>
          <w:fldChar w:fldCharType="begin"/>
        </w:r>
        <w:r w:rsidR="00664206" w:rsidRPr="00664206">
          <w:rPr>
            <w:rFonts w:ascii="Arial" w:hAnsi="Arial" w:cs="Arial"/>
            <w:noProof/>
            <w:webHidden/>
            <w:sz w:val="16"/>
            <w:szCs w:val="16"/>
          </w:rPr>
          <w:instrText xml:space="preserve"> PAGEREF _Toc27410012 \h </w:instrText>
        </w:r>
        <w:r w:rsidR="00664206" w:rsidRPr="00664206">
          <w:rPr>
            <w:rFonts w:ascii="Arial" w:hAnsi="Arial" w:cs="Arial"/>
            <w:noProof/>
            <w:webHidden/>
            <w:sz w:val="16"/>
            <w:szCs w:val="16"/>
          </w:rPr>
        </w:r>
        <w:r w:rsidR="00664206" w:rsidRPr="00664206">
          <w:rPr>
            <w:rFonts w:ascii="Arial" w:hAnsi="Arial" w:cs="Arial"/>
            <w:noProof/>
            <w:webHidden/>
            <w:sz w:val="16"/>
            <w:szCs w:val="16"/>
          </w:rPr>
          <w:fldChar w:fldCharType="separate"/>
        </w:r>
        <w:r w:rsidR="00664206" w:rsidRPr="00664206">
          <w:rPr>
            <w:rFonts w:ascii="Arial" w:hAnsi="Arial" w:cs="Arial"/>
            <w:noProof/>
            <w:webHidden/>
            <w:sz w:val="16"/>
            <w:szCs w:val="16"/>
          </w:rPr>
          <w:t>44</w:t>
        </w:r>
        <w:r w:rsidR="00664206" w:rsidRPr="00664206">
          <w:rPr>
            <w:rFonts w:ascii="Arial" w:hAnsi="Arial" w:cs="Arial"/>
            <w:noProof/>
            <w:webHidden/>
            <w:sz w:val="16"/>
            <w:szCs w:val="16"/>
          </w:rPr>
          <w:fldChar w:fldCharType="end"/>
        </w:r>
      </w:hyperlink>
    </w:p>
    <w:p w14:paraId="7786863D" w14:textId="153856B1" w:rsidR="00664206" w:rsidRPr="00664206" w:rsidRDefault="00B83132">
      <w:pPr>
        <w:pStyle w:val="Obsah3"/>
        <w:rPr>
          <w:rFonts w:ascii="Arial" w:eastAsiaTheme="minorEastAsia" w:hAnsi="Arial" w:cs="Arial"/>
          <w:noProof/>
          <w:sz w:val="16"/>
          <w:szCs w:val="16"/>
          <w:lang w:val="sk-SK" w:eastAsia="sk-SK"/>
        </w:rPr>
      </w:pPr>
      <w:hyperlink w:anchor="_Toc27410013" w:history="1">
        <w:r w:rsidR="00664206" w:rsidRPr="00664206">
          <w:rPr>
            <w:rStyle w:val="Hypertextovprepojenie"/>
            <w:rFonts w:ascii="Arial" w:hAnsi="Arial" w:cs="Arial"/>
            <w:noProof/>
            <w:sz w:val="16"/>
            <w:szCs w:val="16"/>
          </w:rPr>
          <w:t>23</w:t>
        </w:r>
        <w:r w:rsidR="00664206" w:rsidRPr="00664206">
          <w:rPr>
            <w:rFonts w:ascii="Arial" w:eastAsiaTheme="minorEastAsia" w:hAnsi="Arial" w:cs="Arial"/>
            <w:noProof/>
            <w:sz w:val="16"/>
            <w:szCs w:val="16"/>
            <w:lang w:val="sk-SK" w:eastAsia="sk-SK"/>
          </w:rPr>
          <w:tab/>
        </w:r>
        <w:r w:rsidR="00664206" w:rsidRPr="00664206">
          <w:rPr>
            <w:rStyle w:val="Hypertextovprepojenie"/>
            <w:rFonts w:ascii="Arial" w:hAnsi="Arial" w:cs="Arial"/>
            <w:noProof/>
            <w:sz w:val="16"/>
            <w:szCs w:val="16"/>
          </w:rPr>
          <w:t>Podiel na zisku z pridružených spoločností a spoločných podnikov vrátane dividend</w:t>
        </w:r>
        <w:r w:rsidR="00664206" w:rsidRPr="00664206">
          <w:rPr>
            <w:rFonts w:ascii="Arial" w:hAnsi="Arial" w:cs="Arial"/>
            <w:noProof/>
            <w:webHidden/>
            <w:sz w:val="16"/>
            <w:szCs w:val="16"/>
          </w:rPr>
          <w:tab/>
        </w:r>
        <w:r w:rsidR="00664206" w:rsidRPr="00664206">
          <w:rPr>
            <w:rFonts w:ascii="Arial" w:hAnsi="Arial" w:cs="Arial"/>
            <w:noProof/>
            <w:webHidden/>
            <w:sz w:val="16"/>
            <w:szCs w:val="16"/>
          </w:rPr>
          <w:fldChar w:fldCharType="begin"/>
        </w:r>
        <w:r w:rsidR="00664206" w:rsidRPr="00664206">
          <w:rPr>
            <w:rFonts w:ascii="Arial" w:hAnsi="Arial" w:cs="Arial"/>
            <w:noProof/>
            <w:webHidden/>
            <w:sz w:val="16"/>
            <w:szCs w:val="16"/>
          </w:rPr>
          <w:instrText xml:space="preserve"> PAGEREF _Toc27410013 \h </w:instrText>
        </w:r>
        <w:r w:rsidR="00664206" w:rsidRPr="00664206">
          <w:rPr>
            <w:rFonts w:ascii="Arial" w:hAnsi="Arial" w:cs="Arial"/>
            <w:noProof/>
            <w:webHidden/>
            <w:sz w:val="16"/>
            <w:szCs w:val="16"/>
          </w:rPr>
        </w:r>
        <w:r w:rsidR="00664206" w:rsidRPr="00664206">
          <w:rPr>
            <w:rFonts w:ascii="Arial" w:hAnsi="Arial" w:cs="Arial"/>
            <w:noProof/>
            <w:webHidden/>
            <w:sz w:val="16"/>
            <w:szCs w:val="16"/>
          </w:rPr>
          <w:fldChar w:fldCharType="separate"/>
        </w:r>
        <w:r w:rsidR="00664206" w:rsidRPr="00664206">
          <w:rPr>
            <w:rFonts w:ascii="Arial" w:hAnsi="Arial" w:cs="Arial"/>
            <w:noProof/>
            <w:webHidden/>
            <w:sz w:val="16"/>
            <w:szCs w:val="16"/>
          </w:rPr>
          <w:t>44</w:t>
        </w:r>
        <w:r w:rsidR="00664206" w:rsidRPr="00664206">
          <w:rPr>
            <w:rFonts w:ascii="Arial" w:hAnsi="Arial" w:cs="Arial"/>
            <w:noProof/>
            <w:webHidden/>
            <w:sz w:val="16"/>
            <w:szCs w:val="16"/>
          </w:rPr>
          <w:fldChar w:fldCharType="end"/>
        </w:r>
      </w:hyperlink>
    </w:p>
    <w:p w14:paraId="7ED8C7DE" w14:textId="636E0D7C" w:rsidR="00664206" w:rsidRPr="00664206" w:rsidRDefault="00B83132">
      <w:pPr>
        <w:pStyle w:val="Obsah3"/>
        <w:rPr>
          <w:rFonts w:ascii="Arial" w:eastAsiaTheme="minorEastAsia" w:hAnsi="Arial" w:cs="Arial"/>
          <w:noProof/>
          <w:sz w:val="16"/>
          <w:szCs w:val="16"/>
          <w:lang w:val="sk-SK" w:eastAsia="sk-SK"/>
        </w:rPr>
      </w:pPr>
      <w:hyperlink w:anchor="_Toc27410014" w:history="1">
        <w:r w:rsidR="00664206" w:rsidRPr="00664206">
          <w:rPr>
            <w:rStyle w:val="Hypertextovprepojenie"/>
            <w:rFonts w:ascii="Arial" w:hAnsi="Arial" w:cs="Arial"/>
            <w:noProof/>
            <w:sz w:val="16"/>
            <w:szCs w:val="16"/>
          </w:rPr>
          <w:t>24</w:t>
        </w:r>
        <w:r w:rsidR="00664206" w:rsidRPr="00664206">
          <w:rPr>
            <w:rFonts w:ascii="Arial" w:eastAsiaTheme="minorEastAsia" w:hAnsi="Arial" w:cs="Arial"/>
            <w:noProof/>
            <w:sz w:val="16"/>
            <w:szCs w:val="16"/>
            <w:lang w:val="sk-SK" w:eastAsia="sk-SK"/>
          </w:rPr>
          <w:tab/>
        </w:r>
        <w:r w:rsidR="00664206" w:rsidRPr="00664206">
          <w:rPr>
            <w:rStyle w:val="Hypertextovprepojenie"/>
            <w:rFonts w:ascii="Arial" w:hAnsi="Arial" w:cs="Arial"/>
            <w:noProof/>
            <w:sz w:val="16"/>
            <w:szCs w:val="16"/>
          </w:rPr>
          <w:t>Finančné náklady /(-) výnosy – netto</w:t>
        </w:r>
        <w:r w:rsidR="00664206" w:rsidRPr="00664206">
          <w:rPr>
            <w:rFonts w:ascii="Arial" w:hAnsi="Arial" w:cs="Arial"/>
            <w:noProof/>
            <w:webHidden/>
            <w:sz w:val="16"/>
            <w:szCs w:val="16"/>
          </w:rPr>
          <w:tab/>
        </w:r>
        <w:r w:rsidR="00664206" w:rsidRPr="00664206">
          <w:rPr>
            <w:rFonts w:ascii="Arial" w:hAnsi="Arial" w:cs="Arial"/>
            <w:noProof/>
            <w:webHidden/>
            <w:sz w:val="16"/>
            <w:szCs w:val="16"/>
          </w:rPr>
          <w:fldChar w:fldCharType="begin"/>
        </w:r>
        <w:r w:rsidR="00664206" w:rsidRPr="00664206">
          <w:rPr>
            <w:rFonts w:ascii="Arial" w:hAnsi="Arial" w:cs="Arial"/>
            <w:noProof/>
            <w:webHidden/>
            <w:sz w:val="16"/>
            <w:szCs w:val="16"/>
          </w:rPr>
          <w:instrText xml:space="preserve"> PAGEREF _Toc27410014 \h </w:instrText>
        </w:r>
        <w:r w:rsidR="00664206" w:rsidRPr="00664206">
          <w:rPr>
            <w:rFonts w:ascii="Arial" w:hAnsi="Arial" w:cs="Arial"/>
            <w:noProof/>
            <w:webHidden/>
            <w:sz w:val="16"/>
            <w:szCs w:val="16"/>
          </w:rPr>
        </w:r>
        <w:r w:rsidR="00664206" w:rsidRPr="00664206">
          <w:rPr>
            <w:rFonts w:ascii="Arial" w:hAnsi="Arial" w:cs="Arial"/>
            <w:noProof/>
            <w:webHidden/>
            <w:sz w:val="16"/>
            <w:szCs w:val="16"/>
          </w:rPr>
          <w:fldChar w:fldCharType="separate"/>
        </w:r>
        <w:r w:rsidR="00664206" w:rsidRPr="00664206">
          <w:rPr>
            <w:rFonts w:ascii="Arial" w:hAnsi="Arial" w:cs="Arial"/>
            <w:noProof/>
            <w:webHidden/>
            <w:sz w:val="16"/>
            <w:szCs w:val="16"/>
          </w:rPr>
          <w:t>44</w:t>
        </w:r>
        <w:r w:rsidR="00664206" w:rsidRPr="00664206">
          <w:rPr>
            <w:rFonts w:ascii="Arial" w:hAnsi="Arial" w:cs="Arial"/>
            <w:noProof/>
            <w:webHidden/>
            <w:sz w:val="16"/>
            <w:szCs w:val="16"/>
          </w:rPr>
          <w:fldChar w:fldCharType="end"/>
        </w:r>
      </w:hyperlink>
    </w:p>
    <w:p w14:paraId="5D789DA3" w14:textId="0C668607" w:rsidR="00664206" w:rsidRPr="00664206" w:rsidRDefault="00B83132">
      <w:pPr>
        <w:pStyle w:val="Obsah3"/>
        <w:rPr>
          <w:rFonts w:ascii="Arial" w:eastAsiaTheme="minorEastAsia" w:hAnsi="Arial" w:cs="Arial"/>
          <w:noProof/>
          <w:sz w:val="16"/>
          <w:szCs w:val="16"/>
          <w:lang w:val="sk-SK" w:eastAsia="sk-SK"/>
        </w:rPr>
      </w:pPr>
      <w:hyperlink w:anchor="_Toc27410015" w:history="1">
        <w:r w:rsidR="00664206" w:rsidRPr="00664206">
          <w:rPr>
            <w:rStyle w:val="Hypertextovprepojenie"/>
            <w:rFonts w:ascii="Arial" w:hAnsi="Arial" w:cs="Arial"/>
            <w:noProof/>
            <w:sz w:val="16"/>
            <w:szCs w:val="16"/>
          </w:rPr>
          <w:t>25</w:t>
        </w:r>
        <w:r w:rsidR="00664206" w:rsidRPr="00664206">
          <w:rPr>
            <w:rFonts w:ascii="Arial" w:eastAsiaTheme="minorEastAsia" w:hAnsi="Arial" w:cs="Arial"/>
            <w:noProof/>
            <w:sz w:val="16"/>
            <w:szCs w:val="16"/>
            <w:lang w:val="sk-SK" w:eastAsia="sk-SK"/>
          </w:rPr>
          <w:tab/>
        </w:r>
        <w:r w:rsidR="00664206" w:rsidRPr="00664206">
          <w:rPr>
            <w:rStyle w:val="Hypertextovprepojenie"/>
            <w:rFonts w:ascii="Arial" w:hAnsi="Arial" w:cs="Arial"/>
            <w:noProof/>
            <w:sz w:val="16"/>
            <w:szCs w:val="16"/>
          </w:rPr>
          <w:t>Daň z príjmov</w:t>
        </w:r>
        <w:r w:rsidR="00664206" w:rsidRPr="00664206">
          <w:rPr>
            <w:rFonts w:ascii="Arial" w:hAnsi="Arial" w:cs="Arial"/>
            <w:noProof/>
            <w:webHidden/>
            <w:sz w:val="16"/>
            <w:szCs w:val="16"/>
          </w:rPr>
          <w:tab/>
        </w:r>
        <w:r w:rsidR="00664206" w:rsidRPr="00664206">
          <w:rPr>
            <w:rFonts w:ascii="Arial" w:hAnsi="Arial" w:cs="Arial"/>
            <w:noProof/>
            <w:webHidden/>
            <w:sz w:val="16"/>
            <w:szCs w:val="16"/>
          </w:rPr>
          <w:fldChar w:fldCharType="begin"/>
        </w:r>
        <w:r w:rsidR="00664206" w:rsidRPr="00664206">
          <w:rPr>
            <w:rFonts w:ascii="Arial" w:hAnsi="Arial" w:cs="Arial"/>
            <w:noProof/>
            <w:webHidden/>
            <w:sz w:val="16"/>
            <w:szCs w:val="16"/>
          </w:rPr>
          <w:instrText xml:space="preserve"> PAGEREF _Toc27410015 \h </w:instrText>
        </w:r>
        <w:r w:rsidR="00664206" w:rsidRPr="00664206">
          <w:rPr>
            <w:rFonts w:ascii="Arial" w:hAnsi="Arial" w:cs="Arial"/>
            <w:noProof/>
            <w:webHidden/>
            <w:sz w:val="16"/>
            <w:szCs w:val="16"/>
          </w:rPr>
        </w:r>
        <w:r w:rsidR="00664206" w:rsidRPr="00664206">
          <w:rPr>
            <w:rFonts w:ascii="Arial" w:hAnsi="Arial" w:cs="Arial"/>
            <w:noProof/>
            <w:webHidden/>
            <w:sz w:val="16"/>
            <w:szCs w:val="16"/>
          </w:rPr>
          <w:fldChar w:fldCharType="separate"/>
        </w:r>
        <w:r w:rsidR="00664206" w:rsidRPr="00664206">
          <w:rPr>
            <w:rFonts w:ascii="Arial" w:hAnsi="Arial" w:cs="Arial"/>
            <w:noProof/>
            <w:webHidden/>
            <w:sz w:val="16"/>
            <w:szCs w:val="16"/>
          </w:rPr>
          <w:t>45</w:t>
        </w:r>
        <w:r w:rsidR="00664206" w:rsidRPr="00664206">
          <w:rPr>
            <w:rFonts w:ascii="Arial" w:hAnsi="Arial" w:cs="Arial"/>
            <w:noProof/>
            <w:webHidden/>
            <w:sz w:val="16"/>
            <w:szCs w:val="16"/>
          </w:rPr>
          <w:fldChar w:fldCharType="end"/>
        </w:r>
      </w:hyperlink>
    </w:p>
    <w:p w14:paraId="77445825" w14:textId="4499A228" w:rsidR="00664206" w:rsidRPr="00664206" w:rsidRDefault="00B83132">
      <w:pPr>
        <w:pStyle w:val="Obsah3"/>
        <w:rPr>
          <w:rFonts w:ascii="Arial" w:eastAsiaTheme="minorEastAsia" w:hAnsi="Arial" w:cs="Arial"/>
          <w:noProof/>
          <w:sz w:val="16"/>
          <w:szCs w:val="16"/>
          <w:lang w:val="sk-SK" w:eastAsia="sk-SK"/>
        </w:rPr>
      </w:pPr>
      <w:hyperlink w:anchor="_Toc27410016" w:history="1">
        <w:r w:rsidR="00664206" w:rsidRPr="00664206">
          <w:rPr>
            <w:rStyle w:val="Hypertextovprepojenie"/>
            <w:rFonts w:ascii="Arial" w:hAnsi="Arial" w:cs="Arial"/>
            <w:noProof/>
            <w:sz w:val="16"/>
            <w:szCs w:val="16"/>
          </w:rPr>
          <w:t>26</w:t>
        </w:r>
        <w:r w:rsidR="00664206" w:rsidRPr="00664206">
          <w:rPr>
            <w:rFonts w:ascii="Arial" w:eastAsiaTheme="minorEastAsia" w:hAnsi="Arial" w:cs="Arial"/>
            <w:noProof/>
            <w:sz w:val="16"/>
            <w:szCs w:val="16"/>
            <w:lang w:val="sk-SK" w:eastAsia="sk-SK"/>
          </w:rPr>
          <w:tab/>
        </w:r>
        <w:r w:rsidR="00664206" w:rsidRPr="00664206">
          <w:rPr>
            <w:rStyle w:val="Hypertextovprepojenie"/>
            <w:rFonts w:ascii="Arial" w:hAnsi="Arial" w:cs="Arial"/>
            <w:noProof/>
            <w:sz w:val="16"/>
            <w:szCs w:val="16"/>
          </w:rPr>
          <w:t>Zverejnenie reálnych hodnôt</w:t>
        </w:r>
        <w:r w:rsidR="00664206" w:rsidRPr="00664206">
          <w:rPr>
            <w:rFonts w:ascii="Arial" w:hAnsi="Arial" w:cs="Arial"/>
            <w:noProof/>
            <w:webHidden/>
            <w:sz w:val="16"/>
            <w:szCs w:val="16"/>
          </w:rPr>
          <w:tab/>
        </w:r>
        <w:r w:rsidR="00664206" w:rsidRPr="00664206">
          <w:rPr>
            <w:rFonts w:ascii="Arial" w:hAnsi="Arial" w:cs="Arial"/>
            <w:noProof/>
            <w:webHidden/>
            <w:sz w:val="16"/>
            <w:szCs w:val="16"/>
          </w:rPr>
          <w:fldChar w:fldCharType="begin"/>
        </w:r>
        <w:r w:rsidR="00664206" w:rsidRPr="00664206">
          <w:rPr>
            <w:rFonts w:ascii="Arial" w:hAnsi="Arial" w:cs="Arial"/>
            <w:noProof/>
            <w:webHidden/>
            <w:sz w:val="16"/>
            <w:szCs w:val="16"/>
          </w:rPr>
          <w:instrText xml:space="preserve"> PAGEREF _Toc27410016 \h </w:instrText>
        </w:r>
        <w:r w:rsidR="00664206" w:rsidRPr="00664206">
          <w:rPr>
            <w:rFonts w:ascii="Arial" w:hAnsi="Arial" w:cs="Arial"/>
            <w:noProof/>
            <w:webHidden/>
            <w:sz w:val="16"/>
            <w:szCs w:val="16"/>
          </w:rPr>
        </w:r>
        <w:r w:rsidR="00664206" w:rsidRPr="00664206">
          <w:rPr>
            <w:rFonts w:ascii="Arial" w:hAnsi="Arial" w:cs="Arial"/>
            <w:noProof/>
            <w:webHidden/>
            <w:sz w:val="16"/>
            <w:szCs w:val="16"/>
          </w:rPr>
          <w:fldChar w:fldCharType="separate"/>
        </w:r>
        <w:r w:rsidR="00664206" w:rsidRPr="00664206">
          <w:rPr>
            <w:rFonts w:ascii="Arial" w:hAnsi="Arial" w:cs="Arial"/>
            <w:noProof/>
            <w:webHidden/>
            <w:sz w:val="16"/>
            <w:szCs w:val="16"/>
          </w:rPr>
          <w:t>45</w:t>
        </w:r>
        <w:r w:rsidR="00664206" w:rsidRPr="00664206">
          <w:rPr>
            <w:rFonts w:ascii="Arial" w:hAnsi="Arial" w:cs="Arial"/>
            <w:noProof/>
            <w:webHidden/>
            <w:sz w:val="16"/>
            <w:szCs w:val="16"/>
          </w:rPr>
          <w:fldChar w:fldCharType="end"/>
        </w:r>
      </w:hyperlink>
    </w:p>
    <w:p w14:paraId="13F66CCB" w14:textId="7759168F" w:rsidR="00664206" w:rsidRPr="00664206" w:rsidRDefault="00B83132">
      <w:pPr>
        <w:pStyle w:val="Obsah3"/>
        <w:rPr>
          <w:rFonts w:ascii="Arial" w:eastAsiaTheme="minorEastAsia" w:hAnsi="Arial" w:cs="Arial"/>
          <w:noProof/>
          <w:sz w:val="16"/>
          <w:szCs w:val="16"/>
          <w:lang w:val="sk-SK" w:eastAsia="sk-SK"/>
        </w:rPr>
      </w:pPr>
      <w:hyperlink w:anchor="_Toc27410017" w:history="1">
        <w:r w:rsidR="00664206" w:rsidRPr="00664206">
          <w:rPr>
            <w:rStyle w:val="Hypertextovprepojenie"/>
            <w:rFonts w:ascii="Arial" w:hAnsi="Arial" w:cs="Arial"/>
            <w:noProof/>
            <w:sz w:val="16"/>
            <w:szCs w:val="16"/>
          </w:rPr>
          <w:t>27</w:t>
        </w:r>
        <w:r w:rsidR="00664206" w:rsidRPr="00664206">
          <w:rPr>
            <w:rFonts w:ascii="Arial" w:eastAsiaTheme="minorEastAsia" w:hAnsi="Arial" w:cs="Arial"/>
            <w:noProof/>
            <w:sz w:val="16"/>
            <w:szCs w:val="16"/>
            <w:lang w:val="sk-SK" w:eastAsia="sk-SK"/>
          </w:rPr>
          <w:tab/>
        </w:r>
        <w:r w:rsidR="00664206" w:rsidRPr="00664206">
          <w:rPr>
            <w:rStyle w:val="Hypertextovprepojenie"/>
            <w:rFonts w:ascii="Arial" w:hAnsi="Arial" w:cs="Arial"/>
            <w:noProof/>
            <w:sz w:val="16"/>
            <w:szCs w:val="16"/>
          </w:rPr>
          <w:t>Odsúhlasenie záväzkov vykázaných v peňažných tokoch z finančnej činnosti</w:t>
        </w:r>
        <w:r w:rsidR="00664206" w:rsidRPr="00664206">
          <w:rPr>
            <w:rFonts w:ascii="Arial" w:hAnsi="Arial" w:cs="Arial"/>
            <w:noProof/>
            <w:webHidden/>
            <w:sz w:val="16"/>
            <w:szCs w:val="16"/>
          </w:rPr>
          <w:tab/>
        </w:r>
        <w:r w:rsidR="00664206" w:rsidRPr="00664206">
          <w:rPr>
            <w:rFonts w:ascii="Arial" w:hAnsi="Arial" w:cs="Arial"/>
            <w:noProof/>
            <w:webHidden/>
            <w:sz w:val="16"/>
            <w:szCs w:val="16"/>
          </w:rPr>
          <w:fldChar w:fldCharType="begin"/>
        </w:r>
        <w:r w:rsidR="00664206" w:rsidRPr="00664206">
          <w:rPr>
            <w:rFonts w:ascii="Arial" w:hAnsi="Arial" w:cs="Arial"/>
            <w:noProof/>
            <w:webHidden/>
            <w:sz w:val="16"/>
            <w:szCs w:val="16"/>
          </w:rPr>
          <w:instrText xml:space="preserve"> PAGEREF _Toc27410017 \h </w:instrText>
        </w:r>
        <w:r w:rsidR="00664206" w:rsidRPr="00664206">
          <w:rPr>
            <w:rFonts w:ascii="Arial" w:hAnsi="Arial" w:cs="Arial"/>
            <w:noProof/>
            <w:webHidden/>
            <w:sz w:val="16"/>
            <w:szCs w:val="16"/>
          </w:rPr>
        </w:r>
        <w:r w:rsidR="00664206" w:rsidRPr="00664206">
          <w:rPr>
            <w:rFonts w:ascii="Arial" w:hAnsi="Arial" w:cs="Arial"/>
            <w:noProof/>
            <w:webHidden/>
            <w:sz w:val="16"/>
            <w:szCs w:val="16"/>
          </w:rPr>
          <w:fldChar w:fldCharType="separate"/>
        </w:r>
        <w:r w:rsidR="00664206" w:rsidRPr="00664206">
          <w:rPr>
            <w:rFonts w:ascii="Arial" w:hAnsi="Arial" w:cs="Arial"/>
            <w:noProof/>
            <w:webHidden/>
            <w:sz w:val="16"/>
            <w:szCs w:val="16"/>
          </w:rPr>
          <w:t>46</w:t>
        </w:r>
        <w:r w:rsidR="00664206" w:rsidRPr="00664206">
          <w:rPr>
            <w:rFonts w:ascii="Arial" w:hAnsi="Arial" w:cs="Arial"/>
            <w:noProof/>
            <w:webHidden/>
            <w:sz w:val="16"/>
            <w:szCs w:val="16"/>
          </w:rPr>
          <w:fldChar w:fldCharType="end"/>
        </w:r>
      </w:hyperlink>
    </w:p>
    <w:p w14:paraId="6FB86A34" w14:textId="21B30146" w:rsidR="00664206" w:rsidRPr="00664206" w:rsidRDefault="00B83132">
      <w:pPr>
        <w:pStyle w:val="Obsah3"/>
        <w:rPr>
          <w:rFonts w:ascii="Arial" w:eastAsiaTheme="minorEastAsia" w:hAnsi="Arial" w:cs="Arial"/>
          <w:noProof/>
          <w:sz w:val="16"/>
          <w:szCs w:val="16"/>
          <w:lang w:val="sk-SK" w:eastAsia="sk-SK"/>
        </w:rPr>
      </w:pPr>
      <w:hyperlink w:anchor="_Toc27410018" w:history="1">
        <w:r w:rsidR="00664206" w:rsidRPr="00664206">
          <w:rPr>
            <w:rStyle w:val="Hypertextovprepojenie"/>
            <w:rFonts w:ascii="Arial" w:hAnsi="Arial" w:cs="Arial"/>
            <w:noProof/>
            <w:sz w:val="16"/>
            <w:szCs w:val="16"/>
          </w:rPr>
          <w:t>28</w:t>
        </w:r>
        <w:r w:rsidR="00664206" w:rsidRPr="00664206">
          <w:rPr>
            <w:rFonts w:ascii="Arial" w:eastAsiaTheme="minorEastAsia" w:hAnsi="Arial" w:cs="Arial"/>
            <w:noProof/>
            <w:sz w:val="16"/>
            <w:szCs w:val="16"/>
            <w:lang w:val="sk-SK" w:eastAsia="sk-SK"/>
          </w:rPr>
          <w:tab/>
        </w:r>
        <w:r w:rsidR="00664206" w:rsidRPr="00664206">
          <w:rPr>
            <w:rStyle w:val="Hypertextovprepojenie"/>
            <w:rFonts w:ascii="Arial" w:hAnsi="Arial" w:cs="Arial"/>
            <w:noProof/>
            <w:sz w:val="16"/>
            <w:szCs w:val="16"/>
          </w:rPr>
          <w:t>Peňažné toky z prevádzkovej činnosti</w:t>
        </w:r>
        <w:r w:rsidR="00664206" w:rsidRPr="00664206">
          <w:rPr>
            <w:rFonts w:ascii="Arial" w:hAnsi="Arial" w:cs="Arial"/>
            <w:noProof/>
            <w:webHidden/>
            <w:sz w:val="16"/>
            <w:szCs w:val="16"/>
          </w:rPr>
          <w:tab/>
        </w:r>
        <w:r w:rsidR="00664206" w:rsidRPr="00664206">
          <w:rPr>
            <w:rFonts w:ascii="Arial" w:hAnsi="Arial" w:cs="Arial"/>
            <w:noProof/>
            <w:webHidden/>
            <w:sz w:val="16"/>
            <w:szCs w:val="16"/>
          </w:rPr>
          <w:fldChar w:fldCharType="begin"/>
        </w:r>
        <w:r w:rsidR="00664206" w:rsidRPr="00664206">
          <w:rPr>
            <w:rFonts w:ascii="Arial" w:hAnsi="Arial" w:cs="Arial"/>
            <w:noProof/>
            <w:webHidden/>
            <w:sz w:val="16"/>
            <w:szCs w:val="16"/>
          </w:rPr>
          <w:instrText xml:space="preserve"> PAGEREF _Toc27410018 \h </w:instrText>
        </w:r>
        <w:r w:rsidR="00664206" w:rsidRPr="00664206">
          <w:rPr>
            <w:rFonts w:ascii="Arial" w:hAnsi="Arial" w:cs="Arial"/>
            <w:noProof/>
            <w:webHidden/>
            <w:sz w:val="16"/>
            <w:szCs w:val="16"/>
          </w:rPr>
        </w:r>
        <w:r w:rsidR="00664206" w:rsidRPr="00664206">
          <w:rPr>
            <w:rFonts w:ascii="Arial" w:hAnsi="Arial" w:cs="Arial"/>
            <w:noProof/>
            <w:webHidden/>
            <w:sz w:val="16"/>
            <w:szCs w:val="16"/>
          </w:rPr>
          <w:fldChar w:fldCharType="separate"/>
        </w:r>
        <w:r w:rsidR="00664206" w:rsidRPr="00664206">
          <w:rPr>
            <w:rFonts w:ascii="Arial" w:hAnsi="Arial" w:cs="Arial"/>
            <w:noProof/>
            <w:webHidden/>
            <w:sz w:val="16"/>
            <w:szCs w:val="16"/>
          </w:rPr>
          <w:t>46</w:t>
        </w:r>
        <w:r w:rsidR="00664206" w:rsidRPr="00664206">
          <w:rPr>
            <w:rFonts w:ascii="Arial" w:hAnsi="Arial" w:cs="Arial"/>
            <w:noProof/>
            <w:webHidden/>
            <w:sz w:val="16"/>
            <w:szCs w:val="16"/>
          </w:rPr>
          <w:fldChar w:fldCharType="end"/>
        </w:r>
      </w:hyperlink>
    </w:p>
    <w:p w14:paraId="10CF5184" w14:textId="0686B627" w:rsidR="00664206" w:rsidRPr="00664206" w:rsidRDefault="00B83132">
      <w:pPr>
        <w:pStyle w:val="Obsah3"/>
        <w:rPr>
          <w:rFonts w:ascii="Arial" w:eastAsiaTheme="minorEastAsia" w:hAnsi="Arial" w:cs="Arial"/>
          <w:noProof/>
          <w:sz w:val="16"/>
          <w:szCs w:val="16"/>
          <w:lang w:val="sk-SK" w:eastAsia="sk-SK"/>
        </w:rPr>
      </w:pPr>
      <w:hyperlink w:anchor="_Toc27410019" w:history="1">
        <w:r w:rsidR="00664206" w:rsidRPr="00664206">
          <w:rPr>
            <w:rStyle w:val="Hypertextovprepojenie"/>
            <w:rFonts w:ascii="Arial" w:hAnsi="Arial" w:cs="Arial"/>
            <w:noProof/>
            <w:sz w:val="16"/>
            <w:szCs w:val="16"/>
          </w:rPr>
          <w:t>29</w:t>
        </w:r>
        <w:r w:rsidR="00664206" w:rsidRPr="00664206">
          <w:rPr>
            <w:rFonts w:ascii="Arial" w:eastAsiaTheme="minorEastAsia" w:hAnsi="Arial" w:cs="Arial"/>
            <w:noProof/>
            <w:sz w:val="16"/>
            <w:szCs w:val="16"/>
            <w:lang w:val="sk-SK" w:eastAsia="sk-SK"/>
          </w:rPr>
          <w:tab/>
        </w:r>
        <w:r w:rsidR="00664206" w:rsidRPr="00664206">
          <w:rPr>
            <w:rStyle w:val="Hypertextovprepojenie"/>
            <w:rFonts w:ascii="Arial" w:hAnsi="Arial" w:cs="Arial"/>
            <w:noProof/>
            <w:sz w:val="16"/>
            <w:szCs w:val="16"/>
          </w:rPr>
          <w:t>Podmienené záväzky a podmienené aktíva</w:t>
        </w:r>
        <w:r w:rsidR="00664206" w:rsidRPr="00664206">
          <w:rPr>
            <w:rFonts w:ascii="Arial" w:hAnsi="Arial" w:cs="Arial"/>
            <w:noProof/>
            <w:webHidden/>
            <w:sz w:val="16"/>
            <w:szCs w:val="16"/>
          </w:rPr>
          <w:tab/>
        </w:r>
        <w:r w:rsidR="00664206" w:rsidRPr="00664206">
          <w:rPr>
            <w:rFonts w:ascii="Arial" w:hAnsi="Arial" w:cs="Arial"/>
            <w:noProof/>
            <w:webHidden/>
            <w:sz w:val="16"/>
            <w:szCs w:val="16"/>
          </w:rPr>
          <w:fldChar w:fldCharType="begin"/>
        </w:r>
        <w:r w:rsidR="00664206" w:rsidRPr="00664206">
          <w:rPr>
            <w:rFonts w:ascii="Arial" w:hAnsi="Arial" w:cs="Arial"/>
            <w:noProof/>
            <w:webHidden/>
            <w:sz w:val="16"/>
            <w:szCs w:val="16"/>
          </w:rPr>
          <w:instrText xml:space="preserve"> PAGEREF _Toc27410019 \h </w:instrText>
        </w:r>
        <w:r w:rsidR="00664206" w:rsidRPr="00664206">
          <w:rPr>
            <w:rFonts w:ascii="Arial" w:hAnsi="Arial" w:cs="Arial"/>
            <w:noProof/>
            <w:webHidden/>
            <w:sz w:val="16"/>
            <w:szCs w:val="16"/>
          </w:rPr>
        </w:r>
        <w:r w:rsidR="00664206" w:rsidRPr="00664206">
          <w:rPr>
            <w:rFonts w:ascii="Arial" w:hAnsi="Arial" w:cs="Arial"/>
            <w:noProof/>
            <w:webHidden/>
            <w:sz w:val="16"/>
            <w:szCs w:val="16"/>
          </w:rPr>
          <w:fldChar w:fldCharType="separate"/>
        </w:r>
        <w:r w:rsidR="00664206" w:rsidRPr="00664206">
          <w:rPr>
            <w:rFonts w:ascii="Arial" w:hAnsi="Arial" w:cs="Arial"/>
            <w:noProof/>
            <w:webHidden/>
            <w:sz w:val="16"/>
            <w:szCs w:val="16"/>
          </w:rPr>
          <w:t>47</w:t>
        </w:r>
        <w:r w:rsidR="00664206" w:rsidRPr="00664206">
          <w:rPr>
            <w:rFonts w:ascii="Arial" w:hAnsi="Arial" w:cs="Arial"/>
            <w:noProof/>
            <w:webHidden/>
            <w:sz w:val="16"/>
            <w:szCs w:val="16"/>
          </w:rPr>
          <w:fldChar w:fldCharType="end"/>
        </w:r>
      </w:hyperlink>
    </w:p>
    <w:p w14:paraId="7C76FBE8" w14:textId="77DC7764" w:rsidR="00664206" w:rsidRPr="00664206" w:rsidRDefault="00B83132">
      <w:pPr>
        <w:pStyle w:val="Obsah3"/>
        <w:rPr>
          <w:rFonts w:ascii="Arial" w:eastAsiaTheme="minorEastAsia" w:hAnsi="Arial" w:cs="Arial"/>
          <w:noProof/>
          <w:sz w:val="16"/>
          <w:szCs w:val="16"/>
          <w:lang w:val="sk-SK" w:eastAsia="sk-SK"/>
        </w:rPr>
      </w:pPr>
      <w:hyperlink w:anchor="_Toc27410020" w:history="1">
        <w:r w:rsidR="00664206" w:rsidRPr="00664206">
          <w:rPr>
            <w:rStyle w:val="Hypertextovprepojenie"/>
            <w:rFonts w:ascii="Arial" w:hAnsi="Arial" w:cs="Arial"/>
            <w:noProof/>
            <w:sz w:val="16"/>
            <w:szCs w:val="16"/>
          </w:rPr>
          <w:t>30</w:t>
        </w:r>
        <w:r w:rsidR="00664206" w:rsidRPr="00664206">
          <w:rPr>
            <w:rFonts w:ascii="Arial" w:eastAsiaTheme="minorEastAsia" w:hAnsi="Arial" w:cs="Arial"/>
            <w:noProof/>
            <w:sz w:val="16"/>
            <w:szCs w:val="16"/>
            <w:lang w:val="sk-SK" w:eastAsia="sk-SK"/>
          </w:rPr>
          <w:tab/>
        </w:r>
        <w:r w:rsidR="00664206" w:rsidRPr="00664206">
          <w:rPr>
            <w:rStyle w:val="Hypertextovprepojenie"/>
            <w:rFonts w:ascii="Arial" w:hAnsi="Arial" w:cs="Arial"/>
            <w:noProof/>
            <w:sz w:val="16"/>
            <w:szCs w:val="16"/>
          </w:rPr>
          <w:t>Investičné záväzky</w:t>
        </w:r>
        <w:r w:rsidR="00664206" w:rsidRPr="00664206">
          <w:rPr>
            <w:rFonts w:ascii="Arial" w:hAnsi="Arial" w:cs="Arial"/>
            <w:noProof/>
            <w:webHidden/>
            <w:sz w:val="16"/>
            <w:szCs w:val="16"/>
          </w:rPr>
          <w:tab/>
        </w:r>
        <w:r w:rsidR="00664206" w:rsidRPr="00664206">
          <w:rPr>
            <w:rFonts w:ascii="Arial" w:hAnsi="Arial" w:cs="Arial"/>
            <w:noProof/>
            <w:webHidden/>
            <w:sz w:val="16"/>
            <w:szCs w:val="16"/>
          </w:rPr>
          <w:fldChar w:fldCharType="begin"/>
        </w:r>
        <w:r w:rsidR="00664206" w:rsidRPr="00664206">
          <w:rPr>
            <w:rFonts w:ascii="Arial" w:hAnsi="Arial" w:cs="Arial"/>
            <w:noProof/>
            <w:webHidden/>
            <w:sz w:val="16"/>
            <w:szCs w:val="16"/>
          </w:rPr>
          <w:instrText xml:space="preserve"> PAGEREF _Toc27410020 \h </w:instrText>
        </w:r>
        <w:r w:rsidR="00664206" w:rsidRPr="00664206">
          <w:rPr>
            <w:rFonts w:ascii="Arial" w:hAnsi="Arial" w:cs="Arial"/>
            <w:noProof/>
            <w:webHidden/>
            <w:sz w:val="16"/>
            <w:szCs w:val="16"/>
          </w:rPr>
        </w:r>
        <w:r w:rsidR="00664206" w:rsidRPr="00664206">
          <w:rPr>
            <w:rFonts w:ascii="Arial" w:hAnsi="Arial" w:cs="Arial"/>
            <w:noProof/>
            <w:webHidden/>
            <w:sz w:val="16"/>
            <w:szCs w:val="16"/>
          </w:rPr>
          <w:fldChar w:fldCharType="separate"/>
        </w:r>
        <w:r w:rsidR="00664206" w:rsidRPr="00664206">
          <w:rPr>
            <w:rFonts w:ascii="Arial" w:hAnsi="Arial" w:cs="Arial"/>
            <w:noProof/>
            <w:webHidden/>
            <w:sz w:val="16"/>
            <w:szCs w:val="16"/>
          </w:rPr>
          <w:t>47</w:t>
        </w:r>
        <w:r w:rsidR="00664206" w:rsidRPr="00664206">
          <w:rPr>
            <w:rFonts w:ascii="Arial" w:hAnsi="Arial" w:cs="Arial"/>
            <w:noProof/>
            <w:webHidden/>
            <w:sz w:val="16"/>
            <w:szCs w:val="16"/>
          </w:rPr>
          <w:fldChar w:fldCharType="end"/>
        </w:r>
      </w:hyperlink>
    </w:p>
    <w:p w14:paraId="7BAAF401" w14:textId="436A04DE" w:rsidR="00664206" w:rsidRPr="00664206" w:rsidRDefault="00B83132">
      <w:pPr>
        <w:pStyle w:val="Obsah3"/>
        <w:rPr>
          <w:rFonts w:ascii="Arial" w:eastAsiaTheme="minorEastAsia" w:hAnsi="Arial" w:cs="Arial"/>
          <w:noProof/>
          <w:sz w:val="16"/>
          <w:szCs w:val="16"/>
          <w:lang w:val="sk-SK" w:eastAsia="sk-SK"/>
        </w:rPr>
      </w:pPr>
      <w:hyperlink w:anchor="_Toc27410021" w:history="1">
        <w:r w:rsidR="00664206" w:rsidRPr="00664206">
          <w:rPr>
            <w:rStyle w:val="Hypertextovprepojenie"/>
            <w:rFonts w:ascii="Arial" w:hAnsi="Arial" w:cs="Arial"/>
            <w:noProof/>
            <w:sz w:val="16"/>
            <w:szCs w:val="16"/>
          </w:rPr>
          <w:t>31</w:t>
        </w:r>
        <w:r w:rsidR="00664206" w:rsidRPr="00664206">
          <w:rPr>
            <w:rFonts w:ascii="Arial" w:eastAsiaTheme="minorEastAsia" w:hAnsi="Arial" w:cs="Arial"/>
            <w:noProof/>
            <w:sz w:val="16"/>
            <w:szCs w:val="16"/>
            <w:lang w:val="sk-SK" w:eastAsia="sk-SK"/>
          </w:rPr>
          <w:tab/>
        </w:r>
        <w:r w:rsidR="00664206" w:rsidRPr="00664206">
          <w:rPr>
            <w:rStyle w:val="Hypertextovprepojenie"/>
            <w:rFonts w:ascii="Arial" w:hAnsi="Arial" w:cs="Arial"/>
            <w:noProof/>
            <w:sz w:val="16"/>
            <w:szCs w:val="16"/>
          </w:rPr>
          <w:t>Transakcie so spriaznenými stranami</w:t>
        </w:r>
        <w:r w:rsidR="00664206" w:rsidRPr="00664206">
          <w:rPr>
            <w:rFonts w:ascii="Arial" w:hAnsi="Arial" w:cs="Arial"/>
            <w:noProof/>
            <w:webHidden/>
            <w:sz w:val="16"/>
            <w:szCs w:val="16"/>
          </w:rPr>
          <w:tab/>
        </w:r>
        <w:r w:rsidR="00664206" w:rsidRPr="00664206">
          <w:rPr>
            <w:rFonts w:ascii="Arial" w:hAnsi="Arial" w:cs="Arial"/>
            <w:noProof/>
            <w:webHidden/>
            <w:sz w:val="16"/>
            <w:szCs w:val="16"/>
          </w:rPr>
          <w:fldChar w:fldCharType="begin"/>
        </w:r>
        <w:r w:rsidR="00664206" w:rsidRPr="00664206">
          <w:rPr>
            <w:rFonts w:ascii="Arial" w:hAnsi="Arial" w:cs="Arial"/>
            <w:noProof/>
            <w:webHidden/>
            <w:sz w:val="16"/>
            <w:szCs w:val="16"/>
          </w:rPr>
          <w:instrText xml:space="preserve"> PAGEREF _Toc27410021 \h </w:instrText>
        </w:r>
        <w:r w:rsidR="00664206" w:rsidRPr="00664206">
          <w:rPr>
            <w:rFonts w:ascii="Arial" w:hAnsi="Arial" w:cs="Arial"/>
            <w:noProof/>
            <w:webHidden/>
            <w:sz w:val="16"/>
            <w:szCs w:val="16"/>
          </w:rPr>
        </w:r>
        <w:r w:rsidR="00664206" w:rsidRPr="00664206">
          <w:rPr>
            <w:rFonts w:ascii="Arial" w:hAnsi="Arial" w:cs="Arial"/>
            <w:noProof/>
            <w:webHidden/>
            <w:sz w:val="16"/>
            <w:szCs w:val="16"/>
          </w:rPr>
          <w:fldChar w:fldCharType="separate"/>
        </w:r>
        <w:r w:rsidR="00664206" w:rsidRPr="00664206">
          <w:rPr>
            <w:rFonts w:ascii="Arial" w:hAnsi="Arial" w:cs="Arial"/>
            <w:noProof/>
            <w:webHidden/>
            <w:sz w:val="16"/>
            <w:szCs w:val="16"/>
          </w:rPr>
          <w:t>48</w:t>
        </w:r>
        <w:r w:rsidR="00664206" w:rsidRPr="00664206">
          <w:rPr>
            <w:rFonts w:ascii="Arial" w:hAnsi="Arial" w:cs="Arial"/>
            <w:noProof/>
            <w:webHidden/>
            <w:sz w:val="16"/>
            <w:szCs w:val="16"/>
          </w:rPr>
          <w:fldChar w:fldCharType="end"/>
        </w:r>
      </w:hyperlink>
    </w:p>
    <w:p w14:paraId="685FCCF6" w14:textId="2816201F" w:rsidR="00664206" w:rsidRPr="00664206" w:rsidRDefault="00B83132">
      <w:pPr>
        <w:pStyle w:val="Obsah3"/>
        <w:rPr>
          <w:rFonts w:ascii="Arial" w:eastAsiaTheme="minorEastAsia" w:hAnsi="Arial" w:cs="Arial"/>
          <w:noProof/>
          <w:sz w:val="16"/>
          <w:szCs w:val="16"/>
          <w:lang w:val="sk-SK" w:eastAsia="sk-SK"/>
        </w:rPr>
      </w:pPr>
      <w:hyperlink w:anchor="_Toc27410022" w:history="1">
        <w:r w:rsidR="00664206" w:rsidRPr="00664206">
          <w:rPr>
            <w:rStyle w:val="Hypertextovprepojenie"/>
            <w:rFonts w:ascii="Arial" w:hAnsi="Arial" w:cs="Arial"/>
            <w:noProof/>
            <w:sz w:val="16"/>
            <w:szCs w:val="16"/>
          </w:rPr>
          <w:t>32</w:t>
        </w:r>
        <w:r w:rsidR="00664206" w:rsidRPr="00664206">
          <w:rPr>
            <w:rFonts w:ascii="Arial" w:eastAsiaTheme="minorEastAsia" w:hAnsi="Arial" w:cs="Arial"/>
            <w:noProof/>
            <w:sz w:val="16"/>
            <w:szCs w:val="16"/>
            <w:lang w:val="sk-SK" w:eastAsia="sk-SK"/>
          </w:rPr>
          <w:tab/>
        </w:r>
        <w:r w:rsidR="00664206" w:rsidRPr="00664206">
          <w:rPr>
            <w:rStyle w:val="Hypertextovprepojenie"/>
            <w:rFonts w:ascii="Arial" w:hAnsi="Arial" w:cs="Arial"/>
            <w:noProof/>
            <w:sz w:val="16"/>
            <w:szCs w:val="16"/>
          </w:rPr>
          <w:t>Udalosti po súvahovom dni</w:t>
        </w:r>
        <w:r w:rsidR="00664206" w:rsidRPr="00664206">
          <w:rPr>
            <w:rFonts w:ascii="Arial" w:hAnsi="Arial" w:cs="Arial"/>
            <w:noProof/>
            <w:webHidden/>
            <w:sz w:val="16"/>
            <w:szCs w:val="16"/>
          </w:rPr>
          <w:tab/>
        </w:r>
        <w:r w:rsidR="00664206" w:rsidRPr="00664206">
          <w:rPr>
            <w:rFonts w:ascii="Arial" w:hAnsi="Arial" w:cs="Arial"/>
            <w:noProof/>
            <w:webHidden/>
            <w:sz w:val="16"/>
            <w:szCs w:val="16"/>
          </w:rPr>
          <w:fldChar w:fldCharType="begin"/>
        </w:r>
        <w:r w:rsidR="00664206" w:rsidRPr="00664206">
          <w:rPr>
            <w:rFonts w:ascii="Arial" w:hAnsi="Arial" w:cs="Arial"/>
            <w:noProof/>
            <w:webHidden/>
            <w:sz w:val="16"/>
            <w:szCs w:val="16"/>
          </w:rPr>
          <w:instrText xml:space="preserve"> PAGEREF _Toc27410022 \h </w:instrText>
        </w:r>
        <w:r w:rsidR="00664206" w:rsidRPr="00664206">
          <w:rPr>
            <w:rFonts w:ascii="Arial" w:hAnsi="Arial" w:cs="Arial"/>
            <w:noProof/>
            <w:webHidden/>
            <w:sz w:val="16"/>
            <w:szCs w:val="16"/>
          </w:rPr>
        </w:r>
        <w:r w:rsidR="00664206" w:rsidRPr="00664206">
          <w:rPr>
            <w:rFonts w:ascii="Arial" w:hAnsi="Arial" w:cs="Arial"/>
            <w:noProof/>
            <w:webHidden/>
            <w:sz w:val="16"/>
            <w:szCs w:val="16"/>
          </w:rPr>
          <w:fldChar w:fldCharType="separate"/>
        </w:r>
        <w:r w:rsidR="00664206" w:rsidRPr="00664206">
          <w:rPr>
            <w:rFonts w:ascii="Arial" w:hAnsi="Arial" w:cs="Arial"/>
            <w:noProof/>
            <w:webHidden/>
            <w:sz w:val="16"/>
            <w:szCs w:val="16"/>
          </w:rPr>
          <w:t>50</w:t>
        </w:r>
        <w:r w:rsidR="00664206" w:rsidRPr="00664206">
          <w:rPr>
            <w:rFonts w:ascii="Arial" w:hAnsi="Arial" w:cs="Arial"/>
            <w:noProof/>
            <w:webHidden/>
            <w:sz w:val="16"/>
            <w:szCs w:val="16"/>
          </w:rPr>
          <w:fldChar w:fldCharType="end"/>
        </w:r>
      </w:hyperlink>
    </w:p>
    <w:p w14:paraId="17ED3588" w14:textId="59927C8E" w:rsidR="00D23828" w:rsidRPr="00226892" w:rsidRDefault="000342BC" w:rsidP="00206D7F">
      <w:pPr>
        <w:pStyle w:val="Obsah1"/>
        <w:rPr>
          <w:rStyle w:val="Hypertextovprepojenie"/>
          <w:sz w:val="20"/>
          <w:szCs w:val="20"/>
        </w:rPr>
      </w:pPr>
      <w:r w:rsidRPr="00664206">
        <w:rPr>
          <w:rStyle w:val="Hypertextovprepojenie"/>
          <w:sz w:val="16"/>
          <w:szCs w:val="16"/>
        </w:rPr>
        <w:fldChar w:fldCharType="end"/>
      </w:r>
    </w:p>
    <w:p w14:paraId="2FC6EC24" w14:textId="15D6E6AE" w:rsidR="00A754EB" w:rsidRDefault="00A754EB" w:rsidP="00A754EB">
      <w:pPr>
        <w:rPr>
          <w:rFonts w:ascii="Arial" w:hAnsi="Arial" w:cs="Arial"/>
          <w:lang w:val="sk-SK"/>
        </w:rPr>
      </w:pPr>
    </w:p>
    <w:p w14:paraId="705C58F4" w14:textId="21CD8E3D" w:rsidR="00664206" w:rsidRDefault="00664206" w:rsidP="00A754EB">
      <w:pPr>
        <w:rPr>
          <w:rFonts w:ascii="Arial" w:hAnsi="Arial" w:cs="Arial"/>
          <w:lang w:val="sk-SK"/>
        </w:rPr>
      </w:pPr>
    </w:p>
    <w:p w14:paraId="65D68EE7" w14:textId="73351E77" w:rsidR="00664206" w:rsidRDefault="00664206" w:rsidP="00A754EB">
      <w:pPr>
        <w:rPr>
          <w:rFonts w:ascii="Arial" w:hAnsi="Arial" w:cs="Arial"/>
          <w:lang w:val="sk-SK"/>
        </w:rPr>
      </w:pPr>
    </w:p>
    <w:p w14:paraId="57DEA04F" w14:textId="12B8D1E4" w:rsidR="00664206" w:rsidRDefault="00664206" w:rsidP="00A754EB">
      <w:pPr>
        <w:rPr>
          <w:rFonts w:ascii="Arial" w:hAnsi="Arial" w:cs="Arial"/>
          <w:lang w:val="sk-SK"/>
        </w:rPr>
      </w:pPr>
    </w:p>
    <w:p w14:paraId="5758CD7A" w14:textId="77777777" w:rsidR="00664206" w:rsidRPr="00226892" w:rsidRDefault="00664206" w:rsidP="00A754EB">
      <w:pPr>
        <w:rPr>
          <w:rFonts w:ascii="Arial" w:hAnsi="Arial" w:cs="Arial"/>
          <w:lang w:val="sk-SK"/>
        </w:rPr>
      </w:pPr>
    </w:p>
    <w:p w14:paraId="022B5E34" w14:textId="78E0B8CB" w:rsidR="00E54671" w:rsidRPr="00226892" w:rsidRDefault="001C6C15" w:rsidP="00B312CE">
      <w:pPr>
        <w:tabs>
          <w:tab w:val="left" w:pos="5040"/>
        </w:tabs>
        <w:suppressAutoHyphens/>
        <w:jc w:val="both"/>
        <w:rPr>
          <w:rFonts w:ascii="Arial" w:hAnsi="Arial" w:cs="Arial"/>
          <w:caps/>
          <w:color w:val="000080"/>
        </w:rPr>
      </w:pPr>
      <w:r w:rsidRPr="00226892">
        <w:rPr>
          <w:rFonts w:ascii="Arial" w:hAnsi="Arial" w:cs="Arial"/>
          <w:caps/>
          <w:color w:val="000080"/>
        </w:rPr>
        <w:t>SPRÁVA NEZÁSVISLÉHO AUDÍTORA (predpoklad 3 strany)</w:t>
      </w:r>
    </w:p>
    <w:p w14:paraId="54C9A26B" w14:textId="77777777" w:rsidR="00E54671" w:rsidRPr="00226892" w:rsidRDefault="00E54671" w:rsidP="00B312CE">
      <w:pPr>
        <w:tabs>
          <w:tab w:val="left" w:pos="5040"/>
        </w:tabs>
        <w:suppressAutoHyphens/>
        <w:jc w:val="both"/>
        <w:rPr>
          <w:rFonts w:ascii="Arial" w:hAnsi="Arial" w:cs="Arial"/>
          <w:caps/>
          <w:color w:val="000080"/>
        </w:rPr>
      </w:pPr>
    </w:p>
    <w:p w14:paraId="5668BF2F" w14:textId="77777777" w:rsidR="00E54671" w:rsidRPr="00226892" w:rsidRDefault="00E54671" w:rsidP="00B312CE">
      <w:pPr>
        <w:tabs>
          <w:tab w:val="left" w:pos="5040"/>
        </w:tabs>
        <w:suppressAutoHyphens/>
        <w:jc w:val="both"/>
        <w:rPr>
          <w:rFonts w:ascii="Arial" w:hAnsi="Arial" w:cs="Arial"/>
          <w:caps/>
          <w:color w:val="000080"/>
        </w:rPr>
      </w:pPr>
    </w:p>
    <w:p w14:paraId="0B7B5687" w14:textId="7D5DDF44" w:rsidR="00E54671" w:rsidRPr="00226892" w:rsidRDefault="00E54671" w:rsidP="00B312CE">
      <w:pPr>
        <w:tabs>
          <w:tab w:val="left" w:pos="5040"/>
        </w:tabs>
        <w:suppressAutoHyphens/>
        <w:jc w:val="both"/>
        <w:rPr>
          <w:rFonts w:ascii="Arial" w:hAnsi="Arial" w:cs="Arial"/>
          <w:caps/>
          <w:color w:val="000080"/>
        </w:rPr>
      </w:pPr>
    </w:p>
    <w:p w14:paraId="154B2AC4" w14:textId="77777777" w:rsidR="00A754EB" w:rsidRPr="00226892" w:rsidRDefault="00A754EB" w:rsidP="00B312CE">
      <w:pPr>
        <w:tabs>
          <w:tab w:val="left" w:pos="5040"/>
        </w:tabs>
        <w:suppressAutoHyphens/>
        <w:jc w:val="both"/>
        <w:rPr>
          <w:rFonts w:ascii="Arial" w:hAnsi="Arial" w:cs="Arial"/>
          <w:caps/>
          <w:color w:val="000080"/>
        </w:rPr>
      </w:pPr>
    </w:p>
    <w:p w14:paraId="15B33477" w14:textId="77777777" w:rsidR="00E54671" w:rsidRPr="00226892" w:rsidRDefault="00E54671" w:rsidP="00B312CE">
      <w:pPr>
        <w:tabs>
          <w:tab w:val="left" w:pos="5040"/>
        </w:tabs>
        <w:suppressAutoHyphens/>
        <w:jc w:val="both"/>
        <w:rPr>
          <w:rFonts w:ascii="Arial" w:hAnsi="Arial" w:cs="Arial"/>
          <w:snapToGrid w:val="0"/>
          <w:color w:val="000080"/>
          <w:sz w:val="18"/>
          <w:szCs w:val="18"/>
        </w:rPr>
      </w:pPr>
    </w:p>
    <w:p w14:paraId="16F06E48" w14:textId="77777777" w:rsidR="00E54671" w:rsidRPr="00226892" w:rsidRDefault="00E54671" w:rsidP="00B312CE">
      <w:pPr>
        <w:tabs>
          <w:tab w:val="left" w:pos="5040"/>
        </w:tabs>
        <w:suppressAutoHyphens/>
        <w:jc w:val="both"/>
        <w:rPr>
          <w:rFonts w:ascii="Arial" w:hAnsi="Arial" w:cs="Arial"/>
          <w:snapToGrid w:val="0"/>
          <w:color w:val="000080"/>
          <w:sz w:val="18"/>
          <w:szCs w:val="18"/>
        </w:rPr>
      </w:pPr>
    </w:p>
    <w:p w14:paraId="20C38AB6" w14:textId="77777777" w:rsidR="00E54671" w:rsidRPr="00226892" w:rsidRDefault="00E54671" w:rsidP="00B312CE">
      <w:pPr>
        <w:tabs>
          <w:tab w:val="left" w:pos="5040"/>
        </w:tabs>
        <w:suppressAutoHyphens/>
        <w:jc w:val="both"/>
        <w:rPr>
          <w:rFonts w:ascii="Arial" w:hAnsi="Arial" w:cs="Arial"/>
          <w:snapToGrid w:val="0"/>
          <w:color w:val="000080"/>
          <w:sz w:val="18"/>
          <w:szCs w:val="18"/>
        </w:rPr>
      </w:pPr>
    </w:p>
    <w:p w14:paraId="08AD37B2" w14:textId="77777777" w:rsidR="00E54671" w:rsidRPr="00226892" w:rsidRDefault="00E54671" w:rsidP="00B312CE">
      <w:pPr>
        <w:tabs>
          <w:tab w:val="left" w:pos="5040"/>
        </w:tabs>
        <w:suppressAutoHyphens/>
        <w:jc w:val="both"/>
        <w:rPr>
          <w:rFonts w:ascii="Arial" w:hAnsi="Arial" w:cs="Arial"/>
          <w:snapToGrid w:val="0"/>
          <w:color w:val="000080"/>
          <w:sz w:val="18"/>
          <w:szCs w:val="18"/>
        </w:rPr>
      </w:pPr>
    </w:p>
    <w:p w14:paraId="783E5764" w14:textId="77777777" w:rsidR="00E54671" w:rsidRPr="00226892" w:rsidRDefault="00E54671" w:rsidP="00B312CE">
      <w:pPr>
        <w:tabs>
          <w:tab w:val="left" w:pos="5040"/>
        </w:tabs>
        <w:suppressAutoHyphens/>
        <w:jc w:val="both"/>
        <w:rPr>
          <w:rFonts w:ascii="Arial" w:hAnsi="Arial" w:cs="Arial"/>
          <w:snapToGrid w:val="0"/>
          <w:color w:val="000080"/>
          <w:sz w:val="18"/>
          <w:szCs w:val="18"/>
        </w:rPr>
      </w:pPr>
    </w:p>
    <w:p w14:paraId="6CFE22C9" w14:textId="77777777" w:rsidR="00302C89" w:rsidRPr="00226892" w:rsidRDefault="00302C89" w:rsidP="00302C89">
      <w:pPr>
        <w:suppressAutoHyphens/>
        <w:jc w:val="both"/>
        <w:rPr>
          <w:rFonts w:ascii="Arial" w:hAnsi="Arial" w:cs="Arial"/>
          <w:noProof/>
          <w:lang w:val="sk-SK" w:eastAsia="en-GB"/>
        </w:rPr>
      </w:pPr>
    </w:p>
    <w:p w14:paraId="6C8973C0" w14:textId="77777777" w:rsidR="00302C89" w:rsidRPr="00226892" w:rsidRDefault="00302C89" w:rsidP="00302C89">
      <w:pPr>
        <w:suppressAutoHyphens/>
        <w:jc w:val="both"/>
        <w:rPr>
          <w:rFonts w:ascii="Arial" w:hAnsi="Arial" w:cs="Arial"/>
          <w:noProof/>
          <w:lang w:val="sk-SK" w:eastAsia="en-GB"/>
        </w:rPr>
      </w:pPr>
    </w:p>
    <w:p w14:paraId="445E2FF0" w14:textId="77777777" w:rsidR="00DA0368" w:rsidRPr="00226892" w:rsidRDefault="00DA0368" w:rsidP="0080205A">
      <w:pPr>
        <w:suppressAutoHyphens/>
        <w:jc w:val="center"/>
        <w:outlineLvl w:val="0"/>
        <w:rPr>
          <w:rFonts w:ascii="Arial" w:hAnsi="Arial" w:cs="Arial"/>
          <w:b/>
          <w:noProof/>
          <w:sz w:val="19"/>
          <w:szCs w:val="19"/>
          <w:lang w:eastAsia="en-GB"/>
        </w:rPr>
      </w:pPr>
    </w:p>
    <w:p w14:paraId="6C61EDC4" w14:textId="77777777" w:rsidR="002A402A" w:rsidRPr="00226892" w:rsidRDefault="002A402A" w:rsidP="0080205A">
      <w:pPr>
        <w:suppressAutoHyphens/>
        <w:rPr>
          <w:rFonts w:ascii="Arial" w:hAnsi="Arial" w:cs="Arial"/>
          <w:color w:val="000080"/>
          <w:sz w:val="18"/>
          <w:szCs w:val="18"/>
        </w:rPr>
        <w:sectPr w:rsidR="002A402A" w:rsidRPr="00226892" w:rsidSect="006B3591">
          <w:headerReference w:type="default" r:id="rId11"/>
          <w:footerReference w:type="default" r:id="rId12"/>
          <w:footerReference w:type="first" r:id="rId13"/>
          <w:pgSz w:w="11907" w:h="16840" w:code="9"/>
          <w:pgMar w:top="1135" w:right="1417" w:bottom="833" w:left="1440" w:header="709" w:footer="614" w:gutter="0"/>
          <w:pgNumType w:start="1"/>
          <w:cols w:space="708"/>
          <w:noEndnote/>
          <w:titlePg/>
        </w:sectPr>
      </w:pPr>
    </w:p>
    <w:tbl>
      <w:tblPr>
        <w:tblW w:w="5000" w:type="pct"/>
        <w:tblCellMar>
          <w:left w:w="70" w:type="dxa"/>
          <w:right w:w="70" w:type="dxa"/>
        </w:tblCellMar>
        <w:tblLook w:val="04A0" w:firstRow="1" w:lastRow="0" w:firstColumn="1" w:lastColumn="0" w:noHBand="0" w:noVBand="1"/>
      </w:tblPr>
      <w:tblGrid>
        <w:gridCol w:w="4834"/>
        <w:gridCol w:w="617"/>
        <w:gridCol w:w="197"/>
        <w:gridCol w:w="1932"/>
        <w:gridCol w:w="197"/>
        <w:gridCol w:w="1862"/>
      </w:tblGrid>
      <w:tr w:rsidR="003524A6" w:rsidRPr="00226892" w14:paraId="65AADE50" w14:textId="77777777" w:rsidTr="00096439">
        <w:trPr>
          <w:trHeight w:val="227"/>
        </w:trPr>
        <w:tc>
          <w:tcPr>
            <w:tcW w:w="2508" w:type="pct"/>
            <w:tcBorders>
              <w:top w:val="nil"/>
              <w:left w:val="nil"/>
              <w:bottom w:val="single" w:sz="4" w:space="0" w:color="auto"/>
              <w:right w:val="nil"/>
            </w:tcBorders>
            <w:shd w:val="clear" w:color="auto" w:fill="auto"/>
            <w:noWrap/>
            <w:vAlign w:val="bottom"/>
            <w:hideMark/>
          </w:tcPr>
          <w:p w14:paraId="4D1694B5" w14:textId="77777777" w:rsidR="00CF283F" w:rsidRPr="00226892" w:rsidRDefault="00CF283F" w:rsidP="00CF283F">
            <w:pPr>
              <w:rPr>
                <w:rFonts w:ascii="Arial" w:eastAsia="Times New Roman" w:hAnsi="Arial" w:cs="Arial"/>
                <w:color w:val="000000"/>
                <w:sz w:val="18"/>
                <w:szCs w:val="18"/>
                <w:lang w:val="sk-SK" w:eastAsia="sk-SK"/>
              </w:rPr>
            </w:pPr>
            <w:bookmarkStart w:id="5" w:name="RANGE!C2:H67"/>
            <w:bookmarkStart w:id="6" w:name="FWT_BS"/>
            <w:r w:rsidRPr="00226892">
              <w:rPr>
                <w:rFonts w:ascii="Arial" w:eastAsia="Times New Roman" w:hAnsi="Arial" w:cs="Arial"/>
                <w:color w:val="000000"/>
                <w:sz w:val="18"/>
                <w:szCs w:val="18"/>
                <w:lang w:val="sk-SK" w:eastAsia="sk-SK"/>
              </w:rPr>
              <w:lastRenderedPageBreak/>
              <w:t> </w:t>
            </w:r>
            <w:bookmarkEnd w:id="5"/>
          </w:p>
        </w:tc>
        <w:tc>
          <w:tcPr>
            <w:tcW w:w="320" w:type="pct"/>
            <w:tcBorders>
              <w:top w:val="nil"/>
              <w:left w:val="nil"/>
              <w:bottom w:val="single" w:sz="4" w:space="0" w:color="auto"/>
              <w:right w:val="nil"/>
            </w:tcBorders>
            <w:shd w:val="clear" w:color="auto" w:fill="auto"/>
            <w:noWrap/>
            <w:vAlign w:val="bottom"/>
            <w:hideMark/>
          </w:tcPr>
          <w:p w14:paraId="7653B7E5" w14:textId="77777777" w:rsidR="00CF283F" w:rsidRPr="00226892" w:rsidRDefault="00CF283F" w:rsidP="00CF283F">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w:t>
            </w:r>
          </w:p>
        </w:tc>
        <w:tc>
          <w:tcPr>
            <w:tcW w:w="102" w:type="pct"/>
            <w:tcBorders>
              <w:top w:val="nil"/>
              <w:left w:val="nil"/>
              <w:bottom w:val="single" w:sz="4" w:space="0" w:color="auto"/>
              <w:right w:val="nil"/>
            </w:tcBorders>
            <w:shd w:val="clear" w:color="auto" w:fill="auto"/>
            <w:noWrap/>
            <w:vAlign w:val="bottom"/>
            <w:hideMark/>
          </w:tcPr>
          <w:p w14:paraId="04C2CBB9" w14:textId="77777777" w:rsidR="00CF283F" w:rsidRPr="00226892" w:rsidRDefault="00CF283F" w:rsidP="00CF283F">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002" w:type="pct"/>
            <w:tcBorders>
              <w:top w:val="nil"/>
              <w:left w:val="nil"/>
              <w:bottom w:val="single" w:sz="4" w:space="0" w:color="auto"/>
              <w:right w:val="nil"/>
            </w:tcBorders>
            <w:shd w:val="clear" w:color="auto" w:fill="auto"/>
            <w:vAlign w:val="bottom"/>
            <w:hideMark/>
          </w:tcPr>
          <w:p w14:paraId="400E31AD" w14:textId="5CB6984C" w:rsidR="00CF283F" w:rsidRPr="00226892" w:rsidRDefault="00426D9B" w:rsidP="00CF283F">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k</w:t>
            </w:r>
            <w:r w:rsidR="00CF283F" w:rsidRPr="00226892">
              <w:rPr>
                <w:rFonts w:ascii="Arial" w:eastAsia="Times New Roman" w:hAnsi="Arial" w:cs="Arial"/>
                <w:b/>
                <w:bCs/>
                <w:color w:val="000000"/>
                <w:sz w:val="18"/>
                <w:szCs w:val="18"/>
                <w:lang w:val="sk-SK" w:eastAsia="sk-SK"/>
              </w:rPr>
              <w:t xml:space="preserve"> 31-12-201</w:t>
            </w:r>
            <w:r w:rsidR="00B71CF0" w:rsidRPr="00226892">
              <w:rPr>
                <w:rFonts w:ascii="Arial" w:eastAsia="Times New Roman" w:hAnsi="Arial" w:cs="Arial"/>
                <w:b/>
                <w:bCs/>
                <w:color w:val="000000"/>
                <w:sz w:val="18"/>
                <w:szCs w:val="18"/>
                <w:lang w:val="sk-SK" w:eastAsia="sk-SK"/>
              </w:rPr>
              <w:t>8</w:t>
            </w:r>
            <w:r w:rsidR="00CF283F" w:rsidRPr="00226892">
              <w:rPr>
                <w:rFonts w:ascii="Arial" w:eastAsia="Times New Roman" w:hAnsi="Arial" w:cs="Arial"/>
                <w:b/>
                <w:bCs/>
                <w:color w:val="000000"/>
                <w:sz w:val="18"/>
                <w:szCs w:val="18"/>
                <w:lang w:val="sk-SK" w:eastAsia="sk-SK"/>
              </w:rPr>
              <w:t xml:space="preserve"> </w:t>
            </w:r>
          </w:p>
        </w:tc>
        <w:tc>
          <w:tcPr>
            <w:tcW w:w="102" w:type="pct"/>
            <w:tcBorders>
              <w:top w:val="nil"/>
              <w:left w:val="nil"/>
              <w:bottom w:val="single" w:sz="4" w:space="0" w:color="auto"/>
              <w:right w:val="nil"/>
            </w:tcBorders>
            <w:shd w:val="clear" w:color="auto" w:fill="auto"/>
            <w:noWrap/>
            <w:vAlign w:val="bottom"/>
            <w:hideMark/>
          </w:tcPr>
          <w:p w14:paraId="7B949FE6" w14:textId="77777777" w:rsidR="00CF283F" w:rsidRPr="00226892" w:rsidRDefault="00CF283F" w:rsidP="00CF283F">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966" w:type="pct"/>
            <w:tcBorders>
              <w:top w:val="nil"/>
              <w:left w:val="nil"/>
              <w:bottom w:val="single" w:sz="4" w:space="0" w:color="auto"/>
              <w:right w:val="nil"/>
            </w:tcBorders>
            <w:shd w:val="clear" w:color="auto" w:fill="auto"/>
            <w:vAlign w:val="bottom"/>
            <w:hideMark/>
          </w:tcPr>
          <w:p w14:paraId="0FC72388" w14:textId="63FD846F" w:rsidR="00CF283F" w:rsidRPr="00226892" w:rsidRDefault="00426D9B" w:rsidP="00CF283F">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k</w:t>
            </w:r>
            <w:r w:rsidR="00CF283F" w:rsidRPr="00226892">
              <w:rPr>
                <w:rFonts w:ascii="Arial" w:eastAsia="Times New Roman" w:hAnsi="Arial" w:cs="Arial"/>
                <w:b/>
                <w:bCs/>
                <w:color w:val="000000"/>
                <w:sz w:val="18"/>
                <w:szCs w:val="18"/>
                <w:lang w:val="sk-SK" w:eastAsia="sk-SK"/>
              </w:rPr>
              <w:t xml:space="preserve"> 31-12-</w:t>
            </w:r>
            <w:r w:rsidR="00F63A77" w:rsidRPr="00226892">
              <w:rPr>
                <w:rFonts w:ascii="Arial" w:eastAsia="Times New Roman" w:hAnsi="Arial" w:cs="Arial"/>
                <w:b/>
                <w:bCs/>
                <w:color w:val="000000"/>
                <w:sz w:val="18"/>
                <w:szCs w:val="18"/>
                <w:lang w:val="sk-SK" w:eastAsia="sk-SK"/>
              </w:rPr>
              <w:t>2017</w:t>
            </w:r>
            <w:r w:rsidR="00CF283F" w:rsidRPr="00226892">
              <w:rPr>
                <w:rFonts w:ascii="Arial" w:eastAsia="Times New Roman" w:hAnsi="Arial" w:cs="Arial"/>
                <w:b/>
                <w:bCs/>
                <w:color w:val="000000"/>
                <w:sz w:val="18"/>
                <w:szCs w:val="18"/>
                <w:lang w:val="sk-SK" w:eastAsia="sk-SK"/>
              </w:rPr>
              <w:t xml:space="preserve"> </w:t>
            </w:r>
          </w:p>
        </w:tc>
      </w:tr>
      <w:tr w:rsidR="003524A6" w:rsidRPr="00226892" w14:paraId="29EDD01B" w14:textId="77777777" w:rsidTr="00096439">
        <w:trPr>
          <w:trHeight w:val="227"/>
        </w:trPr>
        <w:tc>
          <w:tcPr>
            <w:tcW w:w="2508" w:type="pct"/>
            <w:tcBorders>
              <w:top w:val="nil"/>
              <w:left w:val="nil"/>
              <w:bottom w:val="nil"/>
              <w:right w:val="nil"/>
            </w:tcBorders>
            <w:shd w:val="clear" w:color="auto" w:fill="auto"/>
            <w:noWrap/>
            <w:vAlign w:val="bottom"/>
            <w:hideMark/>
          </w:tcPr>
          <w:p w14:paraId="671F8EF5" w14:textId="77777777" w:rsidR="00CF283F" w:rsidRPr="00226892" w:rsidRDefault="00CF283F" w:rsidP="00CF283F">
            <w:pPr>
              <w:jc w:val="center"/>
              <w:rPr>
                <w:rFonts w:ascii="Arial" w:eastAsia="Times New Roman" w:hAnsi="Arial" w:cs="Arial"/>
                <w:b/>
                <w:bCs/>
                <w:color w:val="000000"/>
                <w:sz w:val="18"/>
                <w:szCs w:val="18"/>
                <w:lang w:val="sk-SK" w:eastAsia="sk-SK"/>
              </w:rPr>
            </w:pPr>
          </w:p>
        </w:tc>
        <w:tc>
          <w:tcPr>
            <w:tcW w:w="320" w:type="pct"/>
            <w:tcBorders>
              <w:top w:val="nil"/>
              <w:left w:val="nil"/>
              <w:bottom w:val="nil"/>
              <w:right w:val="nil"/>
            </w:tcBorders>
            <w:shd w:val="clear" w:color="auto" w:fill="auto"/>
            <w:noWrap/>
            <w:vAlign w:val="bottom"/>
            <w:hideMark/>
          </w:tcPr>
          <w:p w14:paraId="40BC3C6C" w14:textId="77777777" w:rsidR="00CF283F" w:rsidRPr="00226892" w:rsidRDefault="00CF283F" w:rsidP="00CF283F">
            <w:pPr>
              <w:rPr>
                <w:rFonts w:ascii="Arial" w:eastAsia="Times New Roman" w:hAnsi="Arial" w:cs="Arial"/>
                <w:sz w:val="18"/>
                <w:szCs w:val="18"/>
                <w:lang w:val="sk-SK" w:eastAsia="sk-SK"/>
              </w:rPr>
            </w:pPr>
          </w:p>
        </w:tc>
        <w:tc>
          <w:tcPr>
            <w:tcW w:w="102" w:type="pct"/>
            <w:tcBorders>
              <w:top w:val="nil"/>
              <w:left w:val="nil"/>
              <w:bottom w:val="nil"/>
              <w:right w:val="nil"/>
            </w:tcBorders>
            <w:shd w:val="clear" w:color="auto" w:fill="auto"/>
            <w:noWrap/>
            <w:vAlign w:val="bottom"/>
            <w:hideMark/>
          </w:tcPr>
          <w:p w14:paraId="1066D8E6" w14:textId="77777777" w:rsidR="00CF283F" w:rsidRPr="00226892" w:rsidRDefault="00CF283F" w:rsidP="00CF283F">
            <w:pPr>
              <w:rPr>
                <w:rFonts w:ascii="Arial" w:eastAsia="Times New Roman" w:hAnsi="Arial" w:cs="Arial"/>
                <w:sz w:val="18"/>
                <w:szCs w:val="18"/>
                <w:lang w:val="sk-SK" w:eastAsia="sk-SK"/>
              </w:rPr>
            </w:pPr>
          </w:p>
        </w:tc>
        <w:tc>
          <w:tcPr>
            <w:tcW w:w="1002" w:type="pct"/>
            <w:tcBorders>
              <w:top w:val="nil"/>
              <w:left w:val="nil"/>
              <w:bottom w:val="nil"/>
              <w:right w:val="nil"/>
            </w:tcBorders>
            <w:shd w:val="clear" w:color="auto" w:fill="auto"/>
            <w:vAlign w:val="bottom"/>
            <w:hideMark/>
          </w:tcPr>
          <w:p w14:paraId="549BA4FA" w14:textId="77777777" w:rsidR="00CF283F" w:rsidRPr="00226892" w:rsidRDefault="00CF283F" w:rsidP="00FD21B8">
            <w:pPr>
              <w:jc w:val="right"/>
              <w:rPr>
                <w:rFonts w:ascii="Arial" w:eastAsia="Times New Roman" w:hAnsi="Arial" w:cs="Arial"/>
                <w:sz w:val="18"/>
                <w:szCs w:val="18"/>
                <w:lang w:val="sk-SK" w:eastAsia="sk-SK"/>
              </w:rPr>
            </w:pPr>
          </w:p>
        </w:tc>
        <w:tc>
          <w:tcPr>
            <w:tcW w:w="102" w:type="pct"/>
            <w:tcBorders>
              <w:top w:val="nil"/>
              <w:left w:val="nil"/>
              <w:bottom w:val="nil"/>
              <w:right w:val="nil"/>
            </w:tcBorders>
            <w:shd w:val="clear" w:color="auto" w:fill="auto"/>
            <w:noWrap/>
            <w:vAlign w:val="bottom"/>
            <w:hideMark/>
          </w:tcPr>
          <w:p w14:paraId="7214F836" w14:textId="77777777" w:rsidR="00CF283F" w:rsidRPr="00226892" w:rsidRDefault="00CF283F" w:rsidP="00FD21B8">
            <w:pPr>
              <w:jc w:val="right"/>
              <w:rPr>
                <w:rFonts w:ascii="Arial" w:eastAsia="Times New Roman" w:hAnsi="Arial" w:cs="Arial"/>
                <w:sz w:val="18"/>
                <w:szCs w:val="18"/>
                <w:lang w:val="sk-SK" w:eastAsia="sk-SK"/>
              </w:rPr>
            </w:pPr>
          </w:p>
        </w:tc>
        <w:tc>
          <w:tcPr>
            <w:tcW w:w="966" w:type="pct"/>
            <w:tcBorders>
              <w:top w:val="nil"/>
              <w:left w:val="nil"/>
              <w:bottom w:val="nil"/>
              <w:right w:val="nil"/>
            </w:tcBorders>
            <w:shd w:val="clear" w:color="auto" w:fill="auto"/>
            <w:vAlign w:val="bottom"/>
            <w:hideMark/>
          </w:tcPr>
          <w:p w14:paraId="29833750" w14:textId="77777777" w:rsidR="00CF283F" w:rsidRPr="00226892" w:rsidRDefault="00CF283F" w:rsidP="00FD21B8">
            <w:pPr>
              <w:jc w:val="right"/>
              <w:rPr>
                <w:rFonts w:ascii="Arial" w:eastAsia="Times New Roman" w:hAnsi="Arial" w:cs="Arial"/>
                <w:sz w:val="18"/>
                <w:szCs w:val="18"/>
                <w:lang w:val="sk-SK" w:eastAsia="sk-SK"/>
              </w:rPr>
            </w:pPr>
          </w:p>
        </w:tc>
      </w:tr>
      <w:tr w:rsidR="003524A6" w:rsidRPr="00226892" w14:paraId="0586E218" w14:textId="77777777" w:rsidTr="00096439">
        <w:trPr>
          <w:trHeight w:val="227"/>
        </w:trPr>
        <w:tc>
          <w:tcPr>
            <w:tcW w:w="2508" w:type="pct"/>
            <w:tcBorders>
              <w:top w:val="nil"/>
              <w:left w:val="nil"/>
              <w:bottom w:val="nil"/>
              <w:right w:val="nil"/>
            </w:tcBorders>
            <w:shd w:val="clear" w:color="auto" w:fill="auto"/>
            <w:noWrap/>
            <w:vAlign w:val="bottom"/>
            <w:hideMark/>
          </w:tcPr>
          <w:p w14:paraId="23555FB2" w14:textId="77777777" w:rsidR="00CF283F" w:rsidRPr="00226892" w:rsidRDefault="00CF283F" w:rsidP="00CF283F">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AKTÍVA</w:t>
            </w:r>
          </w:p>
        </w:tc>
        <w:tc>
          <w:tcPr>
            <w:tcW w:w="320" w:type="pct"/>
            <w:tcBorders>
              <w:top w:val="nil"/>
              <w:left w:val="nil"/>
              <w:bottom w:val="nil"/>
              <w:right w:val="nil"/>
            </w:tcBorders>
            <w:shd w:val="clear" w:color="auto" w:fill="auto"/>
            <w:noWrap/>
            <w:vAlign w:val="bottom"/>
            <w:hideMark/>
          </w:tcPr>
          <w:p w14:paraId="1D44F8DF" w14:textId="77777777" w:rsidR="00CF283F" w:rsidRPr="00226892" w:rsidRDefault="00CF283F" w:rsidP="00CF283F">
            <w:pPr>
              <w:rPr>
                <w:rFonts w:ascii="Arial" w:eastAsia="Times New Roman" w:hAnsi="Arial" w:cs="Arial"/>
                <w:b/>
                <w:bCs/>
                <w:color w:val="000000"/>
                <w:sz w:val="18"/>
                <w:szCs w:val="18"/>
                <w:lang w:val="sk-SK" w:eastAsia="sk-SK"/>
              </w:rPr>
            </w:pPr>
          </w:p>
        </w:tc>
        <w:tc>
          <w:tcPr>
            <w:tcW w:w="102" w:type="pct"/>
            <w:tcBorders>
              <w:top w:val="nil"/>
              <w:left w:val="nil"/>
              <w:bottom w:val="nil"/>
              <w:right w:val="nil"/>
            </w:tcBorders>
            <w:shd w:val="clear" w:color="auto" w:fill="auto"/>
            <w:noWrap/>
            <w:vAlign w:val="bottom"/>
            <w:hideMark/>
          </w:tcPr>
          <w:p w14:paraId="7A0C483E" w14:textId="77777777" w:rsidR="00CF283F" w:rsidRPr="00226892" w:rsidRDefault="00CF283F" w:rsidP="00CF283F">
            <w:pPr>
              <w:rPr>
                <w:rFonts w:ascii="Arial" w:eastAsia="Times New Roman" w:hAnsi="Arial" w:cs="Arial"/>
                <w:sz w:val="18"/>
                <w:szCs w:val="18"/>
                <w:lang w:val="sk-SK" w:eastAsia="sk-SK"/>
              </w:rPr>
            </w:pPr>
          </w:p>
        </w:tc>
        <w:tc>
          <w:tcPr>
            <w:tcW w:w="1002" w:type="pct"/>
            <w:tcBorders>
              <w:top w:val="nil"/>
              <w:left w:val="nil"/>
              <w:bottom w:val="nil"/>
              <w:right w:val="nil"/>
            </w:tcBorders>
            <w:shd w:val="clear" w:color="auto" w:fill="auto"/>
            <w:noWrap/>
            <w:vAlign w:val="bottom"/>
            <w:hideMark/>
          </w:tcPr>
          <w:p w14:paraId="443C6C6F" w14:textId="77777777" w:rsidR="00CF283F" w:rsidRPr="00226892" w:rsidRDefault="00CF283F" w:rsidP="00FD21B8">
            <w:pPr>
              <w:jc w:val="right"/>
              <w:rPr>
                <w:rFonts w:ascii="Arial" w:eastAsia="Times New Roman" w:hAnsi="Arial" w:cs="Arial"/>
                <w:sz w:val="18"/>
                <w:szCs w:val="18"/>
                <w:lang w:val="sk-SK" w:eastAsia="sk-SK"/>
              </w:rPr>
            </w:pPr>
          </w:p>
        </w:tc>
        <w:tc>
          <w:tcPr>
            <w:tcW w:w="102" w:type="pct"/>
            <w:tcBorders>
              <w:top w:val="nil"/>
              <w:left w:val="nil"/>
              <w:bottom w:val="nil"/>
              <w:right w:val="nil"/>
            </w:tcBorders>
            <w:shd w:val="clear" w:color="auto" w:fill="auto"/>
            <w:noWrap/>
            <w:vAlign w:val="bottom"/>
            <w:hideMark/>
          </w:tcPr>
          <w:p w14:paraId="5D18A62E" w14:textId="77777777" w:rsidR="00CF283F" w:rsidRPr="00226892" w:rsidRDefault="00CF283F" w:rsidP="00FD21B8">
            <w:pPr>
              <w:jc w:val="right"/>
              <w:rPr>
                <w:rFonts w:ascii="Arial" w:eastAsia="Times New Roman" w:hAnsi="Arial" w:cs="Arial"/>
                <w:sz w:val="18"/>
                <w:szCs w:val="18"/>
                <w:lang w:val="sk-SK" w:eastAsia="sk-SK"/>
              </w:rPr>
            </w:pPr>
          </w:p>
        </w:tc>
        <w:tc>
          <w:tcPr>
            <w:tcW w:w="966" w:type="pct"/>
            <w:tcBorders>
              <w:top w:val="nil"/>
              <w:left w:val="nil"/>
              <w:bottom w:val="nil"/>
              <w:right w:val="nil"/>
            </w:tcBorders>
            <w:shd w:val="clear" w:color="auto" w:fill="auto"/>
            <w:noWrap/>
            <w:vAlign w:val="bottom"/>
            <w:hideMark/>
          </w:tcPr>
          <w:p w14:paraId="15AC13F9" w14:textId="77777777" w:rsidR="00CF283F" w:rsidRPr="00226892" w:rsidRDefault="00CF283F" w:rsidP="00FD21B8">
            <w:pPr>
              <w:jc w:val="right"/>
              <w:rPr>
                <w:rFonts w:ascii="Arial" w:eastAsia="Times New Roman" w:hAnsi="Arial" w:cs="Arial"/>
                <w:sz w:val="18"/>
                <w:szCs w:val="18"/>
                <w:lang w:val="sk-SK" w:eastAsia="sk-SK"/>
              </w:rPr>
            </w:pPr>
          </w:p>
        </w:tc>
      </w:tr>
      <w:tr w:rsidR="003524A6" w:rsidRPr="00226892" w14:paraId="15C77F17" w14:textId="77777777" w:rsidTr="00096439">
        <w:trPr>
          <w:trHeight w:val="227"/>
        </w:trPr>
        <w:tc>
          <w:tcPr>
            <w:tcW w:w="2508" w:type="pct"/>
            <w:tcBorders>
              <w:top w:val="nil"/>
              <w:left w:val="nil"/>
              <w:bottom w:val="nil"/>
              <w:right w:val="nil"/>
            </w:tcBorders>
            <w:shd w:val="clear" w:color="auto" w:fill="auto"/>
            <w:noWrap/>
            <w:vAlign w:val="bottom"/>
            <w:hideMark/>
          </w:tcPr>
          <w:p w14:paraId="229C73C2" w14:textId="77777777" w:rsidR="00CF283F" w:rsidRPr="00226892" w:rsidRDefault="00CF283F" w:rsidP="00CF283F">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Stále aktíva</w:t>
            </w:r>
          </w:p>
        </w:tc>
        <w:tc>
          <w:tcPr>
            <w:tcW w:w="320" w:type="pct"/>
            <w:tcBorders>
              <w:top w:val="nil"/>
              <w:left w:val="nil"/>
              <w:bottom w:val="nil"/>
              <w:right w:val="nil"/>
            </w:tcBorders>
            <w:shd w:val="clear" w:color="auto" w:fill="auto"/>
            <w:noWrap/>
            <w:vAlign w:val="bottom"/>
            <w:hideMark/>
          </w:tcPr>
          <w:p w14:paraId="6711A66D" w14:textId="77777777" w:rsidR="00CF283F" w:rsidRPr="00226892" w:rsidRDefault="00CF283F" w:rsidP="00CF283F">
            <w:pPr>
              <w:rPr>
                <w:rFonts w:ascii="Arial" w:eastAsia="Times New Roman" w:hAnsi="Arial" w:cs="Arial"/>
                <w:b/>
                <w:bCs/>
                <w:color w:val="000000"/>
                <w:sz w:val="18"/>
                <w:szCs w:val="18"/>
                <w:lang w:val="sk-SK" w:eastAsia="sk-SK"/>
              </w:rPr>
            </w:pPr>
          </w:p>
        </w:tc>
        <w:tc>
          <w:tcPr>
            <w:tcW w:w="102" w:type="pct"/>
            <w:tcBorders>
              <w:top w:val="nil"/>
              <w:left w:val="nil"/>
              <w:bottom w:val="nil"/>
              <w:right w:val="nil"/>
            </w:tcBorders>
            <w:shd w:val="clear" w:color="auto" w:fill="auto"/>
            <w:noWrap/>
            <w:vAlign w:val="bottom"/>
            <w:hideMark/>
          </w:tcPr>
          <w:p w14:paraId="2B2A9258" w14:textId="77777777" w:rsidR="00CF283F" w:rsidRPr="00226892" w:rsidRDefault="00CF283F" w:rsidP="00CF283F">
            <w:pPr>
              <w:rPr>
                <w:rFonts w:ascii="Arial" w:eastAsia="Times New Roman" w:hAnsi="Arial" w:cs="Arial"/>
                <w:sz w:val="18"/>
                <w:szCs w:val="18"/>
                <w:lang w:val="sk-SK" w:eastAsia="sk-SK"/>
              </w:rPr>
            </w:pPr>
          </w:p>
        </w:tc>
        <w:tc>
          <w:tcPr>
            <w:tcW w:w="1002" w:type="pct"/>
            <w:tcBorders>
              <w:top w:val="nil"/>
              <w:left w:val="nil"/>
              <w:bottom w:val="nil"/>
              <w:right w:val="nil"/>
            </w:tcBorders>
            <w:shd w:val="clear" w:color="auto" w:fill="auto"/>
            <w:noWrap/>
            <w:vAlign w:val="bottom"/>
            <w:hideMark/>
          </w:tcPr>
          <w:p w14:paraId="1B3CFF48" w14:textId="77777777" w:rsidR="00CF283F" w:rsidRPr="00226892" w:rsidRDefault="00CF283F" w:rsidP="00FD21B8">
            <w:pPr>
              <w:jc w:val="right"/>
              <w:rPr>
                <w:rFonts w:ascii="Arial" w:eastAsia="Times New Roman" w:hAnsi="Arial" w:cs="Arial"/>
                <w:sz w:val="18"/>
                <w:szCs w:val="18"/>
                <w:lang w:val="sk-SK" w:eastAsia="sk-SK"/>
              </w:rPr>
            </w:pPr>
          </w:p>
        </w:tc>
        <w:tc>
          <w:tcPr>
            <w:tcW w:w="102" w:type="pct"/>
            <w:tcBorders>
              <w:top w:val="nil"/>
              <w:left w:val="nil"/>
              <w:bottom w:val="nil"/>
              <w:right w:val="nil"/>
            </w:tcBorders>
            <w:shd w:val="clear" w:color="auto" w:fill="auto"/>
            <w:noWrap/>
            <w:vAlign w:val="bottom"/>
            <w:hideMark/>
          </w:tcPr>
          <w:p w14:paraId="0E1A214F" w14:textId="77777777" w:rsidR="00CF283F" w:rsidRPr="00226892" w:rsidRDefault="00CF283F" w:rsidP="00FD21B8">
            <w:pPr>
              <w:jc w:val="right"/>
              <w:rPr>
                <w:rFonts w:ascii="Arial" w:eastAsia="Times New Roman" w:hAnsi="Arial" w:cs="Arial"/>
                <w:sz w:val="18"/>
                <w:szCs w:val="18"/>
                <w:lang w:val="sk-SK" w:eastAsia="sk-SK"/>
              </w:rPr>
            </w:pPr>
          </w:p>
        </w:tc>
        <w:tc>
          <w:tcPr>
            <w:tcW w:w="966" w:type="pct"/>
            <w:tcBorders>
              <w:top w:val="nil"/>
              <w:left w:val="nil"/>
              <w:bottom w:val="nil"/>
              <w:right w:val="nil"/>
            </w:tcBorders>
            <w:shd w:val="clear" w:color="auto" w:fill="auto"/>
            <w:noWrap/>
            <w:vAlign w:val="bottom"/>
            <w:hideMark/>
          </w:tcPr>
          <w:p w14:paraId="1B7C975D" w14:textId="77777777" w:rsidR="00CF283F" w:rsidRPr="00226892" w:rsidRDefault="00CF283F" w:rsidP="00FD21B8">
            <w:pPr>
              <w:jc w:val="right"/>
              <w:rPr>
                <w:rFonts w:ascii="Arial" w:eastAsia="Times New Roman" w:hAnsi="Arial" w:cs="Arial"/>
                <w:sz w:val="18"/>
                <w:szCs w:val="18"/>
                <w:lang w:val="sk-SK" w:eastAsia="sk-SK"/>
              </w:rPr>
            </w:pPr>
          </w:p>
        </w:tc>
      </w:tr>
      <w:tr w:rsidR="008761C1" w:rsidRPr="00226892" w14:paraId="3B035E4D" w14:textId="77777777" w:rsidTr="00096439">
        <w:trPr>
          <w:trHeight w:val="227"/>
        </w:trPr>
        <w:tc>
          <w:tcPr>
            <w:tcW w:w="2508" w:type="pct"/>
            <w:tcBorders>
              <w:top w:val="nil"/>
              <w:left w:val="nil"/>
              <w:bottom w:val="nil"/>
              <w:right w:val="nil"/>
            </w:tcBorders>
            <w:shd w:val="clear" w:color="auto" w:fill="auto"/>
            <w:noWrap/>
            <w:vAlign w:val="bottom"/>
            <w:hideMark/>
          </w:tcPr>
          <w:p w14:paraId="21634097" w14:textId="77777777" w:rsidR="008761C1" w:rsidRPr="00226892" w:rsidRDefault="008761C1" w:rsidP="008761C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Nehmotný majetok </w:t>
            </w:r>
          </w:p>
        </w:tc>
        <w:tc>
          <w:tcPr>
            <w:tcW w:w="320" w:type="pct"/>
            <w:tcBorders>
              <w:top w:val="nil"/>
              <w:left w:val="nil"/>
              <w:bottom w:val="nil"/>
              <w:right w:val="nil"/>
            </w:tcBorders>
            <w:shd w:val="clear" w:color="auto" w:fill="auto"/>
            <w:noWrap/>
            <w:vAlign w:val="bottom"/>
            <w:hideMark/>
          </w:tcPr>
          <w:p w14:paraId="77B1B346" w14:textId="6F195E71" w:rsidR="008761C1" w:rsidRPr="00226892" w:rsidRDefault="008761C1" w:rsidP="008761C1">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5</w:t>
            </w:r>
          </w:p>
        </w:tc>
        <w:tc>
          <w:tcPr>
            <w:tcW w:w="102" w:type="pct"/>
            <w:tcBorders>
              <w:top w:val="nil"/>
              <w:left w:val="nil"/>
              <w:bottom w:val="nil"/>
              <w:right w:val="nil"/>
            </w:tcBorders>
            <w:shd w:val="clear" w:color="auto" w:fill="auto"/>
            <w:noWrap/>
            <w:vAlign w:val="bottom"/>
            <w:hideMark/>
          </w:tcPr>
          <w:p w14:paraId="77377D23" w14:textId="77777777" w:rsidR="008761C1" w:rsidRPr="00226892" w:rsidRDefault="008761C1" w:rsidP="008761C1">
            <w:pPr>
              <w:jc w:val="center"/>
              <w:rPr>
                <w:rFonts w:ascii="Arial" w:eastAsia="Times New Roman" w:hAnsi="Arial" w:cs="Arial"/>
                <w:color w:val="000000"/>
                <w:sz w:val="18"/>
                <w:szCs w:val="18"/>
                <w:lang w:val="sk-SK" w:eastAsia="sk-SK"/>
              </w:rPr>
            </w:pPr>
          </w:p>
        </w:tc>
        <w:tc>
          <w:tcPr>
            <w:tcW w:w="1002" w:type="pct"/>
            <w:tcBorders>
              <w:top w:val="nil"/>
              <w:left w:val="nil"/>
              <w:bottom w:val="nil"/>
              <w:right w:val="nil"/>
            </w:tcBorders>
            <w:shd w:val="clear" w:color="auto" w:fill="auto"/>
            <w:vAlign w:val="bottom"/>
          </w:tcPr>
          <w:p w14:paraId="26C89988" w14:textId="0FCE7496"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436</w:t>
            </w:r>
          </w:p>
        </w:tc>
        <w:tc>
          <w:tcPr>
            <w:tcW w:w="102" w:type="pct"/>
            <w:tcBorders>
              <w:top w:val="nil"/>
              <w:left w:val="nil"/>
              <w:bottom w:val="nil"/>
              <w:right w:val="nil"/>
            </w:tcBorders>
            <w:shd w:val="clear" w:color="auto" w:fill="auto"/>
            <w:vAlign w:val="bottom"/>
          </w:tcPr>
          <w:p w14:paraId="78B6CCF2" w14:textId="77777777" w:rsidR="008761C1" w:rsidRPr="00226892" w:rsidRDefault="008761C1" w:rsidP="008761C1">
            <w:pPr>
              <w:jc w:val="right"/>
              <w:rPr>
                <w:rFonts w:ascii="Arial" w:eastAsia="Times New Roman" w:hAnsi="Arial" w:cs="Arial"/>
                <w:color w:val="000000"/>
                <w:sz w:val="18"/>
                <w:szCs w:val="18"/>
                <w:lang w:val="sk-SK" w:eastAsia="sk-SK"/>
              </w:rPr>
            </w:pPr>
          </w:p>
        </w:tc>
        <w:tc>
          <w:tcPr>
            <w:tcW w:w="966" w:type="pct"/>
            <w:tcBorders>
              <w:top w:val="nil"/>
              <w:left w:val="nil"/>
              <w:bottom w:val="nil"/>
              <w:right w:val="nil"/>
            </w:tcBorders>
            <w:shd w:val="clear" w:color="auto" w:fill="auto"/>
            <w:vAlign w:val="bottom"/>
          </w:tcPr>
          <w:p w14:paraId="17E15840" w14:textId="7E5B654C"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512</w:t>
            </w:r>
          </w:p>
        </w:tc>
      </w:tr>
      <w:tr w:rsidR="008761C1" w:rsidRPr="00226892" w14:paraId="2E9B0A42" w14:textId="77777777" w:rsidTr="00096439">
        <w:trPr>
          <w:trHeight w:val="227"/>
        </w:trPr>
        <w:tc>
          <w:tcPr>
            <w:tcW w:w="2508" w:type="pct"/>
            <w:tcBorders>
              <w:top w:val="nil"/>
              <w:left w:val="nil"/>
              <w:bottom w:val="nil"/>
              <w:right w:val="nil"/>
            </w:tcBorders>
            <w:shd w:val="clear" w:color="auto" w:fill="auto"/>
            <w:noWrap/>
            <w:vAlign w:val="bottom"/>
            <w:hideMark/>
          </w:tcPr>
          <w:p w14:paraId="0B457BA7" w14:textId="77777777" w:rsidR="008761C1" w:rsidRPr="00226892" w:rsidRDefault="008761C1" w:rsidP="008761C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Dlhodobý hmotný majetok</w:t>
            </w:r>
          </w:p>
        </w:tc>
        <w:tc>
          <w:tcPr>
            <w:tcW w:w="320" w:type="pct"/>
            <w:tcBorders>
              <w:top w:val="nil"/>
              <w:left w:val="nil"/>
              <w:bottom w:val="nil"/>
              <w:right w:val="nil"/>
            </w:tcBorders>
            <w:shd w:val="clear" w:color="auto" w:fill="auto"/>
            <w:noWrap/>
            <w:vAlign w:val="bottom"/>
            <w:hideMark/>
          </w:tcPr>
          <w:p w14:paraId="03A57AAE" w14:textId="5323C700" w:rsidR="008761C1" w:rsidRPr="00226892" w:rsidRDefault="008761C1" w:rsidP="008761C1">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6</w:t>
            </w:r>
          </w:p>
        </w:tc>
        <w:tc>
          <w:tcPr>
            <w:tcW w:w="102" w:type="pct"/>
            <w:tcBorders>
              <w:top w:val="nil"/>
              <w:left w:val="nil"/>
              <w:bottom w:val="nil"/>
              <w:right w:val="nil"/>
            </w:tcBorders>
            <w:shd w:val="clear" w:color="auto" w:fill="auto"/>
            <w:noWrap/>
            <w:vAlign w:val="bottom"/>
            <w:hideMark/>
          </w:tcPr>
          <w:p w14:paraId="7E6023D9" w14:textId="77777777" w:rsidR="008761C1" w:rsidRPr="00226892" w:rsidRDefault="008761C1" w:rsidP="008761C1">
            <w:pPr>
              <w:jc w:val="center"/>
              <w:rPr>
                <w:rFonts w:ascii="Arial" w:eastAsia="Times New Roman" w:hAnsi="Arial" w:cs="Arial"/>
                <w:color w:val="000000"/>
                <w:sz w:val="18"/>
                <w:szCs w:val="18"/>
                <w:lang w:val="sk-SK" w:eastAsia="sk-SK"/>
              </w:rPr>
            </w:pPr>
          </w:p>
        </w:tc>
        <w:tc>
          <w:tcPr>
            <w:tcW w:w="1002" w:type="pct"/>
            <w:tcBorders>
              <w:top w:val="nil"/>
              <w:left w:val="nil"/>
              <w:bottom w:val="nil"/>
              <w:right w:val="nil"/>
            </w:tcBorders>
            <w:shd w:val="clear" w:color="auto" w:fill="auto"/>
            <w:vAlign w:val="bottom"/>
          </w:tcPr>
          <w:p w14:paraId="494C3657" w14:textId="1043652F"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7</w:t>
            </w:r>
            <w:r w:rsidR="007450FE" w:rsidRPr="00226892">
              <w:rPr>
                <w:rFonts w:ascii="Arial" w:eastAsia="Times New Roman" w:hAnsi="Arial" w:cs="Arial"/>
                <w:color w:val="000000"/>
                <w:sz w:val="18"/>
                <w:szCs w:val="18"/>
                <w:lang w:val="sk-SK" w:eastAsia="sk-SK"/>
              </w:rPr>
              <w:t>1 073</w:t>
            </w:r>
          </w:p>
        </w:tc>
        <w:tc>
          <w:tcPr>
            <w:tcW w:w="102" w:type="pct"/>
            <w:tcBorders>
              <w:top w:val="nil"/>
              <w:left w:val="nil"/>
              <w:bottom w:val="nil"/>
              <w:right w:val="nil"/>
            </w:tcBorders>
            <w:shd w:val="clear" w:color="auto" w:fill="auto"/>
            <w:vAlign w:val="bottom"/>
          </w:tcPr>
          <w:p w14:paraId="0BCD80D9" w14:textId="77777777" w:rsidR="008761C1" w:rsidRPr="00226892" w:rsidRDefault="008761C1" w:rsidP="008761C1">
            <w:pPr>
              <w:jc w:val="right"/>
              <w:rPr>
                <w:rFonts w:ascii="Arial" w:eastAsia="Times New Roman" w:hAnsi="Arial" w:cs="Arial"/>
                <w:color w:val="000000"/>
                <w:sz w:val="18"/>
                <w:szCs w:val="18"/>
                <w:lang w:val="sk-SK" w:eastAsia="sk-SK"/>
              </w:rPr>
            </w:pPr>
          </w:p>
        </w:tc>
        <w:tc>
          <w:tcPr>
            <w:tcW w:w="966" w:type="pct"/>
            <w:tcBorders>
              <w:top w:val="nil"/>
              <w:left w:val="nil"/>
              <w:bottom w:val="nil"/>
              <w:right w:val="nil"/>
            </w:tcBorders>
            <w:shd w:val="clear" w:color="auto" w:fill="auto"/>
            <w:vAlign w:val="bottom"/>
          </w:tcPr>
          <w:p w14:paraId="65D4C51E" w14:textId="1A0AB863"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74 371</w:t>
            </w:r>
          </w:p>
        </w:tc>
      </w:tr>
      <w:tr w:rsidR="008761C1" w:rsidRPr="00226892" w14:paraId="67A9B396" w14:textId="77777777" w:rsidTr="00096439">
        <w:trPr>
          <w:trHeight w:val="227"/>
        </w:trPr>
        <w:tc>
          <w:tcPr>
            <w:tcW w:w="2508" w:type="pct"/>
            <w:tcBorders>
              <w:top w:val="nil"/>
              <w:left w:val="nil"/>
              <w:bottom w:val="nil"/>
              <w:right w:val="nil"/>
            </w:tcBorders>
            <w:shd w:val="clear" w:color="auto" w:fill="auto"/>
            <w:noWrap/>
            <w:vAlign w:val="bottom"/>
            <w:hideMark/>
          </w:tcPr>
          <w:p w14:paraId="74D0D9BE" w14:textId="77777777" w:rsidR="008761C1" w:rsidRPr="00226892" w:rsidRDefault="008761C1" w:rsidP="008761C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Investície v pridružených a spoločných podnikoch</w:t>
            </w:r>
          </w:p>
        </w:tc>
        <w:tc>
          <w:tcPr>
            <w:tcW w:w="320" w:type="pct"/>
            <w:tcBorders>
              <w:top w:val="nil"/>
              <w:left w:val="nil"/>
              <w:bottom w:val="nil"/>
              <w:right w:val="nil"/>
            </w:tcBorders>
            <w:shd w:val="clear" w:color="auto" w:fill="auto"/>
            <w:noWrap/>
            <w:vAlign w:val="bottom"/>
            <w:hideMark/>
          </w:tcPr>
          <w:p w14:paraId="0B3E3CFF" w14:textId="2BCDF42F" w:rsidR="008761C1" w:rsidRPr="00226892" w:rsidRDefault="008761C1" w:rsidP="008761C1">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8</w:t>
            </w:r>
          </w:p>
        </w:tc>
        <w:tc>
          <w:tcPr>
            <w:tcW w:w="102" w:type="pct"/>
            <w:tcBorders>
              <w:top w:val="nil"/>
              <w:left w:val="nil"/>
              <w:bottom w:val="nil"/>
              <w:right w:val="nil"/>
            </w:tcBorders>
            <w:shd w:val="clear" w:color="auto" w:fill="auto"/>
            <w:noWrap/>
            <w:vAlign w:val="bottom"/>
            <w:hideMark/>
          </w:tcPr>
          <w:p w14:paraId="6DB6B68F" w14:textId="77777777" w:rsidR="008761C1" w:rsidRPr="00226892" w:rsidRDefault="008761C1" w:rsidP="008761C1">
            <w:pPr>
              <w:jc w:val="center"/>
              <w:rPr>
                <w:rFonts w:ascii="Arial" w:eastAsia="Times New Roman" w:hAnsi="Arial" w:cs="Arial"/>
                <w:color w:val="000000"/>
                <w:sz w:val="18"/>
                <w:szCs w:val="18"/>
                <w:lang w:val="sk-SK" w:eastAsia="sk-SK"/>
              </w:rPr>
            </w:pPr>
          </w:p>
        </w:tc>
        <w:tc>
          <w:tcPr>
            <w:tcW w:w="1002" w:type="pct"/>
            <w:tcBorders>
              <w:top w:val="nil"/>
              <w:left w:val="nil"/>
              <w:bottom w:val="nil"/>
              <w:right w:val="nil"/>
            </w:tcBorders>
            <w:shd w:val="clear" w:color="auto" w:fill="auto"/>
            <w:vAlign w:val="bottom"/>
          </w:tcPr>
          <w:p w14:paraId="1586876F" w14:textId="285069C2"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120</w:t>
            </w:r>
          </w:p>
        </w:tc>
        <w:tc>
          <w:tcPr>
            <w:tcW w:w="102" w:type="pct"/>
            <w:tcBorders>
              <w:top w:val="nil"/>
              <w:left w:val="nil"/>
              <w:bottom w:val="nil"/>
              <w:right w:val="nil"/>
            </w:tcBorders>
            <w:shd w:val="clear" w:color="auto" w:fill="auto"/>
            <w:vAlign w:val="bottom"/>
          </w:tcPr>
          <w:p w14:paraId="65066DFC" w14:textId="77777777" w:rsidR="008761C1" w:rsidRPr="00226892" w:rsidRDefault="008761C1" w:rsidP="008761C1">
            <w:pPr>
              <w:jc w:val="right"/>
              <w:rPr>
                <w:rFonts w:ascii="Arial" w:eastAsia="Times New Roman" w:hAnsi="Arial" w:cs="Arial"/>
                <w:color w:val="000000"/>
                <w:sz w:val="18"/>
                <w:szCs w:val="18"/>
                <w:lang w:val="sk-SK" w:eastAsia="sk-SK"/>
              </w:rPr>
            </w:pPr>
          </w:p>
        </w:tc>
        <w:tc>
          <w:tcPr>
            <w:tcW w:w="966" w:type="pct"/>
            <w:tcBorders>
              <w:top w:val="nil"/>
              <w:left w:val="nil"/>
              <w:bottom w:val="nil"/>
              <w:right w:val="nil"/>
            </w:tcBorders>
            <w:shd w:val="clear" w:color="auto" w:fill="auto"/>
            <w:vAlign w:val="bottom"/>
          </w:tcPr>
          <w:p w14:paraId="42B65362" w14:textId="2FF60F5E"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92</w:t>
            </w:r>
          </w:p>
        </w:tc>
      </w:tr>
      <w:tr w:rsidR="008761C1" w:rsidRPr="00226892" w14:paraId="63192156" w14:textId="77777777" w:rsidTr="00096439">
        <w:trPr>
          <w:trHeight w:val="227"/>
        </w:trPr>
        <w:tc>
          <w:tcPr>
            <w:tcW w:w="2508" w:type="pct"/>
            <w:tcBorders>
              <w:top w:val="nil"/>
              <w:left w:val="nil"/>
              <w:bottom w:val="nil"/>
              <w:right w:val="nil"/>
            </w:tcBorders>
            <w:shd w:val="clear" w:color="auto" w:fill="auto"/>
            <w:noWrap/>
            <w:vAlign w:val="bottom"/>
          </w:tcPr>
          <w:p w14:paraId="33E6EBFA" w14:textId="49E97109" w:rsidR="008761C1" w:rsidRPr="00226892" w:rsidRDefault="008761C1" w:rsidP="008761C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Ostatné investície</w:t>
            </w:r>
          </w:p>
        </w:tc>
        <w:tc>
          <w:tcPr>
            <w:tcW w:w="320" w:type="pct"/>
            <w:tcBorders>
              <w:top w:val="nil"/>
              <w:left w:val="nil"/>
              <w:bottom w:val="nil"/>
              <w:right w:val="nil"/>
            </w:tcBorders>
            <w:shd w:val="clear" w:color="auto" w:fill="auto"/>
            <w:noWrap/>
            <w:vAlign w:val="bottom"/>
          </w:tcPr>
          <w:p w14:paraId="3CF79ECD" w14:textId="5F7134D7" w:rsidR="008761C1" w:rsidRPr="00226892" w:rsidRDefault="008761C1" w:rsidP="008761C1">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8</w:t>
            </w:r>
          </w:p>
        </w:tc>
        <w:tc>
          <w:tcPr>
            <w:tcW w:w="102" w:type="pct"/>
            <w:tcBorders>
              <w:top w:val="nil"/>
              <w:left w:val="nil"/>
              <w:bottom w:val="nil"/>
              <w:right w:val="nil"/>
            </w:tcBorders>
            <w:shd w:val="clear" w:color="auto" w:fill="auto"/>
            <w:noWrap/>
            <w:vAlign w:val="bottom"/>
          </w:tcPr>
          <w:p w14:paraId="0293F52B" w14:textId="77777777" w:rsidR="008761C1" w:rsidRPr="00226892" w:rsidRDefault="008761C1" w:rsidP="008761C1">
            <w:pPr>
              <w:jc w:val="center"/>
              <w:rPr>
                <w:rFonts w:ascii="Arial" w:eastAsia="Times New Roman" w:hAnsi="Arial" w:cs="Arial"/>
                <w:color w:val="000000"/>
                <w:sz w:val="18"/>
                <w:szCs w:val="18"/>
                <w:lang w:val="sk-SK" w:eastAsia="sk-SK"/>
              </w:rPr>
            </w:pPr>
          </w:p>
        </w:tc>
        <w:tc>
          <w:tcPr>
            <w:tcW w:w="1002" w:type="pct"/>
            <w:tcBorders>
              <w:top w:val="nil"/>
              <w:left w:val="nil"/>
              <w:bottom w:val="nil"/>
              <w:right w:val="nil"/>
            </w:tcBorders>
            <w:shd w:val="clear" w:color="auto" w:fill="auto"/>
            <w:vAlign w:val="bottom"/>
          </w:tcPr>
          <w:p w14:paraId="01312C2C" w14:textId="0DB86577"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8</w:t>
            </w:r>
          </w:p>
        </w:tc>
        <w:tc>
          <w:tcPr>
            <w:tcW w:w="102" w:type="pct"/>
            <w:tcBorders>
              <w:top w:val="nil"/>
              <w:left w:val="nil"/>
              <w:bottom w:val="nil"/>
              <w:right w:val="nil"/>
            </w:tcBorders>
            <w:shd w:val="clear" w:color="auto" w:fill="auto"/>
            <w:vAlign w:val="bottom"/>
          </w:tcPr>
          <w:p w14:paraId="56783448" w14:textId="77777777" w:rsidR="008761C1" w:rsidRPr="00226892" w:rsidRDefault="008761C1" w:rsidP="008761C1">
            <w:pPr>
              <w:jc w:val="right"/>
              <w:rPr>
                <w:rFonts w:ascii="Arial" w:eastAsia="Times New Roman" w:hAnsi="Arial" w:cs="Arial"/>
                <w:color w:val="000000"/>
                <w:sz w:val="18"/>
                <w:szCs w:val="18"/>
                <w:lang w:val="sk-SK" w:eastAsia="sk-SK"/>
              </w:rPr>
            </w:pPr>
          </w:p>
        </w:tc>
        <w:tc>
          <w:tcPr>
            <w:tcW w:w="966" w:type="pct"/>
            <w:tcBorders>
              <w:top w:val="nil"/>
              <w:left w:val="nil"/>
              <w:bottom w:val="nil"/>
              <w:right w:val="nil"/>
            </w:tcBorders>
            <w:shd w:val="clear" w:color="auto" w:fill="auto"/>
            <w:vAlign w:val="bottom"/>
          </w:tcPr>
          <w:p w14:paraId="5C7A83A4" w14:textId="76193150"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8</w:t>
            </w:r>
          </w:p>
        </w:tc>
      </w:tr>
      <w:tr w:rsidR="008761C1" w:rsidRPr="00226892" w14:paraId="60651188" w14:textId="77777777" w:rsidTr="00096439">
        <w:trPr>
          <w:trHeight w:val="227"/>
        </w:trPr>
        <w:tc>
          <w:tcPr>
            <w:tcW w:w="2508" w:type="pct"/>
            <w:tcBorders>
              <w:top w:val="nil"/>
              <w:left w:val="nil"/>
              <w:bottom w:val="nil"/>
              <w:right w:val="nil"/>
            </w:tcBorders>
            <w:shd w:val="clear" w:color="auto" w:fill="auto"/>
            <w:noWrap/>
            <w:vAlign w:val="bottom"/>
            <w:hideMark/>
          </w:tcPr>
          <w:p w14:paraId="1A12A1E2" w14:textId="77777777" w:rsidR="008761C1" w:rsidRPr="00226892" w:rsidRDefault="008761C1" w:rsidP="008761C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Ostatný dlhodobý majetok</w:t>
            </w:r>
          </w:p>
        </w:tc>
        <w:tc>
          <w:tcPr>
            <w:tcW w:w="320" w:type="pct"/>
            <w:tcBorders>
              <w:top w:val="nil"/>
              <w:left w:val="nil"/>
              <w:bottom w:val="nil"/>
              <w:right w:val="nil"/>
            </w:tcBorders>
            <w:shd w:val="clear" w:color="auto" w:fill="auto"/>
            <w:noWrap/>
            <w:vAlign w:val="bottom"/>
            <w:hideMark/>
          </w:tcPr>
          <w:p w14:paraId="57D92BCC" w14:textId="34E32B75" w:rsidR="008761C1" w:rsidRPr="00226892" w:rsidRDefault="008761C1" w:rsidP="008761C1">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w:t>
            </w:r>
            <w:r w:rsidR="0049047A" w:rsidRPr="00226892">
              <w:rPr>
                <w:rFonts w:ascii="Arial" w:eastAsia="Times New Roman" w:hAnsi="Arial" w:cs="Arial"/>
                <w:color w:val="000000"/>
                <w:sz w:val="18"/>
                <w:szCs w:val="18"/>
                <w:lang w:val="sk-SK" w:eastAsia="sk-SK"/>
              </w:rPr>
              <w:t>1</w:t>
            </w:r>
          </w:p>
        </w:tc>
        <w:tc>
          <w:tcPr>
            <w:tcW w:w="102" w:type="pct"/>
            <w:tcBorders>
              <w:top w:val="nil"/>
              <w:left w:val="nil"/>
              <w:bottom w:val="nil"/>
              <w:right w:val="nil"/>
            </w:tcBorders>
            <w:shd w:val="clear" w:color="auto" w:fill="auto"/>
            <w:noWrap/>
            <w:vAlign w:val="bottom"/>
            <w:hideMark/>
          </w:tcPr>
          <w:p w14:paraId="41722300" w14:textId="77777777" w:rsidR="008761C1" w:rsidRPr="00226892" w:rsidRDefault="008761C1" w:rsidP="008761C1">
            <w:pPr>
              <w:jc w:val="center"/>
              <w:rPr>
                <w:rFonts w:ascii="Arial" w:eastAsia="Times New Roman" w:hAnsi="Arial" w:cs="Arial"/>
                <w:sz w:val="18"/>
                <w:szCs w:val="18"/>
                <w:lang w:val="sk-SK" w:eastAsia="sk-SK"/>
              </w:rPr>
            </w:pPr>
          </w:p>
        </w:tc>
        <w:tc>
          <w:tcPr>
            <w:tcW w:w="1002" w:type="pct"/>
            <w:tcBorders>
              <w:top w:val="nil"/>
              <w:left w:val="nil"/>
              <w:bottom w:val="nil"/>
              <w:right w:val="nil"/>
            </w:tcBorders>
            <w:shd w:val="clear" w:color="auto" w:fill="auto"/>
            <w:vAlign w:val="bottom"/>
          </w:tcPr>
          <w:p w14:paraId="52B5946F" w14:textId="3F85B4E9"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1 992</w:t>
            </w:r>
          </w:p>
        </w:tc>
        <w:tc>
          <w:tcPr>
            <w:tcW w:w="102" w:type="pct"/>
            <w:tcBorders>
              <w:top w:val="nil"/>
              <w:left w:val="nil"/>
              <w:bottom w:val="nil"/>
              <w:right w:val="nil"/>
            </w:tcBorders>
            <w:shd w:val="clear" w:color="auto" w:fill="auto"/>
            <w:vAlign w:val="bottom"/>
          </w:tcPr>
          <w:p w14:paraId="1B0C5392" w14:textId="77777777" w:rsidR="008761C1" w:rsidRPr="00226892" w:rsidRDefault="008761C1" w:rsidP="008761C1">
            <w:pPr>
              <w:jc w:val="right"/>
              <w:rPr>
                <w:rFonts w:ascii="Arial" w:eastAsia="Times New Roman" w:hAnsi="Arial" w:cs="Arial"/>
                <w:color w:val="000000"/>
                <w:sz w:val="18"/>
                <w:szCs w:val="18"/>
                <w:lang w:val="sk-SK" w:eastAsia="sk-SK"/>
              </w:rPr>
            </w:pPr>
          </w:p>
        </w:tc>
        <w:tc>
          <w:tcPr>
            <w:tcW w:w="966" w:type="pct"/>
            <w:tcBorders>
              <w:top w:val="nil"/>
              <w:left w:val="nil"/>
              <w:bottom w:val="nil"/>
              <w:right w:val="nil"/>
            </w:tcBorders>
            <w:shd w:val="clear" w:color="auto" w:fill="auto"/>
            <w:vAlign w:val="bottom"/>
          </w:tcPr>
          <w:p w14:paraId="42EEDB6F" w14:textId="077A2963"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1 606</w:t>
            </w:r>
          </w:p>
        </w:tc>
      </w:tr>
      <w:tr w:rsidR="008761C1" w:rsidRPr="00226892" w14:paraId="12296233" w14:textId="77777777" w:rsidTr="00096439">
        <w:trPr>
          <w:trHeight w:val="227"/>
        </w:trPr>
        <w:tc>
          <w:tcPr>
            <w:tcW w:w="2508" w:type="pct"/>
            <w:tcBorders>
              <w:top w:val="nil"/>
              <w:left w:val="nil"/>
              <w:bottom w:val="nil"/>
              <w:right w:val="nil"/>
            </w:tcBorders>
            <w:shd w:val="clear" w:color="auto" w:fill="auto"/>
            <w:noWrap/>
            <w:vAlign w:val="bottom"/>
            <w:hideMark/>
          </w:tcPr>
          <w:p w14:paraId="02598C4A" w14:textId="77777777" w:rsidR="008761C1" w:rsidRPr="00226892" w:rsidRDefault="008761C1" w:rsidP="008761C1">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Stále aktíva spolu</w:t>
            </w:r>
          </w:p>
        </w:tc>
        <w:tc>
          <w:tcPr>
            <w:tcW w:w="320" w:type="pct"/>
            <w:tcBorders>
              <w:top w:val="nil"/>
              <w:left w:val="nil"/>
              <w:bottom w:val="nil"/>
              <w:right w:val="nil"/>
            </w:tcBorders>
            <w:shd w:val="clear" w:color="auto" w:fill="auto"/>
            <w:noWrap/>
            <w:vAlign w:val="bottom"/>
            <w:hideMark/>
          </w:tcPr>
          <w:p w14:paraId="4067A28A" w14:textId="77777777" w:rsidR="008761C1" w:rsidRPr="00226892" w:rsidRDefault="008761C1" w:rsidP="008761C1">
            <w:pPr>
              <w:rPr>
                <w:rFonts w:ascii="Arial" w:eastAsia="Times New Roman" w:hAnsi="Arial" w:cs="Arial"/>
                <w:b/>
                <w:bCs/>
                <w:color w:val="000000"/>
                <w:sz w:val="18"/>
                <w:szCs w:val="18"/>
                <w:lang w:val="sk-SK" w:eastAsia="sk-SK"/>
              </w:rPr>
            </w:pPr>
          </w:p>
        </w:tc>
        <w:tc>
          <w:tcPr>
            <w:tcW w:w="102" w:type="pct"/>
            <w:tcBorders>
              <w:top w:val="nil"/>
              <w:left w:val="nil"/>
              <w:bottom w:val="nil"/>
              <w:right w:val="nil"/>
            </w:tcBorders>
            <w:shd w:val="clear" w:color="auto" w:fill="auto"/>
            <w:noWrap/>
            <w:vAlign w:val="bottom"/>
            <w:hideMark/>
          </w:tcPr>
          <w:p w14:paraId="62D34FB1" w14:textId="77777777" w:rsidR="008761C1" w:rsidRPr="00226892" w:rsidRDefault="008761C1" w:rsidP="008761C1">
            <w:pPr>
              <w:rPr>
                <w:rFonts w:ascii="Arial" w:eastAsia="Times New Roman" w:hAnsi="Arial" w:cs="Arial"/>
                <w:sz w:val="18"/>
                <w:szCs w:val="18"/>
                <w:lang w:val="sk-SK" w:eastAsia="sk-SK"/>
              </w:rPr>
            </w:pPr>
          </w:p>
        </w:tc>
        <w:tc>
          <w:tcPr>
            <w:tcW w:w="1002" w:type="pct"/>
            <w:tcBorders>
              <w:top w:val="single" w:sz="4" w:space="0" w:color="auto"/>
              <w:left w:val="nil"/>
              <w:bottom w:val="double" w:sz="6" w:space="0" w:color="auto"/>
              <w:right w:val="nil"/>
            </w:tcBorders>
            <w:shd w:val="clear" w:color="auto" w:fill="auto"/>
            <w:vAlign w:val="bottom"/>
          </w:tcPr>
          <w:p w14:paraId="5FA515B0" w14:textId="36AAFAF9" w:rsidR="008761C1" w:rsidRPr="00226892" w:rsidRDefault="00F450F3" w:rsidP="008761C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73 </w:t>
            </w:r>
            <w:r w:rsidR="007450FE" w:rsidRPr="00226892">
              <w:rPr>
                <w:rFonts w:ascii="Arial" w:eastAsia="Times New Roman" w:hAnsi="Arial" w:cs="Arial"/>
                <w:b/>
                <w:bCs/>
                <w:color w:val="000000"/>
                <w:sz w:val="18"/>
                <w:szCs w:val="18"/>
                <w:lang w:val="sk-SK" w:eastAsia="sk-SK"/>
              </w:rPr>
              <w:t>629</w:t>
            </w:r>
          </w:p>
        </w:tc>
        <w:tc>
          <w:tcPr>
            <w:tcW w:w="102" w:type="pct"/>
            <w:tcBorders>
              <w:top w:val="nil"/>
              <w:left w:val="nil"/>
              <w:bottom w:val="nil"/>
              <w:right w:val="nil"/>
            </w:tcBorders>
            <w:shd w:val="clear" w:color="auto" w:fill="auto"/>
            <w:vAlign w:val="bottom"/>
          </w:tcPr>
          <w:p w14:paraId="5B3DD95A" w14:textId="77777777" w:rsidR="008761C1" w:rsidRPr="00226892" w:rsidRDefault="008761C1" w:rsidP="008761C1">
            <w:pPr>
              <w:jc w:val="right"/>
              <w:rPr>
                <w:rFonts w:ascii="Arial" w:eastAsia="Times New Roman" w:hAnsi="Arial" w:cs="Arial"/>
                <w:b/>
                <w:bCs/>
                <w:color w:val="000000"/>
                <w:sz w:val="18"/>
                <w:szCs w:val="18"/>
                <w:lang w:val="sk-SK" w:eastAsia="sk-SK"/>
              </w:rPr>
            </w:pPr>
          </w:p>
        </w:tc>
        <w:tc>
          <w:tcPr>
            <w:tcW w:w="966" w:type="pct"/>
            <w:tcBorders>
              <w:top w:val="single" w:sz="4" w:space="0" w:color="auto"/>
              <w:left w:val="nil"/>
              <w:bottom w:val="double" w:sz="6" w:space="0" w:color="auto"/>
              <w:right w:val="nil"/>
            </w:tcBorders>
            <w:shd w:val="clear" w:color="auto" w:fill="auto"/>
            <w:vAlign w:val="bottom"/>
          </w:tcPr>
          <w:p w14:paraId="6EC8386B" w14:textId="1E66383C" w:rsidR="008761C1" w:rsidRPr="00226892" w:rsidRDefault="008761C1" w:rsidP="008761C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76 589</w:t>
            </w:r>
          </w:p>
        </w:tc>
      </w:tr>
      <w:tr w:rsidR="008761C1" w:rsidRPr="00226892" w14:paraId="0CE182FE" w14:textId="77777777" w:rsidTr="00096439">
        <w:trPr>
          <w:trHeight w:val="227"/>
        </w:trPr>
        <w:tc>
          <w:tcPr>
            <w:tcW w:w="2508" w:type="pct"/>
            <w:tcBorders>
              <w:top w:val="nil"/>
              <w:left w:val="nil"/>
              <w:bottom w:val="nil"/>
              <w:right w:val="nil"/>
            </w:tcBorders>
            <w:shd w:val="clear" w:color="auto" w:fill="auto"/>
            <w:noWrap/>
            <w:vAlign w:val="bottom"/>
            <w:hideMark/>
          </w:tcPr>
          <w:p w14:paraId="58A905C8" w14:textId="77777777" w:rsidR="008761C1" w:rsidRPr="00226892" w:rsidRDefault="008761C1" w:rsidP="008761C1">
            <w:pPr>
              <w:rPr>
                <w:rFonts w:ascii="Arial" w:eastAsia="Times New Roman" w:hAnsi="Arial" w:cs="Arial"/>
                <w:b/>
                <w:bCs/>
                <w:color w:val="000000"/>
                <w:sz w:val="18"/>
                <w:szCs w:val="18"/>
                <w:lang w:val="sk-SK" w:eastAsia="sk-SK"/>
              </w:rPr>
            </w:pPr>
          </w:p>
        </w:tc>
        <w:tc>
          <w:tcPr>
            <w:tcW w:w="320" w:type="pct"/>
            <w:tcBorders>
              <w:top w:val="nil"/>
              <w:left w:val="nil"/>
              <w:bottom w:val="nil"/>
              <w:right w:val="nil"/>
            </w:tcBorders>
            <w:shd w:val="clear" w:color="auto" w:fill="auto"/>
            <w:noWrap/>
            <w:vAlign w:val="bottom"/>
            <w:hideMark/>
          </w:tcPr>
          <w:p w14:paraId="674FBFE4" w14:textId="77777777" w:rsidR="008761C1" w:rsidRPr="00226892" w:rsidRDefault="008761C1" w:rsidP="008761C1">
            <w:pPr>
              <w:rPr>
                <w:rFonts w:ascii="Arial" w:eastAsia="Times New Roman" w:hAnsi="Arial" w:cs="Arial"/>
                <w:sz w:val="18"/>
                <w:szCs w:val="18"/>
                <w:lang w:val="sk-SK" w:eastAsia="sk-SK"/>
              </w:rPr>
            </w:pPr>
          </w:p>
        </w:tc>
        <w:tc>
          <w:tcPr>
            <w:tcW w:w="102" w:type="pct"/>
            <w:tcBorders>
              <w:top w:val="nil"/>
              <w:left w:val="nil"/>
              <w:bottom w:val="nil"/>
              <w:right w:val="nil"/>
            </w:tcBorders>
            <w:shd w:val="clear" w:color="auto" w:fill="auto"/>
            <w:noWrap/>
            <w:vAlign w:val="bottom"/>
            <w:hideMark/>
          </w:tcPr>
          <w:p w14:paraId="79817FCA" w14:textId="77777777" w:rsidR="008761C1" w:rsidRPr="00226892" w:rsidRDefault="008761C1" w:rsidP="008761C1">
            <w:pPr>
              <w:rPr>
                <w:rFonts w:ascii="Arial" w:eastAsia="Times New Roman" w:hAnsi="Arial" w:cs="Arial"/>
                <w:sz w:val="18"/>
                <w:szCs w:val="18"/>
                <w:lang w:val="sk-SK" w:eastAsia="sk-SK"/>
              </w:rPr>
            </w:pPr>
          </w:p>
        </w:tc>
        <w:tc>
          <w:tcPr>
            <w:tcW w:w="1002" w:type="pct"/>
            <w:tcBorders>
              <w:top w:val="nil"/>
              <w:left w:val="nil"/>
              <w:bottom w:val="nil"/>
              <w:right w:val="nil"/>
            </w:tcBorders>
            <w:shd w:val="clear" w:color="auto" w:fill="auto"/>
            <w:noWrap/>
            <w:vAlign w:val="bottom"/>
          </w:tcPr>
          <w:p w14:paraId="78107326" w14:textId="77777777" w:rsidR="008761C1" w:rsidRPr="00226892" w:rsidRDefault="008761C1" w:rsidP="008761C1">
            <w:pPr>
              <w:jc w:val="right"/>
              <w:rPr>
                <w:rFonts w:ascii="Arial" w:eastAsia="Times New Roman" w:hAnsi="Arial" w:cs="Arial"/>
                <w:sz w:val="18"/>
                <w:szCs w:val="18"/>
                <w:lang w:val="sk-SK" w:eastAsia="sk-SK"/>
              </w:rPr>
            </w:pPr>
          </w:p>
        </w:tc>
        <w:tc>
          <w:tcPr>
            <w:tcW w:w="102" w:type="pct"/>
            <w:tcBorders>
              <w:top w:val="nil"/>
              <w:left w:val="nil"/>
              <w:bottom w:val="nil"/>
              <w:right w:val="nil"/>
            </w:tcBorders>
            <w:shd w:val="clear" w:color="auto" w:fill="auto"/>
            <w:noWrap/>
            <w:vAlign w:val="bottom"/>
          </w:tcPr>
          <w:p w14:paraId="2A1E61EE" w14:textId="77777777" w:rsidR="008761C1" w:rsidRPr="00226892" w:rsidRDefault="008761C1" w:rsidP="008761C1">
            <w:pPr>
              <w:jc w:val="right"/>
              <w:rPr>
                <w:rFonts w:ascii="Arial" w:eastAsia="Times New Roman" w:hAnsi="Arial" w:cs="Arial"/>
                <w:sz w:val="18"/>
                <w:szCs w:val="18"/>
                <w:lang w:val="sk-SK" w:eastAsia="sk-SK"/>
              </w:rPr>
            </w:pPr>
          </w:p>
        </w:tc>
        <w:tc>
          <w:tcPr>
            <w:tcW w:w="966" w:type="pct"/>
            <w:tcBorders>
              <w:top w:val="nil"/>
              <w:left w:val="nil"/>
              <w:bottom w:val="nil"/>
              <w:right w:val="nil"/>
            </w:tcBorders>
            <w:shd w:val="clear" w:color="auto" w:fill="auto"/>
            <w:noWrap/>
            <w:vAlign w:val="bottom"/>
          </w:tcPr>
          <w:p w14:paraId="6A9FBB4E" w14:textId="77777777" w:rsidR="008761C1" w:rsidRPr="00226892" w:rsidRDefault="008761C1" w:rsidP="008761C1">
            <w:pPr>
              <w:jc w:val="right"/>
              <w:rPr>
                <w:rFonts w:ascii="Arial" w:eastAsia="Times New Roman" w:hAnsi="Arial" w:cs="Arial"/>
                <w:sz w:val="18"/>
                <w:szCs w:val="18"/>
                <w:lang w:val="sk-SK" w:eastAsia="sk-SK"/>
              </w:rPr>
            </w:pPr>
          </w:p>
        </w:tc>
      </w:tr>
      <w:tr w:rsidR="008761C1" w:rsidRPr="00226892" w14:paraId="31597E06" w14:textId="77777777" w:rsidTr="00096439">
        <w:trPr>
          <w:trHeight w:val="227"/>
        </w:trPr>
        <w:tc>
          <w:tcPr>
            <w:tcW w:w="2508" w:type="pct"/>
            <w:tcBorders>
              <w:top w:val="nil"/>
              <w:left w:val="nil"/>
              <w:bottom w:val="nil"/>
              <w:right w:val="nil"/>
            </w:tcBorders>
            <w:shd w:val="clear" w:color="auto" w:fill="auto"/>
            <w:noWrap/>
            <w:vAlign w:val="bottom"/>
            <w:hideMark/>
          </w:tcPr>
          <w:p w14:paraId="426B1414" w14:textId="77777777" w:rsidR="008761C1" w:rsidRPr="00226892" w:rsidRDefault="008761C1" w:rsidP="008761C1">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Obežný majetok</w:t>
            </w:r>
          </w:p>
        </w:tc>
        <w:tc>
          <w:tcPr>
            <w:tcW w:w="320" w:type="pct"/>
            <w:tcBorders>
              <w:top w:val="nil"/>
              <w:left w:val="nil"/>
              <w:bottom w:val="nil"/>
              <w:right w:val="nil"/>
            </w:tcBorders>
            <w:shd w:val="clear" w:color="auto" w:fill="auto"/>
            <w:noWrap/>
            <w:vAlign w:val="bottom"/>
            <w:hideMark/>
          </w:tcPr>
          <w:p w14:paraId="20EE19E3" w14:textId="77777777" w:rsidR="008761C1" w:rsidRPr="00226892" w:rsidRDefault="008761C1" w:rsidP="008761C1">
            <w:pPr>
              <w:rPr>
                <w:rFonts w:ascii="Arial" w:eastAsia="Times New Roman" w:hAnsi="Arial" w:cs="Arial"/>
                <w:b/>
                <w:bCs/>
                <w:color w:val="000000"/>
                <w:sz w:val="18"/>
                <w:szCs w:val="18"/>
                <w:lang w:val="sk-SK" w:eastAsia="sk-SK"/>
              </w:rPr>
            </w:pPr>
          </w:p>
        </w:tc>
        <w:tc>
          <w:tcPr>
            <w:tcW w:w="102" w:type="pct"/>
            <w:tcBorders>
              <w:top w:val="nil"/>
              <w:left w:val="nil"/>
              <w:bottom w:val="nil"/>
              <w:right w:val="nil"/>
            </w:tcBorders>
            <w:shd w:val="clear" w:color="auto" w:fill="auto"/>
            <w:noWrap/>
            <w:vAlign w:val="bottom"/>
            <w:hideMark/>
          </w:tcPr>
          <w:p w14:paraId="6963CC0A" w14:textId="77777777" w:rsidR="008761C1" w:rsidRPr="00226892" w:rsidRDefault="008761C1" w:rsidP="008761C1">
            <w:pPr>
              <w:rPr>
                <w:rFonts w:ascii="Arial" w:eastAsia="Times New Roman" w:hAnsi="Arial" w:cs="Arial"/>
                <w:sz w:val="18"/>
                <w:szCs w:val="18"/>
                <w:lang w:val="sk-SK" w:eastAsia="sk-SK"/>
              </w:rPr>
            </w:pPr>
          </w:p>
        </w:tc>
        <w:tc>
          <w:tcPr>
            <w:tcW w:w="1002" w:type="pct"/>
            <w:tcBorders>
              <w:top w:val="nil"/>
              <w:left w:val="nil"/>
              <w:bottom w:val="nil"/>
              <w:right w:val="nil"/>
            </w:tcBorders>
            <w:shd w:val="clear" w:color="auto" w:fill="auto"/>
            <w:vAlign w:val="bottom"/>
          </w:tcPr>
          <w:p w14:paraId="34978CC7" w14:textId="77777777" w:rsidR="008761C1" w:rsidRPr="00226892" w:rsidRDefault="008761C1" w:rsidP="008761C1">
            <w:pPr>
              <w:jc w:val="right"/>
              <w:rPr>
                <w:rFonts w:ascii="Arial" w:eastAsia="Times New Roman" w:hAnsi="Arial" w:cs="Arial"/>
                <w:sz w:val="18"/>
                <w:szCs w:val="18"/>
                <w:lang w:val="sk-SK" w:eastAsia="sk-SK"/>
              </w:rPr>
            </w:pPr>
          </w:p>
        </w:tc>
        <w:tc>
          <w:tcPr>
            <w:tcW w:w="102" w:type="pct"/>
            <w:tcBorders>
              <w:top w:val="nil"/>
              <w:left w:val="nil"/>
              <w:bottom w:val="nil"/>
              <w:right w:val="nil"/>
            </w:tcBorders>
            <w:shd w:val="clear" w:color="auto" w:fill="auto"/>
            <w:vAlign w:val="bottom"/>
          </w:tcPr>
          <w:p w14:paraId="35006C69" w14:textId="77777777" w:rsidR="008761C1" w:rsidRPr="00226892" w:rsidRDefault="008761C1" w:rsidP="008761C1">
            <w:pPr>
              <w:jc w:val="right"/>
              <w:rPr>
                <w:rFonts w:ascii="Arial" w:eastAsia="Times New Roman" w:hAnsi="Arial" w:cs="Arial"/>
                <w:sz w:val="18"/>
                <w:szCs w:val="18"/>
                <w:lang w:val="sk-SK" w:eastAsia="sk-SK"/>
              </w:rPr>
            </w:pPr>
          </w:p>
        </w:tc>
        <w:tc>
          <w:tcPr>
            <w:tcW w:w="966" w:type="pct"/>
            <w:tcBorders>
              <w:top w:val="nil"/>
              <w:left w:val="nil"/>
              <w:bottom w:val="nil"/>
              <w:right w:val="nil"/>
            </w:tcBorders>
            <w:shd w:val="clear" w:color="auto" w:fill="auto"/>
            <w:vAlign w:val="bottom"/>
          </w:tcPr>
          <w:p w14:paraId="6C4BC1DF" w14:textId="77777777" w:rsidR="008761C1" w:rsidRPr="00226892" w:rsidRDefault="008761C1" w:rsidP="008761C1">
            <w:pPr>
              <w:jc w:val="right"/>
              <w:rPr>
                <w:rFonts w:ascii="Arial" w:eastAsia="Times New Roman" w:hAnsi="Arial" w:cs="Arial"/>
                <w:sz w:val="18"/>
                <w:szCs w:val="18"/>
                <w:lang w:val="sk-SK" w:eastAsia="sk-SK"/>
              </w:rPr>
            </w:pPr>
          </w:p>
        </w:tc>
      </w:tr>
      <w:tr w:rsidR="008761C1" w:rsidRPr="00226892" w14:paraId="0C923589" w14:textId="77777777" w:rsidTr="00096439">
        <w:trPr>
          <w:trHeight w:val="227"/>
        </w:trPr>
        <w:tc>
          <w:tcPr>
            <w:tcW w:w="2508" w:type="pct"/>
            <w:tcBorders>
              <w:top w:val="nil"/>
              <w:left w:val="nil"/>
              <w:bottom w:val="nil"/>
              <w:right w:val="nil"/>
            </w:tcBorders>
            <w:shd w:val="clear" w:color="auto" w:fill="auto"/>
            <w:noWrap/>
            <w:vAlign w:val="bottom"/>
            <w:hideMark/>
          </w:tcPr>
          <w:p w14:paraId="51448951" w14:textId="77777777" w:rsidR="008761C1" w:rsidRPr="00226892" w:rsidRDefault="008761C1" w:rsidP="008761C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Zásoby</w:t>
            </w:r>
          </w:p>
        </w:tc>
        <w:tc>
          <w:tcPr>
            <w:tcW w:w="320" w:type="pct"/>
            <w:tcBorders>
              <w:top w:val="nil"/>
              <w:left w:val="nil"/>
              <w:bottom w:val="nil"/>
              <w:right w:val="nil"/>
            </w:tcBorders>
            <w:shd w:val="clear" w:color="auto" w:fill="auto"/>
            <w:noWrap/>
            <w:vAlign w:val="bottom"/>
            <w:hideMark/>
          </w:tcPr>
          <w:p w14:paraId="4D54B9CC" w14:textId="4A8ED5D9" w:rsidR="008761C1" w:rsidRPr="00226892" w:rsidRDefault="008761C1" w:rsidP="008761C1">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w:t>
            </w:r>
            <w:r w:rsidR="0049047A" w:rsidRPr="00226892">
              <w:rPr>
                <w:rFonts w:ascii="Arial" w:eastAsia="Times New Roman" w:hAnsi="Arial" w:cs="Arial"/>
                <w:color w:val="000000"/>
                <w:sz w:val="18"/>
                <w:szCs w:val="18"/>
                <w:lang w:val="sk-SK" w:eastAsia="sk-SK"/>
              </w:rPr>
              <w:t>2</w:t>
            </w:r>
          </w:p>
        </w:tc>
        <w:tc>
          <w:tcPr>
            <w:tcW w:w="102" w:type="pct"/>
            <w:tcBorders>
              <w:top w:val="nil"/>
              <w:left w:val="nil"/>
              <w:bottom w:val="nil"/>
              <w:right w:val="nil"/>
            </w:tcBorders>
            <w:shd w:val="clear" w:color="auto" w:fill="auto"/>
            <w:noWrap/>
            <w:vAlign w:val="bottom"/>
            <w:hideMark/>
          </w:tcPr>
          <w:p w14:paraId="4668AAFD" w14:textId="77777777" w:rsidR="008761C1" w:rsidRPr="00226892" w:rsidRDefault="008761C1" w:rsidP="008761C1">
            <w:pPr>
              <w:jc w:val="center"/>
              <w:rPr>
                <w:rFonts w:ascii="Arial" w:eastAsia="Times New Roman" w:hAnsi="Arial" w:cs="Arial"/>
                <w:color w:val="000000"/>
                <w:sz w:val="18"/>
                <w:szCs w:val="18"/>
                <w:lang w:val="sk-SK" w:eastAsia="sk-SK"/>
              </w:rPr>
            </w:pPr>
          </w:p>
        </w:tc>
        <w:tc>
          <w:tcPr>
            <w:tcW w:w="1002" w:type="pct"/>
            <w:tcBorders>
              <w:top w:val="nil"/>
              <w:left w:val="nil"/>
              <w:bottom w:val="nil"/>
              <w:right w:val="nil"/>
            </w:tcBorders>
            <w:shd w:val="clear" w:color="auto" w:fill="auto"/>
            <w:vAlign w:val="bottom"/>
          </w:tcPr>
          <w:p w14:paraId="38748A9F" w14:textId="10052FA9"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19 </w:t>
            </w:r>
            <w:r w:rsidR="00667206" w:rsidRPr="00226892">
              <w:rPr>
                <w:rFonts w:ascii="Arial" w:eastAsia="Times New Roman" w:hAnsi="Arial" w:cs="Arial"/>
                <w:color w:val="000000"/>
                <w:sz w:val="18"/>
                <w:szCs w:val="18"/>
                <w:lang w:val="sk-SK" w:eastAsia="sk-SK"/>
              </w:rPr>
              <w:t>818</w:t>
            </w:r>
          </w:p>
        </w:tc>
        <w:tc>
          <w:tcPr>
            <w:tcW w:w="102" w:type="pct"/>
            <w:tcBorders>
              <w:top w:val="nil"/>
              <w:left w:val="nil"/>
              <w:bottom w:val="nil"/>
              <w:right w:val="nil"/>
            </w:tcBorders>
            <w:shd w:val="clear" w:color="auto" w:fill="auto"/>
            <w:vAlign w:val="bottom"/>
          </w:tcPr>
          <w:p w14:paraId="69F6C003" w14:textId="77777777" w:rsidR="008761C1" w:rsidRPr="00226892" w:rsidRDefault="008761C1" w:rsidP="008761C1">
            <w:pPr>
              <w:jc w:val="right"/>
              <w:rPr>
                <w:rFonts w:ascii="Arial" w:eastAsia="Times New Roman" w:hAnsi="Arial" w:cs="Arial"/>
                <w:color w:val="000000"/>
                <w:sz w:val="18"/>
                <w:szCs w:val="18"/>
                <w:lang w:val="sk-SK" w:eastAsia="sk-SK"/>
              </w:rPr>
            </w:pPr>
          </w:p>
        </w:tc>
        <w:tc>
          <w:tcPr>
            <w:tcW w:w="966" w:type="pct"/>
            <w:tcBorders>
              <w:top w:val="nil"/>
              <w:left w:val="nil"/>
              <w:bottom w:val="nil"/>
              <w:right w:val="nil"/>
            </w:tcBorders>
            <w:shd w:val="clear" w:color="auto" w:fill="auto"/>
            <w:vAlign w:val="bottom"/>
          </w:tcPr>
          <w:p w14:paraId="3A313385" w14:textId="48570E69"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32 916</w:t>
            </w:r>
          </w:p>
        </w:tc>
      </w:tr>
      <w:tr w:rsidR="008761C1" w:rsidRPr="00226892" w14:paraId="52E8997F" w14:textId="77777777" w:rsidTr="00096439">
        <w:trPr>
          <w:trHeight w:val="227"/>
        </w:trPr>
        <w:tc>
          <w:tcPr>
            <w:tcW w:w="2508" w:type="pct"/>
            <w:tcBorders>
              <w:top w:val="nil"/>
              <w:left w:val="nil"/>
              <w:bottom w:val="nil"/>
              <w:right w:val="nil"/>
            </w:tcBorders>
            <w:shd w:val="clear" w:color="auto" w:fill="auto"/>
            <w:noWrap/>
            <w:vAlign w:val="bottom"/>
            <w:hideMark/>
          </w:tcPr>
          <w:p w14:paraId="3AFDF22C" w14:textId="2CD4A3B8" w:rsidR="008761C1" w:rsidRPr="00226892" w:rsidRDefault="008761C1" w:rsidP="008761C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Poskytnuté pôžičky</w:t>
            </w:r>
          </w:p>
        </w:tc>
        <w:tc>
          <w:tcPr>
            <w:tcW w:w="320" w:type="pct"/>
            <w:tcBorders>
              <w:top w:val="nil"/>
              <w:left w:val="nil"/>
              <w:bottom w:val="nil"/>
              <w:right w:val="nil"/>
            </w:tcBorders>
            <w:shd w:val="clear" w:color="auto" w:fill="auto"/>
            <w:noWrap/>
            <w:vAlign w:val="bottom"/>
            <w:hideMark/>
          </w:tcPr>
          <w:p w14:paraId="3B4066EA" w14:textId="23EFB36F" w:rsidR="008761C1" w:rsidRPr="00226892" w:rsidRDefault="008761C1" w:rsidP="008761C1">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10</w:t>
            </w:r>
          </w:p>
        </w:tc>
        <w:tc>
          <w:tcPr>
            <w:tcW w:w="102" w:type="pct"/>
            <w:tcBorders>
              <w:top w:val="nil"/>
              <w:left w:val="nil"/>
              <w:bottom w:val="nil"/>
              <w:right w:val="nil"/>
            </w:tcBorders>
            <w:shd w:val="clear" w:color="auto" w:fill="auto"/>
            <w:noWrap/>
            <w:vAlign w:val="bottom"/>
            <w:hideMark/>
          </w:tcPr>
          <w:p w14:paraId="30B8EC2F" w14:textId="77777777" w:rsidR="008761C1" w:rsidRPr="00226892" w:rsidRDefault="008761C1" w:rsidP="008761C1">
            <w:pPr>
              <w:jc w:val="center"/>
              <w:rPr>
                <w:rFonts w:ascii="Arial" w:eastAsia="Times New Roman" w:hAnsi="Arial" w:cs="Arial"/>
                <w:color w:val="000000"/>
                <w:sz w:val="18"/>
                <w:szCs w:val="18"/>
                <w:lang w:val="sk-SK" w:eastAsia="sk-SK"/>
              </w:rPr>
            </w:pPr>
          </w:p>
        </w:tc>
        <w:tc>
          <w:tcPr>
            <w:tcW w:w="1002" w:type="pct"/>
            <w:tcBorders>
              <w:top w:val="nil"/>
              <w:left w:val="nil"/>
              <w:bottom w:val="nil"/>
              <w:right w:val="nil"/>
            </w:tcBorders>
            <w:shd w:val="clear" w:color="auto" w:fill="auto"/>
            <w:vAlign w:val="bottom"/>
          </w:tcPr>
          <w:p w14:paraId="4149A45C" w14:textId="4ED0B606"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470</w:t>
            </w:r>
          </w:p>
        </w:tc>
        <w:tc>
          <w:tcPr>
            <w:tcW w:w="102" w:type="pct"/>
            <w:tcBorders>
              <w:top w:val="nil"/>
              <w:left w:val="nil"/>
              <w:bottom w:val="nil"/>
              <w:right w:val="nil"/>
            </w:tcBorders>
            <w:shd w:val="clear" w:color="auto" w:fill="auto"/>
            <w:vAlign w:val="bottom"/>
          </w:tcPr>
          <w:p w14:paraId="41333CBB" w14:textId="77777777" w:rsidR="008761C1" w:rsidRPr="00226892" w:rsidRDefault="008761C1" w:rsidP="008761C1">
            <w:pPr>
              <w:jc w:val="right"/>
              <w:rPr>
                <w:rFonts w:ascii="Arial" w:eastAsia="Times New Roman" w:hAnsi="Arial" w:cs="Arial"/>
                <w:color w:val="000000"/>
                <w:sz w:val="18"/>
                <w:szCs w:val="18"/>
                <w:lang w:val="sk-SK" w:eastAsia="sk-SK"/>
              </w:rPr>
            </w:pPr>
          </w:p>
        </w:tc>
        <w:tc>
          <w:tcPr>
            <w:tcW w:w="966" w:type="pct"/>
            <w:tcBorders>
              <w:top w:val="nil"/>
              <w:left w:val="nil"/>
              <w:bottom w:val="nil"/>
              <w:right w:val="nil"/>
            </w:tcBorders>
            <w:shd w:val="clear" w:color="auto" w:fill="auto"/>
            <w:vAlign w:val="bottom"/>
          </w:tcPr>
          <w:p w14:paraId="65ADAD92" w14:textId="37E3E2E4"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370</w:t>
            </w:r>
          </w:p>
        </w:tc>
      </w:tr>
      <w:tr w:rsidR="008761C1" w:rsidRPr="00226892" w14:paraId="60756D59" w14:textId="77777777" w:rsidTr="00096439">
        <w:trPr>
          <w:trHeight w:val="227"/>
        </w:trPr>
        <w:tc>
          <w:tcPr>
            <w:tcW w:w="2508" w:type="pct"/>
            <w:tcBorders>
              <w:top w:val="nil"/>
              <w:left w:val="nil"/>
              <w:bottom w:val="nil"/>
              <w:right w:val="nil"/>
            </w:tcBorders>
            <w:shd w:val="clear" w:color="auto" w:fill="auto"/>
            <w:noWrap/>
            <w:vAlign w:val="bottom"/>
            <w:hideMark/>
          </w:tcPr>
          <w:p w14:paraId="19A54DBA" w14:textId="77777777" w:rsidR="008761C1" w:rsidRPr="00226892" w:rsidRDefault="008761C1" w:rsidP="008761C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Pohľadávky z obchodného styku a iné pohľadávky</w:t>
            </w:r>
          </w:p>
        </w:tc>
        <w:tc>
          <w:tcPr>
            <w:tcW w:w="320" w:type="pct"/>
            <w:tcBorders>
              <w:top w:val="nil"/>
              <w:left w:val="nil"/>
              <w:bottom w:val="nil"/>
              <w:right w:val="nil"/>
            </w:tcBorders>
            <w:shd w:val="clear" w:color="auto" w:fill="auto"/>
            <w:noWrap/>
            <w:vAlign w:val="bottom"/>
            <w:hideMark/>
          </w:tcPr>
          <w:p w14:paraId="75A3909D" w14:textId="0C69E386" w:rsidR="008761C1" w:rsidRPr="00226892" w:rsidRDefault="008761C1" w:rsidP="008761C1">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10</w:t>
            </w:r>
          </w:p>
        </w:tc>
        <w:tc>
          <w:tcPr>
            <w:tcW w:w="102" w:type="pct"/>
            <w:tcBorders>
              <w:top w:val="nil"/>
              <w:left w:val="nil"/>
              <w:bottom w:val="nil"/>
              <w:right w:val="nil"/>
            </w:tcBorders>
            <w:shd w:val="clear" w:color="auto" w:fill="auto"/>
            <w:noWrap/>
            <w:vAlign w:val="bottom"/>
            <w:hideMark/>
          </w:tcPr>
          <w:p w14:paraId="1EEFD225" w14:textId="77777777" w:rsidR="008761C1" w:rsidRPr="00226892" w:rsidRDefault="008761C1" w:rsidP="008761C1">
            <w:pPr>
              <w:jc w:val="center"/>
              <w:rPr>
                <w:rFonts w:ascii="Arial" w:eastAsia="Times New Roman" w:hAnsi="Arial" w:cs="Arial"/>
                <w:color w:val="000000"/>
                <w:sz w:val="18"/>
                <w:szCs w:val="18"/>
                <w:lang w:val="sk-SK" w:eastAsia="sk-SK"/>
              </w:rPr>
            </w:pPr>
          </w:p>
        </w:tc>
        <w:tc>
          <w:tcPr>
            <w:tcW w:w="1002" w:type="pct"/>
            <w:tcBorders>
              <w:top w:val="nil"/>
              <w:left w:val="nil"/>
              <w:bottom w:val="nil"/>
              <w:right w:val="nil"/>
            </w:tcBorders>
            <w:shd w:val="clear" w:color="auto" w:fill="auto"/>
            <w:vAlign w:val="bottom"/>
          </w:tcPr>
          <w:p w14:paraId="715D99B3" w14:textId="16E5C02A"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24 9</w:t>
            </w:r>
            <w:r w:rsidR="007450FE" w:rsidRPr="00226892">
              <w:rPr>
                <w:rFonts w:ascii="Arial" w:eastAsia="Times New Roman" w:hAnsi="Arial" w:cs="Arial"/>
                <w:color w:val="000000"/>
                <w:sz w:val="18"/>
                <w:szCs w:val="18"/>
                <w:lang w:val="sk-SK" w:eastAsia="sk-SK"/>
              </w:rPr>
              <w:t>05</w:t>
            </w:r>
          </w:p>
        </w:tc>
        <w:tc>
          <w:tcPr>
            <w:tcW w:w="102" w:type="pct"/>
            <w:tcBorders>
              <w:top w:val="nil"/>
              <w:left w:val="nil"/>
              <w:bottom w:val="nil"/>
              <w:right w:val="nil"/>
            </w:tcBorders>
            <w:shd w:val="clear" w:color="auto" w:fill="auto"/>
            <w:vAlign w:val="bottom"/>
          </w:tcPr>
          <w:p w14:paraId="2EDE5413" w14:textId="77777777" w:rsidR="008761C1" w:rsidRPr="00226892" w:rsidRDefault="008761C1" w:rsidP="008761C1">
            <w:pPr>
              <w:jc w:val="right"/>
              <w:rPr>
                <w:rFonts w:ascii="Arial" w:eastAsia="Times New Roman" w:hAnsi="Arial" w:cs="Arial"/>
                <w:color w:val="000000"/>
                <w:sz w:val="18"/>
                <w:szCs w:val="18"/>
                <w:lang w:val="sk-SK" w:eastAsia="sk-SK"/>
              </w:rPr>
            </w:pPr>
          </w:p>
        </w:tc>
        <w:tc>
          <w:tcPr>
            <w:tcW w:w="966" w:type="pct"/>
            <w:tcBorders>
              <w:top w:val="nil"/>
              <w:left w:val="nil"/>
              <w:bottom w:val="nil"/>
              <w:right w:val="nil"/>
            </w:tcBorders>
            <w:shd w:val="clear" w:color="auto" w:fill="auto"/>
            <w:vAlign w:val="bottom"/>
          </w:tcPr>
          <w:p w14:paraId="224C340C" w14:textId="314372B2"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19 909</w:t>
            </w:r>
          </w:p>
        </w:tc>
      </w:tr>
      <w:tr w:rsidR="008761C1" w:rsidRPr="00226892" w14:paraId="6B273131" w14:textId="77777777" w:rsidTr="00096439">
        <w:trPr>
          <w:trHeight w:val="227"/>
        </w:trPr>
        <w:tc>
          <w:tcPr>
            <w:tcW w:w="2508" w:type="pct"/>
            <w:tcBorders>
              <w:top w:val="nil"/>
              <w:left w:val="nil"/>
              <w:bottom w:val="nil"/>
              <w:right w:val="nil"/>
            </w:tcBorders>
            <w:shd w:val="clear" w:color="auto" w:fill="auto"/>
            <w:noWrap/>
            <w:vAlign w:val="bottom"/>
            <w:hideMark/>
          </w:tcPr>
          <w:p w14:paraId="13F0E9FE" w14:textId="77777777" w:rsidR="008761C1" w:rsidRPr="00226892" w:rsidRDefault="008761C1" w:rsidP="008761C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Ostatný krátkodobý majetok</w:t>
            </w:r>
          </w:p>
        </w:tc>
        <w:tc>
          <w:tcPr>
            <w:tcW w:w="320" w:type="pct"/>
            <w:tcBorders>
              <w:top w:val="nil"/>
              <w:left w:val="nil"/>
              <w:bottom w:val="nil"/>
              <w:right w:val="nil"/>
            </w:tcBorders>
            <w:shd w:val="clear" w:color="auto" w:fill="auto"/>
            <w:noWrap/>
            <w:vAlign w:val="bottom"/>
            <w:hideMark/>
          </w:tcPr>
          <w:p w14:paraId="1C4D7604" w14:textId="1D2A501C" w:rsidR="008761C1" w:rsidRPr="00226892" w:rsidRDefault="008761C1" w:rsidP="008761C1">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w:t>
            </w:r>
            <w:r w:rsidR="0049047A" w:rsidRPr="00226892">
              <w:rPr>
                <w:rFonts w:ascii="Arial" w:eastAsia="Times New Roman" w:hAnsi="Arial" w:cs="Arial"/>
                <w:color w:val="000000"/>
                <w:sz w:val="18"/>
                <w:szCs w:val="18"/>
                <w:lang w:val="sk-SK" w:eastAsia="sk-SK"/>
              </w:rPr>
              <w:t>1</w:t>
            </w:r>
          </w:p>
        </w:tc>
        <w:tc>
          <w:tcPr>
            <w:tcW w:w="102" w:type="pct"/>
            <w:tcBorders>
              <w:top w:val="nil"/>
              <w:left w:val="nil"/>
              <w:bottom w:val="nil"/>
              <w:right w:val="nil"/>
            </w:tcBorders>
            <w:shd w:val="clear" w:color="auto" w:fill="auto"/>
            <w:noWrap/>
            <w:vAlign w:val="bottom"/>
            <w:hideMark/>
          </w:tcPr>
          <w:p w14:paraId="62B52888" w14:textId="77777777" w:rsidR="008761C1" w:rsidRPr="00226892" w:rsidRDefault="008761C1" w:rsidP="008761C1">
            <w:pPr>
              <w:jc w:val="center"/>
              <w:rPr>
                <w:rFonts w:ascii="Arial" w:eastAsia="Times New Roman" w:hAnsi="Arial" w:cs="Arial"/>
                <w:color w:val="000000"/>
                <w:sz w:val="18"/>
                <w:szCs w:val="18"/>
                <w:lang w:val="sk-SK" w:eastAsia="sk-SK"/>
              </w:rPr>
            </w:pPr>
          </w:p>
        </w:tc>
        <w:tc>
          <w:tcPr>
            <w:tcW w:w="1002" w:type="pct"/>
            <w:tcBorders>
              <w:top w:val="nil"/>
              <w:left w:val="nil"/>
              <w:bottom w:val="nil"/>
              <w:right w:val="nil"/>
            </w:tcBorders>
            <w:shd w:val="clear" w:color="auto" w:fill="auto"/>
            <w:vAlign w:val="bottom"/>
          </w:tcPr>
          <w:p w14:paraId="5AE0C245" w14:textId="0393D6E2" w:rsidR="008761C1" w:rsidRPr="00226892" w:rsidRDefault="0021511B"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1 257</w:t>
            </w:r>
          </w:p>
        </w:tc>
        <w:tc>
          <w:tcPr>
            <w:tcW w:w="102" w:type="pct"/>
            <w:tcBorders>
              <w:top w:val="nil"/>
              <w:left w:val="nil"/>
              <w:bottom w:val="nil"/>
              <w:right w:val="nil"/>
            </w:tcBorders>
            <w:shd w:val="clear" w:color="auto" w:fill="auto"/>
            <w:vAlign w:val="bottom"/>
          </w:tcPr>
          <w:p w14:paraId="7B89BB3D" w14:textId="77777777" w:rsidR="008761C1" w:rsidRPr="00226892" w:rsidRDefault="008761C1" w:rsidP="008761C1">
            <w:pPr>
              <w:jc w:val="right"/>
              <w:rPr>
                <w:rFonts w:ascii="Arial" w:eastAsia="Times New Roman" w:hAnsi="Arial" w:cs="Arial"/>
                <w:color w:val="000000"/>
                <w:sz w:val="18"/>
                <w:szCs w:val="18"/>
                <w:lang w:val="sk-SK" w:eastAsia="sk-SK"/>
              </w:rPr>
            </w:pPr>
          </w:p>
        </w:tc>
        <w:tc>
          <w:tcPr>
            <w:tcW w:w="966" w:type="pct"/>
            <w:tcBorders>
              <w:top w:val="nil"/>
              <w:left w:val="nil"/>
              <w:bottom w:val="nil"/>
              <w:right w:val="nil"/>
            </w:tcBorders>
            <w:shd w:val="clear" w:color="auto" w:fill="auto"/>
            <w:vAlign w:val="bottom"/>
          </w:tcPr>
          <w:p w14:paraId="6DE0FBC2" w14:textId="59A742C3"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8 794</w:t>
            </w:r>
          </w:p>
        </w:tc>
      </w:tr>
      <w:tr w:rsidR="008761C1" w:rsidRPr="00226892" w14:paraId="26B62B8B" w14:textId="77777777" w:rsidTr="00096439">
        <w:trPr>
          <w:trHeight w:val="227"/>
        </w:trPr>
        <w:tc>
          <w:tcPr>
            <w:tcW w:w="2508" w:type="pct"/>
            <w:tcBorders>
              <w:top w:val="nil"/>
              <w:left w:val="nil"/>
              <w:bottom w:val="nil"/>
              <w:right w:val="nil"/>
            </w:tcBorders>
            <w:shd w:val="clear" w:color="auto" w:fill="auto"/>
            <w:noWrap/>
            <w:vAlign w:val="bottom"/>
            <w:hideMark/>
          </w:tcPr>
          <w:p w14:paraId="59971E68" w14:textId="33985B0C" w:rsidR="008761C1" w:rsidRPr="00226892" w:rsidRDefault="008761C1" w:rsidP="008761C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Pohľadávky z dane z príjmov</w:t>
            </w:r>
          </w:p>
        </w:tc>
        <w:tc>
          <w:tcPr>
            <w:tcW w:w="320" w:type="pct"/>
            <w:tcBorders>
              <w:top w:val="nil"/>
              <w:left w:val="nil"/>
              <w:bottom w:val="nil"/>
              <w:right w:val="nil"/>
            </w:tcBorders>
            <w:shd w:val="clear" w:color="auto" w:fill="auto"/>
            <w:noWrap/>
            <w:vAlign w:val="bottom"/>
            <w:hideMark/>
          </w:tcPr>
          <w:p w14:paraId="1576747E" w14:textId="77777777" w:rsidR="008761C1" w:rsidRPr="00226892" w:rsidRDefault="008761C1" w:rsidP="008761C1">
            <w:pPr>
              <w:rPr>
                <w:rFonts w:ascii="Arial" w:eastAsia="Times New Roman" w:hAnsi="Arial" w:cs="Arial"/>
                <w:color w:val="000000"/>
                <w:sz w:val="18"/>
                <w:szCs w:val="18"/>
                <w:lang w:val="sk-SK" w:eastAsia="sk-SK"/>
              </w:rPr>
            </w:pPr>
          </w:p>
        </w:tc>
        <w:tc>
          <w:tcPr>
            <w:tcW w:w="102" w:type="pct"/>
            <w:tcBorders>
              <w:top w:val="nil"/>
              <w:left w:val="nil"/>
              <w:bottom w:val="nil"/>
              <w:right w:val="nil"/>
            </w:tcBorders>
            <w:shd w:val="clear" w:color="auto" w:fill="auto"/>
            <w:noWrap/>
            <w:vAlign w:val="bottom"/>
            <w:hideMark/>
          </w:tcPr>
          <w:p w14:paraId="7C5FD126" w14:textId="77777777" w:rsidR="008761C1" w:rsidRPr="00226892" w:rsidRDefault="008761C1" w:rsidP="008761C1">
            <w:pPr>
              <w:jc w:val="center"/>
              <w:rPr>
                <w:rFonts w:ascii="Arial" w:eastAsia="Times New Roman" w:hAnsi="Arial" w:cs="Arial"/>
                <w:sz w:val="18"/>
                <w:szCs w:val="18"/>
                <w:lang w:val="sk-SK" w:eastAsia="sk-SK"/>
              </w:rPr>
            </w:pPr>
          </w:p>
        </w:tc>
        <w:tc>
          <w:tcPr>
            <w:tcW w:w="1002" w:type="pct"/>
            <w:tcBorders>
              <w:top w:val="nil"/>
              <w:left w:val="nil"/>
              <w:bottom w:val="nil"/>
              <w:right w:val="nil"/>
            </w:tcBorders>
            <w:shd w:val="clear" w:color="auto" w:fill="auto"/>
            <w:vAlign w:val="bottom"/>
          </w:tcPr>
          <w:p w14:paraId="02E794AC" w14:textId="00B9288E"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02" w:type="pct"/>
            <w:tcBorders>
              <w:top w:val="nil"/>
              <w:left w:val="nil"/>
              <w:bottom w:val="nil"/>
              <w:right w:val="nil"/>
            </w:tcBorders>
            <w:shd w:val="clear" w:color="auto" w:fill="auto"/>
            <w:vAlign w:val="bottom"/>
          </w:tcPr>
          <w:p w14:paraId="093F3353" w14:textId="77777777" w:rsidR="008761C1" w:rsidRPr="00226892" w:rsidRDefault="008761C1" w:rsidP="008761C1">
            <w:pPr>
              <w:jc w:val="right"/>
              <w:rPr>
                <w:rFonts w:ascii="Arial" w:eastAsia="Times New Roman" w:hAnsi="Arial" w:cs="Arial"/>
                <w:color w:val="000000"/>
                <w:sz w:val="18"/>
                <w:szCs w:val="18"/>
                <w:lang w:val="sk-SK" w:eastAsia="sk-SK"/>
              </w:rPr>
            </w:pPr>
          </w:p>
        </w:tc>
        <w:tc>
          <w:tcPr>
            <w:tcW w:w="966" w:type="pct"/>
            <w:tcBorders>
              <w:top w:val="nil"/>
              <w:left w:val="nil"/>
              <w:bottom w:val="nil"/>
              <w:right w:val="nil"/>
            </w:tcBorders>
            <w:shd w:val="clear" w:color="auto" w:fill="auto"/>
            <w:vAlign w:val="bottom"/>
          </w:tcPr>
          <w:p w14:paraId="58A0AA68" w14:textId="5A5590C6"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413</w:t>
            </w:r>
          </w:p>
        </w:tc>
      </w:tr>
      <w:tr w:rsidR="008761C1" w:rsidRPr="00226892" w14:paraId="30BD1540" w14:textId="77777777" w:rsidTr="00096439">
        <w:trPr>
          <w:trHeight w:val="227"/>
        </w:trPr>
        <w:tc>
          <w:tcPr>
            <w:tcW w:w="2508" w:type="pct"/>
            <w:tcBorders>
              <w:top w:val="nil"/>
              <w:left w:val="nil"/>
              <w:bottom w:val="nil"/>
              <w:right w:val="nil"/>
            </w:tcBorders>
            <w:shd w:val="clear" w:color="auto" w:fill="auto"/>
            <w:noWrap/>
            <w:vAlign w:val="bottom"/>
            <w:hideMark/>
          </w:tcPr>
          <w:p w14:paraId="1D01D1C3" w14:textId="5069813A" w:rsidR="008761C1" w:rsidRPr="00226892" w:rsidRDefault="008761C1" w:rsidP="008761C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Peňažné prostriedky a peňažné ekvivalenty</w:t>
            </w:r>
          </w:p>
        </w:tc>
        <w:tc>
          <w:tcPr>
            <w:tcW w:w="320" w:type="pct"/>
            <w:tcBorders>
              <w:top w:val="nil"/>
              <w:left w:val="nil"/>
              <w:bottom w:val="nil"/>
              <w:right w:val="nil"/>
            </w:tcBorders>
            <w:shd w:val="clear" w:color="auto" w:fill="auto"/>
            <w:noWrap/>
            <w:vAlign w:val="bottom"/>
            <w:hideMark/>
          </w:tcPr>
          <w:p w14:paraId="69D8DC4F" w14:textId="47CE991C" w:rsidR="008761C1" w:rsidRPr="00226892" w:rsidRDefault="008761C1" w:rsidP="008761C1">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w:t>
            </w:r>
            <w:r w:rsidR="0049047A" w:rsidRPr="00226892">
              <w:rPr>
                <w:rFonts w:ascii="Arial" w:eastAsia="Times New Roman" w:hAnsi="Arial" w:cs="Arial"/>
                <w:color w:val="000000"/>
                <w:sz w:val="18"/>
                <w:szCs w:val="18"/>
                <w:lang w:val="sk-SK" w:eastAsia="sk-SK"/>
              </w:rPr>
              <w:t>3</w:t>
            </w:r>
          </w:p>
        </w:tc>
        <w:tc>
          <w:tcPr>
            <w:tcW w:w="102" w:type="pct"/>
            <w:tcBorders>
              <w:top w:val="nil"/>
              <w:left w:val="nil"/>
              <w:bottom w:val="nil"/>
              <w:right w:val="nil"/>
            </w:tcBorders>
            <w:shd w:val="clear" w:color="auto" w:fill="auto"/>
            <w:noWrap/>
            <w:vAlign w:val="bottom"/>
            <w:hideMark/>
          </w:tcPr>
          <w:p w14:paraId="3F88C4ED" w14:textId="77777777" w:rsidR="008761C1" w:rsidRPr="00226892" w:rsidRDefault="008761C1" w:rsidP="008761C1">
            <w:pPr>
              <w:jc w:val="center"/>
              <w:rPr>
                <w:rFonts w:ascii="Arial" w:eastAsia="Times New Roman" w:hAnsi="Arial" w:cs="Arial"/>
                <w:sz w:val="18"/>
                <w:szCs w:val="18"/>
                <w:lang w:val="sk-SK" w:eastAsia="sk-SK"/>
              </w:rPr>
            </w:pPr>
          </w:p>
        </w:tc>
        <w:tc>
          <w:tcPr>
            <w:tcW w:w="1002" w:type="pct"/>
            <w:tcBorders>
              <w:top w:val="nil"/>
              <w:left w:val="nil"/>
              <w:bottom w:val="nil"/>
              <w:right w:val="nil"/>
            </w:tcBorders>
            <w:shd w:val="clear" w:color="auto" w:fill="auto"/>
            <w:vAlign w:val="bottom"/>
          </w:tcPr>
          <w:p w14:paraId="7CF78618" w14:textId="1F9FD6D2"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9 606</w:t>
            </w:r>
          </w:p>
        </w:tc>
        <w:tc>
          <w:tcPr>
            <w:tcW w:w="102" w:type="pct"/>
            <w:tcBorders>
              <w:top w:val="nil"/>
              <w:left w:val="nil"/>
              <w:bottom w:val="nil"/>
              <w:right w:val="nil"/>
            </w:tcBorders>
            <w:shd w:val="clear" w:color="auto" w:fill="auto"/>
            <w:vAlign w:val="bottom"/>
          </w:tcPr>
          <w:p w14:paraId="3EE04A4B" w14:textId="77777777" w:rsidR="008761C1" w:rsidRPr="00226892" w:rsidRDefault="008761C1" w:rsidP="008761C1">
            <w:pPr>
              <w:jc w:val="right"/>
              <w:rPr>
                <w:rFonts w:ascii="Arial" w:eastAsia="Times New Roman" w:hAnsi="Arial" w:cs="Arial"/>
                <w:color w:val="000000"/>
                <w:sz w:val="18"/>
                <w:szCs w:val="18"/>
                <w:lang w:val="sk-SK" w:eastAsia="sk-SK"/>
              </w:rPr>
            </w:pPr>
          </w:p>
        </w:tc>
        <w:tc>
          <w:tcPr>
            <w:tcW w:w="966" w:type="pct"/>
            <w:tcBorders>
              <w:top w:val="nil"/>
              <w:left w:val="nil"/>
              <w:bottom w:val="nil"/>
              <w:right w:val="nil"/>
            </w:tcBorders>
            <w:shd w:val="clear" w:color="auto" w:fill="auto"/>
            <w:vAlign w:val="bottom"/>
          </w:tcPr>
          <w:p w14:paraId="3D8EF796" w14:textId="520101E4"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3 002</w:t>
            </w:r>
          </w:p>
        </w:tc>
      </w:tr>
      <w:tr w:rsidR="008761C1" w:rsidRPr="00226892" w14:paraId="2284074E" w14:textId="77777777" w:rsidTr="00096439">
        <w:trPr>
          <w:trHeight w:val="227"/>
        </w:trPr>
        <w:tc>
          <w:tcPr>
            <w:tcW w:w="2508" w:type="pct"/>
            <w:tcBorders>
              <w:top w:val="nil"/>
              <w:left w:val="nil"/>
              <w:bottom w:val="nil"/>
              <w:right w:val="nil"/>
            </w:tcBorders>
            <w:shd w:val="clear" w:color="auto" w:fill="auto"/>
            <w:noWrap/>
            <w:vAlign w:val="bottom"/>
            <w:hideMark/>
          </w:tcPr>
          <w:p w14:paraId="60E51755" w14:textId="77777777" w:rsidR="008761C1" w:rsidRPr="00226892" w:rsidRDefault="008761C1" w:rsidP="008761C1">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Obežný majetok spolu</w:t>
            </w:r>
          </w:p>
        </w:tc>
        <w:tc>
          <w:tcPr>
            <w:tcW w:w="320" w:type="pct"/>
            <w:tcBorders>
              <w:top w:val="nil"/>
              <w:left w:val="nil"/>
              <w:bottom w:val="nil"/>
              <w:right w:val="nil"/>
            </w:tcBorders>
            <w:shd w:val="clear" w:color="auto" w:fill="auto"/>
            <w:noWrap/>
            <w:vAlign w:val="bottom"/>
            <w:hideMark/>
          </w:tcPr>
          <w:p w14:paraId="4FBD04F9" w14:textId="77777777" w:rsidR="008761C1" w:rsidRPr="00226892" w:rsidRDefault="008761C1" w:rsidP="008761C1">
            <w:pPr>
              <w:rPr>
                <w:rFonts w:ascii="Arial" w:eastAsia="Times New Roman" w:hAnsi="Arial" w:cs="Arial"/>
                <w:b/>
                <w:bCs/>
                <w:color w:val="000000"/>
                <w:sz w:val="18"/>
                <w:szCs w:val="18"/>
                <w:lang w:val="sk-SK" w:eastAsia="sk-SK"/>
              </w:rPr>
            </w:pPr>
          </w:p>
        </w:tc>
        <w:tc>
          <w:tcPr>
            <w:tcW w:w="102" w:type="pct"/>
            <w:tcBorders>
              <w:top w:val="nil"/>
              <w:left w:val="nil"/>
              <w:bottom w:val="nil"/>
              <w:right w:val="nil"/>
            </w:tcBorders>
            <w:shd w:val="clear" w:color="auto" w:fill="auto"/>
            <w:noWrap/>
            <w:vAlign w:val="bottom"/>
            <w:hideMark/>
          </w:tcPr>
          <w:p w14:paraId="2174B048" w14:textId="77777777" w:rsidR="008761C1" w:rsidRPr="00226892" w:rsidRDefault="008761C1" w:rsidP="008761C1">
            <w:pPr>
              <w:rPr>
                <w:rFonts w:ascii="Arial" w:eastAsia="Times New Roman" w:hAnsi="Arial" w:cs="Arial"/>
                <w:sz w:val="18"/>
                <w:szCs w:val="18"/>
                <w:lang w:val="sk-SK" w:eastAsia="sk-SK"/>
              </w:rPr>
            </w:pPr>
          </w:p>
        </w:tc>
        <w:tc>
          <w:tcPr>
            <w:tcW w:w="1002" w:type="pct"/>
            <w:tcBorders>
              <w:top w:val="single" w:sz="4" w:space="0" w:color="auto"/>
              <w:left w:val="nil"/>
              <w:bottom w:val="double" w:sz="6" w:space="0" w:color="auto"/>
              <w:right w:val="nil"/>
            </w:tcBorders>
            <w:shd w:val="clear" w:color="auto" w:fill="auto"/>
            <w:vAlign w:val="bottom"/>
          </w:tcPr>
          <w:p w14:paraId="149B7C3F" w14:textId="2587C727" w:rsidR="008761C1" w:rsidRPr="00226892" w:rsidRDefault="008761C1" w:rsidP="008761C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5</w:t>
            </w:r>
            <w:r w:rsidR="0021511B" w:rsidRPr="00226892">
              <w:rPr>
                <w:rFonts w:ascii="Arial" w:eastAsia="Times New Roman" w:hAnsi="Arial" w:cs="Arial"/>
                <w:b/>
                <w:bCs/>
                <w:color w:val="000000"/>
                <w:sz w:val="18"/>
                <w:szCs w:val="18"/>
                <w:lang w:val="sk-SK" w:eastAsia="sk-SK"/>
              </w:rPr>
              <w:t xml:space="preserve">6 </w:t>
            </w:r>
            <w:r w:rsidR="007450FE" w:rsidRPr="00226892">
              <w:rPr>
                <w:rFonts w:ascii="Arial" w:eastAsia="Times New Roman" w:hAnsi="Arial" w:cs="Arial"/>
                <w:b/>
                <w:bCs/>
                <w:color w:val="000000"/>
                <w:sz w:val="18"/>
                <w:szCs w:val="18"/>
                <w:lang w:val="sk-SK" w:eastAsia="sk-SK"/>
              </w:rPr>
              <w:t>056</w:t>
            </w:r>
          </w:p>
        </w:tc>
        <w:tc>
          <w:tcPr>
            <w:tcW w:w="102" w:type="pct"/>
            <w:tcBorders>
              <w:top w:val="nil"/>
              <w:left w:val="nil"/>
              <w:bottom w:val="nil"/>
              <w:right w:val="nil"/>
            </w:tcBorders>
            <w:shd w:val="clear" w:color="auto" w:fill="auto"/>
            <w:vAlign w:val="bottom"/>
          </w:tcPr>
          <w:p w14:paraId="2BFA384E" w14:textId="77777777" w:rsidR="008761C1" w:rsidRPr="00226892" w:rsidRDefault="008761C1" w:rsidP="008761C1">
            <w:pPr>
              <w:jc w:val="right"/>
              <w:rPr>
                <w:rFonts w:ascii="Arial" w:eastAsia="Times New Roman" w:hAnsi="Arial" w:cs="Arial"/>
                <w:b/>
                <w:bCs/>
                <w:color w:val="000000"/>
                <w:sz w:val="18"/>
                <w:szCs w:val="18"/>
                <w:lang w:val="sk-SK" w:eastAsia="sk-SK"/>
              </w:rPr>
            </w:pPr>
          </w:p>
        </w:tc>
        <w:tc>
          <w:tcPr>
            <w:tcW w:w="966" w:type="pct"/>
            <w:tcBorders>
              <w:top w:val="single" w:sz="4" w:space="0" w:color="auto"/>
              <w:left w:val="nil"/>
              <w:bottom w:val="double" w:sz="6" w:space="0" w:color="auto"/>
              <w:right w:val="nil"/>
            </w:tcBorders>
            <w:shd w:val="clear" w:color="auto" w:fill="auto"/>
            <w:vAlign w:val="bottom"/>
          </w:tcPr>
          <w:p w14:paraId="394EE3C0" w14:textId="56EEFC8F" w:rsidR="008761C1" w:rsidRPr="00226892" w:rsidRDefault="008761C1" w:rsidP="008761C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65 404</w:t>
            </w:r>
          </w:p>
        </w:tc>
      </w:tr>
      <w:tr w:rsidR="008761C1" w:rsidRPr="00226892" w14:paraId="1BC69439" w14:textId="77777777" w:rsidTr="00096439">
        <w:trPr>
          <w:trHeight w:val="227"/>
        </w:trPr>
        <w:tc>
          <w:tcPr>
            <w:tcW w:w="2508" w:type="pct"/>
            <w:tcBorders>
              <w:top w:val="nil"/>
              <w:left w:val="nil"/>
              <w:bottom w:val="nil"/>
              <w:right w:val="nil"/>
            </w:tcBorders>
            <w:shd w:val="clear" w:color="auto" w:fill="auto"/>
            <w:noWrap/>
            <w:vAlign w:val="bottom"/>
            <w:hideMark/>
          </w:tcPr>
          <w:p w14:paraId="3E190AE9" w14:textId="77777777" w:rsidR="008761C1" w:rsidRPr="00226892" w:rsidRDefault="008761C1" w:rsidP="008761C1">
            <w:pPr>
              <w:rPr>
                <w:rFonts w:ascii="Arial" w:eastAsia="Times New Roman" w:hAnsi="Arial" w:cs="Arial"/>
                <w:b/>
                <w:bCs/>
                <w:color w:val="000000"/>
                <w:sz w:val="18"/>
                <w:szCs w:val="18"/>
                <w:lang w:val="sk-SK" w:eastAsia="sk-SK"/>
              </w:rPr>
            </w:pPr>
          </w:p>
        </w:tc>
        <w:tc>
          <w:tcPr>
            <w:tcW w:w="320" w:type="pct"/>
            <w:tcBorders>
              <w:top w:val="nil"/>
              <w:left w:val="nil"/>
              <w:bottom w:val="nil"/>
              <w:right w:val="nil"/>
            </w:tcBorders>
            <w:shd w:val="clear" w:color="auto" w:fill="auto"/>
            <w:noWrap/>
            <w:vAlign w:val="bottom"/>
            <w:hideMark/>
          </w:tcPr>
          <w:p w14:paraId="61C462BC" w14:textId="77777777" w:rsidR="008761C1" w:rsidRPr="00226892" w:rsidRDefault="008761C1" w:rsidP="008761C1">
            <w:pPr>
              <w:rPr>
                <w:rFonts w:ascii="Arial" w:eastAsia="Times New Roman" w:hAnsi="Arial" w:cs="Arial"/>
                <w:sz w:val="18"/>
                <w:szCs w:val="18"/>
                <w:lang w:val="sk-SK" w:eastAsia="sk-SK"/>
              </w:rPr>
            </w:pPr>
          </w:p>
        </w:tc>
        <w:tc>
          <w:tcPr>
            <w:tcW w:w="102" w:type="pct"/>
            <w:tcBorders>
              <w:top w:val="nil"/>
              <w:left w:val="nil"/>
              <w:bottom w:val="nil"/>
              <w:right w:val="nil"/>
            </w:tcBorders>
            <w:shd w:val="clear" w:color="auto" w:fill="auto"/>
            <w:noWrap/>
            <w:vAlign w:val="bottom"/>
            <w:hideMark/>
          </w:tcPr>
          <w:p w14:paraId="460CBB2F" w14:textId="77777777" w:rsidR="008761C1" w:rsidRPr="00226892" w:rsidRDefault="008761C1" w:rsidP="008761C1">
            <w:pPr>
              <w:rPr>
                <w:rFonts w:ascii="Arial" w:eastAsia="Times New Roman" w:hAnsi="Arial" w:cs="Arial"/>
                <w:sz w:val="18"/>
                <w:szCs w:val="18"/>
                <w:lang w:val="sk-SK" w:eastAsia="sk-SK"/>
              </w:rPr>
            </w:pPr>
          </w:p>
        </w:tc>
        <w:tc>
          <w:tcPr>
            <w:tcW w:w="1002" w:type="pct"/>
            <w:tcBorders>
              <w:top w:val="nil"/>
              <w:left w:val="nil"/>
              <w:bottom w:val="nil"/>
              <w:right w:val="nil"/>
            </w:tcBorders>
            <w:shd w:val="clear" w:color="auto" w:fill="auto"/>
            <w:vAlign w:val="bottom"/>
          </w:tcPr>
          <w:p w14:paraId="7175E1B3" w14:textId="7A8F4409" w:rsidR="008761C1" w:rsidRPr="00226892" w:rsidRDefault="008761C1" w:rsidP="008761C1">
            <w:pPr>
              <w:jc w:val="right"/>
              <w:rPr>
                <w:rFonts w:ascii="Arial" w:eastAsia="Times New Roman" w:hAnsi="Arial" w:cs="Arial"/>
                <w:b/>
                <w:bCs/>
                <w:color w:val="000000"/>
                <w:sz w:val="18"/>
                <w:szCs w:val="18"/>
                <w:lang w:val="sk-SK" w:eastAsia="sk-SK"/>
              </w:rPr>
            </w:pPr>
          </w:p>
        </w:tc>
        <w:tc>
          <w:tcPr>
            <w:tcW w:w="102" w:type="pct"/>
            <w:tcBorders>
              <w:top w:val="double" w:sz="6" w:space="0" w:color="auto"/>
              <w:left w:val="nil"/>
              <w:bottom w:val="nil"/>
              <w:right w:val="nil"/>
            </w:tcBorders>
            <w:shd w:val="clear" w:color="auto" w:fill="auto"/>
            <w:vAlign w:val="bottom"/>
          </w:tcPr>
          <w:p w14:paraId="526071E2" w14:textId="1573123C" w:rsidR="008761C1" w:rsidRPr="00226892" w:rsidRDefault="008761C1" w:rsidP="008761C1">
            <w:pPr>
              <w:jc w:val="right"/>
              <w:rPr>
                <w:rFonts w:ascii="Arial" w:eastAsia="Times New Roman" w:hAnsi="Arial" w:cs="Arial"/>
                <w:b/>
                <w:bCs/>
                <w:color w:val="000000"/>
                <w:sz w:val="18"/>
                <w:szCs w:val="18"/>
                <w:lang w:val="sk-SK" w:eastAsia="sk-SK"/>
              </w:rPr>
            </w:pPr>
          </w:p>
        </w:tc>
        <w:tc>
          <w:tcPr>
            <w:tcW w:w="966" w:type="pct"/>
            <w:tcBorders>
              <w:top w:val="nil"/>
              <w:left w:val="nil"/>
              <w:bottom w:val="nil"/>
              <w:right w:val="nil"/>
            </w:tcBorders>
            <w:shd w:val="clear" w:color="auto" w:fill="auto"/>
            <w:vAlign w:val="bottom"/>
          </w:tcPr>
          <w:p w14:paraId="58FDCDA2" w14:textId="696CFEAD" w:rsidR="008761C1" w:rsidRPr="00226892" w:rsidRDefault="008761C1" w:rsidP="008761C1">
            <w:pPr>
              <w:jc w:val="right"/>
              <w:rPr>
                <w:rFonts w:ascii="Arial" w:eastAsia="Times New Roman" w:hAnsi="Arial" w:cs="Arial"/>
                <w:b/>
                <w:bCs/>
                <w:color w:val="000000"/>
                <w:sz w:val="18"/>
                <w:szCs w:val="18"/>
                <w:lang w:val="sk-SK" w:eastAsia="sk-SK"/>
              </w:rPr>
            </w:pPr>
          </w:p>
        </w:tc>
      </w:tr>
      <w:tr w:rsidR="008761C1" w:rsidRPr="00226892" w14:paraId="3802287C" w14:textId="77777777" w:rsidTr="00096439">
        <w:trPr>
          <w:trHeight w:val="227"/>
        </w:trPr>
        <w:tc>
          <w:tcPr>
            <w:tcW w:w="2508" w:type="pct"/>
            <w:tcBorders>
              <w:top w:val="nil"/>
              <w:left w:val="nil"/>
              <w:bottom w:val="nil"/>
              <w:right w:val="nil"/>
            </w:tcBorders>
            <w:shd w:val="clear" w:color="auto" w:fill="auto"/>
            <w:noWrap/>
            <w:vAlign w:val="bottom"/>
            <w:hideMark/>
          </w:tcPr>
          <w:p w14:paraId="2C31166A" w14:textId="77777777" w:rsidR="008761C1" w:rsidRPr="00226892" w:rsidRDefault="008761C1" w:rsidP="008761C1">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Aktíva spolu</w:t>
            </w:r>
          </w:p>
        </w:tc>
        <w:tc>
          <w:tcPr>
            <w:tcW w:w="320" w:type="pct"/>
            <w:tcBorders>
              <w:top w:val="nil"/>
              <w:left w:val="nil"/>
              <w:bottom w:val="nil"/>
              <w:right w:val="nil"/>
            </w:tcBorders>
            <w:shd w:val="clear" w:color="auto" w:fill="auto"/>
            <w:noWrap/>
            <w:vAlign w:val="bottom"/>
            <w:hideMark/>
          </w:tcPr>
          <w:p w14:paraId="7235B3D3" w14:textId="77777777" w:rsidR="008761C1" w:rsidRPr="00226892" w:rsidRDefault="008761C1" w:rsidP="008761C1">
            <w:pPr>
              <w:rPr>
                <w:rFonts w:ascii="Arial" w:eastAsia="Times New Roman" w:hAnsi="Arial" w:cs="Arial"/>
                <w:b/>
                <w:bCs/>
                <w:color w:val="000000"/>
                <w:sz w:val="18"/>
                <w:szCs w:val="18"/>
                <w:lang w:val="sk-SK" w:eastAsia="sk-SK"/>
              </w:rPr>
            </w:pPr>
          </w:p>
        </w:tc>
        <w:tc>
          <w:tcPr>
            <w:tcW w:w="102" w:type="pct"/>
            <w:tcBorders>
              <w:top w:val="nil"/>
              <w:left w:val="nil"/>
              <w:bottom w:val="nil"/>
              <w:right w:val="nil"/>
            </w:tcBorders>
            <w:shd w:val="clear" w:color="auto" w:fill="auto"/>
            <w:noWrap/>
            <w:vAlign w:val="bottom"/>
            <w:hideMark/>
          </w:tcPr>
          <w:p w14:paraId="1140A542" w14:textId="77777777" w:rsidR="008761C1" w:rsidRPr="00226892" w:rsidRDefault="008761C1" w:rsidP="008761C1">
            <w:pPr>
              <w:rPr>
                <w:rFonts w:ascii="Arial" w:eastAsia="Times New Roman" w:hAnsi="Arial" w:cs="Arial"/>
                <w:sz w:val="18"/>
                <w:szCs w:val="18"/>
                <w:lang w:val="sk-SK" w:eastAsia="sk-SK"/>
              </w:rPr>
            </w:pPr>
          </w:p>
        </w:tc>
        <w:tc>
          <w:tcPr>
            <w:tcW w:w="1002" w:type="pct"/>
            <w:tcBorders>
              <w:top w:val="nil"/>
              <w:left w:val="nil"/>
              <w:bottom w:val="double" w:sz="6" w:space="0" w:color="auto"/>
              <w:right w:val="nil"/>
            </w:tcBorders>
            <w:shd w:val="clear" w:color="auto" w:fill="auto"/>
            <w:vAlign w:val="bottom"/>
          </w:tcPr>
          <w:p w14:paraId="78109556" w14:textId="3C8CDD88" w:rsidR="008761C1" w:rsidRPr="00226892" w:rsidRDefault="008761C1" w:rsidP="008761C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12</w:t>
            </w:r>
            <w:r w:rsidR="0021511B" w:rsidRPr="00226892">
              <w:rPr>
                <w:rFonts w:ascii="Arial" w:eastAsia="Times New Roman" w:hAnsi="Arial" w:cs="Arial"/>
                <w:b/>
                <w:bCs/>
                <w:color w:val="000000"/>
                <w:sz w:val="18"/>
                <w:szCs w:val="18"/>
                <w:lang w:val="sk-SK" w:eastAsia="sk-SK"/>
              </w:rPr>
              <w:t xml:space="preserve">9 </w:t>
            </w:r>
            <w:r w:rsidR="007450FE" w:rsidRPr="00226892">
              <w:rPr>
                <w:rFonts w:ascii="Arial" w:eastAsia="Times New Roman" w:hAnsi="Arial" w:cs="Arial"/>
                <w:b/>
                <w:bCs/>
                <w:color w:val="000000"/>
                <w:sz w:val="18"/>
                <w:szCs w:val="18"/>
                <w:lang w:val="sk-SK" w:eastAsia="sk-SK"/>
              </w:rPr>
              <w:t>685</w:t>
            </w:r>
          </w:p>
        </w:tc>
        <w:tc>
          <w:tcPr>
            <w:tcW w:w="102" w:type="pct"/>
            <w:tcBorders>
              <w:top w:val="nil"/>
              <w:left w:val="nil"/>
              <w:bottom w:val="nil"/>
              <w:right w:val="nil"/>
            </w:tcBorders>
            <w:shd w:val="clear" w:color="auto" w:fill="auto"/>
            <w:vAlign w:val="bottom"/>
          </w:tcPr>
          <w:p w14:paraId="2F3E0592" w14:textId="77777777" w:rsidR="008761C1" w:rsidRPr="00226892" w:rsidRDefault="008761C1" w:rsidP="008761C1">
            <w:pPr>
              <w:jc w:val="right"/>
              <w:rPr>
                <w:rFonts w:ascii="Arial" w:eastAsia="Times New Roman" w:hAnsi="Arial" w:cs="Arial"/>
                <w:b/>
                <w:bCs/>
                <w:color w:val="000000"/>
                <w:sz w:val="18"/>
                <w:szCs w:val="18"/>
                <w:lang w:val="sk-SK" w:eastAsia="sk-SK"/>
              </w:rPr>
            </w:pPr>
          </w:p>
        </w:tc>
        <w:tc>
          <w:tcPr>
            <w:tcW w:w="966" w:type="pct"/>
            <w:tcBorders>
              <w:top w:val="nil"/>
              <w:left w:val="nil"/>
              <w:bottom w:val="double" w:sz="6" w:space="0" w:color="auto"/>
              <w:right w:val="nil"/>
            </w:tcBorders>
            <w:shd w:val="clear" w:color="auto" w:fill="auto"/>
            <w:vAlign w:val="bottom"/>
          </w:tcPr>
          <w:p w14:paraId="7968794B" w14:textId="41EFE888" w:rsidR="008761C1" w:rsidRPr="00226892" w:rsidRDefault="008761C1" w:rsidP="008761C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141 993</w:t>
            </w:r>
          </w:p>
        </w:tc>
      </w:tr>
      <w:tr w:rsidR="003524A6" w:rsidRPr="00226892" w14:paraId="3B347760" w14:textId="77777777" w:rsidTr="00096439">
        <w:trPr>
          <w:trHeight w:val="227"/>
        </w:trPr>
        <w:tc>
          <w:tcPr>
            <w:tcW w:w="2508" w:type="pct"/>
            <w:tcBorders>
              <w:top w:val="nil"/>
              <w:left w:val="nil"/>
              <w:bottom w:val="nil"/>
              <w:right w:val="nil"/>
            </w:tcBorders>
            <w:shd w:val="clear" w:color="auto" w:fill="auto"/>
            <w:noWrap/>
            <w:vAlign w:val="bottom"/>
            <w:hideMark/>
          </w:tcPr>
          <w:p w14:paraId="45D7E8CD" w14:textId="77777777" w:rsidR="00CF283F" w:rsidRPr="00226892" w:rsidRDefault="00CF283F" w:rsidP="00CF283F">
            <w:pPr>
              <w:rPr>
                <w:rFonts w:ascii="Arial" w:eastAsia="Times New Roman" w:hAnsi="Arial" w:cs="Arial"/>
                <w:b/>
                <w:bCs/>
                <w:color w:val="000000"/>
                <w:sz w:val="18"/>
                <w:szCs w:val="18"/>
                <w:lang w:val="sk-SK" w:eastAsia="sk-SK"/>
              </w:rPr>
            </w:pPr>
          </w:p>
        </w:tc>
        <w:tc>
          <w:tcPr>
            <w:tcW w:w="320" w:type="pct"/>
            <w:tcBorders>
              <w:top w:val="nil"/>
              <w:left w:val="nil"/>
              <w:bottom w:val="nil"/>
              <w:right w:val="nil"/>
            </w:tcBorders>
            <w:shd w:val="clear" w:color="auto" w:fill="auto"/>
            <w:noWrap/>
            <w:vAlign w:val="bottom"/>
            <w:hideMark/>
          </w:tcPr>
          <w:p w14:paraId="070ACC74" w14:textId="77777777" w:rsidR="00CF283F" w:rsidRPr="00226892" w:rsidRDefault="00CF283F" w:rsidP="00CF283F">
            <w:pPr>
              <w:rPr>
                <w:rFonts w:ascii="Arial" w:eastAsia="Times New Roman" w:hAnsi="Arial" w:cs="Arial"/>
                <w:sz w:val="18"/>
                <w:szCs w:val="18"/>
                <w:lang w:val="sk-SK" w:eastAsia="sk-SK"/>
              </w:rPr>
            </w:pPr>
          </w:p>
        </w:tc>
        <w:tc>
          <w:tcPr>
            <w:tcW w:w="102" w:type="pct"/>
            <w:tcBorders>
              <w:top w:val="nil"/>
              <w:left w:val="nil"/>
              <w:bottom w:val="nil"/>
              <w:right w:val="nil"/>
            </w:tcBorders>
            <w:shd w:val="clear" w:color="auto" w:fill="auto"/>
            <w:noWrap/>
            <w:vAlign w:val="bottom"/>
            <w:hideMark/>
          </w:tcPr>
          <w:p w14:paraId="445238A9" w14:textId="77777777" w:rsidR="00CF283F" w:rsidRPr="00226892" w:rsidRDefault="00CF283F" w:rsidP="00CF283F">
            <w:pPr>
              <w:rPr>
                <w:rFonts w:ascii="Arial" w:eastAsia="Times New Roman" w:hAnsi="Arial" w:cs="Arial"/>
                <w:sz w:val="18"/>
                <w:szCs w:val="18"/>
                <w:lang w:val="sk-SK" w:eastAsia="sk-SK"/>
              </w:rPr>
            </w:pPr>
          </w:p>
        </w:tc>
        <w:tc>
          <w:tcPr>
            <w:tcW w:w="1002" w:type="pct"/>
            <w:tcBorders>
              <w:top w:val="nil"/>
              <w:left w:val="nil"/>
              <w:bottom w:val="nil"/>
              <w:right w:val="nil"/>
            </w:tcBorders>
            <w:shd w:val="clear" w:color="auto" w:fill="auto"/>
            <w:vAlign w:val="bottom"/>
          </w:tcPr>
          <w:p w14:paraId="21547FEA" w14:textId="77777777" w:rsidR="00CF283F" w:rsidRPr="00226892" w:rsidRDefault="00CF283F" w:rsidP="00FD21B8">
            <w:pPr>
              <w:jc w:val="right"/>
              <w:rPr>
                <w:rFonts w:ascii="Arial" w:eastAsia="Times New Roman" w:hAnsi="Arial" w:cs="Arial"/>
                <w:sz w:val="18"/>
                <w:szCs w:val="18"/>
                <w:lang w:val="sk-SK" w:eastAsia="sk-SK"/>
              </w:rPr>
            </w:pPr>
          </w:p>
        </w:tc>
        <w:tc>
          <w:tcPr>
            <w:tcW w:w="102" w:type="pct"/>
            <w:tcBorders>
              <w:top w:val="nil"/>
              <w:left w:val="nil"/>
              <w:bottom w:val="nil"/>
              <w:right w:val="nil"/>
            </w:tcBorders>
            <w:shd w:val="clear" w:color="auto" w:fill="auto"/>
            <w:vAlign w:val="bottom"/>
          </w:tcPr>
          <w:p w14:paraId="41BC09A7" w14:textId="77777777" w:rsidR="00CF283F" w:rsidRPr="00226892" w:rsidRDefault="00CF283F" w:rsidP="00FD21B8">
            <w:pPr>
              <w:jc w:val="right"/>
              <w:rPr>
                <w:rFonts w:ascii="Arial" w:eastAsia="Times New Roman" w:hAnsi="Arial" w:cs="Arial"/>
                <w:sz w:val="18"/>
                <w:szCs w:val="18"/>
                <w:lang w:val="sk-SK" w:eastAsia="sk-SK"/>
              </w:rPr>
            </w:pPr>
          </w:p>
        </w:tc>
        <w:tc>
          <w:tcPr>
            <w:tcW w:w="966" w:type="pct"/>
            <w:tcBorders>
              <w:top w:val="nil"/>
              <w:left w:val="nil"/>
              <w:bottom w:val="nil"/>
              <w:right w:val="nil"/>
            </w:tcBorders>
            <w:shd w:val="clear" w:color="auto" w:fill="auto"/>
            <w:vAlign w:val="bottom"/>
          </w:tcPr>
          <w:p w14:paraId="65CB16BE" w14:textId="77777777" w:rsidR="00CF283F" w:rsidRPr="00226892" w:rsidRDefault="00CF283F" w:rsidP="00FD21B8">
            <w:pPr>
              <w:jc w:val="right"/>
              <w:rPr>
                <w:rFonts w:ascii="Arial" w:eastAsia="Times New Roman" w:hAnsi="Arial" w:cs="Arial"/>
                <w:sz w:val="18"/>
                <w:szCs w:val="18"/>
                <w:lang w:val="sk-SK" w:eastAsia="sk-SK"/>
              </w:rPr>
            </w:pPr>
          </w:p>
        </w:tc>
      </w:tr>
      <w:tr w:rsidR="003524A6" w:rsidRPr="00226892" w14:paraId="27CA5210" w14:textId="77777777" w:rsidTr="00096439">
        <w:trPr>
          <w:trHeight w:val="227"/>
        </w:trPr>
        <w:tc>
          <w:tcPr>
            <w:tcW w:w="2508" w:type="pct"/>
            <w:tcBorders>
              <w:top w:val="nil"/>
              <w:left w:val="nil"/>
              <w:bottom w:val="nil"/>
              <w:right w:val="nil"/>
            </w:tcBorders>
            <w:shd w:val="clear" w:color="auto" w:fill="auto"/>
            <w:noWrap/>
            <w:vAlign w:val="bottom"/>
            <w:hideMark/>
          </w:tcPr>
          <w:p w14:paraId="1D3CCB64" w14:textId="77777777" w:rsidR="00CF283F" w:rsidRPr="00226892" w:rsidRDefault="00CF283F" w:rsidP="00CF283F">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VLASTNÉ IMANIE</w:t>
            </w:r>
          </w:p>
          <w:p w14:paraId="66D47D7B" w14:textId="0125ABCF" w:rsidR="00096439" w:rsidRPr="00226892" w:rsidRDefault="00096439" w:rsidP="00CF283F">
            <w:pPr>
              <w:rPr>
                <w:rFonts w:ascii="Arial" w:eastAsia="Times New Roman" w:hAnsi="Arial" w:cs="Arial"/>
                <w:b/>
                <w:bCs/>
                <w:color w:val="000000"/>
                <w:sz w:val="18"/>
                <w:szCs w:val="18"/>
                <w:lang w:val="sk-SK" w:eastAsia="sk-SK"/>
              </w:rPr>
            </w:pPr>
          </w:p>
        </w:tc>
        <w:tc>
          <w:tcPr>
            <w:tcW w:w="320" w:type="pct"/>
            <w:tcBorders>
              <w:top w:val="nil"/>
              <w:left w:val="nil"/>
              <w:bottom w:val="nil"/>
              <w:right w:val="nil"/>
            </w:tcBorders>
            <w:shd w:val="clear" w:color="auto" w:fill="auto"/>
            <w:noWrap/>
            <w:vAlign w:val="bottom"/>
            <w:hideMark/>
          </w:tcPr>
          <w:p w14:paraId="00DECF33" w14:textId="77777777" w:rsidR="00CF283F" w:rsidRPr="00226892" w:rsidRDefault="00CF283F" w:rsidP="00CF283F">
            <w:pPr>
              <w:rPr>
                <w:rFonts w:ascii="Arial" w:eastAsia="Times New Roman" w:hAnsi="Arial" w:cs="Arial"/>
                <w:b/>
                <w:bCs/>
                <w:color w:val="000000"/>
                <w:sz w:val="18"/>
                <w:szCs w:val="18"/>
                <w:lang w:val="sk-SK" w:eastAsia="sk-SK"/>
              </w:rPr>
            </w:pPr>
          </w:p>
        </w:tc>
        <w:tc>
          <w:tcPr>
            <w:tcW w:w="102" w:type="pct"/>
            <w:tcBorders>
              <w:top w:val="nil"/>
              <w:left w:val="nil"/>
              <w:bottom w:val="nil"/>
              <w:right w:val="nil"/>
            </w:tcBorders>
            <w:shd w:val="clear" w:color="auto" w:fill="auto"/>
            <w:noWrap/>
            <w:vAlign w:val="bottom"/>
            <w:hideMark/>
          </w:tcPr>
          <w:p w14:paraId="7EBF8023" w14:textId="77777777" w:rsidR="00CF283F" w:rsidRPr="00226892" w:rsidRDefault="00CF283F" w:rsidP="00CF283F">
            <w:pPr>
              <w:rPr>
                <w:rFonts w:ascii="Arial" w:eastAsia="Times New Roman" w:hAnsi="Arial" w:cs="Arial"/>
                <w:sz w:val="18"/>
                <w:szCs w:val="18"/>
                <w:lang w:val="sk-SK" w:eastAsia="sk-SK"/>
              </w:rPr>
            </w:pPr>
          </w:p>
        </w:tc>
        <w:tc>
          <w:tcPr>
            <w:tcW w:w="1002" w:type="pct"/>
            <w:tcBorders>
              <w:top w:val="nil"/>
              <w:left w:val="nil"/>
              <w:bottom w:val="nil"/>
              <w:right w:val="nil"/>
            </w:tcBorders>
            <w:shd w:val="clear" w:color="auto" w:fill="auto"/>
            <w:vAlign w:val="bottom"/>
          </w:tcPr>
          <w:p w14:paraId="13A3A9CB" w14:textId="77777777" w:rsidR="00CF283F" w:rsidRPr="00226892" w:rsidRDefault="00CF283F" w:rsidP="00FD21B8">
            <w:pPr>
              <w:jc w:val="right"/>
              <w:rPr>
                <w:rFonts w:ascii="Arial" w:eastAsia="Times New Roman" w:hAnsi="Arial" w:cs="Arial"/>
                <w:sz w:val="18"/>
                <w:szCs w:val="18"/>
                <w:lang w:val="sk-SK" w:eastAsia="sk-SK"/>
              </w:rPr>
            </w:pPr>
          </w:p>
        </w:tc>
        <w:tc>
          <w:tcPr>
            <w:tcW w:w="102" w:type="pct"/>
            <w:tcBorders>
              <w:top w:val="nil"/>
              <w:left w:val="nil"/>
              <w:bottom w:val="nil"/>
              <w:right w:val="nil"/>
            </w:tcBorders>
            <w:shd w:val="clear" w:color="auto" w:fill="auto"/>
            <w:vAlign w:val="bottom"/>
          </w:tcPr>
          <w:p w14:paraId="08B57F21" w14:textId="77777777" w:rsidR="00CF283F" w:rsidRPr="00226892" w:rsidRDefault="00CF283F" w:rsidP="00FD21B8">
            <w:pPr>
              <w:jc w:val="right"/>
              <w:rPr>
                <w:rFonts w:ascii="Arial" w:eastAsia="Times New Roman" w:hAnsi="Arial" w:cs="Arial"/>
                <w:sz w:val="18"/>
                <w:szCs w:val="18"/>
                <w:lang w:val="sk-SK" w:eastAsia="sk-SK"/>
              </w:rPr>
            </w:pPr>
          </w:p>
        </w:tc>
        <w:tc>
          <w:tcPr>
            <w:tcW w:w="966" w:type="pct"/>
            <w:tcBorders>
              <w:top w:val="nil"/>
              <w:left w:val="nil"/>
              <w:bottom w:val="nil"/>
              <w:right w:val="nil"/>
            </w:tcBorders>
            <w:shd w:val="clear" w:color="auto" w:fill="auto"/>
            <w:vAlign w:val="bottom"/>
          </w:tcPr>
          <w:p w14:paraId="35DAD92D" w14:textId="77777777" w:rsidR="00CF283F" w:rsidRPr="00226892" w:rsidRDefault="00CF283F" w:rsidP="00FD21B8">
            <w:pPr>
              <w:jc w:val="right"/>
              <w:rPr>
                <w:rFonts w:ascii="Arial" w:eastAsia="Times New Roman" w:hAnsi="Arial" w:cs="Arial"/>
                <w:sz w:val="18"/>
                <w:szCs w:val="18"/>
                <w:lang w:val="sk-SK" w:eastAsia="sk-SK"/>
              </w:rPr>
            </w:pPr>
          </w:p>
        </w:tc>
      </w:tr>
      <w:tr w:rsidR="003524A6" w:rsidRPr="00226892" w14:paraId="3FB0CC54" w14:textId="77777777" w:rsidTr="00096439">
        <w:trPr>
          <w:trHeight w:val="227"/>
        </w:trPr>
        <w:tc>
          <w:tcPr>
            <w:tcW w:w="2508" w:type="pct"/>
            <w:tcBorders>
              <w:top w:val="nil"/>
              <w:left w:val="nil"/>
              <w:bottom w:val="nil"/>
              <w:right w:val="nil"/>
            </w:tcBorders>
            <w:shd w:val="clear" w:color="auto" w:fill="auto"/>
            <w:vAlign w:val="bottom"/>
            <w:hideMark/>
          </w:tcPr>
          <w:p w14:paraId="17BB0AEE" w14:textId="77777777" w:rsidR="00CF283F" w:rsidRPr="00226892" w:rsidRDefault="00CF283F" w:rsidP="00CF283F">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Kapitál a fondy vlastníkov podielov v materskej Spoločnosti</w:t>
            </w:r>
          </w:p>
        </w:tc>
        <w:tc>
          <w:tcPr>
            <w:tcW w:w="320" w:type="pct"/>
            <w:tcBorders>
              <w:top w:val="nil"/>
              <w:left w:val="nil"/>
              <w:bottom w:val="nil"/>
              <w:right w:val="nil"/>
            </w:tcBorders>
            <w:shd w:val="clear" w:color="auto" w:fill="auto"/>
            <w:vAlign w:val="bottom"/>
            <w:hideMark/>
          </w:tcPr>
          <w:p w14:paraId="7D9EFB23" w14:textId="77777777" w:rsidR="00CF283F" w:rsidRPr="00226892" w:rsidRDefault="00CF283F" w:rsidP="00CF283F">
            <w:pPr>
              <w:rPr>
                <w:rFonts w:ascii="Arial" w:eastAsia="Times New Roman" w:hAnsi="Arial" w:cs="Arial"/>
                <w:b/>
                <w:bCs/>
                <w:color w:val="000000"/>
                <w:sz w:val="18"/>
                <w:szCs w:val="18"/>
                <w:lang w:val="sk-SK" w:eastAsia="sk-SK"/>
              </w:rPr>
            </w:pPr>
          </w:p>
        </w:tc>
        <w:tc>
          <w:tcPr>
            <w:tcW w:w="102" w:type="pct"/>
            <w:tcBorders>
              <w:top w:val="nil"/>
              <w:left w:val="nil"/>
              <w:bottom w:val="nil"/>
              <w:right w:val="nil"/>
            </w:tcBorders>
            <w:shd w:val="clear" w:color="auto" w:fill="auto"/>
            <w:noWrap/>
            <w:vAlign w:val="bottom"/>
            <w:hideMark/>
          </w:tcPr>
          <w:p w14:paraId="57157423" w14:textId="77777777" w:rsidR="00CF283F" w:rsidRPr="00226892" w:rsidRDefault="00CF283F" w:rsidP="00CF283F">
            <w:pPr>
              <w:rPr>
                <w:rFonts w:ascii="Arial" w:eastAsia="Times New Roman" w:hAnsi="Arial" w:cs="Arial"/>
                <w:sz w:val="18"/>
                <w:szCs w:val="18"/>
                <w:lang w:val="sk-SK" w:eastAsia="sk-SK"/>
              </w:rPr>
            </w:pPr>
          </w:p>
        </w:tc>
        <w:tc>
          <w:tcPr>
            <w:tcW w:w="1002" w:type="pct"/>
            <w:tcBorders>
              <w:top w:val="nil"/>
              <w:left w:val="nil"/>
              <w:bottom w:val="nil"/>
              <w:right w:val="nil"/>
            </w:tcBorders>
            <w:shd w:val="clear" w:color="auto" w:fill="auto"/>
            <w:vAlign w:val="bottom"/>
          </w:tcPr>
          <w:p w14:paraId="6D153775" w14:textId="77777777" w:rsidR="00CF283F" w:rsidRPr="00226892" w:rsidRDefault="00CF283F" w:rsidP="00FD21B8">
            <w:pPr>
              <w:jc w:val="right"/>
              <w:rPr>
                <w:rFonts w:ascii="Arial" w:eastAsia="Times New Roman" w:hAnsi="Arial" w:cs="Arial"/>
                <w:sz w:val="18"/>
                <w:szCs w:val="18"/>
                <w:lang w:val="sk-SK" w:eastAsia="sk-SK"/>
              </w:rPr>
            </w:pPr>
          </w:p>
        </w:tc>
        <w:tc>
          <w:tcPr>
            <w:tcW w:w="102" w:type="pct"/>
            <w:tcBorders>
              <w:top w:val="nil"/>
              <w:left w:val="nil"/>
              <w:bottom w:val="nil"/>
              <w:right w:val="nil"/>
            </w:tcBorders>
            <w:shd w:val="clear" w:color="auto" w:fill="auto"/>
            <w:vAlign w:val="bottom"/>
          </w:tcPr>
          <w:p w14:paraId="61FD6E0D" w14:textId="77777777" w:rsidR="00CF283F" w:rsidRPr="00226892" w:rsidRDefault="00CF283F" w:rsidP="00FD21B8">
            <w:pPr>
              <w:jc w:val="right"/>
              <w:rPr>
                <w:rFonts w:ascii="Arial" w:eastAsia="Times New Roman" w:hAnsi="Arial" w:cs="Arial"/>
                <w:sz w:val="18"/>
                <w:szCs w:val="18"/>
                <w:lang w:val="sk-SK" w:eastAsia="sk-SK"/>
              </w:rPr>
            </w:pPr>
          </w:p>
        </w:tc>
        <w:tc>
          <w:tcPr>
            <w:tcW w:w="966" w:type="pct"/>
            <w:tcBorders>
              <w:top w:val="nil"/>
              <w:left w:val="nil"/>
              <w:bottom w:val="nil"/>
              <w:right w:val="nil"/>
            </w:tcBorders>
            <w:shd w:val="clear" w:color="auto" w:fill="auto"/>
            <w:vAlign w:val="bottom"/>
          </w:tcPr>
          <w:p w14:paraId="5273CDF3" w14:textId="77777777" w:rsidR="00CF283F" w:rsidRPr="00226892" w:rsidRDefault="00CF283F" w:rsidP="00FD21B8">
            <w:pPr>
              <w:jc w:val="right"/>
              <w:rPr>
                <w:rFonts w:ascii="Arial" w:eastAsia="Times New Roman" w:hAnsi="Arial" w:cs="Arial"/>
                <w:sz w:val="18"/>
                <w:szCs w:val="18"/>
                <w:lang w:val="sk-SK" w:eastAsia="sk-SK"/>
              </w:rPr>
            </w:pPr>
          </w:p>
        </w:tc>
      </w:tr>
      <w:tr w:rsidR="008761C1" w:rsidRPr="00226892" w14:paraId="03867040" w14:textId="77777777" w:rsidTr="00096439">
        <w:trPr>
          <w:trHeight w:val="227"/>
        </w:trPr>
        <w:tc>
          <w:tcPr>
            <w:tcW w:w="2508" w:type="pct"/>
            <w:tcBorders>
              <w:top w:val="nil"/>
              <w:left w:val="nil"/>
              <w:bottom w:val="nil"/>
              <w:right w:val="nil"/>
            </w:tcBorders>
            <w:shd w:val="clear" w:color="auto" w:fill="auto"/>
            <w:noWrap/>
            <w:vAlign w:val="bottom"/>
            <w:hideMark/>
          </w:tcPr>
          <w:p w14:paraId="7C9B7F50" w14:textId="77777777" w:rsidR="008761C1" w:rsidRPr="00226892" w:rsidRDefault="008761C1" w:rsidP="008761C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Základné imanie - nominálna hodnota</w:t>
            </w:r>
          </w:p>
        </w:tc>
        <w:tc>
          <w:tcPr>
            <w:tcW w:w="320" w:type="pct"/>
            <w:tcBorders>
              <w:top w:val="nil"/>
              <w:left w:val="nil"/>
              <w:bottom w:val="nil"/>
              <w:right w:val="nil"/>
            </w:tcBorders>
            <w:shd w:val="clear" w:color="auto" w:fill="auto"/>
            <w:noWrap/>
            <w:vAlign w:val="bottom"/>
            <w:hideMark/>
          </w:tcPr>
          <w:p w14:paraId="7470273B" w14:textId="0A1D2024" w:rsidR="008761C1" w:rsidRPr="00226892" w:rsidRDefault="008761C1" w:rsidP="008761C1">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w:t>
            </w:r>
            <w:r w:rsidR="0049047A" w:rsidRPr="00226892">
              <w:rPr>
                <w:rFonts w:ascii="Arial" w:eastAsia="Times New Roman" w:hAnsi="Arial" w:cs="Arial"/>
                <w:color w:val="000000"/>
                <w:sz w:val="18"/>
                <w:szCs w:val="18"/>
                <w:lang w:val="sk-SK" w:eastAsia="sk-SK"/>
              </w:rPr>
              <w:t>4</w:t>
            </w:r>
          </w:p>
        </w:tc>
        <w:tc>
          <w:tcPr>
            <w:tcW w:w="102" w:type="pct"/>
            <w:tcBorders>
              <w:top w:val="nil"/>
              <w:left w:val="nil"/>
              <w:bottom w:val="nil"/>
              <w:right w:val="nil"/>
            </w:tcBorders>
            <w:shd w:val="clear" w:color="auto" w:fill="auto"/>
            <w:noWrap/>
            <w:vAlign w:val="bottom"/>
            <w:hideMark/>
          </w:tcPr>
          <w:p w14:paraId="0D9DF65A" w14:textId="77777777" w:rsidR="008761C1" w:rsidRPr="00226892" w:rsidRDefault="008761C1" w:rsidP="008761C1">
            <w:pPr>
              <w:jc w:val="center"/>
              <w:rPr>
                <w:rFonts w:ascii="Arial" w:eastAsia="Times New Roman" w:hAnsi="Arial" w:cs="Arial"/>
                <w:color w:val="000000"/>
                <w:sz w:val="18"/>
                <w:szCs w:val="18"/>
                <w:lang w:val="sk-SK" w:eastAsia="sk-SK"/>
              </w:rPr>
            </w:pPr>
          </w:p>
        </w:tc>
        <w:tc>
          <w:tcPr>
            <w:tcW w:w="1002" w:type="pct"/>
            <w:tcBorders>
              <w:top w:val="nil"/>
              <w:left w:val="nil"/>
              <w:bottom w:val="nil"/>
              <w:right w:val="nil"/>
            </w:tcBorders>
            <w:shd w:val="clear" w:color="auto" w:fill="auto"/>
            <w:vAlign w:val="bottom"/>
          </w:tcPr>
          <w:p w14:paraId="00008E2D" w14:textId="7C8799FE"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20 448</w:t>
            </w:r>
          </w:p>
        </w:tc>
        <w:tc>
          <w:tcPr>
            <w:tcW w:w="102" w:type="pct"/>
            <w:tcBorders>
              <w:top w:val="nil"/>
              <w:left w:val="nil"/>
              <w:bottom w:val="nil"/>
              <w:right w:val="nil"/>
            </w:tcBorders>
            <w:shd w:val="clear" w:color="auto" w:fill="auto"/>
            <w:vAlign w:val="bottom"/>
          </w:tcPr>
          <w:p w14:paraId="305AFFA8" w14:textId="77777777" w:rsidR="008761C1" w:rsidRPr="00226892" w:rsidRDefault="008761C1" w:rsidP="008761C1">
            <w:pPr>
              <w:jc w:val="right"/>
              <w:rPr>
                <w:rFonts w:ascii="Arial" w:eastAsia="Times New Roman" w:hAnsi="Arial" w:cs="Arial"/>
                <w:color w:val="000000"/>
                <w:sz w:val="18"/>
                <w:szCs w:val="18"/>
                <w:lang w:val="sk-SK" w:eastAsia="sk-SK"/>
              </w:rPr>
            </w:pPr>
          </w:p>
        </w:tc>
        <w:tc>
          <w:tcPr>
            <w:tcW w:w="966" w:type="pct"/>
            <w:tcBorders>
              <w:top w:val="nil"/>
              <w:left w:val="nil"/>
              <w:bottom w:val="nil"/>
              <w:right w:val="nil"/>
            </w:tcBorders>
            <w:shd w:val="clear" w:color="auto" w:fill="auto"/>
            <w:vAlign w:val="bottom"/>
          </w:tcPr>
          <w:p w14:paraId="2E0EA96C" w14:textId="2BB87755"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20 448</w:t>
            </w:r>
          </w:p>
        </w:tc>
      </w:tr>
      <w:tr w:rsidR="008761C1" w:rsidRPr="00226892" w14:paraId="3538889B" w14:textId="77777777" w:rsidTr="00096439">
        <w:trPr>
          <w:trHeight w:val="227"/>
        </w:trPr>
        <w:tc>
          <w:tcPr>
            <w:tcW w:w="2508" w:type="pct"/>
            <w:tcBorders>
              <w:top w:val="nil"/>
              <w:left w:val="nil"/>
              <w:bottom w:val="nil"/>
              <w:right w:val="nil"/>
            </w:tcBorders>
            <w:shd w:val="clear" w:color="auto" w:fill="auto"/>
            <w:noWrap/>
            <w:vAlign w:val="bottom"/>
            <w:hideMark/>
          </w:tcPr>
          <w:p w14:paraId="578CFCD3" w14:textId="77777777" w:rsidR="008761C1" w:rsidRPr="00226892" w:rsidRDefault="008761C1" w:rsidP="008761C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Zákonný rezervný fond a ostatné fondy</w:t>
            </w:r>
          </w:p>
        </w:tc>
        <w:tc>
          <w:tcPr>
            <w:tcW w:w="320" w:type="pct"/>
            <w:tcBorders>
              <w:top w:val="nil"/>
              <w:left w:val="nil"/>
              <w:bottom w:val="nil"/>
              <w:right w:val="nil"/>
            </w:tcBorders>
            <w:shd w:val="clear" w:color="auto" w:fill="auto"/>
            <w:noWrap/>
            <w:vAlign w:val="bottom"/>
            <w:hideMark/>
          </w:tcPr>
          <w:p w14:paraId="56CBFF9F" w14:textId="0E63FC89" w:rsidR="008761C1" w:rsidRPr="00226892" w:rsidRDefault="008761C1" w:rsidP="008761C1">
            <w:pPr>
              <w:jc w:val="center"/>
              <w:rPr>
                <w:rFonts w:ascii="Arial" w:eastAsia="Times New Roman" w:hAnsi="Arial" w:cs="Arial"/>
                <w:color w:val="000000"/>
                <w:sz w:val="18"/>
                <w:szCs w:val="18"/>
                <w:lang w:val="sk-SK" w:eastAsia="sk-SK"/>
              </w:rPr>
            </w:pPr>
          </w:p>
        </w:tc>
        <w:tc>
          <w:tcPr>
            <w:tcW w:w="102" w:type="pct"/>
            <w:tcBorders>
              <w:top w:val="nil"/>
              <w:left w:val="nil"/>
              <w:bottom w:val="nil"/>
              <w:right w:val="nil"/>
            </w:tcBorders>
            <w:shd w:val="clear" w:color="auto" w:fill="auto"/>
            <w:noWrap/>
            <w:vAlign w:val="bottom"/>
            <w:hideMark/>
          </w:tcPr>
          <w:p w14:paraId="6B1A4FD9" w14:textId="77777777" w:rsidR="008761C1" w:rsidRPr="00226892" w:rsidRDefault="008761C1" w:rsidP="008761C1">
            <w:pPr>
              <w:jc w:val="center"/>
              <w:rPr>
                <w:rFonts w:ascii="Arial" w:eastAsia="Times New Roman" w:hAnsi="Arial" w:cs="Arial"/>
                <w:color w:val="000000"/>
                <w:sz w:val="18"/>
                <w:szCs w:val="18"/>
                <w:lang w:val="sk-SK" w:eastAsia="sk-SK"/>
              </w:rPr>
            </w:pPr>
          </w:p>
        </w:tc>
        <w:tc>
          <w:tcPr>
            <w:tcW w:w="1002" w:type="pct"/>
            <w:tcBorders>
              <w:top w:val="nil"/>
              <w:left w:val="nil"/>
              <w:bottom w:val="nil"/>
              <w:right w:val="nil"/>
            </w:tcBorders>
            <w:shd w:val="clear" w:color="auto" w:fill="auto"/>
            <w:vAlign w:val="bottom"/>
          </w:tcPr>
          <w:p w14:paraId="6B7636E8" w14:textId="28F8EB16"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3 </w:t>
            </w:r>
            <w:r w:rsidR="0021511B" w:rsidRPr="00226892">
              <w:rPr>
                <w:rFonts w:ascii="Arial" w:eastAsia="Times New Roman" w:hAnsi="Arial" w:cs="Arial"/>
                <w:color w:val="000000"/>
                <w:sz w:val="18"/>
                <w:szCs w:val="18"/>
                <w:lang w:val="sk-SK" w:eastAsia="sk-SK"/>
              </w:rPr>
              <w:t>5</w:t>
            </w:r>
            <w:r w:rsidR="0017639D">
              <w:rPr>
                <w:rFonts w:ascii="Arial" w:eastAsia="Times New Roman" w:hAnsi="Arial" w:cs="Arial"/>
                <w:color w:val="000000"/>
                <w:sz w:val="18"/>
                <w:szCs w:val="18"/>
                <w:lang w:val="sk-SK" w:eastAsia="sk-SK"/>
              </w:rPr>
              <w:t>39</w:t>
            </w:r>
          </w:p>
        </w:tc>
        <w:tc>
          <w:tcPr>
            <w:tcW w:w="102" w:type="pct"/>
            <w:tcBorders>
              <w:top w:val="nil"/>
              <w:left w:val="nil"/>
              <w:bottom w:val="nil"/>
              <w:right w:val="nil"/>
            </w:tcBorders>
            <w:shd w:val="clear" w:color="auto" w:fill="auto"/>
            <w:vAlign w:val="bottom"/>
          </w:tcPr>
          <w:p w14:paraId="312564E2" w14:textId="77777777" w:rsidR="008761C1" w:rsidRPr="00226892" w:rsidRDefault="008761C1" w:rsidP="008761C1">
            <w:pPr>
              <w:jc w:val="right"/>
              <w:rPr>
                <w:rFonts w:ascii="Arial" w:eastAsia="Times New Roman" w:hAnsi="Arial" w:cs="Arial"/>
                <w:color w:val="000000"/>
                <w:sz w:val="18"/>
                <w:szCs w:val="18"/>
                <w:lang w:val="sk-SK" w:eastAsia="sk-SK"/>
              </w:rPr>
            </w:pPr>
          </w:p>
        </w:tc>
        <w:tc>
          <w:tcPr>
            <w:tcW w:w="966" w:type="pct"/>
            <w:tcBorders>
              <w:top w:val="nil"/>
              <w:left w:val="nil"/>
              <w:bottom w:val="nil"/>
              <w:right w:val="nil"/>
            </w:tcBorders>
            <w:shd w:val="clear" w:color="auto" w:fill="auto"/>
            <w:vAlign w:val="bottom"/>
          </w:tcPr>
          <w:p w14:paraId="029BFCA9" w14:textId="5109202A"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3 </w:t>
            </w:r>
            <w:r w:rsidR="0017639D">
              <w:rPr>
                <w:rFonts w:ascii="Arial" w:eastAsia="Times New Roman" w:hAnsi="Arial" w:cs="Arial"/>
                <w:color w:val="000000"/>
                <w:sz w:val="18"/>
                <w:szCs w:val="18"/>
                <w:lang w:val="sk-SK" w:eastAsia="sk-SK"/>
              </w:rPr>
              <w:t>441</w:t>
            </w:r>
          </w:p>
        </w:tc>
      </w:tr>
      <w:tr w:rsidR="008761C1" w:rsidRPr="00226892" w14:paraId="7AA5BC82" w14:textId="77777777" w:rsidTr="00096439">
        <w:trPr>
          <w:trHeight w:val="227"/>
        </w:trPr>
        <w:tc>
          <w:tcPr>
            <w:tcW w:w="2508" w:type="pct"/>
            <w:tcBorders>
              <w:top w:val="nil"/>
              <w:left w:val="nil"/>
              <w:bottom w:val="nil"/>
              <w:right w:val="nil"/>
            </w:tcBorders>
            <w:shd w:val="clear" w:color="auto" w:fill="auto"/>
            <w:noWrap/>
            <w:vAlign w:val="bottom"/>
            <w:hideMark/>
          </w:tcPr>
          <w:p w14:paraId="54DD7867" w14:textId="77777777" w:rsidR="008761C1" w:rsidRPr="00226892" w:rsidRDefault="008761C1" w:rsidP="008761C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Nerozdelený zisk</w:t>
            </w:r>
          </w:p>
        </w:tc>
        <w:tc>
          <w:tcPr>
            <w:tcW w:w="320" w:type="pct"/>
            <w:tcBorders>
              <w:top w:val="nil"/>
              <w:left w:val="nil"/>
              <w:bottom w:val="nil"/>
              <w:right w:val="nil"/>
            </w:tcBorders>
            <w:shd w:val="clear" w:color="auto" w:fill="auto"/>
            <w:noWrap/>
            <w:vAlign w:val="bottom"/>
            <w:hideMark/>
          </w:tcPr>
          <w:p w14:paraId="4F60ECF2" w14:textId="77777777" w:rsidR="008761C1" w:rsidRPr="00226892" w:rsidRDefault="008761C1" w:rsidP="008761C1">
            <w:pPr>
              <w:rPr>
                <w:rFonts w:ascii="Arial" w:eastAsia="Times New Roman" w:hAnsi="Arial" w:cs="Arial"/>
                <w:color w:val="000000"/>
                <w:sz w:val="18"/>
                <w:szCs w:val="18"/>
                <w:lang w:val="sk-SK" w:eastAsia="sk-SK"/>
              </w:rPr>
            </w:pPr>
          </w:p>
        </w:tc>
        <w:tc>
          <w:tcPr>
            <w:tcW w:w="102" w:type="pct"/>
            <w:tcBorders>
              <w:top w:val="nil"/>
              <w:left w:val="nil"/>
              <w:bottom w:val="nil"/>
              <w:right w:val="nil"/>
            </w:tcBorders>
            <w:shd w:val="clear" w:color="auto" w:fill="auto"/>
            <w:noWrap/>
            <w:vAlign w:val="bottom"/>
            <w:hideMark/>
          </w:tcPr>
          <w:p w14:paraId="546EDE79" w14:textId="77777777" w:rsidR="008761C1" w:rsidRPr="00226892" w:rsidRDefault="008761C1" w:rsidP="008761C1">
            <w:pPr>
              <w:rPr>
                <w:rFonts w:ascii="Arial" w:eastAsia="Times New Roman" w:hAnsi="Arial" w:cs="Arial"/>
                <w:sz w:val="18"/>
                <w:szCs w:val="18"/>
                <w:lang w:val="sk-SK" w:eastAsia="sk-SK"/>
              </w:rPr>
            </w:pPr>
          </w:p>
        </w:tc>
        <w:tc>
          <w:tcPr>
            <w:tcW w:w="1002" w:type="pct"/>
            <w:tcBorders>
              <w:top w:val="nil"/>
              <w:left w:val="nil"/>
              <w:bottom w:val="nil"/>
              <w:right w:val="nil"/>
            </w:tcBorders>
            <w:shd w:val="clear" w:color="auto" w:fill="auto"/>
            <w:vAlign w:val="bottom"/>
          </w:tcPr>
          <w:p w14:paraId="3C59AAA3" w14:textId="0E913592" w:rsidR="00B700AF" w:rsidRPr="00226892" w:rsidRDefault="008761C1" w:rsidP="00B700AF">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w:t>
            </w:r>
            <w:r w:rsidR="007450FE" w:rsidRPr="00226892">
              <w:rPr>
                <w:rFonts w:ascii="Arial" w:eastAsia="Times New Roman" w:hAnsi="Arial" w:cs="Arial"/>
                <w:color w:val="000000"/>
                <w:sz w:val="18"/>
                <w:szCs w:val="18"/>
                <w:lang w:val="sk-SK" w:eastAsia="sk-SK"/>
              </w:rPr>
              <w:t>1 3</w:t>
            </w:r>
            <w:r w:rsidR="0017639D">
              <w:rPr>
                <w:rFonts w:ascii="Arial" w:eastAsia="Times New Roman" w:hAnsi="Arial" w:cs="Arial"/>
                <w:color w:val="000000"/>
                <w:sz w:val="18"/>
                <w:szCs w:val="18"/>
                <w:lang w:val="sk-SK" w:eastAsia="sk-SK"/>
              </w:rPr>
              <w:t>42</w:t>
            </w:r>
          </w:p>
        </w:tc>
        <w:tc>
          <w:tcPr>
            <w:tcW w:w="102" w:type="pct"/>
            <w:tcBorders>
              <w:top w:val="nil"/>
              <w:left w:val="nil"/>
              <w:bottom w:val="nil"/>
              <w:right w:val="nil"/>
            </w:tcBorders>
            <w:shd w:val="clear" w:color="auto" w:fill="auto"/>
            <w:vAlign w:val="bottom"/>
          </w:tcPr>
          <w:p w14:paraId="56F41185" w14:textId="77777777" w:rsidR="008761C1" w:rsidRPr="00226892" w:rsidRDefault="008761C1" w:rsidP="008761C1">
            <w:pPr>
              <w:jc w:val="right"/>
              <w:rPr>
                <w:rFonts w:ascii="Arial" w:eastAsia="Times New Roman" w:hAnsi="Arial" w:cs="Arial"/>
                <w:color w:val="000000"/>
                <w:sz w:val="18"/>
                <w:szCs w:val="18"/>
                <w:lang w:val="sk-SK" w:eastAsia="sk-SK"/>
              </w:rPr>
            </w:pPr>
          </w:p>
        </w:tc>
        <w:tc>
          <w:tcPr>
            <w:tcW w:w="966" w:type="pct"/>
            <w:tcBorders>
              <w:top w:val="nil"/>
              <w:left w:val="nil"/>
              <w:bottom w:val="nil"/>
              <w:right w:val="nil"/>
            </w:tcBorders>
            <w:shd w:val="clear" w:color="auto" w:fill="auto"/>
            <w:vAlign w:val="bottom"/>
          </w:tcPr>
          <w:p w14:paraId="6C510124" w14:textId="02D9EC57"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18 </w:t>
            </w:r>
            <w:r w:rsidR="0017639D">
              <w:rPr>
                <w:rFonts w:ascii="Arial" w:eastAsia="Times New Roman" w:hAnsi="Arial" w:cs="Arial"/>
                <w:color w:val="000000"/>
                <w:sz w:val="18"/>
                <w:szCs w:val="18"/>
                <w:lang w:val="sk-SK" w:eastAsia="sk-SK"/>
              </w:rPr>
              <w:t>502</w:t>
            </w:r>
          </w:p>
        </w:tc>
      </w:tr>
      <w:tr w:rsidR="008761C1" w:rsidRPr="00226892" w14:paraId="67561572" w14:textId="77777777" w:rsidTr="00096439">
        <w:trPr>
          <w:trHeight w:val="227"/>
        </w:trPr>
        <w:tc>
          <w:tcPr>
            <w:tcW w:w="2508" w:type="pct"/>
            <w:tcBorders>
              <w:top w:val="nil"/>
              <w:left w:val="nil"/>
              <w:bottom w:val="nil"/>
              <w:right w:val="nil"/>
            </w:tcBorders>
            <w:shd w:val="clear" w:color="auto" w:fill="auto"/>
            <w:vAlign w:val="bottom"/>
            <w:hideMark/>
          </w:tcPr>
          <w:p w14:paraId="433DBFF0" w14:textId="77777777" w:rsidR="008761C1" w:rsidRPr="00226892" w:rsidRDefault="008761C1" w:rsidP="008761C1">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Kapitál a fondy vlastníkov podielov v materskej Spoločnosti spolu</w:t>
            </w:r>
          </w:p>
        </w:tc>
        <w:tc>
          <w:tcPr>
            <w:tcW w:w="320" w:type="pct"/>
            <w:tcBorders>
              <w:top w:val="nil"/>
              <w:left w:val="nil"/>
              <w:bottom w:val="nil"/>
              <w:right w:val="nil"/>
            </w:tcBorders>
            <w:shd w:val="clear" w:color="auto" w:fill="auto"/>
            <w:vAlign w:val="bottom"/>
            <w:hideMark/>
          </w:tcPr>
          <w:p w14:paraId="32F925A4" w14:textId="77777777" w:rsidR="008761C1" w:rsidRPr="00226892" w:rsidRDefault="008761C1" w:rsidP="008761C1">
            <w:pPr>
              <w:rPr>
                <w:rFonts w:ascii="Arial" w:eastAsia="Times New Roman" w:hAnsi="Arial" w:cs="Arial"/>
                <w:b/>
                <w:bCs/>
                <w:color w:val="000000"/>
                <w:sz w:val="18"/>
                <w:szCs w:val="18"/>
                <w:lang w:val="sk-SK" w:eastAsia="sk-SK"/>
              </w:rPr>
            </w:pPr>
          </w:p>
        </w:tc>
        <w:tc>
          <w:tcPr>
            <w:tcW w:w="102" w:type="pct"/>
            <w:tcBorders>
              <w:top w:val="nil"/>
              <w:left w:val="nil"/>
              <w:bottom w:val="nil"/>
              <w:right w:val="nil"/>
            </w:tcBorders>
            <w:shd w:val="clear" w:color="auto" w:fill="auto"/>
            <w:noWrap/>
            <w:vAlign w:val="bottom"/>
            <w:hideMark/>
          </w:tcPr>
          <w:p w14:paraId="1B25DB0C" w14:textId="77777777" w:rsidR="008761C1" w:rsidRPr="00226892" w:rsidRDefault="008761C1" w:rsidP="008761C1">
            <w:pPr>
              <w:rPr>
                <w:rFonts w:ascii="Arial" w:eastAsia="Times New Roman" w:hAnsi="Arial" w:cs="Arial"/>
                <w:sz w:val="18"/>
                <w:szCs w:val="18"/>
                <w:lang w:val="sk-SK" w:eastAsia="sk-SK"/>
              </w:rPr>
            </w:pPr>
          </w:p>
        </w:tc>
        <w:tc>
          <w:tcPr>
            <w:tcW w:w="1002" w:type="pct"/>
            <w:tcBorders>
              <w:top w:val="single" w:sz="4" w:space="0" w:color="auto"/>
              <w:left w:val="nil"/>
              <w:bottom w:val="double" w:sz="6" w:space="0" w:color="auto"/>
              <w:right w:val="nil"/>
            </w:tcBorders>
            <w:shd w:val="clear" w:color="auto" w:fill="auto"/>
            <w:vAlign w:val="bottom"/>
          </w:tcPr>
          <w:p w14:paraId="1651265E" w14:textId="3C7E325E" w:rsidR="008761C1" w:rsidRPr="00226892" w:rsidRDefault="008761C1" w:rsidP="008761C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4</w:t>
            </w:r>
            <w:r w:rsidR="007450FE" w:rsidRPr="00226892">
              <w:rPr>
                <w:rFonts w:ascii="Arial" w:eastAsia="Times New Roman" w:hAnsi="Arial" w:cs="Arial"/>
                <w:b/>
                <w:bCs/>
                <w:color w:val="000000"/>
                <w:sz w:val="18"/>
                <w:szCs w:val="18"/>
                <w:lang w:val="sk-SK" w:eastAsia="sk-SK"/>
              </w:rPr>
              <w:t>5 329</w:t>
            </w:r>
          </w:p>
        </w:tc>
        <w:tc>
          <w:tcPr>
            <w:tcW w:w="102" w:type="pct"/>
            <w:tcBorders>
              <w:top w:val="nil"/>
              <w:left w:val="nil"/>
              <w:bottom w:val="nil"/>
              <w:right w:val="nil"/>
            </w:tcBorders>
            <w:shd w:val="clear" w:color="auto" w:fill="auto"/>
            <w:vAlign w:val="bottom"/>
          </w:tcPr>
          <w:p w14:paraId="423990CE" w14:textId="77777777" w:rsidR="008761C1" w:rsidRPr="00226892" w:rsidRDefault="008761C1" w:rsidP="008761C1">
            <w:pPr>
              <w:jc w:val="right"/>
              <w:rPr>
                <w:rFonts w:ascii="Arial" w:eastAsia="Times New Roman" w:hAnsi="Arial" w:cs="Arial"/>
                <w:b/>
                <w:bCs/>
                <w:color w:val="000000"/>
                <w:sz w:val="18"/>
                <w:szCs w:val="18"/>
                <w:lang w:val="sk-SK" w:eastAsia="sk-SK"/>
              </w:rPr>
            </w:pPr>
          </w:p>
        </w:tc>
        <w:tc>
          <w:tcPr>
            <w:tcW w:w="966" w:type="pct"/>
            <w:tcBorders>
              <w:top w:val="single" w:sz="4" w:space="0" w:color="auto"/>
              <w:left w:val="nil"/>
              <w:bottom w:val="double" w:sz="6" w:space="0" w:color="auto"/>
              <w:right w:val="nil"/>
            </w:tcBorders>
            <w:shd w:val="clear" w:color="auto" w:fill="auto"/>
            <w:vAlign w:val="bottom"/>
          </w:tcPr>
          <w:p w14:paraId="35751291" w14:textId="3C06BD31" w:rsidR="008761C1" w:rsidRPr="00226892" w:rsidRDefault="008761C1" w:rsidP="008761C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42 391</w:t>
            </w:r>
          </w:p>
        </w:tc>
      </w:tr>
      <w:tr w:rsidR="008761C1" w:rsidRPr="00226892" w14:paraId="53058E69" w14:textId="77777777" w:rsidTr="00096439">
        <w:trPr>
          <w:trHeight w:val="227"/>
        </w:trPr>
        <w:tc>
          <w:tcPr>
            <w:tcW w:w="2508" w:type="pct"/>
            <w:tcBorders>
              <w:top w:val="nil"/>
              <w:left w:val="nil"/>
              <w:bottom w:val="nil"/>
              <w:right w:val="nil"/>
            </w:tcBorders>
            <w:shd w:val="clear" w:color="auto" w:fill="auto"/>
            <w:noWrap/>
            <w:vAlign w:val="bottom"/>
            <w:hideMark/>
          </w:tcPr>
          <w:p w14:paraId="6C81AF45" w14:textId="77777777" w:rsidR="008761C1" w:rsidRPr="00226892" w:rsidRDefault="008761C1" w:rsidP="008761C1">
            <w:pPr>
              <w:rPr>
                <w:rFonts w:ascii="Arial" w:eastAsia="Times New Roman" w:hAnsi="Arial" w:cs="Arial"/>
                <w:b/>
                <w:bCs/>
                <w:color w:val="000000"/>
                <w:sz w:val="18"/>
                <w:szCs w:val="18"/>
                <w:lang w:val="sk-SK" w:eastAsia="sk-SK"/>
              </w:rPr>
            </w:pPr>
          </w:p>
        </w:tc>
        <w:tc>
          <w:tcPr>
            <w:tcW w:w="320" w:type="pct"/>
            <w:tcBorders>
              <w:top w:val="nil"/>
              <w:left w:val="nil"/>
              <w:bottom w:val="nil"/>
              <w:right w:val="nil"/>
            </w:tcBorders>
            <w:shd w:val="clear" w:color="auto" w:fill="auto"/>
            <w:noWrap/>
            <w:vAlign w:val="bottom"/>
            <w:hideMark/>
          </w:tcPr>
          <w:p w14:paraId="462DE9BF" w14:textId="77777777" w:rsidR="008761C1" w:rsidRPr="00226892" w:rsidRDefault="008761C1" w:rsidP="008761C1">
            <w:pPr>
              <w:rPr>
                <w:rFonts w:ascii="Arial" w:eastAsia="Times New Roman" w:hAnsi="Arial" w:cs="Arial"/>
                <w:sz w:val="18"/>
                <w:szCs w:val="18"/>
                <w:lang w:val="sk-SK" w:eastAsia="sk-SK"/>
              </w:rPr>
            </w:pPr>
          </w:p>
        </w:tc>
        <w:tc>
          <w:tcPr>
            <w:tcW w:w="102" w:type="pct"/>
            <w:tcBorders>
              <w:top w:val="nil"/>
              <w:left w:val="nil"/>
              <w:bottom w:val="nil"/>
              <w:right w:val="nil"/>
            </w:tcBorders>
            <w:shd w:val="clear" w:color="auto" w:fill="auto"/>
            <w:noWrap/>
            <w:vAlign w:val="bottom"/>
            <w:hideMark/>
          </w:tcPr>
          <w:p w14:paraId="6A6D0BA4" w14:textId="77777777" w:rsidR="008761C1" w:rsidRPr="00226892" w:rsidRDefault="008761C1" w:rsidP="008761C1">
            <w:pPr>
              <w:rPr>
                <w:rFonts w:ascii="Arial" w:eastAsia="Times New Roman" w:hAnsi="Arial" w:cs="Arial"/>
                <w:sz w:val="18"/>
                <w:szCs w:val="18"/>
                <w:lang w:val="sk-SK" w:eastAsia="sk-SK"/>
              </w:rPr>
            </w:pPr>
          </w:p>
        </w:tc>
        <w:tc>
          <w:tcPr>
            <w:tcW w:w="1002" w:type="pct"/>
            <w:tcBorders>
              <w:top w:val="nil"/>
              <w:left w:val="nil"/>
              <w:bottom w:val="nil"/>
              <w:right w:val="nil"/>
            </w:tcBorders>
            <w:shd w:val="clear" w:color="auto" w:fill="auto"/>
            <w:vAlign w:val="bottom"/>
          </w:tcPr>
          <w:p w14:paraId="746488D0" w14:textId="77777777" w:rsidR="008761C1" w:rsidRPr="00226892" w:rsidRDefault="008761C1" w:rsidP="008761C1">
            <w:pPr>
              <w:jc w:val="right"/>
              <w:rPr>
                <w:rFonts w:ascii="Arial" w:eastAsia="Times New Roman" w:hAnsi="Arial" w:cs="Arial"/>
                <w:sz w:val="18"/>
                <w:szCs w:val="18"/>
                <w:lang w:val="sk-SK" w:eastAsia="sk-SK"/>
              </w:rPr>
            </w:pPr>
          </w:p>
        </w:tc>
        <w:tc>
          <w:tcPr>
            <w:tcW w:w="102" w:type="pct"/>
            <w:tcBorders>
              <w:top w:val="nil"/>
              <w:left w:val="nil"/>
              <w:bottom w:val="nil"/>
              <w:right w:val="nil"/>
            </w:tcBorders>
            <w:shd w:val="clear" w:color="auto" w:fill="auto"/>
            <w:vAlign w:val="bottom"/>
          </w:tcPr>
          <w:p w14:paraId="4FE18587" w14:textId="77777777" w:rsidR="008761C1" w:rsidRPr="00226892" w:rsidRDefault="008761C1" w:rsidP="008761C1">
            <w:pPr>
              <w:jc w:val="right"/>
              <w:rPr>
                <w:rFonts w:ascii="Arial" w:eastAsia="Times New Roman" w:hAnsi="Arial" w:cs="Arial"/>
                <w:sz w:val="18"/>
                <w:szCs w:val="18"/>
                <w:lang w:val="sk-SK" w:eastAsia="sk-SK"/>
              </w:rPr>
            </w:pPr>
          </w:p>
        </w:tc>
        <w:tc>
          <w:tcPr>
            <w:tcW w:w="966" w:type="pct"/>
            <w:tcBorders>
              <w:top w:val="nil"/>
              <w:left w:val="nil"/>
              <w:bottom w:val="nil"/>
              <w:right w:val="nil"/>
            </w:tcBorders>
            <w:shd w:val="clear" w:color="auto" w:fill="auto"/>
            <w:vAlign w:val="bottom"/>
          </w:tcPr>
          <w:p w14:paraId="19CC7086" w14:textId="77777777" w:rsidR="008761C1" w:rsidRPr="00226892" w:rsidRDefault="008761C1" w:rsidP="008761C1">
            <w:pPr>
              <w:jc w:val="right"/>
              <w:rPr>
                <w:rFonts w:ascii="Arial" w:eastAsia="Times New Roman" w:hAnsi="Arial" w:cs="Arial"/>
                <w:sz w:val="18"/>
                <w:szCs w:val="18"/>
                <w:lang w:val="sk-SK" w:eastAsia="sk-SK"/>
              </w:rPr>
            </w:pPr>
          </w:p>
        </w:tc>
      </w:tr>
      <w:tr w:rsidR="008761C1" w:rsidRPr="00226892" w14:paraId="476D1444" w14:textId="77777777" w:rsidTr="00096439">
        <w:trPr>
          <w:trHeight w:val="227"/>
        </w:trPr>
        <w:tc>
          <w:tcPr>
            <w:tcW w:w="2508" w:type="pct"/>
            <w:tcBorders>
              <w:top w:val="nil"/>
              <w:left w:val="nil"/>
              <w:bottom w:val="nil"/>
              <w:right w:val="nil"/>
            </w:tcBorders>
            <w:shd w:val="clear" w:color="auto" w:fill="auto"/>
            <w:noWrap/>
            <w:vAlign w:val="bottom"/>
            <w:hideMark/>
          </w:tcPr>
          <w:p w14:paraId="5BCBD223" w14:textId="77777777" w:rsidR="008761C1" w:rsidRPr="00226892" w:rsidRDefault="008761C1" w:rsidP="008761C1">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ZÁVÄZKY</w:t>
            </w:r>
          </w:p>
          <w:p w14:paraId="1F8E39A7" w14:textId="40536EBB" w:rsidR="00096439" w:rsidRPr="00226892" w:rsidRDefault="00096439" w:rsidP="008761C1">
            <w:pPr>
              <w:rPr>
                <w:rFonts w:ascii="Arial" w:eastAsia="Times New Roman" w:hAnsi="Arial" w:cs="Arial"/>
                <w:b/>
                <w:bCs/>
                <w:color w:val="000000"/>
                <w:sz w:val="18"/>
                <w:szCs w:val="18"/>
                <w:lang w:val="sk-SK" w:eastAsia="sk-SK"/>
              </w:rPr>
            </w:pPr>
          </w:p>
        </w:tc>
        <w:tc>
          <w:tcPr>
            <w:tcW w:w="320" w:type="pct"/>
            <w:tcBorders>
              <w:top w:val="nil"/>
              <w:left w:val="nil"/>
              <w:bottom w:val="nil"/>
              <w:right w:val="nil"/>
            </w:tcBorders>
            <w:shd w:val="clear" w:color="auto" w:fill="auto"/>
            <w:noWrap/>
            <w:vAlign w:val="bottom"/>
            <w:hideMark/>
          </w:tcPr>
          <w:p w14:paraId="2E467E5B" w14:textId="77777777" w:rsidR="008761C1" w:rsidRPr="00226892" w:rsidRDefault="008761C1" w:rsidP="008761C1">
            <w:pPr>
              <w:rPr>
                <w:rFonts w:ascii="Arial" w:eastAsia="Times New Roman" w:hAnsi="Arial" w:cs="Arial"/>
                <w:b/>
                <w:bCs/>
                <w:color w:val="000000"/>
                <w:sz w:val="18"/>
                <w:szCs w:val="18"/>
                <w:lang w:val="sk-SK" w:eastAsia="sk-SK"/>
              </w:rPr>
            </w:pPr>
          </w:p>
        </w:tc>
        <w:tc>
          <w:tcPr>
            <w:tcW w:w="102" w:type="pct"/>
            <w:tcBorders>
              <w:top w:val="nil"/>
              <w:left w:val="nil"/>
              <w:bottom w:val="nil"/>
              <w:right w:val="nil"/>
            </w:tcBorders>
            <w:shd w:val="clear" w:color="auto" w:fill="auto"/>
            <w:noWrap/>
            <w:vAlign w:val="bottom"/>
            <w:hideMark/>
          </w:tcPr>
          <w:p w14:paraId="616A35DC" w14:textId="77777777" w:rsidR="008761C1" w:rsidRPr="00226892" w:rsidRDefault="008761C1" w:rsidP="008761C1">
            <w:pPr>
              <w:rPr>
                <w:rFonts w:ascii="Arial" w:eastAsia="Times New Roman" w:hAnsi="Arial" w:cs="Arial"/>
                <w:sz w:val="18"/>
                <w:szCs w:val="18"/>
                <w:lang w:val="sk-SK" w:eastAsia="sk-SK"/>
              </w:rPr>
            </w:pPr>
          </w:p>
        </w:tc>
        <w:tc>
          <w:tcPr>
            <w:tcW w:w="1002" w:type="pct"/>
            <w:tcBorders>
              <w:top w:val="nil"/>
              <w:left w:val="nil"/>
              <w:bottom w:val="nil"/>
              <w:right w:val="nil"/>
            </w:tcBorders>
            <w:shd w:val="clear" w:color="auto" w:fill="auto"/>
            <w:vAlign w:val="bottom"/>
          </w:tcPr>
          <w:p w14:paraId="42A119BB" w14:textId="77777777" w:rsidR="008761C1" w:rsidRPr="00226892" w:rsidRDefault="008761C1" w:rsidP="008761C1">
            <w:pPr>
              <w:jc w:val="right"/>
              <w:rPr>
                <w:rFonts w:ascii="Arial" w:eastAsia="Times New Roman" w:hAnsi="Arial" w:cs="Arial"/>
                <w:sz w:val="18"/>
                <w:szCs w:val="18"/>
                <w:lang w:val="sk-SK" w:eastAsia="sk-SK"/>
              </w:rPr>
            </w:pPr>
          </w:p>
        </w:tc>
        <w:tc>
          <w:tcPr>
            <w:tcW w:w="102" w:type="pct"/>
            <w:tcBorders>
              <w:top w:val="nil"/>
              <w:left w:val="nil"/>
              <w:bottom w:val="nil"/>
              <w:right w:val="nil"/>
            </w:tcBorders>
            <w:shd w:val="clear" w:color="auto" w:fill="auto"/>
            <w:vAlign w:val="bottom"/>
          </w:tcPr>
          <w:p w14:paraId="3964E87C" w14:textId="77777777" w:rsidR="008761C1" w:rsidRPr="00226892" w:rsidRDefault="008761C1" w:rsidP="008761C1">
            <w:pPr>
              <w:jc w:val="right"/>
              <w:rPr>
                <w:rFonts w:ascii="Arial" w:eastAsia="Times New Roman" w:hAnsi="Arial" w:cs="Arial"/>
                <w:sz w:val="18"/>
                <w:szCs w:val="18"/>
                <w:lang w:val="sk-SK" w:eastAsia="sk-SK"/>
              </w:rPr>
            </w:pPr>
          </w:p>
        </w:tc>
        <w:tc>
          <w:tcPr>
            <w:tcW w:w="966" w:type="pct"/>
            <w:tcBorders>
              <w:top w:val="nil"/>
              <w:left w:val="nil"/>
              <w:bottom w:val="nil"/>
              <w:right w:val="nil"/>
            </w:tcBorders>
            <w:shd w:val="clear" w:color="auto" w:fill="auto"/>
            <w:vAlign w:val="bottom"/>
          </w:tcPr>
          <w:p w14:paraId="6F37B6CF" w14:textId="77777777" w:rsidR="008761C1" w:rsidRPr="00226892" w:rsidRDefault="008761C1" w:rsidP="008761C1">
            <w:pPr>
              <w:jc w:val="right"/>
              <w:rPr>
                <w:rFonts w:ascii="Arial" w:eastAsia="Times New Roman" w:hAnsi="Arial" w:cs="Arial"/>
                <w:sz w:val="18"/>
                <w:szCs w:val="18"/>
                <w:lang w:val="sk-SK" w:eastAsia="sk-SK"/>
              </w:rPr>
            </w:pPr>
          </w:p>
        </w:tc>
      </w:tr>
      <w:tr w:rsidR="008761C1" w:rsidRPr="00226892" w14:paraId="57072B8B" w14:textId="77777777" w:rsidTr="00096439">
        <w:trPr>
          <w:trHeight w:val="227"/>
        </w:trPr>
        <w:tc>
          <w:tcPr>
            <w:tcW w:w="2508" w:type="pct"/>
            <w:tcBorders>
              <w:top w:val="nil"/>
              <w:left w:val="nil"/>
              <w:bottom w:val="nil"/>
              <w:right w:val="nil"/>
            </w:tcBorders>
            <w:shd w:val="clear" w:color="auto" w:fill="auto"/>
            <w:noWrap/>
            <w:vAlign w:val="bottom"/>
            <w:hideMark/>
          </w:tcPr>
          <w:p w14:paraId="3EAF524A" w14:textId="77777777" w:rsidR="008761C1" w:rsidRPr="00226892" w:rsidRDefault="008761C1" w:rsidP="008761C1">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Dlhodobé záväzky</w:t>
            </w:r>
          </w:p>
        </w:tc>
        <w:tc>
          <w:tcPr>
            <w:tcW w:w="320" w:type="pct"/>
            <w:tcBorders>
              <w:top w:val="nil"/>
              <w:left w:val="nil"/>
              <w:bottom w:val="nil"/>
              <w:right w:val="nil"/>
            </w:tcBorders>
            <w:shd w:val="clear" w:color="auto" w:fill="auto"/>
            <w:noWrap/>
            <w:vAlign w:val="bottom"/>
            <w:hideMark/>
          </w:tcPr>
          <w:p w14:paraId="66F4B5B3" w14:textId="77777777" w:rsidR="008761C1" w:rsidRPr="00226892" w:rsidRDefault="008761C1" w:rsidP="008761C1">
            <w:pPr>
              <w:rPr>
                <w:rFonts w:ascii="Arial" w:eastAsia="Times New Roman" w:hAnsi="Arial" w:cs="Arial"/>
                <w:b/>
                <w:bCs/>
                <w:color w:val="000000"/>
                <w:sz w:val="18"/>
                <w:szCs w:val="18"/>
                <w:lang w:val="sk-SK" w:eastAsia="sk-SK"/>
              </w:rPr>
            </w:pPr>
          </w:p>
        </w:tc>
        <w:tc>
          <w:tcPr>
            <w:tcW w:w="102" w:type="pct"/>
            <w:tcBorders>
              <w:top w:val="nil"/>
              <w:left w:val="nil"/>
              <w:bottom w:val="nil"/>
              <w:right w:val="nil"/>
            </w:tcBorders>
            <w:shd w:val="clear" w:color="auto" w:fill="auto"/>
            <w:noWrap/>
            <w:vAlign w:val="bottom"/>
            <w:hideMark/>
          </w:tcPr>
          <w:p w14:paraId="54EB858B" w14:textId="77777777" w:rsidR="008761C1" w:rsidRPr="00226892" w:rsidRDefault="008761C1" w:rsidP="008761C1">
            <w:pPr>
              <w:rPr>
                <w:rFonts w:ascii="Arial" w:eastAsia="Times New Roman" w:hAnsi="Arial" w:cs="Arial"/>
                <w:sz w:val="18"/>
                <w:szCs w:val="18"/>
                <w:lang w:val="sk-SK" w:eastAsia="sk-SK"/>
              </w:rPr>
            </w:pPr>
          </w:p>
        </w:tc>
        <w:tc>
          <w:tcPr>
            <w:tcW w:w="1002" w:type="pct"/>
            <w:tcBorders>
              <w:top w:val="nil"/>
              <w:left w:val="nil"/>
              <w:bottom w:val="nil"/>
              <w:right w:val="nil"/>
            </w:tcBorders>
            <w:shd w:val="clear" w:color="auto" w:fill="auto"/>
            <w:vAlign w:val="bottom"/>
          </w:tcPr>
          <w:p w14:paraId="6A6F0673" w14:textId="77777777" w:rsidR="008761C1" w:rsidRPr="00226892" w:rsidRDefault="008761C1" w:rsidP="008761C1">
            <w:pPr>
              <w:jc w:val="right"/>
              <w:rPr>
                <w:rFonts w:ascii="Arial" w:eastAsia="Times New Roman" w:hAnsi="Arial" w:cs="Arial"/>
                <w:sz w:val="18"/>
                <w:szCs w:val="18"/>
                <w:lang w:val="sk-SK" w:eastAsia="sk-SK"/>
              </w:rPr>
            </w:pPr>
          </w:p>
        </w:tc>
        <w:tc>
          <w:tcPr>
            <w:tcW w:w="102" w:type="pct"/>
            <w:tcBorders>
              <w:top w:val="nil"/>
              <w:left w:val="nil"/>
              <w:bottom w:val="nil"/>
              <w:right w:val="nil"/>
            </w:tcBorders>
            <w:shd w:val="clear" w:color="auto" w:fill="auto"/>
            <w:vAlign w:val="bottom"/>
          </w:tcPr>
          <w:p w14:paraId="40576BA1" w14:textId="77777777" w:rsidR="008761C1" w:rsidRPr="00226892" w:rsidRDefault="008761C1" w:rsidP="008761C1">
            <w:pPr>
              <w:jc w:val="right"/>
              <w:rPr>
                <w:rFonts w:ascii="Arial" w:eastAsia="Times New Roman" w:hAnsi="Arial" w:cs="Arial"/>
                <w:sz w:val="18"/>
                <w:szCs w:val="18"/>
                <w:lang w:val="sk-SK" w:eastAsia="sk-SK"/>
              </w:rPr>
            </w:pPr>
          </w:p>
        </w:tc>
        <w:tc>
          <w:tcPr>
            <w:tcW w:w="966" w:type="pct"/>
            <w:tcBorders>
              <w:top w:val="nil"/>
              <w:left w:val="nil"/>
              <w:bottom w:val="nil"/>
              <w:right w:val="nil"/>
            </w:tcBorders>
            <w:shd w:val="clear" w:color="auto" w:fill="auto"/>
            <w:vAlign w:val="bottom"/>
          </w:tcPr>
          <w:p w14:paraId="74C8D102" w14:textId="77777777" w:rsidR="008761C1" w:rsidRPr="00226892" w:rsidRDefault="008761C1" w:rsidP="008761C1">
            <w:pPr>
              <w:jc w:val="right"/>
              <w:rPr>
                <w:rFonts w:ascii="Arial" w:eastAsia="Times New Roman" w:hAnsi="Arial" w:cs="Arial"/>
                <w:sz w:val="18"/>
                <w:szCs w:val="18"/>
                <w:lang w:val="sk-SK" w:eastAsia="sk-SK"/>
              </w:rPr>
            </w:pPr>
          </w:p>
        </w:tc>
      </w:tr>
      <w:tr w:rsidR="008761C1" w:rsidRPr="00226892" w14:paraId="7CBB6ED8" w14:textId="77777777" w:rsidTr="00096439">
        <w:trPr>
          <w:trHeight w:val="227"/>
        </w:trPr>
        <w:tc>
          <w:tcPr>
            <w:tcW w:w="2508" w:type="pct"/>
            <w:tcBorders>
              <w:top w:val="nil"/>
              <w:left w:val="nil"/>
              <w:bottom w:val="nil"/>
              <w:right w:val="nil"/>
            </w:tcBorders>
            <w:shd w:val="clear" w:color="auto" w:fill="auto"/>
            <w:noWrap/>
            <w:vAlign w:val="bottom"/>
            <w:hideMark/>
          </w:tcPr>
          <w:p w14:paraId="491E4A0A" w14:textId="045624D6" w:rsidR="008761C1" w:rsidRPr="00226892" w:rsidRDefault="008761C1" w:rsidP="008761C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Úvery a pôžičky</w:t>
            </w:r>
          </w:p>
        </w:tc>
        <w:tc>
          <w:tcPr>
            <w:tcW w:w="320" w:type="pct"/>
            <w:tcBorders>
              <w:top w:val="nil"/>
              <w:left w:val="nil"/>
              <w:bottom w:val="nil"/>
              <w:right w:val="nil"/>
            </w:tcBorders>
            <w:shd w:val="clear" w:color="auto" w:fill="auto"/>
            <w:noWrap/>
            <w:vAlign w:val="bottom"/>
            <w:hideMark/>
          </w:tcPr>
          <w:p w14:paraId="2A0B339B" w14:textId="72192D60" w:rsidR="008761C1" w:rsidRPr="00226892" w:rsidRDefault="008761C1" w:rsidP="008761C1">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w:t>
            </w:r>
            <w:r w:rsidR="0049047A" w:rsidRPr="00226892">
              <w:rPr>
                <w:rFonts w:ascii="Arial" w:eastAsia="Times New Roman" w:hAnsi="Arial" w:cs="Arial"/>
                <w:color w:val="000000"/>
                <w:sz w:val="18"/>
                <w:szCs w:val="18"/>
                <w:lang w:val="sk-SK" w:eastAsia="sk-SK"/>
              </w:rPr>
              <w:t>5</w:t>
            </w:r>
          </w:p>
        </w:tc>
        <w:tc>
          <w:tcPr>
            <w:tcW w:w="102" w:type="pct"/>
            <w:tcBorders>
              <w:top w:val="nil"/>
              <w:left w:val="nil"/>
              <w:bottom w:val="nil"/>
              <w:right w:val="nil"/>
            </w:tcBorders>
            <w:shd w:val="clear" w:color="auto" w:fill="auto"/>
            <w:noWrap/>
            <w:vAlign w:val="bottom"/>
            <w:hideMark/>
          </w:tcPr>
          <w:p w14:paraId="0AC79036" w14:textId="77777777" w:rsidR="008761C1" w:rsidRPr="00226892" w:rsidRDefault="008761C1" w:rsidP="008761C1">
            <w:pPr>
              <w:jc w:val="center"/>
              <w:rPr>
                <w:rFonts w:ascii="Arial" w:eastAsia="Times New Roman" w:hAnsi="Arial" w:cs="Arial"/>
                <w:color w:val="000000"/>
                <w:sz w:val="18"/>
                <w:szCs w:val="18"/>
                <w:lang w:val="sk-SK" w:eastAsia="sk-SK"/>
              </w:rPr>
            </w:pPr>
          </w:p>
        </w:tc>
        <w:tc>
          <w:tcPr>
            <w:tcW w:w="1002" w:type="pct"/>
            <w:tcBorders>
              <w:top w:val="nil"/>
              <w:left w:val="nil"/>
              <w:bottom w:val="nil"/>
              <w:right w:val="nil"/>
            </w:tcBorders>
            <w:shd w:val="clear" w:color="auto" w:fill="auto"/>
            <w:vAlign w:val="bottom"/>
          </w:tcPr>
          <w:p w14:paraId="24F4255C" w14:textId="0BFB4C37"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25 611</w:t>
            </w:r>
          </w:p>
        </w:tc>
        <w:tc>
          <w:tcPr>
            <w:tcW w:w="102" w:type="pct"/>
            <w:tcBorders>
              <w:top w:val="nil"/>
              <w:left w:val="nil"/>
              <w:bottom w:val="nil"/>
              <w:right w:val="nil"/>
            </w:tcBorders>
            <w:shd w:val="clear" w:color="auto" w:fill="auto"/>
            <w:vAlign w:val="bottom"/>
          </w:tcPr>
          <w:p w14:paraId="454A07AC" w14:textId="77777777" w:rsidR="008761C1" w:rsidRPr="00226892" w:rsidRDefault="008761C1" w:rsidP="008761C1">
            <w:pPr>
              <w:jc w:val="right"/>
              <w:rPr>
                <w:rFonts w:ascii="Arial" w:eastAsia="Times New Roman" w:hAnsi="Arial" w:cs="Arial"/>
                <w:color w:val="000000"/>
                <w:sz w:val="18"/>
                <w:szCs w:val="18"/>
                <w:lang w:val="sk-SK" w:eastAsia="sk-SK"/>
              </w:rPr>
            </w:pPr>
          </w:p>
        </w:tc>
        <w:tc>
          <w:tcPr>
            <w:tcW w:w="966" w:type="pct"/>
            <w:tcBorders>
              <w:top w:val="nil"/>
              <w:left w:val="nil"/>
              <w:bottom w:val="nil"/>
              <w:right w:val="nil"/>
            </w:tcBorders>
            <w:shd w:val="clear" w:color="auto" w:fill="auto"/>
            <w:vAlign w:val="bottom"/>
          </w:tcPr>
          <w:p w14:paraId="441535BD" w14:textId="39C104B8" w:rsidR="008761C1" w:rsidRPr="00226892" w:rsidRDefault="003D39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31 697</w:t>
            </w:r>
          </w:p>
        </w:tc>
      </w:tr>
      <w:tr w:rsidR="008761C1" w:rsidRPr="00226892" w14:paraId="7334D198" w14:textId="77777777" w:rsidTr="00096439">
        <w:trPr>
          <w:trHeight w:val="227"/>
        </w:trPr>
        <w:tc>
          <w:tcPr>
            <w:tcW w:w="2508" w:type="pct"/>
            <w:tcBorders>
              <w:top w:val="nil"/>
              <w:left w:val="nil"/>
              <w:bottom w:val="nil"/>
              <w:right w:val="nil"/>
            </w:tcBorders>
            <w:shd w:val="clear" w:color="auto" w:fill="auto"/>
            <w:noWrap/>
            <w:vAlign w:val="bottom"/>
            <w:hideMark/>
          </w:tcPr>
          <w:p w14:paraId="3D9856D8" w14:textId="77777777" w:rsidR="008761C1" w:rsidRPr="00226892" w:rsidRDefault="008761C1" w:rsidP="008761C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Odložený daňový záväzok</w:t>
            </w:r>
          </w:p>
        </w:tc>
        <w:tc>
          <w:tcPr>
            <w:tcW w:w="320" w:type="pct"/>
            <w:tcBorders>
              <w:top w:val="nil"/>
              <w:left w:val="nil"/>
              <w:bottom w:val="nil"/>
              <w:right w:val="nil"/>
            </w:tcBorders>
            <w:shd w:val="clear" w:color="auto" w:fill="auto"/>
            <w:noWrap/>
            <w:vAlign w:val="bottom"/>
            <w:hideMark/>
          </w:tcPr>
          <w:p w14:paraId="18487869" w14:textId="26C3598D" w:rsidR="008761C1" w:rsidRPr="00226892" w:rsidRDefault="008761C1" w:rsidP="008761C1">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w:t>
            </w:r>
            <w:r w:rsidR="0049047A" w:rsidRPr="00226892">
              <w:rPr>
                <w:rFonts w:ascii="Arial" w:eastAsia="Times New Roman" w:hAnsi="Arial" w:cs="Arial"/>
                <w:color w:val="000000"/>
                <w:sz w:val="18"/>
                <w:szCs w:val="18"/>
                <w:lang w:val="sk-SK" w:eastAsia="sk-SK"/>
              </w:rPr>
              <w:t>6</w:t>
            </w:r>
          </w:p>
        </w:tc>
        <w:tc>
          <w:tcPr>
            <w:tcW w:w="102" w:type="pct"/>
            <w:tcBorders>
              <w:top w:val="nil"/>
              <w:left w:val="nil"/>
              <w:bottom w:val="nil"/>
              <w:right w:val="nil"/>
            </w:tcBorders>
            <w:shd w:val="clear" w:color="auto" w:fill="auto"/>
            <w:noWrap/>
            <w:vAlign w:val="bottom"/>
            <w:hideMark/>
          </w:tcPr>
          <w:p w14:paraId="2F4002C0" w14:textId="77777777" w:rsidR="008761C1" w:rsidRPr="00226892" w:rsidRDefault="008761C1" w:rsidP="008761C1">
            <w:pPr>
              <w:jc w:val="center"/>
              <w:rPr>
                <w:rFonts w:ascii="Arial" w:eastAsia="Times New Roman" w:hAnsi="Arial" w:cs="Arial"/>
                <w:color w:val="000000"/>
                <w:sz w:val="18"/>
                <w:szCs w:val="18"/>
                <w:lang w:val="sk-SK" w:eastAsia="sk-SK"/>
              </w:rPr>
            </w:pPr>
          </w:p>
        </w:tc>
        <w:tc>
          <w:tcPr>
            <w:tcW w:w="1002" w:type="pct"/>
            <w:tcBorders>
              <w:top w:val="nil"/>
              <w:left w:val="nil"/>
              <w:bottom w:val="nil"/>
              <w:right w:val="nil"/>
            </w:tcBorders>
            <w:shd w:val="clear" w:color="auto" w:fill="auto"/>
            <w:vAlign w:val="bottom"/>
          </w:tcPr>
          <w:p w14:paraId="45B658D7" w14:textId="0516F358"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1 </w:t>
            </w:r>
            <w:r w:rsidR="007450FE" w:rsidRPr="00226892">
              <w:rPr>
                <w:rFonts w:ascii="Arial" w:eastAsia="Times New Roman" w:hAnsi="Arial" w:cs="Arial"/>
                <w:color w:val="000000"/>
                <w:sz w:val="18"/>
                <w:szCs w:val="18"/>
                <w:lang w:val="sk-SK" w:eastAsia="sk-SK"/>
              </w:rPr>
              <w:t>278</w:t>
            </w:r>
          </w:p>
        </w:tc>
        <w:tc>
          <w:tcPr>
            <w:tcW w:w="102" w:type="pct"/>
            <w:tcBorders>
              <w:top w:val="nil"/>
              <w:left w:val="nil"/>
              <w:bottom w:val="nil"/>
              <w:right w:val="nil"/>
            </w:tcBorders>
            <w:shd w:val="clear" w:color="auto" w:fill="auto"/>
            <w:vAlign w:val="bottom"/>
          </w:tcPr>
          <w:p w14:paraId="7F7B08D1" w14:textId="77777777" w:rsidR="008761C1" w:rsidRPr="00226892" w:rsidRDefault="008761C1" w:rsidP="008761C1">
            <w:pPr>
              <w:jc w:val="right"/>
              <w:rPr>
                <w:rFonts w:ascii="Arial" w:eastAsia="Times New Roman" w:hAnsi="Arial" w:cs="Arial"/>
                <w:color w:val="000000"/>
                <w:sz w:val="18"/>
                <w:szCs w:val="18"/>
                <w:lang w:val="sk-SK" w:eastAsia="sk-SK"/>
              </w:rPr>
            </w:pPr>
          </w:p>
        </w:tc>
        <w:tc>
          <w:tcPr>
            <w:tcW w:w="966" w:type="pct"/>
            <w:tcBorders>
              <w:top w:val="nil"/>
              <w:left w:val="nil"/>
              <w:bottom w:val="nil"/>
              <w:right w:val="nil"/>
            </w:tcBorders>
            <w:shd w:val="clear" w:color="auto" w:fill="auto"/>
            <w:vAlign w:val="bottom"/>
          </w:tcPr>
          <w:p w14:paraId="2E0E3C87" w14:textId="66694A97"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865</w:t>
            </w:r>
          </w:p>
        </w:tc>
      </w:tr>
      <w:tr w:rsidR="008761C1" w:rsidRPr="00226892" w14:paraId="01FB1786" w14:textId="77777777" w:rsidTr="00096439">
        <w:trPr>
          <w:trHeight w:val="227"/>
        </w:trPr>
        <w:tc>
          <w:tcPr>
            <w:tcW w:w="2508" w:type="pct"/>
            <w:tcBorders>
              <w:top w:val="nil"/>
              <w:left w:val="nil"/>
              <w:bottom w:val="nil"/>
              <w:right w:val="nil"/>
            </w:tcBorders>
            <w:shd w:val="clear" w:color="auto" w:fill="auto"/>
            <w:noWrap/>
            <w:vAlign w:val="bottom"/>
            <w:hideMark/>
          </w:tcPr>
          <w:p w14:paraId="4C59AA28" w14:textId="77777777" w:rsidR="008761C1" w:rsidRPr="00226892" w:rsidRDefault="008761C1" w:rsidP="008761C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Záväzky z dôchodkových programov</w:t>
            </w:r>
          </w:p>
        </w:tc>
        <w:tc>
          <w:tcPr>
            <w:tcW w:w="320" w:type="pct"/>
            <w:tcBorders>
              <w:top w:val="nil"/>
              <w:left w:val="nil"/>
              <w:bottom w:val="nil"/>
              <w:right w:val="nil"/>
            </w:tcBorders>
            <w:shd w:val="clear" w:color="auto" w:fill="auto"/>
            <w:noWrap/>
            <w:vAlign w:val="bottom"/>
            <w:hideMark/>
          </w:tcPr>
          <w:p w14:paraId="26E196C7" w14:textId="5F5F9C2C" w:rsidR="008761C1" w:rsidRPr="00226892" w:rsidRDefault="008761C1" w:rsidP="008761C1">
            <w:pPr>
              <w:jc w:val="center"/>
              <w:rPr>
                <w:rFonts w:ascii="Arial" w:eastAsia="Times New Roman" w:hAnsi="Arial" w:cs="Arial"/>
                <w:color w:val="000000"/>
                <w:sz w:val="18"/>
                <w:szCs w:val="18"/>
                <w:lang w:val="sk-SK" w:eastAsia="sk-SK"/>
              </w:rPr>
            </w:pPr>
          </w:p>
        </w:tc>
        <w:tc>
          <w:tcPr>
            <w:tcW w:w="102" w:type="pct"/>
            <w:tcBorders>
              <w:top w:val="nil"/>
              <w:left w:val="nil"/>
              <w:bottom w:val="nil"/>
              <w:right w:val="nil"/>
            </w:tcBorders>
            <w:shd w:val="clear" w:color="auto" w:fill="auto"/>
            <w:noWrap/>
            <w:vAlign w:val="bottom"/>
            <w:hideMark/>
          </w:tcPr>
          <w:p w14:paraId="37620664" w14:textId="77777777" w:rsidR="008761C1" w:rsidRPr="00226892" w:rsidRDefault="008761C1" w:rsidP="008761C1">
            <w:pPr>
              <w:jc w:val="center"/>
              <w:rPr>
                <w:rFonts w:ascii="Arial" w:eastAsia="Times New Roman" w:hAnsi="Arial" w:cs="Arial"/>
                <w:color w:val="000000"/>
                <w:sz w:val="18"/>
                <w:szCs w:val="18"/>
                <w:lang w:val="sk-SK" w:eastAsia="sk-SK"/>
              </w:rPr>
            </w:pPr>
          </w:p>
        </w:tc>
        <w:tc>
          <w:tcPr>
            <w:tcW w:w="1002" w:type="pct"/>
            <w:tcBorders>
              <w:top w:val="nil"/>
              <w:left w:val="nil"/>
              <w:bottom w:val="nil"/>
              <w:right w:val="nil"/>
            </w:tcBorders>
            <w:shd w:val="clear" w:color="auto" w:fill="auto"/>
            <w:vAlign w:val="bottom"/>
          </w:tcPr>
          <w:p w14:paraId="469C09B6" w14:textId="705F654F"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496 </w:t>
            </w:r>
          </w:p>
        </w:tc>
        <w:tc>
          <w:tcPr>
            <w:tcW w:w="102" w:type="pct"/>
            <w:tcBorders>
              <w:top w:val="nil"/>
              <w:left w:val="nil"/>
              <w:bottom w:val="nil"/>
              <w:right w:val="nil"/>
            </w:tcBorders>
            <w:shd w:val="clear" w:color="auto" w:fill="auto"/>
            <w:vAlign w:val="bottom"/>
          </w:tcPr>
          <w:p w14:paraId="6B2D6DB8" w14:textId="77777777" w:rsidR="008761C1" w:rsidRPr="00226892" w:rsidRDefault="008761C1" w:rsidP="008761C1">
            <w:pPr>
              <w:jc w:val="right"/>
              <w:rPr>
                <w:rFonts w:ascii="Arial" w:eastAsia="Times New Roman" w:hAnsi="Arial" w:cs="Arial"/>
                <w:color w:val="000000"/>
                <w:sz w:val="18"/>
                <w:szCs w:val="18"/>
                <w:lang w:val="sk-SK" w:eastAsia="sk-SK"/>
              </w:rPr>
            </w:pPr>
          </w:p>
        </w:tc>
        <w:tc>
          <w:tcPr>
            <w:tcW w:w="966" w:type="pct"/>
            <w:tcBorders>
              <w:top w:val="nil"/>
              <w:left w:val="nil"/>
              <w:bottom w:val="nil"/>
              <w:right w:val="nil"/>
            </w:tcBorders>
            <w:shd w:val="clear" w:color="auto" w:fill="auto"/>
            <w:vAlign w:val="bottom"/>
          </w:tcPr>
          <w:p w14:paraId="48D72D8B" w14:textId="16BE7B77"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447</w:t>
            </w:r>
          </w:p>
        </w:tc>
      </w:tr>
      <w:tr w:rsidR="008761C1" w:rsidRPr="00226892" w14:paraId="1899484D" w14:textId="77777777" w:rsidTr="00096439">
        <w:trPr>
          <w:trHeight w:val="227"/>
        </w:trPr>
        <w:tc>
          <w:tcPr>
            <w:tcW w:w="2508" w:type="pct"/>
            <w:tcBorders>
              <w:top w:val="nil"/>
              <w:left w:val="nil"/>
              <w:bottom w:val="nil"/>
              <w:right w:val="nil"/>
            </w:tcBorders>
            <w:shd w:val="clear" w:color="auto" w:fill="auto"/>
            <w:noWrap/>
            <w:vAlign w:val="bottom"/>
            <w:hideMark/>
          </w:tcPr>
          <w:p w14:paraId="3632BD45" w14:textId="6186EC49" w:rsidR="008761C1" w:rsidRPr="00226892" w:rsidRDefault="008761C1" w:rsidP="008761C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Výnosy budúcich </w:t>
            </w:r>
            <w:proofErr w:type="spellStart"/>
            <w:r w:rsidRPr="00226892">
              <w:rPr>
                <w:rFonts w:ascii="Arial" w:eastAsia="Times New Roman" w:hAnsi="Arial" w:cs="Arial"/>
                <w:color w:val="000000"/>
                <w:sz w:val="18"/>
                <w:szCs w:val="18"/>
                <w:lang w:val="sk-SK" w:eastAsia="sk-SK"/>
              </w:rPr>
              <w:t>odbobí</w:t>
            </w:r>
            <w:proofErr w:type="spellEnd"/>
            <w:r w:rsidRPr="00226892">
              <w:rPr>
                <w:rFonts w:ascii="Arial" w:eastAsia="Times New Roman" w:hAnsi="Arial" w:cs="Arial"/>
                <w:color w:val="000000"/>
                <w:sz w:val="18"/>
                <w:szCs w:val="18"/>
                <w:lang w:val="sk-SK" w:eastAsia="sk-SK"/>
              </w:rPr>
              <w:t xml:space="preserve"> </w:t>
            </w:r>
          </w:p>
        </w:tc>
        <w:tc>
          <w:tcPr>
            <w:tcW w:w="320" w:type="pct"/>
            <w:tcBorders>
              <w:top w:val="nil"/>
              <w:left w:val="nil"/>
              <w:bottom w:val="nil"/>
              <w:right w:val="nil"/>
            </w:tcBorders>
            <w:shd w:val="clear" w:color="auto" w:fill="auto"/>
            <w:noWrap/>
            <w:vAlign w:val="bottom"/>
            <w:hideMark/>
          </w:tcPr>
          <w:p w14:paraId="5393D316" w14:textId="0ECB1DFE" w:rsidR="008761C1" w:rsidRPr="00226892" w:rsidRDefault="008761C1" w:rsidP="008761C1">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w:t>
            </w:r>
            <w:r w:rsidR="0049047A" w:rsidRPr="00226892">
              <w:rPr>
                <w:rFonts w:ascii="Arial" w:eastAsia="Times New Roman" w:hAnsi="Arial" w:cs="Arial"/>
                <w:color w:val="000000"/>
                <w:sz w:val="18"/>
                <w:szCs w:val="18"/>
                <w:lang w:val="sk-SK" w:eastAsia="sk-SK"/>
              </w:rPr>
              <w:t>9</w:t>
            </w:r>
          </w:p>
        </w:tc>
        <w:tc>
          <w:tcPr>
            <w:tcW w:w="102" w:type="pct"/>
            <w:tcBorders>
              <w:top w:val="nil"/>
              <w:left w:val="nil"/>
              <w:bottom w:val="nil"/>
              <w:right w:val="nil"/>
            </w:tcBorders>
            <w:shd w:val="clear" w:color="auto" w:fill="auto"/>
            <w:noWrap/>
            <w:vAlign w:val="bottom"/>
            <w:hideMark/>
          </w:tcPr>
          <w:p w14:paraId="6915D6B8" w14:textId="77777777" w:rsidR="008761C1" w:rsidRPr="00226892" w:rsidRDefault="008761C1" w:rsidP="008761C1">
            <w:pPr>
              <w:jc w:val="center"/>
              <w:rPr>
                <w:rFonts w:ascii="Arial" w:eastAsia="Times New Roman" w:hAnsi="Arial" w:cs="Arial"/>
                <w:color w:val="000000"/>
                <w:sz w:val="18"/>
                <w:szCs w:val="18"/>
                <w:lang w:val="sk-SK" w:eastAsia="sk-SK"/>
              </w:rPr>
            </w:pPr>
          </w:p>
        </w:tc>
        <w:tc>
          <w:tcPr>
            <w:tcW w:w="1002" w:type="pct"/>
            <w:tcBorders>
              <w:top w:val="nil"/>
              <w:left w:val="nil"/>
              <w:bottom w:val="nil"/>
              <w:right w:val="nil"/>
            </w:tcBorders>
            <w:shd w:val="clear" w:color="auto" w:fill="auto"/>
            <w:vAlign w:val="bottom"/>
          </w:tcPr>
          <w:p w14:paraId="05DB47FC" w14:textId="24935023"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2 481</w:t>
            </w:r>
          </w:p>
        </w:tc>
        <w:tc>
          <w:tcPr>
            <w:tcW w:w="102" w:type="pct"/>
            <w:tcBorders>
              <w:top w:val="nil"/>
              <w:left w:val="nil"/>
              <w:bottom w:val="nil"/>
              <w:right w:val="nil"/>
            </w:tcBorders>
            <w:shd w:val="clear" w:color="auto" w:fill="auto"/>
            <w:vAlign w:val="bottom"/>
          </w:tcPr>
          <w:p w14:paraId="48653AAE" w14:textId="77777777" w:rsidR="008761C1" w:rsidRPr="00226892" w:rsidRDefault="008761C1" w:rsidP="008761C1">
            <w:pPr>
              <w:jc w:val="right"/>
              <w:rPr>
                <w:rFonts w:ascii="Arial" w:eastAsia="Times New Roman" w:hAnsi="Arial" w:cs="Arial"/>
                <w:color w:val="000000"/>
                <w:sz w:val="18"/>
                <w:szCs w:val="18"/>
                <w:lang w:val="sk-SK" w:eastAsia="sk-SK"/>
              </w:rPr>
            </w:pPr>
          </w:p>
        </w:tc>
        <w:tc>
          <w:tcPr>
            <w:tcW w:w="966" w:type="pct"/>
            <w:tcBorders>
              <w:top w:val="nil"/>
              <w:left w:val="nil"/>
              <w:bottom w:val="nil"/>
              <w:right w:val="nil"/>
            </w:tcBorders>
            <w:shd w:val="clear" w:color="auto" w:fill="auto"/>
            <w:vAlign w:val="bottom"/>
          </w:tcPr>
          <w:p w14:paraId="6E88FE86" w14:textId="42760244"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2 658</w:t>
            </w:r>
          </w:p>
        </w:tc>
      </w:tr>
      <w:tr w:rsidR="008761C1" w:rsidRPr="00226892" w14:paraId="18787B0B" w14:textId="77777777" w:rsidTr="00096439">
        <w:trPr>
          <w:trHeight w:val="227"/>
        </w:trPr>
        <w:tc>
          <w:tcPr>
            <w:tcW w:w="2508" w:type="pct"/>
            <w:tcBorders>
              <w:top w:val="nil"/>
              <w:left w:val="nil"/>
              <w:bottom w:val="nil"/>
              <w:right w:val="nil"/>
            </w:tcBorders>
            <w:shd w:val="clear" w:color="auto" w:fill="auto"/>
            <w:noWrap/>
            <w:vAlign w:val="bottom"/>
            <w:hideMark/>
          </w:tcPr>
          <w:p w14:paraId="4B7781EC" w14:textId="77777777" w:rsidR="008761C1" w:rsidRPr="00226892" w:rsidRDefault="008761C1" w:rsidP="008761C1">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Dlhodobé záväzky spolu</w:t>
            </w:r>
          </w:p>
        </w:tc>
        <w:tc>
          <w:tcPr>
            <w:tcW w:w="320" w:type="pct"/>
            <w:tcBorders>
              <w:top w:val="nil"/>
              <w:left w:val="nil"/>
              <w:bottom w:val="nil"/>
              <w:right w:val="nil"/>
            </w:tcBorders>
            <w:shd w:val="clear" w:color="auto" w:fill="auto"/>
            <w:noWrap/>
            <w:vAlign w:val="bottom"/>
            <w:hideMark/>
          </w:tcPr>
          <w:p w14:paraId="42C00D4E" w14:textId="77777777" w:rsidR="008761C1" w:rsidRPr="00226892" w:rsidRDefault="008761C1" w:rsidP="008761C1">
            <w:pPr>
              <w:rPr>
                <w:rFonts w:ascii="Arial" w:eastAsia="Times New Roman" w:hAnsi="Arial" w:cs="Arial"/>
                <w:b/>
                <w:bCs/>
                <w:color w:val="000000"/>
                <w:sz w:val="18"/>
                <w:szCs w:val="18"/>
                <w:lang w:val="sk-SK" w:eastAsia="sk-SK"/>
              </w:rPr>
            </w:pPr>
          </w:p>
        </w:tc>
        <w:tc>
          <w:tcPr>
            <w:tcW w:w="102" w:type="pct"/>
            <w:tcBorders>
              <w:top w:val="nil"/>
              <w:left w:val="nil"/>
              <w:bottom w:val="nil"/>
              <w:right w:val="nil"/>
            </w:tcBorders>
            <w:shd w:val="clear" w:color="auto" w:fill="auto"/>
            <w:noWrap/>
            <w:vAlign w:val="bottom"/>
            <w:hideMark/>
          </w:tcPr>
          <w:p w14:paraId="5CCB499E" w14:textId="77777777" w:rsidR="008761C1" w:rsidRPr="00226892" w:rsidRDefault="008761C1" w:rsidP="008761C1">
            <w:pPr>
              <w:rPr>
                <w:rFonts w:ascii="Arial" w:eastAsia="Times New Roman" w:hAnsi="Arial" w:cs="Arial"/>
                <w:sz w:val="18"/>
                <w:szCs w:val="18"/>
                <w:lang w:val="sk-SK" w:eastAsia="sk-SK"/>
              </w:rPr>
            </w:pPr>
          </w:p>
        </w:tc>
        <w:tc>
          <w:tcPr>
            <w:tcW w:w="1002" w:type="pct"/>
            <w:tcBorders>
              <w:top w:val="single" w:sz="4" w:space="0" w:color="auto"/>
              <w:left w:val="nil"/>
              <w:bottom w:val="double" w:sz="6" w:space="0" w:color="auto"/>
              <w:right w:val="nil"/>
            </w:tcBorders>
            <w:shd w:val="clear" w:color="auto" w:fill="auto"/>
            <w:vAlign w:val="bottom"/>
          </w:tcPr>
          <w:p w14:paraId="7DD41BE5" w14:textId="162EA766" w:rsidR="008761C1" w:rsidRPr="00226892" w:rsidRDefault="008761C1" w:rsidP="008761C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29 </w:t>
            </w:r>
            <w:r w:rsidR="007450FE" w:rsidRPr="00226892">
              <w:rPr>
                <w:rFonts w:ascii="Arial" w:eastAsia="Times New Roman" w:hAnsi="Arial" w:cs="Arial"/>
                <w:b/>
                <w:bCs/>
                <w:color w:val="000000"/>
                <w:sz w:val="18"/>
                <w:szCs w:val="18"/>
                <w:lang w:val="sk-SK" w:eastAsia="sk-SK"/>
              </w:rPr>
              <w:t>866</w:t>
            </w:r>
          </w:p>
        </w:tc>
        <w:tc>
          <w:tcPr>
            <w:tcW w:w="102" w:type="pct"/>
            <w:tcBorders>
              <w:top w:val="nil"/>
              <w:left w:val="nil"/>
              <w:bottom w:val="nil"/>
              <w:right w:val="nil"/>
            </w:tcBorders>
            <w:shd w:val="clear" w:color="auto" w:fill="auto"/>
            <w:vAlign w:val="bottom"/>
          </w:tcPr>
          <w:p w14:paraId="4D3F16CD" w14:textId="77777777" w:rsidR="008761C1" w:rsidRPr="00226892" w:rsidRDefault="008761C1" w:rsidP="008761C1">
            <w:pPr>
              <w:jc w:val="right"/>
              <w:rPr>
                <w:rFonts w:ascii="Arial" w:eastAsia="Times New Roman" w:hAnsi="Arial" w:cs="Arial"/>
                <w:b/>
                <w:bCs/>
                <w:color w:val="000000"/>
                <w:sz w:val="18"/>
                <w:szCs w:val="18"/>
                <w:lang w:val="sk-SK" w:eastAsia="sk-SK"/>
              </w:rPr>
            </w:pPr>
          </w:p>
        </w:tc>
        <w:tc>
          <w:tcPr>
            <w:tcW w:w="966" w:type="pct"/>
            <w:tcBorders>
              <w:top w:val="single" w:sz="4" w:space="0" w:color="auto"/>
              <w:left w:val="nil"/>
              <w:bottom w:val="double" w:sz="6" w:space="0" w:color="auto"/>
              <w:right w:val="nil"/>
            </w:tcBorders>
            <w:shd w:val="clear" w:color="auto" w:fill="auto"/>
            <w:vAlign w:val="bottom"/>
          </w:tcPr>
          <w:p w14:paraId="085AA4FF" w14:textId="3CDEE3C1" w:rsidR="008761C1" w:rsidRPr="00226892" w:rsidRDefault="003D39C1" w:rsidP="008761C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35 673</w:t>
            </w:r>
          </w:p>
        </w:tc>
      </w:tr>
      <w:tr w:rsidR="008761C1" w:rsidRPr="00226892" w14:paraId="20D01049" w14:textId="77777777" w:rsidTr="00096439">
        <w:trPr>
          <w:trHeight w:val="227"/>
        </w:trPr>
        <w:tc>
          <w:tcPr>
            <w:tcW w:w="2508" w:type="pct"/>
            <w:tcBorders>
              <w:top w:val="nil"/>
              <w:left w:val="nil"/>
              <w:bottom w:val="nil"/>
              <w:right w:val="nil"/>
            </w:tcBorders>
            <w:shd w:val="clear" w:color="auto" w:fill="auto"/>
            <w:noWrap/>
            <w:vAlign w:val="bottom"/>
            <w:hideMark/>
          </w:tcPr>
          <w:p w14:paraId="61151582" w14:textId="77777777" w:rsidR="008761C1" w:rsidRPr="00226892" w:rsidRDefault="008761C1" w:rsidP="008761C1">
            <w:pPr>
              <w:rPr>
                <w:rFonts w:ascii="Arial" w:eastAsia="Times New Roman" w:hAnsi="Arial" w:cs="Arial"/>
                <w:b/>
                <w:bCs/>
                <w:color w:val="000000"/>
                <w:sz w:val="18"/>
                <w:szCs w:val="18"/>
                <w:lang w:val="sk-SK" w:eastAsia="sk-SK"/>
              </w:rPr>
            </w:pPr>
          </w:p>
        </w:tc>
        <w:tc>
          <w:tcPr>
            <w:tcW w:w="320" w:type="pct"/>
            <w:tcBorders>
              <w:top w:val="nil"/>
              <w:left w:val="nil"/>
              <w:bottom w:val="nil"/>
              <w:right w:val="nil"/>
            </w:tcBorders>
            <w:shd w:val="clear" w:color="auto" w:fill="auto"/>
            <w:noWrap/>
            <w:vAlign w:val="bottom"/>
            <w:hideMark/>
          </w:tcPr>
          <w:p w14:paraId="00E70521" w14:textId="77777777" w:rsidR="008761C1" w:rsidRPr="00226892" w:rsidRDefault="008761C1" w:rsidP="008761C1">
            <w:pPr>
              <w:rPr>
                <w:rFonts w:ascii="Arial" w:eastAsia="Times New Roman" w:hAnsi="Arial" w:cs="Arial"/>
                <w:sz w:val="18"/>
                <w:szCs w:val="18"/>
                <w:lang w:val="sk-SK" w:eastAsia="sk-SK"/>
              </w:rPr>
            </w:pPr>
          </w:p>
        </w:tc>
        <w:tc>
          <w:tcPr>
            <w:tcW w:w="102" w:type="pct"/>
            <w:tcBorders>
              <w:top w:val="nil"/>
              <w:left w:val="nil"/>
              <w:bottom w:val="nil"/>
              <w:right w:val="nil"/>
            </w:tcBorders>
            <w:shd w:val="clear" w:color="auto" w:fill="auto"/>
            <w:noWrap/>
            <w:vAlign w:val="bottom"/>
            <w:hideMark/>
          </w:tcPr>
          <w:p w14:paraId="39BC81DB" w14:textId="77777777" w:rsidR="008761C1" w:rsidRPr="00226892" w:rsidRDefault="008761C1" w:rsidP="008761C1">
            <w:pPr>
              <w:rPr>
                <w:rFonts w:ascii="Arial" w:eastAsia="Times New Roman" w:hAnsi="Arial" w:cs="Arial"/>
                <w:sz w:val="18"/>
                <w:szCs w:val="18"/>
                <w:lang w:val="sk-SK" w:eastAsia="sk-SK"/>
              </w:rPr>
            </w:pPr>
          </w:p>
        </w:tc>
        <w:tc>
          <w:tcPr>
            <w:tcW w:w="1002" w:type="pct"/>
            <w:tcBorders>
              <w:top w:val="nil"/>
              <w:left w:val="nil"/>
              <w:bottom w:val="nil"/>
              <w:right w:val="nil"/>
            </w:tcBorders>
            <w:shd w:val="clear" w:color="auto" w:fill="auto"/>
            <w:vAlign w:val="bottom"/>
          </w:tcPr>
          <w:p w14:paraId="0FCE7140" w14:textId="77777777" w:rsidR="008761C1" w:rsidRPr="00226892" w:rsidRDefault="008761C1" w:rsidP="008761C1">
            <w:pPr>
              <w:jc w:val="right"/>
              <w:rPr>
                <w:rFonts w:ascii="Arial" w:eastAsia="Times New Roman" w:hAnsi="Arial" w:cs="Arial"/>
                <w:sz w:val="18"/>
                <w:szCs w:val="18"/>
                <w:lang w:val="sk-SK" w:eastAsia="sk-SK"/>
              </w:rPr>
            </w:pPr>
          </w:p>
        </w:tc>
        <w:tc>
          <w:tcPr>
            <w:tcW w:w="102" w:type="pct"/>
            <w:tcBorders>
              <w:top w:val="nil"/>
              <w:left w:val="nil"/>
              <w:bottom w:val="nil"/>
              <w:right w:val="nil"/>
            </w:tcBorders>
            <w:shd w:val="clear" w:color="auto" w:fill="auto"/>
            <w:vAlign w:val="bottom"/>
          </w:tcPr>
          <w:p w14:paraId="7DDB5626" w14:textId="77777777" w:rsidR="008761C1" w:rsidRPr="00226892" w:rsidRDefault="008761C1" w:rsidP="008761C1">
            <w:pPr>
              <w:jc w:val="right"/>
              <w:rPr>
                <w:rFonts w:ascii="Arial" w:eastAsia="Times New Roman" w:hAnsi="Arial" w:cs="Arial"/>
                <w:sz w:val="18"/>
                <w:szCs w:val="18"/>
                <w:lang w:val="sk-SK" w:eastAsia="sk-SK"/>
              </w:rPr>
            </w:pPr>
          </w:p>
        </w:tc>
        <w:tc>
          <w:tcPr>
            <w:tcW w:w="966" w:type="pct"/>
            <w:tcBorders>
              <w:top w:val="nil"/>
              <w:left w:val="nil"/>
              <w:bottom w:val="nil"/>
              <w:right w:val="nil"/>
            </w:tcBorders>
            <w:shd w:val="clear" w:color="auto" w:fill="auto"/>
            <w:vAlign w:val="bottom"/>
          </w:tcPr>
          <w:p w14:paraId="6284EEF5" w14:textId="77777777" w:rsidR="008761C1" w:rsidRPr="00226892" w:rsidRDefault="008761C1" w:rsidP="008761C1">
            <w:pPr>
              <w:jc w:val="right"/>
              <w:rPr>
                <w:rFonts w:ascii="Arial" w:eastAsia="Times New Roman" w:hAnsi="Arial" w:cs="Arial"/>
                <w:sz w:val="18"/>
                <w:szCs w:val="18"/>
                <w:lang w:val="sk-SK" w:eastAsia="sk-SK"/>
              </w:rPr>
            </w:pPr>
          </w:p>
        </w:tc>
      </w:tr>
      <w:tr w:rsidR="008761C1" w:rsidRPr="00226892" w14:paraId="32D48170" w14:textId="77777777" w:rsidTr="00096439">
        <w:trPr>
          <w:trHeight w:val="227"/>
        </w:trPr>
        <w:tc>
          <w:tcPr>
            <w:tcW w:w="2508" w:type="pct"/>
            <w:tcBorders>
              <w:top w:val="nil"/>
              <w:left w:val="nil"/>
              <w:bottom w:val="nil"/>
              <w:right w:val="nil"/>
            </w:tcBorders>
            <w:shd w:val="clear" w:color="auto" w:fill="auto"/>
            <w:noWrap/>
            <w:vAlign w:val="bottom"/>
            <w:hideMark/>
          </w:tcPr>
          <w:p w14:paraId="690D8DD8" w14:textId="77777777" w:rsidR="008761C1" w:rsidRPr="00226892" w:rsidRDefault="008761C1" w:rsidP="008761C1">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Krátkodobé záväzky</w:t>
            </w:r>
          </w:p>
        </w:tc>
        <w:tc>
          <w:tcPr>
            <w:tcW w:w="320" w:type="pct"/>
            <w:tcBorders>
              <w:top w:val="nil"/>
              <w:left w:val="nil"/>
              <w:bottom w:val="nil"/>
              <w:right w:val="nil"/>
            </w:tcBorders>
            <w:shd w:val="clear" w:color="auto" w:fill="auto"/>
            <w:noWrap/>
            <w:vAlign w:val="bottom"/>
            <w:hideMark/>
          </w:tcPr>
          <w:p w14:paraId="480782B1" w14:textId="77777777" w:rsidR="008761C1" w:rsidRPr="00226892" w:rsidRDefault="008761C1" w:rsidP="008761C1">
            <w:pPr>
              <w:rPr>
                <w:rFonts w:ascii="Arial" w:eastAsia="Times New Roman" w:hAnsi="Arial" w:cs="Arial"/>
                <w:b/>
                <w:bCs/>
                <w:color w:val="000000"/>
                <w:sz w:val="18"/>
                <w:szCs w:val="18"/>
                <w:lang w:val="sk-SK" w:eastAsia="sk-SK"/>
              </w:rPr>
            </w:pPr>
          </w:p>
        </w:tc>
        <w:tc>
          <w:tcPr>
            <w:tcW w:w="102" w:type="pct"/>
            <w:tcBorders>
              <w:top w:val="nil"/>
              <w:left w:val="nil"/>
              <w:bottom w:val="nil"/>
              <w:right w:val="nil"/>
            </w:tcBorders>
            <w:shd w:val="clear" w:color="auto" w:fill="auto"/>
            <w:noWrap/>
            <w:vAlign w:val="bottom"/>
            <w:hideMark/>
          </w:tcPr>
          <w:p w14:paraId="632D975E" w14:textId="77777777" w:rsidR="008761C1" w:rsidRPr="00226892" w:rsidRDefault="008761C1" w:rsidP="008761C1">
            <w:pPr>
              <w:rPr>
                <w:rFonts w:ascii="Arial" w:eastAsia="Times New Roman" w:hAnsi="Arial" w:cs="Arial"/>
                <w:sz w:val="18"/>
                <w:szCs w:val="18"/>
                <w:lang w:val="sk-SK" w:eastAsia="sk-SK"/>
              </w:rPr>
            </w:pPr>
          </w:p>
        </w:tc>
        <w:tc>
          <w:tcPr>
            <w:tcW w:w="1002" w:type="pct"/>
            <w:tcBorders>
              <w:top w:val="nil"/>
              <w:left w:val="nil"/>
              <w:bottom w:val="nil"/>
              <w:right w:val="nil"/>
            </w:tcBorders>
            <w:shd w:val="clear" w:color="auto" w:fill="auto"/>
            <w:vAlign w:val="bottom"/>
          </w:tcPr>
          <w:p w14:paraId="6714CD88" w14:textId="77777777" w:rsidR="008761C1" w:rsidRPr="00226892" w:rsidRDefault="008761C1" w:rsidP="008761C1">
            <w:pPr>
              <w:jc w:val="right"/>
              <w:rPr>
                <w:rFonts w:ascii="Arial" w:eastAsia="Times New Roman" w:hAnsi="Arial" w:cs="Arial"/>
                <w:sz w:val="18"/>
                <w:szCs w:val="18"/>
                <w:lang w:val="sk-SK" w:eastAsia="sk-SK"/>
              </w:rPr>
            </w:pPr>
          </w:p>
        </w:tc>
        <w:tc>
          <w:tcPr>
            <w:tcW w:w="102" w:type="pct"/>
            <w:tcBorders>
              <w:top w:val="nil"/>
              <w:left w:val="nil"/>
              <w:bottom w:val="nil"/>
              <w:right w:val="nil"/>
            </w:tcBorders>
            <w:shd w:val="clear" w:color="auto" w:fill="auto"/>
            <w:vAlign w:val="bottom"/>
          </w:tcPr>
          <w:p w14:paraId="241DD930" w14:textId="77777777" w:rsidR="008761C1" w:rsidRPr="00226892" w:rsidRDefault="008761C1" w:rsidP="008761C1">
            <w:pPr>
              <w:jc w:val="right"/>
              <w:rPr>
                <w:rFonts w:ascii="Arial" w:eastAsia="Times New Roman" w:hAnsi="Arial" w:cs="Arial"/>
                <w:sz w:val="18"/>
                <w:szCs w:val="18"/>
                <w:lang w:val="sk-SK" w:eastAsia="sk-SK"/>
              </w:rPr>
            </w:pPr>
          </w:p>
        </w:tc>
        <w:tc>
          <w:tcPr>
            <w:tcW w:w="966" w:type="pct"/>
            <w:tcBorders>
              <w:top w:val="nil"/>
              <w:left w:val="nil"/>
              <w:bottom w:val="nil"/>
              <w:right w:val="nil"/>
            </w:tcBorders>
            <w:shd w:val="clear" w:color="auto" w:fill="auto"/>
            <w:vAlign w:val="bottom"/>
          </w:tcPr>
          <w:p w14:paraId="2821C6CD" w14:textId="77777777" w:rsidR="008761C1" w:rsidRPr="00226892" w:rsidRDefault="008761C1" w:rsidP="008761C1">
            <w:pPr>
              <w:jc w:val="right"/>
              <w:rPr>
                <w:rFonts w:ascii="Arial" w:eastAsia="Times New Roman" w:hAnsi="Arial" w:cs="Arial"/>
                <w:sz w:val="18"/>
                <w:szCs w:val="18"/>
                <w:lang w:val="sk-SK" w:eastAsia="sk-SK"/>
              </w:rPr>
            </w:pPr>
          </w:p>
        </w:tc>
      </w:tr>
      <w:tr w:rsidR="008761C1" w:rsidRPr="00226892" w14:paraId="3F48F586" w14:textId="77777777" w:rsidTr="00096439">
        <w:trPr>
          <w:trHeight w:val="227"/>
        </w:trPr>
        <w:tc>
          <w:tcPr>
            <w:tcW w:w="2508" w:type="pct"/>
            <w:tcBorders>
              <w:top w:val="nil"/>
              <w:left w:val="nil"/>
              <w:bottom w:val="nil"/>
              <w:right w:val="nil"/>
            </w:tcBorders>
            <w:shd w:val="clear" w:color="auto" w:fill="auto"/>
            <w:noWrap/>
            <w:vAlign w:val="bottom"/>
            <w:hideMark/>
          </w:tcPr>
          <w:p w14:paraId="6B346DB4" w14:textId="77777777" w:rsidR="008761C1" w:rsidRPr="00226892" w:rsidRDefault="008761C1" w:rsidP="008761C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Záväzky z obchodného styku a iné záväzky</w:t>
            </w:r>
          </w:p>
        </w:tc>
        <w:tc>
          <w:tcPr>
            <w:tcW w:w="320" w:type="pct"/>
            <w:tcBorders>
              <w:top w:val="nil"/>
              <w:left w:val="nil"/>
              <w:bottom w:val="nil"/>
              <w:right w:val="nil"/>
            </w:tcBorders>
            <w:shd w:val="clear" w:color="auto" w:fill="auto"/>
            <w:noWrap/>
            <w:vAlign w:val="bottom"/>
            <w:hideMark/>
          </w:tcPr>
          <w:p w14:paraId="55617705" w14:textId="3897C8A2" w:rsidR="008761C1" w:rsidRPr="00226892" w:rsidRDefault="008761C1" w:rsidP="008761C1">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w:t>
            </w:r>
            <w:r w:rsidR="0049047A" w:rsidRPr="00226892">
              <w:rPr>
                <w:rFonts w:ascii="Arial" w:eastAsia="Times New Roman" w:hAnsi="Arial" w:cs="Arial"/>
                <w:color w:val="000000"/>
                <w:sz w:val="18"/>
                <w:szCs w:val="18"/>
                <w:lang w:val="sk-SK" w:eastAsia="sk-SK"/>
              </w:rPr>
              <w:t>8</w:t>
            </w:r>
          </w:p>
        </w:tc>
        <w:tc>
          <w:tcPr>
            <w:tcW w:w="102" w:type="pct"/>
            <w:tcBorders>
              <w:top w:val="nil"/>
              <w:left w:val="nil"/>
              <w:bottom w:val="nil"/>
              <w:right w:val="nil"/>
            </w:tcBorders>
            <w:shd w:val="clear" w:color="auto" w:fill="auto"/>
            <w:noWrap/>
            <w:vAlign w:val="bottom"/>
            <w:hideMark/>
          </w:tcPr>
          <w:p w14:paraId="171FD28F" w14:textId="77777777" w:rsidR="008761C1" w:rsidRPr="00226892" w:rsidRDefault="008761C1" w:rsidP="008761C1">
            <w:pPr>
              <w:jc w:val="center"/>
              <w:rPr>
                <w:rFonts w:ascii="Arial" w:eastAsia="Times New Roman" w:hAnsi="Arial" w:cs="Arial"/>
                <w:sz w:val="18"/>
                <w:szCs w:val="18"/>
                <w:lang w:val="sk-SK" w:eastAsia="sk-SK"/>
              </w:rPr>
            </w:pPr>
          </w:p>
        </w:tc>
        <w:tc>
          <w:tcPr>
            <w:tcW w:w="1002" w:type="pct"/>
            <w:tcBorders>
              <w:top w:val="nil"/>
              <w:left w:val="nil"/>
              <w:bottom w:val="nil"/>
              <w:right w:val="nil"/>
            </w:tcBorders>
            <w:shd w:val="clear" w:color="auto" w:fill="auto"/>
            <w:vAlign w:val="bottom"/>
          </w:tcPr>
          <w:p w14:paraId="3ADD8653" w14:textId="3FAE32D7"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41 </w:t>
            </w:r>
            <w:r w:rsidR="007450FE" w:rsidRPr="00226892">
              <w:rPr>
                <w:rFonts w:ascii="Arial" w:eastAsia="Times New Roman" w:hAnsi="Arial" w:cs="Arial"/>
                <w:color w:val="000000"/>
                <w:sz w:val="18"/>
                <w:szCs w:val="18"/>
                <w:lang w:val="sk-SK" w:eastAsia="sk-SK"/>
              </w:rPr>
              <w:t>568</w:t>
            </w:r>
          </w:p>
        </w:tc>
        <w:tc>
          <w:tcPr>
            <w:tcW w:w="102" w:type="pct"/>
            <w:tcBorders>
              <w:top w:val="nil"/>
              <w:left w:val="nil"/>
              <w:bottom w:val="nil"/>
              <w:right w:val="nil"/>
            </w:tcBorders>
            <w:shd w:val="clear" w:color="auto" w:fill="auto"/>
            <w:vAlign w:val="bottom"/>
          </w:tcPr>
          <w:p w14:paraId="5F76F7D7" w14:textId="77777777" w:rsidR="008761C1" w:rsidRPr="00226892" w:rsidRDefault="008761C1" w:rsidP="008761C1">
            <w:pPr>
              <w:jc w:val="right"/>
              <w:rPr>
                <w:rFonts w:ascii="Arial" w:eastAsia="Times New Roman" w:hAnsi="Arial" w:cs="Arial"/>
                <w:color w:val="000000"/>
                <w:sz w:val="18"/>
                <w:szCs w:val="18"/>
                <w:lang w:val="sk-SK" w:eastAsia="sk-SK"/>
              </w:rPr>
            </w:pPr>
          </w:p>
        </w:tc>
        <w:tc>
          <w:tcPr>
            <w:tcW w:w="966" w:type="pct"/>
            <w:tcBorders>
              <w:top w:val="nil"/>
              <w:left w:val="nil"/>
              <w:bottom w:val="nil"/>
              <w:right w:val="nil"/>
            </w:tcBorders>
            <w:shd w:val="clear" w:color="auto" w:fill="auto"/>
            <w:vAlign w:val="bottom"/>
          </w:tcPr>
          <w:p w14:paraId="720EDD34" w14:textId="5ACEA712"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31 851</w:t>
            </w:r>
          </w:p>
        </w:tc>
      </w:tr>
      <w:tr w:rsidR="008761C1" w:rsidRPr="00226892" w14:paraId="637FF182" w14:textId="77777777" w:rsidTr="00096439">
        <w:trPr>
          <w:trHeight w:val="227"/>
        </w:trPr>
        <w:tc>
          <w:tcPr>
            <w:tcW w:w="2508" w:type="pct"/>
            <w:tcBorders>
              <w:top w:val="nil"/>
              <w:left w:val="nil"/>
              <w:bottom w:val="nil"/>
              <w:right w:val="nil"/>
            </w:tcBorders>
            <w:shd w:val="clear" w:color="auto" w:fill="auto"/>
            <w:noWrap/>
            <w:vAlign w:val="bottom"/>
            <w:hideMark/>
          </w:tcPr>
          <w:p w14:paraId="6CFFE33A" w14:textId="77777777" w:rsidR="008761C1" w:rsidRPr="00226892" w:rsidRDefault="008761C1" w:rsidP="008761C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Splatná daň z príjmov</w:t>
            </w:r>
          </w:p>
        </w:tc>
        <w:tc>
          <w:tcPr>
            <w:tcW w:w="320" w:type="pct"/>
            <w:tcBorders>
              <w:top w:val="nil"/>
              <w:left w:val="nil"/>
              <w:bottom w:val="nil"/>
              <w:right w:val="nil"/>
            </w:tcBorders>
            <w:shd w:val="clear" w:color="auto" w:fill="auto"/>
            <w:noWrap/>
            <w:vAlign w:val="bottom"/>
            <w:hideMark/>
          </w:tcPr>
          <w:p w14:paraId="2FBD2833" w14:textId="51AA7A4F" w:rsidR="008761C1" w:rsidRPr="00226892" w:rsidRDefault="008761C1" w:rsidP="008761C1">
            <w:pPr>
              <w:jc w:val="center"/>
              <w:rPr>
                <w:rFonts w:ascii="Arial" w:eastAsia="Times New Roman" w:hAnsi="Arial" w:cs="Arial"/>
                <w:color w:val="000000"/>
                <w:sz w:val="18"/>
                <w:szCs w:val="18"/>
                <w:lang w:val="sk-SK" w:eastAsia="sk-SK"/>
              </w:rPr>
            </w:pPr>
          </w:p>
        </w:tc>
        <w:tc>
          <w:tcPr>
            <w:tcW w:w="102" w:type="pct"/>
            <w:tcBorders>
              <w:top w:val="nil"/>
              <w:left w:val="nil"/>
              <w:bottom w:val="nil"/>
              <w:right w:val="nil"/>
            </w:tcBorders>
            <w:shd w:val="clear" w:color="auto" w:fill="auto"/>
            <w:noWrap/>
            <w:vAlign w:val="bottom"/>
            <w:hideMark/>
          </w:tcPr>
          <w:p w14:paraId="06BBF762" w14:textId="77777777" w:rsidR="008761C1" w:rsidRPr="00226892" w:rsidRDefault="008761C1" w:rsidP="008761C1">
            <w:pPr>
              <w:jc w:val="center"/>
              <w:rPr>
                <w:rFonts w:ascii="Arial" w:eastAsia="Times New Roman" w:hAnsi="Arial" w:cs="Arial"/>
                <w:color w:val="000000"/>
                <w:sz w:val="18"/>
                <w:szCs w:val="18"/>
                <w:lang w:val="sk-SK" w:eastAsia="sk-SK"/>
              </w:rPr>
            </w:pPr>
          </w:p>
        </w:tc>
        <w:tc>
          <w:tcPr>
            <w:tcW w:w="1002" w:type="pct"/>
            <w:tcBorders>
              <w:top w:val="nil"/>
              <w:left w:val="nil"/>
              <w:bottom w:val="nil"/>
              <w:right w:val="nil"/>
            </w:tcBorders>
            <w:shd w:val="clear" w:color="auto" w:fill="auto"/>
            <w:vAlign w:val="bottom"/>
          </w:tcPr>
          <w:p w14:paraId="740E2FAF" w14:textId="44EC3B46"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271</w:t>
            </w:r>
          </w:p>
        </w:tc>
        <w:tc>
          <w:tcPr>
            <w:tcW w:w="102" w:type="pct"/>
            <w:tcBorders>
              <w:top w:val="nil"/>
              <w:left w:val="nil"/>
              <w:bottom w:val="nil"/>
              <w:right w:val="nil"/>
            </w:tcBorders>
            <w:shd w:val="clear" w:color="auto" w:fill="auto"/>
            <w:vAlign w:val="bottom"/>
          </w:tcPr>
          <w:p w14:paraId="5F48388B" w14:textId="77777777" w:rsidR="008761C1" w:rsidRPr="00226892" w:rsidRDefault="008761C1" w:rsidP="008761C1">
            <w:pPr>
              <w:jc w:val="right"/>
              <w:rPr>
                <w:rFonts w:ascii="Arial" w:eastAsia="Times New Roman" w:hAnsi="Arial" w:cs="Arial"/>
                <w:color w:val="000000"/>
                <w:sz w:val="18"/>
                <w:szCs w:val="18"/>
                <w:lang w:val="sk-SK" w:eastAsia="sk-SK"/>
              </w:rPr>
            </w:pPr>
          </w:p>
        </w:tc>
        <w:tc>
          <w:tcPr>
            <w:tcW w:w="966" w:type="pct"/>
            <w:tcBorders>
              <w:top w:val="nil"/>
              <w:left w:val="nil"/>
              <w:bottom w:val="nil"/>
              <w:right w:val="nil"/>
            </w:tcBorders>
            <w:shd w:val="clear" w:color="auto" w:fill="auto"/>
            <w:vAlign w:val="bottom"/>
          </w:tcPr>
          <w:p w14:paraId="70AE22F4" w14:textId="35AACF30"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r>
      <w:tr w:rsidR="008761C1" w:rsidRPr="00226892" w14:paraId="6BE8841A" w14:textId="77777777" w:rsidTr="00096439">
        <w:trPr>
          <w:trHeight w:val="227"/>
        </w:trPr>
        <w:tc>
          <w:tcPr>
            <w:tcW w:w="2508" w:type="pct"/>
            <w:tcBorders>
              <w:top w:val="nil"/>
              <w:left w:val="nil"/>
              <w:bottom w:val="nil"/>
              <w:right w:val="nil"/>
            </w:tcBorders>
            <w:shd w:val="clear" w:color="auto" w:fill="auto"/>
            <w:noWrap/>
            <w:vAlign w:val="bottom"/>
            <w:hideMark/>
          </w:tcPr>
          <w:p w14:paraId="788709E7" w14:textId="1F31093E" w:rsidR="008761C1" w:rsidRPr="00226892" w:rsidRDefault="008761C1" w:rsidP="008761C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Úvery a pôžičky</w:t>
            </w:r>
          </w:p>
        </w:tc>
        <w:tc>
          <w:tcPr>
            <w:tcW w:w="320" w:type="pct"/>
            <w:tcBorders>
              <w:top w:val="nil"/>
              <w:left w:val="nil"/>
              <w:bottom w:val="nil"/>
              <w:right w:val="nil"/>
            </w:tcBorders>
            <w:shd w:val="clear" w:color="auto" w:fill="auto"/>
            <w:noWrap/>
            <w:vAlign w:val="bottom"/>
            <w:hideMark/>
          </w:tcPr>
          <w:p w14:paraId="6F93E358" w14:textId="2DF35A19" w:rsidR="008761C1" w:rsidRPr="00226892" w:rsidRDefault="008761C1" w:rsidP="008761C1">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w:t>
            </w:r>
            <w:r w:rsidR="0049047A" w:rsidRPr="00226892">
              <w:rPr>
                <w:rFonts w:ascii="Arial" w:eastAsia="Times New Roman" w:hAnsi="Arial" w:cs="Arial"/>
                <w:color w:val="000000"/>
                <w:sz w:val="18"/>
                <w:szCs w:val="18"/>
                <w:lang w:val="sk-SK" w:eastAsia="sk-SK"/>
              </w:rPr>
              <w:t>5</w:t>
            </w:r>
          </w:p>
        </w:tc>
        <w:tc>
          <w:tcPr>
            <w:tcW w:w="102" w:type="pct"/>
            <w:tcBorders>
              <w:top w:val="nil"/>
              <w:left w:val="nil"/>
              <w:bottom w:val="nil"/>
              <w:right w:val="nil"/>
            </w:tcBorders>
            <w:shd w:val="clear" w:color="auto" w:fill="auto"/>
            <w:noWrap/>
            <w:vAlign w:val="bottom"/>
            <w:hideMark/>
          </w:tcPr>
          <w:p w14:paraId="17858DB3" w14:textId="77777777" w:rsidR="008761C1" w:rsidRPr="00226892" w:rsidRDefault="008761C1" w:rsidP="008761C1">
            <w:pPr>
              <w:jc w:val="center"/>
              <w:rPr>
                <w:rFonts w:ascii="Arial" w:eastAsia="Times New Roman" w:hAnsi="Arial" w:cs="Arial"/>
                <w:sz w:val="18"/>
                <w:szCs w:val="18"/>
                <w:lang w:val="sk-SK" w:eastAsia="sk-SK"/>
              </w:rPr>
            </w:pPr>
          </w:p>
        </w:tc>
        <w:tc>
          <w:tcPr>
            <w:tcW w:w="1002" w:type="pct"/>
            <w:tcBorders>
              <w:top w:val="nil"/>
              <w:left w:val="nil"/>
              <w:bottom w:val="nil"/>
              <w:right w:val="nil"/>
            </w:tcBorders>
            <w:shd w:val="clear" w:color="auto" w:fill="auto"/>
            <w:vAlign w:val="bottom"/>
          </w:tcPr>
          <w:p w14:paraId="7999C0B3" w14:textId="74DB2758"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12 250</w:t>
            </w:r>
          </w:p>
        </w:tc>
        <w:tc>
          <w:tcPr>
            <w:tcW w:w="102" w:type="pct"/>
            <w:tcBorders>
              <w:top w:val="nil"/>
              <w:left w:val="nil"/>
              <w:bottom w:val="nil"/>
              <w:right w:val="nil"/>
            </w:tcBorders>
            <w:shd w:val="clear" w:color="auto" w:fill="auto"/>
            <w:vAlign w:val="bottom"/>
          </w:tcPr>
          <w:p w14:paraId="1A828778" w14:textId="77777777" w:rsidR="008761C1" w:rsidRPr="00226892" w:rsidRDefault="008761C1" w:rsidP="008761C1">
            <w:pPr>
              <w:jc w:val="right"/>
              <w:rPr>
                <w:rFonts w:ascii="Arial" w:eastAsia="Times New Roman" w:hAnsi="Arial" w:cs="Arial"/>
                <w:color w:val="000000"/>
                <w:sz w:val="18"/>
                <w:szCs w:val="18"/>
                <w:lang w:val="sk-SK" w:eastAsia="sk-SK"/>
              </w:rPr>
            </w:pPr>
          </w:p>
        </w:tc>
        <w:tc>
          <w:tcPr>
            <w:tcW w:w="966" w:type="pct"/>
            <w:tcBorders>
              <w:top w:val="nil"/>
              <w:left w:val="nil"/>
              <w:bottom w:val="nil"/>
              <w:right w:val="nil"/>
            </w:tcBorders>
            <w:shd w:val="clear" w:color="auto" w:fill="auto"/>
            <w:vAlign w:val="bottom"/>
          </w:tcPr>
          <w:p w14:paraId="1C93C490" w14:textId="4DD445F1" w:rsidR="008761C1" w:rsidRPr="00226892" w:rsidRDefault="003D39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26 880</w:t>
            </w:r>
          </w:p>
        </w:tc>
      </w:tr>
      <w:tr w:rsidR="008761C1" w:rsidRPr="00226892" w14:paraId="077BB06D" w14:textId="77777777" w:rsidTr="00096439">
        <w:trPr>
          <w:trHeight w:val="227"/>
        </w:trPr>
        <w:tc>
          <w:tcPr>
            <w:tcW w:w="2508" w:type="pct"/>
            <w:tcBorders>
              <w:top w:val="nil"/>
              <w:left w:val="nil"/>
              <w:bottom w:val="nil"/>
              <w:right w:val="nil"/>
            </w:tcBorders>
            <w:shd w:val="clear" w:color="auto" w:fill="auto"/>
            <w:noWrap/>
            <w:vAlign w:val="bottom"/>
            <w:hideMark/>
          </w:tcPr>
          <w:p w14:paraId="5220D7B3" w14:textId="0A4AE29D" w:rsidR="008761C1" w:rsidRPr="00226892" w:rsidRDefault="008761C1" w:rsidP="008761C1">
            <w:pPr>
              <w:rPr>
                <w:rFonts w:ascii="Arial" w:eastAsia="Times New Roman" w:hAnsi="Arial" w:cs="Arial"/>
                <w:color w:val="000000"/>
                <w:sz w:val="18"/>
                <w:szCs w:val="18"/>
                <w:lang w:val="sk-SK" w:eastAsia="sk-SK"/>
              </w:rPr>
            </w:pPr>
            <w:bookmarkStart w:id="7" w:name="RANGE!C61:H67"/>
            <w:bookmarkEnd w:id="7"/>
            <w:r w:rsidRPr="00226892">
              <w:rPr>
                <w:rFonts w:ascii="Arial" w:eastAsia="Times New Roman" w:hAnsi="Arial" w:cs="Arial"/>
                <w:color w:val="000000"/>
                <w:sz w:val="18"/>
                <w:szCs w:val="18"/>
                <w:lang w:val="sk-SK" w:eastAsia="sk-SK"/>
              </w:rPr>
              <w:t>Rezervy</w:t>
            </w:r>
          </w:p>
        </w:tc>
        <w:tc>
          <w:tcPr>
            <w:tcW w:w="320" w:type="pct"/>
            <w:tcBorders>
              <w:top w:val="nil"/>
              <w:left w:val="nil"/>
              <w:bottom w:val="nil"/>
              <w:right w:val="nil"/>
            </w:tcBorders>
            <w:shd w:val="clear" w:color="auto" w:fill="auto"/>
            <w:noWrap/>
            <w:vAlign w:val="bottom"/>
            <w:hideMark/>
          </w:tcPr>
          <w:p w14:paraId="50FFCA6A" w14:textId="487F2619" w:rsidR="008761C1" w:rsidRPr="00226892" w:rsidRDefault="008761C1" w:rsidP="008761C1">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w:t>
            </w:r>
            <w:r w:rsidR="0049047A" w:rsidRPr="00226892">
              <w:rPr>
                <w:rFonts w:ascii="Arial" w:eastAsia="Times New Roman" w:hAnsi="Arial" w:cs="Arial"/>
                <w:color w:val="000000"/>
                <w:sz w:val="18"/>
                <w:szCs w:val="18"/>
                <w:lang w:val="sk-SK" w:eastAsia="sk-SK"/>
              </w:rPr>
              <w:t>7</w:t>
            </w:r>
          </w:p>
        </w:tc>
        <w:tc>
          <w:tcPr>
            <w:tcW w:w="102" w:type="pct"/>
            <w:tcBorders>
              <w:top w:val="nil"/>
              <w:left w:val="nil"/>
              <w:bottom w:val="nil"/>
              <w:right w:val="nil"/>
            </w:tcBorders>
            <w:shd w:val="clear" w:color="auto" w:fill="auto"/>
            <w:noWrap/>
            <w:vAlign w:val="bottom"/>
            <w:hideMark/>
          </w:tcPr>
          <w:p w14:paraId="00051CED" w14:textId="77777777" w:rsidR="008761C1" w:rsidRPr="00226892" w:rsidRDefault="008761C1" w:rsidP="008761C1">
            <w:pPr>
              <w:jc w:val="center"/>
              <w:rPr>
                <w:rFonts w:ascii="Arial" w:eastAsia="Times New Roman" w:hAnsi="Arial" w:cs="Arial"/>
                <w:sz w:val="18"/>
                <w:szCs w:val="18"/>
                <w:lang w:val="sk-SK" w:eastAsia="sk-SK"/>
              </w:rPr>
            </w:pPr>
          </w:p>
        </w:tc>
        <w:tc>
          <w:tcPr>
            <w:tcW w:w="1002" w:type="pct"/>
            <w:tcBorders>
              <w:top w:val="nil"/>
              <w:left w:val="nil"/>
              <w:bottom w:val="nil"/>
              <w:right w:val="nil"/>
            </w:tcBorders>
            <w:shd w:val="clear" w:color="auto" w:fill="auto"/>
            <w:vAlign w:val="bottom"/>
          </w:tcPr>
          <w:p w14:paraId="5F337076" w14:textId="7CC14B13"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108</w:t>
            </w:r>
          </w:p>
        </w:tc>
        <w:tc>
          <w:tcPr>
            <w:tcW w:w="102" w:type="pct"/>
            <w:tcBorders>
              <w:top w:val="nil"/>
              <w:left w:val="nil"/>
              <w:bottom w:val="nil"/>
              <w:right w:val="nil"/>
            </w:tcBorders>
            <w:shd w:val="clear" w:color="auto" w:fill="auto"/>
            <w:vAlign w:val="bottom"/>
          </w:tcPr>
          <w:p w14:paraId="536E39D5" w14:textId="77777777" w:rsidR="008761C1" w:rsidRPr="00226892" w:rsidRDefault="008761C1" w:rsidP="008761C1">
            <w:pPr>
              <w:jc w:val="right"/>
              <w:rPr>
                <w:rFonts w:ascii="Arial" w:eastAsia="Times New Roman" w:hAnsi="Arial" w:cs="Arial"/>
                <w:color w:val="000000"/>
                <w:sz w:val="18"/>
                <w:szCs w:val="18"/>
                <w:lang w:val="sk-SK" w:eastAsia="sk-SK"/>
              </w:rPr>
            </w:pPr>
          </w:p>
        </w:tc>
        <w:tc>
          <w:tcPr>
            <w:tcW w:w="966" w:type="pct"/>
            <w:tcBorders>
              <w:top w:val="nil"/>
              <w:left w:val="nil"/>
              <w:bottom w:val="nil"/>
              <w:right w:val="nil"/>
            </w:tcBorders>
            <w:shd w:val="clear" w:color="auto" w:fill="auto"/>
            <w:vAlign w:val="bottom"/>
          </w:tcPr>
          <w:p w14:paraId="46AD7559" w14:textId="1E6A0CF1"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322</w:t>
            </w:r>
          </w:p>
        </w:tc>
      </w:tr>
      <w:tr w:rsidR="008761C1" w:rsidRPr="00226892" w14:paraId="562588C8" w14:textId="77777777" w:rsidTr="00096439">
        <w:trPr>
          <w:trHeight w:val="227"/>
        </w:trPr>
        <w:tc>
          <w:tcPr>
            <w:tcW w:w="2508" w:type="pct"/>
            <w:tcBorders>
              <w:top w:val="nil"/>
              <w:left w:val="nil"/>
              <w:bottom w:val="nil"/>
              <w:right w:val="nil"/>
            </w:tcBorders>
            <w:shd w:val="clear" w:color="auto" w:fill="auto"/>
            <w:noWrap/>
            <w:vAlign w:val="bottom"/>
            <w:hideMark/>
          </w:tcPr>
          <w:p w14:paraId="2F2BF7F3" w14:textId="1FAE7CCC" w:rsidR="008761C1" w:rsidRPr="00226892" w:rsidRDefault="008761C1" w:rsidP="008761C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Výnosy budúcich </w:t>
            </w:r>
            <w:proofErr w:type="spellStart"/>
            <w:r w:rsidRPr="00226892">
              <w:rPr>
                <w:rFonts w:ascii="Arial" w:eastAsia="Times New Roman" w:hAnsi="Arial" w:cs="Arial"/>
                <w:color w:val="000000"/>
                <w:sz w:val="18"/>
                <w:szCs w:val="18"/>
                <w:lang w:val="sk-SK" w:eastAsia="sk-SK"/>
              </w:rPr>
              <w:t>odbobí</w:t>
            </w:r>
            <w:proofErr w:type="spellEnd"/>
          </w:p>
        </w:tc>
        <w:tc>
          <w:tcPr>
            <w:tcW w:w="320" w:type="pct"/>
            <w:tcBorders>
              <w:top w:val="nil"/>
              <w:left w:val="nil"/>
              <w:bottom w:val="nil"/>
              <w:right w:val="nil"/>
            </w:tcBorders>
            <w:shd w:val="clear" w:color="auto" w:fill="auto"/>
            <w:noWrap/>
            <w:vAlign w:val="bottom"/>
            <w:hideMark/>
          </w:tcPr>
          <w:p w14:paraId="44D40184" w14:textId="0CB2B183" w:rsidR="008761C1" w:rsidRPr="00226892" w:rsidRDefault="008761C1" w:rsidP="008761C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1</w:t>
            </w:r>
            <w:r w:rsidR="0049047A" w:rsidRPr="00226892">
              <w:rPr>
                <w:rFonts w:ascii="Arial" w:eastAsia="Times New Roman" w:hAnsi="Arial" w:cs="Arial"/>
                <w:color w:val="000000"/>
                <w:sz w:val="18"/>
                <w:szCs w:val="18"/>
                <w:lang w:val="sk-SK" w:eastAsia="sk-SK"/>
              </w:rPr>
              <w:t>9</w:t>
            </w:r>
          </w:p>
        </w:tc>
        <w:tc>
          <w:tcPr>
            <w:tcW w:w="102" w:type="pct"/>
            <w:tcBorders>
              <w:top w:val="nil"/>
              <w:left w:val="nil"/>
              <w:bottom w:val="nil"/>
              <w:right w:val="nil"/>
            </w:tcBorders>
            <w:shd w:val="clear" w:color="auto" w:fill="auto"/>
            <w:noWrap/>
            <w:vAlign w:val="bottom"/>
            <w:hideMark/>
          </w:tcPr>
          <w:p w14:paraId="144AEF6F" w14:textId="77777777" w:rsidR="008761C1" w:rsidRPr="00226892" w:rsidRDefault="008761C1" w:rsidP="008761C1">
            <w:pPr>
              <w:jc w:val="center"/>
              <w:rPr>
                <w:rFonts w:ascii="Arial" w:eastAsia="Times New Roman" w:hAnsi="Arial" w:cs="Arial"/>
                <w:sz w:val="18"/>
                <w:szCs w:val="18"/>
                <w:lang w:val="sk-SK" w:eastAsia="sk-SK"/>
              </w:rPr>
            </w:pPr>
          </w:p>
        </w:tc>
        <w:tc>
          <w:tcPr>
            <w:tcW w:w="1002" w:type="pct"/>
            <w:tcBorders>
              <w:top w:val="nil"/>
              <w:left w:val="nil"/>
              <w:bottom w:val="nil"/>
              <w:right w:val="nil"/>
            </w:tcBorders>
            <w:shd w:val="clear" w:color="auto" w:fill="auto"/>
            <w:vAlign w:val="bottom"/>
          </w:tcPr>
          <w:p w14:paraId="19D03DEF" w14:textId="657F48E6"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293</w:t>
            </w:r>
          </w:p>
        </w:tc>
        <w:tc>
          <w:tcPr>
            <w:tcW w:w="102" w:type="pct"/>
            <w:tcBorders>
              <w:top w:val="nil"/>
              <w:left w:val="nil"/>
              <w:bottom w:val="nil"/>
              <w:right w:val="nil"/>
            </w:tcBorders>
            <w:shd w:val="clear" w:color="auto" w:fill="auto"/>
            <w:vAlign w:val="bottom"/>
          </w:tcPr>
          <w:p w14:paraId="64E4ADAC" w14:textId="77777777" w:rsidR="008761C1" w:rsidRPr="00226892" w:rsidRDefault="008761C1" w:rsidP="008761C1">
            <w:pPr>
              <w:jc w:val="right"/>
              <w:rPr>
                <w:rFonts w:ascii="Arial" w:eastAsia="Times New Roman" w:hAnsi="Arial" w:cs="Arial"/>
                <w:color w:val="000000"/>
                <w:sz w:val="18"/>
                <w:szCs w:val="18"/>
                <w:lang w:val="sk-SK" w:eastAsia="sk-SK"/>
              </w:rPr>
            </w:pPr>
          </w:p>
        </w:tc>
        <w:tc>
          <w:tcPr>
            <w:tcW w:w="966" w:type="pct"/>
            <w:tcBorders>
              <w:top w:val="nil"/>
              <w:left w:val="nil"/>
              <w:bottom w:val="nil"/>
              <w:right w:val="nil"/>
            </w:tcBorders>
            <w:shd w:val="clear" w:color="auto" w:fill="auto"/>
            <w:vAlign w:val="bottom"/>
          </w:tcPr>
          <w:p w14:paraId="33E79400" w14:textId="5F1C871B" w:rsidR="008761C1" w:rsidRPr="00226892" w:rsidRDefault="008761C1" w:rsidP="008761C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4 876</w:t>
            </w:r>
          </w:p>
        </w:tc>
      </w:tr>
      <w:tr w:rsidR="008761C1" w:rsidRPr="00226892" w14:paraId="59937D6E" w14:textId="77777777" w:rsidTr="00096439">
        <w:trPr>
          <w:trHeight w:val="227"/>
        </w:trPr>
        <w:tc>
          <w:tcPr>
            <w:tcW w:w="2508" w:type="pct"/>
            <w:tcBorders>
              <w:top w:val="nil"/>
              <w:left w:val="nil"/>
              <w:bottom w:val="nil"/>
              <w:right w:val="nil"/>
            </w:tcBorders>
            <w:shd w:val="clear" w:color="auto" w:fill="auto"/>
            <w:noWrap/>
            <w:vAlign w:val="bottom"/>
            <w:hideMark/>
          </w:tcPr>
          <w:p w14:paraId="78FD571D" w14:textId="77777777" w:rsidR="008761C1" w:rsidRPr="00226892" w:rsidRDefault="008761C1" w:rsidP="008761C1">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Krátkodobé záväzky spolu</w:t>
            </w:r>
          </w:p>
        </w:tc>
        <w:tc>
          <w:tcPr>
            <w:tcW w:w="320" w:type="pct"/>
            <w:tcBorders>
              <w:top w:val="nil"/>
              <w:left w:val="nil"/>
              <w:bottom w:val="nil"/>
              <w:right w:val="nil"/>
            </w:tcBorders>
            <w:shd w:val="clear" w:color="auto" w:fill="auto"/>
            <w:noWrap/>
            <w:vAlign w:val="bottom"/>
            <w:hideMark/>
          </w:tcPr>
          <w:p w14:paraId="2A03FA68" w14:textId="77777777" w:rsidR="008761C1" w:rsidRPr="00226892" w:rsidRDefault="008761C1" w:rsidP="008761C1">
            <w:pPr>
              <w:rPr>
                <w:rFonts w:ascii="Arial" w:eastAsia="Times New Roman" w:hAnsi="Arial" w:cs="Arial"/>
                <w:b/>
                <w:bCs/>
                <w:color w:val="000000"/>
                <w:sz w:val="18"/>
                <w:szCs w:val="18"/>
                <w:lang w:val="sk-SK" w:eastAsia="sk-SK"/>
              </w:rPr>
            </w:pPr>
          </w:p>
        </w:tc>
        <w:tc>
          <w:tcPr>
            <w:tcW w:w="102" w:type="pct"/>
            <w:tcBorders>
              <w:top w:val="nil"/>
              <w:left w:val="nil"/>
              <w:bottom w:val="nil"/>
              <w:right w:val="nil"/>
            </w:tcBorders>
            <w:shd w:val="clear" w:color="auto" w:fill="auto"/>
            <w:noWrap/>
            <w:vAlign w:val="bottom"/>
            <w:hideMark/>
          </w:tcPr>
          <w:p w14:paraId="75AA3FD2" w14:textId="77777777" w:rsidR="008761C1" w:rsidRPr="00226892" w:rsidRDefault="008761C1" w:rsidP="008761C1">
            <w:pPr>
              <w:rPr>
                <w:rFonts w:ascii="Arial" w:eastAsia="Times New Roman" w:hAnsi="Arial" w:cs="Arial"/>
                <w:sz w:val="18"/>
                <w:szCs w:val="18"/>
                <w:lang w:val="sk-SK" w:eastAsia="sk-SK"/>
              </w:rPr>
            </w:pPr>
          </w:p>
        </w:tc>
        <w:tc>
          <w:tcPr>
            <w:tcW w:w="1002" w:type="pct"/>
            <w:tcBorders>
              <w:top w:val="single" w:sz="4" w:space="0" w:color="auto"/>
              <w:left w:val="nil"/>
              <w:bottom w:val="double" w:sz="6" w:space="0" w:color="auto"/>
              <w:right w:val="nil"/>
            </w:tcBorders>
            <w:shd w:val="clear" w:color="auto" w:fill="auto"/>
            <w:vAlign w:val="bottom"/>
          </w:tcPr>
          <w:p w14:paraId="1F5F458A" w14:textId="12BEBA8E" w:rsidR="008761C1" w:rsidRPr="00226892" w:rsidRDefault="008761C1" w:rsidP="008761C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54 </w:t>
            </w:r>
            <w:r w:rsidR="007450FE" w:rsidRPr="00226892">
              <w:rPr>
                <w:rFonts w:ascii="Arial" w:eastAsia="Times New Roman" w:hAnsi="Arial" w:cs="Arial"/>
                <w:b/>
                <w:bCs/>
                <w:color w:val="000000"/>
                <w:sz w:val="18"/>
                <w:szCs w:val="18"/>
                <w:lang w:val="sk-SK" w:eastAsia="sk-SK"/>
              </w:rPr>
              <w:t>490</w:t>
            </w:r>
          </w:p>
        </w:tc>
        <w:tc>
          <w:tcPr>
            <w:tcW w:w="102" w:type="pct"/>
            <w:tcBorders>
              <w:top w:val="nil"/>
              <w:left w:val="nil"/>
              <w:bottom w:val="nil"/>
              <w:right w:val="nil"/>
            </w:tcBorders>
            <w:shd w:val="clear" w:color="auto" w:fill="auto"/>
            <w:vAlign w:val="bottom"/>
          </w:tcPr>
          <w:p w14:paraId="24FB887D" w14:textId="77777777" w:rsidR="008761C1" w:rsidRPr="00226892" w:rsidRDefault="008761C1" w:rsidP="008761C1">
            <w:pPr>
              <w:jc w:val="right"/>
              <w:rPr>
                <w:rFonts w:ascii="Arial" w:eastAsia="Times New Roman" w:hAnsi="Arial" w:cs="Arial"/>
                <w:b/>
                <w:bCs/>
                <w:color w:val="000000"/>
                <w:sz w:val="18"/>
                <w:szCs w:val="18"/>
                <w:lang w:val="sk-SK" w:eastAsia="sk-SK"/>
              </w:rPr>
            </w:pPr>
          </w:p>
        </w:tc>
        <w:tc>
          <w:tcPr>
            <w:tcW w:w="966" w:type="pct"/>
            <w:tcBorders>
              <w:top w:val="single" w:sz="4" w:space="0" w:color="auto"/>
              <w:left w:val="nil"/>
              <w:bottom w:val="double" w:sz="6" w:space="0" w:color="auto"/>
              <w:right w:val="nil"/>
            </w:tcBorders>
            <w:shd w:val="clear" w:color="auto" w:fill="auto"/>
            <w:vAlign w:val="bottom"/>
          </w:tcPr>
          <w:p w14:paraId="60AFF694" w14:textId="638C1ECB" w:rsidR="008761C1" w:rsidRPr="00226892" w:rsidRDefault="003D39C1" w:rsidP="008761C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63 929</w:t>
            </w:r>
          </w:p>
        </w:tc>
      </w:tr>
      <w:tr w:rsidR="008761C1" w:rsidRPr="00226892" w14:paraId="0D5B25AC" w14:textId="77777777" w:rsidTr="00096439">
        <w:trPr>
          <w:trHeight w:val="227"/>
        </w:trPr>
        <w:tc>
          <w:tcPr>
            <w:tcW w:w="2508" w:type="pct"/>
            <w:tcBorders>
              <w:top w:val="nil"/>
              <w:left w:val="nil"/>
              <w:bottom w:val="nil"/>
              <w:right w:val="nil"/>
            </w:tcBorders>
            <w:shd w:val="clear" w:color="auto" w:fill="auto"/>
            <w:noWrap/>
            <w:vAlign w:val="bottom"/>
            <w:hideMark/>
          </w:tcPr>
          <w:p w14:paraId="0A3FD3DC" w14:textId="77777777" w:rsidR="008761C1" w:rsidRPr="00226892" w:rsidRDefault="008761C1" w:rsidP="008761C1">
            <w:pPr>
              <w:rPr>
                <w:rFonts w:ascii="Arial" w:eastAsia="Times New Roman" w:hAnsi="Arial" w:cs="Arial"/>
                <w:b/>
                <w:bCs/>
                <w:color w:val="000000"/>
                <w:sz w:val="18"/>
                <w:szCs w:val="18"/>
                <w:lang w:val="sk-SK" w:eastAsia="sk-SK"/>
              </w:rPr>
            </w:pPr>
          </w:p>
        </w:tc>
        <w:tc>
          <w:tcPr>
            <w:tcW w:w="320" w:type="pct"/>
            <w:tcBorders>
              <w:top w:val="nil"/>
              <w:left w:val="nil"/>
              <w:bottom w:val="nil"/>
              <w:right w:val="nil"/>
            </w:tcBorders>
            <w:shd w:val="clear" w:color="auto" w:fill="auto"/>
            <w:noWrap/>
            <w:vAlign w:val="bottom"/>
            <w:hideMark/>
          </w:tcPr>
          <w:p w14:paraId="4DAF4BCE" w14:textId="77777777" w:rsidR="008761C1" w:rsidRPr="00226892" w:rsidRDefault="008761C1" w:rsidP="008761C1">
            <w:pPr>
              <w:rPr>
                <w:rFonts w:ascii="Arial" w:eastAsia="Times New Roman" w:hAnsi="Arial" w:cs="Arial"/>
                <w:sz w:val="18"/>
                <w:szCs w:val="18"/>
                <w:lang w:val="sk-SK" w:eastAsia="sk-SK"/>
              </w:rPr>
            </w:pPr>
          </w:p>
        </w:tc>
        <w:tc>
          <w:tcPr>
            <w:tcW w:w="102" w:type="pct"/>
            <w:tcBorders>
              <w:top w:val="nil"/>
              <w:left w:val="nil"/>
              <w:bottom w:val="nil"/>
              <w:right w:val="nil"/>
            </w:tcBorders>
            <w:shd w:val="clear" w:color="auto" w:fill="auto"/>
            <w:noWrap/>
            <w:vAlign w:val="bottom"/>
            <w:hideMark/>
          </w:tcPr>
          <w:p w14:paraId="58FBF01B" w14:textId="77777777" w:rsidR="008761C1" w:rsidRPr="00226892" w:rsidRDefault="008761C1" w:rsidP="008761C1">
            <w:pPr>
              <w:rPr>
                <w:rFonts w:ascii="Arial" w:eastAsia="Times New Roman" w:hAnsi="Arial" w:cs="Arial"/>
                <w:sz w:val="18"/>
                <w:szCs w:val="18"/>
                <w:lang w:val="sk-SK" w:eastAsia="sk-SK"/>
              </w:rPr>
            </w:pPr>
          </w:p>
        </w:tc>
        <w:tc>
          <w:tcPr>
            <w:tcW w:w="1002" w:type="pct"/>
            <w:tcBorders>
              <w:top w:val="nil"/>
              <w:left w:val="nil"/>
              <w:bottom w:val="nil"/>
              <w:right w:val="nil"/>
            </w:tcBorders>
            <w:shd w:val="clear" w:color="auto" w:fill="auto"/>
            <w:vAlign w:val="bottom"/>
          </w:tcPr>
          <w:p w14:paraId="54372695" w14:textId="77777777" w:rsidR="008761C1" w:rsidRPr="00226892" w:rsidRDefault="008761C1" w:rsidP="008761C1">
            <w:pPr>
              <w:jc w:val="right"/>
              <w:rPr>
                <w:rFonts w:ascii="Arial" w:eastAsia="Times New Roman" w:hAnsi="Arial" w:cs="Arial"/>
                <w:sz w:val="18"/>
                <w:szCs w:val="18"/>
                <w:lang w:val="sk-SK" w:eastAsia="sk-SK"/>
              </w:rPr>
            </w:pPr>
          </w:p>
        </w:tc>
        <w:tc>
          <w:tcPr>
            <w:tcW w:w="102" w:type="pct"/>
            <w:tcBorders>
              <w:top w:val="nil"/>
              <w:left w:val="nil"/>
              <w:bottom w:val="nil"/>
              <w:right w:val="nil"/>
            </w:tcBorders>
            <w:shd w:val="clear" w:color="auto" w:fill="auto"/>
            <w:vAlign w:val="bottom"/>
          </w:tcPr>
          <w:p w14:paraId="62CFF5BF" w14:textId="77777777" w:rsidR="008761C1" w:rsidRPr="00226892" w:rsidRDefault="008761C1" w:rsidP="008761C1">
            <w:pPr>
              <w:jc w:val="right"/>
              <w:rPr>
                <w:rFonts w:ascii="Arial" w:eastAsia="Times New Roman" w:hAnsi="Arial" w:cs="Arial"/>
                <w:sz w:val="18"/>
                <w:szCs w:val="18"/>
                <w:lang w:val="sk-SK" w:eastAsia="sk-SK"/>
              </w:rPr>
            </w:pPr>
          </w:p>
        </w:tc>
        <w:tc>
          <w:tcPr>
            <w:tcW w:w="966" w:type="pct"/>
            <w:tcBorders>
              <w:top w:val="nil"/>
              <w:left w:val="nil"/>
              <w:bottom w:val="nil"/>
              <w:right w:val="nil"/>
            </w:tcBorders>
            <w:shd w:val="clear" w:color="auto" w:fill="auto"/>
            <w:vAlign w:val="bottom"/>
          </w:tcPr>
          <w:p w14:paraId="5F139580" w14:textId="77777777" w:rsidR="008761C1" w:rsidRPr="00226892" w:rsidRDefault="008761C1" w:rsidP="008761C1">
            <w:pPr>
              <w:jc w:val="right"/>
              <w:rPr>
                <w:rFonts w:ascii="Arial" w:eastAsia="Times New Roman" w:hAnsi="Arial" w:cs="Arial"/>
                <w:sz w:val="18"/>
                <w:szCs w:val="18"/>
                <w:lang w:val="sk-SK" w:eastAsia="sk-SK"/>
              </w:rPr>
            </w:pPr>
          </w:p>
        </w:tc>
      </w:tr>
      <w:tr w:rsidR="008761C1" w:rsidRPr="00226892" w14:paraId="50AF312F" w14:textId="77777777" w:rsidTr="00096439">
        <w:trPr>
          <w:trHeight w:val="227"/>
        </w:trPr>
        <w:tc>
          <w:tcPr>
            <w:tcW w:w="2508" w:type="pct"/>
            <w:tcBorders>
              <w:top w:val="nil"/>
              <w:left w:val="nil"/>
              <w:bottom w:val="nil"/>
              <w:right w:val="nil"/>
            </w:tcBorders>
            <w:shd w:val="clear" w:color="auto" w:fill="auto"/>
            <w:noWrap/>
            <w:vAlign w:val="bottom"/>
            <w:hideMark/>
          </w:tcPr>
          <w:p w14:paraId="7CC0E69C" w14:textId="77777777" w:rsidR="008761C1" w:rsidRPr="00226892" w:rsidRDefault="008761C1" w:rsidP="008761C1">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Záväzky spolu</w:t>
            </w:r>
          </w:p>
        </w:tc>
        <w:tc>
          <w:tcPr>
            <w:tcW w:w="320" w:type="pct"/>
            <w:tcBorders>
              <w:top w:val="nil"/>
              <w:left w:val="nil"/>
              <w:bottom w:val="nil"/>
              <w:right w:val="nil"/>
            </w:tcBorders>
            <w:shd w:val="clear" w:color="auto" w:fill="auto"/>
            <w:noWrap/>
            <w:vAlign w:val="bottom"/>
            <w:hideMark/>
          </w:tcPr>
          <w:p w14:paraId="0F5BF88B" w14:textId="77777777" w:rsidR="008761C1" w:rsidRPr="00226892" w:rsidRDefault="008761C1" w:rsidP="008761C1">
            <w:pPr>
              <w:rPr>
                <w:rFonts w:ascii="Arial" w:eastAsia="Times New Roman" w:hAnsi="Arial" w:cs="Arial"/>
                <w:b/>
                <w:bCs/>
                <w:color w:val="000000"/>
                <w:sz w:val="18"/>
                <w:szCs w:val="18"/>
                <w:lang w:val="sk-SK" w:eastAsia="sk-SK"/>
              </w:rPr>
            </w:pPr>
          </w:p>
        </w:tc>
        <w:tc>
          <w:tcPr>
            <w:tcW w:w="102" w:type="pct"/>
            <w:tcBorders>
              <w:top w:val="nil"/>
              <w:left w:val="nil"/>
              <w:bottom w:val="nil"/>
              <w:right w:val="nil"/>
            </w:tcBorders>
            <w:shd w:val="clear" w:color="auto" w:fill="auto"/>
            <w:noWrap/>
            <w:vAlign w:val="bottom"/>
            <w:hideMark/>
          </w:tcPr>
          <w:p w14:paraId="565AA85D" w14:textId="77777777" w:rsidR="008761C1" w:rsidRPr="00226892" w:rsidRDefault="008761C1" w:rsidP="008761C1">
            <w:pPr>
              <w:rPr>
                <w:rFonts w:ascii="Arial" w:eastAsia="Times New Roman" w:hAnsi="Arial" w:cs="Arial"/>
                <w:sz w:val="18"/>
                <w:szCs w:val="18"/>
                <w:lang w:val="sk-SK" w:eastAsia="sk-SK"/>
              </w:rPr>
            </w:pPr>
          </w:p>
        </w:tc>
        <w:tc>
          <w:tcPr>
            <w:tcW w:w="1002" w:type="pct"/>
            <w:tcBorders>
              <w:top w:val="nil"/>
              <w:left w:val="nil"/>
              <w:bottom w:val="nil"/>
              <w:right w:val="nil"/>
            </w:tcBorders>
            <w:shd w:val="clear" w:color="auto" w:fill="auto"/>
            <w:vAlign w:val="bottom"/>
          </w:tcPr>
          <w:p w14:paraId="6EF9D6A4" w14:textId="0D9D2151" w:rsidR="008761C1" w:rsidRPr="00226892" w:rsidRDefault="008761C1" w:rsidP="008761C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84 </w:t>
            </w:r>
            <w:r w:rsidR="007450FE" w:rsidRPr="00226892">
              <w:rPr>
                <w:rFonts w:ascii="Arial" w:eastAsia="Times New Roman" w:hAnsi="Arial" w:cs="Arial"/>
                <w:b/>
                <w:bCs/>
                <w:color w:val="000000"/>
                <w:sz w:val="18"/>
                <w:szCs w:val="18"/>
                <w:lang w:val="sk-SK" w:eastAsia="sk-SK"/>
              </w:rPr>
              <w:t>356</w:t>
            </w:r>
          </w:p>
        </w:tc>
        <w:tc>
          <w:tcPr>
            <w:tcW w:w="102" w:type="pct"/>
            <w:tcBorders>
              <w:top w:val="nil"/>
              <w:left w:val="nil"/>
              <w:bottom w:val="nil"/>
              <w:right w:val="nil"/>
            </w:tcBorders>
            <w:shd w:val="clear" w:color="auto" w:fill="auto"/>
            <w:vAlign w:val="bottom"/>
          </w:tcPr>
          <w:p w14:paraId="01AC5023" w14:textId="77777777" w:rsidR="008761C1" w:rsidRPr="00226892" w:rsidRDefault="008761C1" w:rsidP="008761C1">
            <w:pPr>
              <w:jc w:val="right"/>
              <w:rPr>
                <w:rFonts w:ascii="Arial" w:eastAsia="Times New Roman" w:hAnsi="Arial" w:cs="Arial"/>
                <w:b/>
                <w:bCs/>
                <w:color w:val="000000"/>
                <w:sz w:val="18"/>
                <w:szCs w:val="18"/>
                <w:lang w:val="sk-SK" w:eastAsia="sk-SK"/>
              </w:rPr>
            </w:pPr>
          </w:p>
        </w:tc>
        <w:tc>
          <w:tcPr>
            <w:tcW w:w="966" w:type="pct"/>
            <w:tcBorders>
              <w:top w:val="nil"/>
              <w:left w:val="nil"/>
              <w:bottom w:val="nil"/>
              <w:right w:val="nil"/>
            </w:tcBorders>
            <w:shd w:val="clear" w:color="auto" w:fill="auto"/>
            <w:vAlign w:val="bottom"/>
          </w:tcPr>
          <w:p w14:paraId="4A8AFA3F" w14:textId="4F8501AE" w:rsidR="008761C1" w:rsidRPr="00226892" w:rsidRDefault="008761C1" w:rsidP="008761C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99 602</w:t>
            </w:r>
          </w:p>
        </w:tc>
      </w:tr>
      <w:tr w:rsidR="008761C1" w:rsidRPr="00226892" w14:paraId="55659D9B" w14:textId="77777777" w:rsidTr="00096439">
        <w:trPr>
          <w:trHeight w:val="227"/>
        </w:trPr>
        <w:tc>
          <w:tcPr>
            <w:tcW w:w="2508" w:type="pct"/>
            <w:tcBorders>
              <w:top w:val="nil"/>
              <w:left w:val="nil"/>
              <w:bottom w:val="nil"/>
              <w:right w:val="nil"/>
            </w:tcBorders>
            <w:shd w:val="clear" w:color="auto" w:fill="auto"/>
            <w:noWrap/>
            <w:vAlign w:val="bottom"/>
            <w:hideMark/>
          </w:tcPr>
          <w:p w14:paraId="6BFEB0F0" w14:textId="77777777" w:rsidR="008761C1" w:rsidRPr="00226892" w:rsidRDefault="008761C1" w:rsidP="008761C1">
            <w:pPr>
              <w:rPr>
                <w:rFonts w:ascii="Arial" w:eastAsia="Times New Roman" w:hAnsi="Arial" w:cs="Arial"/>
                <w:color w:val="000000"/>
                <w:sz w:val="18"/>
                <w:szCs w:val="18"/>
                <w:lang w:val="sk-SK" w:eastAsia="sk-SK"/>
              </w:rPr>
            </w:pPr>
            <w:bookmarkStart w:id="8" w:name="RANGE!C66"/>
            <w:bookmarkEnd w:id="8"/>
          </w:p>
        </w:tc>
        <w:tc>
          <w:tcPr>
            <w:tcW w:w="320" w:type="pct"/>
            <w:tcBorders>
              <w:top w:val="nil"/>
              <w:left w:val="nil"/>
              <w:bottom w:val="nil"/>
              <w:right w:val="nil"/>
            </w:tcBorders>
            <w:shd w:val="clear" w:color="auto" w:fill="auto"/>
            <w:noWrap/>
            <w:vAlign w:val="bottom"/>
            <w:hideMark/>
          </w:tcPr>
          <w:p w14:paraId="24D6D15D" w14:textId="77777777" w:rsidR="008761C1" w:rsidRPr="00226892" w:rsidRDefault="008761C1" w:rsidP="008761C1">
            <w:pPr>
              <w:rPr>
                <w:rFonts w:ascii="Arial" w:eastAsia="Times New Roman" w:hAnsi="Arial" w:cs="Arial"/>
                <w:sz w:val="18"/>
                <w:szCs w:val="18"/>
                <w:lang w:val="sk-SK" w:eastAsia="sk-SK"/>
              </w:rPr>
            </w:pPr>
            <w:bookmarkStart w:id="9" w:name="RANGE!D66"/>
            <w:bookmarkEnd w:id="9"/>
          </w:p>
        </w:tc>
        <w:tc>
          <w:tcPr>
            <w:tcW w:w="102" w:type="pct"/>
            <w:tcBorders>
              <w:top w:val="nil"/>
              <w:left w:val="nil"/>
              <w:bottom w:val="nil"/>
              <w:right w:val="nil"/>
            </w:tcBorders>
            <w:shd w:val="clear" w:color="auto" w:fill="auto"/>
            <w:noWrap/>
            <w:vAlign w:val="bottom"/>
            <w:hideMark/>
          </w:tcPr>
          <w:p w14:paraId="602A9F18" w14:textId="77777777" w:rsidR="008761C1" w:rsidRPr="00226892" w:rsidRDefault="008761C1" w:rsidP="008761C1">
            <w:pPr>
              <w:rPr>
                <w:rFonts w:ascii="Arial" w:eastAsia="Times New Roman" w:hAnsi="Arial" w:cs="Arial"/>
                <w:sz w:val="18"/>
                <w:szCs w:val="18"/>
                <w:lang w:val="sk-SK" w:eastAsia="sk-SK"/>
              </w:rPr>
            </w:pPr>
            <w:bookmarkStart w:id="10" w:name="RANGE!E66"/>
            <w:bookmarkEnd w:id="10"/>
          </w:p>
        </w:tc>
        <w:tc>
          <w:tcPr>
            <w:tcW w:w="1002" w:type="pct"/>
            <w:tcBorders>
              <w:top w:val="nil"/>
              <w:left w:val="nil"/>
              <w:bottom w:val="nil"/>
              <w:right w:val="nil"/>
            </w:tcBorders>
            <w:shd w:val="clear" w:color="auto" w:fill="auto"/>
            <w:vAlign w:val="bottom"/>
          </w:tcPr>
          <w:p w14:paraId="5E265267" w14:textId="77777777" w:rsidR="008761C1" w:rsidRPr="00226892" w:rsidRDefault="008761C1" w:rsidP="008761C1">
            <w:pPr>
              <w:jc w:val="right"/>
              <w:rPr>
                <w:rFonts w:ascii="Arial" w:eastAsia="Times New Roman" w:hAnsi="Arial" w:cs="Arial"/>
                <w:sz w:val="18"/>
                <w:szCs w:val="18"/>
                <w:lang w:val="sk-SK" w:eastAsia="sk-SK"/>
              </w:rPr>
            </w:pPr>
            <w:bookmarkStart w:id="11" w:name="RANGE!F66"/>
            <w:bookmarkEnd w:id="11"/>
          </w:p>
        </w:tc>
        <w:tc>
          <w:tcPr>
            <w:tcW w:w="102" w:type="pct"/>
            <w:tcBorders>
              <w:top w:val="nil"/>
              <w:left w:val="nil"/>
              <w:bottom w:val="nil"/>
              <w:right w:val="nil"/>
            </w:tcBorders>
            <w:shd w:val="clear" w:color="auto" w:fill="auto"/>
            <w:vAlign w:val="bottom"/>
          </w:tcPr>
          <w:p w14:paraId="7F342ED4" w14:textId="77777777" w:rsidR="008761C1" w:rsidRPr="00226892" w:rsidRDefault="008761C1" w:rsidP="008761C1">
            <w:pPr>
              <w:jc w:val="right"/>
              <w:rPr>
                <w:rFonts w:ascii="Arial" w:eastAsia="Times New Roman" w:hAnsi="Arial" w:cs="Arial"/>
                <w:sz w:val="18"/>
                <w:szCs w:val="18"/>
                <w:lang w:val="sk-SK" w:eastAsia="sk-SK"/>
              </w:rPr>
            </w:pPr>
            <w:bookmarkStart w:id="12" w:name="RANGE!G66"/>
            <w:bookmarkEnd w:id="12"/>
          </w:p>
        </w:tc>
        <w:tc>
          <w:tcPr>
            <w:tcW w:w="966" w:type="pct"/>
            <w:tcBorders>
              <w:top w:val="nil"/>
              <w:left w:val="nil"/>
              <w:bottom w:val="nil"/>
              <w:right w:val="nil"/>
            </w:tcBorders>
            <w:shd w:val="clear" w:color="auto" w:fill="auto"/>
            <w:vAlign w:val="bottom"/>
          </w:tcPr>
          <w:p w14:paraId="0FF56D0F" w14:textId="77777777" w:rsidR="008761C1" w:rsidRPr="00226892" w:rsidRDefault="008761C1" w:rsidP="008761C1">
            <w:pPr>
              <w:jc w:val="right"/>
              <w:rPr>
                <w:rFonts w:ascii="Arial" w:eastAsia="Times New Roman" w:hAnsi="Arial" w:cs="Arial"/>
                <w:sz w:val="18"/>
                <w:szCs w:val="18"/>
                <w:lang w:val="sk-SK" w:eastAsia="sk-SK"/>
              </w:rPr>
            </w:pPr>
            <w:bookmarkStart w:id="13" w:name="RANGE!H66"/>
            <w:bookmarkEnd w:id="13"/>
          </w:p>
        </w:tc>
      </w:tr>
      <w:tr w:rsidR="008761C1" w:rsidRPr="00226892" w14:paraId="4F6BF471" w14:textId="77777777" w:rsidTr="00096439">
        <w:trPr>
          <w:trHeight w:val="227"/>
        </w:trPr>
        <w:tc>
          <w:tcPr>
            <w:tcW w:w="2508" w:type="pct"/>
            <w:tcBorders>
              <w:top w:val="nil"/>
              <w:left w:val="nil"/>
              <w:bottom w:val="nil"/>
              <w:right w:val="nil"/>
            </w:tcBorders>
            <w:shd w:val="clear" w:color="auto" w:fill="auto"/>
            <w:noWrap/>
            <w:vAlign w:val="bottom"/>
            <w:hideMark/>
          </w:tcPr>
          <w:p w14:paraId="365C3640" w14:textId="2B47E378" w:rsidR="008761C1" w:rsidRPr="00226892" w:rsidRDefault="008761C1" w:rsidP="008761C1">
            <w:pPr>
              <w:rPr>
                <w:rFonts w:ascii="Arial" w:eastAsia="Times New Roman" w:hAnsi="Arial" w:cs="Arial"/>
                <w:b/>
                <w:bCs/>
                <w:color w:val="000000"/>
                <w:sz w:val="18"/>
                <w:szCs w:val="18"/>
                <w:lang w:val="sk-SK" w:eastAsia="sk-SK"/>
              </w:rPr>
            </w:pPr>
            <w:bookmarkStart w:id="14" w:name="RANGE!C67"/>
            <w:r w:rsidRPr="00226892">
              <w:rPr>
                <w:rFonts w:ascii="Arial" w:eastAsia="Times New Roman" w:hAnsi="Arial" w:cs="Arial"/>
                <w:b/>
                <w:bCs/>
                <w:color w:val="000000"/>
                <w:sz w:val="18"/>
                <w:szCs w:val="18"/>
                <w:lang w:val="sk-SK" w:eastAsia="sk-SK"/>
              </w:rPr>
              <w:t>Pasíva spolu</w:t>
            </w:r>
            <w:bookmarkEnd w:id="14"/>
          </w:p>
        </w:tc>
        <w:tc>
          <w:tcPr>
            <w:tcW w:w="320" w:type="pct"/>
            <w:tcBorders>
              <w:top w:val="nil"/>
              <w:left w:val="nil"/>
              <w:bottom w:val="nil"/>
              <w:right w:val="nil"/>
            </w:tcBorders>
            <w:shd w:val="clear" w:color="auto" w:fill="auto"/>
            <w:noWrap/>
            <w:vAlign w:val="bottom"/>
            <w:hideMark/>
          </w:tcPr>
          <w:p w14:paraId="0A9A0128" w14:textId="77777777" w:rsidR="008761C1" w:rsidRPr="00226892" w:rsidRDefault="008761C1" w:rsidP="008761C1">
            <w:pPr>
              <w:rPr>
                <w:rFonts w:ascii="Arial" w:eastAsia="Times New Roman" w:hAnsi="Arial" w:cs="Arial"/>
                <w:b/>
                <w:bCs/>
                <w:color w:val="000000"/>
                <w:sz w:val="18"/>
                <w:szCs w:val="18"/>
                <w:lang w:val="sk-SK" w:eastAsia="sk-SK"/>
              </w:rPr>
            </w:pPr>
            <w:bookmarkStart w:id="15" w:name="RANGE!D67"/>
            <w:bookmarkEnd w:id="15"/>
          </w:p>
        </w:tc>
        <w:tc>
          <w:tcPr>
            <w:tcW w:w="102" w:type="pct"/>
            <w:tcBorders>
              <w:top w:val="nil"/>
              <w:left w:val="nil"/>
              <w:bottom w:val="nil"/>
              <w:right w:val="nil"/>
            </w:tcBorders>
            <w:shd w:val="clear" w:color="auto" w:fill="auto"/>
            <w:noWrap/>
            <w:vAlign w:val="bottom"/>
            <w:hideMark/>
          </w:tcPr>
          <w:p w14:paraId="512B0F15" w14:textId="77777777" w:rsidR="008761C1" w:rsidRPr="00226892" w:rsidRDefault="008761C1" w:rsidP="008761C1">
            <w:pPr>
              <w:rPr>
                <w:rFonts w:ascii="Arial" w:eastAsia="Times New Roman" w:hAnsi="Arial" w:cs="Arial"/>
                <w:sz w:val="18"/>
                <w:szCs w:val="18"/>
                <w:lang w:val="sk-SK" w:eastAsia="sk-SK"/>
              </w:rPr>
            </w:pPr>
            <w:bookmarkStart w:id="16" w:name="RANGE!E67"/>
            <w:bookmarkEnd w:id="16"/>
          </w:p>
        </w:tc>
        <w:tc>
          <w:tcPr>
            <w:tcW w:w="1002" w:type="pct"/>
            <w:tcBorders>
              <w:top w:val="single" w:sz="4" w:space="0" w:color="auto"/>
              <w:left w:val="nil"/>
              <w:bottom w:val="double" w:sz="6" w:space="0" w:color="auto"/>
              <w:right w:val="nil"/>
            </w:tcBorders>
            <w:shd w:val="clear" w:color="auto" w:fill="auto"/>
            <w:vAlign w:val="bottom"/>
          </w:tcPr>
          <w:p w14:paraId="7BEE7144" w14:textId="6E94C023" w:rsidR="008761C1" w:rsidRPr="00226892" w:rsidRDefault="008761C1" w:rsidP="008761C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129 </w:t>
            </w:r>
            <w:r w:rsidR="007450FE" w:rsidRPr="00226892">
              <w:rPr>
                <w:rFonts w:ascii="Arial" w:eastAsia="Times New Roman" w:hAnsi="Arial" w:cs="Arial"/>
                <w:b/>
                <w:bCs/>
                <w:color w:val="000000"/>
                <w:sz w:val="18"/>
                <w:szCs w:val="18"/>
                <w:lang w:val="sk-SK" w:eastAsia="sk-SK"/>
              </w:rPr>
              <w:t>685</w:t>
            </w:r>
          </w:p>
        </w:tc>
        <w:tc>
          <w:tcPr>
            <w:tcW w:w="102" w:type="pct"/>
            <w:tcBorders>
              <w:top w:val="nil"/>
              <w:left w:val="nil"/>
              <w:bottom w:val="nil"/>
              <w:right w:val="nil"/>
            </w:tcBorders>
            <w:shd w:val="clear" w:color="auto" w:fill="auto"/>
            <w:vAlign w:val="bottom"/>
          </w:tcPr>
          <w:p w14:paraId="057C3957" w14:textId="77777777" w:rsidR="008761C1" w:rsidRPr="00226892" w:rsidRDefault="008761C1" w:rsidP="008761C1">
            <w:pPr>
              <w:jc w:val="right"/>
              <w:rPr>
                <w:rFonts w:ascii="Arial" w:eastAsia="Times New Roman" w:hAnsi="Arial" w:cs="Arial"/>
                <w:b/>
                <w:bCs/>
                <w:color w:val="000000"/>
                <w:sz w:val="18"/>
                <w:szCs w:val="18"/>
                <w:lang w:val="sk-SK" w:eastAsia="sk-SK"/>
              </w:rPr>
            </w:pPr>
            <w:bookmarkStart w:id="17" w:name="RANGE!G67"/>
            <w:bookmarkEnd w:id="17"/>
          </w:p>
        </w:tc>
        <w:tc>
          <w:tcPr>
            <w:tcW w:w="966" w:type="pct"/>
            <w:tcBorders>
              <w:top w:val="single" w:sz="4" w:space="0" w:color="auto"/>
              <w:left w:val="nil"/>
              <w:bottom w:val="double" w:sz="6" w:space="0" w:color="auto"/>
              <w:right w:val="nil"/>
            </w:tcBorders>
            <w:shd w:val="clear" w:color="auto" w:fill="auto"/>
            <w:vAlign w:val="bottom"/>
          </w:tcPr>
          <w:p w14:paraId="09B066FF" w14:textId="218B4F60" w:rsidR="008761C1" w:rsidRPr="00226892" w:rsidRDefault="008761C1" w:rsidP="008761C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141 993</w:t>
            </w:r>
          </w:p>
        </w:tc>
      </w:tr>
    </w:tbl>
    <w:p w14:paraId="22243238" w14:textId="6053DB27" w:rsidR="00255D38" w:rsidRPr="00226892" w:rsidRDefault="00CF283F" w:rsidP="00CF283F">
      <w:pPr>
        <w:tabs>
          <w:tab w:val="left" w:pos="734"/>
        </w:tabs>
        <w:suppressAutoHyphens/>
        <w:contextualSpacing/>
        <w:jc w:val="both"/>
        <w:rPr>
          <w:rFonts w:ascii="Arial" w:hAnsi="Arial" w:cs="Arial"/>
          <w:snapToGrid w:val="0"/>
          <w:sz w:val="16"/>
          <w:szCs w:val="16"/>
        </w:rPr>
      </w:pPr>
      <w:r w:rsidRPr="00226892">
        <w:rPr>
          <w:rFonts w:ascii="Arial" w:hAnsi="Arial" w:cs="Arial"/>
          <w:snapToGrid w:val="0"/>
          <w:sz w:val="16"/>
          <w:szCs w:val="16"/>
        </w:rPr>
        <w:t xml:space="preserve"> </w:t>
      </w:r>
      <w:bookmarkEnd w:id="6"/>
      <w:r w:rsidRPr="00226892">
        <w:rPr>
          <w:rFonts w:ascii="Arial" w:hAnsi="Arial" w:cs="Arial"/>
          <w:snapToGrid w:val="0"/>
          <w:sz w:val="16"/>
          <w:szCs w:val="16"/>
        </w:rPr>
        <w:t xml:space="preserve"> </w:t>
      </w:r>
    </w:p>
    <w:p w14:paraId="0C0B5877" w14:textId="77777777" w:rsidR="00B254E8" w:rsidRPr="00226892" w:rsidRDefault="00B254E8" w:rsidP="00CF283F">
      <w:pPr>
        <w:tabs>
          <w:tab w:val="left" w:pos="734"/>
        </w:tabs>
        <w:suppressAutoHyphens/>
        <w:contextualSpacing/>
        <w:jc w:val="both"/>
        <w:rPr>
          <w:rFonts w:ascii="Arial" w:hAnsi="Arial" w:cs="Arial"/>
          <w:snapToGrid w:val="0"/>
          <w:sz w:val="16"/>
          <w:szCs w:val="16"/>
        </w:rPr>
      </w:pPr>
    </w:p>
    <w:p w14:paraId="58CF2284" w14:textId="5E30D285" w:rsidR="00D32D14" w:rsidRPr="00226892" w:rsidRDefault="00255D38" w:rsidP="009B79FC">
      <w:pPr>
        <w:pStyle w:val="Pta"/>
        <w:ind w:right="360"/>
        <w:rPr>
          <w:rFonts w:ascii="Arial" w:hAnsi="Arial" w:cs="Arial"/>
          <w:szCs w:val="18"/>
        </w:rPr>
        <w:sectPr w:rsidR="00D32D14" w:rsidRPr="00226892" w:rsidSect="00CB7029">
          <w:headerReference w:type="default" r:id="rId14"/>
          <w:footerReference w:type="default" r:id="rId15"/>
          <w:pgSz w:w="11907" w:h="16840" w:code="9"/>
          <w:pgMar w:top="1134" w:right="1134" w:bottom="1134" w:left="1134" w:header="709" w:footer="709" w:gutter="0"/>
          <w:pgNumType w:start="1"/>
          <w:cols w:space="708"/>
          <w:noEndnote/>
        </w:sectPr>
      </w:pPr>
      <w:proofErr w:type="spellStart"/>
      <w:r w:rsidRPr="00226892">
        <w:rPr>
          <w:rFonts w:ascii="Arial" w:hAnsi="Arial" w:cs="Arial"/>
          <w:szCs w:val="18"/>
        </w:rPr>
        <w:t>Poznámky</w:t>
      </w:r>
      <w:proofErr w:type="spellEnd"/>
      <w:r w:rsidRPr="00226892">
        <w:rPr>
          <w:rFonts w:ascii="Arial" w:hAnsi="Arial" w:cs="Arial"/>
          <w:szCs w:val="18"/>
        </w:rPr>
        <w:t xml:space="preserve"> </w:t>
      </w:r>
      <w:proofErr w:type="spellStart"/>
      <w:r w:rsidRPr="00226892">
        <w:rPr>
          <w:rFonts w:ascii="Arial" w:hAnsi="Arial" w:cs="Arial"/>
          <w:szCs w:val="18"/>
        </w:rPr>
        <w:t>na</w:t>
      </w:r>
      <w:proofErr w:type="spellEnd"/>
      <w:r w:rsidRPr="00226892">
        <w:rPr>
          <w:rFonts w:ascii="Arial" w:hAnsi="Arial" w:cs="Arial"/>
          <w:szCs w:val="18"/>
        </w:rPr>
        <w:t xml:space="preserve"> </w:t>
      </w:r>
      <w:proofErr w:type="spellStart"/>
      <w:r w:rsidRPr="00226892">
        <w:rPr>
          <w:rFonts w:ascii="Arial" w:hAnsi="Arial" w:cs="Arial"/>
          <w:szCs w:val="18"/>
        </w:rPr>
        <w:t>stranách</w:t>
      </w:r>
      <w:proofErr w:type="spellEnd"/>
      <w:r w:rsidRPr="00226892">
        <w:rPr>
          <w:rFonts w:ascii="Arial" w:hAnsi="Arial" w:cs="Arial"/>
          <w:szCs w:val="18"/>
        </w:rPr>
        <w:t xml:space="preserve"> </w:t>
      </w:r>
      <w:r w:rsidR="00CB3BF9" w:rsidRPr="00226892">
        <w:rPr>
          <w:rFonts w:ascii="Arial" w:hAnsi="Arial" w:cs="Arial"/>
          <w:szCs w:val="18"/>
        </w:rPr>
        <w:t>5</w:t>
      </w:r>
      <w:r w:rsidRPr="00226892">
        <w:rPr>
          <w:rFonts w:ascii="Arial" w:hAnsi="Arial" w:cs="Arial"/>
          <w:szCs w:val="18"/>
        </w:rPr>
        <w:t xml:space="preserve"> </w:t>
      </w:r>
      <w:proofErr w:type="spellStart"/>
      <w:r w:rsidRPr="00226892">
        <w:rPr>
          <w:rFonts w:ascii="Arial" w:hAnsi="Arial" w:cs="Arial"/>
          <w:szCs w:val="18"/>
        </w:rPr>
        <w:t>až</w:t>
      </w:r>
      <w:proofErr w:type="spellEnd"/>
      <w:r w:rsidRPr="00226892">
        <w:rPr>
          <w:rFonts w:ascii="Arial" w:hAnsi="Arial" w:cs="Arial"/>
          <w:szCs w:val="18"/>
        </w:rPr>
        <w:t xml:space="preserve"> </w:t>
      </w:r>
      <w:r w:rsidR="00B96682" w:rsidRPr="00226892">
        <w:rPr>
          <w:rFonts w:ascii="Arial" w:hAnsi="Arial" w:cs="Arial"/>
          <w:szCs w:val="18"/>
        </w:rPr>
        <w:t>51</w:t>
      </w:r>
      <w:r w:rsidR="00CB7F9A" w:rsidRPr="00226892">
        <w:rPr>
          <w:rFonts w:ascii="Arial" w:hAnsi="Arial" w:cs="Arial"/>
          <w:szCs w:val="18"/>
        </w:rPr>
        <w:t xml:space="preserve"> </w:t>
      </w:r>
      <w:proofErr w:type="spellStart"/>
      <w:r w:rsidRPr="00226892">
        <w:rPr>
          <w:rFonts w:ascii="Arial" w:hAnsi="Arial" w:cs="Arial"/>
          <w:szCs w:val="18"/>
        </w:rPr>
        <w:t>tvoria</w:t>
      </w:r>
      <w:proofErr w:type="spellEnd"/>
      <w:r w:rsidRPr="00226892">
        <w:rPr>
          <w:rFonts w:ascii="Arial" w:hAnsi="Arial" w:cs="Arial"/>
          <w:szCs w:val="18"/>
        </w:rPr>
        <w:t xml:space="preserve"> </w:t>
      </w:r>
      <w:proofErr w:type="spellStart"/>
      <w:r w:rsidRPr="00226892">
        <w:rPr>
          <w:rFonts w:ascii="Arial" w:hAnsi="Arial" w:cs="Arial"/>
          <w:szCs w:val="18"/>
        </w:rPr>
        <w:t>neoddeliteľnú</w:t>
      </w:r>
      <w:proofErr w:type="spellEnd"/>
      <w:r w:rsidRPr="00226892">
        <w:rPr>
          <w:rFonts w:ascii="Arial" w:hAnsi="Arial" w:cs="Arial"/>
          <w:szCs w:val="18"/>
        </w:rPr>
        <w:t xml:space="preserve"> </w:t>
      </w:r>
      <w:proofErr w:type="spellStart"/>
      <w:r w:rsidRPr="00226892">
        <w:rPr>
          <w:rFonts w:ascii="Arial" w:hAnsi="Arial" w:cs="Arial"/>
          <w:szCs w:val="18"/>
        </w:rPr>
        <w:t>súčasť</w:t>
      </w:r>
      <w:proofErr w:type="spellEnd"/>
      <w:r w:rsidRPr="00226892">
        <w:rPr>
          <w:rFonts w:ascii="Arial" w:hAnsi="Arial" w:cs="Arial"/>
          <w:szCs w:val="18"/>
        </w:rPr>
        <w:t xml:space="preserve"> </w:t>
      </w:r>
      <w:proofErr w:type="spellStart"/>
      <w:r w:rsidRPr="00226892">
        <w:rPr>
          <w:rFonts w:ascii="Arial" w:hAnsi="Arial" w:cs="Arial"/>
          <w:szCs w:val="18"/>
        </w:rPr>
        <w:t>tejto</w:t>
      </w:r>
      <w:proofErr w:type="spellEnd"/>
      <w:r w:rsidRPr="00226892">
        <w:rPr>
          <w:rFonts w:ascii="Arial" w:hAnsi="Arial" w:cs="Arial"/>
          <w:szCs w:val="18"/>
        </w:rPr>
        <w:t xml:space="preserve"> </w:t>
      </w:r>
      <w:proofErr w:type="spellStart"/>
      <w:r w:rsidRPr="00226892">
        <w:rPr>
          <w:rFonts w:ascii="Arial" w:hAnsi="Arial" w:cs="Arial"/>
          <w:szCs w:val="18"/>
        </w:rPr>
        <w:t>konsolidovanej</w:t>
      </w:r>
      <w:proofErr w:type="spellEnd"/>
      <w:r w:rsidRPr="00226892">
        <w:rPr>
          <w:rFonts w:ascii="Arial" w:hAnsi="Arial" w:cs="Arial"/>
          <w:szCs w:val="18"/>
        </w:rPr>
        <w:t xml:space="preserve"> </w:t>
      </w:r>
      <w:proofErr w:type="spellStart"/>
      <w:r w:rsidRPr="00226892">
        <w:rPr>
          <w:rFonts w:ascii="Arial" w:hAnsi="Arial" w:cs="Arial"/>
          <w:szCs w:val="18"/>
        </w:rPr>
        <w:t>účtovnej</w:t>
      </w:r>
      <w:proofErr w:type="spellEnd"/>
      <w:r w:rsidRPr="00226892">
        <w:rPr>
          <w:rFonts w:ascii="Arial" w:hAnsi="Arial" w:cs="Arial"/>
          <w:szCs w:val="18"/>
        </w:rPr>
        <w:t xml:space="preserve"> </w:t>
      </w:r>
      <w:proofErr w:type="spellStart"/>
      <w:r w:rsidRPr="00226892">
        <w:rPr>
          <w:rFonts w:ascii="Arial" w:hAnsi="Arial" w:cs="Arial"/>
          <w:szCs w:val="18"/>
        </w:rPr>
        <w:t>závierky</w:t>
      </w:r>
      <w:proofErr w:type="spellEnd"/>
      <w:r w:rsidRPr="00226892">
        <w:rPr>
          <w:rFonts w:ascii="Arial" w:hAnsi="Arial" w:cs="Arial"/>
          <w:szCs w:val="18"/>
        </w:rPr>
        <w:t>.</w:t>
      </w:r>
    </w:p>
    <w:tbl>
      <w:tblPr>
        <w:tblW w:w="9631" w:type="dxa"/>
        <w:tblCellMar>
          <w:left w:w="70" w:type="dxa"/>
          <w:right w:w="70" w:type="dxa"/>
        </w:tblCellMar>
        <w:tblLook w:val="04A0" w:firstRow="1" w:lastRow="0" w:firstColumn="1" w:lastColumn="0" w:noHBand="0" w:noVBand="1"/>
      </w:tblPr>
      <w:tblGrid>
        <w:gridCol w:w="4830"/>
        <w:gridCol w:w="602"/>
        <w:gridCol w:w="196"/>
        <w:gridCol w:w="1926"/>
        <w:gridCol w:w="191"/>
        <w:gridCol w:w="1886"/>
      </w:tblGrid>
      <w:tr w:rsidR="00D02023" w:rsidRPr="00226892" w14:paraId="4A444CA4" w14:textId="77777777" w:rsidTr="00122BD0">
        <w:trPr>
          <w:trHeight w:val="227"/>
        </w:trPr>
        <w:tc>
          <w:tcPr>
            <w:tcW w:w="4830" w:type="dxa"/>
            <w:tcBorders>
              <w:top w:val="nil"/>
              <w:left w:val="nil"/>
              <w:bottom w:val="single" w:sz="4" w:space="0" w:color="auto"/>
              <w:right w:val="nil"/>
            </w:tcBorders>
            <w:shd w:val="clear" w:color="auto" w:fill="auto"/>
            <w:noWrap/>
            <w:vAlign w:val="bottom"/>
            <w:hideMark/>
          </w:tcPr>
          <w:p w14:paraId="4C9E4A6D" w14:textId="7C48D2EE" w:rsidR="00D02023" w:rsidRPr="00226892" w:rsidRDefault="0039460F" w:rsidP="00122BD0">
            <w:pPr>
              <w:rPr>
                <w:rFonts w:ascii="Arial" w:eastAsia="Times New Roman" w:hAnsi="Arial" w:cs="Arial"/>
                <w:color w:val="000000"/>
                <w:sz w:val="18"/>
                <w:szCs w:val="18"/>
                <w:lang w:val="sk-SK" w:eastAsia="sk-SK"/>
              </w:rPr>
            </w:pPr>
            <w:bookmarkStart w:id="18" w:name="FWT_PL"/>
            <w:r w:rsidRPr="00226892">
              <w:rPr>
                <w:rFonts w:ascii="Arial" w:hAnsi="Arial" w:cs="Arial"/>
                <w:snapToGrid w:val="0"/>
                <w:sz w:val="18"/>
                <w:szCs w:val="18"/>
              </w:rPr>
              <w:lastRenderedPageBreak/>
              <w:t xml:space="preserve"> </w:t>
            </w:r>
            <w:r w:rsidR="00D02023" w:rsidRPr="00226892">
              <w:rPr>
                <w:rFonts w:ascii="Arial" w:eastAsia="Times New Roman" w:hAnsi="Arial" w:cs="Arial"/>
                <w:color w:val="000000"/>
                <w:sz w:val="18"/>
                <w:szCs w:val="18"/>
                <w:lang w:val="sk-SK" w:eastAsia="sk-SK"/>
              </w:rPr>
              <w:t> </w:t>
            </w:r>
          </w:p>
        </w:tc>
        <w:tc>
          <w:tcPr>
            <w:tcW w:w="602" w:type="dxa"/>
            <w:tcBorders>
              <w:top w:val="nil"/>
              <w:left w:val="nil"/>
              <w:bottom w:val="single" w:sz="4" w:space="0" w:color="auto"/>
              <w:right w:val="nil"/>
            </w:tcBorders>
            <w:shd w:val="clear" w:color="auto" w:fill="auto"/>
            <w:noWrap/>
            <w:vAlign w:val="bottom"/>
            <w:hideMark/>
          </w:tcPr>
          <w:p w14:paraId="6F9A0419" w14:textId="77777777" w:rsidR="00D02023" w:rsidRPr="00226892" w:rsidRDefault="00D02023" w:rsidP="00122BD0">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w:t>
            </w:r>
          </w:p>
        </w:tc>
        <w:tc>
          <w:tcPr>
            <w:tcW w:w="196" w:type="dxa"/>
            <w:tcBorders>
              <w:top w:val="nil"/>
              <w:left w:val="nil"/>
              <w:bottom w:val="single" w:sz="4" w:space="0" w:color="auto"/>
              <w:right w:val="nil"/>
            </w:tcBorders>
            <w:shd w:val="clear" w:color="auto" w:fill="auto"/>
            <w:noWrap/>
            <w:vAlign w:val="bottom"/>
            <w:hideMark/>
          </w:tcPr>
          <w:p w14:paraId="029C1E62" w14:textId="77777777" w:rsidR="00D02023" w:rsidRPr="00226892" w:rsidRDefault="00D02023" w:rsidP="00122BD0">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926" w:type="dxa"/>
            <w:tcBorders>
              <w:top w:val="nil"/>
              <w:left w:val="nil"/>
              <w:bottom w:val="single" w:sz="4" w:space="0" w:color="auto"/>
              <w:right w:val="nil"/>
            </w:tcBorders>
            <w:shd w:val="clear" w:color="auto" w:fill="auto"/>
            <w:vAlign w:val="bottom"/>
            <w:hideMark/>
          </w:tcPr>
          <w:p w14:paraId="3A464D46" w14:textId="74724483" w:rsidR="00D02023" w:rsidRPr="00226892" w:rsidRDefault="00D02023" w:rsidP="00122BD0">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Rok končiaci </w:t>
            </w:r>
            <w:r w:rsidRPr="00226892">
              <w:rPr>
                <w:rFonts w:ascii="Arial" w:eastAsia="Times New Roman" w:hAnsi="Arial" w:cs="Arial"/>
                <w:b/>
                <w:bCs/>
                <w:color w:val="000000"/>
                <w:sz w:val="18"/>
                <w:szCs w:val="18"/>
                <w:lang w:val="sk-SK" w:eastAsia="sk-SK"/>
              </w:rPr>
              <w:br/>
              <w:t>31-12-201</w:t>
            </w:r>
            <w:r w:rsidR="00B71CF0" w:rsidRPr="00226892">
              <w:rPr>
                <w:rFonts w:ascii="Arial" w:eastAsia="Times New Roman" w:hAnsi="Arial" w:cs="Arial"/>
                <w:b/>
                <w:bCs/>
                <w:color w:val="000000"/>
                <w:sz w:val="18"/>
                <w:szCs w:val="18"/>
                <w:lang w:val="sk-SK" w:eastAsia="sk-SK"/>
              </w:rPr>
              <w:t>8</w:t>
            </w:r>
            <w:r w:rsidRPr="00226892">
              <w:rPr>
                <w:rFonts w:ascii="Arial" w:eastAsia="Times New Roman" w:hAnsi="Arial" w:cs="Arial"/>
                <w:b/>
                <w:bCs/>
                <w:color w:val="000000"/>
                <w:sz w:val="18"/>
                <w:szCs w:val="18"/>
                <w:lang w:val="sk-SK" w:eastAsia="sk-SK"/>
              </w:rPr>
              <w:t xml:space="preserve"> </w:t>
            </w:r>
          </w:p>
        </w:tc>
        <w:tc>
          <w:tcPr>
            <w:tcW w:w="191" w:type="dxa"/>
            <w:tcBorders>
              <w:top w:val="nil"/>
              <w:left w:val="nil"/>
              <w:bottom w:val="single" w:sz="4" w:space="0" w:color="auto"/>
              <w:right w:val="nil"/>
            </w:tcBorders>
            <w:shd w:val="clear" w:color="auto" w:fill="auto"/>
            <w:noWrap/>
            <w:vAlign w:val="bottom"/>
            <w:hideMark/>
          </w:tcPr>
          <w:p w14:paraId="360F4EB3" w14:textId="77777777" w:rsidR="00D02023" w:rsidRPr="00226892" w:rsidRDefault="00D02023" w:rsidP="00122BD0">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886" w:type="dxa"/>
            <w:tcBorders>
              <w:top w:val="nil"/>
              <w:left w:val="nil"/>
              <w:bottom w:val="single" w:sz="4" w:space="0" w:color="auto"/>
              <w:right w:val="nil"/>
            </w:tcBorders>
            <w:shd w:val="clear" w:color="auto" w:fill="auto"/>
            <w:vAlign w:val="bottom"/>
            <w:hideMark/>
          </w:tcPr>
          <w:p w14:paraId="044AF276" w14:textId="5EBB5C4F" w:rsidR="00D02023" w:rsidRPr="00226892" w:rsidRDefault="00D02023" w:rsidP="00122BD0">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Rok končiaci </w:t>
            </w:r>
            <w:r w:rsidRPr="00226892">
              <w:rPr>
                <w:rFonts w:ascii="Arial" w:eastAsia="Times New Roman" w:hAnsi="Arial" w:cs="Arial"/>
                <w:b/>
                <w:bCs/>
                <w:color w:val="000000"/>
                <w:sz w:val="18"/>
                <w:szCs w:val="18"/>
                <w:lang w:val="sk-SK" w:eastAsia="sk-SK"/>
              </w:rPr>
              <w:br/>
              <w:t>31-12-</w:t>
            </w:r>
            <w:r w:rsidR="00F63A77" w:rsidRPr="00226892">
              <w:rPr>
                <w:rFonts w:ascii="Arial" w:eastAsia="Times New Roman" w:hAnsi="Arial" w:cs="Arial"/>
                <w:b/>
                <w:bCs/>
                <w:color w:val="000000"/>
                <w:sz w:val="18"/>
                <w:szCs w:val="18"/>
                <w:lang w:val="sk-SK" w:eastAsia="sk-SK"/>
              </w:rPr>
              <w:t>2017</w:t>
            </w:r>
            <w:r w:rsidRPr="00226892">
              <w:rPr>
                <w:rFonts w:ascii="Arial" w:eastAsia="Times New Roman" w:hAnsi="Arial" w:cs="Arial"/>
                <w:b/>
                <w:bCs/>
                <w:color w:val="000000"/>
                <w:sz w:val="18"/>
                <w:szCs w:val="18"/>
                <w:lang w:val="sk-SK" w:eastAsia="sk-SK"/>
              </w:rPr>
              <w:t xml:space="preserve"> </w:t>
            </w:r>
          </w:p>
        </w:tc>
      </w:tr>
      <w:tr w:rsidR="00D02023" w:rsidRPr="00226892" w14:paraId="75584C50" w14:textId="77777777" w:rsidTr="00122BD0">
        <w:trPr>
          <w:trHeight w:val="227"/>
        </w:trPr>
        <w:tc>
          <w:tcPr>
            <w:tcW w:w="4830" w:type="dxa"/>
            <w:tcBorders>
              <w:top w:val="nil"/>
              <w:left w:val="nil"/>
              <w:bottom w:val="nil"/>
              <w:right w:val="nil"/>
            </w:tcBorders>
            <w:shd w:val="clear" w:color="auto" w:fill="auto"/>
            <w:noWrap/>
            <w:vAlign w:val="bottom"/>
            <w:hideMark/>
          </w:tcPr>
          <w:p w14:paraId="393D1D20" w14:textId="77777777" w:rsidR="00D02023" w:rsidRPr="00226892" w:rsidRDefault="00D02023" w:rsidP="00122BD0">
            <w:pPr>
              <w:jc w:val="center"/>
              <w:rPr>
                <w:rFonts w:ascii="Arial" w:eastAsia="Times New Roman" w:hAnsi="Arial" w:cs="Arial"/>
                <w:b/>
                <w:bCs/>
                <w:color w:val="000000"/>
                <w:sz w:val="18"/>
                <w:szCs w:val="18"/>
                <w:lang w:val="sk-SK" w:eastAsia="sk-SK"/>
              </w:rPr>
            </w:pPr>
          </w:p>
        </w:tc>
        <w:tc>
          <w:tcPr>
            <w:tcW w:w="602" w:type="dxa"/>
            <w:tcBorders>
              <w:top w:val="nil"/>
              <w:left w:val="nil"/>
              <w:bottom w:val="nil"/>
              <w:right w:val="nil"/>
            </w:tcBorders>
            <w:shd w:val="clear" w:color="auto" w:fill="auto"/>
            <w:noWrap/>
            <w:vAlign w:val="bottom"/>
            <w:hideMark/>
          </w:tcPr>
          <w:p w14:paraId="78931D87" w14:textId="77777777" w:rsidR="00D02023" w:rsidRPr="00226892" w:rsidRDefault="00D02023" w:rsidP="00122BD0">
            <w:pPr>
              <w:rPr>
                <w:rFonts w:ascii="Arial" w:eastAsia="Times New Roman" w:hAnsi="Arial" w:cs="Arial"/>
                <w:sz w:val="18"/>
                <w:szCs w:val="18"/>
                <w:highlight w:val="yellow"/>
                <w:lang w:val="sk-SK" w:eastAsia="sk-SK"/>
              </w:rPr>
            </w:pPr>
          </w:p>
        </w:tc>
        <w:tc>
          <w:tcPr>
            <w:tcW w:w="196" w:type="dxa"/>
            <w:tcBorders>
              <w:top w:val="nil"/>
              <w:left w:val="nil"/>
              <w:bottom w:val="nil"/>
              <w:right w:val="nil"/>
            </w:tcBorders>
            <w:shd w:val="clear" w:color="auto" w:fill="auto"/>
            <w:noWrap/>
            <w:vAlign w:val="bottom"/>
            <w:hideMark/>
          </w:tcPr>
          <w:p w14:paraId="3EE0BA21" w14:textId="77777777" w:rsidR="00D02023" w:rsidRPr="00226892" w:rsidRDefault="00D02023" w:rsidP="00122BD0">
            <w:pPr>
              <w:rPr>
                <w:rFonts w:ascii="Arial" w:eastAsia="Times New Roman" w:hAnsi="Arial" w:cs="Arial"/>
                <w:sz w:val="18"/>
                <w:szCs w:val="18"/>
                <w:lang w:val="sk-SK" w:eastAsia="sk-SK"/>
              </w:rPr>
            </w:pPr>
          </w:p>
        </w:tc>
        <w:tc>
          <w:tcPr>
            <w:tcW w:w="1926" w:type="dxa"/>
            <w:tcBorders>
              <w:top w:val="nil"/>
              <w:left w:val="nil"/>
              <w:bottom w:val="nil"/>
              <w:right w:val="nil"/>
            </w:tcBorders>
            <w:shd w:val="clear" w:color="auto" w:fill="auto"/>
            <w:vAlign w:val="bottom"/>
            <w:hideMark/>
          </w:tcPr>
          <w:p w14:paraId="4E516804" w14:textId="77777777" w:rsidR="00D02023" w:rsidRPr="00226892" w:rsidRDefault="00D02023" w:rsidP="00122BD0">
            <w:pPr>
              <w:rPr>
                <w:rFonts w:ascii="Arial" w:eastAsia="Times New Roman" w:hAnsi="Arial" w:cs="Arial"/>
                <w:sz w:val="18"/>
                <w:szCs w:val="18"/>
                <w:lang w:val="sk-SK" w:eastAsia="sk-SK"/>
              </w:rPr>
            </w:pPr>
          </w:p>
        </w:tc>
        <w:tc>
          <w:tcPr>
            <w:tcW w:w="191" w:type="dxa"/>
            <w:tcBorders>
              <w:top w:val="nil"/>
              <w:left w:val="nil"/>
              <w:bottom w:val="nil"/>
              <w:right w:val="nil"/>
            </w:tcBorders>
            <w:shd w:val="clear" w:color="auto" w:fill="auto"/>
            <w:noWrap/>
            <w:vAlign w:val="bottom"/>
            <w:hideMark/>
          </w:tcPr>
          <w:p w14:paraId="24104E1A" w14:textId="77777777" w:rsidR="00D02023" w:rsidRPr="00226892" w:rsidRDefault="00D02023" w:rsidP="00122BD0">
            <w:pPr>
              <w:jc w:val="center"/>
              <w:rPr>
                <w:rFonts w:ascii="Arial" w:eastAsia="Times New Roman" w:hAnsi="Arial" w:cs="Arial"/>
                <w:sz w:val="18"/>
                <w:szCs w:val="18"/>
                <w:lang w:val="sk-SK" w:eastAsia="sk-SK"/>
              </w:rPr>
            </w:pPr>
          </w:p>
        </w:tc>
        <w:tc>
          <w:tcPr>
            <w:tcW w:w="1886" w:type="dxa"/>
            <w:tcBorders>
              <w:top w:val="nil"/>
              <w:left w:val="nil"/>
              <w:bottom w:val="nil"/>
              <w:right w:val="nil"/>
            </w:tcBorders>
            <w:shd w:val="clear" w:color="auto" w:fill="auto"/>
            <w:vAlign w:val="bottom"/>
            <w:hideMark/>
          </w:tcPr>
          <w:p w14:paraId="2090FD76" w14:textId="77777777" w:rsidR="00D02023" w:rsidRPr="00226892" w:rsidRDefault="00D02023" w:rsidP="00122BD0">
            <w:pPr>
              <w:jc w:val="center"/>
              <w:rPr>
                <w:rFonts w:ascii="Arial" w:eastAsia="Times New Roman" w:hAnsi="Arial" w:cs="Arial"/>
                <w:sz w:val="18"/>
                <w:szCs w:val="18"/>
                <w:lang w:val="sk-SK" w:eastAsia="sk-SK"/>
              </w:rPr>
            </w:pPr>
          </w:p>
        </w:tc>
      </w:tr>
      <w:tr w:rsidR="008761C1" w:rsidRPr="00226892" w14:paraId="17C7BDBC" w14:textId="77777777" w:rsidTr="00F14DB5">
        <w:trPr>
          <w:trHeight w:val="227"/>
        </w:trPr>
        <w:tc>
          <w:tcPr>
            <w:tcW w:w="4830" w:type="dxa"/>
            <w:tcBorders>
              <w:top w:val="nil"/>
              <w:left w:val="nil"/>
              <w:bottom w:val="nil"/>
              <w:right w:val="nil"/>
            </w:tcBorders>
            <w:shd w:val="clear" w:color="auto" w:fill="auto"/>
            <w:noWrap/>
            <w:vAlign w:val="bottom"/>
            <w:hideMark/>
          </w:tcPr>
          <w:p w14:paraId="57749EF5" w14:textId="77777777" w:rsidR="008761C1" w:rsidRPr="00226892" w:rsidRDefault="008761C1" w:rsidP="008761C1">
            <w:pPr>
              <w:rPr>
                <w:rFonts w:ascii="Arial" w:eastAsia="Times New Roman" w:hAnsi="Arial" w:cs="Arial"/>
                <w:bCs/>
                <w:color w:val="000000"/>
                <w:sz w:val="18"/>
                <w:szCs w:val="18"/>
                <w:lang w:val="sk-SK" w:eastAsia="sk-SK"/>
              </w:rPr>
            </w:pPr>
            <w:r w:rsidRPr="00226892">
              <w:rPr>
                <w:rFonts w:ascii="Arial" w:eastAsia="Times New Roman" w:hAnsi="Arial" w:cs="Arial"/>
                <w:bCs/>
                <w:color w:val="000000"/>
                <w:sz w:val="18"/>
                <w:szCs w:val="18"/>
                <w:lang w:val="sk-SK" w:eastAsia="sk-SK"/>
              </w:rPr>
              <w:t>Tržby</w:t>
            </w:r>
          </w:p>
        </w:tc>
        <w:tc>
          <w:tcPr>
            <w:tcW w:w="602" w:type="dxa"/>
            <w:tcBorders>
              <w:top w:val="nil"/>
              <w:left w:val="nil"/>
              <w:bottom w:val="nil"/>
              <w:right w:val="nil"/>
            </w:tcBorders>
            <w:shd w:val="clear" w:color="auto" w:fill="auto"/>
            <w:noWrap/>
            <w:vAlign w:val="bottom"/>
            <w:hideMark/>
          </w:tcPr>
          <w:p w14:paraId="30030D9F" w14:textId="1E7998E2" w:rsidR="008761C1" w:rsidRPr="00226892" w:rsidRDefault="0049047A" w:rsidP="0049047A">
            <w:pPr>
              <w:jc w:val="center"/>
              <w:rPr>
                <w:rFonts w:ascii="Arial" w:eastAsia="Times New Roman" w:hAnsi="Arial" w:cs="Arial"/>
                <w:bCs/>
                <w:color w:val="000000"/>
                <w:sz w:val="18"/>
                <w:szCs w:val="18"/>
                <w:lang w:val="sk-SK" w:eastAsia="sk-SK"/>
              </w:rPr>
            </w:pPr>
            <w:r w:rsidRPr="00226892">
              <w:rPr>
                <w:rFonts w:ascii="Arial" w:eastAsia="Times New Roman" w:hAnsi="Arial" w:cs="Arial"/>
                <w:bCs/>
                <w:color w:val="000000"/>
                <w:sz w:val="18"/>
                <w:szCs w:val="18"/>
                <w:lang w:val="sk-SK" w:eastAsia="sk-SK"/>
              </w:rPr>
              <w:t>20</w:t>
            </w:r>
          </w:p>
        </w:tc>
        <w:tc>
          <w:tcPr>
            <w:tcW w:w="196" w:type="dxa"/>
            <w:tcBorders>
              <w:top w:val="nil"/>
              <w:left w:val="nil"/>
              <w:bottom w:val="nil"/>
              <w:right w:val="nil"/>
            </w:tcBorders>
            <w:shd w:val="clear" w:color="auto" w:fill="auto"/>
            <w:noWrap/>
            <w:vAlign w:val="bottom"/>
            <w:hideMark/>
          </w:tcPr>
          <w:p w14:paraId="002E66D4" w14:textId="77777777" w:rsidR="008761C1" w:rsidRPr="00226892" w:rsidRDefault="008761C1" w:rsidP="008761C1">
            <w:pPr>
              <w:jc w:val="center"/>
              <w:rPr>
                <w:rFonts w:ascii="Arial" w:eastAsia="Times New Roman" w:hAnsi="Arial" w:cs="Arial"/>
                <w:bCs/>
                <w:color w:val="000000"/>
                <w:sz w:val="18"/>
                <w:szCs w:val="18"/>
                <w:lang w:val="sk-SK" w:eastAsia="sk-SK"/>
              </w:rPr>
            </w:pPr>
          </w:p>
        </w:tc>
        <w:tc>
          <w:tcPr>
            <w:tcW w:w="1926" w:type="dxa"/>
            <w:tcBorders>
              <w:top w:val="nil"/>
              <w:left w:val="nil"/>
              <w:bottom w:val="nil"/>
              <w:right w:val="nil"/>
            </w:tcBorders>
            <w:shd w:val="clear" w:color="auto" w:fill="auto"/>
            <w:vAlign w:val="bottom"/>
          </w:tcPr>
          <w:p w14:paraId="0F2B933C" w14:textId="561EBCE3" w:rsidR="008761C1" w:rsidRPr="00226892" w:rsidRDefault="00745FC3" w:rsidP="008761C1">
            <w:pPr>
              <w:jc w:val="right"/>
              <w:rPr>
                <w:rFonts w:ascii="Arial" w:eastAsia="Times New Roman" w:hAnsi="Arial" w:cs="Arial"/>
                <w:bCs/>
                <w:color w:val="000000"/>
                <w:sz w:val="18"/>
                <w:szCs w:val="18"/>
                <w:lang w:val="sk-SK" w:eastAsia="sk-SK"/>
              </w:rPr>
            </w:pPr>
            <w:r w:rsidRPr="00226892">
              <w:rPr>
                <w:rFonts w:ascii="Arial" w:eastAsia="Times New Roman" w:hAnsi="Arial" w:cs="Arial"/>
                <w:bCs/>
                <w:color w:val="000000"/>
                <w:sz w:val="18"/>
                <w:szCs w:val="18"/>
                <w:lang w:val="sk-SK" w:eastAsia="sk-SK"/>
              </w:rPr>
              <w:t>188 062</w:t>
            </w:r>
          </w:p>
        </w:tc>
        <w:tc>
          <w:tcPr>
            <w:tcW w:w="191" w:type="dxa"/>
            <w:tcBorders>
              <w:top w:val="nil"/>
              <w:left w:val="nil"/>
              <w:bottom w:val="nil"/>
              <w:right w:val="nil"/>
            </w:tcBorders>
            <w:shd w:val="clear" w:color="auto" w:fill="auto"/>
            <w:vAlign w:val="bottom"/>
          </w:tcPr>
          <w:p w14:paraId="15BC0B77" w14:textId="77777777" w:rsidR="008761C1" w:rsidRPr="00226892" w:rsidRDefault="008761C1" w:rsidP="008761C1">
            <w:pPr>
              <w:jc w:val="right"/>
              <w:rPr>
                <w:rFonts w:ascii="Arial" w:eastAsia="Times New Roman" w:hAnsi="Arial" w:cs="Arial"/>
                <w:bCs/>
                <w:color w:val="000000"/>
                <w:sz w:val="18"/>
                <w:szCs w:val="18"/>
                <w:lang w:val="sk-SK" w:eastAsia="sk-SK"/>
              </w:rPr>
            </w:pPr>
          </w:p>
        </w:tc>
        <w:tc>
          <w:tcPr>
            <w:tcW w:w="1886" w:type="dxa"/>
            <w:tcBorders>
              <w:top w:val="nil"/>
              <w:left w:val="nil"/>
              <w:bottom w:val="nil"/>
              <w:right w:val="nil"/>
            </w:tcBorders>
            <w:shd w:val="clear" w:color="auto" w:fill="auto"/>
            <w:vAlign w:val="bottom"/>
          </w:tcPr>
          <w:p w14:paraId="6A108B95" w14:textId="78AA847D" w:rsidR="008761C1" w:rsidRPr="00226892" w:rsidRDefault="008761C1" w:rsidP="008761C1">
            <w:pPr>
              <w:jc w:val="right"/>
              <w:rPr>
                <w:rFonts w:ascii="Arial" w:eastAsia="Times New Roman" w:hAnsi="Arial" w:cs="Arial"/>
                <w:bCs/>
                <w:color w:val="000000"/>
                <w:sz w:val="18"/>
                <w:szCs w:val="18"/>
                <w:lang w:val="sk-SK" w:eastAsia="sk-SK"/>
              </w:rPr>
            </w:pPr>
            <w:r w:rsidRPr="00226892">
              <w:rPr>
                <w:rFonts w:ascii="Arial" w:eastAsia="Times New Roman" w:hAnsi="Arial" w:cs="Arial"/>
                <w:bCs/>
                <w:color w:val="000000"/>
                <w:sz w:val="18"/>
                <w:szCs w:val="18"/>
                <w:lang w:val="sk-SK" w:eastAsia="sk-SK"/>
              </w:rPr>
              <w:t>164 793</w:t>
            </w:r>
          </w:p>
        </w:tc>
      </w:tr>
      <w:tr w:rsidR="001C6C15" w:rsidRPr="00226892" w14:paraId="16383643" w14:textId="77777777" w:rsidTr="001C6C15">
        <w:trPr>
          <w:trHeight w:val="227"/>
        </w:trPr>
        <w:tc>
          <w:tcPr>
            <w:tcW w:w="4830" w:type="dxa"/>
            <w:tcBorders>
              <w:top w:val="nil"/>
              <w:left w:val="nil"/>
              <w:bottom w:val="nil"/>
              <w:right w:val="nil"/>
            </w:tcBorders>
            <w:shd w:val="clear" w:color="auto" w:fill="auto"/>
            <w:vAlign w:val="bottom"/>
          </w:tcPr>
          <w:p w14:paraId="20E14F1A" w14:textId="0EB1E980" w:rsidR="001C6C15" w:rsidRPr="00226892" w:rsidRDefault="001C6C15" w:rsidP="001C6C15">
            <w:pPr>
              <w:rPr>
                <w:rFonts w:ascii="Arial" w:eastAsia="Times New Roman" w:hAnsi="Arial" w:cs="Arial"/>
                <w:color w:val="000000"/>
                <w:sz w:val="18"/>
                <w:szCs w:val="18"/>
                <w:lang w:val="sk-SK" w:eastAsia="sk-SK"/>
              </w:rPr>
            </w:pPr>
            <w:proofErr w:type="spellStart"/>
            <w:r w:rsidRPr="00226892">
              <w:rPr>
                <w:rFonts w:ascii="Arial" w:eastAsia="Times New Roman" w:hAnsi="Arial" w:cs="Arial"/>
                <w:color w:val="000000"/>
                <w:sz w:val="18"/>
                <w:szCs w:val="18"/>
                <w:lang w:eastAsia="sk-SK"/>
              </w:rPr>
              <w:t>Výnosy</w:t>
            </w:r>
            <w:proofErr w:type="spellEnd"/>
            <w:r w:rsidRPr="00226892">
              <w:rPr>
                <w:rFonts w:ascii="Arial" w:eastAsia="Times New Roman" w:hAnsi="Arial" w:cs="Arial"/>
                <w:color w:val="000000"/>
                <w:sz w:val="18"/>
                <w:szCs w:val="18"/>
                <w:lang w:eastAsia="sk-SK"/>
              </w:rPr>
              <w:t xml:space="preserve"> z </w:t>
            </w:r>
            <w:proofErr w:type="spellStart"/>
            <w:r w:rsidRPr="00226892">
              <w:rPr>
                <w:rFonts w:ascii="Arial" w:eastAsia="Times New Roman" w:hAnsi="Arial" w:cs="Arial"/>
                <w:color w:val="000000"/>
                <w:sz w:val="18"/>
                <w:szCs w:val="18"/>
                <w:lang w:eastAsia="sk-SK"/>
              </w:rPr>
              <w:t>predaja</w:t>
            </w:r>
            <w:proofErr w:type="spellEnd"/>
            <w:r w:rsidRPr="00226892">
              <w:rPr>
                <w:rFonts w:ascii="Arial" w:eastAsia="Times New Roman" w:hAnsi="Arial" w:cs="Arial"/>
                <w:color w:val="000000"/>
                <w:sz w:val="18"/>
                <w:szCs w:val="18"/>
                <w:lang w:eastAsia="sk-SK"/>
              </w:rPr>
              <w:t xml:space="preserve"> </w:t>
            </w:r>
            <w:proofErr w:type="spellStart"/>
            <w:r w:rsidRPr="00226892">
              <w:rPr>
                <w:rFonts w:ascii="Arial" w:eastAsia="Times New Roman" w:hAnsi="Arial" w:cs="Arial"/>
                <w:color w:val="000000"/>
                <w:sz w:val="18"/>
                <w:szCs w:val="18"/>
                <w:lang w:eastAsia="sk-SK"/>
              </w:rPr>
              <w:t>odpadu</w:t>
            </w:r>
            <w:proofErr w:type="spellEnd"/>
            <w:r w:rsidRPr="00226892">
              <w:rPr>
                <w:rFonts w:ascii="Arial" w:eastAsia="Times New Roman" w:hAnsi="Arial" w:cs="Arial"/>
                <w:color w:val="000000"/>
                <w:sz w:val="18"/>
                <w:szCs w:val="18"/>
                <w:lang w:eastAsia="sk-SK"/>
              </w:rPr>
              <w:t xml:space="preserve"> z </w:t>
            </w:r>
            <w:proofErr w:type="spellStart"/>
            <w:r w:rsidRPr="00226892">
              <w:rPr>
                <w:rFonts w:ascii="Arial" w:eastAsia="Times New Roman" w:hAnsi="Arial" w:cs="Arial"/>
                <w:color w:val="000000"/>
                <w:sz w:val="18"/>
                <w:szCs w:val="18"/>
                <w:lang w:eastAsia="sk-SK"/>
              </w:rPr>
              <w:t>výroby</w:t>
            </w:r>
            <w:proofErr w:type="spellEnd"/>
          </w:p>
        </w:tc>
        <w:tc>
          <w:tcPr>
            <w:tcW w:w="602" w:type="dxa"/>
            <w:tcBorders>
              <w:top w:val="nil"/>
              <w:left w:val="nil"/>
              <w:bottom w:val="nil"/>
              <w:right w:val="nil"/>
            </w:tcBorders>
            <w:shd w:val="clear" w:color="auto" w:fill="auto"/>
            <w:noWrap/>
            <w:vAlign w:val="bottom"/>
          </w:tcPr>
          <w:p w14:paraId="7EA46086" w14:textId="7E174371" w:rsidR="001C6C15" w:rsidRPr="00226892" w:rsidRDefault="001C6C15" w:rsidP="0049047A">
            <w:pPr>
              <w:jc w:val="center"/>
              <w:rPr>
                <w:rFonts w:ascii="Arial" w:eastAsia="Times New Roman" w:hAnsi="Arial" w:cs="Arial"/>
                <w:color w:val="000000"/>
                <w:sz w:val="18"/>
                <w:szCs w:val="18"/>
                <w:lang w:val="sk-SK" w:eastAsia="sk-SK"/>
              </w:rPr>
            </w:pPr>
          </w:p>
        </w:tc>
        <w:tc>
          <w:tcPr>
            <w:tcW w:w="196" w:type="dxa"/>
            <w:tcBorders>
              <w:top w:val="nil"/>
              <w:left w:val="nil"/>
              <w:bottom w:val="nil"/>
              <w:right w:val="nil"/>
            </w:tcBorders>
            <w:shd w:val="clear" w:color="auto" w:fill="auto"/>
            <w:noWrap/>
            <w:vAlign w:val="bottom"/>
          </w:tcPr>
          <w:p w14:paraId="0317EAD8" w14:textId="77777777" w:rsidR="001C6C15" w:rsidRPr="00226892" w:rsidRDefault="001C6C15" w:rsidP="001C6C15">
            <w:pPr>
              <w:jc w:val="center"/>
              <w:rPr>
                <w:rFonts w:ascii="Arial" w:eastAsia="Times New Roman" w:hAnsi="Arial" w:cs="Arial"/>
                <w:color w:val="000000"/>
                <w:sz w:val="18"/>
                <w:szCs w:val="18"/>
                <w:lang w:val="sk-SK" w:eastAsia="sk-SK"/>
              </w:rPr>
            </w:pPr>
          </w:p>
        </w:tc>
        <w:tc>
          <w:tcPr>
            <w:tcW w:w="1926" w:type="dxa"/>
            <w:tcBorders>
              <w:top w:val="nil"/>
              <w:left w:val="nil"/>
              <w:bottom w:val="nil"/>
              <w:right w:val="nil"/>
            </w:tcBorders>
            <w:shd w:val="clear" w:color="auto" w:fill="auto"/>
            <w:vAlign w:val="bottom"/>
          </w:tcPr>
          <w:p w14:paraId="4799252E" w14:textId="2749C7A2" w:rsidR="001C6C15" w:rsidRPr="00226892" w:rsidRDefault="00745FC3" w:rsidP="00745FC3">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19 667</w:t>
            </w:r>
          </w:p>
        </w:tc>
        <w:tc>
          <w:tcPr>
            <w:tcW w:w="191" w:type="dxa"/>
            <w:tcBorders>
              <w:top w:val="nil"/>
              <w:left w:val="nil"/>
              <w:bottom w:val="nil"/>
              <w:right w:val="nil"/>
            </w:tcBorders>
            <w:shd w:val="clear" w:color="auto" w:fill="auto"/>
            <w:vAlign w:val="bottom"/>
          </w:tcPr>
          <w:p w14:paraId="59341ED8" w14:textId="77777777" w:rsidR="001C6C15" w:rsidRPr="00226892" w:rsidRDefault="001C6C15" w:rsidP="001C6C15">
            <w:pPr>
              <w:jc w:val="right"/>
              <w:rPr>
                <w:rFonts w:ascii="Arial" w:eastAsia="Times New Roman" w:hAnsi="Arial" w:cs="Arial"/>
                <w:color w:val="000000"/>
                <w:sz w:val="18"/>
                <w:szCs w:val="18"/>
                <w:lang w:val="sk-SK" w:eastAsia="sk-SK"/>
              </w:rPr>
            </w:pPr>
          </w:p>
        </w:tc>
        <w:tc>
          <w:tcPr>
            <w:tcW w:w="1886" w:type="dxa"/>
            <w:tcBorders>
              <w:top w:val="nil"/>
              <w:left w:val="nil"/>
              <w:bottom w:val="nil"/>
              <w:right w:val="nil"/>
            </w:tcBorders>
            <w:shd w:val="clear" w:color="auto" w:fill="auto"/>
            <w:vAlign w:val="bottom"/>
          </w:tcPr>
          <w:p w14:paraId="3F9019BD" w14:textId="15B32679" w:rsidR="001C6C15" w:rsidRPr="00226892" w:rsidRDefault="001C6C15" w:rsidP="001C6C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14 310</w:t>
            </w:r>
          </w:p>
        </w:tc>
      </w:tr>
      <w:tr w:rsidR="001C6C15" w:rsidRPr="00226892" w14:paraId="796A7954" w14:textId="77777777" w:rsidTr="00F14DB5">
        <w:trPr>
          <w:trHeight w:val="227"/>
        </w:trPr>
        <w:tc>
          <w:tcPr>
            <w:tcW w:w="4830" w:type="dxa"/>
            <w:tcBorders>
              <w:top w:val="nil"/>
              <w:left w:val="nil"/>
              <w:bottom w:val="nil"/>
              <w:right w:val="nil"/>
            </w:tcBorders>
            <w:shd w:val="clear" w:color="auto" w:fill="auto"/>
            <w:noWrap/>
            <w:vAlign w:val="bottom"/>
            <w:hideMark/>
          </w:tcPr>
          <w:p w14:paraId="64C6A2D9" w14:textId="77777777" w:rsidR="001C6C15" w:rsidRPr="00226892" w:rsidRDefault="001C6C15" w:rsidP="001C6C15">
            <w:pPr>
              <w:rPr>
                <w:rFonts w:ascii="Arial" w:eastAsia="Times New Roman" w:hAnsi="Arial" w:cs="Arial"/>
                <w:color w:val="000000"/>
                <w:sz w:val="18"/>
                <w:szCs w:val="18"/>
                <w:lang w:val="sk-SK" w:eastAsia="sk-SK"/>
              </w:rPr>
            </w:pPr>
          </w:p>
        </w:tc>
        <w:tc>
          <w:tcPr>
            <w:tcW w:w="602" w:type="dxa"/>
            <w:tcBorders>
              <w:top w:val="nil"/>
              <w:left w:val="nil"/>
              <w:bottom w:val="nil"/>
              <w:right w:val="nil"/>
            </w:tcBorders>
            <w:shd w:val="clear" w:color="auto" w:fill="auto"/>
            <w:noWrap/>
            <w:vAlign w:val="bottom"/>
            <w:hideMark/>
          </w:tcPr>
          <w:p w14:paraId="33623899" w14:textId="77777777" w:rsidR="001C6C15" w:rsidRPr="00226892" w:rsidRDefault="001C6C15" w:rsidP="0049047A">
            <w:pPr>
              <w:jc w:val="center"/>
              <w:rPr>
                <w:rFonts w:ascii="Arial" w:eastAsia="Times New Roman" w:hAnsi="Arial" w:cs="Arial"/>
                <w:sz w:val="18"/>
                <w:szCs w:val="18"/>
                <w:lang w:val="sk-SK" w:eastAsia="sk-SK"/>
              </w:rPr>
            </w:pPr>
          </w:p>
        </w:tc>
        <w:tc>
          <w:tcPr>
            <w:tcW w:w="196" w:type="dxa"/>
            <w:tcBorders>
              <w:top w:val="nil"/>
              <w:left w:val="nil"/>
              <w:bottom w:val="nil"/>
              <w:right w:val="nil"/>
            </w:tcBorders>
            <w:shd w:val="clear" w:color="auto" w:fill="auto"/>
            <w:noWrap/>
            <w:vAlign w:val="bottom"/>
            <w:hideMark/>
          </w:tcPr>
          <w:p w14:paraId="5A221049" w14:textId="77777777" w:rsidR="001C6C15" w:rsidRPr="00226892" w:rsidRDefault="001C6C15" w:rsidP="001C6C15">
            <w:pPr>
              <w:rPr>
                <w:rFonts w:ascii="Arial" w:eastAsia="Times New Roman" w:hAnsi="Arial" w:cs="Arial"/>
                <w:sz w:val="18"/>
                <w:szCs w:val="18"/>
                <w:lang w:val="sk-SK" w:eastAsia="sk-SK"/>
              </w:rPr>
            </w:pPr>
          </w:p>
        </w:tc>
        <w:tc>
          <w:tcPr>
            <w:tcW w:w="1926" w:type="dxa"/>
            <w:tcBorders>
              <w:top w:val="nil"/>
              <w:left w:val="nil"/>
              <w:bottom w:val="nil"/>
              <w:right w:val="nil"/>
            </w:tcBorders>
            <w:shd w:val="clear" w:color="auto" w:fill="auto"/>
            <w:vAlign w:val="bottom"/>
          </w:tcPr>
          <w:p w14:paraId="67D79E07" w14:textId="77777777" w:rsidR="001C6C15" w:rsidRPr="00226892" w:rsidRDefault="001C6C15" w:rsidP="001C6C15">
            <w:pPr>
              <w:jc w:val="right"/>
              <w:rPr>
                <w:rFonts w:ascii="Arial" w:eastAsia="Times New Roman" w:hAnsi="Arial" w:cs="Arial"/>
                <w:sz w:val="18"/>
                <w:szCs w:val="18"/>
                <w:lang w:val="sk-SK" w:eastAsia="sk-SK"/>
              </w:rPr>
            </w:pPr>
          </w:p>
        </w:tc>
        <w:tc>
          <w:tcPr>
            <w:tcW w:w="191" w:type="dxa"/>
            <w:tcBorders>
              <w:top w:val="nil"/>
              <w:left w:val="nil"/>
              <w:bottom w:val="nil"/>
              <w:right w:val="nil"/>
            </w:tcBorders>
            <w:shd w:val="clear" w:color="auto" w:fill="auto"/>
            <w:vAlign w:val="bottom"/>
          </w:tcPr>
          <w:p w14:paraId="55D666C1" w14:textId="77777777" w:rsidR="001C6C15" w:rsidRPr="00226892" w:rsidRDefault="001C6C15" w:rsidP="001C6C15">
            <w:pPr>
              <w:jc w:val="right"/>
              <w:rPr>
                <w:rFonts w:ascii="Arial" w:eastAsia="Times New Roman" w:hAnsi="Arial" w:cs="Arial"/>
                <w:sz w:val="18"/>
                <w:szCs w:val="18"/>
                <w:lang w:val="sk-SK" w:eastAsia="sk-SK"/>
              </w:rPr>
            </w:pPr>
          </w:p>
        </w:tc>
        <w:tc>
          <w:tcPr>
            <w:tcW w:w="1886" w:type="dxa"/>
            <w:tcBorders>
              <w:top w:val="nil"/>
              <w:left w:val="nil"/>
              <w:bottom w:val="nil"/>
              <w:right w:val="nil"/>
            </w:tcBorders>
            <w:shd w:val="clear" w:color="auto" w:fill="auto"/>
            <w:vAlign w:val="bottom"/>
          </w:tcPr>
          <w:p w14:paraId="1D30EFC1" w14:textId="77777777" w:rsidR="001C6C15" w:rsidRPr="00226892" w:rsidRDefault="001C6C15" w:rsidP="001C6C15">
            <w:pPr>
              <w:jc w:val="right"/>
              <w:rPr>
                <w:rFonts w:ascii="Arial" w:eastAsia="Times New Roman" w:hAnsi="Arial" w:cs="Arial"/>
                <w:sz w:val="18"/>
                <w:szCs w:val="18"/>
                <w:lang w:val="sk-SK" w:eastAsia="sk-SK"/>
              </w:rPr>
            </w:pPr>
          </w:p>
        </w:tc>
      </w:tr>
      <w:tr w:rsidR="001C6C15" w:rsidRPr="00226892" w14:paraId="0BEB0BDB" w14:textId="77777777" w:rsidTr="00F14DB5">
        <w:trPr>
          <w:trHeight w:val="227"/>
        </w:trPr>
        <w:tc>
          <w:tcPr>
            <w:tcW w:w="4830" w:type="dxa"/>
            <w:tcBorders>
              <w:top w:val="nil"/>
              <w:left w:val="nil"/>
              <w:bottom w:val="nil"/>
              <w:right w:val="nil"/>
            </w:tcBorders>
            <w:shd w:val="clear" w:color="auto" w:fill="auto"/>
            <w:vAlign w:val="bottom"/>
            <w:hideMark/>
          </w:tcPr>
          <w:p w14:paraId="5815B5EF" w14:textId="40A995FD" w:rsidR="001C6C15" w:rsidRPr="00226892" w:rsidRDefault="001C6C15" w:rsidP="001C6C1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Zmena stavu zásob hotových výrobkov a nedokončenej výroby</w:t>
            </w:r>
          </w:p>
        </w:tc>
        <w:tc>
          <w:tcPr>
            <w:tcW w:w="602" w:type="dxa"/>
            <w:tcBorders>
              <w:top w:val="nil"/>
              <w:left w:val="nil"/>
              <w:bottom w:val="nil"/>
              <w:right w:val="nil"/>
            </w:tcBorders>
            <w:shd w:val="clear" w:color="auto" w:fill="auto"/>
            <w:noWrap/>
            <w:vAlign w:val="bottom"/>
            <w:hideMark/>
          </w:tcPr>
          <w:p w14:paraId="53F17002" w14:textId="77777777" w:rsidR="001C6C15" w:rsidRPr="00226892" w:rsidRDefault="001C6C15" w:rsidP="0049047A">
            <w:pPr>
              <w:jc w:val="center"/>
              <w:rPr>
                <w:rFonts w:ascii="Arial" w:eastAsia="Times New Roman" w:hAnsi="Arial" w:cs="Arial"/>
                <w:color w:val="000000"/>
                <w:sz w:val="18"/>
                <w:szCs w:val="18"/>
                <w:lang w:val="sk-SK" w:eastAsia="sk-SK"/>
              </w:rPr>
            </w:pPr>
          </w:p>
        </w:tc>
        <w:tc>
          <w:tcPr>
            <w:tcW w:w="196" w:type="dxa"/>
            <w:tcBorders>
              <w:top w:val="nil"/>
              <w:left w:val="nil"/>
              <w:bottom w:val="nil"/>
              <w:right w:val="nil"/>
            </w:tcBorders>
            <w:shd w:val="clear" w:color="auto" w:fill="auto"/>
            <w:noWrap/>
            <w:vAlign w:val="bottom"/>
            <w:hideMark/>
          </w:tcPr>
          <w:p w14:paraId="7062E2ED" w14:textId="77777777" w:rsidR="001C6C15" w:rsidRPr="00226892" w:rsidRDefault="001C6C15" w:rsidP="001C6C15">
            <w:pPr>
              <w:rPr>
                <w:rFonts w:ascii="Arial" w:eastAsia="Times New Roman" w:hAnsi="Arial" w:cs="Arial"/>
                <w:sz w:val="18"/>
                <w:szCs w:val="18"/>
                <w:lang w:val="sk-SK" w:eastAsia="sk-SK"/>
              </w:rPr>
            </w:pPr>
          </w:p>
        </w:tc>
        <w:tc>
          <w:tcPr>
            <w:tcW w:w="1926" w:type="dxa"/>
            <w:tcBorders>
              <w:top w:val="nil"/>
              <w:left w:val="nil"/>
              <w:bottom w:val="nil"/>
              <w:right w:val="nil"/>
            </w:tcBorders>
            <w:shd w:val="clear" w:color="auto" w:fill="auto"/>
            <w:vAlign w:val="bottom"/>
          </w:tcPr>
          <w:p w14:paraId="1CA89503" w14:textId="328EBFE6" w:rsidR="001C6C15" w:rsidRPr="00226892" w:rsidRDefault="00E55854" w:rsidP="001C6C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w:t>
            </w:r>
            <w:r w:rsidR="001C6C15" w:rsidRPr="00226892">
              <w:rPr>
                <w:rFonts w:ascii="Arial" w:eastAsia="Times New Roman" w:hAnsi="Arial" w:cs="Arial"/>
                <w:color w:val="000000"/>
                <w:sz w:val="18"/>
                <w:szCs w:val="18"/>
                <w:lang w:val="sk-SK" w:eastAsia="sk-SK"/>
              </w:rPr>
              <w:t>47</w:t>
            </w:r>
          </w:p>
        </w:tc>
        <w:tc>
          <w:tcPr>
            <w:tcW w:w="191" w:type="dxa"/>
            <w:tcBorders>
              <w:top w:val="nil"/>
              <w:left w:val="nil"/>
              <w:bottom w:val="nil"/>
              <w:right w:val="nil"/>
            </w:tcBorders>
            <w:shd w:val="clear" w:color="auto" w:fill="auto"/>
            <w:vAlign w:val="bottom"/>
          </w:tcPr>
          <w:p w14:paraId="0A6951C2" w14:textId="77777777" w:rsidR="001C6C15" w:rsidRPr="00226892" w:rsidRDefault="001C6C15" w:rsidP="001C6C15">
            <w:pPr>
              <w:jc w:val="right"/>
              <w:rPr>
                <w:rFonts w:ascii="Arial" w:eastAsia="Times New Roman" w:hAnsi="Arial" w:cs="Arial"/>
                <w:color w:val="000000"/>
                <w:sz w:val="18"/>
                <w:szCs w:val="18"/>
                <w:lang w:val="sk-SK" w:eastAsia="sk-SK"/>
              </w:rPr>
            </w:pPr>
          </w:p>
        </w:tc>
        <w:tc>
          <w:tcPr>
            <w:tcW w:w="1886" w:type="dxa"/>
            <w:tcBorders>
              <w:top w:val="nil"/>
              <w:left w:val="nil"/>
              <w:bottom w:val="nil"/>
              <w:right w:val="nil"/>
            </w:tcBorders>
            <w:shd w:val="clear" w:color="auto" w:fill="auto"/>
            <w:vAlign w:val="bottom"/>
          </w:tcPr>
          <w:p w14:paraId="057245C3" w14:textId="6385937E" w:rsidR="001C6C15" w:rsidRPr="00226892" w:rsidRDefault="00096439" w:rsidP="001C6C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678</w:t>
            </w:r>
          </w:p>
        </w:tc>
      </w:tr>
      <w:tr w:rsidR="001C6C15" w:rsidRPr="00226892" w14:paraId="5BC3FF22" w14:textId="77777777" w:rsidTr="00F14DB5">
        <w:trPr>
          <w:trHeight w:val="227"/>
        </w:trPr>
        <w:tc>
          <w:tcPr>
            <w:tcW w:w="4830" w:type="dxa"/>
            <w:tcBorders>
              <w:top w:val="nil"/>
              <w:left w:val="nil"/>
              <w:bottom w:val="nil"/>
              <w:right w:val="nil"/>
            </w:tcBorders>
            <w:shd w:val="clear" w:color="auto" w:fill="auto"/>
            <w:vAlign w:val="bottom"/>
            <w:hideMark/>
          </w:tcPr>
          <w:p w14:paraId="53328502" w14:textId="77777777" w:rsidR="001C6C15" w:rsidRPr="00226892" w:rsidRDefault="001C6C15" w:rsidP="001C6C1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Spotreba základného a ostatného materiálu</w:t>
            </w:r>
          </w:p>
        </w:tc>
        <w:tc>
          <w:tcPr>
            <w:tcW w:w="602" w:type="dxa"/>
            <w:tcBorders>
              <w:top w:val="nil"/>
              <w:left w:val="nil"/>
              <w:bottom w:val="nil"/>
              <w:right w:val="nil"/>
            </w:tcBorders>
            <w:shd w:val="clear" w:color="auto" w:fill="auto"/>
            <w:noWrap/>
            <w:vAlign w:val="bottom"/>
            <w:hideMark/>
          </w:tcPr>
          <w:p w14:paraId="54257D42" w14:textId="6F5F31A6" w:rsidR="001C6C15" w:rsidRPr="00226892" w:rsidRDefault="001C6C15" w:rsidP="0049047A">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w:t>
            </w:r>
            <w:r w:rsidR="0049047A" w:rsidRPr="00226892">
              <w:rPr>
                <w:rFonts w:ascii="Arial" w:eastAsia="Times New Roman" w:hAnsi="Arial" w:cs="Arial"/>
                <w:color w:val="000000"/>
                <w:sz w:val="18"/>
                <w:szCs w:val="18"/>
                <w:lang w:val="sk-SK" w:eastAsia="sk-SK"/>
              </w:rPr>
              <w:t>1</w:t>
            </w:r>
          </w:p>
        </w:tc>
        <w:tc>
          <w:tcPr>
            <w:tcW w:w="196" w:type="dxa"/>
            <w:tcBorders>
              <w:top w:val="nil"/>
              <w:left w:val="nil"/>
              <w:bottom w:val="nil"/>
              <w:right w:val="nil"/>
            </w:tcBorders>
            <w:shd w:val="clear" w:color="auto" w:fill="auto"/>
            <w:noWrap/>
            <w:vAlign w:val="bottom"/>
            <w:hideMark/>
          </w:tcPr>
          <w:p w14:paraId="3D433D85" w14:textId="77777777" w:rsidR="001C6C15" w:rsidRPr="00226892" w:rsidRDefault="001C6C15" w:rsidP="001C6C15">
            <w:pPr>
              <w:jc w:val="center"/>
              <w:rPr>
                <w:rFonts w:ascii="Arial" w:eastAsia="Times New Roman" w:hAnsi="Arial" w:cs="Arial"/>
                <w:color w:val="000000"/>
                <w:sz w:val="18"/>
                <w:szCs w:val="18"/>
                <w:lang w:val="sk-SK" w:eastAsia="sk-SK"/>
              </w:rPr>
            </w:pPr>
          </w:p>
        </w:tc>
        <w:tc>
          <w:tcPr>
            <w:tcW w:w="1926" w:type="dxa"/>
            <w:tcBorders>
              <w:top w:val="nil"/>
              <w:left w:val="nil"/>
              <w:bottom w:val="nil"/>
              <w:right w:val="nil"/>
            </w:tcBorders>
            <w:shd w:val="clear" w:color="auto" w:fill="auto"/>
            <w:vAlign w:val="bottom"/>
          </w:tcPr>
          <w:p w14:paraId="579BEA69" w14:textId="6A68E573" w:rsidR="001C6C15" w:rsidRPr="00226892" w:rsidRDefault="001C6C15" w:rsidP="001C6C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w:t>
            </w:r>
            <w:r w:rsidR="00745FC3" w:rsidRPr="00226892">
              <w:rPr>
                <w:rFonts w:ascii="Arial" w:eastAsia="Times New Roman" w:hAnsi="Arial" w:cs="Arial"/>
                <w:color w:val="000000"/>
                <w:sz w:val="18"/>
                <w:szCs w:val="18"/>
                <w:lang w:val="sk-SK" w:eastAsia="sk-SK"/>
              </w:rPr>
              <w:t>19 298</w:t>
            </w:r>
          </w:p>
        </w:tc>
        <w:tc>
          <w:tcPr>
            <w:tcW w:w="191" w:type="dxa"/>
            <w:tcBorders>
              <w:top w:val="nil"/>
              <w:left w:val="nil"/>
              <w:bottom w:val="nil"/>
              <w:right w:val="nil"/>
            </w:tcBorders>
            <w:shd w:val="clear" w:color="auto" w:fill="auto"/>
            <w:vAlign w:val="bottom"/>
          </w:tcPr>
          <w:p w14:paraId="137CA8D8" w14:textId="77777777" w:rsidR="001C6C15" w:rsidRPr="00226892" w:rsidRDefault="001C6C15" w:rsidP="001C6C15">
            <w:pPr>
              <w:jc w:val="right"/>
              <w:rPr>
                <w:rFonts w:ascii="Arial" w:eastAsia="Times New Roman" w:hAnsi="Arial" w:cs="Arial"/>
                <w:color w:val="000000"/>
                <w:sz w:val="18"/>
                <w:szCs w:val="18"/>
                <w:lang w:val="sk-SK" w:eastAsia="sk-SK"/>
              </w:rPr>
            </w:pPr>
          </w:p>
        </w:tc>
        <w:tc>
          <w:tcPr>
            <w:tcW w:w="1886" w:type="dxa"/>
            <w:tcBorders>
              <w:top w:val="nil"/>
              <w:left w:val="nil"/>
              <w:bottom w:val="nil"/>
              <w:right w:val="nil"/>
            </w:tcBorders>
            <w:shd w:val="clear" w:color="auto" w:fill="auto"/>
            <w:vAlign w:val="bottom"/>
          </w:tcPr>
          <w:p w14:paraId="3066331F" w14:textId="531170E1" w:rsidR="001C6C15" w:rsidRPr="00226892" w:rsidRDefault="001C6C15" w:rsidP="001C6C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-107 016</w:t>
            </w:r>
          </w:p>
        </w:tc>
      </w:tr>
      <w:tr w:rsidR="001C6C15" w:rsidRPr="00226892" w14:paraId="5134E1B0" w14:textId="77777777" w:rsidTr="00F14DB5">
        <w:trPr>
          <w:trHeight w:val="227"/>
        </w:trPr>
        <w:tc>
          <w:tcPr>
            <w:tcW w:w="4830" w:type="dxa"/>
            <w:tcBorders>
              <w:top w:val="nil"/>
              <w:left w:val="nil"/>
              <w:bottom w:val="nil"/>
              <w:right w:val="nil"/>
            </w:tcBorders>
            <w:shd w:val="clear" w:color="auto" w:fill="auto"/>
            <w:vAlign w:val="bottom"/>
            <w:hideMark/>
          </w:tcPr>
          <w:p w14:paraId="091F9126" w14:textId="77777777" w:rsidR="001C6C15" w:rsidRPr="00226892" w:rsidRDefault="001C6C15" w:rsidP="001C6C1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Náklady na predaný tovar</w:t>
            </w:r>
          </w:p>
        </w:tc>
        <w:tc>
          <w:tcPr>
            <w:tcW w:w="602" w:type="dxa"/>
            <w:tcBorders>
              <w:top w:val="nil"/>
              <w:left w:val="nil"/>
              <w:bottom w:val="nil"/>
              <w:right w:val="nil"/>
            </w:tcBorders>
            <w:shd w:val="clear" w:color="auto" w:fill="auto"/>
            <w:noWrap/>
            <w:vAlign w:val="bottom"/>
            <w:hideMark/>
          </w:tcPr>
          <w:p w14:paraId="1B101175" w14:textId="77777777" w:rsidR="001C6C15" w:rsidRPr="00226892" w:rsidRDefault="001C6C15" w:rsidP="0049047A">
            <w:pPr>
              <w:jc w:val="center"/>
              <w:rPr>
                <w:rFonts w:ascii="Arial" w:eastAsia="Times New Roman" w:hAnsi="Arial" w:cs="Arial"/>
                <w:color w:val="000000"/>
                <w:sz w:val="18"/>
                <w:szCs w:val="18"/>
                <w:lang w:val="sk-SK" w:eastAsia="sk-SK"/>
              </w:rPr>
            </w:pPr>
          </w:p>
        </w:tc>
        <w:tc>
          <w:tcPr>
            <w:tcW w:w="196" w:type="dxa"/>
            <w:tcBorders>
              <w:top w:val="nil"/>
              <w:left w:val="nil"/>
              <w:bottom w:val="nil"/>
              <w:right w:val="nil"/>
            </w:tcBorders>
            <w:shd w:val="clear" w:color="auto" w:fill="auto"/>
            <w:noWrap/>
            <w:vAlign w:val="bottom"/>
            <w:hideMark/>
          </w:tcPr>
          <w:p w14:paraId="527A8740" w14:textId="77777777" w:rsidR="001C6C15" w:rsidRPr="00226892" w:rsidRDefault="001C6C15" w:rsidP="001C6C15">
            <w:pPr>
              <w:jc w:val="center"/>
              <w:rPr>
                <w:rFonts w:ascii="Arial" w:eastAsia="Times New Roman" w:hAnsi="Arial" w:cs="Arial"/>
                <w:sz w:val="18"/>
                <w:szCs w:val="18"/>
                <w:lang w:val="sk-SK" w:eastAsia="sk-SK"/>
              </w:rPr>
            </w:pPr>
          </w:p>
        </w:tc>
        <w:tc>
          <w:tcPr>
            <w:tcW w:w="1926" w:type="dxa"/>
            <w:tcBorders>
              <w:top w:val="nil"/>
              <w:left w:val="nil"/>
              <w:bottom w:val="nil"/>
              <w:right w:val="nil"/>
            </w:tcBorders>
            <w:shd w:val="clear" w:color="auto" w:fill="auto"/>
            <w:vAlign w:val="bottom"/>
          </w:tcPr>
          <w:p w14:paraId="41A3829C" w14:textId="5F244AB8" w:rsidR="001C6C15" w:rsidRPr="00226892" w:rsidRDefault="001C6C15" w:rsidP="001C6C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-23 414</w:t>
            </w:r>
          </w:p>
        </w:tc>
        <w:tc>
          <w:tcPr>
            <w:tcW w:w="191" w:type="dxa"/>
            <w:tcBorders>
              <w:top w:val="nil"/>
              <w:left w:val="nil"/>
              <w:bottom w:val="nil"/>
              <w:right w:val="nil"/>
            </w:tcBorders>
            <w:shd w:val="clear" w:color="auto" w:fill="auto"/>
            <w:vAlign w:val="bottom"/>
          </w:tcPr>
          <w:p w14:paraId="38D664C7" w14:textId="77777777" w:rsidR="001C6C15" w:rsidRPr="00226892" w:rsidRDefault="001C6C15" w:rsidP="001C6C15">
            <w:pPr>
              <w:jc w:val="right"/>
              <w:rPr>
                <w:rFonts w:ascii="Arial" w:eastAsia="Times New Roman" w:hAnsi="Arial" w:cs="Arial"/>
                <w:color w:val="000000"/>
                <w:sz w:val="18"/>
                <w:szCs w:val="18"/>
                <w:lang w:val="sk-SK" w:eastAsia="sk-SK"/>
              </w:rPr>
            </w:pPr>
          </w:p>
        </w:tc>
        <w:tc>
          <w:tcPr>
            <w:tcW w:w="1886" w:type="dxa"/>
            <w:tcBorders>
              <w:top w:val="nil"/>
              <w:left w:val="nil"/>
              <w:bottom w:val="nil"/>
              <w:right w:val="nil"/>
            </w:tcBorders>
            <w:shd w:val="clear" w:color="auto" w:fill="auto"/>
            <w:vAlign w:val="bottom"/>
          </w:tcPr>
          <w:p w14:paraId="13E4F26C" w14:textId="0E534CAA" w:rsidR="001C6C15" w:rsidRPr="00226892" w:rsidRDefault="001C6C15" w:rsidP="001C6C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-14 918</w:t>
            </w:r>
          </w:p>
        </w:tc>
      </w:tr>
      <w:tr w:rsidR="001C6C15" w:rsidRPr="00226892" w14:paraId="72836C60" w14:textId="77777777" w:rsidTr="00F14DB5">
        <w:trPr>
          <w:trHeight w:val="227"/>
        </w:trPr>
        <w:tc>
          <w:tcPr>
            <w:tcW w:w="4830" w:type="dxa"/>
            <w:tcBorders>
              <w:top w:val="nil"/>
              <w:left w:val="nil"/>
              <w:bottom w:val="nil"/>
              <w:right w:val="nil"/>
            </w:tcBorders>
            <w:shd w:val="clear" w:color="auto" w:fill="auto"/>
            <w:vAlign w:val="bottom"/>
            <w:hideMark/>
          </w:tcPr>
          <w:p w14:paraId="74C30F93" w14:textId="77777777" w:rsidR="001C6C15" w:rsidRPr="00226892" w:rsidRDefault="001C6C15" w:rsidP="001C6C1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Služby</w:t>
            </w:r>
          </w:p>
        </w:tc>
        <w:tc>
          <w:tcPr>
            <w:tcW w:w="602" w:type="dxa"/>
            <w:tcBorders>
              <w:top w:val="nil"/>
              <w:left w:val="nil"/>
              <w:bottom w:val="nil"/>
              <w:right w:val="nil"/>
            </w:tcBorders>
            <w:shd w:val="clear" w:color="auto" w:fill="auto"/>
            <w:noWrap/>
            <w:vAlign w:val="bottom"/>
            <w:hideMark/>
          </w:tcPr>
          <w:p w14:paraId="7A397728" w14:textId="5C0508E4" w:rsidR="001C6C15" w:rsidRPr="00226892" w:rsidRDefault="001C6C15" w:rsidP="0049047A">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w:t>
            </w:r>
            <w:r w:rsidR="0049047A" w:rsidRPr="00226892">
              <w:rPr>
                <w:rFonts w:ascii="Arial" w:eastAsia="Times New Roman" w:hAnsi="Arial" w:cs="Arial"/>
                <w:color w:val="000000"/>
                <w:sz w:val="18"/>
                <w:szCs w:val="18"/>
                <w:lang w:val="sk-SK" w:eastAsia="sk-SK"/>
              </w:rPr>
              <w:t>1</w:t>
            </w:r>
          </w:p>
        </w:tc>
        <w:tc>
          <w:tcPr>
            <w:tcW w:w="196" w:type="dxa"/>
            <w:tcBorders>
              <w:top w:val="nil"/>
              <w:left w:val="nil"/>
              <w:bottom w:val="nil"/>
              <w:right w:val="nil"/>
            </w:tcBorders>
            <w:shd w:val="clear" w:color="auto" w:fill="auto"/>
            <w:noWrap/>
            <w:vAlign w:val="bottom"/>
            <w:hideMark/>
          </w:tcPr>
          <w:p w14:paraId="099D2402" w14:textId="77777777" w:rsidR="001C6C15" w:rsidRPr="00226892" w:rsidRDefault="001C6C15" w:rsidP="001C6C15">
            <w:pPr>
              <w:jc w:val="center"/>
              <w:rPr>
                <w:rFonts w:ascii="Arial" w:eastAsia="Times New Roman" w:hAnsi="Arial" w:cs="Arial"/>
                <w:color w:val="000000"/>
                <w:sz w:val="18"/>
                <w:szCs w:val="18"/>
                <w:lang w:val="sk-SK" w:eastAsia="sk-SK"/>
              </w:rPr>
            </w:pPr>
          </w:p>
        </w:tc>
        <w:tc>
          <w:tcPr>
            <w:tcW w:w="1926" w:type="dxa"/>
            <w:tcBorders>
              <w:top w:val="nil"/>
              <w:left w:val="nil"/>
              <w:bottom w:val="nil"/>
              <w:right w:val="nil"/>
            </w:tcBorders>
            <w:shd w:val="clear" w:color="auto" w:fill="auto"/>
            <w:vAlign w:val="bottom"/>
          </w:tcPr>
          <w:p w14:paraId="6C7B188C" w14:textId="14A5B21C" w:rsidR="001C6C15" w:rsidRPr="00226892" w:rsidRDefault="001C6C15" w:rsidP="001C6C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-20 2</w:t>
            </w:r>
            <w:r w:rsidR="00745FC3" w:rsidRPr="00226892">
              <w:rPr>
                <w:rFonts w:ascii="Arial" w:eastAsia="Times New Roman" w:hAnsi="Arial" w:cs="Arial"/>
                <w:color w:val="000000"/>
                <w:sz w:val="18"/>
                <w:szCs w:val="18"/>
                <w:lang w:val="sk-SK" w:eastAsia="sk-SK"/>
              </w:rPr>
              <w:t>4</w:t>
            </w:r>
            <w:r w:rsidR="00B66B39" w:rsidRPr="00226892">
              <w:rPr>
                <w:rFonts w:ascii="Arial" w:eastAsia="Times New Roman" w:hAnsi="Arial" w:cs="Arial"/>
                <w:color w:val="000000"/>
                <w:sz w:val="18"/>
                <w:szCs w:val="18"/>
                <w:lang w:val="sk-SK" w:eastAsia="sk-SK"/>
              </w:rPr>
              <w:t>5</w:t>
            </w:r>
          </w:p>
        </w:tc>
        <w:tc>
          <w:tcPr>
            <w:tcW w:w="191" w:type="dxa"/>
            <w:tcBorders>
              <w:top w:val="nil"/>
              <w:left w:val="nil"/>
              <w:bottom w:val="nil"/>
              <w:right w:val="nil"/>
            </w:tcBorders>
            <w:shd w:val="clear" w:color="auto" w:fill="auto"/>
            <w:vAlign w:val="bottom"/>
          </w:tcPr>
          <w:p w14:paraId="49699910" w14:textId="77777777" w:rsidR="001C6C15" w:rsidRPr="00226892" w:rsidRDefault="001C6C15" w:rsidP="001C6C15">
            <w:pPr>
              <w:jc w:val="right"/>
              <w:rPr>
                <w:rFonts w:ascii="Arial" w:eastAsia="Times New Roman" w:hAnsi="Arial" w:cs="Arial"/>
                <w:color w:val="000000"/>
                <w:sz w:val="18"/>
                <w:szCs w:val="18"/>
                <w:lang w:val="sk-SK" w:eastAsia="sk-SK"/>
              </w:rPr>
            </w:pPr>
          </w:p>
        </w:tc>
        <w:tc>
          <w:tcPr>
            <w:tcW w:w="1886" w:type="dxa"/>
            <w:tcBorders>
              <w:top w:val="nil"/>
              <w:left w:val="nil"/>
              <w:bottom w:val="nil"/>
              <w:right w:val="nil"/>
            </w:tcBorders>
            <w:shd w:val="clear" w:color="auto" w:fill="auto"/>
            <w:vAlign w:val="bottom"/>
          </w:tcPr>
          <w:p w14:paraId="7321CB5C" w14:textId="14785C3B" w:rsidR="001C6C15" w:rsidRPr="00226892" w:rsidRDefault="001C6C15" w:rsidP="001C6C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-20 149</w:t>
            </w:r>
          </w:p>
        </w:tc>
      </w:tr>
      <w:tr w:rsidR="001C6C15" w:rsidRPr="00226892" w14:paraId="68A447A0" w14:textId="77777777" w:rsidTr="00F14DB5">
        <w:trPr>
          <w:trHeight w:val="227"/>
        </w:trPr>
        <w:tc>
          <w:tcPr>
            <w:tcW w:w="4830" w:type="dxa"/>
            <w:tcBorders>
              <w:top w:val="nil"/>
              <w:left w:val="nil"/>
              <w:bottom w:val="nil"/>
              <w:right w:val="nil"/>
            </w:tcBorders>
            <w:shd w:val="clear" w:color="auto" w:fill="auto"/>
            <w:vAlign w:val="bottom"/>
            <w:hideMark/>
          </w:tcPr>
          <w:p w14:paraId="36E184B4" w14:textId="77777777" w:rsidR="001C6C15" w:rsidRPr="00226892" w:rsidRDefault="001C6C15" w:rsidP="001C6C1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Náklady na odmeňovanie zamestnancov</w:t>
            </w:r>
          </w:p>
        </w:tc>
        <w:tc>
          <w:tcPr>
            <w:tcW w:w="602" w:type="dxa"/>
            <w:tcBorders>
              <w:top w:val="nil"/>
              <w:left w:val="nil"/>
              <w:bottom w:val="nil"/>
              <w:right w:val="nil"/>
            </w:tcBorders>
            <w:shd w:val="clear" w:color="auto" w:fill="auto"/>
            <w:noWrap/>
            <w:vAlign w:val="bottom"/>
            <w:hideMark/>
          </w:tcPr>
          <w:p w14:paraId="04ACC18A" w14:textId="65AE0248" w:rsidR="001C6C15" w:rsidRPr="00226892" w:rsidRDefault="001C6C15" w:rsidP="0049047A">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w:t>
            </w:r>
            <w:r w:rsidR="0049047A" w:rsidRPr="00226892">
              <w:rPr>
                <w:rFonts w:ascii="Arial" w:eastAsia="Times New Roman" w:hAnsi="Arial" w:cs="Arial"/>
                <w:color w:val="000000"/>
                <w:sz w:val="18"/>
                <w:szCs w:val="18"/>
                <w:lang w:val="sk-SK" w:eastAsia="sk-SK"/>
              </w:rPr>
              <w:t>2</w:t>
            </w:r>
          </w:p>
        </w:tc>
        <w:tc>
          <w:tcPr>
            <w:tcW w:w="196" w:type="dxa"/>
            <w:tcBorders>
              <w:top w:val="nil"/>
              <w:left w:val="nil"/>
              <w:bottom w:val="nil"/>
              <w:right w:val="nil"/>
            </w:tcBorders>
            <w:shd w:val="clear" w:color="auto" w:fill="auto"/>
            <w:noWrap/>
            <w:vAlign w:val="bottom"/>
            <w:hideMark/>
          </w:tcPr>
          <w:p w14:paraId="72897DEE" w14:textId="77777777" w:rsidR="001C6C15" w:rsidRPr="00226892" w:rsidRDefault="001C6C15" w:rsidP="001C6C15">
            <w:pPr>
              <w:jc w:val="center"/>
              <w:rPr>
                <w:rFonts w:ascii="Arial" w:eastAsia="Times New Roman" w:hAnsi="Arial" w:cs="Arial"/>
                <w:color w:val="000000"/>
                <w:sz w:val="18"/>
                <w:szCs w:val="18"/>
                <w:lang w:val="sk-SK" w:eastAsia="sk-SK"/>
              </w:rPr>
            </w:pPr>
          </w:p>
        </w:tc>
        <w:tc>
          <w:tcPr>
            <w:tcW w:w="1926" w:type="dxa"/>
            <w:tcBorders>
              <w:top w:val="nil"/>
              <w:left w:val="nil"/>
              <w:bottom w:val="nil"/>
              <w:right w:val="nil"/>
            </w:tcBorders>
            <w:shd w:val="clear" w:color="auto" w:fill="auto"/>
            <w:vAlign w:val="bottom"/>
          </w:tcPr>
          <w:p w14:paraId="1FB11983" w14:textId="6877078B" w:rsidR="001C6C15" w:rsidRPr="00226892" w:rsidRDefault="001C6C15" w:rsidP="001C6C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-30 381</w:t>
            </w:r>
          </w:p>
        </w:tc>
        <w:tc>
          <w:tcPr>
            <w:tcW w:w="191" w:type="dxa"/>
            <w:tcBorders>
              <w:top w:val="nil"/>
              <w:left w:val="nil"/>
              <w:bottom w:val="nil"/>
              <w:right w:val="nil"/>
            </w:tcBorders>
            <w:shd w:val="clear" w:color="auto" w:fill="auto"/>
            <w:vAlign w:val="bottom"/>
          </w:tcPr>
          <w:p w14:paraId="682C686A" w14:textId="77777777" w:rsidR="001C6C15" w:rsidRPr="00226892" w:rsidRDefault="001C6C15" w:rsidP="001C6C15">
            <w:pPr>
              <w:jc w:val="right"/>
              <w:rPr>
                <w:rFonts w:ascii="Arial" w:eastAsia="Times New Roman" w:hAnsi="Arial" w:cs="Arial"/>
                <w:color w:val="000000"/>
                <w:sz w:val="18"/>
                <w:szCs w:val="18"/>
                <w:lang w:val="sk-SK" w:eastAsia="sk-SK"/>
              </w:rPr>
            </w:pPr>
          </w:p>
        </w:tc>
        <w:tc>
          <w:tcPr>
            <w:tcW w:w="1886" w:type="dxa"/>
            <w:tcBorders>
              <w:top w:val="nil"/>
              <w:left w:val="nil"/>
              <w:bottom w:val="nil"/>
              <w:right w:val="nil"/>
            </w:tcBorders>
            <w:shd w:val="clear" w:color="auto" w:fill="auto"/>
            <w:vAlign w:val="bottom"/>
          </w:tcPr>
          <w:p w14:paraId="0AAEA2B2" w14:textId="39693D9B" w:rsidR="001C6C15" w:rsidRPr="00226892" w:rsidRDefault="001C6C15" w:rsidP="001C6C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-25 956</w:t>
            </w:r>
          </w:p>
        </w:tc>
      </w:tr>
      <w:tr w:rsidR="001C6C15" w:rsidRPr="00226892" w14:paraId="32FB9F02" w14:textId="77777777" w:rsidTr="00F14DB5">
        <w:trPr>
          <w:trHeight w:val="227"/>
        </w:trPr>
        <w:tc>
          <w:tcPr>
            <w:tcW w:w="4830" w:type="dxa"/>
            <w:tcBorders>
              <w:top w:val="nil"/>
              <w:left w:val="nil"/>
              <w:bottom w:val="nil"/>
              <w:right w:val="nil"/>
            </w:tcBorders>
            <w:shd w:val="clear" w:color="auto" w:fill="auto"/>
            <w:vAlign w:val="bottom"/>
            <w:hideMark/>
          </w:tcPr>
          <w:p w14:paraId="015CB17A" w14:textId="77777777" w:rsidR="001C6C15" w:rsidRPr="00226892" w:rsidRDefault="001C6C15" w:rsidP="001C6C1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Odpisy</w:t>
            </w:r>
          </w:p>
        </w:tc>
        <w:tc>
          <w:tcPr>
            <w:tcW w:w="602" w:type="dxa"/>
            <w:tcBorders>
              <w:top w:val="nil"/>
              <w:left w:val="nil"/>
              <w:bottom w:val="nil"/>
              <w:right w:val="nil"/>
            </w:tcBorders>
            <w:shd w:val="clear" w:color="auto" w:fill="auto"/>
            <w:noWrap/>
            <w:vAlign w:val="bottom"/>
            <w:hideMark/>
          </w:tcPr>
          <w:p w14:paraId="5C113B75" w14:textId="428A54FD" w:rsidR="001C6C15" w:rsidRPr="00226892" w:rsidRDefault="001C6C15" w:rsidP="0049047A">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w:t>
            </w:r>
            <w:r w:rsidR="0049047A" w:rsidRPr="00226892">
              <w:rPr>
                <w:rFonts w:ascii="Arial" w:eastAsia="Times New Roman" w:hAnsi="Arial" w:cs="Arial"/>
                <w:color w:val="000000"/>
                <w:sz w:val="18"/>
                <w:szCs w:val="18"/>
                <w:lang w:val="sk-SK" w:eastAsia="sk-SK"/>
              </w:rPr>
              <w:t>1</w:t>
            </w:r>
          </w:p>
        </w:tc>
        <w:tc>
          <w:tcPr>
            <w:tcW w:w="196" w:type="dxa"/>
            <w:tcBorders>
              <w:top w:val="nil"/>
              <w:left w:val="nil"/>
              <w:bottom w:val="nil"/>
              <w:right w:val="nil"/>
            </w:tcBorders>
            <w:shd w:val="clear" w:color="auto" w:fill="auto"/>
            <w:noWrap/>
            <w:vAlign w:val="bottom"/>
            <w:hideMark/>
          </w:tcPr>
          <w:p w14:paraId="1C22E2CE" w14:textId="77777777" w:rsidR="001C6C15" w:rsidRPr="00226892" w:rsidRDefault="001C6C15" w:rsidP="001C6C15">
            <w:pPr>
              <w:jc w:val="center"/>
              <w:rPr>
                <w:rFonts w:ascii="Arial" w:eastAsia="Times New Roman" w:hAnsi="Arial" w:cs="Arial"/>
                <w:color w:val="000000"/>
                <w:sz w:val="18"/>
                <w:szCs w:val="18"/>
                <w:lang w:val="sk-SK" w:eastAsia="sk-SK"/>
              </w:rPr>
            </w:pPr>
          </w:p>
        </w:tc>
        <w:tc>
          <w:tcPr>
            <w:tcW w:w="1926" w:type="dxa"/>
            <w:tcBorders>
              <w:top w:val="nil"/>
              <w:left w:val="nil"/>
              <w:bottom w:val="nil"/>
              <w:right w:val="nil"/>
            </w:tcBorders>
            <w:shd w:val="clear" w:color="auto" w:fill="auto"/>
            <w:vAlign w:val="bottom"/>
          </w:tcPr>
          <w:p w14:paraId="0163BBFA" w14:textId="156D428C" w:rsidR="001C6C15" w:rsidRPr="00226892" w:rsidRDefault="001C6C15" w:rsidP="001C6C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-9 071</w:t>
            </w:r>
          </w:p>
        </w:tc>
        <w:tc>
          <w:tcPr>
            <w:tcW w:w="191" w:type="dxa"/>
            <w:tcBorders>
              <w:top w:val="nil"/>
              <w:left w:val="nil"/>
              <w:bottom w:val="nil"/>
              <w:right w:val="nil"/>
            </w:tcBorders>
            <w:shd w:val="clear" w:color="auto" w:fill="auto"/>
            <w:vAlign w:val="bottom"/>
          </w:tcPr>
          <w:p w14:paraId="6A2F0FB4" w14:textId="77777777" w:rsidR="001C6C15" w:rsidRPr="00226892" w:rsidRDefault="001C6C15" w:rsidP="001C6C15">
            <w:pPr>
              <w:jc w:val="right"/>
              <w:rPr>
                <w:rFonts w:ascii="Arial" w:eastAsia="Times New Roman" w:hAnsi="Arial" w:cs="Arial"/>
                <w:color w:val="000000"/>
                <w:sz w:val="18"/>
                <w:szCs w:val="18"/>
                <w:lang w:val="sk-SK" w:eastAsia="sk-SK"/>
              </w:rPr>
            </w:pPr>
          </w:p>
        </w:tc>
        <w:tc>
          <w:tcPr>
            <w:tcW w:w="1886" w:type="dxa"/>
            <w:tcBorders>
              <w:top w:val="nil"/>
              <w:left w:val="nil"/>
              <w:bottom w:val="nil"/>
              <w:right w:val="nil"/>
            </w:tcBorders>
            <w:shd w:val="clear" w:color="auto" w:fill="auto"/>
            <w:vAlign w:val="bottom"/>
          </w:tcPr>
          <w:p w14:paraId="2A7A5AD6" w14:textId="1B9EA32B" w:rsidR="001C6C15" w:rsidRPr="00226892" w:rsidRDefault="001C6C15" w:rsidP="001C6C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-8 966</w:t>
            </w:r>
          </w:p>
        </w:tc>
      </w:tr>
      <w:tr w:rsidR="001C6C15" w:rsidRPr="00226892" w14:paraId="75E988C8" w14:textId="77777777" w:rsidTr="00F14DB5">
        <w:trPr>
          <w:trHeight w:val="227"/>
        </w:trPr>
        <w:tc>
          <w:tcPr>
            <w:tcW w:w="4830" w:type="dxa"/>
            <w:tcBorders>
              <w:top w:val="nil"/>
              <w:left w:val="nil"/>
              <w:bottom w:val="nil"/>
              <w:right w:val="nil"/>
            </w:tcBorders>
            <w:shd w:val="clear" w:color="auto" w:fill="auto"/>
            <w:vAlign w:val="bottom"/>
            <w:hideMark/>
          </w:tcPr>
          <w:p w14:paraId="5C370F2E" w14:textId="77777777" w:rsidR="001C6C15" w:rsidRPr="00226892" w:rsidRDefault="001C6C15" w:rsidP="001C6C1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Ostatné prevádzkové výnosy</w:t>
            </w:r>
          </w:p>
        </w:tc>
        <w:tc>
          <w:tcPr>
            <w:tcW w:w="602" w:type="dxa"/>
            <w:tcBorders>
              <w:top w:val="nil"/>
              <w:left w:val="nil"/>
              <w:bottom w:val="nil"/>
              <w:right w:val="nil"/>
            </w:tcBorders>
            <w:shd w:val="clear" w:color="auto" w:fill="auto"/>
            <w:noWrap/>
            <w:vAlign w:val="bottom"/>
            <w:hideMark/>
          </w:tcPr>
          <w:p w14:paraId="474E3BAA" w14:textId="0D15E5FD" w:rsidR="001C6C15" w:rsidRPr="00226892" w:rsidRDefault="001C6C15" w:rsidP="0049047A">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w:t>
            </w:r>
            <w:r w:rsidR="0049047A" w:rsidRPr="00226892">
              <w:rPr>
                <w:rFonts w:ascii="Arial" w:eastAsia="Times New Roman" w:hAnsi="Arial" w:cs="Arial"/>
                <w:color w:val="000000"/>
                <w:sz w:val="18"/>
                <w:szCs w:val="18"/>
                <w:lang w:val="sk-SK" w:eastAsia="sk-SK"/>
              </w:rPr>
              <w:t>1</w:t>
            </w:r>
          </w:p>
        </w:tc>
        <w:tc>
          <w:tcPr>
            <w:tcW w:w="196" w:type="dxa"/>
            <w:tcBorders>
              <w:top w:val="nil"/>
              <w:left w:val="nil"/>
              <w:bottom w:val="nil"/>
              <w:right w:val="nil"/>
            </w:tcBorders>
            <w:shd w:val="clear" w:color="auto" w:fill="auto"/>
            <w:noWrap/>
            <w:vAlign w:val="bottom"/>
            <w:hideMark/>
          </w:tcPr>
          <w:p w14:paraId="1F53CE70" w14:textId="77777777" w:rsidR="001C6C15" w:rsidRPr="00226892" w:rsidRDefault="001C6C15" w:rsidP="001C6C15">
            <w:pPr>
              <w:jc w:val="center"/>
              <w:rPr>
                <w:rFonts w:ascii="Arial" w:eastAsia="Times New Roman" w:hAnsi="Arial" w:cs="Arial"/>
                <w:color w:val="000000"/>
                <w:sz w:val="18"/>
                <w:szCs w:val="18"/>
                <w:lang w:val="sk-SK" w:eastAsia="sk-SK"/>
              </w:rPr>
            </w:pPr>
          </w:p>
        </w:tc>
        <w:tc>
          <w:tcPr>
            <w:tcW w:w="1926" w:type="dxa"/>
            <w:tcBorders>
              <w:top w:val="nil"/>
              <w:left w:val="nil"/>
              <w:bottom w:val="nil"/>
              <w:right w:val="nil"/>
            </w:tcBorders>
            <w:shd w:val="clear" w:color="auto" w:fill="auto"/>
            <w:vAlign w:val="bottom"/>
          </w:tcPr>
          <w:p w14:paraId="6D2364D1" w14:textId="4A006E07" w:rsidR="001C6C15" w:rsidRPr="00226892" w:rsidRDefault="00745FC3" w:rsidP="001C6C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98</w:t>
            </w:r>
            <w:r w:rsidR="00B66B39" w:rsidRPr="00226892">
              <w:rPr>
                <w:rFonts w:ascii="Arial" w:eastAsia="Times New Roman" w:hAnsi="Arial" w:cs="Arial"/>
                <w:color w:val="000000"/>
                <w:sz w:val="18"/>
                <w:szCs w:val="18"/>
                <w:lang w:val="sk-SK" w:eastAsia="sk-SK"/>
              </w:rPr>
              <w:t>6</w:t>
            </w:r>
          </w:p>
        </w:tc>
        <w:tc>
          <w:tcPr>
            <w:tcW w:w="191" w:type="dxa"/>
            <w:tcBorders>
              <w:top w:val="nil"/>
              <w:left w:val="nil"/>
              <w:bottom w:val="nil"/>
              <w:right w:val="nil"/>
            </w:tcBorders>
            <w:shd w:val="clear" w:color="auto" w:fill="auto"/>
            <w:vAlign w:val="bottom"/>
          </w:tcPr>
          <w:p w14:paraId="01DFA6BB" w14:textId="77777777" w:rsidR="001C6C15" w:rsidRPr="00226892" w:rsidRDefault="001C6C15" w:rsidP="001C6C15">
            <w:pPr>
              <w:jc w:val="right"/>
              <w:rPr>
                <w:rFonts w:ascii="Arial" w:eastAsia="Times New Roman" w:hAnsi="Arial" w:cs="Arial"/>
                <w:color w:val="000000"/>
                <w:sz w:val="18"/>
                <w:szCs w:val="18"/>
                <w:lang w:val="sk-SK" w:eastAsia="sk-SK"/>
              </w:rPr>
            </w:pPr>
          </w:p>
        </w:tc>
        <w:tc>
          <w:tcPr>
            <w:tcW w:w="1886" w:type="dxa"/>
            <w:tcBorders>
              <w:top w:val="nil"/>
              <w:left w:val="nil"/>
              <w:bottom w:val="nil"/>
              <w:right w:val="nil"/>
            </w:tcBorders>
            <w:shd w:val="clear" w:color="auto" w:fill="auto"/>
            <w:vAlign w:val="bottom"/>
          </w:tcPr>
          <w:p w14:paraId="7C0C10B2" w14:textId="50B7C486" w:rsidR="001C6C15" w:rsidRPr="00226892" w:rsidRDefault="001C6C15" w:rsidP="001C6C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1 264</w:t>
            </w:r>
          </w:p>
        </w:tc>
      </w:tr>
      <w:tr w:rsidR="001C6C15" w:rsidRPr="00226892" w14:paraId="020CFDB5" w14:textId="77777777" w:rsidTr="00F14DB5">
        <w:trPr>
          <w:trHeight w:val="227"/>
        </w:trPr>
        <w:tc>
          <w:tcPr>
            <w:tcW w:w="4830" w:type="dxa"/>
            <w:tcBorders>
              <w:top w:val="nil"/>
              <w:left w:val="nil"/>
              <w:bottom w:val="nil"/>
              <w:right w:val="nil"/>
            </w:tcBorders>
            <w:shd w:val="clear" w:color="auto" w:fill="auto"/>
            <w:vAlign w:val="bottom"/>
            <w:hideMark/>
          </w:tcPr>
          <w:p w14:paraId="4E0F225E" w14:textId="288757ED" w:rsidR="001C6C15" w:rsidRPr="00226892" w:rsidRDefault="001C6C15" w:rsidP="001C6C1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Ostatné prevádzkové náklady</w:t>
            </w:r>
          </w:p>
        </w:tc>
        <w:tc>
          <w:tcPr>
            <w:tcW w:w="602" w:type="dxa"/>
            <w:tcBorders>
              <w:top w:val="nil"/>
              <w:left w:val="nil"/>
              <w:bottom w:val="nil"/>
              <w:right w:val="nil"/>
            </w:tcBorders>
            <w:shd w:val="clear" w:color="auto" w:fill="auto"/>
            <w:noWrap/>
            <w:vAlign w:val="bottom"/>
            <w:hideMark/>
          </w:tcPr>
          <w:p w14:paraId="35A64352" w14:textId="4E197A97" w:rsidR="001C6C15" w:rsidRPr="00226892" w:rsidRDefault="001C6C15" w:rsidP="0049047A">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w:t>
            </w:r>
            <w:r w:rsidR="0049047A" w:rsidRPr="00226892">
              <w:rPr>
                <w:rFonts w:ascii="Arial" w:eastAsia="Times New Roman" w:hAnsi="Arial" w:cs="Arial"/>
                <w:color w:val="000000"/>
                <w:sz w:val="18"/>
                <w:szCs w:val="18"/>
                <w:lang w:val="sk-SK" w:eastAsia="sk-SK"/>
              </w:rPr>
              <w:t>1</w:t>
            </w:r>
          </w:p>
        </w:tc>
        <w:tc>
          <w:tcPr>
            <w:tcW w:w="196" w:type="dxa"/>
            <w:tcBorders>
              <w:top w:val="nil"/>
              <w:left w:val="nil"/>
              <w:bottom w:val="nil"/>
              <w:right w:val="nil"/>
            </w:tcBorders>
            <w:shd w:val="clear" w:color="auto" w:fill="auto"/>
            <w:noWrap/>
            <w:vAlign w:val="bottom"/>
            <w:hideMark/>
          </w:tcPr>
          <w:p w14:paraId="46716C18" w14:textId="77777777" w:rsidR="001C6C15" w:rsidRPr="00226892" w:rsidRDefault="001C6C15" w:rsidP="001C6C15">
            <w:pPr>
              <w:jc w:val="center"/>
              <w:rPr>
                <w:rFonts w:ascii="Arial" w:eastAsia="Times New Roman" w:hAnsi="Arial" w:cs="Arial"/>
                <w:color w:val="000000"/>
                <w:sz w:val="18"/>
                <w:szCs w:val="18"/>
                <w:lang w:val="sk-SK" w:eastAsia="sk-SK"/>
              </w:rPr>
            </w:pPr>
          </w:p>
        </w:tc>
        <w:tc>
          <w:tcPr>
            <w:tcW w:w="1926" w:type="dxa"/>
            <w:tcBorders>
              <w:top w:val="nil"/>
              <w:left w:val="nil"/>
              <w:bottom w:val="nil"/>
              <w:right w:val="nil"/>
            </w:tcBorders>
            <w:shd w:val="clear" w:color="auto" w:fill="auto"/>
            <w:vAlign w:val="bottom"/>
          </w:tcPr>
          <w:p w14:paraId="084C9D41" w14:textId="5ADFA0BF" w:rsidR="001C6C15" w:rsidRPr="00226892" w:rsidRDefault="001C6C15" w:rsidP="001C6C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-1 828</w:t>
            </w:r>
          </w:p>
        </w:tc>
        <w:tc>
          <w:tcPr>
            <w:tcW w:w="191" w:type="dxa"/>
            <w:tcBorders>
              <w:top w:val="nil"/>
              <w:left w:val="nil"/>
              <w:bottom w:val="nil"/>
              <w:right w:val="nil"/>
            </w:tcBorders>
            <w:shd w:val="clear" w:color="auto" w:fill="auto"/>
            <w:vAlign w:val="bottom"/>
          </w:tcPr>
          <w:p w14:paraId="7E39737E" w14:textId="77777777" w:rsidR="001C6C15" w:rsidRPr="00226892" w:rsidRDefault="001C6C15" w:rsidP="001C6C15">
            <w:pPr>
              <w:jc w:val="right"/>
              <w:rPr>
                <w:rFonts w:ascii="Arial" w:eastAsia="Times New Roman" w:hAnsi="Arial" w:cs="Arial"/>
                <w:color w:val="000000"/>
                <w:sz w:val="18"/>
                <w:szCs w:val="18"/>
                <w:lang w:val="sk-SK" w:eastAsia="sk-SK"/>
              </w:rPr>
            </w:pPr>
          </w:p>
        </w:tc>
        <w:tc>
          <w:tcPr>
            <w:tcW w:w="1886" w:type="dxa"/>
            <w:tcBorders>
              <w:top w:val="nil"/>
              <w:left w:val="nil"/>
              <w:bottom w:val="nil"/>
              <w:right w:val="nil"/>
            </w:tcBorders>
            <w:shd w:val="clear" w:color="auto" w:fill="auto"/>
            <w:vAlign w:val="bottom"/>
          </w:tcPr>
          <w:p w14:paraId="7D10A168" w14:textId="172D8E10" w:rsidR="001C6C15" w:rsidRPr="00226892" w:rsidRDefault="001C6C15" w:rsidP="001C6C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-867</w:t>
            </w:r>
          </w:p>
        </w:tc>
      </w:tr>
      <w:tr w:rsidR="001C6C15" w:rsidRPr="00226892" w14:paraId="1071B05B" w14:textId="77777777" w:rsidTr="00F14DB5">
        <w:trPr>
          <w:trHeight w:val="227"/>
        </w:trPr>
        <w:tc>
          <w:tcPr>
            <w:tcW w:w="4830" w:type="dxa"/>
            <w:tcBorders>
              <w:top w:val="nil"/>
              <w:left w:val="nil"/>
              <w:bottom w:val="nil"/>
              <w:right w:val="nil"/>
            </w:tcBorders>
            <w:shd w:val="clear" w:color="auto" w:fill="auto"/>
            <w:noWrap/>
            <w:vAlign w:val="bottom"/>
            <w:hideMark/>
          </w:tcPr>
          <w:p w14:paraId="476DC406" w14:textId="77777777" w:rsidR="001C6C15" w:rsidRPr="00226892" w:rsidRDefault="001C6C15" w:rsidP="001C6C15">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Prevádzkový zisk </w:t>
            </w:r>
          </w:p>
        </w:tc>
        <w:tc>
          <w:tcPr>
            <w:tcW w:w="602" w:type="dxa"/>
            <w:tcBorders>
              <w:top w:val="nil"/>
              <w:left w:val="nil"/>
              <w:bottom w:val="nil"/>
              <w:right w:val="nil"/>
            </w:tcBorders>
            <w:shd w:val="clear" w:color="auto" w:fill="auto"/>
            <w:noWrap/>
            <w:vAlign w:val="bottom"/>
            <w:hideMark/>
          </w:tcPr>
          <w:p w14:paraId="5905E7A8" w14:textId="77777777" w:rsidR="001C6C15" w:rsidRPr="00226892" w:rsidRDefault="001C6C15" w:rsidP="0049047A">
            <w:pPr>
              <w:jc w:val="center"/>
              <w:rPr>
                <w:rFonts w:ascii="Arial" w:eastAsia="Times New Roman" w:hAnsi="Arial" w:cs="Arial"/>
                <w:b/>
                <w:bCs/>
                <w:color w:val="000000"/>
                <w:sz w:val="18"/>
                <w:szCs w:val="18"/>
                <w:lang w:val="sk-SK" w:eastAsia="sk-SK"/>
              </w:rPr>
            </w:pPr>
          </w:p>
        </w:tc>
        <w:tc>
          <w:tcPr>
            <w:tcW w:w="196" w:type="dxa"/>
            <w:tcBorders>
              <w:top w:val="nil"/>
              <w:left w:val="nil"/>
              <w:bottom w:val="nil"/>
              <w:right w:val="nil"/>
            </w:tcBorders>
            <w:shd w:val="clear" w:color="auto" w:fill="auto"/>
            <w:noWrap/>
            <w:vAlign w:val="bottom"/>
            <w:hideMark/>
          </w:tcPr>
          <w:p w14:paraId="529501D4" w14:textId="77777777" w:rsidR="001C6C15" w:rsidRPr="00226892" w:rsidRDefault="001C6C15" w:rsidP="001C6C15">
            <w:pPr>
              <w:rPr>
                <w:rFonts w:ascii="Arial" w:eastAsia="Times New Roman" w:hAnsi="Arial" w:cs="Arial"/>
                <w:sz w:val="18"/>
                <w:szCs w:val="18"/>
                <w:lang w:val="sk-SK" w:eastAsia="sk-SK"/>
              </w:rPr>
            </w:pPr>
          </w:p>
        </w:tc>
        <w:tc>
          <w:tcPr>
            <w:tcW w:w="1926" w:type="dxa"/>
            <w:tcBorders>
              <w:top w:val="single" w:sz="4" w:space="0" w:color="auto"/>
              <w:left w:val="nil"/>
              <w:bottom w:val="double" w:sz="6" w:space="0" w:color="auto"/>
              <w:right w:val="nil"/>
            </w:tcBorders>
            <w:shd w:val="clear" w:color="auto" w:fill="auto"/>
            <w:vAlign w:val="bottom"/>
          </w:tcPr>
          <w:p w14:paraId="39740E23" w14:textId="64528E4E" w:rsidR="001C6C15" w:rsidRPr="00226892" w:rsidRDefault="001C6C15" w:rsidP="001C6C1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4 3</w:t>
            </w:r>
            <w:r w:rsidR="00B66B39" w:rsidRPr="00226892">
              <w:rPr>
                <w:rFonts w:ascii="Arial" w:eastAsia="Times New Roman" w:hAnsi="Arial" w:cs="Arial"/>
                <w:b/>
                <w:bCs/>
                <w:color w:val="000000"/>
                <w:sz w:val="18"/>
                <w:szCs w:val="18"/>
                <w:lang w:val="sk-SK" w:eastAsia="sk-SK"/>
              </w:rPr>
              <w:t>31</w:t>
            </w:r>
          </w:p>
        </w:tc>
        <w:tc>
          <w:tcPr>
            <w:tcW w:w="191" w:type="dxa"/>
            <w:tcBorders>
              <w:top w:val="nil"/>
              <w:left w:val="nil"/>
              <w:bottom w:val="nil"/>
              <w:right w:val="nil"/>
            </w:tcBorders>
            <w:shd w:val="clear" w:color="auto" w:fill="auto"/>
            <w:vAlign w:val="bottom"/>
          </w:tcPr>
          <w:p w14:paraId="344F32AD" w14:textId="77777777" w:rsidR="001C6C15" w:rsidRPr="00226892" w:rsidRDefault="001C6C15" w:rsidP="001C6C15">
            <w:pPr>
              <w:jc w:val="right"/>
              <w:rPr>
                <w:rFonts w:ascii="Arial" w:eastAsia="Times New Roman" w:hAnsi="Arial" w:cs="Arial"/>
                <w:b/>
                <w:bCs/>
                <w:color w:val="000000"/>
                <w:sz w:val="18"/>
                <w:szCs w:val="18"/>
                <w:lang w:val="sk-SK" w:eastAsia="sk-SK"/>
              </w:rPr>
            </w:pPr>
          </w:p>
        </w:tc>
        <w:tc>
          <w:tcPr>
            <w:tcW w:w="1886" w:type="dxa"/>
            <w:tcBorders>
              <w:top w:val="single" w:sz="4" w:space="0" w:color="auto"/>
              <w:left w:val="nil"/>
              <w:bottom w:val="double" w:sz="6" w:space="0" w:color="auto"/>
              <w:right w:val="nil"/>
            </w:tcBorders>
            <w:shd w:val="clear" w:color="auto" w:fill="auto"/>
            <w:vAlign w:val="bottom"/>
          </w:tcPr>
          <w:p w14:paraId="5D57E825" w14:textId="77FDAC59" w:rsidR="001C6C15" w:rsidRPr="00226892" w:rsidRDefault="001C6C15" w:rsidP="001C6C15">
            <w:pPr>
              <w:jc w:val="right"/>
              <w:rPr>
                <w:rFonts w:ascii="Arial"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3 173</w:t>
            </w:r>
          </w:p>
        </w:tc>
      </w:tr>
      <w:tr w:rsidR="001C6C15" w:rsidRPr="00226892" w14:paraId="0680FCE7" w14:textId="77777777" w:rsidTr="00F14DB5">
        <w:trPr>
          <w:trHeight w:val="227"/>
        </w:trPr>
        <w:tc>
          <w:tcPr>
            <w:tcW w:w="4830" w:type="dxa"/>
            <w:tcBorders>
              <w:top w:val="nil"/>
              <w:left w:val="nil"/>
              <w:bottom w:val="nil"/>
              <w:right w:val="nil"/>
            </w:tcBorders>
            <w:shd w:val="clear" w:color="auto" w:fill="auto"/>
            <w:noWrap/>
            <w:vAlign w:val="bottom"/>
            <w:hideMark/>
          </w:tcPr>
          <w:p w14:paraId="74874F86" w14:textId="77777777" w:rsidR="001C6C15" w:rsidRPr="00226892" w:rsidRDefault="001C6C15" w:rsidP="001C6C15">
            <w:pPr>
              <w:rPr>
                <w:rFonts w:ascii="Arial" w:eastAsia="Times New Roman" w:hAnsi="Arial" w:cs="Arial"/>
                <w:b/>
                <w:bCs/>
                <w:color w:val="000000"/>
                <w:sz w:val="18"/>
                <w:szCs w:val="18"/>
                <w:lang w:val="sk-SK" w:eastAsia="sk-SK"/>
              </w:rPr>
            </w:pPr>
          </w:p>
        </w:tc>
        <w:tc>
          <w:tcPr>
            <w:tcW w:w="602" w:type="dxa"/>
            <w:tcBorders>
              <w:top w:val="nil"/>
              <w:left w:val="nil"/>
              <w:bottom w:val="nil"/>
              <w:right w:val="nil"/>
            </w:tcBorders>
            <w:shd w:val="clear" w:color="auto" w:fill="auto"/>
            <w:noWrap/>
            <w:vAlign w:val="bottom"/>
            <w:hideMark/>
          </w:tcPr>
          <w:p w14:paraId="0602B7ED" w14:textId="77777777" w:rsidR="001C6C15" w:rsidRPr="00226892" w:rsidRDefault="001C6C15" w:rsidP="0049047A">
            <w:pPr>
              <w:jc w:val="center"/>
              <w:rPr>
                <w:rFonts w:ascii="Arial" w:eastAsia="Times New Roman" w:hAnsi="Arial" w:cs="Arial"/>
                <w:sz w:val="18"/>
                <w:szCs w:val="18"/>
                <w:lang w:val="sk-SK" w:eastAsia="sk-SK"/>
              </w:rPr>
            </w:pPr>
          </w:p>
        </w:tc>
        <w:tc>
          <w:tcPr>
            <w:tcW w:w="196" w:type="dxa"/>
            <w:tcBorders>
              <w:top w:val="nil"/>
              <w:left w:val="nil"/>
              <w:bottom w:val="nil"/>
              <w:right w:val="nil"/>
            </w:tcBorders>
            <w:shd w:val="clear" w:color="auto" w:fill="auto"/>
            <w:noWrap/>
            <w:vAlign w:val="bottom"/>
            <w:hideMark/>
          </w:tcPr>
          <w:p w14:paraId="3156B679" w14:textId="77777777" w:rsidR="001C6C15" w:rsidRPr="00226892" w:rsidRDefault="001C6C15" w:rsidP="001C6C15">
            <w:pPr>
              <w:rPr>
                <w:rFonts w:ascii="Arial" w:eastAsia="Times New Roman" w:hAnsi="Arial" w:cs="Arial"/>
                <w:sz w:val="18"/>
                <w:szCs w:val="18"/>
                <w:lang w:val="sk-SK" w:eastAsia="sk-SK"/>
              </w:rPr>
            </w:pPr>
          </w:p>
        </w:tc>
        <w:tc>
          <w:tcPr>
            <w:tcW w:w="1926" w:type="dxa"/>
            <w:tcBorders>
              <w:top w:val="nil"/>
              <w:left w:val="nil"/>
              <w:bottom w:val="nil"/>
              <w:right w:val="nil"/>
            </w:tcBorders>
            <w:shd w:val="clear" w:color="auto" w:fill="auto"/>
            <w:vAlign w:val="bottom"/>
          </w:tcPr>
          <w:p w14:paraId="66A2FC59" w14:textId="77777777" w:rsidR="001C6C15" w:rsidRPr="00226892" w:rsidRDefault="001C6C15" w:rsidP="001C6C15">
            <w:pPr>
              <w:jc w:val="right"/>
              <w:rPr>
                <w:rFonts w:ascii="Arial" w:eastAsia="Times New Roman" w:hAnsi="Arial" w:cs="Arial"/>
                <w:sz w:val="18"/>
                <w:szCs w:val="18"/>
                <w:lang w:val="sk-SK" w:eastAsia="sk-SK"/>
              </w:rPr>
            </w:pPr>
          </w:p>
        </w:tc>
        <w:tc>
          <w:tcPr>
            <w:tcW w:w="191" w:type="dxa"/>
            <w:tcBorders>
              <w:top w:val="nil"/>
              <w:left w:val="nil"/>
              <w:bottom w:val="nil"/>
              <w:right w:val="nil"/>
            </w:tcBorders>
            <w:shd w:val="clear" w:color="auto" w:fill="auto"/>
            <w:vAlign w:val="bottom"/>
          </w:tcPr>
          <w:p w14:paraId="15B7CB9C" w14:textId="77777777" w:rsidR="001C6C15" w:rsidRPr="00226892" w:rsidRDefault="001C6C15" w:rsidP="001C6C15">
            <w:pPr>
              <w:jc w:val="right"/>
              <w:rPr>
                <w:rFonts w:ascii="Arial" w:eastAsia="Times New Roman" w:hAnsi="Arial" w:cs="Arial"/>
                <w:sz w:val="18"/>
                <w:szCs w:val="18"/>
                <w:lang w:val="sk-SK" w:eastAsia="sk-SK"/>
              </w:rPr>
            </w:pPr>
          </w:p>
        </w:tc>
        <w:tc>
          <w:tcPr>
            <w:tcW w:w="1886" w:type="dxa"/>
            <w:tcBorders>
              <w:top w:val="nil"/>
              <w:left w:val="nil"/>
              <w:bottom w:val="nil"/>
              <w:right w:val="nil"/>
            </w:tcBorders>
            <w:shd w:val="clear" w:color="auto" w:fill="auto"/>
            <w:vAlign w:val="bottom"/>
          </w:tcPr>
          <w:p w14:paraId="470ADB04" w14:textId="77777777" w:rsidR="001C6C15" w:rsidRPr="00226892" w:rsidRDefault="001C6C15" w:rsidP="001C6C15">
            <w:pPr>
              <w:jc w:val="right"/>
              <w:rPr>
                <w:rFonts w:ascii="Arial" w:eastAsia="Times New Roman" w:hAnsi="Arial" w:cs="Arial"/>
                <w:sz w:val="18"/>
                <w:szCs w:val="18"/>
                <w:lang w:val="sk-SK" w:eastAsia="sk-SK"/>
              </w:rPr>
            </w:pPr>
          </w:p>
        </w:tc>
      </w:tr>
      <w:tr w:rsidR="001C6C15" w:rsidRPr="00226892" w14:paraId="7484DA1B" w14:textId="77777777" w:rsidTr="004E18FE">
        <w:trPr>
          <w:trHeight w:val="227"/>
        </w:trPr>
        <w:tc>
          <w:tcPr>
            <w:tcW w:w="4830" w:type="dxa"/>
            <w:tcBorders>
              <w:top w:val="nil"/>
              <w:left w:val="nil"/>
              <w:bottom w:val="nil"/>
              <w:right w:val="nil"/>
            </w:tcBorders>
            <w:shd w:val="clear" w:color="auto" w:fill="auto"/>
            <w:vAlign w:val="bottom"/>
            <w:hideMark/>
          </w:tcPr>
          <w:p w14:paraId="780AB229" w14:textId="5BC5EB78" w:rsidR="001C6C15" w:rsidRPr="00226892" w:rsidRDefault="001C6C15" w:rsidP="001C6C1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Podiel na zisku pridružených spoločností a spoločných podnikov</w:t>
            </w:r>
          </w:p>
        </w:tc>
        <w:tc>
          <w:tcPr>
            <w:tcW w:w="602" w:type="dxa"/>
            <w:tcBorders>
              <w:top w:val="nil"/>
              <w:left w:val="nil"/>
              <w:bottom w:val="nil"/>
              <w:right w:val="nil"/>
            </w:tcBorders>
            <w:shd w:val="clear" w:color="auto" w:fill="auto"/>
            <w:noWrap/>
            <w:vAlign w:val="bottom"/>
            <w:hideMark/>
          </w:tcPr>
          <w:p w14:paraId="4D61C282" w14:textId="6184827B" w:rsidR="001C6C15" w:rsidRPr="00226892" w:rsidRDefault="001C6C15" w:rsidP="0049047A">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w:t>
            </w:r>
            <w:r w:rsidR="0049047A" w:rsidRPr="00226892">
              <w:rPr>
                <w:rFonts w:ascii="Arial" w:eastAsia="Times New Roman" w:hAnsi="Arial" w:cs="Arial"/>
                <w:color w:val="000000"/>
                <w:sz w:val="18"/>
                <w:szCs w:val="18"/>
                <w:lang w:val="sk-SK" w:eastAsia="sk-SK"/>
              </w:rPr>
              <w:t>3</w:t>
            </w:r>
          </w:p>
        </w:tc>
        <w:tc>
          <w:tcPr>
            <w:tcW w:w="196" w:type="dxa"/>
            <w:tcBorders>
              <w:top w:val="nil"/>
              <w:left w:val="nil"/>
              <w:bottom w:val="nil"/>
              <w:right w:val="nil"/>
            </w:tcBorders>
            <w:shd w:val="clear" w:color="auto" w:fill="auto"/>
            <w:noWrap/>
            <w:vAlign w:val="bottom"/>
            <w:hideMark/>
          </w:tcPr>
          <w:p w14:paraId="3A6FD98E" w14:textId="77777777" w:rsidR="001C6C15" w:rsidRPr="00226892" w:rsidRDefault="001C6C15" w:rsidP="001C6C15">
            <w:pPr>
              <w:jc w:val="center"/>
              <w:rPr>
                <w:rFonts w:ascii="Arial" w:eastAsia="Times New Roman" w:hAnsi="Arial" w:cs="Arial"/>
                <w:color w:val="000000"/>
                <w:sz w:val="18"/>
                <w:szCs w:val="18"/>
                <w:lang w:val="sk-SK" w:eastAsia="sk-SK"/>
              </w:rPr>
            </w:pPr>
          </w:p>
        </w:tc>
        <w:tc>
          <w:tcPr>
            <w:tcW w:w="1926" w:type="dxa"/>
            <w:tcBorders>
              <w:top w:val="nil"/>
              <w:left w:val="nil"/>
              <w:bottom w:val="nil"/>
              <w:right w:val="nil"/>
            </w:tcBorders>
            <w:shd w:val="clear" w:color="auto" w:fill="auto"/>
            <w:vAlign w:val="bottom"/>
          </w:tcPr>
          <w:p w14:paraId="6FF9FEBD" w14:textId="59C9CA11" w:rsidR="001C6C15" w:rsidRPr="00226892" w:rsidRDefault="001C6C15" w:rsidP="001C6C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28</w:t>
            </w:r>
          </w:p>
        </w:tc>
        <w:tc>
          <w:tcPr>
            <w:tcW w:w="191" w:type="dxa"/>
            <w:tcBorders>
              <w:top w:val="nil"/>
              <w:left w:val="nil"/>
              <w:bottom w:val="nil"/>
              <w:right w:val="nil"/>
            </w:tcBorders>
            <w:shd w:val="clear" w:color="auto" w:fill="auto"/>
            <w:vAlign w:val="bottom"/>
          </w:tcPr>
          <w:p w14:paraId="64AE96EA" w14:textId="77777777" w:rsidR="001C6C15" w:rsidRPr="00226892" w:rsidRDefault="001C6C15" w:rsidP="001C6C15">
            <w:pPr>
              <w:jc w:val="right"/>
              <w:rPr>
                <w:rFonts w:ascii="Arial" w:eastAsia="Times New Roman" w:hAnsi="Arial" w:cs="Arial"/>
                <w:color w:val="000000"/>
                <w:sz w:val="18"/>
                <w:szCs w:val="18"/>
                <w:lang w:val="sk-SK" w:eastAsia="sk-SK"/>
              </w:rPr>
            </w:pPr>
          </w:p>
        </w:tc>
        <w:tc>
          <w:tcPr>
            <w:tcW w:w="1886" w:type="dxa"/>
            <w:tcBorders>
              <w:top w:val="nil"/>
              <w:left w:val="nil"/>
              <w:bottom w:val="nil"/>
              <w:right w:val="nil"/>
            </w:tcBorders>
            <w:shd w:val="clear" w:color="auto" w:fill="auto"/>
            <w:vAlign w:val="bottom"/>
          </w:tcPr>
          <w:p w14:paraId="18E06B66" w14:textId="2D59D235" w:rsidR="001C6C15" w:rsidRPr="00226892" w:rsidRDefault="001C6C15" w:rsidP="001C6C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31</w:t>
            </w:r>
          </w:p>
        </w:tc>
      </w:tr>
      <w:tr w:rsidR="001C6C15" w:rsidRPr="00226892" w14:paraId="3E579FD6" w14:textId="77777777" w:rsidTr="00F14DB5">
        <w:trPr>
          <w:trHeight w:val="227"/>
        </w:trPr>
        <w:tc>
          <w:tcPr>
            <w:tcW w:w="4830" w:type="dxa"/>
            <w:tcBorders>
              <w:top w:val="nil"/>
              <w:left w:val="nil"/>
              <w:bottom w:val="nil"/>
              <w:right w:val="nil"/>
            </w:tcBorders>
            <w:shd w:val="clear" w:color="auto" w:fill="auto"/>
            <w:vAlign w:val="bottom"/>
            <w:hideMark/>
          </w:tcPr>
          <w:p w14:paraId="1D72D23B" w14:textId="76493574" w:rsidR="001C6C15" w:rsidRPr="00226892" w:rsidRDefault="001C6C15" w:rsidP="001C6C1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Strata z predaja pridružených spoločností</w:t>
            </w:r>
          </w:p>
        </w:tc>
        <w:tc>
          <w:tcPr>
            <w:tcW w:w="602" w:type="dxa"/>
            <w:tcBorders>
              <w:top w:val="nil"/>
              <w:left w:val="nil"/>
              <w:bottom w:val="nil"/>
              <w:right w:val="nil"/>
            </w:tcBorders>
            <w:shd w:val="clear" w:color="auto" w:fill="auto"/>
            <w:noWrap/>
            <w:vAlign w:val="bottom"/>
            <w:hideMark/>
          </w:tcPr>
          <w:p w14:paraId="58F7F0A2" w14:textId="69E20189" w:rsidR="001C6C15" w:rsidRPr="00226892" w:rsidRDefault="001C6C15" w:rsidP="0049047A">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8</w:t>
            </w:r>
          </w:p>
        </w:tc>
        <w:tc>
          <w:tcPr>
            <w:tcW w:w="196" w:type="dxa"/>
            <w:tcBorders>
              <w:top w:val="nil"/>
              <w:left w:val="nil"/>
              <w:bottom w:val="nil"/>
              <w:right w:val="nil"/>
            </w:tcBorders>
            <w:shd w:val="clear" w:color="auto" w:fill="auto"/>
            <w:noWrap/>
            <w:vAlign w:val="bottom"/>
            <w:hideMark/>
          </w:tcPr>
          <w:p w14:paraId="3AD75077" w14:textId="77777777" w:rsidR="001C6C15" w:rsidRPr="00226892" w:rsidRDefault="001C6C15" w:rsidP="001C6C15">
            <w:pPr>
              <w:jc w:val="center"/>
              <w:rPr>
                <w:rFonts w:ascii="Arial" w:eastAsia="Times New Roman" w:hAnsi="Arial" w:cs="Arial"/>
                <w:color w:val="000000"/>
                <w:sz w:val="18"/>
                <w:szCs w:val="18"/>
                <w:lang w:val="sk-SK" w:eastAsia="sk-SK"/>
              </w:rPr>
            </w:pPr>
          </w:p>
        </w:tc>
        <w:tc>
          <w:tcPr>
            <w:tcW w:w="1926" w:type="dxa"/>
            <w:tcBorders>
              <w:top w:val="nil"/>
              <w:left w:val="nil"/>
              <w:bottom w:val="nil"/>
              <w:right w:val="nil"/>
            </w:tcBorders>
            <w:shd w:val="clear" w:color="auto" w:fill="auto"/>
            <w:vAlign w:val="bottom"/>
          </w:tcPr>
          <w:p w14:paraId="7136C85C" w14:textId="1E61CD26" w:rsidR="001C6C15" w:rsidRPr="00226892" w:rsidRDefault="001C6C15" w:rsidP="001C6C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91" w:type="dxa"/>
            <w:tcBorders>
              <w:top w:val="nil"/>
              <w:left w:val="nil"/>
              <w:bottom w:val="nil"/>
              <w:right w:val="nil"/>
            </w:tcBorders>
            <w:shd w:val="clear" w:color="auto" w:fill="auto"/>
            <w:vAlign w:val="bottom"/>
          </w:tcPr>
          <w:p w14:paraId="5DB1572C" w14:textId="77777777" w:rsidR="001C6C15" w:rsidRPr="00226892" w:rsidRDefault="001C6C15" w:rsidP="001C6C15">
            <w:pPr>
              <w:jc w:val="right"/>
              <w:rPr>
                <w:rFonts w:ascii="Arial" w:eastAsia="Times New Roman" w:hAnsi="Arial" w:cs="Arial"/>
                <w:color w:val="000000"/>
                <w:sz w:val="18"/>
                <w:szCs w:val="18"/>
                <w:lang w:val="sk-SK" w:eastAsia="sk-SK"/>
              </w:rPr>
            </w:pPr>
          </w:p>
        </w:tc>
        <w:tc>
          <w:tcPr>
            <w:tcW w:w="1886" w:type="dxa"/>
            <w:tcBorders>
              <w:top w:val="nil"/>
              <w:left w:val="nil"/>
              <w:bottom w:val="nil"/>
              <w:right w:val="nil"/>
            </w:tcBorders>
            <w:shd w:val="clear" w:color="auto" w:fill="auto"/>
            <w:vAlign w:val="bottom"/>
          </w:tcPr>
          <w:p w14:paraId="776A2698" w14:textId="2907DF42" w:rsidR="001C6C15" w:rsidRPr="00226892" w:rsidRDefault="001C6C15" w:rsidP="001C6C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-37</w:t>
            </w:r>
          </w:p>
        </w:tc>
      </w:tr>
      <w:tr w:rsidR="001C6C15" w:rsidRPr="00226892" w14:paraId="37E827E3" w14:textId="77777777" w:rsidTr="00F14DB5">
        <w:trPr>
          <w:trHeight w:val="227"/>
        </w:trPr>
        <w:tc>
          <w:tcPr>
            <w:tcW w:w="4830" w:type="dxa"/>
            <w:tcBorders>
              <w:top w:val="nil"/>
              <w:left w:val="nil"/>
              <w:bottom w:val="nil"/>
              <w:right w:val="nil"/>
            </w:tcBorders>
            <w:shd w:val="clear" w:color="auto" w:fill="auto"/>
            <w:noWrap/>
            <w:vAlign w:val="bottom"/>
            <w:hideMark/>
          </w:tcPr>
          <w:p w14:paraId="429BB014" w14:textId="77777777" w:rsidR="001C6C15" w:rsidRPr="00226892" w:rsidRDefault="001C6C15" w:rsidP="001C6C1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Úrokové náklady</w:t>
            </w:r>
          </w:p>
        </w:tc>
        <w:tc>
          <w:tcPr>
            <w:tcW w:w="602" w:type="dxa"/>
            <w:tcBorders>
              <w:top w:val="nil"/>
              <w:left w:val="nil"/>
              <w:bottom w:val="nil"/>
              <w:right w:val="nil"/>
            </w:tcBorders>
            <w:shd w:val="clear" w:color="auto" w:fill="auto"/>
            <w:noWrap/>
            <w:vAlign w:val="bottom"/>
            <w:hideMark/>
          </w:tcPr>
          <w:p w14:paraId="69BED936" w14:textId="06BDB6B1" w:rsidR="001C6C15" w:rsidRPr="00226892" w:rsidRDefault="001C6C15" w:rsidP="0049047A">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w:t>
            </w:r>
            <w:r w:rsidR="0049047A" w:rsidRPr="00226892">
              <w:rPr>
                <w:rFonts w:ascii="Arial" w:eastAsia="Times New Roman" w:hAnsi="Arial" w:cs="Arial"/>
                <w:color w:val="000000"/>
                <w:sz w:val="18"/>
                <w:szCs w:val="18"/>
                <w:lang w:val="sk-SK" w:eastAsia="sk-SK"/>
              </w:rPr>
              <w:t>4</w:t>
            </w:r>
          </w:p>
        </w:tc>
        <w:tc>
          <w:tcPr>
            <w:tcW w:w="196" w:type="dxa"/>
            <w:tcBorders>
              <w:top w:val="nil"/>
              <w:left w:val="nil"/>
              <w:bottom w:val="nil"/>
              <w:right w:val="nil"/>
            </w:tcBorders>
            <w:shd w:val="clear" w:color="auto" w:fill="auto"/>
            <w:noWrap/>
            <w:vAlign w:val="bottom"/>
            <w:hideMark/>
          </w:tcPr>
          <w:p w14:paraId="599FE6AD" w14:textId="77777777" w:rsidR="001C6C15" w:rsidRPr="00226892" w:rsidRDefault="001C6C15" w:rsidP="001C6C15">
            <w:pPr>
              <w:jc w:val="center"/>
              <w:rPr>
                <w:rFonts w:ascii="Arial" w:eastAsia="Times New Roman" w:hAnsi="Arial" w:cs="Arial"/>
                <w:color w:val="000000"/>
                <w:sz w:val="18"/>
                <w:szCs w:val="18"/>
                <w:lang w:val="sk-SK" w:eastAsia="sk-SK"/>
              </w:rPr>
            </w:pPr>
          </w:p>
        </w:tc>
        <w:tc>
          <w:tcPr>
            <w:tcW w:w="1926" w:type="dxa"/>
            <w:tcBorders>
              <w:top w:val="nil"/>
              <w:left w:val="nil"/>
              <w:bottom w:val="nil"/>
              <w:right w:val="nil"/>
            </w:tcBorders>
            <w:shd w:val="clear" w:color="auto" w:fill="auto"/>
            <w:vAlign w:val="bottom"/>
          </w:tcPr>
          <w:p w14:paraId="66615090" w14:textId="2E0CA026" w:rsidR="001C6C15" w:rsidRPr="00226892" w:rsidRDefault="001C6C15" w:rsidP="001C6C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-543</w:t>
            </w:r>
          </w:p>
        </w:tc>
        <w:tc>
          <w:tcPr>
            <w:tcW w:w="191" w:type="dxa"/>
            <w:tcBorders>
              <w:top w:val="nil"/>
              <w:left w:val="nil"/>
              <w:bottom w:val="nil"/>
              <w:right w:val="nil"/>
            </w:tcBorders>
            <w:shd w:val="clear" w:color="auto" w:fill="auto"/>
            <w:vAlign w:val="bottom"/>
          </w:tcPr>
          <w:p w14:paraId="3E5C9CB9" w14:textId="77777777" w:rsidR="001C6C15" w:rsidRPr="00226892" w:rsidRDefault="001C6C15" w:rsidP="001C6C15">
            <w:pPr>
              <w:jc w:val="right"/>
              <w:rPr>
                <w:rFonts w:ascii="Arial" w:eastAsia="Times New Roman" w:hAnsi="Arial" w:cs="Arial"/>
                <w:color w:val="000000"/>
                <w:sz w:val="18"/>
                <w:szCs w:val="18"/>
                <w:lang w:val="sk-SK" w:eastAsia="sk-SK"/>
              </w:rPr>
            </w:pPr>
          </w:p>
        </w:tc>
        <w:tc>
          <w:tcPr>
            <w:tcW w:w="1886" w:type="dxa"/>
            <w:tcBorders>
              <w:top w:val="nil"/>
              <w:left w:val="nil"/>
              <w:bottom w:val="nil"/>
              <w:right w:val="nil"/>
            </w:tcBorders>
            <w:shd w:val="clear" w:color="auto" w:fill="auto"/>
            <w:vAlign w:val="bottom"/>
          </w:tcPr>
          <w:p w14:paraId="01F53B14" w14:textId="35689BFC" w:rsidR="001C6C15" w:rsidRPr="00226892" w:rsidRDefault="001C6C15" w:rsidP="001C6C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-685</w:t>
            </w:r>
          </w:p>
        </w:tc>
      </w:tr>
      <w:tr w:rsidR="001C6C15" w:rsidRPr="00226892" w14:paraId="3D0F13D6" w14:textId="77777777" w:rsidTr="00F14DB5">
        <w:trPr>
          <w:trHeight w:val="227"/>
        </w:trPr>
        <w:tc>
          <w:tcPr>
            <w:tcW w:w="4830" w:type="dxa"/>
            <w:tcBorders>
              <w:top w:val="nil"/>
              <w:left w:val="nil"/>
              <w:bottom w:val="nil"/>
              <w:right w:val="nil"/>
            </w:tcBorders>
            <w:shd w:val="clear" w:color="auto" w:fill="auto"/>
            <w:noWrap/>
            <w:vAlign w:val="bottom"/>
            <w:hideMark/>
          </w:tcPr>
          <w:p w14:paraId="604EFD17" w14:textId="77777777" w:rsidR="001C6C15" w:rsidRPr="00226892" w:rsidRDefault="001C6C15" w:rsidP="001C6C1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Úrokové výnosy</w:t>
            </w:r>
          </w:p>
        </w:tc>
        <w:tc>
          <w:tcPr>
            <w:tcW w:w="602" w:type="dxa"/>
            <w:tcBorders>
              <w:top w:val="nil"/>
              <w:left w:val="nil"/>
              <w:bottom w:val="nil"/>
              <w:right w:val="nil"/>
            </w:tcBorders>
            <w:shd w:val="clear" w:color="auto" w:fill="auto"/>
            <w:noWrap/>
            <w:vAlign w:val="bottom"/>
            <w:hideMark/>
          </w:tcPr>
          <w:p w14:paraId="51505317" w14:textId="71882410" w:rsidR="001C6C15" w:rsidRPr="00226892" w:rsidRDefault="001C6C15" w:rsidP="0049047A">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w:t>
            </w:r>
            <w:r w:rsidR="0049047A" w:rsidRPr="00226892">
              <w:rPr>
                <w:rFonts w:ascii="Arial" w:eastAsia="Times New Roman" w:hAnsi="Arial" w:cs="Arial"/>
                <w:color w:val="000000"/>
                <w:sz w:val="18"/>
                <w:szCs w:val="18"/>
                <w:lang w:val="sk-SK" w:eastAsia="sk-SK"/>
              </w:rPr>
              <w:t>4</w:t>
            </w:r>
          </w:p>
        </w:tc>
        <w:tc>
          <w:tcPr>
            <w:tcW w:w="196" w:type="dxa"/>
            <w:tcBorders>
              <w:top w:val="nil"/>
              <w:left w:val="nil"/>
              <w:bottom w:val="nil"/>
              <w:right w:val="nil"/>
            </w:tcBorders>
            <w:shd w:val="clear" w:color="auto" w:fill="auto"/>
            <w:noWrap/>
            <w:vAlign w:val="bottom"/>
            <w:hideMark/>
          </w:tcPr>
          <w:p w14:paraId="11907D3D" w14:textId="77777777" w:rsidR="001C6C15" w:rsidRPr="00226892" w:rsidRDefault="001C6C15" w:rsidP="001C6C15">
            <w:pPr>
              <w:jc w:val="center"/>
              <w:rPr>
                <w:rFonts w:ascii="Arial" w:eastAsia="Times New Roman" w:hAnsi="Arial" w:cs="Arial"/>
                <w:color w:val="000000"/>
                <w:sz w:val="18"/>
                <w:szCs w:val="18"/>
                <w:lang w:val="sk-SK" w:eastAsia="sk-SK"/>
              </w:rPr>
            </w:pPr>
          </w:p>
        </w:tc>
        <w:tc>
          <w:tcPr>
            <w:tcW w:w="1926" w:type="dxa"/>
            <w:tcBorders>
              <w:top w:val="nil"/>
              <w:left w:val="nil"/>
              <w:bottom w:val="nil"/>
              <w:right w:val="nil"/>
            </w:tcBorders>
            <w:shd w:val="clear" w:color="auto" w:fill="auto"/>
            <w:vAlign w:val="bottom"/>
          </w:tcPr>
          <w:p w14:paraId="6F214581" w14:textId="0934E5A5" w:rsidR="001C6C15" w:rsidRPr="00226892" w:rsidRDefault="001C6C15" w:rsidP="001C6C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6</w:t>
            </w:r>
          </w:p>
        </w:tc>
        <w:tc>
          <w:tcPr>
            <w:tcW w:w="191" w:type="dxa"/>
            <w:tcBorders>
              <w:top w:val="nil"/>
              <w:left w:val="nil"/>
              <w:bottom w:val="nil"/>
              <w:right w:val="nil"/>
            </w:tcBorders>
            <w:shd w:val="clear" w:color="auto" w:fill="auto"/>
            <w:vAlign w:val="bottom"/>
          </w:tcPr>
          <w:p w14:paraId="6A74567A" w14:textId="77777777" w:rsidR="001C6C15" w:rsidRPr="00226892" w:rsidRDefault="001C6C15" w:rsidP="001C6C15">
            <w:pPr>
              <w:jc w:val="right"/>
              <w:rPr>
                <w:rFonts w:ascii="Arial" w:eastAsia="Times New Roman" w:hAnsi="Arial" w:cs="Arial"/>
                <w:color w:val="000000"/>
                <w:sz w:val="18"/>
                <w:szCs w:val="18"/>
                <w:lang w:val="sk-SK" w:eastAsia="sk-SK"/>
              </w:rPr>
            </w:pPr>
          </w:p>
        </w:tc>
        <w:tc>
          <w:tcPr>
            <w:tcW w:w="1886" w:type="dxa"/>
            <w:tcBorders>
              <w:top w:val="nil"/>
              <w:left w:val="nil"/>
              <w:bottom w:val="nil"/>
              <w:right w:val="nil"/>
            </w:tcBorders>
            <w:shd w:val="clear" w:color="auto" w:fill="auto"/>
            <w:vAlign w:val="bottom"/>
          </w:tcPr>
          <w:p w14:paraId="0C2686D3" w14:textId="4D5AAF47" w:rsidR="001C6C15" w:rsidRPr="00226892" w:rsidRDefault="001C6C15" w:rsidP="001C6C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19</w:t>
            </w:r>
          </w:p>
        </w:tc>
      </w:tr>
      <w:tr w:rsidR="001C6C15" w:rsidRPr="00226892" w14:paraId="73D2E5C2" w14:textId="77777777" w:rsidTr="00F14DB5">
        <w:trPr>
          <w:trHeight w:val="227"/>
        </w:trPr>
        <w:tc>
          <w:tcPr>
            <w:tcW w:w="4830" w:type="dxa"/>
            <w:tcBorders>
              <w:top w:val="nil"/>
              <w:left w:val="nil"/>
              <w:bottom w:val="nil"/>
              <w:right w:val="nil"/>
            </w:tcBorders>
            <w:shd w:val="clear" w:color="auto" w:fill="auto"/>
            <w:noWrap/>
            <w:vAlign w:val="bottom"/>
            <w:hideMark/>
          </w:tcPr>
          <w:p w14:paraId="0678C1A7" w14:textId="77777777" w:rsidR="001C6C15" w:rsidRPr="00226892" w:rsidRDefault="001C6C15" w:rsidP="001C6C1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Ostatné finančné výnosy</w:t>
            </w:r>
          </w:p>
        </w:tc>
        <w:tc>
          <w:tcPr>
            <w:tcW w:w="602" w:type="dxa"/>
            <w:tcBorders>
              <w:top w:val="nil"/>
              <w:left w:val="nil"/>
              <w:bottom w:val="nil"/>
              <w:right w:val="nil"/>
            </w:tcBorders>
            <w:shd w:val="clear" w:color="auto" w:fill="auto"/>
            <w:noWrap/>
            <w:vAlign w:val="bottom"/>
            <w:hideMark/>
          </w:tcPr>
          <w:p w14:paraId="61A9CD07" w14:textId="393694BD" w:rsidR="001C6C15" w:rsidRPr="00226892" w:rsidRDefault="001C6C15" w:rsidP="0049047A">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w:t>
            </w:r>
            <w:r w:rsidR="0049047A" w:rsidRPr="00226892">
              <w:rPr>
                <w:rFonts w:ascii="Arial" w:eastAsia="Times New Roman" w:hAnsi="Arial" w:cs="Arial"/>
                <w:color w:val="000000"/>
                <w:sz w:val="18"/>
                <w:szCs w:val="18"/>
                <w:lang w:val="sk-SK" w:eastAsia="sk-SK"/>
              </w:rPr>
              <w:t>4</w:t>
            </w:r>
          </w:p>
        </w:tc>
        <w:tc>
          <w:tcPr>
            <w:tcW w:w="196" w:type="dxa"/>
            <w:tcBorders>
              <w:top w:val="nil"/>
              <w:left w:val="nil"/>
              <w:bottom w:val="nil"/>
              <w:right w:val="nil"/>
            </w:tcBorders>
            <w:shd w:val="clear" w:color="auto" w:fill="auto"/>
            <w:noWrap/>
            <w:vAlign w:val="bottom"/>
            <w:hideMark/>
          </w:tcPr>
          <w:p w14:paraId="4A2B6992" w14:textId="77777777" w:rsidR="001C6C15" w:rsidRPr="00226892" w:rsidRDefault="001C6C15" w:rsidP="001C6C15">
            <w:pPr>
              <w:jc w:val="center"/>
              <w:rPr>
                <w:rFonts w:ascii="Arial" w:eastAsia="Times New Roman" w:hAnsi="Arial" w:cs="Arial"/>
                <w:color w:val="000000"/>
                <w:sz w:val="18"/>
                <w:szCs w:val="18"/>
                <w:lang w:val="sk-SK" w:eastAsia="sk-SK"/>
              </w:rPr>
            </w:pPr>
          </w:p>
        </w:tc>
        <w:tc>
          <w:tcPr>
            <w:tcW w:w="1926" w:type="dxa"/>
            <w:tcBorders>
              <w:top w:val="nil"/>
              <w:left w:val="nil"/>
              <w:bottom w:val="nil"/>
              <w:right w:val="nil"/>
            </w:tcBorders>
            <w:shd w:val="clear" w:color="auto" w:fill="auto"/>
            <w:vAlign w:val="bottom"/>
          </w:tcPr>
          <w:p w14:paraId="7E7DF2AE" w14:textId="2B030372" w:rsidR="001C6C15" w:rsidRPr="00226892" w:rsidRDefault="001C6C15" w:rsidP="001C6C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40</w:t>
            </w:r>
          </w:p>
        </w:tc>
        <w:tc>
          <w:tcPr>
            <w:tcW w:w="191" w:type="dxa"/>
            <w:tcBorders>
              <w:top w:val="nil"/>
              <w:left w:val="nil"/>
              <w:bottom w:val="nil"/>
              <w:right w:val="nil"/>
            </w:tcBorders>
            <w:shd w:val="clear" w:color="auto" w:fill="auto"/>
            <w:vAlign w:val="bottom"/>
          </w:tcPr>
          <w:p w14:paraId="40D40BF3" w14:textId="77777777" w:rsidR="001C6C15" w:rsidRPr="00226892" w:rsidRDefault="001C6C15" w:rsidP="001C6C15">
            <w:pPr>
              <w:jc w:val="right"/>
              <w:rPr>
                <w:rFonts w:ascii="Arial" w:eastAsia="Times New Roman" w:hAnsi="Arial" w:cs="Arial"/>
                <w:color w:val="000000"/>
                <w:sz w:val="18"/>
                <w:szCs w:val="18"/>
                <w:lang w:val="sk-SK" w:eastAsia="sk-SK"/>
              </w:rPr>
            </w:pPr>
          </w:p>
        </w:tc>
        <w:tc>
          <w:tcPr>
            <w:tcW w:w="1886" w:type="dxa"/>
            <w:tcBorders>
              <w:top w:val="nil"/>
              <w:left w:val="nil"/>
              <w:bottom w:val="nil"/>
              <w:right w:val="nil"/>
            </w:tcBorders>
            <w:shd w:val="clear" w:color="auto" w:fill="auto"/>
            <w:vAlign w:val="bottom"/>
          </w:tcPr>
          <w:p w14:paraId="21DB442B" w14:textId="2DA7FF49" w:rsidR="001C6C15" w:rsidRPr="00226892" w:rsidRDefault="001C6C15" w:rsidP="001C6C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124</w:t>
            </w:r>
          </w:p>
        </w:tc>
      </w:tr>
      <w:tr w:rsidR="001C6C15" w:rsidRPr="00226892" w14:paraId="551AF5BC" w14:textId="77777777" w:rsidTr="00122BD0">
        <w:trPr>
          <w:trHeight w:val="227"/>
        </w:trPr>
        <w:tc>
          <w:tcPr>
            <w:tcW w:w="4830" w:type="dxa"/>
            <w:tcBorders>
              <w:top w:val="nil"/>
              <w:left w:val="nil"/>
              <w:bottom w:val="nil"/>
              <w:right w:val="nil"/>
            </w:tcBorders>
            <w:shd w:val="clear" w:color="auto" w:fill="auto"/>
            <w:noWrap/>
            <w:vAlign w:val="bottom"/>
          </w:tcPr>
          <w:p w14:paraId="7CC52FE5" w14:textId="77777777" w:rsidR="001C6C15" w:rsidRPr="00226892" w:rsidRDefault="001C6C15" w:rsidP="001C6C1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Ostatné finančné náklady</w:t>
            </w:r>
          </w:p>
        </w:tc>
        <w:tc>
          <w:tcPr>
            <w:tcW w:w="602" w:type="dxa"/>
            <w:tcBorders>
              <w:top w:val="nil"/>
              <w:left w:val="nil"/>
              <w:bottom w:val="nil"/>
              <w:right w:val="nil"/>
            </w:tcBorders>
            <w:shd w:val="clear" w:color="auto" w:fill="auto"/>
            <w:noWrap/>
            <w:vAlign w:val="bottom"/>
          </w:tcPr>
          <w:p w14:paraId="33CB5E1A" w14:textId="0C7E4353" w:rsidR="001C6C15" w:rsidRPr="00226892" w:rsidRDefault="001C6C15" w:rsidP="0049047A">
            <w:pPr>
              <w:jc w:val="center"/>
              <w:rPr>
                <w:rFonts w:ascii="Arial" w:eastAsia="Times New Roman" w:hAnsi="Arial" w:cs="Arial"/>
                <w:sz w:val="18"/>
                <w:szCs w:val="18"/>
                <w:lang w:val="sk-SK" w:eastAsia="sk-SK"/>
              </w:rPr>
            </w:pPr>
            <w:r w:rsidRPr="00226892">
              <w:rPr>
                <w:rFonts w:ascii="Arial" w:eastAsia="Times New Roman" w:hAnsi="Arial" w:cs="Arial"/>
                <w:sz w:val="18"/>
                <w:szCs w:val="18"/>
                <w:lang w:val="sk-SK" w:eastAsia="sk-SK"/>
              </w:rPr>
              <w:t>2</w:t>
            </w:r>
            <w:r w:rsidR="0049047A" w:rsidRPr="00226892">
              <w:rPr>
                <w:rFonts w:ascii="Arial" w:eastAsia="Times New Roman" w:hAnsi="Arial" w:cs="Arial"/>
                <w:sz w:val="18"/>
                <w:szCs w:val="18"/>
                <w:lang w:val="sk-SK" w:eastAsia="sk-SK"/>
              </w:rPr>
              <w:t>4</w:t>
            </w:r>
          </w:p>
        </w:tc>
        <w:tc>
          <w:tcPr>
            <w:tcW w:w="196" w:type="dxa"/>
            <w:tcBorders>
              <w:top w:val="nil"/>
              <w:left w:val="nil"/>
              <w:bottom w:val="nil"/>
              <w:right w:val="nil"/>
            </w:tcBorders>
            <w:shd w:val="clear" w:color="auto" w:fill="auto"/>
            <w:noWrap/>
            <w:vAlign w:val="bottom"/>
          </w:tcPr>
          <w:p w14:paraId="1BE5D34E" w14:textId="77777777" w:rsidR="001C6C15" w:rsidRPr="00226892" w:rsidRDefault="001C6C15" w:rsidP="001C6C15">
            <w:pPr>
              <w:jc w:val="center"/>
              <w:rPr>
                <w:rFonts w:ascii="Arial" w:eastAsia="Times New Roman" w:hAnsi="Arial" w:cs="Arial"/>
                <w:sz w:val="18"/>
                <w:szCs w:val="18"/>
                <w:lang w:val="sk-SK" w:eastAsia="sk-SK"/>
              </w:rPr>
            </w:pPr>
            <w:r w:rsidRPr="00226892">
              <w:rPr>
                <w:rFonts w:ascii="Arial" w:eastAsia="Times New Roman" w:hAnsi="Arial" w:cs="Arial"/>
                <w:sz w:val="18"/>
                <w:szCs w:val="18"/>
                <w:lang w:val="sk-SK" w:eastAsia="sk-SK"/>
              </w:rPr>
              <w:t xml:space="preserve">     </w:t>
            </w:r>
          </w:p>
        </w:tc>
        <w:tc>
          <w:tcPr>
            <w:tcW w:w="1926" w:type="dxa"/>
            <w:tcBorders>
              <w:top w:val="nil"/>
              <w:left w:val="nil"/>
              <w:bottom w:val="nil"/>
              <w:right w:val="nil"/>
            </w:tcBorders>
            <w:shd w:val="clear" w:color="auto" w:fill="auto"/>
            <w:vAlign w:val="bottom"/>
          </w:tcPr>
          <w:p w14:paraId="5AE8123A" w14:textId="20F96951" w:rsidR="001C6C15" w:rsidRPr="00226892" w:rsidRDefault="001C6C15" w:rsidP="001C6C15">
            <w:pPr>
              <w:jc w:val="right"/>
              <w:rPr>
                <w:rFonts w:ascii="Arial" w:eastAsia="Times New Roman" w:hAnsi="Arial" w:cs="Arial"/>
                <w:sz w:val="18"/>
                <w:szCs w:val="18"/>
                <w:lang w:val="sk-SK" w:eastAsia="sk-SK"/>
              </w:rPr>
            </w:pPr>
            <w:r w:rsidRPr="00226892">
              <w:rPr>
                <w:rFonts w:ascii="Arial" w:eastAsia="Times New Roman" w:hAnsi="Arial" w:cs="Arial"/>
                <w:sz w:val="18"/>
                <w:szCs w:val="18"/>
                <w:lang w:val="sk-SK" w:eastAsia="sk-SK"/>
              </w:rPr>
              <w:t>-101</w:t>
            </w:r>
          </w:p>
        </w:tc>
        <w:tc>
          <w:tcPr>
            <w:tcW w:w="191" w:type="dxa"/>
            <w:tcBorders>
              <w:top w:val="nil"/>
              <w:left w:val="nil"/>
              <w:bottom w:val="nil"/>
              <w:right w:val="nil"/>
            </w:tcBorders>
            <w:shd w:val="clear" w:color="auto" w:fill="auto"/>
            <w:vAlign w:val="bottom"/>
          </w:tcPr>
          <w:p w14:paraId="1410326F" w14:textId="77777777" w:rsidR="001C6C15" w:rsidRPr="00226892" w:rsidRDefault="001C6C15" w:rsidP="001C6C15">
            <w:pPr>
              <w:jc w:val="right"/>
              <w:rPr>
                <w:rFonts w:ascii="Arial" w:eastAsia="Times New Roman" w:hAnsi="Arial" w:cs="Arial"/>
                <w:sz w:val="18"/>
                <w:szCs w:val="18"/>
                <w:lang w:val="sk-SK" w:eastAsia="sk-SK"/>
              </w:rPr>
            </w:pPr>
          </w:p>
        </w:tc>
        <w:tc>
          <w:tcPr>
            <w:tcW w:w="1886" w:type="dxa"/>
            <w:tcBorders>
              <w:top w:val="nil"/>
              <w:left w:val="nil"/>
              <w:bottom w:val="nil"/>
              <w:right w:val="nil"/>
            </w:tcBorders>
            <w:shd w:val="clear" w:color="auto" w:fill="auto"/>
            <w:vAlign w:val="bottom"/>
          </w:tcPr>
          <w:p w14:paraId="4C6B8D5D" w14:textId="1B49FB14" w:rsidR="001C6C15" w:rsidRPr="00226892" w:rsidRDefault="001C6C15" w:rsidP="001C6C15">
            <w:pPr>
              <w:jc w:val="right"/>
              <w:rPr>
                <w:rFonts w:ascii="Arial" w:hAnsi="Arial" w:cs="Arial"/>
                <w:sz w:val="18"/>
                <w:szCs w:val="18"/>
                <w:lang w:val="sk-SK" w:eastAsia="sk-SK"/>
              </w:rPr>
            </w:pPr>
            <w:r w:rsidRPr="00226892">
              <w:rPr>
                <w:rFonts w:ascii="Arial" w:eastAsia="Times New Roman" w:hAnsi="Arial" w:cs="Arial"/>
                <w:sz w:val="18"/>
                <w:szCs w:val="18"/>
                <w:lang w:val="sk-SK" w:eastAsia="sk-SK"/>
              </w:rPr>
              <w:t>-124</w:t>
            </w:r>
          </w:p>
        </w:tc>
      </w:tr>
      <w:tr w:rsidR="001C6C15" w:rsidRPr="00226892" w14:paraId="2C6E95C2" w14:textId="77777777" w:rsidTr="00F14DB5">
        <w:trPr>
          <w:trHeight w:val="227"/>
        </w:trPr>
        <w:tc>
          <w:tcPr>
            <w:tcW w:w="4830" w:type="dxa"/>
            <w:tcBorders>
              <w:top w:val="nil"/>
              <w:left w:val="nil"/>
              <w:bottom w:val="nil"/>
              <w:right w:val="nil"/>
            </w:tcBorders>
            <w:shd w:val="clear" w:color="auto" w:fill="auto"/>
            <w:noWrap/>
            <w:vAlign w:val="bottom"/>
            <w:hideMark/>
          </w:tcPr>
          <w:p w14:paraId="06521C0B" w14:textId="77777777" w:rsidR="001C6C15" w:rsidRPr="00226892" w:rsidRDefault="001C6C15" w:rsidP="001C6C15">
            <w:pPr>
              <w:rPr>
                <w:rFonts w:ascii="Arial" w:eastAsia="Times New Roman" w:hAnsi="Arial" w:cs="Arial"/>
                <w:color w:val="000000"/>
                <w:sz w:val="18"/>
                <w:szCs w:val="18"/>
                <w:lang w:val="sk-SK" w:eastAsia="sk-SK"/>
              </w:rPr>
            </w:pPr>
          </w:p>
        </w:tc>
        <w:tc>
          <w:tcPr>
            <w:tcW w:w="602" w:type="dxa"/>
            <w:tcBorders>
              <w:top w:val="nil"/>
              <w:left w:val="nil"/>
              <w:bottom w:val="nil"/>
              <w:right w:val="nil"/>
            </w:tcBorders>
            <w:shd w:val="clear" w:color="auto" w:fill="auto"/>
            <w:noWrap/>
            <w:vAlign w:val="bottom"/>
            <w:hideMark/>
          </w:tcPr>
          <w:p w14:paraId="170A974F" w14:textId="77777777" w:rsidR="001C6C15" w:rsidRPr="00226892" w:rsidRDefault="001C6C15" w:rsidP="0049047A">
            <w:pPr>
              <w:jc w:val="center"/>
              <w:rPr>
                <w:rFonts w:ascii="Arial" w:eastAsia="Times New Roman" w:hAnsi="Arial" w:cs="Arial"/>
                <w:sz w:val="18"/>
                <w:szCs w:val="18"/>
                <w:lang w:val="sk-SK" w:eastAsia="sk-SK"/>
              </w:rPr>
            </w:pPr>
          </w:p>
        </w:tc>
        <w:tc>
          <w:tcPr>
            <w:tcW w:w="196" w:type="dxa"/>
            <w:tcBorders>
              <w:top w:val="nil"/>
              <w:left w:val="nil"/>
              <w:bottom w:val="nil"/>
              <w:right w:val="nil"/>
            </w:tcBorders>
            <w:shd w:val="clear" w:color="auto" w:fill="auto"/>
            <w:noWrap/>
            <w:vAlign w:val="bottom"/>
            <w:hideMark/>
          </w:tcPr>
          <w:p w14:paraId="0C5B65DA" w14:textId="77777777" w:rsidR="001C6C15" w:rsidRPr="00226892" w:rsidRDefault="001C6C15" w:rsidP="001C6C15">
            <w:pPr>
              <w:jc w:val="center"/>
              <w:rPr>
                <w:rFonts w:ascii="Arial" w:eastAsia="Times New Roman" w:hAnsi="Arial" w:cs="Arial"/>
                <w:sz w:val="18"/>
                <w:szCs w:val="18"/>
                <w:lang w:val="sk-SK" w:eastAsia="sk-SK"/>
              </w:rPr>
            </w:pPr>
          </w:p>
        </w:tc>
        <w:tc>
          <w:tcPr>
            <w:tcW w:w="1926" w:type="dxa"/>
            <w:tcBorders>
              <w:top w:val="nil"/>
              <w:left w:val="nil"/>
              <w:bottom w:val="nil"/>
              <w:right w:val="nil"/>
            </w:tcBorders>
            <w:shd w:val="clear" w:color="auto" w:fill="auto"/>
            <w:vAlign w:val="bottom"/>
          </w:tcPr>
          <w:p w14:paraId="295F1FDB" w14:textId="77777777" w:rsidR="001C6C15" w:rsidRPr="00226892" w:rsidRDefault="001C6C15" w:rsidP="001C6C15">
            <w:pPr>
              <w:jc w:val="right"/>
              <w:rPr>
                <w:rFonts w:ascii="Arial" w:eastAsia="Times New Roman" w:hAnsi="Arial" w:cs="Arial"/>
                <w:sz w:val="18"/>
                <w:szCs w:val="18"/>
                <w:lang w:val="sk-SK" w:eastAsia="sk-SK"/>
              </w:rPr>
            </w:pPr>
          </w:p>
        </w:tc>
        <w:tc>
          <w:tcPr>
            <w:tcW w:w="191" w:type="dxa"/>
            <w:tcBorders>
              <w:top w:val="nil"/>
              <w:left w:val="nil"/>
              <w:bottom w:val="nil"/>
              <w:right w:val="nil"/>
            </w:tcBorders>
            <w:shd w:val="clear" w:color="auto" w:fill="auto"/>
            <w:vAlign w:val="bottom"/>
          </w:tcPr>
          <w:p w14:paraId="4155EF39" w14:textId="77777777" w:rsidR="001C6C15" w:rsidRPr="00226892" w:rsidRDefault="001C6C15" w:rsidP="001C6C15">
            <w:pPr>
              <w:jc w:val="right"/>
              <w:rPr>
                <w:rFonts w:ascii="Arial" w:eastAsia="Times New Roman" w:hAnsi="Arial" w:cs="Arial"/>
                <w:sz w:val="18"/>
                <w:szCs w:val="18"/>
                <w:lang w:val="sk-SK" w:eastAsia="sk-SK"/>
              </w:rPr>
            </w:pPr>
          </w:p>
        </w:tc>
        <w:tc>
          <w:tcPr>
            <w:tcW w:w="1886" w:type="dxa"/>
            <w:tcBorders>
              <w:top w:val="nil"/>
              <w:left w:val="nil"/>
              <w:bottom w:val="nil"/>
              <w:right w:val="nil"/>
            </w:tcBorders>
            <w:shd w:val="clear" w:color="auto" w:fill="auto"/>
            <w:vAlign w:val="bottom"/>
          </w:tcPr>
          <w:p w14:paraId="18C72F4F" w14:textId="77777777" w:rsidR="001C6C15" w:rsidRPr="00226892" w:rsidRDefault="001C6C15" w:rsidP="001C6C15">
            <w:pPr>
              <w:jc w:val="right"/>
              <w:rPr>
                <w:rFonts w:ascii="Arial" w:eastAsia="Times New Roman" w:hAnsi="Arial" w:cs="Arial"/>
                <w:sz w:val="18"/>
                <w:szCs w:val="18"/>
                <w:lang w:val="sk-SK" w:eastAsia="sk-SK"/>
              </w:rPr>
            </w:pPr>
          </w:p>
        </w:tc>
      </w:tr>
      <w:tr w:rsidR="001C6C15" w:rsidRPr="00226892" w14:paraId="67ABE1FF" w14:textId="77777777" w:rsidTr="00F14DB5">
        <w:trPr>
          <w:trHeight w:val="227"/>
        </w:trPr>
        <w:tc>
          <w:tcPr>
            <w:tcW w:w="4830" w:type="dxa"/>
            <w:tcBorders>
              <w:top w:val="nil"/>
              <w:left w:val="nil"/>
              <w:bottom w:val="nil"/>
              <w:right w:val="nil"/>
            </w:tcBorders>
            <w:shd w:val="clear" w:color="auto" w:fill="auto"/>
            <w:noWrap/>
            <w:vAlign w:val="bottom"/>
            <w:hideMark/>
          </w:tcPr>
          <w:p w14:paraId="297405D3" w14:textId="77777777" w:rsidR="001C6C15" w:rsidRPr="00226892" w:rsidRDefault="001C6C15" w:rsidP="001C6C15">
            <w:pPr>
              <w:rPr>
                <w:rFonts w:ascii="Arial" w:eastAsia="Times New Roman" w:hAnsi="Arial" w:cs="Arial"/>
                <w:sz w:val="18"/>
                <w:szCs w:val="18"/>
                <w:lang w:val="sk-SK" w:eastAsia="sk-SK"/>
              </w:rPr>
            </w:pPr>
          </w:p>
        </w:tc>
        <w:tc>
          <w:tcPr>
            <w:tcW w:w="602" w:type="dxa"/>
            <w:tcBorders>
              <w:top w:val="nil"/>
              <w:left w:val="nil"/>
              <w:bottom w:val="nil"/>
              <w:right w:val="nil"/>
            </w:tcBorders>
            <w:shd w:val="clear" w:color="auto" w:fill="auto"/>
            <w:noWrap/>
            <w:vAlign w:val="bottom"/>
            <w:hideMark/>
          </w:tcPr>
          <w:p w14:paraId="63103B07" w14:textId="77777777" w:rsidR="001C6C15" w:rsidRPr="00226892" w:rsidRDefault="001C6C15" w:rsidP="0049047A">
            <w:pPr>
              <w:jc w:val="center"/>
              <w:rPr>
                <w:rFonts w:ascii="Arial" w:eastAsia="Times New Roman" w:hAnsi="Arial" w:cs="Arial"/>
                <w:sz w:val="18"/>
                <w:szCs w:val="18"/>
                <w:lang w:val="sk-SK" w:eastAsia="sk-SK"/>
              </w:rPr>
            </w:pPr>
          </w:p>
        </w:tc>
        <w:tc>
          <w:tcPr>
            <w:tcW w:w="196" w:type="dxa"/>
            <w:tcBorders>
              <w:top w:val="nil"/>
              <w:left w:val="nil"/>
              <w:bottom w:val="nil"/>
              <w:right w:val="nil"/>
            </w:tcBorders>
            <w:shd w:val="clear" w:color="auto" w:fill="auto"/>
            <w:noWrap/>
            <w:vAlign w:val="bottom"/>
            <w:hideMark/>
          </w:tcPr>
          <w:p w14:paraId="00B57169" w14:textId="77777777" w:rsidR="001C6C15" w:rsidRPr="00226892" w:rsidRDefault="001C6C15" w:rsidP="001C6C15">
            <w:pPr>
              <w:rPr>
                <w:rFonts w:ascii="Arial" w:eastAsia="Times New Roman" w:hAnsi="Arial" w:cs="Arial"/>
                <w:sz w:val="18"/>
                <w:szCs w:val="18"/>
                <w:lang w:val="sk-SK" w:eastAsia="sk-SK"/>
              </w:rPr>
            </w:pPr>
          </w:p>
        </w:tc>
        <w:tc>
          <w:tcPr>
            <w:tcW w:w="1926" w:type="dxa"/>
            <w:tcBorders>
              <w:top w:val="nil"/>
              <w:left w:val="nil"/>
              <w:bottom w:val="nil"/>
              <w:right w:val="nil"/>
            </w:tcBorders>
            <w:shd w:val="clear" w:color="auto" w:fill="auto"/>
            <w:vAlign w:val="bottom"/>
          </w:tcPr>
          <w:p w14:paraId="4BCC71E8" w14:textId="77777777" w:rsidR="001C6C15" w:rsidRPr="00226892" w:rsidRDefault="001C6C15" w:rsidP="001C6C15">
            <w:pPr>
              <w:jc w:val="right"/>
              <w:rPr>
                <w:rFonts w:ascii="Arial" w:eastAsia="Times New Roman" w:hAnsi="Arial" w:cs="Arial"/>
                <w:sz w:val="18"/>
                <w:szCs w:val="18"/>
                <w:lang w:val="sk-SK" w:eastAsia="sk-SK"/>
              </w:rPr>
            </w:pPr>
          </w:p>
        </w:tc>
        <w:tc>
          <w:tcPr>
            <w:tcW w:w="191" w:type="dxa"/>
            <w:tcBorders>
              <w:top w:val="nil"/>
              <w:left w:val="nil"/>
              <w:bottom w:val="nil"/>
              <w:right w:val="nil"/>
            </w:tcBorders>
            <w:shd w:val="clear" w:color="auto" w:fill="auto"/>
            <w:vAlign w:val="bottom"/>
          </w:tcPr>
          <w:p w14:paraId="7D3AA3ED" w14:textId="77777777" w:rsidR="001C6C15" w:rsidRPr="00226892" w:rsidRDefault="001C6C15" w:rsidP="001C6C15">
            <w:pPr>
              <w:jc w:val="right"/>
              <w:rPr>
                <w:rFonts w:ascii="Arial" w:eastAsia="Times New Roman" w:hAnsi="Arial" w:cs="Arial"/>
                <w:sz w:val="18"/>
                <w:szCs w:val="18"/>
                <w:lang w:val="sk-SK" w:eastAsia="sk-SK"/>
              </w:rPr>
            </w:pPr>
          </w:p>
        </w:tc>
        <w:tc>
          <w:tcPr>
            <w:tcW w:w="1886" w:type="dxa"/>
            <w:tcBorders>
              <w:top w:val="nil"/>
              <w:left w:val="nil"/>
              <w:bottom w:val="nil"/>
              <w:right w:val="nil"/>
            </w:tcBorders>
            <w:shd w:val="clear" w:color="auto" w:fill="auto"/>
            <w:vAlign w:val="bottom"/>
          </w:tcPr>
          <w:p w14:paraId="4DAFADD0" w14:textId="77777777" w:rsidR="001C6C15" w:rsidRPr="00226892" w:rsidRDefault="001C6C15" w:rsidP="001C6C15">
            <w:pPr>
              <w:jc w:val="right"/>
              <w:rPr>
                <w:rFonts w:ascii="Arial" w:eastAsia="Times New Roman" w:hAnsi="Arial" w:cs="Arial"/>
                <w:sz w:val="18"/>
                <w:szCs w:val="18"/>
                <w:lang w:val="sk-SK" w:eastAsia="sk-SK"/>
              </w:rPr>
            </w:pPr>
          </w:p>
        </w:tc>
      </w:tr>
      <w:tr w:rsidR="001C6C15" w:rsidRPr="00226892" w14:paraId="2A1BA13E" w14:textId="77777777" w:rsidTr="00F14DB5">
        <w:trPr>
          <w:trHeight w:val="227"/>
        </w:trPr>
        <w:tc>
          <w:tcPr>
            <w:tcW w:w="4830" w:type="dxa"/>
            <w:tcBorders>
              <w:top w:val="nil"/>
              <w:left w:val="nil"/>
              <w:bottom w:val="nil"/>
              <w:right w:val="nil"/>
            </w:tcBorders>
            <w:shd w:val="clear" w:color="auto" w:fill="auto"/>
            <w:noWrap/>
            <w:vAlign w:val="bottom"/>
            <w:hideMark/>
          </w:tcPr>
          <w:p w14:paraId="4809E0E2" w14:textId="5B0B1961" w:rsidR="001C6C15" w:rsidRPr="00226892" w:rsidRDefault="001C6C15" w:rsidP="001C6C15">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Zisk pred zdanením </w:t>
            </w:r>
          </w:p>
        </w:tc>
        <w:tc>
          <w:tcPr>
            <w:tcW w:w="602" w:type="dxa"/>
            <w:tcBorders>
              <w:top w:val="nil"/>
              <w:left w:val="nil"/>
              <w:bottom w:val="nil"/>
              <w:right w:val="nil"/>
            </w:tcBorders>
            <w:shd w:val="clear" w:color="auto" w:fill="auto"/>
            <w:noWrap/>
            <w:vAlign w:val="bottom"/>
            <w:hideMark/>
          </w:tcPr>
          <w:p w14:paraId="3E05117F" w14:textId="77777777" w:rsidR="001C6C15" w:rsidRPr="00226892" w:rsidRDefault="001C6C15" w:rsidP="0049047A">
            <w:pPr>
              <w:jc w:val="center"/>
              <w:rPr>
                <w:rFonts w:ascii="Arial" w:eastAsia="Times New Roman" w:hAnsi="Arial" w:cs="Arial"/>
                <w:b/>
                <w:bCs/>
                <w:color w:val="000000"/>
                <w:sz w:val="18"/>
                <w:szCs w:val="18"/>
                <w:lang w:val="sk-SK" w:eastAsia="sk-SK"/>
              </w:rPr>
            </w:pPr>
          </w:p>
        </w:tc>
        <w:tc>
          <w:tcPr>
            <w:tcW w:w="196" w:type="dxa"/>
            <w:tcBorders>
              <w:top w:val="nil"/>
              <w:left w:val="nil"/>
              <w:bottom w:val="nil"/>
              <w:right w:val="nil"/>
            </w:tcBorders>
            <w:shd w:val="clear" w:color="auto" w:fill="auto"/>
            <w:noWrap/>
            <w:vAlign w:val="bottom"/>
            <w:hideMark/>
          </w:tcPr>
          <w:p w14:paraId="637D1558" w14:textId="77777777" w:rsidR="001C6C15" w:rsidRPr="00226892" w:rsidRDefault="001C6C15" w:rsidP="001C6C15">
            <w:pPr>
              <w:rPr>
                <w:rFonts w:ascii="Arial" w:eastAsia="Times New Roman" w:hAnsi="Arial" w:cs="Arial"/>
                <w:sz w:val="18"/>
                <w:szCs w:val="18"/>
                <w:lang w:val="sk-SK" w:eastAsia="sk-SK"/>
              </w:rPr>
            </w:pPr>
          </w:p>
        </w:tc>
        <w:tc>
          <w:tcPr>
            <w:tcW w:w="1926" w:type="dxa"/>
            <w:tcBorders>
              <w:top w:val="single" w:sz="4" w:space="0" w:color="auto"/>
              <w:left w:val="nil"/>
              <w:bottom w:val="double" w:sz="6" w:space="0" w:color="auto"/>
              <w:right w:val="nil"/>
            </w:tcBorders>
            <w:shd w:val="clear" w:color="auto" w:fill="auto"/>
            <w:vAlign w:val="bottom"/>
          </w:tcPr>
          <w:p w14:paraId="50A8B380" w14:textId="26CDF6D3" w:rsidR="001C6C15" w:rsidRPr="00226892" w:rsidRDefault="001C6C15" w:rsidP="001C6C1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3 7</w:t>
            </w:r>
            <w:r w:rsidR="00B66B39" w:rsidRPr="00226892">
              <w:rPr>
                <w:rFonts w:ascii="Arial" w:eastAsia="Times New Roman" w:hAnsi="Arial" w:cs="Arial"/>
                <w:b/>
                <w:bCs/>
                <w:color w:val="000000"/>
                <w:sz w:val="18"/>
                <w:szCs w:val="18"/>
                <w:lang w:val="sk-SK" w:eastAsia="sk-SK"/>
              </w:rPr>
              <w:t>61</w:t>
            </w:r>
          </w:p>
        </w:tc>
        <w:tc>
          <w:tcPr>
            <w:tcW w:w="191" w:type="dxa"/>
            <w:tcBorders>
              <w:top w:val="nil"/>
              <w:left w:val="nil"/>
              <w:bottom w:val="nil"/>
              <w:right w:val="nil"/>
            </w:tcBorders>
            <w:shd w:val="clear" w:color="auto" w:fill="auto"/>
            <w:vAlign w:val="bottom"/>
          </w:tcPr>
          <w:p w14:paraId="72FB09DE" w14:textId="77777777" w:rsidR="001C6C15" w:rsidRPr="00226892" w:rsidRDefault="001C6C15" w:rsidP="001C6C15">
            <w:pPr>
              <w:jc w:val="right"/>
              <w:rPr>
                <w:rFonts w:ascii="Arial" w:eastAsia="Times New Roman" w:hAnsi="Arial" w:cs="Arial"/>
                <w:b/>
                <w:bCs/>
                <w:color w:val="000000"/>
                <w:sz w:val="18"/>
                <w:szCs w:val="18"/>
                <w:lang w:val="sk-SK" w:eastAsia="sk-SK"/>
              </w:rPr>
            </w:pPr>
          </w:p>
        </w:tc>
        <w:tc>
          <w:tcPr>
            <w:tcW w:w="1886" w:type="dxa"/>
            <w:tcBorders>
              <w:top w:val="single" w:sz="4" w:space="0" w:color="auto"/>
              <w:left w:val="nil"/>
              <w:bottom w:val="double" w:sz="6" w:space="0" w:color="auto"/>
              <w:right w:val="nil"/>
            </w:tcBorders>
            <w:shd w:val="clear" w:color="auto" w:fill="auto"/>
            <w:vAlign w:val="bottom"/>
          </w:tcPr>
          <w:p w14:paraId="23B677B8" w14:textId="19375373" w:rsidR="001C6C15" w:rsidRPr="00226892" w:rsidRDefault="001C6C15" w:rsidP="001C6C1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2  501</w:t>
            </w:r>
          </w:p>
        </w:tc>
      </w:tr>
      <w:tr w:rsidR="001C6C15" w:rsidRPr="00226892" w14:paraId="76CBC765" w14:textId="77777777" w:rsidTr="00F14DB5">
        <w:trPr>
          <w:trHeight w:val="227"/>
        </w:trPr>
        <w:tc>
          <w:tcPr>
            <w:tcW w:w="4830" w:type="dxa"/>
            <w:tcBorders>
              <w:top w:val="nil"/>
              <w:left w:val="nil"/>
              <w:bottom w:val="nil"/>
              <w:right w:val="nil"/>
            </w:tcBorders>
            <w:shd w:val="clear" w:color="auto" w:fill="auto"/>
            <w:noWrap/>
            <w:vAlign w:val="bottom"/>
            <w:hideMark/>
          </w:tcPr>
          <w:p w14:paraId="47553D77" w14:textId="77777777" w:rsidR="00E55854" w:rsidRPr="00226892" w:rsidRDefault="00E55854" w:rsidP="001C6C15">
            <w:pPr>
              <w:rPr>
                <w:rFonts w:ascii="Arial" w:eastAsia="Times New Roman" w:hAnsi="Arial" w:cs="Arial"/>
                <w:color w:val="000000"/>
                <w:sz w:val="18"/>
                <w:szCs w:val="18"/>
                <w:lang w:val="sk-SK" w:eastAsia="sk-SK"/>
              </w:rPr>
            </w:pPr>
          </w:p>
          <w:p w14:paraId="0105815F" w14:textId="7B8F6651" w:rsidR="001C6C15" w:rsidRPr="00226892" w:rsidRDefault="001C6C15" w:rsidP="001C6C1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Daň z príjmov</w:t>
            </w:r>
          </w:p>
        </w:tc>
        <w:tc>
          <w:tcPr>
            <w:tcW w:w="602" w:type="dxa"/>
            <w:tcBorders>
              <w:top w:val="nil"/>
              <w:left w:val="nil"/>
              <w:bottom w:val="nil"/>
              <w:right w:val="nil"/>
            </w:tcBorders>
            <w:shd w:val="clear" w:color="auto" w:fill="auto"/>
            <w:noWrap/>
            <w:vAlign w:val="bottom"/>
            <w:hideMark/>
          </w:tcPr>
          <w:p w14:paraId="4B40D5AE" w14:textId="09BC00FB" w:rsidR="001C6C15" w:rsidRPr="00226892" w:rsidRDefault="001C6C15" w:rsidP="0049047A">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w:t>
            </w:r>
            <w:r w:rsidR="0049047A" w:rsidRPr="00226892">
              <w:rPr>
                <w:rFonts w:ascii="Arial" w:eastAsia="Times New Roman" w:hAnsi="Arial" w:cs="Arial"/>
                <w:color w:val="000000"/>
                <w:sz w:val="18"/>
                <w:szCs w:val="18"/>
                <w:lang w:val="sk-SK" w:eastAsia="sk-SK"/>
              </w:rPr>
              <w:t>5</w:t>
            </w:r>
          </w:p>
        </w:tc>
        <w:tc>
          <w:tcPr>
            <w:tcW w:w="196" w:type="dxa"/>
            <w:tcBorders>
              <w:top w:val="nil"/>
              <w:left w:val="nil"/>
              <w:bottom w:val="nil"/>
              <w:right w:val="nil"/>
            </w:tcBorders>
            <w:shd w:val="clear" w:color="auto" w:fill="auto"/>
            <w:noWrap/>
            <w:vAlign w:val="bottom"/>
            <w:hideMark/>
          </w:tcPr>
          <w:p w14:paraId="11524896" w14:textId="77777777" w:rsidR="001C6C15" w:rsidRPr="00226892" w:rsidRDefault="001C6C15" w:rsidP="001C6C15">
            <w:pPr>
              <w:jc w:val="center"/>
              <w:rPr>
                <w:rFonts w:ascii="Arial" w:eastAsia="Times New Roman" w:hAnsi="Arial" w:cs="Arial"/>
                <w:color w:val="000000"/>
                <w:sz w:val="18"/>
                <w:szCs w:val="18"/>
                <w:lang w:val="sk-SK" w:eastAsia="sk-SK"/>
              </w:rPr>
            </w:pPr>
          </w:p>
        </w:tc>
        <w:tc>
          <w:tcPr>
            <w:tcW w:w="1926" w:type="dxa"/>
            <w:tcBorders>
              <w:top w:val="nil"/>
              <w:left w:val="nil"/>
              <w:bottom w:val="nil"/>
              <w:right w:val="nil"/>
            </w:tcBorders>
            <w:shd w:val="clear" w:color="auto" w:fill="auto"/>
            <w:vAlign w:val="bottom"/>
          </w:tcPr>
          <w:p w14:paraId="1CB74F4D" w14:textId="7A892CE1" w:rsidR="001C6C15" w:rsidRPr="00226892" w:rsidRDefault="001C6C15" w:rsidP="001C6C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-788</w:t>
            </w:r>
          </w:p>
        </w:tc>
        <w:tc>
          <w:tcPr>
            <w:tcW w:w="191" w:type="dxa"/>
            <w:tcBorders>
              <w:top w:val="nil"/>
              <w:left w:val="nil"/>
              <w:bottom w:val="nil"/>
              <w:right w:val="nil"/>
            </w:tcBorders>
            <w:shd w:val="clear" w:color="auto" w:fill="auto"/>
            <w:vAlign w:val="bottom"/>
          </w:tcPr>
          <w:p w14:paraId="3F6A0847" w14:textId="77777777" w:rsidR="001C6C15" w:rsidRPr="00226892" w:rsidRDefault="001C6C15" w:rsidP="001C6C15">
            <w:pPr>
              <w:jc w:val="right"/>
              <w:rPr>
                <w:rFonts w:ascii="Arial" w:eastAsia="Times New Roman" w:hAnsi="Arial" w:cs="Arial"/>
                <w:color w:val="000000"/>
                <w:sz w:val="18"/>
                <w:szCs w:val="18"/>
                <w:lang w:val="sk-SK" w:eastAsia="sk-SK"/>
              </w:rPr>
            </w:pPr>
          </w:p>
        </w:tc>
        <w:tc>
          <w:tcPr>
            <w:tcW w:w="1886" w:type="dxa"/>
            <w:tcBorders>
              <w:top w:val="nil"/>
              <w:left w:val="nil"/>
              <w:bottom w:val="nil"/>
              <w:right w:val="nil"/>
            </w:tcBorders>
            <w:shd w:val="clear" w:color="auto" w:fill="auto"/>
            <w:vAlign w:val="bottom"/>
          </w:tcPr>
          <w:p w14:paraId="61CC5452" w14:textId="7B8BB498" w:rsidR="001C6C15" w:rsidRPr="00226892" w:rsidRDefault="001C6C15" w:rsidP="001C6C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-574</w:t>
            </w:r>
          </w:p>
        </w:tc>
      </w:tr>
      <w:tr w:rsidR="001C6C15" w:rsidRPr="00226892" w14:paraId="6226B812" w14:textId="77777777" w:rsidTr="00F14DB5">
        <w:trPr>
          <w:trHeight w:val="227"/>
        </w:trPr>
        <w:tc>
          <w:tcPr>
            <w:tcW w:w="4830" w:type="dxa"/>
            <w:tcBorders>
              <w:top w:val="nil"/>
              <w:left w:val="nil"/>
              <w:bottom w:val="nil"/>
              <w:right w:val="nil"/>
            </w:tcBorders>
            <w:shd w:val="clear" w:color="auto" w:fill="auto"/>
            <w:noWrap/>
            <w:vAlign w:val="bottom"/>
            <w:hideMark/>
          </w:tcPr>
          <w:p w14:paraId="02AD6654" w14:textId="77777777" w:rsidR="001C6C15" w:rsidRPr="00226892" w:rsidRDefault="001C6C15" w:rsidP="001C6C15">
            <w:pPr>
              <w:rPr>
                <w:rFonts w:ascii="Arial" w:eastAsia="Times New Roman" w:hAnsi="Arial" w:cs="Arial"/>
                <w:color w:val="000000"/>
                <w:sz w:val="18"/>
                <w:szCs w:val="18"/>
                <w:lang w:val="sk-SK" w:eastAsia="sk-SK"/>
              </w:rPr>
            </w:pPr>
          </w:p>
        </w:tc>
        <w:tc>
          <w:tcPr>
            <w:tcW w:w="602" w:type="dxa"/>
            <w:tcBorders>
              <w:top w:val="nil"/>
              <w:left w:val="nil"/>
              <w:bottom w:val="nil"/>
              <w:right w:val="nil"/>
            </w:tcBorders>
            <w:shd w:val="clear" w:color="auto" w:fill="auto"/>
            <w:noWrap/>
            <w:vAlign w:val="bottom"/>
            <w:hideMark/>
          </w:tcPr>
          <w:p w14:paraId="513B6913" w14:textId="77777777" w:rsidR="001C6C15" w:rsidRPr="00226892" w:rsidRDefault="001C6C15" w:rsidP="001C6C15">
            <w:pPr>
              <w:rPr>
                <w:rFonts w:ascii="Arial" w:eastAsia="Times New Roman" w:hAnsi="Arial" w:cs="Arial"/>
                <w:sz w:val="18"/>
                <w:szCs w:val="18"/>
                <w:lang w:val="sk-SK" w:eastAsia="sk-SK"/>
              </w:rPr>
            </w:pPr>
          </w:p>
        </w:tc>
        <w:tc>
          <w:tcPr>
            <w:tcW w:w="196" w:type="dxa"/>
            <w:tcBorders>
              <w:top w:val="nil"/>
              <w:left w:val="nil"/>
              <w:bottom w:val="nil"/>
              <w:right w:val="nil"/>
            </w:tcBorders>
            <w:shd w:val="clear" w:color="auto" w:fill="auto"/>
            <w:noWrap/>
            <w:vAlign w:val="bottom"/>
            <w:hideMark/>
          </w:tcPr>
          <w:p w14:paraId="6F3ADF75" w14:textId="77777777" w:rsidR="001C6C15" w:rsidRPr="00226892" w:rsidRDefault="001C6C15" w:rsidP="001C6C15">
            <w:pPr>
              <w:rPr>
                <w:rFonts w:ascii="Arial" w:eastAsia="Times New Roman" w:hAnsi="Arial" w:cs="Arial"/>
                <w:sz w:val="18"/>
                <w:szCs w:val="18"/>
                <w:lang w:val="sk-SK" w:eastAsia="sk-SK"/>
              </w:rPr>
            </w:pPr>
          </w:p>
        </w:tc>
        <w:tc>
          <w:tcPr>
            <w:tcW w:w="1926" w:type="dxa"/>
            <w:tcBorders>
              <w:top w:val="nil"/>
              <w:left w:val="nil"/>
              <w:bottom w:val="nil"/>
              <w:right w:val="nil"/>
            </w:tcBorders>
            <w:shd w:val="clear" w:color="auto" w:fill="auto"/>
            <w:vAlign w:val="bottom"/>
          </w:tcPr>
          <w:p w14:paraId="409B8F61" w14:textId="77777777" w:rsidR="001C6C15" w:rsidRPr="00226892" w:rsidRDefault="001C6C15" w:rsidP="001C6C15">
            <w:pPr>
              <w:jc w:val="right"/>
              <w:rPr>
                <w:rFonts w:ascii="Arial" w:eastAsia="Times New Roman" w:hAnsi="Arial" w:cs="Arial"/>
                <w:sz w:val="18"/>
                <w:szCs w:val="18"/>
                <w:lang w:val="sk-SK" w:eastAsia="sk-SK"/>
              </w:rPr>
            </w:pPr>
          </w:p>
        </w:tc>
        <w:tc>
          <w:tcPr>
            <w:tcW w:w="191" w:type="dxa"/>
            <w:tcBorders>
              <w:top w:val="nil"/>
              <w:left w:val="nil"/>
              <w:bottom w:val="nil"/>
              <w:right w:val="nil"/>
            </w:tcBorders>
            <w:shd w:val="clear" w:color="auto" w:fill="auto"/>
            <w:vAlign w:val="bottom"/>
          </w:tcPr>
          <w:p w14:paraId="2AD84A17" w14:textId="77777777" w:rsidR="001C6C15" w:rsidRPr="00226892" w:rsidRDefault="001C6C15" w:rsidP="001C6C15">
            <w:pPr>
              <w:jc w:val="right"/>
              <w:rPr>
                <w:rFonts w:ascii="Arial" w:eastAsia="Times New Roman" w:hAnsi="Arial" w:cs="Arial"/>
                <w:sz w:val="18"/>
                <w:szCs w:val="18"/>
                <w:lang w:val="sk-SK" w:eastAsia="sk-SK"/>
              </w:rPr>
            </w:pPr>
          </w:p>
        </w:tc>
        <w:tc>
          <w:tcPr>
            <w:tcW w:w="1886" w:type="dxa"/>
            <w:tcBorders>
              <w:top w:val="nil"/>
              <w:left w:val="nil"/>
              <w:bottom w:val="nil"/>
              <w:right w:val="nil"/>
            </w:tcBorders>
            <w:shd w:val="clear" w:color="auto" w:fill="auto"/>
            <w:vAlign w:val="bottom"/>
          </w:tcPr>
          <w:p w14:paraId="469F23A1" w14:textId="77777777" w:rsidR="001C6C15" w:rsidRPr="00226892" w:rsidRDefault="001C6C15" w:rsidP="001C6C15">
            <w:pPr>
              <w:jc w:val="right"/>
              <w:rPr>
                <w:rFonts w:ascii="Arial" w:eastAsia="Times New Roman" w:hAnsi="Arial" w:cs="Arial"/>
                <w:sz w:val="18"/>
                <w:szCs w:val="18"/>
                <w:lang w:val="sk-SK" w:eastAsia="sk-SK"/>
              </w:rPr>
            </w:pPr>
          </w:p>
        </w:tc>
      </w:tr>
      <w:tr w:rsidR="001C6C15" w:rsidRPr="00226892" w14:paraId="4DDC9EC6" w14:textId="77777777" w:rsidTr="00F14DB5">
        <w:trPr>
          <w:trHeight w:val="227"/>
        </w:trPr>
        <w:tc>
          <w:tcPr>
            <w:tcW w:w="4830" w:type="dxa"/>
            <w:tcBorders>
              <w:top w:val="nil"/>
              <w:left w:val="nil"/>
              <w:bottom w:val="nil"/>
              <w:right w:val="nil"/>
            </w:tcBorders>
            <w:shd w:val="clear" w:color="auto" w:fill="auto"/>
            <w:noWrap/>
            <w:vAlign w:val="bottom"/>
            <w:hideMark/>
          </w:tcPr>
          <w:p w14:paraId="0270698D" w14:textId="3F5E7B4C" w:rsidR="001C6C15" w:rsidRPr="00226892" w:rsidRDefault="001C6C15" w:rsidP="001C6C15">
            <w:pPr>
              <w:rPr>
                <w:rFonts w:ascii="Arial" w:eastAsia="Times New Roman" w:hAnsi="Arial" w:cs="Arial"/>
                <w:b/>
                <w:bCs/>
                <w:color w:val="000000"/>
                <w:sz w:val="18"/>
                <w:szCs w:val="18"/>
                <w:lang w:val="sk-SK" w:eastAsia="sk-SK"/>
              </w:rPr>
            </w:pPr>
            <w:proofErr w:type="spellStart"/>
            <w:r w:rsidRPr="00226892">
              <w:rPr>
                <w:rFonts w:ascii="Arial" w:eastAsia="Times New Roman" w:hAnsi="Arial" w:cs="Arial"/>
                <w:b/>
                <w:bCs/>
                <w:color w:val="000000"/>
                <w:sz w:val="18"/>
                <w:szCs w:val="18"/>
                <w:lang w:eastAsia="sk-SK"/>
              </w:rPr>
              <w:t>Zisk</w:t>
            </w:r>
            <w:proofErr w:type="spellEnd"/>
            <w:r w:rsidRPr="00226892">
              <w:rPr>
                <w:rFonts w:ascii="Arial" w:eastAsia="Times New Roman" w:hAnsi="Arial" w:cs="Arial"/>
                <w:b/>
                <w:bCs/>
                <w:color w:val="000000"/>
                <w:sz w:val="18"/>
                <w:szCs w:val="18"/>
                <w:lang w:eastAsia="sk-SK"/>
              </w:rPr>
              <w:t xml:space="preserve"> za </w:t>
            </w:r>
            <w:proofErr w:type="spellStart"/>
            <w:r w:rsidRPr="00226892">
              <w:rPr>
                <w:rFonts w:ascii="Arial" w:eastAsia="Times New Roman" w:hAnsi="Arial" w:cs="Arial"/>
                <w:b/>
                <w:bCs/>
                <w:color w:val="000000"/>
                <w:sz w:val="18"/>
                <w:szCs w:val="18"/>
                <w:lang w:eastAsia="sk-SK"/>
              </w:rPr>
              <w:t>účtovné</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obdobie</w:t>
            </w:r>
            <w:proofErr w:type="spellEnd"/>
            <w:r w:rsidRPr="00226892">
              <w:rPr>
                <w:rFonts w:ascii="Arial" w:eastAsia="Times New Roman" w:hAnsi="Arial" w:cs="Arial"/>
                <w:b/>
                <w:bCs/>
                <w:color w:val="000000"/>
                <w:sz w:val="18"/>
                <w:szCs w:val="18"/>
                <w:lang w:eastAsia="sk-SK"/>
              </w:rPr>
              <w:t xml:space="preserve"> po </w:t>
            </w:r>
            <w:proofErr w:type="spellStart"/>
            <w:r w:rsidRPr="00226892">
              <w:rPr>
                <w:rFonts w:ascii="Arial" w:eastAsia="Times New Roman" w:hAnsi="Arial" w:cs="Arial"/>
                <w:b/>
                <w:bCs/>
                <w:color w:val="000000"/>
                <w:sz w:val="18"/>
                <w:szCs w:val="18"/>
                <w:lang w:eastAsia="sk-SK"/>
              </w:rPr>
              <w:t>zdanení</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pripadajúci</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na</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vlastníkov</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podielov</w:t>
            </w:r>
            <w:proofErr w:type="spellEnd"/>
            <w:r w:rsidRPr="00226892">
              <w:rPr>
                <w:rFonts w:ascii="Arial" w:eastAsia="Times New Roman" w:hAnsi="Arial" w:cs="Arial"/>
                <w:b/>
                <w:bCs/>
                <w:color w:val="000000"/>
                <w:sz w:val="18"/>
                <w:szCs w:val="18"/>
                <w:lang w:eastAsia="sk-SK"/>
              </w:rPr>
              <w:t xml:space="preserve"> v </w:t>
            </w:r>
            <w:proofErr w:type="spellStart"/>
            <w:r w:rsidRPr="00226892">
              <w:rPr>
                <w:rFonts w:ascii="Arial" w:eastAsia="Times New Roman" w:hAnsi="Arial" w:cs="Arial"/>
                <w:b/>
                <w:bCs/>
                <w:color w:val="000000"/>
                <w:sz w:val="18"/>
                <w:szCs w:val="18"/>
                <w:lang w:eastAsia="sk-SK"/>
              </w:rPr>
              <w:t>materskej</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spoločnosti</w:t>
            </w:r>
            <w:proofErr w:type="spellEnd"/>
          </w:p>
        </w:tc>
        <w:tc>
          <w:tcPr>
            <w:tcW w:w="602" w:type="dxa"/>
            <w:tcBorders>
              <w:top w:val="nil"/>
              <w:left w:val="nil"/>
              <w:bottom w:val="nil"/>
              <w:right w:val="nil"/>
            </w:tcBorders>
            <w:shd w:val="clear" w:color="auto" w:fill="auto"/>
            <w:noWrap/>
            <w:vAlign w:val="bottom"/>
            <w:hideMark/>
          </w:tcPr>
          <w:p w14:paraId="2D8E05FD" w14:textId="77777777" w:rsidR="001C6C15" w:rsidRPr="00226892" w:rsidRDefault="001C6C15" w:rsidP="001C6C15">
            <w:pPr>
              <w:rPr>
                <w:rFonts w:ascii="Arial" w:eastAsia="Times New Roman" w:hAnsi="Arial" w:cs="Arial"/>
                <w:b/>
                <w:bCs/>
                <w:color w:val="000000"/>
                <w:sz w:val="18"/>
                <w:szCs w:val="18"/>
                <w:lang w:val="sk-SK" w:eastAsia="sk-SK"/>
              </w:rPr>
            </w:pPr>
          </w:p>
        </w:tc>
        <w:tc>
          <w:tcPr>
            <w:tcW w:w="196" w:type="dxa"/>
            <w:tcBorders>
              <w:top w:val="nil"/>
              <w:left w:val="nil"/>
              <w:bottom w:val="nil"/>
              <w:right w:val="nil"/>
            </w:tcBorders>
            <w:shd w:val="clear" w:color="auto" w:fill="auto"/>
            <w:noWrap/>
            <w:vAlign w:val="bottom"/>
            <w:hideMark/>
          </w:tcPr>
          <w:p w14:paraId="3C88847E" w14:textId="77777777" w:rsidR="001C6C15" w:rsidRPr="00226892" w:rsidRDefault="001C6C15" w:rsidP="001C6C15">
            <w:pPr>
              <w:rPr>
                <w:rFonts w:ascii="Arial" w:eastAsia="Times New Roman" w:hAnsi="Arial" w:cs="Arial"/>
                <w:sz w:val="18"/>
                <w:szCs w:val="18"/>
                <w:lang w:val="sk-SK" w:eastAsia="sk-SK"/>
              </w:rPr>
            </w:pPr>
          </w:p>
        </w:tc>
        <w:tc>
          <w:tcPr>
            <w:tcW w:w="1926" w:type="dxa"/>
            <w:tcBorders>
              <w:top w:val="single" w:sz="4" w:space="0" w:color="auto"/>
              <w:left w:val="nil"/>
              <w:bottom w:val="double" w:sz="6" w:space="0" w:color="auto"/>
              <w:right w:val="nil"/>
            </w:tcBorders>
            <w:shd w:val="clear" w:color="auto" w:fill="auto"/>
            <w:vAlign w:val="bottom"/>
          </w:tcPr>
          <w:p w14:paraId="5C4FAE7D" w14:textId="43854FCD" w:rsidR="001C6C15" w:rsidRPr="00226892" w:rsidRDefault="001C6C15" w:rsidP="001C6C1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2 9</w:t>
            </w:r>
            <w:r w:rsidR="00B66B39" w:rsidRPr="00226892">
              <w:rPr>
                <w:rFonts w:ascii="Arial" w:eastAsia="Times New Roman" w:hAnsi="Arial" w:cs="Arial"/>
                <w:b/>
                <w:bCs/>
                <w:color w:val="000000"/>
                <w:sz w:val="18"/>
                <w:szCs w:val="18"/>
                <w:lang w:val="sk-SK" w:eastAsia="sk-SK"/>
              </w:rPr>
              <w:t>73</w:t>
            </w:r>
          </w:p>
        </w:tc>
        <w:tc>
          <w:tcPr>
            <w:tcW w:w="191" w:type="dxa"/>
            <w:tcBorders>
              <w:top w:val="nil"/>
              <w:left w:val="nil"/>
              <w:bottom w:val="nil"/>
              <w:right w:val="nil"/>
            </w:tcBorders>
            <w:shd w:val="clear" w:color="auto" w:fill="auto"/>
            <w:vAlign w:val="bottom"/>
          </w:tcPr>
          <w:p w14:paraId="77E5CDA5" w14:textId="77777777" w:rsidR="001C6C15" w:rsidRPr="00226892" w:rsidRDefault="001C6C15" w:rsidP="001C6C15">
            <w:pPr>
              <w:jc w:val="right"/>
              <w:rPr>
                <w:rFonts w:ascii="Arial" w:eastAsia="Times New Roman" w:hAnsi="Arial" w:cs="Arial"/>
                <w:b/>
                <w:bCs/>
                <w:color w:val="000000"/>
                <w:sz w:val="18"/>
                <w:szCs w:val="18"/>
                <w:lang w:val="sk-SK" w:eastAsia="sk-SK"/>
              </w:rPr>
            </w:pPr>
          </w:p>
        </w:tc>
        <w:tc>
          <w:tcPr>
            <w:tcW w:w="1886" w:type="dxa"/>
            <w:tcBorders>
              <w:top w:val="single" w:sz="4" w:space="0" w:color="auto"/>
              <w:left w:val="nil"/>
              <w:bottom w:val="double" w:sz="6" w:space="0" w:color="auto"/>
              <w:right w:val="nil"/>
            </w:tcBorders>
            <w:shd w:val="clear" w:color="auto" w:fill="auto"/>
            <w:vAlign w:val="bottom"/>
          </w:tcPr>
          <w:p w14:paraId="460F23C9" w14:textId="3518788E" w:rsidR="001C6C15" w:rsidRPr="00226892" w:rsidRDefault="001C6C15" w:rsidP="001C6C1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1 927</w:t>
            </w:r>
          </w:p>
        </w:tc>
      </w:tr>
      <w:tr w:rsidR="001C6C15" w:rsidRPr="00226892" w14:paraId="5D06A9B8" w14:textId="77777777" w:rsidTr="00F14DB5">
        <w:trPr>
          <w:trHeight w:val="227"/>
        </w:trPr>
        <w:tc>
          <w:tcPr>
            <w:tcW w:w="4830" w:type="dxa"/>
            <w:tcBorders>
              <w:top w:val="nil"/>
              <w:left w:val="nil"/>
              <w:bottom w:val="nil"/>
              <w:right w:val="nil"/>
            </w:tcBorders>
            <w:shd w:val="clear" w:color="auto" w:fill="auto"/>
            <w:noWrap/>
            <w:vAlign w:val="bottom"/>
            <w:hideMark/>
          </w:tcPr>
          <w:p w14:paraId="03873E61" w14:textId="77777777" w:rsidR="001C6C15" w:rsidRPr="00226892" w:rsidRDefault="001C6C15" w:rsidP="001C6C15">
            <w:pPr>
              <w:rPr>
                <w:rFonts w:ascii="Arial" w:eastAsia="Times New Roman" w:hAnsi="Arial" w:cs="Arial"/>
                <w:color w:val="000000"/>
                <w:sz w:val="18"/>
                <w:szCs w:val="18"/>
                <w:lang w:val="sk-SK" w:eastAsia="sk-SK"/>
              </w:rPr>
            </w:pPr>
          </w:p>
        </w:tc>
        <w:tc>
          <w:tcPr>
            <w:tcW w:w="602" w:type="dxa"/>
            <w:tcBorders>
              <w:top w:val="nil"/>
              <w:left w:val="nil"/>
              <w:bottom w:val="nil"/>
              <w:right w:val="nil"/>
            </w:tcBorders>
            <w:shd w:val="clear" w:color="auto" w:fill="auto"/>
            <w:noWrap/>
            <w:vAlign w:val="bottom"/>
            <w:hideMark/>
          </w:tcPr>
          <w:p w14:paraId="7670C2A3" w14:textId="77777777" w:rsidR="001C6C15" w:rsidRPr="00226892" w:rsidRDefault="001C6C15" w:rsidP="001C6C15">
            <w:pPr>
              <w:rPr>
                <w:rFonts w:ascii="Arial" w:eastAsia="Times New Roman" w:hAnsi="Arial" w:cs="Arial"/>
                <w:sz w:val="18"/>
                <w:szCs w:val="18"/>
                <w:lang w:val="sk-SK" w:eastAsia="sk-SK"/>
              </w:rPr>
            </w:pPr>
          </w:p>
        </w:tc>
        <w:tc>
          <w:tcPr>
            <w:tcW w:w="196" w:type="dxa"/>
            <w:tcBorders>
              <w:top w:val="nil"/>
              <w:left w:val="nil"/>
              <w:bottom w:val="nil"/>
              <w:right w:val="nil"/>
            </w:tcBorders>
            <w:shd w:val="clear" w:color="auto" w:fill="auto"/>
            <w:noWrap/>
            <w:vAlign w:val="bottom"/>
            <w:hideMark/>
          </w:tcPr>
          <w:p w14:paraId="5EE7D848" w14:textId="77777777" w:rsidR="001C6C15" w:rsidRPr="00226892" w:rsidRDefault="001C6C15" w:rsidP="001C6C15">
            <w:pPr>
              <w:rPr>
                <w:rFonts w:ascii="Arial" w:eastAsia="Times New Roman" w:hAnsi="Arial" w:cs="Arial"/>
                <w:sz w:val="18"/>
                <w:szCs w:val="18"/>
                <w:lang w:val="sk-SK" w:eastAsia="sk-SK"/>
              </w:rPr>
            </w:pPr>
          </w:p>
        </w:tc>
        <w:tc>
          <w:tcPr>
            <w:tcW w:w="1926" w:type="dxa"/>
            <w:tcBorders>
              <w:top w:val="double" w:sz="4" w:space="0" w:color="auto"/>
              <w:left w:val="nil"/>
              <w:bottom w:val="nil"/>
              <w:right w:val="nil"/>
            </w:tcBorders>
            <w:shd w:val="clear" w:color="auto" w:fill="auto"/>
            <w:vAlign w:val="bottom"/>
          </w:tcPr>
          <w:p w14:paraId="7F611FBD" w14:textId="77777777" w:rsidR="001C6C15" w:rsidRPr="00226892" w:rsidRDefault="001C6C15" w:rsidP="001C6C15">
            <w:pPr>
              <w:jc w:val="right"/>
              <w:rPr>
                <w:rFonts w:ascii="Arial" w:eastAsia="Times New Roman" w:hAnsi="Arial" w:cs="Arial"/>
                <w:sz w:val="18"/>
                <w:szCs w:val="18"/>
                <w:lang w:val="sk-SK" w:eastAsia="sk-SK"/>
              </w:rPr>
            </w:pPr>
          </w:p>
        </w:tc>
        <w:tc>
          <w:tcPr>
            <w:tcW w:w="191" w:type="dxa"/>
            <w:tcBorders>
              <w:top w:val="nil"/>
              <w:left w:val="nil"/>
              <w:bottom w:val="nil"/>
              <w:right w:val="nil"/>
            </w:tcBorders>
            <w:shd w:val="clear" w:color="auto" w:fill="auto"/>
            <w:vAlign w:val="bottom"/>
          </w:tcPr>
          <w:p w14:paraId="4C0B90D8" w14:textId="77777777" w:rsidR="001C6C15" w:rsidRPr="00226892" w:rsidRDefault="001C6C15" w:rsidP="001C6C15">
            <w:pPr>
              <w:jc w:val="right"/>
              <w:rPr>
                <w:rFonts w:ascii="Arial" w:eastAsia="Times New Roman" w:hAnsi="Arial" w:cs="Arial"/>
                <w:sz w:val="18"/>
                <w:szCs w:val="18"/>
                <w:lang w:val="sk-SK" w:eastAsia="sk-SK"/>
              </w:rPr>
            </w:pPr>
          </w:p>
        </w:tc>
        <w:tc>
          <w:tcPr>
            <w:tcW w:w="1886" w:type="dxa"/>
            <w:tcBorders>
              <w:top w:val="double" w:sz="4" w:space="0" w:color="auto"/>
              <w:left w:val="nil"/>
              <w:bottom w:val="nil"/>
              <w:right w:val="nil"/>
            </w:tcBorders>
            <w:shd w:val="clear" w:color="auto" w:fill="auto"/>
            <w:vAlign w:val="bottom"/>
          </w:tcPr>
          <w:p w14:paraId="72C0799E" w14:textId="77777777" w:rsidR="001C6C15" w:rsidRPr="00226892" w:rsidRDefault="001C6C15" w:rsidP="001C6C15">
            <w:pPr>
              <w:jc w:val="right"/>
              <w:rPr>
                <w:rFonts w:ascii="Arial" w:eastAsia="Times New Roman" w:hAnsi="Arial" w:cs="Arial"/>
                <w:sz w:val="18"/>
                <w:szCs w:val="18"/>
                <w:lang w:val="sk-SK" w:eastAsia="sk-SK"/>
              </w:rPr>
            </w:pPr>
          </w:p>
        </w:tc>
      </w:tr>
      <w:tr w:rsidR="001C6C15" w:rsidRPr="00226892" w14:paraId="0BC8A79F" w14:textId="77777777" w:rsidTr="00122BD0">
        <w:trPr>
          <w:trHeight w:val="227"/>
        </w:trPr>
        <w:tc>
          <w:tcPr>
            <w:tcW w:w="4830" w:type="dxa"/>
            <w:tcBorders>
              <w:top w:val="nil"/>
              <w:left w:val="nil"/>
              <w:bottom w:val="nil"/>
              <w:right w:val="nil"/>
            </w:tcBorders>
            <w:shd w:val="clear" w:color="auto" w:fill="auto"/>
            <w:noWrap/>
            <w:vAlign w:val="bottom"/>
          </w:tcPr>
          <w:p w14:paraId="3CE8F3EC" w14:textId="77777777" w:rsidR="00E55854" w:rsidRPr="00226892" w:rsidRDefault="00E55854" w:rsidP="00E55854">
            <w:pPr>
              <w:ind w:left="-44" w:hanging="28"/>
              <w:rPr>
                <w:rFonts w:ascii="Arial" w:eastAsia="Times New Roman" w:hAnsi="Arial" w:cs="Arial"/>
                <w:bCs/>
                <w:i/>
                <w:color w:val="000000"/>
                <w:sz w:val="18"/>
                <w:szCs w:val="18"/>
                <w:lang w:eastAsia="sk-SK"/>
              </w:rPr>
            </w:pPr>
            <w:proofErr w:type="spellStart"/>
            <w:r w:rsidRPr="00226892">
              <w:rPr>
                <w:rFonts w:ascii="Arial" w:eastAsia="Times New Roman" w:hAnsi="Arial" w:cs="Arial"/>
                <w:b/>
                <w:bCs/>
                <w:color w:val="000000"/>
                <w:sz w:val="18"/>
                <w:szCs w:val="18"/>
                <w:lang w:eastAsia="sk-SK"/>
              </w:rPr>
              <w:t>Iný</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súhrnný</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zisk</w:t>
            </w:r>
            <w:proofErr w:type="spellEnd"/>
            <w:proofErr w:type="gramStart"/>
            <w:r w:rsidRPr="00226892">
              <w:rPr>
                <w:rFonts w:ascii="Arial" w:eastAsia="Times New Roman" w:hAnsi="Arial" w:cs="Arial"/>
                <w:b/>
                <w:bCs/>
                <w:color w:val="000000"/>
                <w:sz w:val="18"/>
                <w:szCs w:val="18"/>
                <w:lang w:eastAsia="sk-SK"/>
              </w:rPr>
              <w:t>/(</w:t>
            </w:r>
            <w:proofErr w:type="gramEnd"/>
            <w:r w:rsidRPr="00226892">
              <w:rPr>
                <w:rFonts w:ascii="Arial" w:eastAsia="Times New Roman" w:hAnsi="Arial" w:cs="Arial"/>
                <w:b/>
                <w:bCs/>
                <w:color w:val="000000"/>
                <w:sz w:val="18"/>
                <w:szCs w:val="18"/>
                <w:lang w:eastAsia="sk-SK"/>
              </w:rPr>
              <w:t>-) strata</w:t>
            </w:r>
            <w:r w:rsidRPr="00226892">
              <w:rPr>
                <w:rFonts w:ascii="Arial" w:eastAsia="Times New Roman" w:hAnsi="Arial" w:cs="Arial"/>
                <w:bCs/>
                <w:i/>
                <w:color w:val="000000"/>
                <w:sz w:val="18"/>
                <w:szCs w:val="18"/>
                <w:lang w:eastAsia="sk-SK"/>
              </w:rPr>
              <w:t xml:space="preserve"> </w:t>
            </w:r>
          </w:p>
          <w:p w14:paraId="6FEB9CBD" w14:textId="77777777" w:rsidR="00E55854" w:rsidRPr="00226892" w:rsidRDefault="00E55854" w:rsidP="001C6C15">
            <w:pPr>
              <w:rPr>
                <w:rFonts w:ascii="Arial" w:eastAsia="Times New Roman" w:hAnsi="Arial" w:cs="Arial"/>
                <w:bCs/>
                <w:i/>
                <w:color w:val="000000"/>
                <w:sz w:val="18"/>
                <w:szCs w:val="18"/>
                <w:lang w:val="sk-SK" w:eastAsia="sk-SK"/>
              </w:rPr>
            </w:pPr>
          </w:p>
          <w:p w14:paraId="37AE92A7" w14:textId="24691F89" w:rsidR="001C6C15" w:rsidRPr="00226892" w:rsidRDefault="001C6C15" w:rsidP="001C6C15">
            <w:pPr>
              <w:rPr>
                <w:rFonts w:ascii="Arial" w:eastAsia="Times New Roman" w:hAnsi="Arial" w:cs="Arial"/>
                <w:bCs/>
                <w:i/>
                <w:color w:val="000000"/>
                <w:sz w:val="18"/>
                <w:szCs w:val="18"/>
                <w:lang w:val="sk-SK" w:eastAsia="sk-SK"/>
              </w:rPr>
            </w:pPr>
            <w:r w:rsidRPr="00226892">
              <w:rPr>
                <w:rFonts w:ascii="Arial" w:eastAsia="Times New Roman" w:hAnsi="Arial" w:cs="Arial"/>
                <w:bCs/>
                <w:i/>
                <w:color w:val="000000"/>
                <w:sz w:val="18"/>
                <w:szCs w:val="18"/>
                <w:lang w:val="sk-SK" w:eastAsia="sk-SK"/>
              </w:rPr>
              <w:t xml:space="preserve">Položky, ktoré </w:t>
            </w:r>
            <w:r w:rsidRPr="00226892">
              <w:rPr>
                <w:rFonts w:ascii="Arial" w:eastAsia="Times New Roman" w:hAnsi="Arial" w:cs="Arial"/>
                <w:bCs/>
                <w:i/>
                <w:color w:val="000000"/>
                <w:sz w:val="18"/>
                <w:szCs w:val="18"/>
                <w:lang w:val="en-US" w:eastAsia="sk-SK"/>
              </w:rPr>
              <w:t>m</w:t>
            </w:r>
            <w:proofErr w:type="spellStart"/>
            <w:r w:rsidRPr="00226892">
              <w:rPr>
                <w:rFonts w:ascii="Arial" w:eastAsia="Times New Roman" w:hAnsi="Arial" w:cs="Arial"/>
                <w:bCs/>
                <w:i/>
                <w:color w:val="000000"/>
                <w:sz w:val="18"/>
                <w:szCs w:val="18"/>
                <w:lang w:val="sk-SK" w:eastAsia="sk-SK"/>
              </w:rPr>
              <w:t>ôžu</w:t>
            </w:r>
            <w:proofErr w:type="spellEnd"/>
            <w:r w:rsidRPr="00226892">
              <w:rPr>
                <w:rFonts w:ascii="Arial" w:eastAsia="Times New Roman" w:hAnsi="Arial" w:cs="Arial"/>
                <w:bCs/>
                <w:i/>
                <w:color w:val="000000"/>
                <w:sz w:val="18"/>
                <w:szCs w:val="18"/>
                <w:lang w:val="sk-SK" w:eastAsia="sk-SK"/>
              </w:rPr>
              <w:t xml:space="preserve"> byť následne preradené do výkazu ziskov a strát</w:t>
            </w:r>
          </w:p>
        </w:tc>
        <w:tc>
          <w:tcPr>
            <w:tcW w:w="602" w:type="dxa"/>
            <w:tcBorders>
              <w:top w:val="nil"/>
              <w:left w:val="nil"/>
              <w:bottom w:val="nil"/>
              <w:right w:val="nil"/>
            </w:tcBorders>
            <w:shd w:val="clear" w:color="auto" w:fill="auto"/>
            <w:noWrap/>
            <w:vAlign w:val="bottom"/>
          </w:tcPr>
          <w:p w14:paraId="3F3CE317" w14:textId="77777777" w:rsidR="001C6C15" w:rsidRPr="00226892" w:rsidRDefault="001C6C15" w:rsidP="001C6C15">
            <w:pPr>
              <w:rPr>
                <w:rFonts w:ascii="Arial" w:eastAsia="Times New Roman" w:hAnsi="Arial" w:cs="Arial"/>
                <w:b/>
                <w:bCs/>
                <w:color w:val="000000"/>
                <w:sz w:val="18"/>
                <w:szCs w:val="18"/>
                <w:lang w:val="sk-SK" w:eastAsia="sk-SK"/>
              </w:rPr>
            </w:pPr>
          </w:p>
        </w:tc>
        <w:tc>
          <w:tcPr>
            <w:tcW w:w="196" w:type="dxa"/>
            <w:tcBorders>
              <w:top w:val="nil"/>
              <w:left w:val="nil"/>
              <w:bottom w:val="nil"/>
              <w:right w:val="nil"/>
            </w:tcBorders>
            <w:shd w:val="clear" w:color="auto" w:fill="auto"/>
            <w:noWrap/>
            <w:vAlign w:val="bottom"/>
          </w:tcPr>
          <w:p w14:paraId="1DE0BBB4" w14:textId="77777777" w:rsidR="001C6C15" w:rsidRPr="00226892" w:rsidRDefault="001C6C15" w:rsidP="001C6C15">
            <w:pPr>
              <w:rPr>
                <w:rFonts w:ascii="Arial" w:eastAsia="Times New Roman" w:hAnsi="Arial" w:cs="Arial"/>
                <w:sz w:val="18"/>
                <w:szCs w:val="18"/>
                <w:lang w:val="sk-SK" w:eastAsia="sk-SK"/>
              </w:rPr>
            </w:pPr>
          </w:p>
        </w:tc>
        <w:tc>
          <w:tcPr>
            <w:tcW w:w="1926" w:type="dxa"/>
            <w:tcBorders>
              <w:top w:val="nil"/>
              <w:left w:val="nil"/>
              <w:bottom w:val="nil"/>
              <w:right w:val="nil"/>
            </w:tcBorders>
            <w:shd w:val="clear" w:color="auto" w:fill="auto"/>
            <w:vAlign w:val="bottom"/>
          </w:tcPr>
          <w:p w14:paraId="518DB3C5" w14:textId="77777777" w:rsidR="001C6C15" w:rsidRPr="00226892" w:rsidRDefault="001C6C15" w:rsidP="001C6C15">
            <w:pPr>
              <w:jc w:val="right"/>
              <w:rPr>
                <w:rFonts w:ascii="Arial" w:eastAsia="Times New Roman" w:hAnsi="Arial" w:cs="Arial"/>
                <w:sz w:val="18"/>
                <w:szCs w:val="18"/>
                <w:lang w:val="sk-SK" w:eastAsia="sk-SK"/>
              </w:rPr>
            </w:pPr>
          </w:p>
        </w:tc>
        <w:tc>
          <w:tcPr>
            <w:tcW w:w="191" w:type="dxa"/>
            <w:tcBorders>
              <w:top w:val="nil"/>
              <w:left w:val="nil"/>
              <w:bottom w:val="nil"/>
              <w:right w:val="nil"/>
            </w:tcBorders>
            <w:shd w:val="clear" w:color="auto" w:fill="auto"/>
            <w:vAlign w:val="bottom"/>
          </w:tcPr>
          <w:p w14:paraId="44365C11" w14:textId="77777777" w:rsidR="001C6C15" w:rsidRPr="00226892" w:rsidRDefault="001C6C15" w:rsidP="001C6C15">
            <w:pPr>
              <w:jc w:val="right"/>
              <w:rPr>
                <w:rFonts w:ascii="Arial" w:eastAsia="Times New Roman" w:hAnsi="Arial" w:cs="Arial"/>
                <w:sz w:val="18"/>
                <w:szCs w:val="18"/>
                <w:lang w:val="sk-SK" w:eastAsia="sk-SK"/>
              </w:rPr>
            </w:pPr>
          </w:p>
        </w:tc>
        <w:tc>
          <w:tcPr>
            <w:tcW w:w="1886" w:type="dxa"/>
            <w:tcBorders>
              <w:top w:val="nil"/>
              <w:left w:val="nil"/>
              <w:bottom w:val="nil"/>
              <w:right w:val="nil"/>
            </w:tcBorders>
            <w:shd w:val="clear" w:color="auto" w:fill="auto"/>
            <w:vAlign w:val="bottom"/>
          </w:tcPr>
          <w:p w14:paraId="7476C74C" w14:textId="77777777" w:rsidR="001C6C15" w:rsidRPr="00226892" w:rsidRDefault="001C6C15" w:rsidP="001C6C15">
            <w:pPr>
              <w:jc w:val="right"/>
              <w:rPr>
                <w:rFonts w:ascii="Arial" w:eastAsia="Times New Roman" w:hAnsi="Arial" w:cs="Arial"/>
                <w:sz w:val="18"/>
                <w:szCs w:val="18"/>
                <w:lang w:val="sk-SK" w:eastAsia="sk-SK"/>
              </w:rPr>
            </w:pPr>
          </w:p>
        </w:tc>
      </w:tr>
      <w:tr w:rsidR="001C6C15" w:rsidRPr="00226892" w14:paraId="3DE7E036" w14:textId="77777777" w:rsidTr="001C6C15">
        <w:trPr>
          <w:trHeight w:val="227"/>
        </w:trPr>
        <w:tc>
          <w:tcPr>
            <w:tcW w:w="4830" w:type="dxa"/>
            <w:tcBorders>
              <w:top w:val="nil"/>
              <w:left w:val="nil"/>
              <w:bottom w:val="nil"/>
              <w:right w:val="nil"/>
            </w:tcBorders>
            <w:shd w:val="clear" w:color="auto" w:fill="auto"/>
            <w:noWrap/>
            <w:vAlign w:val="bottom"/>
          </w:tcPr>
          <w:p w14:paraId="78C51F82" w14:textId="71D96E6A" w:rsidR="001C6C15" w:rsidRPr="00226892" w:rsidRDefault="001C6C15" w:rsidP="001C6C15">
            <w:pPr>
              <w:rPr>
                <w:rFonts w:ascii="Arial" w:eastAsia="Times New Roman" w:hAnsi="Arial" w:cs="Arial"/>
                <w:color w:val="000000"/>
                <w:sz w:val="18"/>
                <w:szCs w:val="18"/>
                <w:lang w:val="sk-SK" w:eastAsia="sk-SK"/>
              </w:rPr>
            </w:pPr>
          </w:p>
        </w:tc>
        <w:tc>
          <w:tcPr>
            <w:tcW w:w="602" w:type="dxa"/>
            <w:tcBorders>
              <w:top w:val="nil"/>
              <w:left w:val="nil"/>
              <w:bottom w:val="nil"/>
              <w:right w:val="nil"/>
            </w:tcBorders>
            <w:shd w:val="clear" w:color="auto" w:fill="auto"/>
            <w:noWrap/>
            <w:vAlign w:val="bottom"/>
          </w:tcPr>
          <w:p w14:paraId="3D56BE6E" w14:textId="77777777" w:rsidR="001C6C15" w:rsidRPr="00226892" w:rsidRDefault="001C6C15" w:rsidP="001C6C15">
            <w:pPr>
              <w:rPr>
                <w:rFonts w:ascii="Arial" w:eastAsia="Times New Roman" w:hAnsi="Arial" w:cs="Arial"/>
                <w:color w:val="000000"/>
                <w:sz w:val="18"/>
                <w:szCs w:val="18"/>
                <w:lang w:val="sk-SK" w:eastAsia="sk-SK"/>
              </w:rPr>
            </w:pPr>
          </w:p>
        </w:tc>
        <w:tc>
          <w:tcPr>
            <w:tcW w:w="196" w:type="dxa"/>
            <w:tcBorders>
              <w:top w:val="nil"/>
              <w:left w:val="nil"/>
              <w:bottom w:val="nil"/>
              <w:right w:val="nil"/>
            </w:tcBorders>
            <w:shd w:val="clear" w:color="auto" w:fill="auto"/>
            <w:noWrap/>
            <w:vAlign w:val="bottom"/>
          </w:tcPr>
          <w:p w14:paraId="43D453B5" w14:textId="77777777" w:rsidR="001C6C15" w:rsidRPr="00226892" w:rsidRDefault="001C6C15" w:rsidP="001C6C15">
            <w:pPr>
              <w:rPr>
                <w:rFonts w:ascii="Arial" w:eastAsia="Times New Roman" w:hAnsi="Arial" w:cs="Arial"/>
                <w:sz w:val="18"/>
                <w:szCs w:val="18"/>
                <w:lang w:val="sk-SK" w:eastAsia="sk-SK"/>
              </w:rPr>
            </w:pPr>
          </w:p>
        </w:tc>
        <w:tc>
          <w:tcPr>
            <w:tcW w:w="1926" w:type="dxa"/>
            <w:tcBorders>
              <w:top w:val="nil"/>
              <w:left w:val="nil"/>
              <w:bottom w:val="nil"/>
              <w:right w:val="nil"/>
            </w:tcBorders>
            <w:shd w:val="clear" w:color="auto" w:fill="auto"/>
            <w:vAlign w:val="bottom"/>
          </w:tcPr>
          <w:p w14:paraId="439C271D" w14:textId="76E95E74" w:rsidR="001C6C15" w:rsidRPr="00226892" w:rsidRDefault="001C6C15" w:rsidP="001C6C15">
            <w:pPr>
              <w:jc w:val="right"/>
              <w:rPr>
                <w:rFonts w:ascii="Arial" w:eastAsia="Times New Roman" w:hAnsi="Arial" w:cs="Arial"/>
                <w:sz w:val="18"/>
                <w:szCs w:val="18"/>
                <w:lang w:val="sk-SK" w:eastAsia="sk-SK"/>
              </w:rPr>
            </w:pPr>
          </w:p>
        </w:tc>
        <w:tc>
          <w:tcPr>
            <w:tcW w:w="191" w:type="dxa"/>
            <w:tcBorders>
              <w:top w:val="nil"/>
              <w:left w:val="nil"/>
              <w:bottom w:val="nil"/>
              <w:right w:val="nil"/>
            </w:tcBorders>
            <w:shd w:val="clear" w:color="auto" w:fill="auto"/>
            <w:vAlign w:val="bottom"/>
          </w:tcPr>
          <w:p w14:paraId="58954DA3" w14:textId="77777777" w:rsidR="001C6C15" w:rsidRPr="00226892" w:rsidRDefault="001C6C15" w:rsidP="001C6C15">
            <w:pPr>
              <w:jc w:val="right"/>
              <w:rPr>
                <w:rFonts w:ascii="Arial" w:eastAsia="Times New Roman" w:hAnsi="Arial" w:cs="Arial"/>
                <w:sz w:val="18"/>
                <w:szCs w:val="18"/>
                <w:lang w:val="sk-SK" w:eastAsia="sk-SK"/>
              </w:rPr>
            </w:pPr>
          </w:p>
        </w:tc>
        <w:tc>
          <w:tcPr>
            <w:tcW w:w="1886" w:type="dxa"/>
            <w:tcBorders>
              <w:top w:val="nil"/>
              <w:left w:val="nil"/>
              <w:bottom w:val="nil"/>
              <w:right w:val="nil"/>
            </w:tcBorders>
            <w:shd w:val="clear" w:color="auto" w:fill="auto"/>
            <w:vAlign w:val="bottom"/>
          </w:tcPr>
          <w:p w14:paraId="72D058B4" w14:textId="039143F9" w:rsidR="001C6C15" w:rsidRPr="00226892" w:rsidRDefault="001C6C15" w:rsidP="001C6C15">
            <w:pPr>
              <w:jc w:val="right"/>
              <w:rPr>
                <w:rFonts w:ascii="Arial" w:eastAsia="Times New Roman" w:hAnsi="Arial" w:cs="Arial"/>
                <w:color w:val="000000"/>
                <w:sz w:val="18"/>
                <w:szCs w:val="18"/>
                <w:lang w:val="sk-SK" w:eastAsia="sk-SK"/>
              </w:rPr>
            </w:pPr>
          </w:p>
        </w:tc>
      </w:tr>
      <w:tr w:rsidR="001C6C15" w:rsidRPr="00226892" w14:paraId="1C7A05F2" w14:textId="77777777" w:rsidTr="00F14DB5">
        <w:trPr>
          <w:trHeight w:val="227"/>
        </w:trPr>
        <w:tc>
          <w:tcPr>
            <w:tcW w:w="4830" w:type="dxa"/>
            <w:tcBorders>
              <w:top w:val="nil"/>
              <w:left w:val="nil"/>
              <w:bottom w:val="nil"/>
              <w:right w:val="nil"/>
            </w:tcBorders>
            <w:shd w:val="clear" w:color="auto" w:fill="auto"/>
            <w:noWrap/>
            <w:vAlign w:val="bottom"/>
            <w:hideMark/>
          </w:tcPr>
          <w:p w14:paraId="568B97EA" w14:textId="77777777" w:rsidR="001C6C15" w:rsidRPr="00226892" w:rsidRDefault="001C6C15" w:rsidP="001C6C1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Vplyv prepočtu zahraničných dcérskych spoločností</w:t>
            </w:r>
          </w:p>
        </w:tc>
        <w:tc>
          <w:tcPr>
            <w:tcW w:w="602" w:type="dxa"/>
            <w:tcBorders>
              <w:top w:val="nil"/>
              <w:left w:val="nil"/>
              <w:bottom w:val="nil"/>
              <w:right w:val="nil"/>
            </w:tcBorders>
            <w:shd w:val="clear" w:color="auto" w:fill="auto"/>
            <w:noWrap/>
            <w:vAlign w:val="bottom"/>
            <w:hideMark/>
          </w:tcPr>
          <w:p w14:paraId="444FD6A1" w14:textId="77777777" w:rsidR="001C6C15" w:rsidRPr="00226892" w:rsidRDefault="001C6C15" w:rsidP="001C6C15">
            <w:pPr>
              <w:rPr>
                <w:rFonts w:ascii="Arial" w:eastAsia="Times New Roman" w:hAnsi="Arial" w:cs="Arial"/>
                <w:color w:val="000000"/>
                <w:sz w:val="18"/>
                <w:szCs w:val="18"/>
                <w:lang w:val="sk-SK" w:eastAsia="sk-SK"/>
              </w:rPr>
            </w:pPr>
          </w:p>
        </w:tc>
        <w:tc>
          <w:tcPr>
            <w:tcW w:w="196" w:type="dxa"/>
            <w:tcBorders>
              <w:top w:val="nil"/>
              <w:left w:val="nil"/>
              <w:bottom w:val="nil"/>
              <w:right w:val="nil"/>
            </w:tcBorders>
            <w:shd w:val="clear" w:color="auto" w:fill="auto"/>
            <w:noWrap/>
            <w:vAlign w:val="bottom"/>
            <w:hideMark/>
          </w:tcPr>
          <w:p w14:paraId="45E9CA89" w14:textId="77777777" w:rsidR="001C6C15" w:rsidRPr="00226892" w:rsidRDefault="001C6C15" w:rsidP="001C6C15">
            <w:pPr>
              <w:rPr>
                <w:rFonts w:ascii="Arial" w:eastAsia="Times New Roman" w:hAnsi="Arial" w:cs="Arial"/>
                <w:sz w:val="18"/>
                <w:szCs w:val="18"/>
                <w:lang w:val="sk-SK" w:eastAsia="sk-SK"/>
              </w:rPr>
            </w:pPr>
          </w:p>
        </w:tc>
        <w:tc>
          <w:tcPr>
            <w:tcW w:w="1926" w:type="dxa"/>
            <w:tcBorders>
              <w:top w:val="nil"/>
              <w:left w:val="nil"/>
              <w:bottom w:val="nil"/>
              <w:right w:val="nil"/>
            </w:tcBorders>
            <w:shd w:val="clear" w:color="auto" w:fill="auto"/>
            <w:vAlign w:val="bottom"/>
          </w:tcPr>
          <w:p w14:paraId="350BC0C3" w14:textId="06D5A952" w:rsidR="001C6C15" w:rsidRPr="00226892" w:rsidRDefault="001C6C15" w:rsidP="001C6C15">
            <w:pPr>
              <w:jc w:val="right"/>
              <w:rPr>
                <w:rFonts w:ascii="Arial" w:eastAsia="Times New Roman" w:hAnsi="Arial" w:cs="Arial"/>
                <w:sz w:val="18"/>
                <w:szCs w:val="18"/>
                <w:lang w:val="sk-SK" w:eastAsia="sk-SK"/>
              </w:rPr>
            </w:pPr>
            <w:r w:rsidRPr="00226892">
              <w:rPr>
                <w:rFonts w:ascii="Arial" w:eastAsia="Times New Roman" w:hAnsi="Arial" w:cs="Arial"/>
                <w:sz w:val="18"/>
                <w:szCs w:val="18"/>
                <w:lang w:val="sk-SK" w:eastAsia="sk-SK"/>
              </w:rPr>
              <w:t>-24</w:t>
            </w:r>
          </w:p>
        </w:tc>
        <w:tc>
          <w:tcPr>
            <w:tcW w:w="191" w:type="dxa"/>
            <w:tcBorders>
              <w:top w:val="nil"/>
              <w:left w:val="nil"/>
              <w:bottom w:val="nil"/>
              <w:right w:val="nil"/>
            </w:tcBorders>
            <w:shd w:val="clear" w:color="auto" w:fill="auto"/>
            <w:vAlign w:val="bottom"/>
          </w:tcPr>
          <w:p w14:paraId="1EEECE43" w14:textId="77777777" w:rsidR="001C6C15" w:rsidRPr="00226892" w:rsidRDefault="001C6C15" w:rsidP="001C6C15">
            <w:pPr>
              <w:jc w:val="right"/>
              <w:rPr>
                <w:rFonts w:ascii="Arial" w:eastAsia="Times New Roman" w:hAnsi="Arial" w:cs="Arial"/>
                <w:sz w:val="18"/>
                <w:szCs w:val="18"/>
                <w:lang w:val="sk-SK" w:eastAsia="sk-SK"/>
              </w:rPr>
            </w:pPr>
          </w:p>
        </w:tc>
        <w:tc>
          <w:tcPr>
            <w:tcW w:w="1886" w:type="dxa"/>
            <w:tcBorders>
              <w:top w:val="nil"/>
              <w:left w:val="nil"/>
              <w:bottom w:val="nil"/>
              <w:right w:val="nil"/>
            </w:tcBorders>
            <w:shd w:val="clear" w:color="auto" w:fill="auto"/>
            <w:vAlign w:val="bottom"/>
          </w:tcPr>
          <w:p w14:paraId="4A6B9683" w14:textId="4DCD5813" w:rsidR="001C6C15" w:rsidRPr="00226892" w:rsidRDefault="001C6C15" w:rsidP="001C6C15">
            <w:pPr>
              <w:jc w:val="right"/>
              <w:rPr>
                <w:rFonts w:ascii="Arial" w:eastAsia="Times New Roman" w:hAnsi="Arial" w:cs="Arial"/>
                <w:color w:val="000000"/>
                <w:sz w:val="18"/>
                <w:szCs w:val="18"/>
                <w:lang w:val="sk-SK" w:eastAsia="sk-SK"/>
              </w:rPr>
            </w:pPr>
            <w:r w:rsidRPr="00226892">
              <w:rPr>
                <w:rFonts w:ascii="Arial" w:eastAsia="Times New Roman" w:hAnsi="Arial" w:cs="Arial"/>
                <w:sz w:val="18"/>
                <w:szCs w:val="18"/>
                <w:lang w:val="sk-SK" w:eastAsia="sk-SK"/>
              </w:rPr>
              <w:t>161</w:t>
            </w:r>
          </w:p>
        </w:tc>
      </w:tr>
      <w:tr w:rsidR="001C6C15" w:rsidRPr="00226892" w14:paraId="2376739C" w14:textId="77777777" w:rsidTr="00F14DB5">
        <w:trPr>
          <w:trHeight w:val="227"/>
        </w:trPr>
        <w:tc>
          <w:tcPr>
            <w:tcW w:w="4830" w:type="dxa"/>
            <w:tcBorders>
              <w:top w:val="nil"/>
              <w:left w:val="nil"/>
              <w:bottom w:val="nil"/>
              <w:right w:val="nil"/>
            </w:tcBorders>
            <w:shd w:val="clear" w:color="auto" w:fill="auto"/>
            <w:noWrap/>
            <w:vAlign w:val="bottom"/>
            <w:hideMark/>
          </w:tcPr>
          <w:p w14:paraId="1042CD0A" w14:textId="77777777" w:rsidR="001C6C15" w:rsidRPr="00226892" w:rsidRDefault="001C6C15" w:rsidP="001C6C1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Ostatné</w:t>
            </w:r>
          </w:p>
        </w:tc>
        <w:tc>
          <w:tcPr>
            <w:tcW w:w="602" w:type="dxa"/>
            <w:tcBorders>
              <w:top w:val="nil"/>
              <w:left w:val="nil"/>
              <w:bottom w:val="nil"/>
              <w:right w:val="nil"/>
            </w:tcBorders>
            <w:shd w:val="clear" w:color="auto" w:fill="auto"/>
            <w:noWrap/>
            <w:vAlign w:val="bottom"/>
            <w:hideMark/>
          </w:tcPr>
          <w:p w14:paraId="6DC0ADFB" w14:textId="77777777" w:rsidR="001C6C15" w:rsidRPr="00226892" w:rsidRDefault="001C6C15" w:rsidP="001C6C15">
            <w:pPr>
              <w:rPr>
                <w:rFonts w:ascii="Arial" w:eastAsia="Times New Roman" w:hAnsi="Arial" w:cs="Arial"/>
                <w:color w:val="000000"/>
                <w:sz w:val="18"/>
                <w:szCs w:val="18"/>
                <w:lang w:val="sk-SK" w:eastAsia="sk-SK"/>
              </w:rPr>
            </w:pPr>
          </w:p>
        </w:tc>
        <w:tc>
          <w:tcPr>
            <w:tcW w:w="196" w:type="dxa"/>
            <w:tcBorders>
              <w:top w:val="nil"/>
              <w:left w:val="nil"/>
              <w:bottom w:val="nil"/>
              <w:right w:val="nil"/>
            </w:tcBorders>
            <w:shd w:val="clear" w:color="auto" w:fill="auto"/>
            <w:noWrap/>
            <w:vAlign w:val="bottom"/>
            <w:hideMark/>
          </w:tcPr>
          <w:p w14:paraId="13DF5C9D" w14:textId="77777777" w:rsidR="001C6C15" w:rsidRPr="00226892" w:rsidRDefault="001C6C15" w:rsidP="001C6C15">
            <w:pPr>
              <w:rPr>
                <w:rFonts w:ascii="Arial" w:eastAsia="Times New Roman" w:hAnsi="Arial" w:cs="Arial"/>
                <w:sz w:val="18"/>
                <w:szCs w:val="18"/>
                <w:lang w:val="sk-SK" w:eastAsia="sk-SK"/>
              </w:rPr>
            </w:pPr>
          </w:p>
        </w:tc>
        <w:tc>
          <w:tcPr>
            <w:tcW w:w="1926" w:type="dxa"/>
            <w:tcBorders>
              <w:top w:val="nil"/>
              <w:left w:val="nil"/>
              <w:bottom w:val="nil"/>
              <w:right w:val="nil"/>
            </w:tcBorders>
            <w:shd w:val="clear" w:color="auto" w:fill="auto"/>
            <w:vAlign w:val="bottom"/>
          </w:tcPr>
          <w:p w14:paraId="7AF0B232" w14:textId="59B8ADF6" w:rsidR="001C6C15" w:rsidRPr="00226892" w:rsidRDefault="001C6C15" w:rsidP="001C6C15">
            <w:pPr>
              <w:jc w:val="right"/>
              <w:rPr>
                <w:rFonts w:ascii="Arial" w:eastAsia="Times New Roman" w:hAnsi="Arial" w:cs="Arial"/>
                <w:sz w:val="18"/>
                <w:szCs w:val="18"/>
                <w:lang w:val="sk-SK" w:eastAsia="sk-SK"/>
              </w:rPr>
            </w:pPr>
            <w:r w:rsidRPr="00226892">
              <w:rPr>
                <w:rFonts w:ascii="Arial" w:eastAsia="Times New Roman" w:hAnsi="Arial" w:cs="Arial"/>
                <w:sz w:val="18"/>
                <w:szCs w:val="18"/>
                <w:lang w:val="sk-SK" w:eastAsia="sk-SK"/>
              </w:rPr>
              <w:t>-11</w:t>
            </w:r>
          </w:p>
        </w:tc>
        <w:tc>
          <w:tcPr>
            <w:tcW w:w="191" w:type="dxa"/>
            <w:tcBorders>
              <w:top w:val="nil"/>
              <w:left w:val="nil"/>
              <w:bottom w:val="nil"/>
              <w:right w:val="nil"/>
            </w:tcBorders>
            <w:shd w:val="clear" w:color="auto" w:fill="auto"/>
            <w:vAlign w:val="bottom"/>
          </w:tcPr>
          <w:p w14:paraId="7EF12D15" w14:textId="77777777" w:rsidR="001C6C15" w:rsidRPr="00226892" w:rsidRDefault="001C6C15" w:rsidP="001C6C15">
            <w:pPr>
              <w:jc w:val="right"/>
              <w:rPr>
                <w:rFonts w:ascii="Arial" w:eastAsia="Times New Roman" w:hAnsi="Arial" w:cs="Arial"/>
                <w:sz w:val="18"/>
                <w:szCs w:val="18"/>
                <w:lang w:val="sk-SK" w:eastAsia="sk-SK"/>
              </w:rPr>
            </w:pPr>
          </w:p>
        </w:tc>
        <w:tc>
          <w:tcPr>
            <w:tcW w:w="1886" w:type="dxa"/>
            <w:tcBorders>
              <w:top w:val="nil"/>
              <w:left w:val="nil"/>
              <w:bottom w:val="nil"/>
              <w:right w:val="nil"/>
            </w:tcBorders>
            <w:shd w:val="clear" w:color="auto" w:fill="auto"/>
            <w:vAlign w:val="bottom"/>
          </w:tcPr>
          <w:p w14:paraId="055B87D4" w14:textId="1CF6A723" w:rsidR="001C6C15" w:rsidRPr="00226892" w:rsidRDefault="001C6C15" w:rsidP="001C6C15">
            <w:pPr>
              <w:jc w:val="right"/>
              <w:rPr>
                <w:rFonts w:ascii="Arial" w:eastAsia="Times New Roman" w:hAnsi="Arial" w:cs="Arial"/>
                <w:color w:val="000000"/>
                <w:sz w:val="18"/>
                <w:szCs w:val="18"/>
                <w:lang w:val="sk-SK" w:eastAsia="sk-SK"/>
              </w:rPr>
            </w:pPr>
            <w:r w:rsidRPr="00226892">
              <w:rPr>
                <w:rFonts w:ascii="Arial" w:eastAsia="Times New Roman" w:hAnsi="Arial" w:cs="Arial"/>
                <w:sz w:val="18"/>
                <w:szCs w:val="18"/>
                <w:lang w:val="sk-SK" w:eastAsia="sk-SK"/>
              </w:rPr>
              <w:t>-11</w:t>
            </w:r>
          </w:p>
        </w:tc>
      </w:tr>
      <w:tr w:rsidR="001C6C15" w:rsidRPr="00226892" w14:paraId="1941A50C" w14:textId="77777777" w:rsidTr="00F14DB5">
        <w:trPr>
          <w:trHeight w:val="227"/>
        </w:trPr>
        <w:tc>
          <w:tcPr>
            <w:tcW w:w="4830" w:type="dxa"/>
            <w:tcBorders>
              <w:top w:val="nil"/>
              <w:left w:val="nil"/>
              <w:bottom w:val="nil"/>
              <w:right w:val="nil"/>
            </w:tcBorders>
            <w:shd w:val="clear" w:color="auto" w:fill="auto"/>
            <w:noWrap/>
            <w:vAlign w:val="bottom"/>
            <w:hideMark/>
          </w:tcPr>
          <w:p w14:paraId="123DE5DE" w14:textId="160FE9F7" w:rsidR="001C6C15" w:rsidRPr="00226892" w:rsidRDefault="001C6C15" w:rsidP="001C6C15">
            <w:pPr>
              <w:rPr>
                <w:rFonts w:ascii="Arial" w:eastAsia="Times New Roman" w:hAnsi="Arial" w:cs="Arial"/>
                <w:b/>
                <w:bCs/>
                <w:color w:val="000000"/>
                <w:sz w:val="18"/>
                <w:szCs w:val="18"/>
                <w:lang w:val="sk-SK" w:eastAsia="sk-SK"/>
              </w:rPr>
            </w:pPr>
            <w:proofErr w:type="spellStart"/>
            <w:r w:rsidRPr="00226892">
              <w:rPr>
                <w:rFonts w:ascii="Arial" w:eastAsia="Times New Roman" w:hAnsi="Arial" w:cs="Arial"/>
                <w:b/>
                <w:bCs/>
                <w:color w:val="000000"/>
                <w:sz w:val="18"/>
                <w:szCs w:val="18"/>
                <w:lang w:eastAsia="sk-SK"/>
              </w:rPr>
              <w:t>Iný</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súhrnný</w:t>
            </w:r>
            <w:proofErr w:type="spellEnd"/>
            <w:r w:rsidRPr="00226892">
              <w:rPr>
                <w:rFonts w:ascii="Arial" w:eastAsia="Times New Roman" w:hAnsi="Arial" w:cs="Arial"/>
                <w:b/>
                <w:bCs/>
                <w:color w:val="000000"/>
                <w:sz w:val="18"/>
                <w:szCs w:val="18"/>
                <w:lang w:eastAsia="sk-SK"/>
              </w:rPr>
              <w:t xml:space="preserve"> </w:t>
            </w:r>
            <w:proofErr w:type="spellStart"/>
            <w:r w:rsidR="0049047A" w:rsidRPr="00226892">
              <w:rPr>
                <w:rFonts w:ascii="Arial" w:eastAsia="Times New Roman" w:hAnsi="Arial" w:cs="Arial"/>
                <w:b/>
                <w:bCs/>
                <w:color w:val="000000"/>
                <w:sz w:val="18"/>
                <w:szCs w:val="18"/>
                <w:lang w:eastAsia="sk-SK"/>
              </w:rPr>
              <w:t>zisk</w:t>
            </w:r>
            <w:proofErr w:type="spellEnd"/>
            <w:proofErr w:type="gramStart"/>
            <w:r w:rsidR="00E55854" w:rsidRPr="00226892">
              <w:rPr>
                <w:rFonts w:ascii="Arial" w:eastAsia="Times New Roman" w:hAnsi="Arial" w:cs="Arial"/>
                <w:b/>
                <w:bCs/>
                <w:color w:val="000000"/>
                <w:sz w:val="18"/>
                <w:szCs w:val="18"/>
                <w:lang w:eastAsia="sk-SK"/>
              </w:rPr>
              <w:t>/(</w:t>
            </w:r>
            <w:proofErr w:type="gramEnd"/>
            <w:r w:rsidR="00E55854" w:rsidRPr="00226892">
              <w:rPr>
                <w:rFonts w:ascii="Arial" w:eastAsia="Times New Roman" w:hAnsi="Arial" w:cs="Arial"/>
                <w:b/>
                <w:bCs/>
                <w:color w:val="000000"/>
                <w:sz w:val="18"/>
                <w:szCs w:val="18"/>
                <w:lang w:eastAsia="sk-SK"/>
              </w:rPr>
              <w:t xml:space="preserve">-) strata </w:t>
            </w:r>
            <w:proofErr w:type="spellStart"/>
            <w:r w:rsidR="00E55854" w:rsidRPr="00226892">
              <w:rPr>
                <w:rFonts w:ascii="Arial" w:eastAsia="Times New Roman" w:hAnsi="Arial" w:cs="Arial"/>
                <w:b/>
                <w:bCs/>
                <w:color w:val="000000"/>
                <w:sz w:val="18"/>
                <w:szCs w:val="18"/>
                <w:lang w:eastAsia="sk-SK"/>
              </w:rPr>
              <w:t>spolu</w:t>
            </w:r>
            <w:proofErr w:type="spellEnd"/>
          </w:p>
        </w:tc>
        <w:tc>
          <w:tcPr>
            <w:tcW w:w="602" w:type="dxa"/>
            <w:tcBorders>
              <w:top w:val="nil"/>
              <w:left w:val="nil"/>
              <w:bottom w:val="nil"/>
              <w:right w:val="nil"/>
            </w:tcBorders>
            <w:shd w:val="clear" w:color="auto" w:fill="auto"/>
            <w:noWrap/>
            <w:vAlign w:val="bottom"/>
            <w:hideMark/>
          </w:tcPr>
          <w:p w14:paraId="6BA81FFB" w14:textId="77777777" w:rsidR="001C6C15" w:rsidRPr="00226892" w:rsidRDefault="001C6C15" w:rsidP="001C6C15">
            <w:pPr>
              <w:rPr>
                <w:rFonts w:ascii="Arial" w:eastAsia="Times New Roman" w:hAnsi="Arial" w:cs="Arial"/>
                <w:b/>
                <w:bCs/>
                <w:color w:val="000000"/>
                <w:sz w:val="18"/>
                <w:szCs w:val="18"/>
                <w:lang w:val="sk-SK" w:eastAsia="sk-SK"/>
              </w:rPr>
            </w:pPr>
          </w:p>
        </w:tc>
        <w:tc>
          <w:tcPr>
            <w:tcW w:w="196" w:type="dxa"/>
            <w:tcBorders>
              <w:top w:val="nil"/>
              <w:left w:val="nil"/>
              <w:bottom w:val="nil"/>
              <w:right w:val="nil"/>
            </w:tcBorders>
            <w:shd w:val="clear" w:color="auto" w:fill="auto"/>
            <w:noWrap/>
            <w:vAlign w:val="bottom"/>
            <w:hideMark/>
          </w:tcPr>
          <w:p w14:paraId="2BDFD213" w14:textId="77777777" w:rsidR="001C6C15" w:rsidRPr="00226892" w:rsidRDefault="001C6C15" w:rsidP="001C6C15">
            <w:pPr>
              <w:rPr>
                <w:rFonts w:ascii="Arial" w:eastAsia="Times New Roman" w:hAnsi="Arial" w:cs="Arial"/>
                <w:sz w:val="18"/>
                <w:szCs w:val="18"/>
                <w:lang w:val="sk-SK" w:eastAsia="sk-SK"/>
              </w:rPr>
            </w:pPr>
          </w:p>
        </w:tc>
        <w:tc>
          <w:tcPr>
            <w:tcW w:w="1926" w:type="dxa"/>
            <w:tcBorders>
              <w:top w:val="single" w:sz="4" w:space="0" w:color="auto"/>
              <w:left w:val="nil"/>
              <w:bottom w:val="double" w:sz="6" w:space="0" w:color="auto"/>
              <w:right w:val="nil"/>
            </w:tcBorders>
            <w:shd w:val="clear" w:color="auto" w:fill="auto"/>
            <w:vAlign w:val="bottom"/>
          </w:tcPr>
          <w:p w14:paraId="448B0057" w14:textId="0AFEE4AB" w:rsidR="001C6C15" w:rsidRPr="00226892" w:rsidRDefault="001C6C15" w:rsidP="001C6C1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w:t>
            </w:r>
            <w:r w:rsidR="00B3515D" w:rsidRPr="00226892">
              <w:rPr>
                <w:rFonts w:ascii="Arial" w:eastAsia="Times New Roman" w:hAnsi="Arial" w:cs="Arial"/>
                <w:b/>
                <w:bCs/>
                <w:color w:val="000000"/>
                <w:sz w:val="18"/>
                <w:szCs w:val="18"/>
                <w:lang w:val="sk-SK" w:eastAsia="sk-SK"/>
              </w:rPr>
              <w:t>5</w:t>
            </w:r>
          </w:p>
        </w:tc>
        <w:tc>
          <w:tcPr>
            <w:tcW w:w="191" w:type="dxa"/>
            <w:tcBorders>
              <w:top w:val="nil"/>
              <w:left w:val="nil"/>
              <w:bottom w:val="nil"/>
              <w:right w:val="nil"/>
            </w:tcBorders>
            <w:shd w:val="clear" w:color="auto" w:fill="auto"/>
            <w:vAlign w:val="bottom"/>
          </w:tcPr>
          <w:p w14:paraId="2398D07D" w14:textId="77777777" w:rsidR="001C6C15" w:rsidRPr="00226892" w:rsidRDefault="001C6C15" w:rsidP="001C6C15">
            <w:pPr>
              <w:jc w:val="right"/>
              <w:rPr>
                <w:rFonts w:ascii="Arial" w:eastAsia="Times New Roman" w:hAnsi="Arial" w:cs="Arial"/>
                <w:b/>
                <w:bCs/>
                <w:color w:val="000000"/>
                <w:sz w:val="18"/>
                <w:szCs w:val="18"/>
                <w:lang w:val="sk-SK" w:eastAsia="sk-SK"/>
              </w:rPr>
            </w:pPr>
          </w:p>
        </w:tc>
        <w:tc>
          <w:tcPr>
            <w:tcW w:w="1886" w:type="dxa"/>
            <w:tcBorders>
              <w:top w:val="single" w:sz="4" w:space="0" w:color="auto"/>
              <w:left w:val="nil"/>
              <w:bottom w:val="double" w:sz="6" w:space="0" w:color="auto"/>
              <w:right w:val="nil"/>
            </w:tcBorders>
            <w:shd w:val="clear" w:color="auto" w:fill="auto"/>
            <w:vAlign w:val="bottom"/>
          </w:tcPr>
          <w:p w14:paraId="38831ECE" w14:textId="1710151E" w:rsidR="001C6C15" w:rsidRPr="00226892" w:rsidRDefault="001C6C15" w:rsidP="001C6C1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150</w:t>
            </w:r>
          </w:p>
        </w:tc>
      </w:tr>
      <w:tr w:rsidR="001C6C15" w:rsidRPr="00226892" w14:paraId="274A4F44" w14:textId="77777777" w:rsidTr="00F14DB5">
        <w:trPr>
          <w:trHeight w:val="227"/>
        </w:trPr>
        <w:tc>
          <w:tcPr>
            <w:tcW w:w="4830" w:type="dxa"/>
            <w:tcBorders>
              <w:top w:val="nil"/>
              <w:left w:val="nil"/>
              <w:bottom w:val="nil"/>
              <w:right w:val="nil"/>
            </w:tcBorders>
            <w:shd w:val="clear" w:color="auto" w:fill="auto"/>
            <w:noWrap/>
            <w:vAlign w:val="bottom"/>
            <w:hideMark/>
          </w:tcPr>
          <w:p w14:paraId="06657988" w14:textId="77777777" w:rsidR="001C6C15" w:rsidRPr="00226892" w:rsidRDefault="001C6C15" w:rsidP="001C6C15">
            <w:pPr>
              <w:rPr>
                <w:rFonts w:ascii="Arial" w:eastAsia="Times New Roman" w:hAnsi="Arial" w:cs="Arial"/>
                <w:b/>
                <w:bCs/>
                <w:color w:val="000000"/>
                <w:sz w:val="18"/>
                <w:szCs w:val="18"/>
                <w:lang w:val="sk-SK" w:eastAsia="sk-SK"/>
              </w:rPr>
            </w:pPr>
          </w:p>
        </w:tc>
        <w:tc>
          <w:tcPr>
            <w:tcW w:w="602" w:type="dxa"/>
            <w:tcBorders>
              <w:top w:val="nil"/>
              <w:left w:val="nil"/>
              <w:bottom w:val="nil"/>
              <w:right w:val="nil"/>
            </w:tcBorders>
            <w:shd w:val="clear" w:color="auto" w:fill="auto"/>
            <w:noWrap/>
            <w:vAlign w:val="bottom"/>
            <w:hideMark/>
          </w:tcPr>
          <w:p w14:paraId="7DF40469" w14:textId="77777777" w:rsidR="001C6C15" w:rsidRPr="00226892" w:rsidRDefault="001C6C15" w:rsidP="001C6C15">
            <w:pPr>
              <w:rPr>
                <w:rFonts w:ascii="Arial" w:eastAsia="Times New Roman" w:hAnsi="Arial" w:cs="Arial"/>
                <w:sz w:val="18"/>
                <w:szCs w:val="18"/>
                <w:lang w:val="sk-SK" w:eastAsia="sk-SK"/>
              </w:rPr>
            </w:pPr>
          </w:p>
        </w:tc>
        <w:tc>
          <w:tcPr>
            <w:tcW w:w="196" w:type="dxa"/>
            <w:tcBorders>
              <w:top w:val="nil"/>
              <w:left w:val="nil"/>
              <w:bottom w:val="nil"/>
              <w:right w:val="nil"/>
            </w:tcBorders>
            <w:shd w:val="clear" w:color="auto" w:fill="auto"/>
            <w:noWrap/>
            <w:vAlign w:val="bottom"/>
            <w:hideMark/>
          </w:tcPr>
          <w:p w14:paraId="155A1E38" w14:textId="77777777" w:rsidR="001C6C15" w:rsidRPr="00226892" w:rsidRDefault="001C6C15" w:rsidP="001C6C15">
            <w:pPr>
              <w:rPr>
                <w:rFonts w:ascii="Arial" w:eastAsia="Times New Roman" w:hAnsi="Arial" w:cs="Arial"/>
                <w:sz w:val="18"/>
                <w:szCs w:val="18"/>
                <w:lang w:val="sk-SK" w:eastAsia="sk-SK"/>
              </w:rPr>
            </w:pPr>
          </w:p>
        </w:tc>
        <w:tc>
          <w:tcPr>
            <w:tcW w:w="1926" w:type="dxa"/>
            <w:tcBorders>
              <w:top w:val="nil"/>
              <w:left w:val="nil"/>
              <w:bottom w:val="nil"/>
              <w:right w:val="nil"/>
            </w:tcBorders>
            <w:shd w:val="clear" w:color="auto" w:fill="auto"/>
            <w:vAlign w:val="bottom"/>
          </w:tcPr>
          <w:p w14:paraId="3D45F760" w14:textId="77777777" w:rsidR="001C6C15" w:rsidRPr="00226892" w:rsidRDefault="001C6C15" w:rsidP="001C6C15">
            <w:pPr>
              <w:jc w:val="right"/>
              <w:rPr>
                <w:rFonts w:ascii="Arial" w:eastAsia="Times New Roman" w:hAnsi="Arial" w:cs="Arial"/>
                <w:sz w:val="18"/>
                <w:szCs w:val="18"/>
                <w:lang w:val="sk-SK" w:eastAsia="sk-SK"/>
              </w:rPr>
            </w:pPr>
          </w:p>
        </w:tc>
        <w:tc>
          <w:tcPr>
            <w:tcW w:w="191" w:type="dxa"/>
            <w:tcBorders>
              <w:top w:val="nil"/>
              <w:left w:val="nil"/>
              <w:bottom w:val="nil"/>
              <w:right w:val="nil"/>
            </w:tcBorders>
            <w:shd w:val="clear" w:color="auto" w:fill="auto"/>
            <w:vAlign w:val="bottom"/>
          </w:tcPr>
          <w:p w14:paraId="402FFE15" w14:textId="77777777" w:rsidR="001C6C15" w:rsidRPr="00226892" w:rsidRDefault="001C6C15" w:rsidP="001C6C15">
            <w:pPr>
              <w:jc w:val="right"/>
              <w:rPr>
                <w:rFonts w:ascii="Arial" w:eastAsia="Times New Roman" w:hAnsi="Arial" w:cs="Arial"/>
                <w:sz w:val="18"/>
                <w:szCs w:val="18"/>
                <w:lang w:val="sk-SK" w:eastAsia="sk-SK"/>
              </w:rPr>
            </w:pPr>
          </w:p>
        </w:tc>
        <w:tc>
          <w:tcPr>
            <w:tcW w:w="1886" w:type="dxa"/>
            <w:tcBorders>
              <w:top w:val="nil"/>
              <w:left w:val="nil"/>
              <w:bottom w:val="nil"/>
              <w:right w:val="nil"/>
            </w:tcBorders>
            <w:shd w:val="clear" w:color="auto" w:fill="auto"/>
            <w:vAlign w:val="bottom"/>
          </w:tcPr>
          <w:p w14:paraId="0C334E2A" w14:textId="77777777" w:rsidR="001C6C15" w:rsidRPr="00226892" w:rsidRDefault="001C6C15" w:rsidP="001C6C15">
            <w:pPr>
              <w:rPr>
                <w:rFonts w:ascii="Arial" w:eastAsia="Times New Roman" w:hAnsi="Arial" w:cs="Arial"/>
                <w:sz w:val="18"/>
                <w:szCs w:val="18"/>
                <w:lang w:val="sk-SK" w:eastAsia="sk-SK"/>
              </w:rPr>
            </w:pPr>
          </w:p>
        </w:tc>
      </w:tr>
      <w:tr w:rsidR="001C6C15" w:rsidRPr="00226892" w14:paraId="3823D5F9" w14:textId="77777777" w:rsidTr="00F14DB5">
        <w:trPr>
          <w:trHeight w:val="227"/>
        </w:trPr>
        <w:tc>
          <w:tcPr>
            <w:tcW w:w="4830" w:type="dxa"/>
            <w:tcBorders>
              <w:top w:val="nil"/>
              <w:left w:val="nil"/>
              <w:bottom w:val="nil"/>
              <w:right w:val="nil"/>
            </w:tcBorders>
            <w:shd w:val="clear" w:color="auto" w:fill="auto"/>
            <w:noWrap/>
            <w:vAlign w:val="bottom"/>
            <w:hideMark/>
          </w:tcPr>
          <w:p w14:paraId="16B3A7D6" w14:textId="61C70BB5" w:rsidR="001C6C15" w:rsidRPr="00226892" w:rsidRDefault="001C6C15" w:rsidP="001C6C15">
            <w:pPr>
              <w:rPr>
                <w:rFonts w:ascii="Arial" w:eastAsia="Times New Roman" w:hAnsi="Arial" w:cs="Arial"/>
                <w:b/>
                <w:bCs/>
                <w:color w:val="000000"/>
                <w:sz w:val="18"/>
                <w:szCs w:val="18"/>
                <w:lang w:val="en-US" w:eastAsia="sk-SK"/>
              </w:rPr>
            </w:pPr>
            <w:proofErr w:type="spellStart"/>
            <w:r w:rsidRPr="00226892">
              <w:rPr>
                <w:rFonts w:ascii="Arial" w:eastAsia="Times New Roman" w:hAnsi="Arial" w:cs="Arial"/>
                <w:b/>
                <w:bCs/>
                <w:color w:val="000000"/>
                <w:sz w:val="18"/>
                <w:szCs w:val="18"/>
                <w:lang w:eastAsia="sk-SK"/>
              </w:rPr>
              <w:t>Súhrnný</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zisk</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pripadajúci</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na</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vlastníkov</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podielov</w:t>
            </w:r>
            <w:proofErr w:type="spellEnd"/>
            <w:r w:rsidRPr="00226892">
              <w:rPr>
                <w:rFonts w:ascii="Arial" w:eastAsia="Times New Roman" w:hAnsi="Arial" w:cs="Arial"/>
                <w:b/>
                <w:bCs/>
                <w:color w:val="000000"/>
                <w:sz w:val="18"/>
                <w:szCs w:val="18"/>
                <w:lang w:eastAsia="sk-SK"/>
              </w:rPr>
              <w:t xml:space="preserve"> v </w:t>
            </w:r>
            <w:proofErr w:type="spellStart"/>
            <w:r w:rsidRPr="00226892">
              <w:rPr>
                <w:rFonts w:ascii="Arial" w:eastAsia="Times New Roman" w:hAnsi="Arial" w:cs="Arial"/>
                <w:b/>
                <w:bCs/>
                <w:color w:val="000000"/>
                <w:sz w:val="18"/>
                <w:szCs w:val="18"/>
                <w:lang w:eastAsia="sk-SK"/>
              </w:rPr>
              <w:t>materskej</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spoločnosti</w:t>
            </w:r>
            <w:proofErr w:type="spellEnd"/>
          </w:p>
        </w:tc>
        <w:tc>
          <w:tcPr>
            <w:tcW w:w="602" w:type="dxa"/>
            <w:tcBorders>
              <w:top w:val="nil"/>
              <w:left w:val="nil"/>
              <w:bottom w:val="nil"/>
              <w:right w:val="nil"/>
            </w:tcBorders>
            <w:shd w:val="clear" w:color="auto" w:fill="auto"/>
            <w:noWrap/>
            <w:vAlign w:val="bottom"/>
            <w:hideMark/>
          </w:tcPr>
          <w:p w14:paraId="053A6F53" w14:textId="77777777" w:rsidR="001C6C15" w:rsidRPr="00226892" w:rsidRDefault="001C6C15" w:rsidP="001C6C15">
            <w:pPr>
              <w:rPr>
                <w:rFonts w:ascii="Arial" w:eastAsia="Times New Roman" w:hAnsi="Arial" w:cs="Arial"/>
                <w:b/>
                <w:bCs/>
                <w:color w:val="000000"/>
                <w:sz w:val="18"/>
                <w:szCs w:val="18"/>
                <w:lang w:val="sk-SK" w:eastAsia="sk-SK"/>
              </w:rPr>
            </w:pPr>
          </w:p>
        </w:tc>
        <w:tc>
          <w:tcPr>
            <w:tcW w:w="196" w:type="dxa"/>
            <w:tcBorders>
              <w:top w:val="nil"/>
              <w:left w:val="nil"/>
              <w:bottom w:val="nil"/>
              <w:right w:val="nil"/>
            </w:tcBorders>
            <w:shd w:val="clear" w:color="auto" w:fill="auto"/>
            <w:noWrap/>
            <w:vAlign w:val="bottom"/>
            <w:hideMark/>
          </w:tcPr>
          <w:p w14:paraId="2DCD6792" w14:textId="77777777" w:rsidR="001C6C15" w:rsidRPr="00226892" w:rsidRDefault="001C6C15" w:rsidP="001C6C15">
            <w:pPr>
              <w:rPr>
                <w:rFonts w:ascii="Arial" w:eastAsia="Times New Roman" w:hAnsi="Arial" w:cs="Arial"/>
                <w:sz w:val="18"/>
                <w:szCs w:val="18"/>
                <w:lang w:val="sk-SK" w:eastAsia="sk-SK"/>
              </w:rPr>
            </w:pPr>
          </w:p>
        </w:tc>
        <w:tc>
          <w:tcPr>
            <w:tcW w:w="1926" w:type="dxa"/>
            <w:tcBorders>
              <w:top w:val="single" w:sz="4" w:space="0" w:color="auto"/>
              <w:left w:val="nil"/>
              <w:bottom w:val="double" w:sz="6" w:space="0" w:color="auto"/>
              <w:right w:val="nil"/>
            </w:tcBorders>
            <w:shd w:val="clear" w:color="auto" w:fill="auto"/>
            <w:vAlign w:val="bottom"/>
          </w:tcPr>
          <w:p w14:paraId="3C0B0A28" w14:textId="53E42539" w:rsidR="001C6C15" w:rsidRPr="00226892" w:rsidRDefault="001C6C15" w:rsidP="001C6C1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2 9</w:t>
            </w:r>
            <w:r w:rsidR="00745FC3" w:rsidRPr="00226892">
              <w:rPr>
                <w:rFonts w:ascii="Arial" w:eastAsia="Times New Roman" w:hAnsi="Arial" w:cs="Arial"/>
                <w:b/>
                <w:bCs/>
                <w:color w:val="000000"/>
                <w:sz w:val="18"/>
                <w:szCs w:val="18"/>
                <w:lang w:val="sk-SK" w:eastAsia="sk-SK"/>
              </w:rPr>
              <w:t>3</w:t>
            </w:r>
            <w:r w:rsidR="00B66B39" w:rsidRPr="00226892">
              <w:rPr>
                <w:rFonts w:ascii="Arial" w:eastAsia="Times New Roman" w:hAnsi="Arial" w:cs="Arial"/>
                <w:b/>
                <w:bCs/>
                <w:color w:val="000000"/>
                <w:sz w:val="18"/>
                <w:szCs w:val="18"/>
                <w:lang w:val="sk-SK" w:eastAsia="sk-SK"/>
              </w:rPr>
              <w:t>8</w:t>
            </w:r>
          </w:p>
        </w:tc>
        <w:tc>
          <w:tcPr>
            <w:tcW w:w="191" w:type="dxa"/>
            <w:tcBorders>
              <w:top w:val="nil"/>
              <w:left w:val="nil"/>
              <w:bottom w:val="nil"/>
              <w:right w:val="nil"/>
            </w:tcBorders>
            <w:shd w:val="clear" w:color="auto" w:fill="auto"/>
            <w:vAlign w:val="bottom"/>
          </w:tcPr>
          <w:p w14:paraId="0E916A44" w14:textId="77777777" w:rsidR="001C6C15" w:rsidRPr="00226892" w:rsidRDefault="001C6C15" w:rsidP="001C6C15">
            <w:pPr>
              <w:jc w:val="right"/>
              <w:rPr>
                <w:rFonts w:ascii="Arial" w:eastAsia="Times New Roman" w:hAnsi="Arial" w:cs="Arial"/>
                <w:b/>
                <w:bCs/>
                <w:color w:val="000000"/>
                <w:sz w:val="18"/>
                <w:szCs w:val="18"/>
                <w:lang w:val="sk-SK" w:eastAsia="sk-SK"/>
              </w:rPr>
            </w:pPr>
          </w:p>
        </w:tc>
        <w:tc>
          <w:tcPr>
            <w:tcW w:w="1886" w:type="dxa"/>
            <w:tcBorders>
              <w:top w:val="single" w:sz="4" w:space="0" w:color="auto"/>
              <w:left w:val="nil"/>
              <w:bottom w:val="double" w:sz="6" w:space="0" w:color="auto"/>
              <w:right w:val="nil"/>
            </w:tcBorders>
            <w:shd w:val="clear" w:color="auto" w:fill="auto"/>
            <w:vAlign w:val="bottom"/>
          </w:tcPr>
          <w:p w14:paraId="7BA65BFC" w14:textId="5B3FDBE4" w:rsidR="001C6C15" w:rsidRPr="00226892" w:rsidRDefault="001C6C15" w:rsidP="001C6C1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2 077</w:t>
            </w:r>
          </w:p>
        </w:tc>
      </w:tr>
      <w:tr w:rsidR="001C6C15" w:rsidRPr="00226892" w14:paraId="34B54329" w14:textId="77777777" w:rsidTr="00F14DB5">
        <w:trPr>
          <w:trHeight w:val="227"/>
        </w:trPr>
        <w:tc>
          <w:tcPr>
            <w:tcW w:w="4830" w:type="dxa"/>
            <w:tcBorders>
              <w:top w:val="nil"/>
              <w:left w:val="nil"/>
              <w:bottom w:val="nil"/>
              <w:right w:val="nil"/>
            </w:tcBorders>
            <w:shd w:val="clear" w:color="auto" w:fill="auto"/>
            <w:noWrap/>
            <w:vAlign w:val="bottom"/>
            <w:hideMark/>
          </w:tcPr>
          <w:p w14:paraId="51D47C03" w14:textId="77777777" w:rsidR="001C6C15" w:rsidRPr="00226892" w:rsidRDefault="001C6C15" w:rsidP="001C6C15">
            <w:pPr>
              <w:rPr>
                <w:rFonts w:ascii="Arial" w:eastAsia="Times New Roman" w:hAnsi="Arial" w:cs="Arial"/>
                <w:b/>
                <w:bCs/>
                <w:color w:val="000000"/>
                <w:sz w:val="18"/>
                <w:szCs w:val="18"/>
                <w:lang w:val="sk-SK" w:eastAsia="sk-SK"/>
              </w:rPr>
            </w:pPr>
          </w:p>
        </w:tc>
        <w:tc>
          <w:tcPr>
            <w:tcW w:w="602" w:type="dxa"/>
            <w:tcBorders>
              <w:top w:val="nil"/>
              <w:left w:val="nil"/>
              <w:bottom w:val="nil"/>
              <w:right w:val="nil"/>
            </w:tcBorders>
            <w:shd w:val="clear" w:color="auto" w:fill="auto"/>
            <w:noWrap/>
            <w:vAlign w:val="bottom"/>
            <w:hideMark/>
          </w:tcPr>
          <w:p w14:paraId="5FA64EA9" w14:textId="77777777" w:rsidR="001C6C15" w:rsidRPr="00226892" w:rsidRDefault="001C6C15" w:rsidP="001C6C15">
            <w:pPr>
              <w:rPr>
                <w:rFonts w:ascii="Arial" w:eastAsia="Times New Roman" w:hAnsi="Arial" w:cs="Arial"/>
                <w:sz w:val="18"/>
                <w:szCs w:val="18"/>
                <w:lang w:val="sk-SK" w:eastAsia="sk-SK"/>
              </w:rPr>
            </w:pPr>
          </w:p>
        </w:tc>
        <w:tc>
          <w:tcPr>
            <w:tcW w:w="196" w:type="dxa"/>
            <w:tcBorders>
              <w:top w:val="nil"/>
              <w:left w:val="nil"/>
              <w:bottom w:val="nil"/>
              <w:right w:val="nil"/>
            </w:tcBorders>
            <w:shd w:val="clear" w:color="auto" w:fill="auto"/>
            <w:noWrap/>
            <w:vAlign w:val="bottom"/>
            <w:hideMark/>
          </w:tcPr>
          <w:p w14:paraId="0A24A5DB" w14:textId="77777777" w:rsidR="001C6C15" w:rsidRPr="00226892" w:rsidRDefault="001C6C15" w:rsidP="001C6C15">
            <w:pPr>
              <w:rPr>
                <w:rFonts w:ascii="Arial" w:eastAsia="Times New Roman" w:hAnsi="Arial" w:cs="Arial"/>
                <w:sz w:val="18"/>
                <w:szCs w:val="18"/>
                <w:lang w:val="sk-SK" w:eastAsia="sk-SK"/>
              </w:rPr>
            </w:pPr>
          </w:p>
        </w:tc>
        <w:tc>
          <w:tcPr>
            <w:tcW w:w="1926" w:type="dxa"/>
            <w:tcBorders>
              <w:top w:val="nil"/>
              <w:left w:val="nil"/>
              <w:bottom w:val="nil"/>
              <w:right w:val="nil"/>
            </w:tcBorders>
            <w:shd w:val="clear" w:color="auto" w:fill="auto"/>
            <w:vAlign w:val="bottom"/>
          </w:tcPr>
          <w:p w14:paraId="3AFB6AB9" w14:textId="77777777" w:rsidR="001C6C15" w:rsidRPr="00226892" w:rsidRDefault="001C6C15" w:rsidP="001C6C15">
            <w:pPr>
              <w:jc w:val="right"/>
              <w:rPr>
                <w:rFonts w:ascii="Arial" w:eastAsia="Times New Roman" w:hAnsi="Arial" w:cs="Arial"/>
                <w:sz w:val="18"/>
                <w:szCs w:val="18"/>
                <w:lang w:val="sk-SK" w:eastAsia="sk-SK"/>
              </w:rPr>
            </w:pPr>
          </w:p>
        </w:tc>
        <w:tc>
          <w:tcPr>
            <w:tcW w:w="191" w:type="dxa"/>
            <w:tcBorders>
              <w:top w:val="nil"/>
              <w:left w:val="nil"/>
              <w:bottom w:val="nil"/>
              <w:right w:val="nil"/>
            </w:tcBorders>
            <w:shd w:val="clear" w:color="auto" w:fill="auto"/>
            <w:vAlign w:val="bottom"/>
          </w:tcPr>
          <w:p w14:paraId="5A39FC78" w14:textId="77777777" w:rsidR="001C6C15" w:rsidRPr="00226892" w:rsidRDefault="001C6C15" w:rsidP="001C6C15">
            <w:pPr>
              <w:jc w:val="right"/>
              <w:rPr>
                <w:rFonts w:ascii="Arial" w:eastAsia="Times New Roman" w:hAnsi="Arial" w:cs="Arial"/>
                <w:sz w:val="18"/>
                <w:szCs w:val="18"/>
                <w:lang w:val="sk-SK" w:eastAsia="sk-SK"/>
              </w:rPr>
            </w:pPr>
          </w:p>
        </w:tc>
        <w:tc>
          <w:tcPr>
            <w:tcW w:w="1886" w:type="dxa"/>
            <w:tcBorders>
              <w:top w:val="nil"/>
              <w:left w:val="nil"/>
              <w:bottom w:val="nil"/>
              <w:right w:val="nil"/>
            </w:tcBorders>
            <w:shd w:val="clear" w:color="auto" w:fill="auto"/>
            <w:vAlign w:val="bottom"/>
          </w:tcPr>
          <w:p w14:paraId="7D976972" w14:textId="77777777" w:rsidR="001C6C15" w:rsidRPr="00226892" w:rsidRDefault="001C6C15" w:rsidP="001C6C15">
            <w:pPr>
              <w:jc w:val="right"/>
              <w:rPr>
                <w:rFonts w:ascii="Arial" w:eastAsia="Times New Roman" w:hAnsi="Arial" w:cs="Arial"/>
                <w:sz w:val="18"/>
                <w:szCs w:val="18"/>
                <w:lang w:val="sk-SK" w:eastAsia="sk-SK"/>
              </w:rPr>
            </w:pPr>
          </w:p>
        </w:tc>
      </w:tr>
      <w:bookmarkEnd w:id="18"/>
    </w:tbl>
    <w:p w14:paraId="1445774C" w14:textId="1D97F62C" w:rsidR="00255D38" w:rsidRPr="00226892" w:rsidRDefault="00255D38" w:rsidP="00FD21B8">
      <w:pPr>
        <w:pStyle w:val="Pta"/>
        <w:rPr>
          <w:rFonts w:ascii="Arial" w:hAnsi="Arial" w:cs="Arial"/>
          <w:snapToGrid w:val="0"/>
          <w:color w:val="000080"/>
          <w:sz w:val="18"/>
          <w:szCs w:val="18"/>
          <w:highlight w:val="yellow"/>
        </w:rPr>
        <w:sectPr w:rsidR="00255D38" w:rsidRPr="00226892" w:rsidSect="00DF6E8D">
          <w:headerReference w:type="default" r:id="rId16"/>
          <w:pgSz w:w="11907" w:h="16840" w:code="9"/>
          <w:pgMar w:top="1134" w:right="1134" w:bottom="1134" w:left="1134" w:header="709" w:footer="709" w:gutter="0"/>
          <w:cols w:space="708"/>
          <w:noEndnote/>
        </w:sectPr>
      </w:pPr>
    </w:p>
    <w:p w14:paraId="5745E899" w14:textId="37EA5185" w:rsidR="00F47C39" w:rsidRPr="00226892" w:rsidDel="00F47C39" w:rsidRDefault="00F47C39" w:rsidP="00235CDF">
      <w:pPr>
        <w:pStyle w:val="odst"/>
      </w:pPr>
      <w:bookmarkStart w:id="19" w:name="FWT_EC"/>
    </w:p>
    <w:tbl>
      <w:tblPr>
        <w:tblW w:w="5000" w:type="pct"/>
        <w:tblCellMar>
          <w:left w:w="70" w:type="dxa"/>
          <w:right w:w="70" w:type="dxa"/>
        </w:tblCellMar>
        <w:tblLook w:val="04A0" w:firstRow="1" w:lastRow="0" w:firstColumn="1" w:lastColumn="0" w:noHBand="0" w:noVBand="1"/>
      </w:tblPr>
      <w:tblGrid>
        <w:gridCol w:w="3985"/>
        <w:gridCol w:w="1315"/>
        <w:gridCol w:w="1656"/>
        <w:gridCol w:w="1490"/>
        <w:gridCol w:w="1656"/>
        <w:gridCol w:w="1655"/>
        <w:gridCol w:w="1489"/>
        <w:gridCol w:w="1326"/>
      </w:tblGrid>
      <w:tr w:rsidR="001C6C15" w:rsidRPr="00226892" w14:paraId="529C13EB" w14:textId="77777777" w:rsidTr="00EE2766">
        <w:trPr>
          <w:trHeight w:val="226"/>
        </w:trPr>
        <w:tc>
          <w:tcPr>
            <w:tcW w:w="1367" w:type="pct"/>
            <w:tcBorders>
              <w:top w:val="nil"/>
              <w:left w:val="nil"/>
              <w:bottom w:val="single" w:sz="4" w:space="0" w:color="auto"/>
              <w:right w:val="nil"/>
            </w:tcBorders>
            <w:shd w:val="clear" w:color="auto" w:fill="auto"/>
            <w:noWrap/>
            <w:vAlign w:val="bottom"/>
            <w:hideMark/>
          </w:tcPr>
          <w:p w14:paraId="64A468CC" w14:textId="77777777" w:rsidR="001C6C15" w:rsidRPr="00226892" w:rsidRDefault="001C6C15" w:rsidP="00291D1C">
            <w:pPr>
              <w:rPr>
                <w:rFonts w:ascii="Arial" w:hAnsi="Arial" w:cs="Arial"/>
                <w:b/>
                <w:bCs/>
                <w:color w:val="000000"/>
                <w:sz w:val="16"/>
                <w:szCs w:val="16"/>
              </w:rPr>
            </w:pPr>
            <w:r w:rsidRPr="00226892">
              <w:rPr>
                <w:rFonts w:ascii="Arial" w:hAnsi="Arial" w:cs="Arial"/>
                <w:b/>
                <w:bCs/>
                <w:color w:val="000000"/>
                <w:sz w:val="16"/>
                <w:szCs w:val="16"/>
              </w:rPr>
              <w:t> </w:t>
            </w:r>
          </w:p>
        </w:tc>
        <w:tc>
          <w:tcPr>
            <w:tcW w:w="451" w:type="pct"/>
            <w:tcBorders>
              <w:top w:val="nil"/>
              <w:left w:val="nil"/>
              <w:bottom w:val="single" w:sz="4" w:space="0" w:color="auto"/>
              <w:right w:val="nil"/>
            </w:tcBorders>
            <w:shd w:val="clear" w:color="auto" w:fill="auto"/>
            <w:vAlign w:val="bottom"/>
            <w:hideMark/>
          </w:tcPr>
          <w:p w14:paraId="6F540249" w14:textId="3B071208" w:rsidR="001C6C15" w:rsidRPr="00226892" w:rsidRDefault="001C6C15" w:rsidP="00EE2766">
            <w:pPr>
              <w:jc w:val="center"/>
              <w:rPr>
                <w:rFonts w:ascii="Arial" w:hAnsi="Arial" w:cs="Arial"/>
                <w:b/>
                <w:bCs/>
                <w:color w:val="000000"/>
                <w:sz w:val="16"/>
                <w:szCs w:val="16"/>
              </w:rPr>
            </w:pPr>
            <w:proofErr w:type="spellStart"/>
            <w:r w:rsidRPr="00226892">
              <w:rPr>
                <w:rFonts w:ascii="Arial" w:hAnsi="Arial" w:cs="Arial"/>
                <w:b/>
                <w:bCs/>
                <w:color w:val="000000"/>
                <w:sz w:val="16"/>
                <w:szCs w:val="16"/>
              </w:rPr>
              <w:t>Základné</w:t>
            </w:r>
            <w:proofErr w:type="spellEnd"/>
            <w:r w:rsidRPr="00226892">
              <w:rPr>
                <w:rFonts w:ascii="Arial" w:hAnsi="Arial" w:cs="Arial"/>
                <w:b/>
                <w:bCs/>
                <w:color w:val="000000"/>
                <w:sz w:val="16"/>
                <w:szCs w:val="16"/>
              </w:rPr>
              <w:t xml:space="preserve"> </w:t>
            </w:r>
            <w:proofErr w:type="spellStart"/>
            <w:r w:rsidRPr="00226892">
              <w:rPr>
                <w:rFonts w:ascii="Arial" w:hAnsi="Arial" w:cs="Arial"/>
                <w:b/>
                <w:bCs/>
                <w:color w:val="000000"/>
                <w:sz w:val="16"/>
                <w:szCs w:val="16"/>
              </w:rPr>
              <w:t>imanie</w:t>
            </w:r>
            <w:proofErr w:type="spellEnd"/>
          </w:p>
        </w:tc>
        <w:tc>
          <w:tcPr>
            <w:tcW w:w="568" w:type="pct"/>
            <w:tcBorders>
              <w:top w:val="nil"/>
              <w:left w:val="nil"/>
              <w:bottom w:val="single" w:sz="4" w:space="0" w:color="auto"/>
              <w:right w:val="nil"/>
            </w:tcBorders>
            <w:shd w:val="clear" w:color="auto" w:fill="auto"/>
            <w:vAlign w:val="bottom"/>
            <w:hideMark/>
          </w:tcPr>
          <w:p w14:paraId="68C2BCCD" w14:textId="194B8C09" w:rsidR="001C6C15" w:rsidRPr="00226892" w:rsidRDefault="001C6C15" w:rsidP="00EE2766">
            <w:pPr>
              <w:jc w:val="center"/>
              <w:rPr>
                <w:rFonts w:ascii="Arial" w:hAnsi="Arial" w:cs="Arial"/>
                <w:b/>
                <w:bCs/>
                <w:color w:val="000000"/>
                <w:sz w:val="16"/>
                <w:szCs w:val="16"/>
              </w:rPr>
            </w:pPr>
            <w:proofErr w:type="spellStart"/>
            <w:r w:rsidRPr="00226892">
              <w:rPr>
                <w:rFonts w:ascii="Arial" w:hAnsi="Arial" w:cs="Arial"/>
                <w:b/>
                <w:bCs/>
                <w:color w:val="000000"/>
                <w:sz w:val="16"/>
                <w:szCs w:val="16"/>
              </w:rPr>
              <w:t>Zákonný</w:t>
            </w:r>
            <w:proofErr w:type="spellEnd"/>
            <w:r w:rsidRPr="00226892">
              <w:rPr>
                <w:rFonts w:ascii="Arial" w:hAnsi="Arial" w:cs="Arial"/>
                <w:b/>
                <w:bCs/>
                <w:color w:val="000000"/>
                <w:sz w:val="16"/>
                <w:szCs w:val="16"/>
              </w:rPr>
              <w:t xml:space="preserve"> </w:t>
            </w:r>
            <w:proofErr w:type="spellStart"/>
            <w:r w:rsidRPr="00226892">
              <w:rPr>
                <w:rFonts w:ascii="Arial" w:hAnsi="Arial" w:cs="Arial"/>
                <w:b/>
                <w:bCs/>
                <w:color w:val="000000"/>
                <w:sz w:val="16"/>
                <w:szCs w:val="16"/>
              </w:rPr>
              <w:t>rezervný</w:t>
            </w:r>
            <w:proofErr w:type="spellEnd"/>
            <w:r w:rsidRPr="00226892">
              <w:rPr>
                <w:rFonts w:ascii="Arial" w:hAnsi="Arial" w:cs="Arial"/>
                <w:b/>
                <w:bCs/>
                <w:color w:val="000000"/>
                <w:sz w:val="16"/>
                <w:szCs w:val="16"/>
              </w:rPr>
              <w:t xml:space="preserve"> fond</w:t>
            </w:r>
          </w:p>
        </w:tc>
        <w:tc>
          <w:tcPr>
            <w:tcW w:w="511" w:type="pct"/>
            <w:tcBorders>
              <w:top w:val="nil"/>
              <w:left w:val="nil"/>
              <w:bottom w:val="single" w:sz="4" w:space="0" w:color="auto"/>
              <w:right w:val="nil"/>
            </w:tcBorders>
            <w:vAlign w:val="bottom"/>
          </w:tcPr>
          <w:p w14:paraId="0BDDB5FB" w14:textId="77777777" w:rsidR="001C6C15" w:rsidRPr="00226892" w:rsidRDefault="001C6C15" w:rsidP="00EE2766">
            <w:pPr>
              <w:jc w:val="center"/>
              <w:rPr>
                <w:rFonts w:ascii="Arial" w:hAnsi="Arial" w:cs="Arial"/>
                <w:b/>
                <w:bCs/>
                <w:color w:val="000000"/>
                <w:sz w:val="16"/>
                <w:szCs w:val="16"/>
                <w:lang w:val="de-DE"/>
              </w:rPr>
            </w:pPr>
          </w:p>
          <w:p w14:paraId="0AAF3CDF" w14:textId="7AC5A87D" w:rsidR="001C6C15" w:rsidRPr="00226892" w:rsidRDefault="001C6C15" w:rsidP="00EE2766">
            <w:pPr>
              <w:jc w:val="center"/>
              <w:rPr>
                <w:rFonts w:ascii="Arial" w:hAnsi="Arial" w:cs="Arial"/>
                <w:b/>
                <w:bCs/>
                <w:color w:val="000000"/>
                <w:sz w:val="16"/>
                <w:szCs w:val="16"/>
                <w:lang w:val="de-DE"/>
              </w:rPr>
            </w:pPr>
            <w:proofErr w:type="spellStart"/>
            <w:r w:rsidRPr="00226892">
              <w:rPr>
                <w:rFonts w:ascii="Arial" w:hAnsi="Arial" w:cs="Arial"/>
                <w:b/>
                <w:bCs/>
                <w:color w:val="000000"/>
                <w:sz w:val="16"/>
                <w:szCs w:val="16"/>
                <w:lang w:val="de-DE"/>
              </w:rPr>
              <w:t>Vlastné</w:t>
            </w:r>
            <w:proofErr w:type="spellEnd"/>
            <w:r w:rsidRPr="00226892">
              <w:rPr>
                <w:rFonts w:ascii="Arial" w:hAnsi="Arial" w:cs="Arial"/>
                <w:b/>
                <w:bCs/>
                <w:color w:val="000000"/>
                <w:sz w:val="16"/>
                <w:szCs w:val="16"/>
                <w:lang w:val="de-DE"/>
              </w:rPr>
              <w:t xml:space="preserve"> </w:t>
            </w:r>
            <w:proofErr w:type="spellStart"/>
            <w:r w:rsidRPr="00226892">
              <w:rPr>
                <w:rFonts w:ascii="Arial" w:hAnsi="Arial" w:cs="Arial"/>
                <w:b/>
                <w:bCs/>
                <w:color w:val="000000"/>
                <w:sz w:val="16"/>
                <w:szCs w:val="16"/>
                <w:lang w:val="de-DE"/>
              </w:rPr>
              <w:t>akcie</w:t>
            </w:r>
            <w:proofErr w:type="spellEnd"/>
          </w:p>
        </w:tc>
        <w:tc>
          <w:tcPr>
            <w:tcW w:w="568" w:type="pct"/>
            <w:tcBorders>
              <w:top w:val="nil"/>
              <w:left w:val="nil"/>
              <w:bottom w:val="single" w:sz="4" w:space="0" w:color="auto"/>
              <w:right w:val="nil"/>
            </w:tcBorders>
            <w:vAlign w:val="bottom"/>
          </w:tcPr>
          <w:p w14:paraId="3A4FF396" w14:textId="06B9A9E5" w:rsidR="001C6C15" w:rsidRPr="00226892" w:rsidRDefault="001C6C15" w:rsidP="00EE2766">
            <w:pPr>
              <w:jc w:val="center"/>
              <w:rPr>
                <w:rFonts w:ascii="Arial" w:hAnsi="Arial" w:cs="Arial"/>
                <w:b/>
                <w:bCs/>
                <w:color w:val="000000"/>
                <w:sz w:val="16"/>
                <w:szCs w:val="16"/>
              </w:rPr>
            </w:pPr>
            <w:proofErr w:type="spellStart"/>
            <w:r w:rsidRPr="00226892">
              <w:rPr>
                <w:rFonts w:ascii="Arial" w:hAnsi="Arial" w:cs="Arial"/>
                <w:b/>
                <w:bCs/>
                <w:color w:val="000000"/>
                <w:sz w:val="16"/>
                <w:szCs w:val="16"/>
              </w:rPr>
              <w:t>Ostatné</w:t>
            </w:r>
            <w:proofErr w:type="spellEnd"/>
            <w:r w:rsidRPr="00226892">
              <w:rPr>
                <w:rFonts w:ascii="Arial" w:hAnsi="Arial" w:cs="Arial"/>
                <w:b/>
                <w:bCs/>
                <w:color w:val="000000"/>
                <w:sz w:val="16"/>
                <w:szCs w:val="16"/>
              </w:rPr>
              <w:t xml:space="preserve"> </w:t>
            </w:r>
            <w:proofErr w:type="spellStart"/>
            <w:r w:rsidRPr="00226892">
              <w:rPr>
                <w:rFonts w:ascii="Arial" w:hAnsi="Arial" w:cs="Arial"/>
                <w:b/>
                <w:bCs/>
                <w:color w:val="000000"/>
                <w:sz w:val="16"/>
                <w:szCs w:val="16"/>
              </w:rPr>
              <w:t>fondy</w:t>
            </w:r>
            <w:proofErr w:type="spellEnd"/>
          </w:p>
        </w:tc>
        <w:tc>
          <w:tcPr>
            <w:tcW w:w="568" w:type="pct"/>
            <w:tcBorders>
              <w:top w:val="nil"/>
              <w:left w:val="nil"/>
              <w:bottom w:val="single" w:sz="4" w:space="0" w:color="auto"/>
              <w:right w:val="nil"/>
            </w:tcBorders>
            <w:shd w:val="clear" w:color="auto" w:fill="auto"/>
            <w:vAlign w:val="bottom"/>
            <w:hideMark/>
          </w:tcPr>
          <w:p w14:paraId="408E9815" w14:textId="011268ED" w:rsidR="001C6C15" w:rsidRPr="00226892" w:rsidRDefault="001C6C15" w:rsidP="00EE2766">
            <w:pPr>
              <w:jc w:val="center"/>
              <w:rPr>
                <w:rFonts w:ascii="Arial" w:hAnsi="Arial" w:cs="Arial"/>
                <w:b/>
                <w:bCs/>
                <w:color w:val="000000"/>
                <w:sz w:val="16"/>
                <w:szCs w:val="16"/>
                <w:lang w:val="sk-SK"/>
              </w:rPr>
            </w:pPr>
            <w:proofErr w:type="spellStart"/>
            <w:r w:rsidRPr="00226892">
              <w:rPr>
                <w:rFonts w:ascii="Arial" w:hAnsi="Arial" w:cs="Arial"/>
                <w:b/>
                <w:bCs/>
                <w:color w:val="000000"/>
                <w:sz w:val="16"/>
                <w:szCs w:val="16"/>
              </w:rPr>
              <w:t>Rezerva</w:t>
            </w:r>
            <w:proofErr w:type="spellEnd"/>
            <w:r w:rsidRPr="00226892">
              <w:rPr>
                <w:rFonts w:ascii="Arial" w:hAnsi="Arial" w:cs="Arial"/>
                <w:b/>
                <w:bCs/>
                <w:color w:val="000000"/>
                <w:sz w:val="16"/>
                <w:szCs w:val="16"/>
              </w:rPr>
              <w:t xml:space="preserve"> z </w:t>
            </w:r>
            <w:proofErr w:type="spellStart"/>
            <w:r w:rsidRPr="00226892">
              <w:rPr>
                <w:rFonts w:ascii="Arial" w:hAnsi="Arial" w:cs="Arial"/>
                <w:b/>
                <w:bCs/>
                <w:color w:val="000000"/>
                <w:sz w:val="16"/>
                <w:szCs w:val="16"/>
              </w:rPr>
              <w:t>kurzov</w:t>
            </w:r>
            <w:r w:rsidRPr="00226892">
              <w:rPr>
                <w:rFonts w:ascii="Arial" w:hAnsi="Arial" w:cs="Arial"/>
                <w:b/>
                <w:bCs/>
                <w:color w:val="000000"/>
                <w:sz w:val="16"/>
                <w:szCs w:val="16"/>
                <w:lang w:val="sk-SK"/>
              </w:rPr>
              <w:t>ého</w:t>
            </w:r>
            <w:proofErr w:type="spellEnd"/>
            <w:r w:rsidRPr="00226892">
              <w:rPr>
                <w:rFonts w:ascii="Arial" w:hAnsi="Arial" w:cs="Arial"/>
                <w:b/>
                <w:bCs/>
                <w:color w:val="000000"/>
                <w:sz w:val="16"/>
                <w:szCs w:val="16"/>
                <w:lang w:val="sk-SK"/>
              </w:rPr>
              <w:t xml:space="preserve"> prepočtu</w:t>
            </w:r>
          </w:p>
        </w:tc>
        <w:tc>
          <w:tcPr>
            <w:tcW w:w="511" w:type="pct"/>
            <w:tcBorders>
              <w:top w:val="nil"/>
              <w:left w:val="nil"/>
              <w:bottom w:val="single" w:sz="4" w:space="0" w:color="auto"/>
              <w:right w:val="nil"/>
            </w:tcBorders>
            <w:vAlign w:val="bottom"/>
          </w:tcPr>
          <w:p w14:paraId="17EE82F9" w14:textId="0247E18E" w:rsidR="001C6C15" w:rsidRPr="00226892" w:rsidRDefault="001C6C15" w:rsidP="00EE2766">
            <w:pPr>
              <w:jc w:val="center"/>
              <w:rPr>
                <w:rFonts w:ascii="Arial" w:hAnsi="Arial" w:cs="Arial"/>
                <w:b/>
                <w:bCs/>
                <w:color w:val="000000"/>
                <w:sz w:val="16"/>
                <w:szCs w:val="16"/>
              </w:rPr>
            </w:pPr>
            <w:proofErr w:type="spellStart"/>
            <w:r w:rsidRPr="00226892">
              <w:rPr>
                <w:rFonts w:ascii="Arial" w:hAnsi="Arial" w:cs="Arial"/>
                <w:b/>
                <w:bCs/>
                <w:color w:val="000000"/>
                <w:sz w:val="16"/>
                <w:szCs w:val="16"/>
              </w:rPr>
              <w:t>Nerozdelený</w:t>
            </w:r>
            <w:proofErr w:type="spellEnd"/>
            <w:r w:rsidRPr="00226892">
              <w:rPr>
                <w:rFonts w:ascii="Arial" w:hAnsi="Arial" w:cs="Arial"/>
                <w:b/>
                <w:bCs/>
                <w:color w:val="000000"/>
                <w:sz w:val="16"/>
                <w:szCs w:val="16"/>
              </w:rPr>
              <w:t xml:space="preserve"> </w:t>
            </w:r>
            <w:proofErr w:type="spellStart"/>
            <w:r w:rsidRPr="00226892">
              <w:rPr>
                <w:rFonts w:ascii="Arial" w:hAnsi="Arial" w:cs="Arial"/>
                <w:b/>
                <w:bCs/>
                <w:color w:val="000000"/>
                <w:sz w:val="16"/>
                <w:szCs w:val="16"/>
              </w:rPr>
              <w:t>zisk</w:t>
            </w:r>
            <w:proofErr w:type="spellEnd"/>
          </w:p>
        </w:tc>
        <w:tc>
          <w:tcPr>
            <w:tcW w:w="455" w:type="pct"/>
            <w:tcBorders>
              <w:top w:val="nil"/>
              <w:left w:val="nil"/>
              <w:bottom w:val="single" w:sz="4" w:space="0" w:color="auto"/>
              <w:right w:val="nil"/>
            </w:tcBorders>
            <w:shd w:val="clear" w:color="auto" w:fill="auto"/>
            <w:vAlign w:val="bottom"/>
            <w:hideMark/>
          </w:tcPr>
          <w:p w14:paraId="2BB40243" w14:textId="1AA4C57A" w:rsidR="001C6C15" w:rsidRPr="00226892" w:rsidRDefault="001C6C15" w:rsidP="00EE2766">
            <w:pPr>
              <w:jc w:val="center"/>
              <w:rPr>
                <w:rFonts w:ascii="Arial" w:hAnsi="Arial" w:cs="Arial"/>
                <w:b/>
                <w:bCs/>
                <w:color w:val="000000"/>
                <w:sz w:val="16"/>
                <w:szCs w:val="16"/>
              </w:rPr>
            </w:pPr>
            <w:proofErr w:type="spellStart"/>
            <w:r w:rsidRPr="00226892">
              <w:rPr>
                <w:rFonts w:ascii="Arial" w:hAnsi="Arial" w:cs="Arial"/>
                <w:b/>
                <w:bCs/>
                <w:color w:val="000000"/>
                <w:sz w:val="16"/>
                <w:szCs w:val="16"/>
              </w:rPr>
              <w:t>Spolu</w:t>
            </w:r>
            <w:proofErr w:type="spellEnd"/>
          </w:p>
        </w:tc>
      </w:tr>
      <w:tr w:rsidR="001C6C15" w:rsidRPr="00226892" w14:paraId="6980A39E" w14:textId="77777777" w:rsidTr="001C6C15">
        <w:trPr>
          <w:trHeight w:val="226"/>
        </w:trPr>
        <w:tc>
          <w:tcPr>
            <w:tcW w:w="1367" w:type="pct"/>
            <w:tcBorders>
              <w:top w:val="nil"/>
              <w:left w:val="nil"/>
              <w:bottom w:val="nil"/>
              <w:right w:val="nil"/>
            </w:tcBorders>
            <w:shd w:val="clear" w:color="auto" w:fill="auto"/>
            <w:vAlign w:val="bottom"/>
            <w:hideMark/>
          </w:tcPr>
          <w:p w14:paraId="48B4FCB5" w14:textId="1A2CC528" w:rsidR="001C6C15" w:rsidRPr="00226892" w:rsidRDefault="001C6C15" w:rsidP="00CB2AED">
            <w:pPr>
              <w:rPr>
                <w:rFonts w:ascii="Arial" w:hAnsi="Arial" w:cs="Arial"/>
                <w:b/>
                <w:bCs/>
                <w:color w:val="000000"/>
                <w:sz w:val="16"/>
                <w:szCs w:val="16"/>
              </w:rPr>
            </w:pPr>
            <w:proofErr w:type="spellStart"/>
            <w:r w:rsidRPr="00226892">
              <w:rPr>
                <w:rFonts w:ascii="Arial" w:hAnsi="Arial" w:cs="Arial"/>
                <w:b/>
                <w:bCs/>
                <w:color w:val="000000"/>
                <w:sz w:val="16"/>
                <w:szCs w:val="16"/>
              </w:rPr>
              <w:t>Stav</w:t>
            </w:r>
            <w:proofErr w:type="spellEnd"/>
            <w:r w:rsidRPr="00226892">
              <w:rPr>
                <w:rFonts w:ascii="Arial" w:hAnsi="Arial" w:cs="Arial"/>
                <w:b/>
                <w:bCs/>
                <w:color w:val="000000"/>
                <w:sz w:val="16"/>
                <w:szCs w:val="16"/>
              </w:rPr>
              <w:t xml:space="preserve"> k 1. </w:t>
            </w:r>
            <w:proofErr w:type="spellStart"/>
            <w:r w:rsidRPr="00226892">
              <w:rPr>
                <w:rFonts w:ascii="Arial" w:hAnsi="Arial" w:cs="Arial"/>
                <w:b/>
                <w:bCs/>
                <w:color w:val="000000"/>
                <w:sz w:val="16"/>
                <w:szCs w:val="16"/>
              </w:rPr>
              <w:t>januáru</w:t>
            </w:r>
            <w:proofErr w:type="spellEnd"/>
            <w:r w:rsidRPr="00226892">
              <w:rPr>
                <w:rFonts w:ascii="Arial" w:hAnsi="Arial" w:cs="Arial"/>
                <w:b/>
                <w:bCs/>
                <w:color w:val="000000"/>
                <w:sz w:val="16"/>
                <w:szCs w:val="16"/>
              </w:rPr>
              <w:t xml:space="preserve"> 2017</w:t>
            </w:r>
          </w:p>
        </w:tc>
        <w:tc>
          <w:tcPr>
            <w:tcW w:w="451" w:type="pct"/>
            <w:tcBorders>
              <w:top w:val="single" w:sz="4" w:space="0" w:color="auto"/>
              <w:left w:val="nil"/>
              <w:bottom w:val="single" w:sz="4" w:space="0" w:color="auto"/>
              <w:right w:val="nil"/>
            </w:tcBorders>
            <w:shd w:val="clear" w:color="auto" w:fill="auto"/>
            <w:vAlign w:val="bottom"/>
          </w:tcPr>
          <w:p w14:paraId="1DF61EB7" w14:textId="42944B53" w:rsidR="001C6C15" w:rsidRPr="00226892" w:rsidRDefault="001C6C15" w:rsidP="00CB2AED">
            <w:pPr>
              <w:jc w:val="right"/>
              <w:rPr>
                <w:rFonts w:ascii="Arial" w:hAnsi="Arial" w:cs="Arial"/>
                <w:b/>
                <w:bCs/>
                <w:color w:val="000000"/>
                <w:sz w:val="16"/>
                <w:szCs w:val="16"/>
              </w:rPr>
            </w:pPr>
            <w:r w:rsidRPr="00226892">
              <w:rPr>
                <w:rFonts w:ascii="Arial" w:hAnsi="Arial" w:cs="Arial"/>
                <w:b/>
                <w:bCs/>
                <w:color w:val="000000"/>
                <w:sz w:val="16"/>
                <w:szCs w:val="16"/>
              </w:rPr>
              <w:t>20 448</w:t>
            </w:r>
          </w:p>
        </w:tc>
        <w:tc>
          <w:tcPr>
            <w:tcW w:w="568" w:type="pct"/>
            <w:tcBorders>
              <w:top w:val="single" w:sz="4" w:space="0" w:color="auto"/>
              <w:left w:val="nil"/>
              <w:bottom w:val="single" w:sz="4" w:space="0" w:color="auto"/>
              <w:right w:val="nil"/>
            </w:tcBorders>
            <w:shd w:val="clear" w:color="auto" w:fill="auto"/>
            <w:vAlign w:val="bottom"/>
          </w:tcPr>
          <w:p w14:paraId="0B6326ED" w14:textId="3828E126" w:rsidR="001C6C15" w:rsidRPr="00226892" w:rsidRDefault="001C6C15" w:rsidP="00CB2AED">
            <w:pPr>
              <w:jc w:val="right"/>
              <w:rPr>
                <w:rFonts w:ascii="Arial" w:hAnsi="Arial" w:cs="Arial"/>
                <w:b/>
                <w:bCs/>
                <w:color w:val="000000"/>
                <w:sz w:val="16"/>
                <w:szCs w:val="16"/>
              </w:rPr>
            </w:pPr>
            <w:r w:rsidRPr="00226892">
              <w:rPr>
                <w:rFonts w:ascii="Arial" w:hAnsi="Arial" w:cs="Arial"/>
                <w:b/>
                <w:bCs/>
                <w:color w:val="000000"/>
                <w:sz w:val="16"/>
                <w:szCs w:val="16"/>
              </w:rPr>
              <w:t>2 877</w:t>
            </w:r>
          </w:p>
        </w:tc>
        <w:tc>
          <w:tcPr>
            <w:tcW w:w="511" w:type="pct"/>
            <w:tcBorders>
              <w:top w:val="single" w:sz="4" w:space="0" w:color="auto"/>
              <w:left w:val="nil"/>
              <w:bottom w:val="single" w:sz="4" w:space="0" w:color="auto"/>
              <w:right w:val="nil"/>
            </w:tcBorders>
          </w:tcPr>
          <w:p w14:paraId="24E2B75F" w14:textId="77777777" w:rsidR="001C6C15" w:rsidRPr="00226892" w:rsidRDefault="001C6C15" w:rsidP="00CB2AED">
            <w:pPr>
              <w:jc w:val="right"/>
              <w:rPr>
                <w:rFonts w:ascii="Arial" w:hAnsi="Arial" w:cs="Arial"/>
                <w:b/>
                <w:bCs/>
                <w:color w:val="000000"/>
                <w:sz w:val="16"/>
                <w:szCs w:val="16"/>
              </w:rPr>
            </w:pPr>
          </w:p>
          <w:p w14:paraId="5CA37325" w14:textId="53867878" w:rsidR="001C6C15" w:rsidRPr="00226892" w:rsidDel="00436F82" w:rsidRDefault="001C6C15" w:rsidP="00CB2AED">
            <w:pPr>
              <w:jc w:val="right"/>
              <w:rPr>
                <w:rFonts w:ascii="Arial" w:hAnsi="Arial" w:cs="Arial"/>
                <w:b/>
                <w:bCs/>
                <w:color w:val="000000"/>
                <w:sz w:val="16"/>
                <w:szCs w:val="16"/>
                <w:lang w:val="en-US"/>
              </w:rPr>
            </w:pPr>
            <w:r w:rsidRPr="00226892">
              <w:rPr>
                <w:rFonts w:ascii="Arial" w:hAnsi="Arial" w:cs="Arial"/>
                <w:b/>
                <w:bCs/>
                <w:color w:val="000000"/>
                <w:sz w:val="16"/>
                <w:szCs w:val="16"/>
              </w:rPr>
              <w:t>-64</w:t>
            </w:r>
          </w:p>
        </w:tc>
        <w:tc>
          <w:tcPr>
            <w:tcW w:w="568" w:type="pct"/>
            <w:tcBorders>
              <w:top w:val="single" w:sz="4" w:space="0" w:color="auto"/>
              <w:left w:val="nil"/>
              <w:bottom w:val="single" w:sz="4" w:space="0" w:color="auto"/>
              <w:right w:val="nil"/>
            </w:tcBorders>
            <w:vAlign w:val="bottom"/>
          </w:tcPr>
          <w:p w14:paraId="4FFE9B40" w14:textId="68C88495" w:rsidR="001C6C15" w:rsidRPr="00226892" w:rsidRDefault="001C6C15" w:rsidP="00CB2AED">
            <w:pPr>
              <w:jc w:val="right"/>
              <w:rPr>
                <w:rFonts w:ascii="Arial" w:hAnsi="Arial" w:cs="Arial"/>
                <w:b/>
                <w:bCs/>
                <w:color w:val="000000"/>
                <w:sz w:val="16"/>
                <w:szCs w:val="16"/>
              </w:rPr>
            </w:pPr>
            <w:r w:rsidRPr="00226892">
              <w:rPr>
                <w:rFonts w:ascii="Arial" w:hAnsi="Arial" w:cs="Arial"/>
                <w:b/>
                <w:bCs/>
                <w:color w:val="000000"/>
                <w:sz w:val="16"/>
                <w:szCs w:val="16"/>
              </w:rPr>
              <w:t>64</w:t>
            </w:r>
          </w:p>
        </w:tc>
        <w:tc>
          <w:tcPr>
            <w:tcW w:w="568" w:type="pct"/>
            <w:tcBorders>
              <w:top w:val="single" w:sz="4" w:space="0" w:color="auto"/>
              <w:left w:val="nil"/>
              <w:bottom w:val="single" w:sz="4" w:space="0" w:color="auto"/>
              <w:right w:val="nil"/>
            </w:tcBorders>
            <w:shd w:val="clear" w:color="auto" w:fill="auto"/>
            <w:vAlign w:val="bottom"/>
          </w:tcPr>
          <w:p w14:paraId="24162ECA" w14:textId="6F934508" w:rsidR="001C6C15" w:rsidRPr="00226892" w:rsidRDefault="001C6C15" w:rsidP="00CB2AED">
            <w:pPr>
              <w:jc w:val="right"/>
              <w:rPr>
                <w:rFonts w:ascii="Arial" w:hAnsi="Arial" w:cs="Arial"/>
                <w:b/>
                <w:bCs/>
                <w:color w:val="000000"/>
                <w:sz w:val="16"/>
                <w:szCs w:val="16"/>
              </w:rPr>
            </w:pPr>
            <w:r w:rsidRPr="00226892">
              <w:rPr>
                <w:rFonts w:ascii="Arial" w:hAnsi="Arial" w:cs="Arial"/>
                <w:b/>
                <w:bCs/>
                <w:color w:val="000000"/>
                <w:sz w:val="16"/>
                <w:szCs w:val="16"/>
              </w:rPr>
              <w:t>-26</w:t>
            </w:r>
          </w:p>
        </w:tc>
        <w:tc>
          <w:tcPr>
            <w:tcW w:w="511" w:type="pct"/>
            <w:tcBorders>
              <w:top w:val="single" w:sz="4" w:space="0" w:color="auto"/>
              <w:left w:val="nil"/>
              <w:bottom w:val="single" w:sz="4" w:space="0" w:color="auto"/>
              <w:right w:val="nil"/>
            </w:tcBorders>
            <w:vAlign w:val="bottom"/>
          </w:tcPr>
          <w:p w14:paraId="468D5130" w14:textId="7FCC3C3D" w:rsidR="001C6C15" w:rsidRPr="00226892" w:rsidRDefault="001C6C15" w:rsidP="00CB2AED">
            <w:pPr>
              <w:jc w:val="right"/>
              <w:rPr>
                <w:rFonts w:ascii="Arial" w:hAnsi="Arial" w:cs="Arial"/>
                <w:b/>
                <w:bCs/>
                <w:color w:val="000000"/>
                <w:sz w:val="16"/>
                <w:szCs w:val="16"/>
              </w:rPr>
            </w:pPr>
            <w:r w:rsidRPr="00226892">
              <w:rPr>
                <w:rFonts w:ascii="Arial" w:hAnsi="Arial" w:cs="Arial"/>
                <w:b/>
                <w:bCs/>
                <w:color w:val="000000"/>
                <w:sz w:val="16"/>
                <w:szCs w:val="16"/>
              </w:rPr>
              <w:t>17 015</w:t>
            </w:r>
          </w:p>
        </w:tc>
        <w:tc>
          <w:tcPr>
            <w:tcW w:w="455" w:type="pct"/>
            <w:tcBorders>
              <w:top w:val="single" w:sz="4" w:space="0" w:color="auto"/>
              <w:left w:val="nil"/>
              <w:bottom w:val="single" w:sz="4" w:space="0" w:color="auto"/>
              <w:right w:val="nil"/>
            </w:tcBorders>
            <w:shd w:val="clear" w:color="auto" w:fill="auto"/>
            <w:vAlign w:val="bottom"/>
          </w:tcPr>
          <w:p w14:paraId="63D72A20" w14:textId="592FE592" w:rsidR="001C6C15" w:rsidRPr="00226892" w:rsidRDefault="001C6C15" w:rsidP="00CB2AED">
            <w:pPr>
              <w:jc w:val="right"/>
              <w:rPr>
                <w:rFonts w:ascii="Arial" w:hAnsi="Arial" w:cs="Arial"/>
                <w:b/>
                <w:bCs/>
                <w:color w:val="000000"/>
                <w:sz w:val="16"/>
                <w:szCs w:val="16"/>
              </w:rPr>
            </w:pPr>
            <w:r w:rsidRPr="00226892">
              <w:rPr>
                <w:rFonts w:ascii="Arial" w:hAnsi="Arial" w:cs="Arial"/>
                <w:b/>
                <w:bCs/>
                <w:color w:val="000000"/>
                <w:sz w:val="16"/>
                <w:szCs w:val="16"/>
              </w:rPr>
              <w:t xml:space="preserve">40 314 </w:t>
            </w:r>
          </w:p>
        </w:tc>
      </w:tr>
      <w:tr w:rsidR="001C6C15" w:rsidRPr="00226892" w14:paraId="7A4D148F" w14:textId="77777777" w:rsidTr="001C6C15">
        <w:trPr>
          <w:trHeight w:val="226"/>
        </w:trPr>
        <w:tc>
          <w:tcPr>
            <w:tcW w:w="1367" w:type="pct"/>
            <w:tcBorders>
              <w:top w:val="nil"/>
              <w:left w:val="nil"/>
              <w:bottom w:val="nil"/>
              <w:right w:val="nil"/>
            </w:tcBorders>
            <w:shd w:val="clear" w:color="auto" w:fill="auto"/>
            <w:vAlign w:val="bottom"/>
            <w:hideMark/>
          </w:tcPr>
          <w:p w14:paraId="0711D0F9" w14:textId="77777777" w:rsidR="001C6C15" w:rsidRPr="00226892" w:rsidRDefault="001C6C15" w:rsidP="00CB2AED">
            <w:pPr>
              <w:rPr>
                <w:rFonts w:ascii="Arial" w:hAnsi="Arial" w:cs="Arial"/>
                <w:b/>
                <w:bCs/>
                <w:color w:val="000000"/>
                <w:sz w:val="16"/>
                <w:szCs w:val="16"/>
              </w:rPr>
            </w:pPr>
          </w:p>
        </w:tc>
        <w:tc>
          <w:tcPr>
            <w:tcW w:w="451" w:type="pct"/>
            <w:tcBorders>
              <w:top w:val="single" w:sz="4" w:space="0" w:color="auto"/>
              <w:left w:val="nil"/>
              <w:bottom w:val="nil"/>
              <w:right w:val="nil"/>
            </w:tcBorders>
            <w:shd w:val="clear" w:color="auto" w:fill="auto"/>
            <w:vAlign w:val="bottom"/>
          </w:tcPr>
          <w:p w14:paraId="4D7C5C6F" w14:textId="77777777" w:rsidR="001C6C15" w:rsidRPr="00226892" w:rsidRDefault="001C6C15" w:rsidP="00CB2AED">
            <w:pPr>
              <w:jc w:val="right"/>
              <w:rPr>
                <w:rFonts w:ascii="Arial" w:hAnsi="Arial" w:cs="Arial"/>
                <w:sz w:val="16"/>
                <w:szCs w:val="16"/>
              </w:rPr>
            </w:pPr>
          </w:p>
        </w:tc>
        <w:tc>
          <w:tcPr>
            <w:tcW w:w="568" w:type="pct"/>
            <w:tcBorders>
              <w:top w:val="single" w:sz="4" w:space="0" w:color="auto"/>
              <w:left w:val="nil"/>
              <w:bottom w:val="nil"/>
              <w:right w:val="nil"/>
            </w:tcBorders>
            <w:shd w:val="clear" w:color="auto" w:fill="auto"/>
            <w:vAlign w:val="bottom"/>
          </w:tcPr>
          <w:p w14:paraId="208D7BC0" w14:textId="77777777" w:rsidR="001C6C15" w:rsidRPr="00226892" w:rsidRDefault="001C6C15" w:rsidP="00CB2AED">
            <w:pPr>
              <w:jc w:val="right"/>
              <w:rPr>
                <w:rFonts w:ascii="Arial" w:hAnsi="Arial" w:cs="Arial"/>
                <w:sz w:val="16"/>
                <w:szCs w:val="16"/>
              </w:rPr>
            </w:pPr>
          </w:p>
        </w:tc>
        <w:tc>
          <w:tcPr>
            <w:tcW w:w="511" w:type="pct"/>
            <w:tcBorders>
              <w:top w:val="single" w:sz="4" w:space="0" w:color="auto"/>
              <w:left w:val="nil"/>
              <w:bottom w:val="nil"/>
              <w:right w:val="nil"/>
            </w:tcBorders>
          </w:tcPr>
          <w:p w14:paraId="6589E394" w14:textId="77777777" w:rsidR="001C6C15" w:rsidRPr="00226892" w:rsidRDefault="001C6C15" w:rsidP="00CB2AED">
            <w:pPr>
              <w:jc w:val="right"/>
              <w:rPr>
                <w:rFonts w:ascii="Arial" w:hAnsi="Arial" w:cs="Arial"/>
                <w:sz w:val="16"/>
                <w:szCs w:val="16"/>
              </w:rPr>
            </w:pPr>
          </w:p>
        </w:tc>
        <w:tc>
          <w:tcPr>
            <w:tcW w:w="568" w:type="pct"/>
            <w:tcBorders>
              <w:top w:val="single" w:sz="4" w:space="0" w:color="auto"/>
              <w:left w:val="nil"/>
              <w:bottom w:val="nil"/>
              <w:right w:val="nil"/>
            </w:tcBorders>
            <w:vAlign w:val="bottom"/>
          </w:tcPr>
          <w:p w14:paraId="32E6C8F1" w14:textId="77777777" w:rsidR="001C6C15" w:rsidRPr="00226892" w:rsidRDefault="001C6C15" w:rsidP="00CB2AED">
            <w:pPr>
              <w:jc w:val="right"/>
              <w:rPr>
                <w:rFonts w:ascii="Arial" w:hAnsi="Arial" w:cs="Arial"/>
                <w:sz w:val="16"/>
                <w:szCs w:val="16"/>
              </w:rPr>
            </w:pPr>
          </w:p>
        </w:tc>
        <w:tc>
          <w:tcPr>
            <w:tcW w:w="568" w:type="pct"/>
            <w:tcBorders>
              <w:top w:val="single" w:sz="4" w:space="0" w:color="auto"/>
              <w:left w:val="nil"/>
              <w:bottom w:val="nil"/>
              <w:right w:val="nil"/>
            </w:tcBorders>
            <w:shd w:val="clear" w:color="auto" w:fill="auto"/>
            <w:vAlign w:val="bottom"/>
          </w:tcPr>
          <w:p w14:paraId="6B14D2D1" w14:textId="7596BD3D" w:rsidR="001C6C15" w:rsidRPr="00226892" w:rsidRDefault="001C6C15" w:rsidP="00CB2AED">
            <w:pPr>
              <w:jc w:val="right"/>
              <w:rPr>
                <w:rFonts w:ascii="Arial" w:hAnsi="Arial" w:cs="Arial"/>
                <w:sz w:val="16"/>
                <w:szCs w:val="16"/>
              </w:rPr>
            </w:pPr>
          </w:p>
        </w:tc>
        <w:tc>
          <w:tcPr>
            <w:tcW w:w="511" w:type="pct"/>
            <w:tcBorders>
              <w:top w:val="single" w:sz="4" w:space="0" w:color="auto"/>
              <w:left w:val="nil"/>
              <w:bottom w:val="nil"/>
              <w:right w:val="nil"/>
            </w:tcBorders>
            <w:vAlign w:val="bottom"/>
          </w:tcPr>
          <w:p w14:paraId="121F6059" w14:textId="77777777" w:rsidR="001C6C15" w:rsidRPr="00226892" w:rsidRDefault="001C6C15" w:rsidP="00CB2AED">
            <w:pPr>
              <w:jc w:val="right"/>
              <w:rPr>
                <w:rFonts w:ascii="Arial" w:hAnsi="Arial" w:cs="Arial"/>
                <w:sz w:val="16"/>
                <w:szCs w:val="16"/>
              </w:rPr>
            </w:pPr>
          </w:p>
        </w:tc>
        <w:tc>
          <w:tcPr>
            <w:tcW w:w="455" w:type="pct"/>
            <w:tcBorders>
              <w:top w:val="single" w:sz="4" w:space="0" w:color="auto"/>
              <w:left w:val="nil"/>
              <w:bottom w:val="nil"/>
              <w:right w:val="nil"/>
            </w:tcBorders>
            <w:shd w:val="clear" w:color="auto" w:fill="auto"/>
            <w:vAlign w:val="bottom"/>
          </w:tcPr>
          <w:p w14:paraId="29A72A31" w14:textId="77777777" w:rsidR="001C6C15" w:rsidRPr="00226892" w:rsidRDefault="001C6C15" w:rsidP="00CB2AED">
            <w:pPr>
              <w:jc w:val="right"/>
              <w:rPr>
                <w:rFonts w:ascii="Arial" w:hAnsi="Arial" w:cs="Arial"/>
                <w:sz w:val="16"/>
                <w:szCs w:val="16"/>
              </w:rPr>
            </w:pPr>
          </w:p>
        </w:tc>
      </w:tr>
      <w:tr w:rsidR="001C6C15" w:rsidRPr="00226892" w14:paraId="2FB89913" w14:textId="77777777" w:rsidTr="001C6C15">
        <w:trPr>
          <w:trHeight w:val="226"/>
        </w:trPr>
        <w:tc>
          <w:tcPr>
            <w:tcW w:w="1367" w:type="pct"/>
            <w:tcBorders>
              <w:top w:val="nil"/>
              <w:left w:val="nil"/>
              <w:bottom w:val="nil"/>
              <w:right w:val="nil"/>
            </w:tcBorders>
            <w:shd w:val="clear" w:color="auto" w:fill="auto"/>
            <w:vAlign w:val="bottom"/>
            <w:hideMark/>
          </w:tcPr>
          <w:p w14:paraId="4D3F979F" w14:textId="752020B0" w:rsidR="001C6C15" w:rsidRPr="00226892" w:rsidRDefault="001C6C15" w:rsidP="00CB2AED">
            <w:pPr>
              <w:rPr>
                <w:rFonts w:ascii="Arial" w:hAnsi="Arial" w:cs="Arial"/>
                <w:color w:val="000000"/>
                <w:sz w:val="16"/>
                <w:szCs w:val="16"/>
              </w:rPr>
            </w:pPr>
            <w:proofErr w:type="spellStart"/>
            <w:r w:rsidRPr="00226892">
              <w:rPr>
                <w:rFonts w:ascii="Arial" w:hAnsi="Arial" w:cs="Arial"/>
                <w:color w:val="000000"/>
                <w:sz w:val="16"/>
                <w:szCs w:val="16"/>
              </w:rPr>
              <w:t>Zisk</w:t>
            </w:r>
            <w:proofErr w:type="spellEnd"/>
            <w:r w:rsidRPr="00226892">
              <w:rPr>
                <w:rFonts w:ascii="Arial" w:hAnsi="Arial" w:cs="Arial"/>
                <w:color w:val="000000"/>
                <w:sz w:val="16"/>
                <w:szCs w:val="16"/>
              </w:rPr>
              <w:t xml:space="preserve"> za </w:t>
            </w:r>
            <w:proofErr w:type="spellStart"/>
            <w:r w:rsidRPr="00226892">
              <w:rPr>
                <w:rFonts w:ascii="Arial" w:hAnsi="Arial" w:cs="Arial"/>
                <w:color w:val="000000"/>
                <w:sz w:val="16"/>
                <w:szCs w:val="16"/>
              </w:rPr>
              <w:t>rok</w:t>
            </w:r>
            <w:proofErr w:type="spellEnd"/>
            <w:r w:rsidRPr="00226892">
              <w:rPr>
                <w:rFonts w:ascii="Arial" w:hAnsi="Arial" w:cs="Arial"/>
                <w:color w:val="000000"/>
                <w:sz w:val="16"/>
                <w:szCs w:val="16"/>
              </w:rPr>
              <w:t xml:space="preserve"> 2017</w:t>
            </w:r>
          </w:p>
        </w:tc>
        <w:tc>
          <w:tcPr>
            <w:tcW w:w="451" w:type="pct"/>
            <w:tcBorders>
              <w:top w:val="nil"/>
              <w:left w:val="nil"/>
              <w:bottom w:val="nil"/>
              <w:right w:val="nil"/>
            </w:tcBorders>
            <w:shd w:val="clear" w:color="auto" w:fill="auto"/>
            <w:vAlign w:val="bottom"/>
          </w:tcPr>
          <w:p w14:paraId="2D9E35D3" w14:textId="6C92FBF1" w:rsidR="001C6C15" w:rsidRPr="00226892" w:rsidRDefault="001C6C15" w:rsidP="00CB2AED">
            <w:pPr>
              <w:jc w:val="right"/>
              <w:rPr>
                <w:rFonts w:ascii="Arial" w:hAnsi="Arial" w:cs="Arial"/>
                <w:color w:val="000000"/>
                <w:sz w:val="16"/>
                <w:szCs w:val="16"/>
              </w:rPr>
            </w:pPr>
            <w:r w:rsidRPr="00226892">
              <w:rPr>
                <w:rFonts w:ascii="Arial" w:hAnsi="Arial" w:cs="Arial"/>
                <w:color w:val="000000"/>
                <w:sz w:val="16"/>
                <w:szCs w:val="16"/>
              </w:rPr>
              <w:t>-</w:t>
            </w:r>
          </w:p>
        </w:tc>
        <w:tc>
          <w:tcPr>
            <w:tcW w:w="568" w:type="pct"/>
            <w:tcBorders>
              <w:top w:val="nil"/>
              <w:left w:val="nil"/>
              <w:bottom w:val="nil"/>
              <w:right w:val="nil"/>
            </w:tcBorders>
            <w:shd w:val="clear" w:color="auto" w:fill="auto"/>
            <w:vAlign w:val="bottom"/>
          </w:tcPr>
          <w:p w14:paraId="38F7DBEB" w14:textId="5DD83E11" w:rsidR="001C6C15" w:rsidRPr="00226892" w:rsidRDefault="001C6C15" w:rsidP="00CB2AED">
            <w:pPr>
              <w:jc w:val="right"/>
              <w:rPr>
                <w:rFonts w:ascii="Arial" w:hAnsi="Arial" w:cs="Arial"/>
                <w:color w:val="000000"/>
                <w:sz w:val="16"/>
                <w:szCs w:val="16"/>
              </w:rPr>
            </w:pPr>
            <w:r w:rsidRPr="00226892">
              <w:rPr>
                <w:rFonts w:ascii="Arial" w:hAnsi="Arial" w:cs="Arial"/>
                <w:color w:val="000000"/>
                <w:sz w:val="16"/>
                <w:szCs w:val="16"/>
              </w:rPr>
              <w:t>-</w:t>
            </w:r>
          </w:p>
        </w:tc>
        <w:tc>
          <w:tcPr>
            <w:tcW w:w="511" w:type="pct"/>
            <w:tcBorders>
              <w:top w:val="nil"/>
              <w:left w:val="nil"/>
              <w:bottom w:val="nil"/>
              <w:right w:val="nil"/>
            </w:tcBorders>
          </w:tcPr>
          <w:p w14:paraId="62F865EE" w14:textId="4BD1F335" w:rsidR="001C6C15" w:rsidRPr="00226892" w:rsidDel="00436F82" w:rsidRDefault="001C6C15" w:rsidP="00CB2AED">
            <w:pPr>
              <w:jc w:val="right"/>
              <w:rPr>
                <w:rFonts w:ascii="Arial" w:hAnsi="Arial" w:cs="Arial"/>
                <w:color w:val="000000"/>
                <w:sz w:val="16"/>
                <w:szCs w:val="16"/>
              </w:rPr>
            </w:pPr>
            <w:r w:rsidRPr="00226892">
              <w:rPr>
                <w:rFonts w:ascii="Arial" w:hAnsi="Arial" w:cs="Arial"/>
                <w:color w:val="000000"/>
                <w:sz w:val="16"/>
                <w:szCs w:val="16"/>
                <w:lang w:val="en-US"/>
              </w:rPr>
              <w:t>-</w:t>
            </w:r>
          </w:p>
        </w:tc>
        <w:tc>
          <w:tcPr>
            <w:tcW w:w="568" w:type="pct"/>
            <w:tcBorders>
              <w:top w:val="nil"/>
              <w:left w:val="nil"/>
              <w:bottom w:val="nil"/>
              <w:right w:val="nil"/>
            </w:tcBorders>
            <w:vAlign w:val="bottom"/>
          </w:tcPr>
          <w:p w14:paraId="51D20C58" w14:textId="506C1AB6" w:rsidR="001C6C15" w:rsidRPr="00226892" w:rsidRDefault="001C6C15" w:rsidP="00CB2AED">
            <w:pPr>
              <w:jc w:val="right"/>
              <w:rPr>
                <w:rFonts w:ascii="Arial" w:hAnsi="Arial" w:cs="Arial"/>
                <w:color w:val="000000"/>
                <w:sz w:val="16"/>
                <w:szCs w:val="16"/>
              </w:rPr>
            </w:pPr>
            <w:r w:rsidRPr="00226892">
              <w:rPr>
                <w:rFonts w:ascii="Arial" w:hAnsi="Arial" w:cs="Arial"/>
                <w:color w:val="000000"/>
                <w:sz w:val="16"/>
                <w:szCs w:val="16"/>
              </w:rPr>
              <w:t>-</w:t>
            </w:r>
          </w:p>
        </w:tc>
        <w:tc>
          <w:tcPr>
            <w:tcW w:w="568" w:type="pct"/>
            <w:tcBorders>
              <w:top w:val="nil"/>
              <w:left w:val="nil"/>
              <w:bottom w:val="nil"/>
              <w:right w:val="nil"/>
            </w:tcBorders>
            <w:shd w:val="clear" w:color="auto" w:fill="auto"/>
            <w:vAlign w:val="bottom"/>
          </w:tcPr>
          <w:p w14:paraId="38DF9A5C" w14:textId="5E498584" w:rsidR="001C6C15" w:rsidRPr="00226892" w:rsidRDefault="001C6C15" w:rsidP="00CB2AED">
            <w:pPr>
              <w:jc w:val="right"/>
              <w:rPr>
                <w:rFonts w:ascii="Arial" w:hAnsi="Arial" w:cs="Arial"/>
                <w:color w:val="000000"/>
                <w:sz w:val="16"/>
                <w:szCs w:val="16"/>
              </w:rPr>
            </w:pPr>
            <w:r w:rsidRPr="00226892">
              <w:rPr>
                <w:rFonts w:ascii="Arial" w:hAnsi="Arial" w:cs="Arial"/>
                <w:color w:val="000000"/>
                <w:sz w:val="16"/>
                <w:szCs w:val="16"/>
              </w:rPr>
              <w:t>-</w:t>
            </w:r>
          </w:p>
        </w:tc>
        <w:tc>
          <w:tcPr>
            <w:tcW w:w="511" w:type="pct"/>
            <w:tcBorders>
              <w:top w:val="nil"/>
              <w:left w:val="nil"/>
              <w:bottom w:val="nil"/>
              <w:right w:val="nil"/>
            </w:tcBorders>
            <w:vAlign w:val="bottom"/>
          </w:tcPr>
          <w:p w14:paraId="24262A4B" w14:textId="45940B25" w:rsidR="001C6C15" w:rsidRPr="00226892" w:rsidRDefault="001C6C15" w:rsidP="00CB2AED">
            <w:pPr>
              <w:jc w:val="right"/>
              <w:rPr>
                <w:rFonts w:ascii="Arial" w:hAnsi="Arial" w:cs="Arial"/>
                <w:color w:val="000000"/>
                <w:sz w:val="16"/>
                <w:szCs w:val="16"/>
              </w:rPr>
            </w:pPr>
            <w:r w:rsidRPr="00226892">
              <w:rPr>
                <w:rFonts w:ascii="Arial" w:hAnsi="Arial" w:cs="Arial"/>
                <w:color w:val="000000"/>
                <w:sz w:val="16"/>
                <w:szCs w:val="16"/>
              </w:rPr>
              <w:t>1 927</w:t>
            </w:r>
          </w:p>
        </w:tc>
        <w:tc>
          <w:tcPr>
            <w:tcW w:w="455" w:type="pct"/>
            <w:tcBorders>
              <w:top w:val="nil"/>
              <w:left w:val="nil"/>
              <w:bottom w:val="nil"/>
              <w:right w:val="nil"/>
            </w:tcBorders>
            <w:shd w:val="clear" w:color="auto" w:fill="auto"/>
            <w:vAlign w:val="bottom"/>
          </w:tcPr>
          <w:p w14:paraId="0B2F31E5" w14:textId="5B7C5D63" w:rsidR="001C6C15" w:rsidRPr="00226892" w:rsidRDefault="001C6C15" w:rsidP="00CB2AED">
            <w:pPr>
              <w:jc w:val="right"/>
              <w:rPr>
                <w:rFonts w:ascii="Arial" w:hAnsi="Arial" w:cs="Arial"/>
                <w:color w:val="000000"/>
                <w:sz w:val="16"/>
                <w:szCs w:val="16"/>
              </w:rPr>
            </w:pPr>
            <w:r w:rsidRPr="00226892">
              <w:rPr>
                <w:rFonts w:ascii="Arial" w:hAnsi="Arial" w:cs="Arial"/>
                <w:color w:val="000000"/>
                <w:sz w:val="16"/>
                <w:szCs w:val="16"/>
              </w:rPr>
              <w:t>1 927</w:t>
            </w:r>
          </w:p>
        </w:tc>
      </w:tr>
      <w:tr w:rsidR="001C6C15" w:rsidRPr="00226892" w14:paraId="20735F11" w14:textId="77777777" w:rsidTr="001C6C15">
        <w:trPr>
          <w:trHeight w:val="226"/>
        </w:trPr>
        <w:tc>
          <w:tcPr>
            <w:tcW w:w="1367" w:type="pct"/>
            <w:tcBorders>
              <w:top w:val="nil"/>
              <w:left w:val="nil"/>
              <w:bottom w:val="nil"/>
              <w:right w:val="nil"/>
            </w:tcBorders>
            <w:shd w:val="clear" w:color="auto" w:fill="auto"/>
            <w:vAlign w:val="bottom"/>
          </w:tcPr>
          <w:p w14:paraId="04CCBE36" w14:textId="5559A044" w:rsidR="001C6C15" w:rsidRPr="00226892" w:rsidRDefault="001C6C15" w:rsidP="00CB2AED">
            <w:pPr>
              <w:rPr>
                <w:rFonts w:ascii="Arial" w:hAnsi="Arial" w:cs="Arial"/>
                <w:color w:val="000000"/>
                <w:sz w:val="16"/>
                <w:szCs w:val="16"/>
                <w:lang w:val="sk-SK"/>
              </w:rPr>
            </w:pPr>
            <w:proofErr w:type="spellStart"/>
            <w:r w:rsidRPr="00226892">
              <w:rPr>
                <w:rFonts w:ascii="Arial" w:hAnsi="Arial" w:cs="Arial"/>
                <w:color w:val="000000"/>
                <w:sz w:val="16"/>
                <w:szCs w:val="16"/>
              </w:rPr>
              <w:t>Vplyv</w:t>
            </w:r>
            <w:proofErr w:type="spellEnd"/>
            <w:r w:rsidRPr="00226892">
              <w:rPr>
                <w:rFonts w:ascii="Arial" w:hAnsi="Arial" w:cs="Arial"/>
                <w:color w:val="000000"/>
                <w:sz w:val="16"/>
                <w:szCs w:val="16"/>
              </w:rPr>
              <w:t xml:space="preserve"> </w:t>
            </w:r>
            <w:proofErr w:type="spellStart"/>
            <w:r w:rsidRPr="00226892">
              <w:rPr>
                <w:rFonts w:ascii="Arial" w:hAnsi="Arial" w:cs="Arial"/>
                <w:color w:val="000000"/>
                <w:sz w:val="16"/>
                <w:szCs w:val="16"/>
              </w:rPr>
              <w:t>prepo</w:t>
            </w:r>
            <w:r w:rsidRPr="00226892">
              <w:rPr>
                <w:rFonts w:ascii="Arial" w:hAnsi="Arial" w:cs="Arial"/>
                <w:color w:val="000000"/>
                <w:sz w:val="16"/>
                <w:szCs w:val="16"/>
                <w:lang w:val="sk-SK"/>
              </w:rPr>
              <w:t>čtu</w:t>
            </w:r>
            <w:proofErr w:type="spellEnd"/>
            <w:r w:rsidRPr="00226892">
              <w:rPr>
                <w:rFonts w:ascii="Arial" w:hAnsi="Arial" w:cs="Arial"/>
                <w:color w:val="000000"/>
                <w:sz w:val="16"/>
                <w:szCs w:val="16"/>
                <w:lang w:val="sk-SK"/>
              </w:rPr>
              <w:t xml:space="preserve"> zahraničnej dcérskej spoločnosti</w:t>
            </w:r>
          </w:p>
        </w:tc>
        <w:tc>
          <w:tcPr>
            <w:tcW w:w="451" w:type="pct"/>
            <w:tcBorders>
              <w:top w:val="nil"/>
              <w:left w:val="nil"/>
              <w:right w:val="nil"/>
            </w:tcBorders>
            <w:shd w:val="clear" w:color="auto" w:fill="auto"/>
            <w:vAlign w:val="bottom"/>
          </w:tcPr>
          <w:p w14:paraId="3499B07B" w14:textId="6A664511" w:rsidR="001C6C15" w:rsidRPr="00226892" w:rsidRDefault="001C6C15" w:rsidP="00CB2AED">
            <w:pPr>
              <w:jc w:val="right"/>
              <w:rPr>
                <w:rFonts w:ascii="Arial" w:hAnsi="Arial" w:cs="Arial"/>
                <w:color w:val="000000"/>
                <w:sz w:val="16"/>
                <w:szCs w:val="16"/>
              </w:rPr>
            </w:pPr>
            <w:r w:rsidRPr="00226892">
              <w:rPr>
                <w:rFonts w:ascii="Arial" w:hAnsi="Arial" w:cs="Arial"/>
                <w:color w:val="000000"/>
                <w:sz w:val="16"/>
                <w:szCs w:val="16"/>
              </w:rPr>
              <w:t>-</w:t>
            </w:r>
          </w:p>
        </w:tc>
        <w:tc>
          <w:tcPr>
            <w:tcW w:w="568" w:type="pct"/>
            <w:tcBorders>
              <w:top w:val="nil"/>
              <w:left w:val="nil"/>
              <w:right w:val="nil"/>
            </w:tcBorders>
            <w:shd w:val="clear" w:color="auto" w:fill="auto"/>
            <w:vAlign w:val="bottom"/>
          </w:tcPr>
          <w:p w14:paraId="2CCC49BC" w14:textId="70747A62" w:rsidR="001C6C15" w:rsidRPr="00226892" w:rsidDel="00436F82" w:rsidRDefault="001C6C15" w:rsidP="00CB2AED">
            <w:pPr>
              <w:jc w:val="right"/>
              <w:rPr>
                <w:rFonts w:ascii="Arial" w:hAnsi="Arial" w:cs="Arial"/>
                <w:color w:val="000000"/>
                <w:sz w:val="16"/>
                <w:szCs w:val="16"/>
              </w:rPr>
            </w:pPr>
            <w:r w:rsidRPr="00226892">
              <w:rPr>
                <w:rFonts w:ascii="Arial" w:hAnsi="Arial" w:cs="Arial"/>
                <w:color w:val="000000"/>
                <w:sz w:val="16"/>
                <w:szCs w:val="16"/>
              </w:rPr>
              <w:t>-</w:t>
            </w:r>
          </w:p>
        </w:tc>
        <w:tc>
          <w:tcPr>
            <w:tcW w:w="511" w:type="pct"/>
            <w:tcBorders>
              <w:top w:val="nil"/>
              <w:left w:val="nil"/>
              <w:right w:val="nil"/>
            </w:tcBorders>
          </w:tcPr>
          <w:p w14:paraId="6D7134E5" w14:textId="3F88004E" w:rsidR="001C6C15" w:rsidRPr="00226892" w:rsidRDefault="001C6C15" w:rsidP="00CB2AED">
            <w:pPr>
              <w:tabs>
                <w:tab w:val="left" w:pos="1020"/>
              </w:tabs>
              <w:jc w:val="right"/>
              <w:rPr>
                <w:rFonts w:ascii="Arial" w:hAnsi="Arial" w:cs="Arial"/>
                <w:sz w:val="16"/>
                <w:szCs w:val="16"/>
              </w:rPr>
            </w:pPr>
            <w:r w:rsidRPr="00226892">
              <w:rPr>
                <w:rFonts w:ascii="Arial" w:hAnsi="Arial" w:cs="Arial"/>
                <w:sz w:val="16"/>
                <w:szCs w:val="16"/>
              </w:rPr>
              <w:br/>
              <w:t>-</w:t>
            </w:r>
          </w:p>
        </w:tc>
        <w:tc>
          <w:tcPr>
            <w:tcW w:w="568" w:type="pct"/>
            <w:tcBorders>
              <w:top w:val="nil"/>
              <w:left w:val="nil"/>
              <w:right w:val="nil"/>
            </w:tcBorders>
            <w:vAlign w:val="bottom"/>
          </w:tcPr>
          <w:p w14:paraId="1670BFDB" w14:textId="5F80902B" w:rsidR="001C6C15" w:rsidRPr="00226892" w:rsidDel="00645113" w:rsidRDefault="001C6C15" w:rsidP="00CB2AED">
            <w:pPr>
              <w:jc w:val="right"/>
              <w:rPr>
                <w:rFonts w:ascii="Arial" w:hAnsi="Arial" w:cs="Arial"/>
                <w:color w:val="000000"/>
                <w:sz w:val="16"/>
                <w:szCs w:val="16"/>
              </w:rPr>
            </w:pPr>
            <w:r w:rsidRPr="00226892">
              <w:rPr>
                <w:rFonts w:ascii="Arial" w:hAnsi="Arial" w:cs="Arial"/>
                <w:color w:val="000000"/>
                <w:sz w:val="16"/>
                <w:szCs w:val="16"/>
              </w:rPr>
              <w:t>-</w:t>
            </w:r>
          </w:p>
        </w:tc>
        <w:tc>
          <w:tcPr>
            <w:tcW w:w="568" w:type="pct"/>
            <w:tcBorders>
              <w:top w:val="nil"/>
              <w:left w:val="nil"/>
              <w:right w:val="nil"/>
            </w:tcBorders>
            <w:shd w:val="clear" w:color="auto" w:fill="auto"/>
            <w:vAlign w:val="bottom"/>
          </w:tcPr>
          <w:p w14:paraId="5283B14B" w14:textId="7EE656F7" w:rsidR="001C6C15" w:rsidRPr="0017639D" w:rsidDel="00645113" w:rsidRDefault="0017639D" w:rsidP="00CB2AED">
            <w:pPr>
              <w:jc w:val="right"/>
              <w:rPr>
                <w:rFonts w:ascii="Arial" w:hAnsi="Arial" w:cs="Arial"/>
                <w:color w:val="000000"/>
                <w:sz w:val="16"/>
                <w:szCs w:val="16"/>
                <w:lang w:val="en-US"/>
              </w:rPr>
            </w:pPr>
            <w:r>
              <w:rPr>
                <w:rFonts w:ascii="Arial" w:hAnsi="Arial" w:cs="Arial"/>
                <w:color w:val="000000"/>
                <w:sz w:val="16"/>
                <w:szCs w:val="16"/>
                <w:lang w:val="en-US"/>
              </w:rPr>
              <w:t>161</w:t>
            </w:r>
          </w:p>
        </w:tc>
        <w:tc>
          <w:tcPr>
            <w:tcW w:w="511" w:type="pct"/>
            <w:tcBorders>
              <w:top w:val="nil"/>
              <w:left w:val="nil"/>
              <w:right w:val="nil"/>
            </w:tcBorders>
            <w:vAlign w:val="bottom"/>
          </w:tcPr>
          <w:p w14:paraId="213576BF" w14:textId="3FF20481" w:rsidR="001C6C15" w:rsidRPr="00226892" w:rsidRDefault="001C6C15" w:rsidP="00CB2AED">
            <w:pPr>
              <w:jc w:val="right"/>
              <w:rPr>
                <w:rFonts w:ascii="Arial" w:hAnsi="Arial" w:cs="Arial"/>
                <w:color w:val="000000"/>
                <w:sz w:val="16"/>
                <w:szCs w:val="16"/>
              </w:rPr>
            </w:pPr>
            <w:r w:rsidRPr="00226892">
              <w:rPr>
                <w:rFonts w:ascii="Arial" w:hAnsi="Arial" w:cs="Arial"/>
                <w:color w:val="000000"/>
                <w:sz w:val="16"/>
                <w:szCs w:val="16"/>
              </w:rPr>
              <w:t>-</w:t>
            </w:r>
          </w:p>
        </w:tc>
        <w:tc>
          <w:tcPr>
            <w:tcW w:w="455" w:type="pct"/>
            <w:tcBorders>
              <w:top w:val="nil"/>
              <w:left w:val="nil"/>
              <w:right w:val="nil"/>
            </w:tcBorders>
            <w:shd w:val="clear" w:color="auto" w:fill="auto"/>
            <w:vAlign w:val="bottom"/>
          </w:tcPr>
          <w:p w14:paraId="308B5EEC" w14:textId="269326B4" w:rsidR="001C6C15" w:rsidRPr="00226892" w:rsidDel="00436F82" w:rsidRDefault="001C6C15" w:rsidP="00CB2AED">
            <w:pPr>
              <w:jc w:val="right"/>
              <w:rPr>
                <w:rFonts w:ascii="Arial" w:hAnsi="Arial" w:cs="Arial"/>
                <w:color w:val="000000"/>
                <w:sz w:val="16"/>
                <w:szCs w:val="16"/>
              </w:rPr>
            </w:pPr>
            <w:r w:rsidRPr="00226892">
              <w:rPr>
                <w:rFonts w:ascii="Arial" w:hAnsi="Arial" w:cs="Arial"/>
                <w:color w:val="000000"/>
                <w:sz w:val="16"/>
                <w:szCs w:val="16"/>
              </w:rPr>
              <w:t>161</w:t>
            </w:r>
          </w:p>
        </w:tc>
      </w:tr>
      <w:tr w:rsidR="001C6C15" w:rsidRPr="00226892" w14:paraId="513D320C" w14:textId="77777777" w:rsidTr="001C6C15">
        <w:trPr>
          <w:trHeight w:val="226"/>
        </w:trPr>
        <w:tc>
          <w:tcPr>
            <w:tcW w:w="1367" w:type="pct"/>
            <w:tcBorders>
              <w:top w:val="nil"/>
              <w:left w:val="nil"/>
              <w:bottom w:val="nil"/>
              <w:right w:val="nil"/>
            </w:tcBorders>
            <w:shd w:val="clear" w:color="auto" w:fill="auto"/>
            <w:vAlign w:val="bottom"/>
          </w:tcPr>
          <w:p w14:paraId="0E1AB7F0" w14:textId="5D92DE43" w:rsidR="001C6C15" w:rsidRPr="00226892" w:rsidRDefault="001C6C15" w:rsidP="00CB2AED">
            <w:pPr>
              <w:rPr>
                <w:rFonts w:ascii="Arial" w:hAnsi="Arial" w:cs="Arial"/>
                <w:color w:val="000000"/>
                <w:sz w:val="16"/>
                <w:szCs w:val="16"/>
              </w:rPr>
            </w:pPr>
            <w:proofErr w:type="spellStart"/>
            <w:r w:rsidRPr="00226892">
              <w:rPr>
                <w:rFonts w:ascii="Arial" w:hAnsi="Arial" w:cs="Arial"/>
                <w:color w:val="000000"/>
                <w:sz w:val="16"/>
                <w:szCs w:val="16"/>
              </w:rPr>
              <w:t>Ostatné</w:t>
            </w:r>
            <w:proofErr w:type="spellEnd"/>
          </w:p>
        </w:tc>
        <w:tc>
          <w:tcPr>
            <w:tcW w:w="451" w:type="pct"/>
            <w:tcBorders>
              <w:top w:val="nil"/>
              <w:left w:val="nil"/>
              <w:bottom w:val="single" w:sz="4" w:space="0" w:color="auto"/>
              <w:right w:val="nil"/>
            </w:tcBorders>
            <w:shd w:val="clear" w:color="auto" w:fill="auto"/>
            <w:vAlign w:val="bottom"/>
          </w:tcPr>
          <w:p w14:paraId="320F2F4B" w14:textId="0B822326" w:rsidR="001C6C15" w:rsidRPr="00226892" w:rsidRDefault="001C6C15" w:rsidP="00CB2AED">
            <w:pPr>
              <w:jc w:val="right"/>
              <w:rPr>
                <w:rFonts w:ascii="Arial" w:hAnsi="Arial" w:cs="Arial"/>
                <w:color w:val="000000"/>
                <w:sz w:val="16"/>
                <w:szCs w:val="16"/>
              </w:rPr>
            </w:pPr>
            <w:r w:rsidRPr="00226892">
              <w:rPr>
                <w:rFonts w:ascii="Arial" w:hAnsi="Arial" w:cs="Arial"/>
                <w:color w:val="000000"/>
                <w:sz w:val="16"/>
                <w:szCs w:val="16"/>
              </w:rPr>
              <w:t>-</w:t>
            </w:r>
          </w:p>
        </w:tc>
        <w:tc>
          <w:tcPr>
            <w:tcW w:w="568" w:type="pct"/>
            <w:tcBorders>
              <w:top w:val="nil"/>
              <w:left w:val="nil"/>
              <w:bottom w:val="single" w:sz="4" w:space="0" w:color="auto"/>
              <w:right w:val="nil"/>
            </w:tcBorders>
            <w:shd w:val="clear" w:color="auto" w:fill="auto"/>
            <w:vAlign w:val="bottom"/>
          </w:tcPr>
          <w:p w14:paraId="0B961BD1" w14:textId="1A8B2FB1" w:rsidR="001C6C15" w:rsidRPr="00226892" w:rsidDel="00436F82" w:rsidRDefault="001C6C15" w:rsidP="00CB2AED">
            <w:pPr>
              <w:jc w:val="right"/>
              <w:rPr>
                <w:rFonts w:ascii="Arial" w:hAnsi="Arial" w:cs="Arial"/>
                <w:color w:val="000000"/>
                <w:sz w:val="16"/>
                <w:szCs w:val="16"/>
              </w:rPr>
            </w:pPr>
            <w:r w:rsidRPr="00226892">
              <w:rPr>
                <w:rFonts w:ascii="Arial" w:hAnsi="Arial" w:cs="Arial"/>
                <w:color w:val="000000"/>
                <w:sz w:val="16"/>
                <w:szCs w:val="16"/>
              </w:rPr>
              <w:t>429</w:t>
            </w:r>
          </w:p>
        </w:tc>
        <w:tc>
          <w:tcPr>
            <w:tcW w:w="511" w:type="pct"/>
            <w:tcBorders>
              <w:top w:val="nil"/>
              <w:left w:val="nil"/>
              <w:bottom w:val="single" w:sz="4" w:space="0" w:color="auto"/>
              <w:right w:val="nil"/>
            </w:tcBorders>
          </w:tcPr>
          <w:p w14:paraId="18B5C84E" w14:textId="68B14655" w:rsidR="001C6C15" w:rsidRPr="00226892" w:rsidRDefault="001C6C15" w:rsidP="00CB2AED">
            <w:pPr>
              <w:jc w:val="right"/>
              <w:rPr>
                <w:rFonts w:ascii="Arial" w:hAnsi="Arial" w:cs="Arial"/>
                <w:color w:val="000000"/>
                <w:sz w:val="16"/>
                <w:szCs w:val="16"/>
              </w:rPr>
            </w:pPr>
            <w:r w:rsidRPr="00226892">
              <w:rPr>
                <w:rFonts w:ascii="Arial" w:hAnsi="Arial" w:cs="Arial"/>
                <w:color w:val="000000"/>
                <w:sz w:val="16"/>
                <w:szCs w:val="16"/>
              </w:rPr>
              <w:t>-</w:t>
            </w:r>
          </w:p>
        </w:tc>
        <w:tc>
          <w:tcPr>
            <w:tcW w:w="568" w:type="pct"/>
            <w:tcBorders>
              <w:top w:val="nil"/>
              <w:left w:val="nil"/>
              <w:bottom w:val="single" w:sz="4" w:space="0" w:color="auto"/>
              <w:right w:val="nil"/>
            </w:tcBorders>
            <w:vAlign w:val="bottom"/>
          </w:tcPr>
          <w:p w14:paraId="1AC17438" w14:textId="73E40B16" w:rsidR="001C6C15" w:rsidRPr="00226892" w:rsidDel="009D65DB" w:rsidRDefault="001C6C15" w:rsidP="00CB2AED">
            <w:pPr>
              <w:pStyle w:val="Odsekzoznamu"/>
              <w:jc w:val="right"/>
              <w:rPr>
                <w:rFonts w:ascii="Arial" w:hAnsi="Arial" w:cs="Arial"/>
                <w:color w:val="000000"/>
                <w:sz w:val="16"/>
                <w:szCs w:val="16"/>
              </w:rPr>
            </w:pPr>
            <w:r w:rsidRPr="00226892">
              <w:rPr>
                <w:rFonts w:ascii="Arial" w:hAnsi="Arial" w:cs="Arial"/>
                <w:color w:val="000000"/>
                <w:sz w:val="16"/>
                <w:szCs w:val="16"/>
              </w:rPr>
              <w:t>-</w:t>
            </w:r>
          </w:p>
        </w:tc>
        <w:tc>
          <w:tcPr>
            <w:tcW w:w="568" w:type="pct"/>
            <w:tcBorders>
              <w:top w:val="nil"/>
              <w:left w:val="nil"/>
              <w:bottom w:val="single" w:sz="4" w:space="0" w:color="auto"/>
              <w:right w:val="nil"/>
            </w:tcBorders>
            <w:shd w:val="clear" w:color="auto" w:fill="auto"/>
            <w:vAlign w:val="bottom"/>
          </w:tcPr>
          <w:p w14:paraId="10D209FB" w14:textId="0E8A2D87" w:rsidR="001C6C15" w:rsidRPr="00226892" w:rsidDel="009D65DB" w:rsidRDefault="001C6C15" w:rsidP="00CB2AED">
            <w:pPr>
              <w:pStyle w:val="Odsekzoznamu"/>
              <w:jc w:val="right"/>
              <w:rPr>
                <w:rFonts w:ascii="Arial" w:hAnsi="Arial" w:cs="Arial"/>
                <w:color w:val="000000"/>
                <w:sz w:val="16"/>
                <w:szCs w:val="16"/>
              </w:rPr>
            </w:pPr>
            <w:r w:rsidRPr="00226892">
              <w:rPr>
                <w:rFonts w:ascii="Arial" w:hAnsi="Arial" w:cs="Arial"/>
                <w:color w:val="000000"/>
                <w:sz w:val="16"/>
                <w:szCs w:val="16"/>
              </w:rPr>
              <w:t>-</w:t>
            </w:r>
          </w:p>
        </w:tc>
        <w:tc>
          <w:tcPr>
            <w:tcW w:w="511" w:type="pct"/>
            <w:tcBorders>
              <w:top w:val="nil"/>
              <w:left w:val="nil"/>
              <w:bottom w:val="single" w:sz="4" w:space="0" w:color="auto"/>
              <w:right w:val="nil"/>
            </w:tcBorders>
            <w:vAlign w:val="bottom"/>
          </w:tcPr>
          <w:p w14:paraId="64D58F67" w14:textId="77FB9EC3" w:rsidR="001C6C15" w:rsidRPr="00226892" w:rsidRDefault="001C6C15" w:rsidP="00CB2AED">
            <w:pPr>
              <w:jc w:val="right"/>
              <w:rPr>
                <w:rFonts w:ascii="Arial" w:hAnsi="Arial" w:cs="Arial"/>
                <w:color w:val="000000"/>
                <w:sz w:val="16"/>
                <w:szCs w:val="16"/>
              </w:rPr>
            </w:pPr>
            <w:r w:rsidRPr="00226892">
              <w:rPr>
                <w:rFonts w:ascii="Arial" w:hAnsi="Arial" w:cs="Arial"/>
                <w:color w:val="000000"/>
                <w:sz w:val="16"/>
                <w:szCs w:val="16"/>
              </w:rPr>
              <w:t>-440</w:t>
            </w:r>
          </w:p>
        </w:tc>
        <w:tc>
          <w:tcPr>
            <w:tcW w:w="455" w:type="pct"/>
            <w:tcBorders>
              <w:top w:val="nil"/>
              <w:left w:val="nil"/>
              <w:bottom w:val="single" w:sz="4" w:space="0" w:color="auto"/>
              <w:right w:val="nil"/>
            </w:tcBorders>
            <w:shd w:val="clear" w:color="auto" w:fill="auto"/>
            <w:vAlign w:val="bottom"/>
          </w:tcPr>
          <w:p w14:paraId="6FEB40DD" w14:textId="5952944C" w:rsidR="001C6C15" w:rsidRPr="00226892" w:rsidDel="009D65DB" w:rsidRDefault="001C6C15" w:rsidP="00CB2AED">
            <w:pPr>
              <w:jc w:val="right"/>
              <w:rPr>
                <w:rFonts w:ascii="Arial" w:hAnsi="Arial" w:cs="Arial"/>
                <w:color w:val="000000"/>
                <w:sz w:val="16"/>
                <w:szCs w:val="16"/>
              </w:rPr>
            </w:pPr>
            <w:r w:rsidRPr="00226892">
              <w:rPr>
                <w:rFonts w:ascii="Arial" w:hAnsi="Arial" w:cs="Arial"/>
                <w:color w:val="000000"/>
                <w:sz w:val="16"/>
                <w:szCs w:val="16"/>
              </w:rPr>
              <w:t>-11</w:t>
            </w:r>
          </w:p>
        </w:tc>
      </w:tr>
      <w:tr w:rsidR="001C6C15" w:rsidRPr="00226892" w14:paraId="0E4F4071" w14:textId="77777777" w:rsidTr="001C6C15">
        <w:trPr>
          <w:trHeight w:val="226"/>
        </w:trPr>
        <w:tc>
          <w:tcPr>
            <w:tcW w:w="1367" w:type="pct"/>
            <w:tcBorders>
              <w:top w:val="nil"/>
              <w:left w:val="nil"/>
              <w:bottom w:val="nil"/>
              <w:right w:val="nil"/>
            </w:tcBorders>
            <w:shd w:val="clear" w:color="auto" w:fill="auto"/>
            <w:vAlign w:val="bottom"/>
            <w:hideMark/>
          </w:tcPr>
          <w:p w14:paraId="37881A68" w14:textId="77777777" w:rsidR="001C6C15" w:rsidRPr="00226892" w:rsidRDefault="001C6C15" w:rsidP="001C6C15">
            <w:pPr>
              <w:rPr>
                <w:rFonts w:ascii="Arial" w:hAnsi="Arial" w:cs="Arial"/>
                <w:b/>
                <w:bCs/>
                <w:i/>
                <w:iCs/>
                <w:color w:val="000000"/>
                <w:sz w:val="16"/>
                <w:szCs w:val="16"/>
              </w:rPr>
            </w:pPr>
          </w:p>
          <w:p w14:paraId="2C82AE64" w14:textId="3909A2B7" w:rsidR="001C6C15" w:rsidRPr="00226892" w:rsidRDefault="001C6C15" w:rsidP="001C6C15">
            <w:pPr>
              <w:rPr>
                <w:rFonts w:ascii="Arial" w:hAnsi="Arial" w:cs="Arial"/>
                <w:b/>
                <w:bCs/>
                <w:i/>
                <w:iCs/>
                <w:color w:val="000000"/>
                <w:sz w:val="16"/>
                <w:szCs w:val="16"/>
              </w:rPr>
            </w:pPr>
            <w:proofErr w:type="spellStart"/>
            <w:r w:rsidRPr="00226892">
              <w:rPr>
                <w:rFonts w:ascii="Arial" w:hAnsi="Arial" w:cs="Arial"/>
                <w:b/>
                <w:bCs/>
                <w:i/>
                <w:iCs/>
                <w:color w:val="000000"/>
                <w:sz w:val="16"/>
                <w:szCs w:val="16"/>
              </w:rPr>
              <w:t>Súhrnný</w:t>
            </w:r>
            <w:proofErr w:type="spellEnd"/>
            <w:r w:rsidRPr="00226892">
              <w:rPr>
                <w:rFonts w:ascii="Arial" w:hAnsi="Arial" w:cs="Arial"/>
                <w:b/>
                <w:bCs/>
                <w:i/>
                <w:iCs/>
                <w:color w:val="000000"/>
                <w:sz w:val="16"/>
                <w:szCs w:val="16"/>
              </w:rPr>
              <w:t xml:space="preserve"> </w:t>
            </w:r>
            <w:proofErr w:type="spellStart"/>
            <w:r w:rsidRPr="00226892">
              <w:rPr>
                <w:rFonts w:ascii="Arial" w:hAnsi="Arial" w:cs="Arial"/>
                <w:b/>
                <w:bCs/>
                <w:i/>
                <w:iCs/>
                <w:color w:val="000000"/>
                <w:sz w:val="16"/>
                <w:szCs w:val="16"/>
              </w:rPr>
              <w:t>zisk</w:t>
            </w:r>
            <w:proofErr w:type="spellEnd"/>
            <w:r w:rsidRPr="00226892">
              <w:rPr>
                <w:rFonts w:ascii="Arial" w:hAnsi="Arial" w:cs="Arial"/>
                <w:b/>
                <w:bCs/>
                <w:i/>
                <w:iCs/>
                <w:color w:val="000000"/>
                <w:sz w:val="16"/>
                <w:szCs w:val="16"/>
              </w:rPr>
              <w:t xml:space="preserve"> za </w:t>
            </w:r>
            <w:proofErr w:type="spellStart"/>
            <w:r w:rsidRPr="00226892">
              <w:rPr>
                <w:rFonts w:ascii="Arial" w:hAnsi="Arial" w:cs="Arial"/>
                <w:b/>
                <w:bCs/>
                <w:i/>
                <w:iCs/>
                <w:color w:val="000000"/>
                <w:sz w:val="16"/>
                <w:szCs w:val="16"/>
              </w:rPr>
              <w:t>účtovné</w:t>
            </w:r>
            <w:proofErr w:type="spellEnd"/>
            <w:r w:rsidRPr="00226892">
              <w:rPr>
                <w:rFonts w:ascii="Arial" w:hAnsi="Arial" w:cs="Arial"/>
                <w:b/>
                <w:bCs/>
                <w:i/>
                <w:iCs/>
                <w:color w:val="000000"/>
                <w:sz w:val="16"/>
                <w:szCs w:val="16"/>
              </w:rPr>
              <w:t xml:space="preserve"> </w:t>
            </w:r>
            <w:proofErr w:type="spellStart"/>
            <w:r w:rsidRPr="00226892">
              <w:rPr>
                <w:rFonts w:ascii="Arial" w:hAnsi="Arial" w:cs="Arial"/>
                <w:b/>
                <w:bCs/>
                <w:i/>
                <w:iCs/>
                <w:color w:val="000000"/>
                <w:sz w:val="16"/>
                <w:szCs w:val="16"/>
              </w:rPr>
              <w:t>obdobie</w:t>
            </w:r>
            <w:proofErr w:type="spellEnd"/>
            <w:r w:rsidRPr="00226892">
              <w:rPr>
                <w:rFonts w:ascii="Arial" w:hAnsi="Arial" w:cs="Arial"/>
                <w:b/>
                <w:bCs/>
                <w:i/>
                <w:iCs/>
                <w:color w:val="000000"/>
                <w:sz w:val="16"/>
                <w:szCs w:val="16"/>
              </w:rPr>
              <w:t xml:space="preserve">  </w:t>
            </w:r>
          </w:p>
        </w:tc>
        <w:tc>
          <w:tcPr>
            <w:tcW w:w="451" w:type="pct"/>
            <w:tcBorders>
              <w:top w:val="single" w:sz="4" w:space="0" w:color="auto"/>
              <w:left w:val="nil"/>
              <w:bottom w:val="single" w:sz="4" w:space="0" w:color="auto"/>
              <w:right w:val="nil"/>
            </w:tcBorders>
            <w:shd w:val="clear" w:color="auto" w:fill="auto"/>
            <w:vAlign w:val="bottom"/>
          </w:tcPr>
          <w:p w14:paraId="51EF92CB" w14:textId="41B405DF" w:rsidR="001C6C15" w:rsidRPr="00226892" w:rsidRDefault="001C6C15" w:rsidP="001C6C15">
            <w:pPr>
              <w:jc w:val="right"/>
              <w:rPr>
                <w:rFonts w:ascii="Arial" w:hAnsi="Arial" w:cs="Arial"/>
                <w:b/>
                <w:bCs/>
                <w:color w:val="000000"/>
                <w:sz w:val="16"/>
                <w:szCs w:val="16"/>
              </w:rPr>
            </w:pPr>
            <w:r w:rsidRPr="00226892">
              <w:rPr>
                <w:rFonts w:ascii="Arial" w:hAnsi="Arial" w:cs="Arial"/>
                <w:b/>
                <w:bCs/>
                <w:color w:val="000000"/>
                <w:sz w:val="16"/>
                <w:szCs w:val="16"/>
              </w:rPr>
              <w:t>-</w:t>
            </w:r>
          </w:p>
        </w:tc>
        <w:tc>
          <w:tcPr>
            <w:tcW w:w="568" w:type="pct"/>
            <w:tcBorders>
              <w:top w:val="single" w:sz="4" w:space="0" w:color="auto"/>
              <w:left w:val="nil"/>
              <w:bottom w:val="single" w:sz="4" w:space="0" w:color="auto"/>
              <w:right w:val="nil"/>
            </w:tcBorders>
            <w:shd w:val="clear" w:color="auto" w:fill="auto"/>
            <w:vAlign w:val="bottom"/>
          </w:tcPr>
          <w:p w14:paraId="07D910D2" w14:textId="3252091D" w:rsidR="001C6C15" w:rsidRPr="00226892" w:rsidRDefault="001C6C15" w:rsidP="001C6C15">
            <w:pPr>
              <w:jc w:val="right"/>
              <w:rPr>
                <w:rFonts w:ascii="Arial" w:hAnsi="Arial" w:cs="Arial"/>
                <w:b/>
                <w:bCs/>
                <w:color w:val="000000"/>
                <w:sz w:val="16"/>
                <w:szCs w:val="16"/>
              </w:rPr>
            </w:pPr>
            <w:r w:rsidRPr="00226892">
              <w:rPr>
                <w:rFonts w:ascii="Arial" w:hAnsi="Arial" w:cs="Arial"/>
                <w:b/>
                <w:bCs/>
                <w:color w:val="000000"/>
                <w:sz w:val="16"/>
                <w:szCs w:val="16"/>
              </w:rPr>
              <w:t>429</w:t>
            </w:r>
          </w:p>
        </w:tc>
        <w:tc>
          <w:tcPr>
            <w:tcW w:w="511" w:type="pct"/>
            <w:tcBorders>
              <w:top w:val="single" w:sz="4" w:space="0" w:color="auto"/>
              <w:left w:val="nil"/>
              <w:bottom w:val="single" w:sz="4" w:space="0" w:color="auto"/>
              <w:right w:val="nil"/>
            </w:tcBorders>
          </w:tcPr>
          <w:p w14:paraId="797C8F2C" w14:textId="103473DB" w:rsidR="001C6C15" w:rsidRPr="00226892" w:rsidDel="00436F82" w:rsidRDefault="001C6C15" w:rsidP="001C6C15">
            <w:pPr>
              <w:jc w:val="right"/>
              <w:rPr>
                <w:rFonts w:ascii="Arial" w:hAnsi="Arial" w:cs="Arial"/>
                <w:b/>
                <w:bCs/>
                <w:color w:val="000000"/>
                <w:sz w:val="16"/>
                <w:szCs w:val="16"/>
              </w:rPr>
            </w:pPr>
            <w:r w:rsidRPr="00226892">
              <w:rPr>
                <w:rFonts w:ascii="Arial" w:hAnsi="Arial" w:cs="Arial"/>
                <w:b/>
                <w:bCs/>
                <w:color w:val="000000"/>
                <w:sz w:val="16"/>
                <w:szCs w:val="16"/>
              </w:rPr>
              <w:br/>
            </w:r>
            <w:r w:rsidRPr="00226892">
              <w:rPr>
                <w:rFonts w:ascii="Arial" w:hAnsi="Arial" w:cs="Arial"/>
                <w:b/>
                <w:bCs/>
                <w:color w:val="000000"/>
                <w:sz w:val="16"/>
                <w:szCs w:val="16"/>
              </w:rPr>
              <w:br/>
              <w:t>-</w:t>
            </w:r>
          </w:p>
        </w:tc>
        <w:tc>
          <w:tcPr>
            <w:tcW w:w="568" w:type="pct"/>
            <w:tcBorders>
              <w:top w:val="single" w:sz="4" w:space="0" w:color="auto"/>
              <w:left w:val="nil"/>
              <w:bottom w:val="single" w:sz="4" w:space="0" w:color="auto"/>
              <w:right w:val="nil"/>
            </w:tcBorders>
          </w:tcPr>
          <w:p w14:paraId="77D84A24" w14:textId="474D55A0" w:rsidR="001C6C15" w:rsidRPr="00226892" w:rsidRDefault="001C6C15" w:rsidP="001C6C15">
            <w:pPr>
              <w:jc w:val="right"/>
              <w:rPr>
                <w:rFonts w:ascii="Arial" w:hAnsi="Arial" w:cs="Arial"/>
                <w:b/>
                <w:bCs/>
                <w:color w:val="000000"/>
                <w:sz w:val="16"/>
                <w:szCs w:val="16"/>
              </w:rPr>
            </w:pPr>
            <w:r w:rsidRPr="00226892">
              <w:rPr>
                <w:rFonts w:ascii="Arial" w:hAnsi="Arial" w:cs="Arial"/>
                <w:b/>
                <w:bCs/>
                <w:color w:val="000000"/>
                <w:sz w:val="16"/>
                <w:szCs w:val="16"/>
              </w:rPr>
              <w:br/>
            </w:r>
            <w:r w:rsidRPr="00226892">
              <w:rPr>
                <w:rFonts w:ascii="Arial" w:hAnsi="Arial" w:cs="Arial"/>
                <w:b/>
                <w:bCs/>
                <w:color w:val="000000"/>
                <w:sz w:val="16"/>
                <w:szCs w:val="16"/>
              </w:rPr>
              <w:br/>
              <w:t>-</w:t>
            </w:r>
          </w:p>
        </w:tc>
        <w:tc>
          <w:tcPr>
            <w:tcW w:w="568" w:type="pct"/>
            <w:tcBorders>
              <w:top w:val="single" w:sz="4" w:space="0" w:color="auto"/>
              <w:left w:val="nil"/>
              <w:bottom w:val="single" w:sz="4" w:space="0" w:color="auto"/>
              <w:right w:val="nil"/>
            </w:tcBorders>
            <w:shd w:val="clear" w:color="auto" w:fill="auto"/>
          </w:tcPr>
          <w:p w14:paraId="654243F0" w14:textId="1B0F62B1" w:rsidR="001C6C15" w:rsidRPr="00226892" w:rsidRDefault="001C6C15" w:rsidP="001C6C15">
            <w:pPr>
              <w:jc w:val="right"/>
              <w:rPr>
                <w:rFonts w:ascii="Arial" w:hAnsi="Arial" w:cs="Arial"/>
                <w:b/>
                <w:bCs/>
                <w:color w:val="000000"/>
                <w:sz w:val="16"/>
                <w:szCs w:val="16"/>
              </w:rPr>
            </w:pPr>
            <w:r w:rsidRPr="00226892">
              <w:rPr>
                <w:rFonts w:ascii="Arial" w:hAnsi="Arial" w:cs="Arial"/>
                <w:b/>
                <w:bCs/>
                <w:color w:val="000000"/>
                <w:sz w:val="16"/>
                <w:szCs w:val="16"/>
              </w:rPr>
              <w:br/>
            </w:r>
            <w:r w:rsidRPr="00226892">
              <w:rPr>
                <w:rFonts w:ascii="Arial" w:hAnsi="Arial" w:cs="Arial"/>
                <w:b/>
                <w:bCs/>
                <w:color w:val="000000"/>
                <w:sz w:val="16"/>
                <w:szCs w:val="16"/>
              </w:rPr>
              <w:br/>
            </w:r>
            <w:r w:rsidR="0017639D">
              <w:rPr>
                <w:rFonts w:ascii="Arial" w:hAnsi="Arial" w:cs="Arial"/>
                <w:b/>
                <w:bCs/>
                <w:color w:val="000000"/>
                <w:sz w:val="16"/>
                <w:szCs w:val="16"/>
              </w:rPr>
              <w:t>161</w:t>
            </w:r>
          </w:p>
        </w:tc>
        <w:tc>
          <w:tcPr>
            <w:tcW w:w="511" w:type="pct"/>
            <w:tcBorders>
              <w:top w:val="single" w:sz="4" w:space="0" w:color="auto"/>
              <w:left w:val="nil"/>
              <w:bottom w:val="single" w:sz="4" w:space="0" w:color="auto"/>
              <w:right w:val="nil"/>
            </w:tcBorders>
            <w:vAlign w:val="bottom"/>
          </w:tcPr>
          <w:p w14:paraId="664F1A64" w14:textId="4CC6B5AB" w:rsidR="001C6C15" w:rsidRPr="00226892" w:rsidRDefault="001C6C15" w:rsidP="001C6C15">
            <w:pPr>
              <w:jc w:val="right"/>
              <w:rPr>
                <w:rFonts w:ascii="Arial" w:hAnsi="Arial" w:cs="Arial"/>
                <w:b/>
                <w:bCs/>
                <w:color w:val="000000"/>
                <w:sz w:val="16"/>
                <w:szCs w:val="16"/>
              </w:rPr>
            </w:pPr>
            <w:r w:rsidRPr="00226892">
              <w:rPr>
                <w:rFonts w:ascii="Arial" w:hAnsi="Arial" w:cs="Arial"/>
                <w:b/>
                <w:bCs/>
                <w:color w:val="000000"/>
                <w:sz w:val="16"/>
                <w:szCs w:val="16"/>
              </w:rPr>
              <w:t>1 4</w:t>
            </w:r>
            <w:r w:rsidR="0017639D">
              <w:rPr>
                <w:rFonts w:ascii="Arial" w:hAnsi="Arial" w:cs="Arial"/>
                <w:b/>
                <w:bCs/>
                <w:color w:val="000000"/>
                <w:sz w:val="16"/>
                <w:szCs w:val="16"/>
              </w:rPr>
              <w:t>81</w:t>
            </w:r>
          </w:p>
        </w:tc>
        <w:tc>
          <w:tcPr>
            <w:tcW w:w="455" w:type="pct"/>
            <w:tcBorders>
              <w:top w:val="single" w:sz="4" w:space="0" w:color="auto"/>
              <w:left w:val="nil"/>
              <w:bottom w:val="single" w:sz="4" w:space="0" w:color="auto"/>
              <w:right w:val="nil"/>
            </w:tcBorders>
            <w:shd w:val="clear" w:color="auto" w:fill="auto"/>
            <w:vAlign w:val="bottom"/>
          </w:tcPr>
          <w:p w14:paraId="28D0F23A" w14:textId="5BA9D9CE" w:rsidR="001C6C15" w:rsidRPr="00226892" w:rsidRDefault="001C6C15" w:rsidP="001C6C15">
            <w:pPr>
              <w:jc w:val="right"/>
              <w:rPr>
                <w:rFonts w:ascii="Arial" w:hAnsi="Arial" w:cs="Arial"/>
                <w:b/>
                <w:bCs/>
                <w:color w:val="000000"/>
                <w:sz w:val="16"/>
                <w:szCs w:val="16"/>
              </w:rPr>
            </w:pPr>
            <w:r w:rsidRPr="00226892">
              <w:rPr>
                <w:rFonts w:ascii="Arial" w:hAnsi="Arial" w:cs="Arial"/>
                <w:b/>
                <w:bCs/>
                <w:color w:val="000000"/>
                <w:sz w:val="16"/>
                <w:szCs w:val="16"/>
              </w:rPr>
              <w:t>2 077</w:t>
            </w:r>
          </w:p>
        </w:tc>
      </w:tr>
      <w:tr w:rsidR="001C6C15" w:rsidRPr="00226892" w14:paraId="419E9F6E" w14:textId="77777777" w:rsidTr="001C6C15">
        <w:trPr>
          <w:trHeight w:val="226"/>
        </w:trPr>
        <w:tc>
          <w:tcPr>
            <w:tcW w:w="1367" w:type="pct"/>
            <w:tcBorders>
              <w:top w:val="nil"/>
              <w:left w:val="nil"/>
              <w:bottom w:val="nil"/>
              <w:right w:val="nil"/>
            </w:tcBorders>
            <w:shd w:val="clear" w:color="auto" w:fill="auto"/>
            <w:vAlign w:val="bottom"/>
            <w:hideMark/>
          </w:tcPr>
          <w:p w14:paraId="3DC5FD9D" w14:textId="486A67CA" w:rsidR="001C6C15" w:rsidRPr="00226892" w:rsidRDefault="001C6C15" w:rsidP="001C6C15">
            <w:pPr>
              <w:rPr>
                <w:rFonts w:ascii="Arial" w:hAnsi="Arial" w:cs="Arial"/>
                <w:b/>
                <w:bCs/>
                <w:color w:val="000000"/>
                <w:sz w:val="16"/>
                <w:szCs w:val="16"/>
              </w:rPr>
            </w:pPr>
            <w:proofErr w:type="spellStart"/>
            <w:r w:rsidRPr="00226892">
              <w:rPr>
                <w:rFonts w:ascii="Arial" w:hAnsi="Arial" w:cs="Arial"/>
                <w:b/>
                <w:bCs/>
                <w:color w:val="000000"/>
                <w:sz w:val="16"/>
                <w:szCs w:val="16"/>
              </w:rPr>
              <w:t>Stav</w:t>
            </w:r>
            <w:proofErr w:type="spellEnd"/>
            <w:r w:rsidRPr="00226892">
              <w:rPr>
                <w:rFonts w:ascii="Arial" w:hAnsi="Arial" w:cs="Arial"/>
                <w:b/>
                <w:bCs/>
                <w:color w:val="000000"/>
                <w:sz w:val="16"/>
                <w:szCs w:val="16"/>
              </w:rPr>
              <w:t xml:space="preserve"> k 31. </w:t>
            </w:r>
            <w:proofErr w:type="spellStart"/>
            <w:r w:rsidRPr="00226892">
              <w:rPr>
                <w:rFonts w:ascii="Arial" w:hAnsi="Arial" w:cs="Arial"/>
                <w:b/>
                <w:bCs/>
                <w:color w:val="000000"/>
                <w:sz w:val="16"/>
                <w:szCs w:val="16"/>
              </w:rPr>
              <w:t>decembru</w:t>
            </w:r>
            <w:proofErr w:type="spellEnd"/>
            <w:r w:rsidRPr="00226892">
              <w:rPr>
                <w:rFonts w:ascii="Arial" w:hAnsi="Arial" w:cs="Arial"/>
                <w:b/>
                <w:bCs/>
                <w:color w:val="000000"/>
                <w:sz w:val="16"/>
                <w:szCs w:val="16"/>
              </w:rPr>
              <w:t xml:space="preserve"> 2017 </w:t>
            </w:r>
          </w:p>
        </w:tc>
        <w:tc>
          <w:tcPr>
            <w:tcW w:w="451" w:type="pct"/>
            <w:tcBorders>
              <w:top w:val="single" w:sz="4" w:space="0" w:color="auto"/>
              <w:left w:val="nil"/>
              <w:bottom w:val="double" w:sz="4" w:space="0" w:color="auto"/>
              <w:right w:val="nil"/>
            </w:tcBorders>
            <w:shd w:val="clear" w:color="auto" w:fill="auto"/>
            <w:vAlign w:val="bottom"/>
          </w:tcPr>
          <w:p w14:paraId="4ED6118B" w14:textId="351C8787" w:rsidR="001C6C15" w:rsidRPr="00226892" w:rsidRDefault="001C6C15" w:rsidP="001C6C15">
            <w:pPr>
              <w:jc w:val="right"/>
              <w:rPr>
                <w:rFonts w:ascii="Arial" w:hAnsi="Arial" w:cs="Arial"/>
                <w:b/>
                <w:bCs/>
                <w:color w:val="000000"/>
                <w:sz w:val="16"/>
                <w:szCs w:val="16"/>
              </w:rPr>
            </w:pPr>
            <w:r w:rsidRPr="00226892">
              <w:rPr>
                <w:rFonts w:ascii="Arial" w:hAnsi="Arial" w:cs="Arial"/>
                <w:b/>
                <w:bCs/>
                <w:color w:val="000000"/>
                <w:sz w:val="16"/>
                <w:szCs w:val="16"/>
              </w:rPr>
              <w:t>20 448</w:t>
            </w:r>
          </w:p>
        </w:tc>
        <w:tc>
          <w:tcPr>
            <w:tcW w:w="568" w:type="pct"/>
            <w:tcBorders>
              <w:top w:val="single" w:sz="4" w:space="0" w:color="auto"/>
              <w:left w:val="nil"/>
              <w:bottom w:val="double" w:sz="4" w:space="0" w:color="auto"/>
              <w:right w:val="nil"/>
            </w:tcBorders>
            <w:shd w:val="clear" w:color="auto" w:fill="auto"/>
            <w:vAlign w:val="bottom"/>
          </w:tcPr>
          <w:p w14:paraId="177F3042" w14:textId="22880309" w:rsidR="001C6C15" w:rsidRPr="00226892" w:rsidRDefault="001C6C15" w:rsidP="001C6C15">
            <w:pPr>
              <w:jc w:val="right"/>
              <w:rPr>
                <w:rFonts w:ascii="Arial" w:hAnsi="Arial" w:cs="Arial"/>
                <w:b/>
                <w:bCs/>
                <w:color w:val="000000"/>
                <w:sz w:val="16"/>
                <w:szCs w:val="16"/>
              </w:rPr>
            </w:pPr>
            <w:r w:rsidRPr="00226892">
              <w:rPr>
                <w:rFonts w:ascii="Arial" w:hAnsi="Arial" w:cs="Arial"/>
                <w:b/>
                <w:bCs/>
                <w:color w:val="000000"/>
                <w:sz w:val="16"/>
                <w:szCs w:val="16"/>
              </w:rPr>
              <w:t>3 306</w:t>
            </w:r>
          </w:p>
        </w:tc>
        <w:tc>
          <w:tcPr>
            <w:tcW w:w="511" w:type="pct"/>
            <w:tcBorders>
              <w:top w:val="single" w:sz="4" w:space="0" w:color="auto"/>
              <w:left w:val="nil"/>
              <w:bottom w:val="double" w:sz="4" w:space="0" w:color="auto"/>
              <w:right w:val="nil"/>
            </w:tcBorders>
          </w:tcPr>
          <w:p w14:paraId="736E328F" w14:textId="77777777" w:rsidR="001C6C15" w:rsidRPr="00226892" w:rsidRDefault="001C6C15" w:rsidP="001C6C15">
            <w:pPr>
              <w:jc w:val="right"/>
              <w:rPr>
                <w:rFonts w:ascii="Arial" w:hAnsi="Arial" w:cs="Arial"/>
                <w:b/>
                <w:bCs/>
                <w:color w:val="000000"/>
                <w:sz w:val="16"/>
                <w:szCs w:val="16"/>
              </w:rPr>
            </w:pPr>
          </w:p>
          <w:p w14:paraId="36257A84" w14:textId="4DF82F6A" w:rsidR="001C6C15" w:rsidRPr="00226892" w:rsidDel="00436F82" w:rsidRDefault="001C6C15" w:rsidP="001C6C15">
            <w:pPr>
              <w:jc w:val="right"/>
              <w:rPr>
                <w:rFonts w:ascii="Arial" w:hAnsi="Arial" w:cs="Arial"/>
                <w:b/>
                <w:bCs/>
                <w:color w:val="000000"/>
                <w:sz w:val="16"/>
                <w:szCs w:val="16"/>
              </w:rPr>
            </w:pPr>
            <w:r w:rsidRPr="00226892">
              <w:rPr>
                <w:rFonts w:ascii="Arial" w:hAnsi="Arial" w:cs="Arial"/>
                <w:b/>
                <w:bCs/>
                <w:color w:val="000000"/>
                <w:sz w:val="16"/>
                <w:szCs w:val="16"/>
              </w:rPr>
              <w:t>-64</w:t>
            </w:r>
          </w:p>
        </w:tc>
        <w:tc>
          <w:tcPr>
            <w:tcW w:w="568" w:type="pct"/>
            <w:tcBorders>
              <w:top w:val="single" w:sz="4" w:space="0" w:color="auto"/>
              <w:left w:val="nil"/>
              <w:bottom w:val="double" w:sz="4" w:space="0" w:color="auto"/>
              <w:right w:val="nil"/>
            </w:tcBorders>
            <w:vAlign w:val="bottom"/>
          </w:tcPr>
          <w:p w14:paraId="3D6E1E78" w14:textId="453FCCF3" w:rsidR="001C6C15" w:rsidRPr="00226892" w:rsidRDefault="001C6C15" w:rsidP="001C6C15">
            <w:pPr>
              <w:jc w:val="right"/>
              <w:rPr>
                <w:rFonts w:ascii="Arial" w:hAnsi="Arial" w:cs="Arial"/>
                <w:b/>
                <w:bCs/>
                <w:color w:val="000000"/>
                <w:sz w:val="16"/>
                <w:szCs w:val="16"/>
              </w:rPr>
            </w:pPr>
            <w:r w:rsidRPr="00226892">
              <w:rPr>
                <w:rFonts w:ascii="Arial" w:hAnsi="Arial" w:cs="Arial"/>
                <w:b/>
                <w:bCs/>
                <w:color w:val="000000"/>
                <w:sz w:val="16"/>
                <w:szCs w:val="16"/>
              </w:rPr>
              <w:t>64</w:t>
            </w:r>
          </w:p>
        </w:tc>
        <w:tc>
          <w:tcPr>
            <w:tcW w:w="568" w:type="pct"/>
            <w:tcBorders>
              <w:top w:val="single" w:sz="4" w:space="0" w:color="auto"/>
              <w:left w:val="nil"/>
              <w:bottom w:val="double" w:sz="4" w:space="0" w:color="auto"/>
              <w:right w:val="nil"/>
            </w:tcBorders>
            <w:shd w:val="clear" w:color="auto" w:fill="auto"/>
            <w:vAlign w:val="bottom"/>
          </w:tcPr>
          <w:p w14:paraId="79D55319" w14:textId="3CF17611" w:rsidR="001C6C15" w:rsidRPr="00226892" w:rsidRDefault="0017639D" w:rsidP="001C6C15">
            <w:pPr>
              <w:jc w:val="right"/>
              <w:rPr>
                <w:rFonts w:ascii="Arial" w:hAnsi="Arial" w:cs="Arial"/>
                <w:b/>
                <w:bCs/>
                <w:color w:val="000000"/>
                <w:sz w:val="16"/>
                <w:szCs w:val="16"/>
              </w:rPr>
            </w:pPr>
            <w:r>
              <w:rPr>
                <w:rFonts w:ascii="Arial" w:hAnsi="Arial" w:cs="Arial"/>
                <w:b/>
                <w:bCs/>
                <w:color w:val="000000"/>
                <w:sz w:val="16"/>
                <w:szCs w:val="16"/>
              </w:rPr>
              <w:t>135</w:t>
            </w:r>
          </w:p>
        </w:tc>
        <w:tc>
          <w:tcPr>
            <w:tcW w:w="511" w:type="pct"/>
            <w:tcBorders>
              <w:top w:val="single" w:sz="4" w:space="0" w:color="auto"/>
              <w:left w:val="nil"/>
              <w:bottom w:val="double" w:sz="4" w:space="0" w:color="auto"/>
              <w:right w:val="nil"/>
            </w:tcBorders>
            <w:vAlign w:val="bottom"/>
          </w:tcPr>
          <w:p w14:paraId="2C64E9E6" w14:textId="1ED45668" w:rsidR="001C6C15" w:rsidRPr="00226892" w:rsidRDefault="001C6C15" w:rsidP="001C6C15">
            <w:pPr>
              <w:jc w:val="right"/>
              <w:rPr>
                <w:rFonts w:ascii="Arial" w:hAnsi="Arial" w:cs="Arial"/>
                <w:b/>
                <w:bCs/>
                <w:color w:val="000000"/>
                <w:sz w:val="16"/>
                <w:szCs w:val="16"/>
              </w:rPr>
            </w:pPr>
            <w:r w:rsidRPr="00226892">
              <w:rPr>
                <w:rFonts w:ascii="Arial" w:hAnsi="Arial" w:cs="Arial"/>
                <w:b/>
                <w:bCs/>
                <w:color w:val="000000"/>
                <w:sz w:val="16"/>
                <w:szCs w:val="16"/>
              </w:rPr>
              <w:t xml:space="preserve"> 18 </w:t>
            </w:r>
            <w:r w:rsidR="0017639D">
              <w:rPr>
                <w:rFonts w:ascii="Arial" w:hAnsi="Arial" w:cs="Arial"/>
                <w:b/>
                <w:bCs/>
                <w:color w:val="000000"/>
                <w:sz w:val="16"/>
                <w:szCs w:val="16"/>
              </w:rPr>
              <w:t>502</w:t>
            </w:r>
          </w:p>
        </w:tc>
        <w:tc>
          <w:tcPr>
            <w:tcW w:w="455" w:type="pct"/>
            <w:tcBorders>
              <w:top w:val="single" w:sz="4" w:space="0" w:color="auto"/>
              <w:left w:val="nil"/>
              <w:bottom w:val="double" w:sz="4" w:space="0" w:color="auto"/>
              <w:right w:val="nil"/>
            </w:tcBorders>
            <w:shd w:val="clear" w:color="auto" w:fill="auto"/>
            <w:vAlign w:val="bottom"/>
          </w:tcPr>
          <w:p w14:paraId="7E74E579" w14:textId="333AC9DA" w:rsidR="001C6C15" w:rsidRPr="00226892" w:rsidRDefault="001C6C15" w:rsidP="001C6C15">
            <w:pPr>
              <w:jc w:val="right"/>
              <w:rPr>
                <w:rFonts w:ascii="Arial" w:hAnsi="Arial" w:cs="Arial"/>
                <w:b/>
                <w:bCs/>
                <w:color w:val="000000"/>
                <w:sz w:val="16"/>
                <w:szCs w:val="16"/>
              </w:rPr>
            </w:pPr>
            <w:r w:rsidRPr="00226892">
              <w:rPr>
                <w:rFonts w:ascii="Arial" w:hAnsi="Arial" w:cs="Arial"/>
                <w:b/>
                <w:bCs/>
                <w:color w:val="000000"/>
                <w:sz w:val="16"/>
                <w:szCs w:val="16"/>
              </w:rPr>
              <w:t>42 391</w:t>
            </w:r>
          </w:p>
        </w:tc>
      </w:tr>
      <w:tr w:rsidR="001C6C15" w:rsidRPr="00226892" w14:paraId="1E6913BF" w14:textId="77777777" w:rsidTr="001C6C15">
        <w:trPr>
          <w:trHeight w:val="226"/>
        </w:trPr>
        <w:tc>
          <w:tcPr>
            <w:tcW w:w="1367" w:type="pct"/>
            <w:tcBorders>
              <w:top w:val="nil"/>
              <w:left w:val="nil"/>
              <w:bottom w:val="nil"/>
              <w:right w:val="nil"/>
            </w:tcBorders>
            <w:shd w:val="clear" w:color="auto" w:fill="auto"/>
            <w:vAlign w:val="bottom"/>
            <w:hideMark/>
          </w:tcPr>
          <w:p w14:paraId="7D571FC4" w14:textId="77777777" w:rsidR="001C6C15" w:rsidRPr="00226892" w:rsidRDefault="001C6C15" w:rsidP="001C6C15">
            <w:pPr>
              <w:rPr>
                <w:rFonts w:ascii="Arial" w:hAnsi="Arial" w:cs="Arial"/>
                <w:b/>
                <w:bCs/>
                <w:color w:val="000000"/>
                <w:sz w:val="16"/>
                <w:szCs w:val="16"/>
              </w:rPr>
            </w:pPr>
          </w:p>
        </w:tc>
        <w:tc>
          <w:tcPr>
            <w:tcW w:w="451" w:type="pct"/>
            <w:tcBorders>
              <w:top w:val="double" w:sz="4" w:space="0" w:color="auto"/>
              <w:left w:val="nil"/>
              <w:bottom w:val="nil"/>
              <w:right w:val="nil"/>
            </w:tcBorders>
            <w:shd w:val="clear" w:color="auto" w:fill="auto"/>
            <w:vAlign w:val="bottom"/>
          </w:tcPr>
          <w:p w14:paraId="1E0DD6BD" w14:textId="77777777" w:rsidR="001C6C15" w:rsidRPr="00226892" w:rsidRDefault="001C6C15" w:rsidP="001C6C15">
            <w:pPr>
              <w:jc w:val="right"/>
              <w:rPr>
                <w:rFonts w:ascii="Arial" w:hAnsi="Arial" w:cs="Arial"/>
                <w:sz w:val="16"/>
                <w:szCs w:val="16"/>
              </w:rPr>
            </w:pPr>
          </w:p>
        </w:tc>
        <w:tc>
          <w:tcPr>
            <w:tcW w:w="568" w:type="pct"/>
            <w:tcBorders>
              <w:top w:val="double" w:sz="4" w:space="0" w:color="auto"/>
              <w:left w:val="nil"/>
              <w:bottom w:val="nil"/>
              <w:right w:val="nil"/>
            </w:tcBorders>
            <w:shd w:val="clear" w:color="auto" w:fill="auto"/>
            <w:vAlign w:val="bottom"/>
          </w:tcPr>
          <w:p w14:paraId="0E3EB046" w14:textId="77777777" w:rsidR="001C6C15" w:rsidRPr="00226892" w:rsidRDefault="001C6C15" w:rsidP="001C6C15">
            <w:pPr>
              <w:jc w:val="right"/>
              <w:rPr>
                <w:rFonts w:ascii="Arial" w:hAnsi="Arial" w:cs="Arial"/>
                <w:sz w:val="16"/>
                <w:szCs w:val="16"/>
              </w:rPr>
            </w:pPr>
          </w:p>
        </w:tc>
        <w:tc>
          <w:tcPr>
            <w:tcW w:w="511" w:type="pct"/>
            <w:tcBorders>
              <w:top w:val="double" w:sz="4" w:space="0" w:color="auto"/>
              <w:left w:val="nil"/>
              <w:bottom w:val="nil"/>
              <w:right w:val="nil"/>
            </w:tcBorders>
          </w:tcPr>
          <w:p w14:paraId="020E888F" w14:textId="77777777" w:rsidR="001C6C15" w:rsidRPr="00226892" w:rsidRDefault="001C6C15" w:rsidP="001C6C15">
            <w:pPr>
              <w:jc w:val="right"/>
              <w:rPr>
                <w:rFonts w:ascii="Arial" w:hAnsi="Arial" w:cs="Arial"/>
                <w:sz w:val="16"/>
                <w:szCs w:val="16"/>
              </w:rPr>
            </w:pPr>
          </w:p>
        </w:tc>
        <w:tc>
          <w:tcPr>
            <w:tcW w:w="568" w:type="pct"/>
            <w:tcBorders>
              <w:top w:val="double" w:sz="4" w:space="0" w:color="auto"/>
              <w:left w:val="nil"/>
              <w:bottom w:val="nil"/>
              <w:right w:val="nil"/>
            </w:tcBorders>
            <w:vAlign w:val="bottom"/>
          </w:tcPr>
          <w:p w14:paraId="714B5159" w14:textId="77777777" w:rsidR="001C6C15" w:rsidRPr="00226892" w:rsidRDefault="001C6C15" w:rsidP="001C6C15">
            <w:pPr>
              <w:jc w:val="right"/>
              <w:rPr>
                <w:rFonts w:ascii="Arial" w:hAnsi="Arial" w:cs="Arial"/>
                <w:sz w:val="16"/>
                <w:szCs w:val="16"/>
              </w:rPr>
            </w:pPr>
          </w:p>
        </w:tc>
        <w:tc>
          <w:tcPr>
            <w:tcW w:w="568" w:type="pct"/>
            <w:tcBorders>
              <w:top w:val="double" w:sz="4" w:space="0" w:color="auto"/>
              <w:left w:val="nil"/>
              <w:bottom w:val="nil"/>
              <w:right w:val="nil"/>
            </w:tcBorders>
            <w:shd w:val="clear" w:color="auto" w:fill="auto"/>
            <w:vAlign w:val="bottom"/>
          </w:tcPr>
          <w:p w14:paraId="2926AA00" w14:textId="4493B31E" w:rsidR="001C6C15" w:rsidRPr="00226892" w:rsidRDefault="001C6C15" w:rsidP="001C6C15">
            <w:pPr>
              <w:jc w:val="right"/>
              <w:rPr>
                <w:rFonts w:ascii="Arial" w:hAnsi="Arial" w:cs="Arial"/>
                <w:sz w:val="16"/>
                <w:szCs w:val="16"/>
              </w:rPr>
            </w:pPr>
          </w:p>
        </w:tc>
        <w:tc>
          <w:tcPr>
            <w:tcW w:w="511" w:type="pct"/>
            <w:tcBorders>
              <w:top w:val="double" w:sz="4" w:space="0" w:color="auto"/>
              <w:left w:val="nil"/>
              <w:bottom w:val="nil"/>
              <w:right w:val="nil"/>
            </w:tcBorders>
            <w:vAlign w:val="bottom"/>
          </w:tcPr>
          <w:p w14:paraId="31142F13" w14:textId="77777777" w:rsidR="001C6C15" w:rsidRPr="00226892" w:rsidRDefault="001C6C15" w:rsidP="001C6C15">
            <w:pPr>
              <w:jc w:val="right"/>
              <w:rPr>
                <w:rFonts w:ascii="Arial" w:hAnsi="Arial" w:cs="Arial"/>
                <w:sz w:val="16"/>
                <w:szCs w:val="16"/>
              </w:rPr>
            </w:pPr>
          </w:p>
        </w:tc>
        <w:tc>
          <w:tcPr>
            <w:tcW w:w="455" w:type="pct"/>
            <w:tcBorders>
              <w:top w:val="double" w:sz="4" w:space="0" w:color="auto"/>
              <w:left w:val="nil"/>
              <w:bottom w:val="nil"/>
              <w:right w:val="nil"/>
            </w:tcBorders>
            <w:shd w:val="clear" w:color="auto" w:fill="auto"/>
            <w:vAlign w:val="bottom"/>
          </w:tcPr>
          <w:p w14:paraId="05D790B5" w14:textId="77777777" w:rsidR="001C6C15" w:rsidRPr="00226892" w:rsidRDefault="001C6C15" w:rsidP="001C6C15">
            <w:pPr>
              <w:jc w:val="right"/>
              <w:rPr>
                <w:rFonts w:ascii="Arial" w:hAnsi="Arial" w:cs="Arial"/>
                <w:sz w:val="16"/>
                <w:szCs w:val="16"/>
              </w:rPr>
            </w:pPr>
          </w:p>
        </w:tc>
      </w:tr>
      <w:tr w:rsidR="001C6C15" w:rsidRPr="00226892" w14:paraId="1F4431C9" w14:textId="77777777" w:rsidTr="001C6C15">
        <w:trPr>
          <w:trHeight w:val="226"/>
        </w:trPr>
        <w:tc>
          <w:tcPr>
            <w:tcW w:w="1367" w:type="pct"/>
            <w:tcBorders>
              <w:top w:val="nil"/>
              <w:left w:val="nil"/>
              <w:bottom w:val="nil"/>
              <w:right w:val="nil"/>
            </w:tcBorders>
            <w:shd w:val="clear" w:color="auto" w:fill="auto"/>
            <w:vAlign w:val="bottom"/>
            <w:hideMark/>
          </w:tcPr>
          <w:p w14:paraId="77673C2E" w14:textId="00005DA7" w:rsidR="001C6C15" w:rsidRPr="00226892" w:rsidRDefault="001C6C15" w:rsidP="001C6C15">
            <w:pPr>
              <w:rPr>
                <w:rFonts w:ascii="Arial" w:hAnsi="Arial" w:cs="Arial"/>
                <w:color w:val="000000"/>
                <w:sz w:val="16"/>
                <w:szCs w:val="16"/>
              </w:rPr>
            </w:pPr>
            <w:proofErr w:type="spellStart"/>
            <w:r w:rsidRPr="00226892">
              <w:rPr>
                <w:rFonts w:ascii="Arial" w:hAnsi="Arial" w:cs="Arial"/>
                <w:color w:val="000000"/>
                <w:sz w:val="16"/>
                <w:szCs w:val="16"/>
              </w:rPr>
              <w:t>Zisk</w:t>
            </w:r>
            <w:proofErr w:type="spellEnd"/>
            <w:r w:rsidRPr="00226892">
              <w:rPr>
                <w:rFonts w:ascii="Arial" w:hAnsi="Arial" w:cs="Arial"/>
                <w:color w:val="000000"/>
                <w:sz w:val="16"/>
                <w:szCs w:val="16"/>
              </w:rPr>
              <w:t xml:space="preserve"> za </w:t>
            </w:r>
            <w:proofErr w:type="spellStart"/>
            <w:r w:rsidRPr="00226892">
              <w:rPr>
                <w:rFonts w:ascii="Arial" w:hAnsi="Arial" w:cs="Arial"/>
                <w:color w:val="000000"/>
                <w:sz w:val="16"/>
                <w:szCs w:val="16"/>
              </w:rPr>
              <w:t>rok</w:t>
            </w:r>
            <w:proofErr w:type="spellEnd"/>
            <w:r w:rsidRPr="00226892">
              <w:rPr>
                <w:rFonts w:ascii="Arial" w:hAnsi="Arial" w:cs="Arial"/>
                <w:color w:val="000000"/>
                <w:sz w:val="16"/>
                <w:szCs w:val="16"/>
              </w:rPr>
              <w:t xml:space="preserve"> 2018</w:t>
            </w:r>
          </w:p>
        </w:tc>
        <w:tc>
          <w:tcPr>
            <w:tcW w:w="451" w:type="pct"/>
            <w:tcBorders>
              <w:top w:val="nil"/>
              <w:left w:val="nil"/>
              <w:bottom w:val="nil"/>
              <w:right w:val="nil"/>
            </w:tcBorders>
            <w:shd w:val="clear" w:color="auto" w:fill="auto"/>
            <w:vAlign w:val="bottom"/>
          </w:tcPr>
          <w:p w14:paraId="4E7C9B09" w14:textId="77777777" w:rsidR="001C6C15" w:rsidRPr="00226892" w:rsidRDefault="001C6C15" w:rsidP="001C6C15">
            <w:pPr>
              <w:jc w:val="right"/>
              <w:rPr>
                <w:rFonts w:ascii="Arial" w:hAnsi="Arial" w:cs="Arial"/>
                <w:color w:val="000000"/>
                <w:sz w:val="16"/>
                <w:szCs w:val="16"/>
              </w:rPr>
            </w:pPr>
            <w:r w:rsidRPr="00226892">
              <w:rPr>
                <w:rFonts w:ascii="Arial" w:hAnsi="Arial" w:cs="Arial"/>
                <w:color w:val="000000"/>
                <w:sz w:val="16"/>
                <w:szCs w:val="16"/>
              </w:rPr>
              <w:t>-</w:t>
            </w:r>
          </w:p>
        </w:tc>
        <w:tc>
          <w:tcPr>
            <w:tcW w:w="568" w:type="pct"/>
            <w:tcBorders>
              <w:top w:val="nil"/>
              <w:left w:val="nil"/>
              <w:bottom w:val="nil"/>
              <w:right w:val="nil"/>
            </w:tcBorders>
            <w:shd w:val="clear" w:color="auto" w:fill="auto"/>
            <w:vAlign w:val="bottom"/>
          </w:tcPr>
          <w:p w14:paraId="1D547885" w14:textId="77777777" w:rsidR="001C6C15" w:rsidRPr="00226892" w:rsidRDefault="001C6C15" w:rsidP="001C6C15">
            <w:pPr>
              <w:jc w:val="right"/>
              <w:rPr>
                <w:rFonts w:ascii="Arial" w:hAnsi="Arial" w:cs="Arial"/>
                <w:color w:val="000000"/>
                <w:sz w:val="16"/>
                <w:szCs w:val="16"/>
              </w:rPr>
            </w:pPr>
            <w:r w:rsidRPr="00226892">
              <w:rPr>
                <w:rFonts w:ascii="Arial" w:hAnsi="Arial" w:cs="Arial"/>
                <w:color w:val="000000"/>
                <w:sz w:val="16"/>
                <w:szCs w:val="16"/>
              </w:rPr>
              <w:t>-</w:t>
            </w:r>
          </w:p>
        </w:tc>
        <w:tc>
          <w:tcPr>
            <w:tcW w:w="511" w:type="pct"/>
            <w:tcBorders>
              <w:top w:val="nil"/>
              <w:left w:val="nil"/>
              <w:bottom w:val="nil"/>
              <w:right w:val="nil"/>
            </w:tcBorders>
          </w:tcPr>
          <w:p w14:paraId="4CA04E66" w14:textId="77777777" w:rsidR="001C6C15" w:rsidRPr="00226892" w:rsidDel="00436F82" w:rsidRDefault="001C6C15" w:rsidP="001C6C15">
            <w:pPr>
              <w:jc w:val="right"/>
              <w:rPr>
                <w:rFonts w:ascii="Arial" w:hAnsi="Arial" w:cs="Arial"/>
                <w:color w:val="000000"/>
                <w:sz w:val="16"/>
                <w:szCs w:val="16"/>
                <w:lang w:val="en-US"/>
              </w:rPr>
            </w:pPr>
            <w:r w:rsidRPr="00226892">
              <w:rPr>
                <w:rFonts w:ascii="Arial" w:hAnsi="Arial" w:cs="Arial"/>
                <w:color w:val="000000"/>
                <w:sz w:val="16"/>
                <w:szCs w:val="16"/>
                <w:lang w:val="en-US"/>
              </w:rPr>
              <w:t>-</w:t>
            </w:r>
          </w:p>
        </w:tc>
        <w:tc>
          <w:tcPr>
            <w:tcW w:w="568" w:type="pct"/>
            <w:tcBorders>
              <w:top w:val="nil"/>
              <w:left w:val="nil"/>
              <w:bottom w:val="nil"/>
              <w:right w:val="nil"/>
            </w:tcBorders>
            <w:vAlign w:val="bottom"/>
          </w:tcPr>
          <w:p w14:paraId="3CEC6EDB" w14:textId="77777777" w:rsidR="001C6C15" w:rsidRPr="00226892" w:rsidRDefault="001C6C15" w:rsidP="001C6C15">
            <w:pPr>
              <w:jc w:val="right"/>
              <w:rPr>
                <w:rFonts w:ascii="Arial" w:hAnsi="Arial" w:cs="Arial"/>
                <w:color w:val="000000"/>
                <w:sz w:val="16"/>
                <w:szCs w:val="16"/>
              </w:rPr>
            </w:pPr>
            <w:r w:rsidRPr="00226892">
              <w:rPr>
                <w:rFonts w:ascii="Arial" w:hAnsi="Arial" w:cs="Arial"/>
                <w:color w:val="000000"/>
                <w:sz w:val="16"/>
                <w:szCs w:val="16"/>
              </w:rPr>
              <w:t>-</w:t>
            </w:r>
          </w:p>
        </w:tc>
        <w:tc>
          <w:tcPr>
            <w:tcW w:w="568" w:type="pct"/>
            <w:tcBorders>
              <w:top w:val="nil"/>
              <w:left w:val="nil"/>
              <w:bottom w:val="nil"/>
              <w:right w:val="nil"/>
            </w:tcBorders>
            <w:shd w:val="clear" w:color="auto" w:fill="auto"/>
            <w:vAlign w:val="bottom"/>
          </w:tcPr>
          <w:p w14:paraId="55658C31" w14:textId="77777777" w:rsidR="001C6C15" w:rsidRPr="00226892" w:rsidRDefault="001C6C15" w:rsidP="001C6C15">
            <w:pPr>
              <w:jc w:val="right"/>
              <w:rPr>
                <w:rFonts w:ascii="Arial" w:hAnsi="Arial" w:cs="Arial"/>
                <w:color w:val="000000"/>
                <w:sz w:val="16"/>
                <w:szCs w:val="16"/>
              </w:rPr>
            </w:pPr>
            <w:r w:rsidRPr="00226892">
              <w:rPr>
                <w:rFonts w:ascii="Arial" w:hAnsi="Arial" w:cs="Arial"/>
                <w:color w:val="000000"/>
                <w:sz w:val="16"/>
                <w:szCs w:val="16"/>
              </w:rPr>
              <w:t>-</w:t>
            </w:r>
          </w:p>
        </w:tc>
        <w:tc>
          <w:tcPr>
            <w:tcW w:w="511" w:type="pct"/>
            <w:tcBorders>
              <w:top w:val="nil"/>
              <w:left w:val="nil"/>
              <w:bottom w:val="nil"/>
              <w:right w:val="nil"/>
            </w:tcBorders>
            <w:vAlign w:val="bottom"/>
          </w:tcPr>
          <w:p w14:paraId="33C01C54" w14:textId="581E3FA9" w:rsidR="001C6C15" w:rsidRPr="00226892" w:rsidRDefault="001C6C15" w:rsidP="001C6C15">
            <w:pPr>
              <w:jc w:val="right"/>
              <w:rPr>
                <w:rFonts w:ascii="Arial" w:hAnsi="Arial" w:cs="Arial"/>
                <w:color w:val="000000"/>
                <w:sz w:val="16"/>
                <w:szCs w:val="16"/>
              </w:rPr>
            </w:pPr>
            <w:r w:rsidRPr="00226892">
              <w:rPr>
                <w:rFonts w:ascii="Arial" w:hAnsi="Arial" w:cs="Arial"/>
                <w:color w:val="000000"/>
                <w:sz w:val="16"/>
                <w:szCs w:val="16"/>
              </w:rPr>
              <w:t>2 973</w:t>
            </w:r>
          </w:p>
        </w:tc>
        <w:tc>
          <w:tcPr>
            <w:tcW w:w="455" w:type="pct"/>
            <w:tcBorders>
              <w:top w:val="nil"/>
              <w:left w:val="nil"/>
              <w:bottom w:val="nil"/>
              <w:right w:val="nil"/>
            </w:tcBorders>
            <w:shd w:val="clear" w:color="auto" w:fill="auto"/>
            <w:vAlign w:val="bottom"/>
          </w:tcPr>
          <w:p w14:paraId="6C0B84E6" w14:textId="5D3B6714" w:rsidR="001C6C15" w:rsidRPr="00226892" w:rsidRDefault="001C6C15" w:rsidP="001C6C15">
            <w:pPr>
              <w:jc w:val="right"/>
              <w:rPr>
                <w:rFonts w:ascii="Arial" w:hAnsi="Arial" w:cs="Arial"/>
                <w:color w:val="000000"/>
                <w:sz w:val="16"/>
                <w:szCs w:val="16"/>
              </w:rPr>
            </w:pPr>
            <w:r w:rsidRPr="00226892">
              <w:rPr>
                <w:rFonts w:ascii="Arial" w:hAnsi="Arial" w:cs="Arial"/>
                <w:color w:val="000000"/>
                <w:sz w:val="16"/>
                <w:szCs w:val="16"/>
              </w:rPr>
              <w:t>2 973</w:t>
            </w:r>
          </w:p>
        </w:tc>
      </w:tr>
      <w:tr w:rsidR="001C6C15" w:rsidRPr="00226892" w14:paraId="03B0F71C" w14:textId="77777777" w:rsidTr="001C6C15">
        <w:trPr>
          <w:trHeight w:val="226"/>
        </w:trPr>
        <w:tc>
          <w:tcPr>
            <w:tcW w:w="1367" w:type="pct"/>
            <w:tcBorders>
              <w:top w:val="nil"/>
              <w:left w:val="nil"/>
              <w:bottom w:val="nil"/>
              <w:right w:val="nil"/>
            </w:tcBorders>
            <w:shd w:val="clear" w:color="auto" w:fill="auto"/>
            <w:vAlign w:val="bottom"/>
          </w:tcPr>
          <w:p w14:paraId="2D530DBE" w14:textId="61128673" w:rsidR="001C6C15" w:rsidRPr="00226892" w:rsidRDefault="001C6C15" w:rsidP="001C6C15">
            <w:pPr>
              <w:rPr>
                <w:rFonts w:ascii="Arial" w:hAnsi="Arial" w:cs="Arial"/>
                <w:color w:val="000000"/>
                <w:sz w:val="16"/>
                <w:szCs w:val="16"/>
                <w:lang w:val="sk-SK"/>
              </w:rPr>
            </w:pPr>
            <w:proofErr w:type="spellStart"/>
            <w:r w:rsidRPr="00226892">
              <w:rPr>
                <w:rFonts w:ascii="Arial" w:hAnsi="Arial" w:cs="Arial"/>
                <w:color w:val="000000"/>
                <w:sz w:val="16"/>
                <w:szCs w:val="16"/>
              </w:rPr>
              <w:t>Vplyv</w:t>
            </w:r>
            <w:proofErr w:type="spellEnd"/>
            <w:r w:rsidRPr="00226892">
              <w:rPr>
                <w:rFonts w:ascii="Arial" w:hAnsi="Arial" w:cs="Arial"/>
                <w:color w:val="000000"/>
                <w:sz w:val="16"/>
                <w:szCs w:val="16"/>
              </w:rPr>
              <w:t xml:space="preserve"> </w:t>
            </w:r>
            <w:proofErr w:type="spellStart"/>
            <w:r w:rsidRPr="00226892">
              <w:rPr>
                <w:rFonts w:ascii="Arial" w:hAnsi="Arial" w:cs="Arial"/>
                <w:color w:val="000000"/>
                <w:sz w:val="16"/>
                <w:szCs w:val="16"/>
              </w:rPr>
              <w:t>prepo</w:t>
            </w:r>
            <w:r w:rsidRPr="00226892">
              <w:rPr>
                <w:rFonts w:ascii="Arial" w:hAnsi="Arial" w:cs="Arial"/>
                <w:color w:val="000000"/>
                <w:sz w:val="16"/>
                <w:szCs w:val="16"/>
                <w:lang w:val="sk-SK"/>
              </w:rPr>
              <w:t>čtu</w:t>
            </w:r>
            <w:proofErr w:type="spellEnd"/>
            <w:r w:rsidRPr="00226892">
              <w:rPr>
                <w:rFonts w:ascii="Arial" w:hAnsi="Arial" w:cs="Arial"/>
                <w:color w:val="000000"/>
                <w:sz w:val="16"/>
                <w:szCs w:val="16"/>
                <w:lang w:val="sk-SK"/>
              </w:rPr>
              <w:t xml:space="preserve"> zahraničnej dcérskej spoločnosti</w:t>
            </w:r>
          </w:p>
        </w:tc>
        <w:tc>
          <w:tcPr>
            <w:tcW w:w="451" w:type="pct"/>
            <w:tcBorders>
              <w:top w:val="nil"/>
              <w:left w:val="nil"/>
              <w:right w:val="nil"/>
            </w:tcBorders>
            <w:shd w:val="clear" w:color="auto" w:fill="auto"/>
            <w:vAlign w:val="bottom"/>
          </w:tcPr>
          <w:p w14:paraId="66430A83" w14:textId="77777777" w:rsidR="001C6C15" w:rsidRPr="00226892" w:rsidRDefault="001C6C15" w:rsidP="001C6C15">
            <w:pPr>
              <w:jc w:val="right"/>
              <w:rPr>
                <w:rFonts w:ascii="Arial" w:hAnsi="Arial" w:cs="Arial"/>
                <w:color w:val="000000"/>
                <w:sz w:val="16"/>
                <w:szCs w:val="16"/>
              </w:rPr>
            </w:pPr>
            <w:r w:rsidRPr="00226892">
              <w:rPr>
                <w:rFonts w:ascii="Arial" w:hAnsi="Arial" w:cs="Arial"/>
                <w:color w:val="000000"/>
                <w:sz w:val="16"/>
                <w:szCs w:val="16"/>
              </w:rPr>
              <w:t>-</w:t>
            </w:r>
          </w:p>
        </w:tc>
        <w:tc>
          <w:tcPr>
            <w:tcW w:w="568" w:type="pct"/>
            <w:tcBorders>
              <w:top w:val="nil"/>
              <w:left w:val="nil"/>
              <w:right w:val="nil"/>
            </w:tcBorders>
            <w:shd w:val="clear" w:color="auto" w:fill="auto"/>
            <w:vAlign w:val="bottom"/>
          </w:tcPr>
          <w:p w14:paraId="34F73149" w14:textId="77777777" w:rsidR="001C6C15" w:rsidRPr="00226892" w:rsidDel="00436F82" w:rsidRDefault="001C6C15" w:rsidP="001C6C15">
            <w:pPr>
              <w:jc w:val="right"/>
              <w:rPr>
                <w:rFonts w:ascii="Arial" w:hAnsi="Arial" w:cs="Arial"/>
                <w:color w:val="000000"/>
                <w:sz w:val="16"/>
                <w:szCs w:val="16"/>
              </w:rPr>
            </w:pPr>
            <w:r w:rsidRPr="00226892">
              <w:rPr>
                <w:rFonts w:ascii="Arial" w:hAnsi="Arial" w:cs="Arial"/>
                <w:color w:val="000000"/>
                <w:sz w:val="16"/>
                <w:szCs w:val="16"/>
              </w:rPr>
              <w:t>-</w:t>
            </w:r>
          </w:p>
        </w:tc>
        <w:tc>
          <w:tcPr>
            <w:tcW w:w="511" w:type="pct"/>
            <w:tcBorders>
              <w:top w:val="nil"/>
              <w:left w:val="nil"/>
              <w:right w:val="nil"/>
            </w:tcBorders>
          </w:tcPr>
          <w:p w14:paraId="0A2A945D" w14:textId="77777777" w:rsidR="001C6C15" w:rsidRPr="00226892" w:rsidRDefault="001C6C15" w:rsidP="001C6C15">
            <w:pPr>
              <w:tabs>
                <w:tab w:val="left" w:pos="1020"/>
              </w:tabs>
              <w:jc w:val="right"/>
              <w:rPr>
                <w:rFonts w:ascii="Arial" w:hAnsi="Arial" w:cs="Arial"/>
                <w:sz w:val="16"/>
                <w:szCs w:val="16"/>
              </w:rPr>
            </w:pPr>
            <w:r w:rsidRPr="00226892">
              <w:rPr>
                <w:rFonts w:ascii="Arial" w:hAnsi="Arial" w:cs="Arial"/>
                <w:sz w:val="16"/>
                <w:szCs w:val="16"/>
              </w:rPr>
              <w:br/>
              <w:t>-</w:t>
            </w:r>
          </w:p>
        </w:tc>
        <w:tc>
          <w:tcPr>
            <w:tcW w:w="568" w:type="pct"/>
            <w:tcBorders>
              <w:top w:val="nil"/>
              <w:left w:val="nil"/>
              <w:right w:val="nil"/>
            </w:tcBorders>
            <w:vAlign w:val="bottom"/>
          </w:tcPr>
          <w:p w14:paraId="1E8A7B45" w14:textId="77777777" w:rsidR="001C6C15" w:rsidRPr="00226892" w:rsidDel="00645113" w:rsidRDefault="001C6C15" w:rsidP="001C6C15">
            <w:pPr>
              <w:jc w:val="right"/>
              <w:rPr>
                <w:rFonts w:ascii="Arial" w:hAnsi="Arial" w:cs="Arial"/>
                <w:color w:val="000000"/>
                <w:sz w:val="16"/>
                <w:szCs w:val="16"/>
              </w:rPr>
            </w:pPr>
            <w:r w:rsidRPr="00226892">
              <w:rPr>
                <w:rFonts w:ascii="Arial" w:hAnsi="Arial" w:cs="Arial"/>
                <w:color w:val="000000"/>
                <w:sz w:val="16"/>
                <w:szCs w:val="16"/>
              </w:rPr>
              <w:t>-</w:t>
            </w:r>
          </w:p>
        </w:tc>
        <w:tc>
          <w:tcPr>
            <w:tcW w:w="568" w:type="pct"/>
            <w:tcBorders>
              <w:top w:val="nil"/>
              <w:left w:val="nil"/>
              <w:right w:val="nil"/>
            </w:tcBorders>
            <w:shd w:val="clear" w:color="auto" w:fill="auto"/>
            <w:vAlign w:val="bottom"/>
          </w:tcPr>
          <w:p w14:paraId="41A7C47B" w14:textId="38673666" w:rsidR="001C6C15" w:rsidRPr="00226892" w:rsidDel="00645113" w:rsidRDefault="001C6C15" w:rsidP="001C6C15">
            <w:pPr>
              <w:jc w:val="right"/>
              <w:rPr>
                <w:rFonts w:ascii="Arial" w:hAnsi="Arial" w:cs="Arial"/>
                <w:color w:val="000000"/>
                <w:sz w:val="16"/>
                <w:szCs w:val="16"/>
              </w:rPr>
            </w:pPr>
            <w:r w:rsidRPr="00226892">
              <w:rPr>
                <w:rFonts w:ascii="Arial" w:hAnsi="Arial" w:cs="Arial"/>
                <w:color w:val="000000"/>
                <w:sz w:val="16"/>
                <w:szCs w:val="16"/>
              </w:rPr>
              <w:t>-</w:t>
            </w:r>
            <w:r w:rsidR="0017639D">
              <w:rPr>
                <w:rFonts w:ascii="Arial" w:hAnsi="Arial" w:cs="Arial"/>
                <w:color w:val="000000"/>
                <w:sz w:val="16"/>
                <w:szCs w:val="16"/>
              </w:rPr>
              <w:t>24</w:t>
            </w:r>
          </w:p>
        </w:tc>
        <w:tc>
          <w:tcPr>
            <w:tcW w:w="511" w:type="pct"/>
            <w:tcBorders>
              <w:top w:val="nil"/>
              <w:left w:val="nil"/>
              <w:right w:val="nil"/>
            </w:tcBorders>
            <w:vAlign w:val="bottom"/>
          </w:tcPr>
          <w:p w14:paraId="5C298849" w14:textId="605A2ED5" w:rsidR="001C6C15" w:rsidRPr="00226892" w:rsidRDefault="0017639D" w:rsidP="001C6C15">
            <w:pPr>
              <w:jc w:val="right"/>
              <w:rPr>
                <w:rFonts w:ascii="Arial" w:hAnsi="Arial" w:cs="Arial"/>
                <w:color w:val="000000"/>
                <w:sz w:val="16"/>
                <w:szCs w:val="16"/>
              </w:rPr>
            </w:pPr>
            <w:r>
              <w:rPr>
                <w:rFonts w:ascii="Arial" w:hAnsi="Arial" w:cs="Arial"/>
                <w:color w:val="000000"/>
                <w:sz w:val="16"/>
                <w:szCs w:val="16"/>
              </w:rPr>
              <w:t>-</w:t>
            </w:r>
          </w:p>
        </w:tc>
        <w:tc>
          <w:tcPr>
            <w:tcW w:w="455" w:type="pct"/>
            <w:tcBorders>
              <w:top w:val="nil"/>
              <w:left w:val="nil"/>
              <w:right w:val="nil"/>
            </w:tcBorders>
            <w:shd w:val="clear" w:color="auto" w:fill="auto"/>
            <w:vAlign w:val="bottom"/>
          </w:tcPr>
          <w:p w14:paraId="405E3E0C" w14:textId="76307BDD" w:rsidR="001C6C15" w:rsidRPr="00226892" w:rsidDel="00436F82" w:rsidRDefault="001C6C15" w:rsidP="001C6C15">
            <w:pPr>
              <w:jc w:val="right"/>
              <w:rPr>
                <w:rFonts w:ascii="Arial" w:hAnsi="Arial" w:cs="Arial"/>
                <w:color w:val="000000"/>
                <w:sz w:val="16"/>
                <w:szCs w:val="16"/>
              </w:rPr>
            </w:pPr>
            <w:r w:rsidRPr="00226892">
              <w:rPr>
                <w:rFonts w:ascii="Arial" w:hAnsi="Arial" w:cs="Arial"/>
                <w:color w:val="000000"/>
                <w:sz w:val="16"/>
                <w:szCs w:val="16"/>
              </w:rPr>
              <w:t>-24</w:t>
            </w:r>
          </w:p>
        </w:tc>
      </w:tr>
      <w:tr w:rsidR="001C6C15" w:rsidRPr="00226892" w14:paraId="5E904973" w14:textId="77777777" w:rsidTr="001C6C15">
        <w:trPr>
          <w:trHeight w:val="226"/>
        </w:trPr>
        <w:tc>
          <w:tcPr>
            <w:tcW w:w="1367" w:type="pct"/>
            <w:tcBorders>
              <w:top w:val="nil"/>
              <w:left w:val="nil"/>
              <w:bottom w:val="nil"/>
              <w:right w:val="nil"/>
            </w:tcBorders>
            <w:shd w:val="clear" w:color="auto" w:fill="auto"/>
            <w:vAlign w:val="bottom"/>
          </w:tcPr>
          <w:p w14:paraId="37048D51" w14:textId="77777777" w:rsidR="001C6C15" w:rsidRPr="00226892" w:rsidRDefault="001C6C15" w:rsidP="001C6C15">
            <w:pPr>
              <w:rPr>
                <w:rFonts w:ascii="Arial" w:hAnsi="Arial" w:cs="Arial"/>
                <w:color w:val="000000"/>
                <w:sz w:val="16"/>
                <w:szCs w:val="16"/>
              </w:rPr>
            </w:pPr>
            <w:proofErr w:type="spellStart"/>
            <w:r w:rsidRPr="00226892">
              <w:rPr>
                <w:rFonts w:ascii="Arial" w:hAnsi="Arial" w:cs="Arial"/>
                <w:color w:val="000000"/>
                <w:sz w:val="16"/>
                <w:szCs w:val="16"/>
              </w:rPr>
              <w:t>Ostatné</w:t>
            </w:r>
            <w:proofErr w:type="spellEnd"/>
          </w:p>
        </w:tc>
        <w:tc>
          <w:tcPr>
            <w:tcW w:w="451" w:type="pct"/>
            <w:tcBorders>
              <w:top w:val="nil"/>
              <w:left w:val="nil"/>
              <w:bottom w:val="single" w:sz="4" w:space="0" w:color="auto"/>
              <w:right w:val="nil"/>
            </w:tcBorders>
            <w:shd w:val="clear" w:color="auto" w:fill="auto"/>
            <w:vAlign w:val="bottom"/>
          </w:tcPr>
          <w:p w14:paraId="44AE3358" w14:textId="77777777" w:rsidR="001C6C15" w:rsidRPr="00226892" w:rsidRDefault="001C6C15" w:rsidP="001C6C15">
            <w:pPr>
              <w:jc w:val="right"/>
              <w:rPr>
                <w:rFonts w:ascii="Arial" w:hAnsi="Arial" w:cs="Arial"/>
                <w:color w:val="000000"/>
                <w:sz w:val="16"/>
                <w:szCs w:val="16"/>
              </w:rPr>
            </w:pPr>
            <w:r w:rsidRPr="00226892">
              <w:rPr>
                <w:rFonts w:ascii="Arial" w:hAnsi="Arial" w:cs="Arial"/>
                <w:color w:val="000000"/>
                <w:sz w:val="16"/>
                <w:szCs w:val="16"/>
              </w:rPr>
              <w:t>-</w:t>
            </w:r>
          </w:p>
        </w:tc>
        <w:tc>
          <w:tcPr>
            <w:tcW w:w="568" w:type="pct"/>
            <w:tcBorders>
              <w:top w:val="nil"/>
              <w:left w:val="nil"/>
              <w:bottom w:val="single" w:sz="4" w:space="0" w:color="auto"/>
              <w:right w:val="nil"/>
            </w:tcBorders>
            <w:shd w:val="clear" w:color="auto" w:fill="auto"/>
            <w:vAlign w:val="bottom"/>
          </w:tcPr>
          <w:p w14:paraId="69F4856B" w14:textId="2D179E79" w:rsidR="001C6C15" w:rsidRPr="00226892" w:rsidDel="00436F82" w:rsidRDefault="001C6C15" w:rsidP="001C6C15">
            <w:pPr>
              <w:jc w:val="right"/>
              <w:rPr>
                <w:rFonts w:ascii="Arial" w:hAnsi="Arial" w:cs="Arial"/>
                <w:color w:val="000000"/>
                <w:sz w:val="16"/>
                <w:szCs w:val="16"/>
              </w:rPr>
            </w:pPr>
            <w:r w:rsidRPr="00226892">
              <w:rPr>
                <w:rFonts w:ascii="Arial" w:hAnsi="Arial" w:cs="Arial"/>
                <w:color w:val="000000"/>
                <w:sz w:val="16"/>
                <w:szCs w:val="16"/>
              </w:rPr>
              <w:t>122</w:t>
            </w:r>
          </w:p>
        </w:tc>
        <w:tc>
          <w:tcPr>
            <w:tcW w:w="511" w:type="pct"/>
            <w:tcBorders>
              <w:top w:val="nil"/>
              <w:left w:val="nil"/>
              <w:bottom w:val="single" w:sz="4" w:space="0" w:color="auto"/>
              <w:right w:val="nil"/>
            </w:tcBorders>
          </w:tcPr>
          <w:p w14:paraId="64AF3A87" w14:textId="77777777" w:rsidR="001C6C15" w:rsidRPr="00226892" w:rsidRDefault="001C6C15" w:rsidP="001C6C15">
            <w:pPr>
              <w:jc w:val="right"/>
              <w:rPr>
                <w:rFonts w:ascii="Arial" w:hAnsi="Arial" w:cs="Arial"/>
                <w:color w:val="000000"/>
                <w:sz w:val="16"/>
                <w:szCs w:val="16"/>
              </w:rPr>
            </w:pPr>
            <w:r w:rsidRPr="00226892">
              <w:rPr>
                <w:rFonts w:ascii="Arial" w:hAnsi="Arial" w:cs="Arial"/>
                <w:color w:val="000000"/>
                <w:sz w:val="16"/>
                <w:szCs w:val="16"/>
              </w:rPr>
              <w:t>-</w:t>
            </w:r>
          </w:p>
        </w:tc>
        <w:tc>
          <w:tcPr>
            <w:tcW w:w="568" w:type="pct"/>
            <w:tcBorders>
              <w:top w:val="nil"/>
              <w:left w:val="nil"/>
              <w:bottom w:val="single" w:sz="4" w:space="0" w:color="auto"/>
              <w:right w:val="nil"/>
            </w:tcBorders>
            <w:vAlign w:val="bottom"/>
          </w:tcPr>
          <w:p w14:paraId="31653306" w14:textId="77777777" w:rsidR="001C6C15" w:rsidRPr="00226892" w:rsidDel="009D65DB" w:rsidRDefault="001C6C15" w:rsidP="001C6C15">
            <w:pPr>
              <w:pStyle w:val="Odsekzoznamu"/>
              <w:jc w:val="right"/>
              <w:rPr>
                <w:rFonts w:ascii="Arial" w:hAnsi="Arial" w:cs="Arial"/>
                <w:color w:val="000000"/>
                <w:sz w:val="16"/>
                <w:szCs w:val="16"/>
              </w:rPr>
            </w:pPr>
            <w:r w:rsidRPr="00226892">
              <w:rPr>
                <w:rFonts w:ascii="Arial" w:hAnsi="Arial" w:cs="Arial"/>
                <w:color w:val="000000"/>
                <w:sz w:val="16"/>
                <w:szCs w:val="16"/>
              </w:rPr>
              <w:t>-</w:t>
            </w:r>
          </w:p>
        </w:tc>
        <w:tc>
          <w:tcPr>
            <w:tcW w:w="568" w:type="pct"/>
            <w:tcBorders>
              <w:top w:val="nil"/>
              <w:left w:val="nil"/>
              <w:bottom w:val="single" w:sz="4" w:space="0" w:color="auto"/>
              <w:right w:val="nil"/>
            </w:tcBorders>
            <w:shd w:val="clear" w:color="auto" w:fill="auto"/>
            <w:vAlign w:val="bottom"/>
          </w:tcPr>
          <w:p w14:paraId="126328D3" w14:textId="77777777" w:rsidR="001C6C15" w:rsidRPr="00226892" w:rsidDel="009D65DB" w:rsidRDefault="001C6C15" w:rsidP="001C6C15">
            <w:pPr>
              <w:pStyle w:val="Odsekzoznamu"/>
              <w:jc w:val="right"/>
              <w:rPr>
                <w:rFonts w:ascii="Arial" w:hAnsi="Arial" w:cs="Arial"/>
                <w:color w:val="000000"/>
                <w:sz w:val="16"/>
                <w:szCs w:val="16"/>
              </w:rPr>
            </w:pPr>
            <w:r w:rsidRPr="00226892">
              <w:rPr>
                <w:rFonts w:ascii="Arial" w:hAnsi="Arial" w:cs="Arial"/>
                <w:color w:val="000000"/>
                <w:sz w:val="16"/>
                <w:szCs w:val="16"/>
              </w:rPr>
              <w:t>-</w:t>
            </w:r>
          </w:p>
        </w:tc>
        <w:tc>
          <w:tcPr>
            <w:tcW w:w="511" w:type="pct"/>
            <w:tcBorders>
              <w:top w:val="nil"/>
              <w:left w:val="nil"/>
              <w:bottom w:val="single" w:sz="4" w:space="0" w:color="auto"/>
              <w:right w:val="nil"/>
            </w:tcBorders>
            <w:vAlign w:val="bottom"/>
          </w:tcPr>
          <w:p w14:paraId="0121F09C" w14:textId="44396AD0" w:rsidR="001C6C15" w:rsidRPr="00226892" w:rsidRDefault="001C6C15" w:rsidP="001C6C15">
            <w:pPr>
              <w:jc w:val="right"/>
              <w:rPr>
                <w:rFonts w:ascii="Arial" w:hAnsi="Arial" w:cs="Arial"/>
                <w:color w:val="000000"/>
                <w:sz w:val="16"/>
                <w:szCs w:val="16"/>
              </w:rPr>
            </w:pPr>
            <w:r w:rsidRPr="00226892">
              <w:rPr>
                <w:rFonts w:ascii="Arial" w:hAnsi="Arial" w:cs="Arial"/>
                <w:color w:val="000000"/>
                <w:sz w:val="16"/>
                <w:szCs w:val="16"/>
              </w:rPr>
              <w:t>-133</w:t>
            </w:r>
          </w:p>
        </w:tc>
        <w:tc>
          <w:tcPr>
            <w:tcW w:w="455" w:type="pct"/>
            <w:tcBorders>
              <w:top w:val="nil"/>
              <w:left w:val="nil"/>
              <w:bottom w:val="single" w:sz="4" w:space="0" w:color="auto"/>
              <w:right w:val="nil"/>
            </w:tcBorders>
            <w:shd w:val="clear" w:color="auto" w:fill="auto"/>
            <w:vAlign w:val="bottom"/>
          </w:tcPr>
          <w:p w14:paraId="0E184EDE" w14:textId="0C9E928F" w:rsidR="001C6C15" w:rsidRPr="00226892" w:rsidDel="009D65DB" w:rsidRDefault="001C6C15" w:rsidP="001C6C15">
            <w:pPr>
              <w:jc w:val="right"/>
              <w:rPr>
                <w:rFonts w:ascii="Arial" w:hAnsi="Arial" w:cs="Arial"/>
                <w:color w:val="000000"/>
                <w:sz w:val="16"/>
                <w:szCs w:val="16"/>
              </w:rPr>
            </w:pPr>
            <w:r w:rsidRPr="00226892">
              <w:rPr>
                <w:rFonts w:ascii="Arial" w:hAnsi="Arial" w:cs="Arial"/>
                <w:color w:val="000000"/>
                <w:sz w:val="16"/>
                <w:szCs w:val="16"/>
              </w:rPr>
              <w:t>-11</w:t>
            </w:r>
          </w:p>
        </w:tc>
      </w:tr>
      <w:tr w:rsidR="001C6C15" w:rsidRPr="00226892" w14:paraId="120066F5" w14:textId="77777777" w:rsidTr="001C6C15">
        <w:trPr>
          <w:trHeight w:val="226"/>
        </w:trPr>
        <w:tc>
          <w:tcPr>
            <w:tcW w:w="1367" w:type="pct"/>
            <w:tcBorders>
              <w:top w:val="nil"/>
              <w:left w:val="nil"/>
              <w:bottom w:val="nil"/>
              <w:right w:val="nil"/>
            </w:tcBorders>
            <w:shd w:val="clear" w:color="auto" w:fill="auto"/>
            <w:vAlign w:val="bottom"/>
            <w:hideMark/>
          </w:tcPr>
          <w:p w14:paraId="47B23156" w14:textId="40674974" w:rsidR="001C6C15" w:rsidRPr="00226892" w:rsidRDefault="001C6C15" w:rsidP="001C6C15">
            <w:pPr>
              <w:rPr>
                <w:rFonts w:ascii="Arial" w:hAnsi="Arial" w:cs="Arial"/>
                <w:b/>
                <w:bCs/>
                <w:i/>
                <w:iCs/>
                <w:color w:val="000000"/>
                <w:sz w:val="16"/>
                <w:szCs w:val="16"/>
              </w:rPr>
            </w:pPr>
            <w:proofErr w:type="spellStart"/>
            <w:r w:rsidRPr="00226892">
              <w:rPr>
                <w:rFonts w:ascii="Arial" w:hAnsi="Arial" w:cs="Arial"/>
                <w:b/>
                <w:bCs/>
                <w:i/>
                <w:iCs/>
                <w:color w:val="000000"/>
                <w:sz w:val="16"/>
                <w:szCs w:val="16"/>
              </w:rPr>
              <w:t>Súhrnný</w:t>
            </w:r>
            <w:proofErr w:type="spellEnd"/>
            <w:r w:rsidRPr="00226892">
              <w:rPr>
                <w:rFonts w:ascii="Arial" w:hAnsi="Arial" w:cs="Arial"/>
                <w:b/>
                <w:bCs/>
                <w:i/>
                <w:iCs/>
                <w:color w:val="000000"/>
                <w:sz w:val="16"/>
                <w:szCs w:val="16"/>
              </w:rPr>
              <w:t xml:space="preserve"> </w:t>
            </w:r>
            <w:proofErr w:type="spellStart"/>
            <w:r w:rsidRPr="00226892">
              <w:rPr>
                <w:rFonts w:ascii="Arial" w:hAnsi="Arial" w:cs="Arial"/>
                <w:b/>
                <w:bCs/>
                <w:i/>
                <w:iCs/>
                <w:color w:val="000000"/>
                <w:sz w:val="16"/>
                <w:szCs w:val="16"/>
              </w:rPr>
              <w:t>zisk</w:t>
            </w:r>
            <w:proofErr w:type="spellEnd"/>
            <w:r w:rsidRPr="00226892">
              <w:rPr>
                <w:rFonts w:ascii="Arial" w:hAnsi="Arial" w:cs="Arial"/>
                <w:b/>
                <w:bCs/>
                <w:i/>
                <w:iCs/>
                <w:color w:val="000000"/>
                <w:sz w:val="16"/>
                <w:szCs w:val="16"/>
              </w:rPr>
              <w:t xml:space="preserve"> za </w:t>
            </w:r>
            <w:proofErr w:type="spellStart"/>
            <w:r w:rsidRPr="00226892">
              <w:rPr>
                <w:rFonts w:ascii="Arial" w:hAnsi="Arial" w:cs="Arial"/>
                <w:b/>
                <w:bCs/>
                <w:i/>
                <w:iCs/>
                <w:color w:val="000000"/>
                <w:sz w:val="16"/>
                <w:szCs w:val="16"/>
              </w:rPr>
              <w:t>účtovné</w:t>
            </w:r>
            <w:proofErr w:type="spellEnd"/>
            <w:r w:rsidRPr="00226892">
              <w:rPr>
                <w:rFonts w:ascii="Arial" w:hAnsi="Arial" w:cs="Arial"/>
                <w:b/>
                <w:bCs/>
                <w:i/>
                <w:iCs/>
                <w:color w:val="000000"/>
                <w:sz w:val="16"/>
                <w:szCs w:val="16"/>
              </w:rPr>
              <w:t xml:space="preserve"> </w:t>
            </w:r>
            <w:proofErr w:type="spellStart"/>
            <w:r w:rsidRPr="00226892">
              <w:rPr>
                <w:rFonts w:ascii="Arial" w:hAnsi="Arial" w:cs="Arial"/>
                <w:b/>
                <w:bCs/>
                <w:i/>
                <w:iCs/>
                <w:color w:val="000000"/>
                <w:sz w:val="16"/>
                <w:szCs w:val="16"/>
              </w:rPr>
              <w:t>obdobie</w:t>
            </w:r>
            <w:proofErr w:type="spellEnd"/>
            <w:r w:rsidRPr="00226892">
              <w:rPr>
                <w:rFonts w:ascii="Arial" w:hAnsi="Arial" w:cs="Arial"/>
                <w:b/>
                <w:bCs/>
                <w:i/>
                <w:iCs/>
                <w:color w:val="000000"/>
                <w:sz w:val="16"/>
                <w:szCs w:val="16"/>
              </w:rPr>
              <w:t xml:space="preserve"> </w:t>
            </w:r>
          </w:p>
        </w:tc>
        <w:tc>
          <w:tcPr>
            <w:tcW w:w="451" w:type="pct"/>
            <w:tcBorders>
              <w:top w:val="single" w:sz="4" w:space="0" w:color="auto"/>
              <w:left w:val="nil"/>
              <w:bottom w:val="single" w:sz="4" w:space="0" w:color="auto"/>
              <w:right w:val="nil"/>
            </w:tcBorders>
            <w:shd w:val="clear" w:color="auto" w:fill="auto"/>
            <w:vAlign w:val="bottom"/>
          </w:tcPr>
          <w:p w14:paraId="2E75EED4" w14:textId="7B09674F" w:rsidR="001C6C15" w:rsidRPr="00226892" w:rsidRDefault="001C6C15" w:rsidP="001C6C15">
            <w:pPr>
              <w:jc w:val="right"/>
              <w:rPr>
                <w:rFonts w:ascii="Arial" w:hAnsi="Arial" w:cs="Arial"/>
                <w:b/>
                <w:bCs/>
                <w:color w:val="000000"/>
                <w:sz w:val="16"/>
                <w:szCs w:val="16"/>
              </w:rPr>
            </w:pPr>
            <w:r w:rsidRPr="00226892">
              <w:rPr>
                <w:rFonts w:ascii="Arial" w:hAnsi="Arial" w:cs="Arial"/>
                <w:b/>
                <w:bCs/>
                <w:color w:val="000000"/>
                <w:sz w:val="16"/>
                <w:szCs w:val="16"/>
              </w:rPr>
              <w:t>-</w:t>
            </w:r>
          </w:p>
        </w:tc>
        <w:tc>
          <w:tcPr>
            <w:tcW w:w="568" w:type="pct"/>
            <w:tcBorders>
              <w:top w:val="single" w:sz="4" w:space="0" w:color="auto"/>
              <w:left w:val="nil"/>
              <w:bottom w:val="single" w:sz="4" w:space="0" w:color="auto"/>
              <w:right w:val="nil"/>
            </w:tcBorders>
            <w:shd w:val="clear" w:color="auto" w:fill="auto"/>
            <w:vAlign w:val="bottom"/>
          </w:tcPr>
          <w:p w14:paraId="330BB66F" w14:textId="5579B597" w:rsidR="001C6C15" w:rsidRPr="00226892" w:rsidRDefault="001C6C15" w:rsidP="001C6C15">
            <w:pPr>
              <w:jc w:val="right"/>
              <w:rPr>
                <w:rFonts w:ascii="Arial" w:hAnsi="Arial" w:cs="Arial"/>
                <w:b/>
                <w:bCs/>
                <w:color w:val="000000"/>
                <w:sz w:val="16"/>
                <w:szCs w:val="16"/>
              </w:rPr>
            </w:pPr>
            <w:r w:rsidRPr="00226892">
              <w:rPr>
                <w:rFonts w:ascii="Arial" w:hAnsi="Arial" w:cs="Arial"/>
                <w:b/>
                <w:bCs/>
                <w:color w:val="000000"/>
                <w:sz w:val="16"/>
                <w:szCs w:val="16"/>
              </w:rPr>
              <w:t>122</w:t>
            </w:r>
          </w:p>
        </w:tc>
        <w:tc>
          <w:tcPr>
            <w:tcW w:w="511" w:type="pct"/>
            <w:tcBorders>
              <w:top w:val="single" w:sz="4" w:space="0" w:color="auto"/>
              <w:left w:val="nil"/>
              <w:bottom w:val="single" w:sz="4" w:space="0" w:color="auto"/>
              <w:right w:val="nil"/>
            </w:tcBorders>
          </w:tcPr>
          <w:p w14:paraId="13378261" w14:textId="54207785" w:rsidR="001C6C15" w:rsidRPr="00226892" w:rsidDel="00436F82" w:rsidRDefault="001C6C15" w:rsidP="001C6C15">
            <w:pPr>
              <w:pStyle w:val="Odsekzoznamu"/>
              <w:jc w:val="right"/>
              <w:rPr>
                <w:rFonts w:ascii="Arial" w:hAnsi="Arial" w:cs="Arial"/>
                <w:b/>
                <w:bCs/>
                <w:color w:val="000000"/>
                <w:sz w:val="16"/>
                <w:szCs w:val="16"/>
              </w:rPr>
            </w:pPr>
            <w:r w:rsidRPr="00226892">
              <w:rPr>
                <w:rFonts w:ascii="Arial" w:hAnsi="Arial" w:cs="Arial"/>
                <w:b/>
                <w:bCs/>
                <w:color w:val="000000"/>
                <w:sz w:val="16"/>
                <w:szCs w:val="16"/>
              </w:rPr>
              <w:br/>
            </w:r>
            <w:r w:rsidRPr="00226892">
              <w:rPr>
                <w:rFonts w:ascii="Arial" w:hAnsi="Arial" w:cs="Arial"/>
                <w:b/>
                <w:bCs/>
                <w:color w:val="000000"/>
                <w:sz w:val="16"/>
                <w:szCs w:val="16"/>
              </w:rPr>
              <w:br/>
              <w:t>-</w:t>
            </w:r>
          </w:p>
        </w:tc>
        <w:tc>
          <w:tcPr>
            <w:tcW w:w="568" w:type="pct"/>
            <w:tcBorders>
              <w:top w:val="single" w:sz="4" w:space="0" w:color="auto"/>
              <w:left w:val="nil"/>
              <w:bottom w:val="single" w:sz="4" w:space="0" w:color="auto"/>
              <w:right w:val="nil"/>
            </w:tcBorders>
          </w:tcPr>
          <w:p w14:paraId="6470AFCD" w14:textId="7C960925" w:rsidR="001C6C15" w:rsidRPr="00226892" w:rsidRDefault="001C6C15" w:rsidP="001C6C15">
            <w:pPr>
              <w:jc w:val="right"/>
              <w:rPr>
                <w:rFonts w:ascii="Arial" w:hAnsi="Arial" w:cs="Arial"/>
                <w:b/>
                <w:bCs/>
                <w:color w:val="000000"/>
                <w:sz w:val="16"/>
                <w:szCs w:val="16"/>
              </w:rPr>
            </w:pPr>
            <w:r w:rsidRPr="00226892">
              <w:rPr>
                <w:rFonts w:ascii="Arial" w:hAnsi="Arial" w:cs="Arial"/>
                <w:b/>
                <w:bCs/>
                <w:color w:val="000000"/>
                <w:sz w:val="16"/>
                <w:szCs w:val="16"/>
              </w:rPr>
              <w:br/>
            </w:r>
            <w:r w:rsidRPr="00226892">
              <w:rPr>
                <w:rFonts w:ascii="Arial" w:hAnsi="Arial" w:cs="Arial"/>
                <w:b/>
                <w:bCs/>
                <w:color w:val="000000"/>
                <w:sz w:val="16"/>
                <w:szCs w:val="16"/>
              </w:rPr>
              <w:br/>
              <w:t>-</w:t>
            </w:r>
          </w:p>
        </w:tc>
        <w:tc>
          <w:tcPr>
            <w:tcW w:w="568" w:type="pct"/>
            <w:tcBorders>
              <w:top w:val="single" w:sz="4" w:space="0" w:color="auto"/>
              <w:left w:val="nil"/>
              <w:bottom w:val="single" w:sz="4" w:space="0" w:color="auto"/>
              <w:right w:val="nil"/>
            </w:tcBorders>
            <w:shd w:val="clear" w:color="auto" w:fill="auto"/>
          </w:tcPr>
          <w:p w14:paraId="59E641BD" w14:textId="3EF2C255" w:rsidR="001C6C15" w:rsidRPr="00226892" w:rsidRDefault="001C6C15" w:rsidP="001C6C15">
            <w:pPr>
              <w:jc w:val="right"/>
              <w:rPr>
                <w:rFonts w:ascii="Arial" w:hAnsi="Arial" w:cs="Arial"/>
                <w:b/>
                <w:bCs/>
                <w:color w:val="000000"/>
                <w:sz w:val="16"/>
                <w:szCs w:val="16"/>
              </w:rPr>
            </w:pPr>
            <w:r w:rsidRPr="00226892">
              <w:rPr>
                <w:rFonts w:ascii="Arial" w:hAnsi="Arial" w:cs="Arial"/>
                <w:b/>
                <w:bCs/>
                <w:color w:val="000000"/>
                <w:sz w:val="16"/>
                <w:szCs w:val="16"/>
              </w:rPr>
              <w:br/>
            </w:r>
            <w:r w:rsidRPr="00226892">
              <w:rPr>
                <w:rFonts w:ascii="Arial" w:hAnsi="Arial" w:cs="Arial"/>
                <w:b/>
                <w:bCs/>
                <w:color w:val="000000"/>
                <w:sz w:val="16"/>
                <w:szCs w:val="16"/>
              </w:rPr>
              <w:br/>
              <w:t>-</w:t>
            </w:r>
            <w:r w:rsidR="0017639D">
              <w:rPr>
                <w:rFonts w:ascii="Arial" w:hAnsi="Arial" w:cs="Arial"/>
                <w:b/>
                <w:bCs/>
                <w:color w:val="000000"/>
                <w:sz w:val="16"/>
                <w:szCs w:val="16"/>
              </w:rPr>
              <w:t>24</w:t>
            </w:r>
          </w:p>
        </w:tc>
        <w:tc>
          <w:tcPr>
            <w:tcW w:w="511" w:type="pct"/>
            <w:tcBorders>
              <w:top w:val="single" w:sz="4" w:space="0" w:color="auto"/>
              <w:left w:val="nil"/>
              <w:bottom w:val="single" w:sz="4" w:space="0" w:color="auto"/>
              <w:right w:val="nil"/>
            </w:tcBorders>
            <w:vAlign w:val="bottom"/>
          </w:tcPr>
          <w:p w14:paraId="09932216" w14:textId="70744DD3" w:rsidR="001C6C15" w:rsidRPr="00226892" w:rsidRDefault="001C6C15" w:rsidP="001C6C15">
            <w:pPr>
              <w:jc w:val="right"/>
              <w:rPr>
                <w:rFonts w:ascii="Arial" w:hAnsi="Arial" w:cs="Arial"/>
                <w:b/>
                <w:bCs/>
                <w:color w:val="000000"/>
                <w:sz w:val="16"/>
                <w:szCs w:val="16"/>
              </w:rPr>
            </w:pPr>
            <w:r w:rsidRPr="00226892">
              <w:rPr>
                <w:rFonts w:ascii="Arial" w:hAnsi="Arial" w:cs="Arial"/>
                <w:b/>
                <w:bCs/>
                <w:color w:val="000000"/>
                <w:sz w:val="16"/>
                <w:szCs w:val="16"/>
              </w:rPr>
              <w:t>2 8</w:t>
            </w:r>
            <w:r w:rsidR="0017639D">
              <w:rPr>
                <w:rFonts w:ascii="Arial" w:hAnsi="Arial" w:cs="Arial"/>
                <w:b/>
                <w:bCs/>
                <w:color w:val="000000"/>
                <w:sz w:val="16"/>
                <w:szCs w:val="16"/>
              </w:rPr>
              <w:t>40</w:t>
            </w:r>
          </w:p>
        </w:tc>
        <w:tc>
          <w:tcPr>
            <w:tcW w:w="455" w:type="pct"/>
            <w:tcBorders>
              <w:top w:val="single" w:sz="4" w:space="0" w:color="auto"/>
              <w:left w:val="nil"/>
              <w:bottom w:val="single" w:sz="4" w:space="0" w:color="auto"/>
              <w:right w:val="nil"/>
            </w:tcBorders>
            <w:shd w:val="clear" w:color="auto" w:fill="auto"/>
            <w:vAlign w:val="bottom"/>
          </w:tcPr>
          <w:p w14:paraId="2891031B" w14:textId="7DE379AE" w:rsidR="001C6C15" w:rsidRPr="00226892" w:rsidRDefault="001C6C15" w:rsidP="001C6C15">
            <w:pPr>
              <w:jc w:val="right"/>
              <w:rPr>
                <w:rFonts w:ascii="Arial" w:hAnsi="Arial" w:cs="Arial"/>
                <w:b/>
                <w:bCs/>
                <w:color w:val="000000"/>
                <w:sz w:val="16"/>
                <w:szCs w:val="16"/>
              </w:rPr>
            </w:pPr>
            <w:r w:rsidRPr="00226892">
              <w:rPr>
                <w:rFonts w:ascii="Arial" w:hAnsi="Arial" w:cs="Arial"/>
                <w:b/>
                <w:bCs/>
                <w:color w:val="000000"/>
                <w:sz w:val="16"/>
                <w:szCs w:val="16"/>
              </w:rPr>
              <w:t>2 938</w:t>
            </w:r>
          </w:p>
        </w:tc>
      </w:tr>
      <w:tr w:rsidR="001C6C15" w:rsidRPr="00226892" w14:paraId="4DAD4671" w14:textId="77777777" w:rsidTr="001C6C15">
        <w:trPr>
          <w:trHeight w:val="226"/>
        </w:trPr>
        <w:tc>
          <w:tcPr>
            <w:tcW w:w="1367" w:type="pct"/>
            <w:tcBorders>
              <w:top w:val="nil"/>
              <w:left w:val="nil"/>
              <w:bottom w:val="nil"/>
              <w:right w:val="nil"/>
            </w:tcBorders>
            <w:shd w:val="clear" w:color="auto" w:fill="auto"/>
            <w:vAlign w:val="bottom"/>
            <w:hideMark/>
          </w:tcPr>
          <w:p w14:paraId="076DF53D" w14:textId="7E2063BA" w:rsidR="001C6C15" w:rsidRPr="00226892" w:rsidRDefault="001C6C15" w:rsidP="001C6C15">
            <w:pPr>
              <w:rPr>
                <w:rFonts w:ascii="Arial" w:hAnsi="Arial" w:cs="Arial"/>
                <w:b/>
                <w:bCs/>
                <w:color w:val="000000"/>
                <w:sz w:val="16"/>
                <w:szCs w:val="16"/>
              </w:rPr>
            </w:pPr>
            <w:proofErr w:type="spellStart"/>
            <w:r w:rsidRPr="00226892">
              <w:rPr>
                <w:rFonts w:ascii="Arial" w:hAnsi="Arial" w:cs="Arial"/>
                <w:b/>
                <w:bCs/>
                <w:color w:val="000000"/>
                <w:sz w:val="16"/>
                <w:szCs w:val="16"/>
              </w:rPr>
              <w:t>Stav</w:t>
            </w:r>
            <w:proofErr w:type="spellEnd"/>
            <w:r w:rsidRPr="00226892">
              <w:rPr>
                <w:rFonts w:ascii="Arial" w:hAnsi="Arial" w:cs="Arial"/>
                <w:b/>
                <w:bCs/>
                <w:color w:val="000000"/>
                <w:sz w:val="16"/>
                <w:szCs w:val="16"/>
              </w:rPr>
              <w:t xml:space="preserve"> k 31. </w:t>
            </w:r>
            <w:proofErr w:type="spellStart"/>
            <w:r w:rsidRPr="00226892">
              <w:rPr>
                <w:rFonts w:ascii="Arial" w:hAnsi="Arial" w:cs="Arial"/>
                <w:b/>
                <w:bCs/>
                <w:color w:val="000000"/>
                <w:sz w:val="16"/>
                <w:szCs w:val="16"/>
              </w:rPr>
              <w:t>decembru</w:t>
            </w:r>
            <w:proofErr w:type="spellEnd"/>
            <w:r w:rsidRPr="00226892">
              <w:rPr>
                <w:rFonts w:ascii="Arial" w:hAnsi="Arial" w:cs="Arial"/>
                <w:b/>
                <w:bCs/>
                <w:color w:val="000000"/>
                <w:sz w:val="16"/>
                <w:szCs w:val="16"/>
              </w:rPr>
              <w:t xml:space="preserve"> 2018 </w:t>
            </w:r>
          </w:p>
        </w:tc>
        <w:tc>
          <w:tcPr>
            <w:tcW w:w="451" w:type="pct"/>
            <w:tcBorders>
              <w:top w:val="single" w:sz="4" w:space="0" w:color="auto"/>
              <w:left w:val="nil"/>
              <w:bottom w:val="double" w:sz="4" w:space="0" w:color="auto"/>
              <w:right w:val="nil"/>
            </w:tcBorders>
            <w:shd w:val="clear" w:color="auto" w:fill="auto"/>
            <w:vAlign w:val="bottom"/>
          </w:tcPr>
          <w:p w14:paraId="003FDF5B" w14:textId="016100FC" w:rsidR="001C6C15" w:rsidRPr="00226892" w:rsidRDefault="001C6C15" w:rsidP="001C6C15">
            <w:pPr>
              <w:jc w:val="right"/>
              <w:rPr>
                <w:rFonts w:ascii="Arial" w:hAnsi="Arial" w:cs="Arial"/>
                <w:b/>
                <w:bCs/>
                <w:color w:val="000000"/>
                <w:sz w:val="16"/>
                <w:szCs w:val="16"/>
              </w:rPr>
            </w:pPr>
            <w:r w:rsidRPr="00226892">
              <w:rPr>
                <w:rFonts w:ascii="Arial" w:hAnsi="Arial" w:cs="Arial"/>
                <w:b/>
                <w:bCs/>
                <w:color w:val="000000"/>
                <w:sz w:val="16"/>
                <w:szCs w:val="16"/>
              </w:rPr>
              <w:t>20 448</w:t>
            </w:r>
          </w:p>
        </w:tc>
        <w:tc>
          <w:tcPr>
            <w:tcW w:w="568" w:type="pct"/>
            <w:tcBorders>
              <w:top w:val="single" w:sz="4" w:space="0" w:color="auto"/>
              <w:left w:val="nil"/>
              <w:bottom w:val="double" w:sz="4" w:space="0" w:color="auto"/>
              <w:right w:val="nil"/>
            </w:tcBorders>
            <w:shd w:val="clear" w:color="auto" w:fill="auto"/>
            <w:vAlign w:val="bottom"/>
          </w:tcPr>
          <w:p w14:paraId="1403D3B1" w14:textId="01B31CD6" w:rsidR="001C6C15" w:rsidRPr="00226892" w:rsidRDefault="001C6C15" w:rsidP="001C6C15">
            <w:pPr>
              <w:jc w:val="right"/>
              <w:rPr>
                <w:rFonts w:ascii="Arial" w:hAnsi="Arial" w:cs="Arial"/>
                <w:b/>
                <w:bCs/>
                <w:color w:val="000000"/>
                <w:sz w:val="16"/>
                <w:szCs w:val="16"/>
              </w:rPr>
            </w:pPr>
            <w:r w:rsidRPr="00226892">
              <w:rPr>
                <w:rFonts w:ascii="Arial" w:hAnsi="Arial" w:cs="Arial"/>
                <w:b/>
                <w:bCs/>
                <w:color w:val="000000"/>
                <w:sz w:val="16"/>
                <w:szCs w:val="16"/>
              </w:rPr>
              <w:t>3 428</w:t>
            </w:r>
          </w:p>
        </w:tc>
        <w:tc>
          <w:tcPr>
            <w:tcW w:w="511" w:type="pct"/>
            <w:tcBorders>
              <w:top w:val="single" w:sz="4" w:space="0" w:color="auto"/>
              <w:left w:val="nil"/>
              <w:bottom w:val="double" w:sz="4" w:space="0" w:color="auto"/>
              <w:right w:val="nil"/>
            </w:tcBorders>
          </w:tcPr>
          <w:p w14:paraId="17E8059A" w14:textId="77777777" w:rsidR="001C6C15" w:rsidRPr="00226892" w:rsidRDefault="001C6C15" w:rsidP="001C6C15">
            <w:pPr>
              <w:jc w:val="right"/>
              <w:rPr>
                <w:rFonts w:ascii="Arial" w:hAnsi="Arial" w:cs="Arial"/>
                <w:b/>
                <w:bCs/>
                <w:color w:val="000000"/>
                <w:sz w:val="16"/>
                <w:szCs w:val="16"/>
              </w:rPr>
            </w:pPr>
          </w:p>
          <w:p w14:paraId="0CB99CB8" w14:textId="1BF4C2F6" w:rsidR="001C6C15" w:rsidRPr="00226892" w:rsidDel="00436F82" w:rsidRDefault="001C6C15" w:rsidP="001C6C15">
            <w:pPr>
              <w:jc w:val="right"/>
              <w:rPr>
                <w:rFonts w:ascii="Arial" w:hAnsi="Arial" w:cs="Arial"/>
                <w:b/>
                <w:bCs/>
                <w:color w:val="000000"/>
                <w:sz w:val="16"/>
                <w:szCs w:val="16"/>
              </w:rPr>
            </w:pPr>
            <w:r w:rsidRPr="00226892">
              <w:rPr>
                <w:rFonts w:ascii="Arial" w:hAnsi="Arial" w:cs="Arial"/>
                <w:b/>
                <w:bCs/>
                <w:color w:val="000000"/>
                <w:sz w:val="16"/>
                <w:szCs w:val="16"/>
              </w:rPr>
              <w:t>-64</w:t>
            </w:r>
          </w:p>
        </w:tc>
        <w:tc>
          <w:tcPr>
            <w:tcW w:w="568" w:type="pct"/>
            <w:tcBorders>
              <w:top w:val="single" w:sz="4" w:space="0" w:color="auto"/>
              <w:left w:val="nil"/>
              <w:bottom w:val="double" w:sz="4" w:space="0" w:color="auto"/>
              <w:right w:val="nil"/>
            </w:tcBorders>
            <w:vAlign w:val="bottom"/>
          </w:tcPr>
          <w:p w14:paraId="380890E1" w14:textId="781B5E3A" w:rsidR="001C6C15" w:rsidRPr="00226892" w:rsidRDefault="001C6C15" w:rsidP="001C6C15">
            <w:pPr>
              <w:jc w:val="right"/>
              <w:rPr>
                <w:rFonts w:ascii="Arial" w:hAnsi="Arial" w:cs="Arial"/>
                <w:b/>
                <w:bCs/>
                <w:color w:val="000000"/>
                <w:sz w:val="16"/>
                <w:szCs w:val="16"/>
              </w:rPr>
            </w:pPr>
            <w:r w:rsidRPr="00226892">
              <w:rPr>
                <w:rFonts w:ascii="Arial" w:hAnsi="Arial" w:cs="Arial"/>
                <w:b/>
                <w:bCs/>
                <w:color w:val="000000"/>
                <w:sz w:val="16"/>
                <w:szCs w:val="16"/>
              </w:rPr>
              <w:t>64</w:t>
            </w:r>
          </w:p>
        </w:tc>
        <w:tc>
          <w:tcPr>
            <w:tcW w:w="568" w:type="pct"/>
            <w:tcBorders>
              <w:top w:val="single" w:sz="4" w:space="0" w:color="auto"/>
              <w:left w:val="nil"/>
              <w:bottom w:val="double" w:sz="4" w:space="0" w:color="auto"/>
              <w:right w:val="nil"/>
            </w:tcBorders>
            <w:shd w:val="clear" w:color="auto" w:fill="auto"/>
            <w:vAlign w:val="bottom"/>
          </w:tcPr>
          <w:p w14:paraId="4362B00C" w14:textId="5D992BAD" w:rsidR="001C6C15" w:rsidRPr="00226892" w:rsidRDefault="001C6C15" w:rsidP="001C6C15">
            <w:pPr>
              <w:jc w:val="right"/>
              <w:rPr>
                <w:rFonts w:ascii="Arial" w:hAnsi="Arial" w:cs="Arial"/>
                <w:b/>
                <w:bCs/>
                <w:color w:val="000000"/>
                <w:sz w:val="16"/>
                <w:szCs w:val="16"/>
              </w:rPr>
            </w:pPr>
            <w:r w:rsidRPr="00226892">
              <w:rPr>
                <w:rFonts w:ascii="Arial" w:hAnsi="Arial" w:cs="Arial"/>
                <w:b/>
                <w:bCs/>
                <w:color w:val="000000"/>
                <w:sz w:val="16"/>
                <w:szCs w:val="16"/>
              </w:rPr>
              <w:t>1</w:t>
            </w:r>
            <w:r w:rsidR="0017639D">
              <w:rPr>
                <w:rFonts w:ascii="Arial" w:hAnsi="Arial" w:cs="Arial"/>
                <w:b/>
                <w:bCs/>
                <w:color w:val="000000"/>
                <w:sz w:val="16"/>
                <w:szCs w:val="16"/>
              </w:rPr>
              <w:t>11</w:t>
            </w:r>
          </w:p>
        </w:tc>
        <w:tc>
          <w:tcPr>
            <w:tcW w:w="511" w:type="pct"/>
            <w:tcBorders>
              <w:top w:val="single" w:sz="4" w:space="0" w:color="auto"/>
              <w:left w:val="nil"/>
              <w:bottom w:val="double" w:sz="4" w:space="0" w:color="auto"/>
              <w:right w:val="nil"/>
            </w:tcBorders>
            <w:vAlign w:val="bottom"/>
          </w:tcPr>
          <w:p w14:paraId="5F13F2A6" w14:textId="18C4D229" w:rsidR="001C6C15" w:rsidRPr="00226892" w:rsidRDefault="001C6C15" w:rsidP="001C6C15">
            <w:pPr>
              <w:jc w:val="right"/>
              <w:rPr>
                <w:rFonts w:ascii="Arial" w:hAnsi="Arial" w:cs="Arial"/>
                <w:b/>
                <w:bCs/>
                <w:color w:val="000000"/>
                <w:sz w:val="16"/>
                <w:szCs w:val="16"/>
              </w:rPr>
            </w:pPr>
            <w:r w:rsidRPr="00226892">
              <w:rPr>
                <w:rFonts w:ascii="Arial" w:hAnsi="Arial" w:cs="Arial"/>
                <w:b/>
                <w:bCs/>
                <w:color w:val="000000"/>
                <w:sz w:val="16"/>
                <w:szCs w:val="16"/>
              </w:rPr>
              <w:t>21 3</w:t>
            </w:r>
            <w:r w:rsidR="0017639D">
              <w:rPr>
                <w:rFonts w:ascii="Arial" w:hAnsi="Arial" w:cs="Arial"/>
                <w:b/>
                <w:bCs/>
                <w:color w:val="000000"/>
                <w:sz w:val="16"/>
                <w:szCs w:val="16"/>
              </w:rPr>
              <w:t>42</w:t>
            </w:r>
          </w:p>
        </w:tc>
        <w:tc>
          <w:tcPr>
            <w:tcW w:w="455" w:type="pct"/>
            <w:tcBorders>
              <w:top w:val="single" w:sz="4" w:space="0" w:color="auto"/>
              <w:left w:val="nil"/>
              <w:bottom w:val="double" w:sz="4" w:space="0" w:color="auto"/>
              <w:right w:val="nil"/>
            </w:tcBorders>
            <w:shd w:val="clear" w:color="auto" w:fill="auto"/>
            <w:vAlign w:val="bottom"/>
          </w:tcPr>
          <w:p w14:paraId="330656B7" w14:textId="729358A6" w:rsidR="001C6C15" w:rsidRPr="00226892" w:rsidRDefault="001C6C15" w:rsidP="001C6C15">
            <w:pPr>
              <w:jc w:val="right"/>
              <w:rPr>
                <w:rFonts w:ascii="Arial" w:hAnsi="Arial" w:cs="Arial"/>
                <w:b/>
                <w:bCs/>
                <w:color w:val="000000"/>
                <w:sz w:val="16"/>
                <w:szCs w:val="16"/>
              </w:rPr>
            </w:pPr>
            <w:r w:rsidRPr="00226892">
              <w:rPr>
                <w:rFonts w:ascii="Arial" w:hAnsi="Arial" w:cs="Arial"/>
                <w:b/>
                <w:bCs/>
                <w:color w:val="000000"/>
                <w:sz w:val="16"/>
                <w:szCs w:val="16"/>
              </w:rPr>
              <w:t>45 329</w:t>
            </w:r>
          </w:p>
        </w:tc>
      </w:tr>
    </w:tbl>
    <w:p w14:paraId="2EDE484F" w14:textId="08CF8C8F" w:rsidR="00426D9B" w:rsidRPr="00226892" w:rsidRDefault="00426D9B" w:rsidP="00235CDF">
      <w:pPr>
        <w:pStyle w:val="odst"/>
      </w:pPr>
      <w:bookmarkStart w:id="20" w:name="RANGE!C2:O25"/>
      <w:bookmarkEnd w:id="19"/>
      <w:bookmarkEnd w:id="20"/>
    </w:p>
    <w:p w14:paraId="58132C6A" w14:textId="77777777" w:rsidR="00255D38" w:rsidRPr="00226892" w:rsidRDefault="00255D38" w:rsidP="00235CDF">
      <w:pPr>
        <w:pStyle w:val="odst"/>
        <w:rPr>
          <w:highlight w:val="yellow"/>
        </w:rPr>
        <w:sectPr w:rsidR="00255D38" w:rsidRPr="00226892" w:rsidSect="00BC1C9C">
          <w:headerReference w:type="even" r:id="rId17"/>
          <w:headerReference w:type="default" r:id="rId18"/>
          <w:headerReference w:type="first" r:id="rId19"/>
          <w:pgSz w:w="16840" w:h="11907" w:orient="landscape" w:code="9"/>
          <w:pgMar w:top="1134" w:right="1134" w:bottom="1134" w:left="1134" w:header="709" w:footer="709" w:gutter="0"/>
          <w:cols w:space="708"/>
          <w:noEndnote/>
          <w:docGrid w:linePitch="272"/>
        </w:sectPr>
      </w:pPr>
    </w:p>
    <w:tbl>
      <w:tblPr>
        <w:tblW w:w="9639" w:type="dxa"/>
        <w:tblCellMar>
          <w:left w:w="70" w:type="dxa"/>
          <w:right w:w="70" w:type="dxa"/>
        </w:tblCellMar>
        <w:tblLook w:val="04A0" w:firstRow="1" w:lastRow="0" w:firstColumn="1" w:lastColumn="0" w:noHBand="0" w:noVBand="1"/>
      </w:tblPr>
      <w:tblGrid>
        <w:gridCol w:w="5292"/>
        <w:gridCol w:w="685"/>
        <w:gridCol w:w="239"/>
        <w:gridCol w:w="1593"/>
        <w:gridCol w:w="242"/>
        <w:gridCol w:w="1588"/>
      </w:tblGrid>
      <w:tr w:rsidR="00426D9B" w:rsidRPr="00226892" w14:paraId="0CAC23D5" w14:textId="77777777" w:rsidTr="00FD21B8">
        <w:trPr>
          <w:trHeight w:val="227"/>
        </w:trPr>
        <w:tc>
          <w:tcPr>
            <w:tcW w:w="5292" w:type="dxa"/>
            <w:tcBorders>
              <w:top w:val="nil"/>
              <w:left w:val="nil"/>
              <w:bottom w:val="nil"/>
              <w:right w:val="nil"/>
            </w:tcBorders>
            <w:shd w:val="clear" w:color="auto" w:fill="auto"/>
            <w:vAlign w:val="bottom"/>
            <w:hideMark/>
          </w:tcPr>
          <w:p w14:paraId="55CDEE92" w14:textId="3E389856" w:rsidR="00426D9B" w:rsidRPr="00226892" w:rsidRDefault="003232B9" w:rsidP="00023A96">
            <w:pPr>
              <w:rPr>
                <w:rFonts w:ascii="Arial" w:hAnsi="Arial" w:cs="Arial"/>
                <w:b/>
                <w:bCs/>
                <w:color w:val="000000"/>
                <w:sz w:val="18"/>
                <w:szCs w:val="18"/>
                <w:lang w:val="sk-SK" w:eastAsia="sk-SK"/>
              </w:rPr>
            </w:pPr>
            <w:bookmarkStart w:id="21" w:name="FWT_CashFlow"/>
            <w:r w:rsidRPr="00226892">
              <w:rPr>
                <w:rFonts w:ascii="Arial" w:hAnsi="Arial" w:cs="Arial"/>
                <w:color w:val="000000"/>
                <w:sz w:val="18"/>
                <w:szCs w:val="18"/>
                <w:lang w:val="sk-SK"/>
              </w:rPr>
              <w:lastRenderedPageBreak/>
              <w:t xml:space="preserve"> </w:t>
            </w:r>
            <w:proofErr w:type="spellStart"/>
            <w:r w:rsidR="00426D9B" w:rsidRPr="00226892">
              <w:rPr>
                <w:rFonts w:ascii="Arial" w:hAnsi="Arial" w:cs="Arial"/>
                <w:b/>
                <w:bCs/>
                <w:color w:val="000000"/>
                <w:sz w:val="18"/>
                <w:szCs w:val="18"/>
              </w:rPr>
              <w:t>Výkaz</w:t>
            </w:r>
            <w:proofErr w:type="spellEnd"/>
            <w:r w:rsidR="00426D9B" w:rsidRPr="00226892">
              <w:rPr>
                <w:rFonts w:ascii="Arial" w:hAnsi="Arial" w:cs="Arial"/>
                <w:b/>
                <w:bCs/>
                <w:color w:val="000000"/>
                <w:sz w:val="18"/>
                <w:szCs w:val="18"/>
              </w:rPr>
              <w:t xml:space="preserve"> </w:t>
            </w:r>
            <w:proofErr w:type="spellStart"/>
            <w:r w:rsidR="00426D9B" w:rsidRPr="00226892">
              <w:rPr>
                <w:rFonts w:ascii="Arial" w:hAnsi="Arial" w:cs="Arial"/>
                <w:b/>
                <w:bCs/>
                <w:color w:val="000000"/>
                <w:sz w:val="18"/>
                <w:szCs w:val="18"/>
              </w:rPr>
              <w:t>peňažných</w:t>
            </w:r>
            <w:proofErr w:type="spellEnd"/>
            <w:r w:rsidR="00426D9B" w:rsidRPr="00226892">
              <w:rPr>
                <w:rFonts w:ascii="Arial" w:hAnsi="Arial" w:cs="Arial"/>
                <w:b/>
                <w:bCs/>
                <w:color w:val="000000"/>
                <w:sz w:val="18"/>
                <w:szCs w:val="18"/>
              </w:rPr>
              <w:t xml:space="preserve"> </w:t>
            </w:r>
            <w:proofErr w:type="spellStart"/>
            <w:r w:rsidR="00426D9B" w:rsidRPr="00226892">
              <w:rPr>
                <w:rFonts w:ascii="Arial" w:hAnsi="Arial" w:cs="Arial"/>
                <w:b/>
                <w:bCs/>
                <w:color w:val="000000"/>
                <w:sz w:val="18"/>
                <w:szCs w:val="18"/>
              </w:rPr>
              <w:t>tokov</w:t>
            </w:r>
            <w:proofErr w:type="spellEnd"/>
            <w:r w:rsidR="00426D9B" w:rsidRPr="00226892">
              <w:rPr>
                <w:rFonts w:ascii="Arial" w:hAnsi="Arial" w:cs="Arial"/>
                <w:b/>
                <w:bCs/>
                <w:color w:val="000000"/>
                <w:sz w:val="18"/>
                <w:szCs w:val="18"/>
              </w:rPr>
              <w:t xml:space="preserve"> </w:t>
            </w:r>
          </w:p>
        </w:tc>
        <w:tc>
          <w:tcPr>
            <w:tcW w:w="685" w:type="dxa"/>
            <w:tcBorders>
              <w:top w:val="nil"/>
              <w:left w:val="nil"/>
              <w:bottom w:val="nil"/>
              <w:right w:val="nil"/>
            </w:tcBorders>
            <w:shd w:val="clear" w:color="auto" w:fill="auto"/>
            <w:vAlign w:val="bottom"/>
            <w:hideMark/>
          </w:tcPr>
          <w:p w14:paraId="58464CE6" w14:textId="77777777" w:rsidR="00426D9B" w:rsidRPr="00226892" w:rsidRDefault="00426D9B" w:rsidP="00023A96">
            <w:pPr>
              <w:rPr>
                <w:rFonts w:ascii="Arial" w:hAnsi="Arial" w:cs="Arial"/>
                <w:sz w:val="18"/>
                <w:szCs w:val="18"/>
              </w:rPr>
            </w:pPr>
          </w:p>
        </w:tc>
        <w:tc>
          <w:tcPr>
            <w:tcW w:w="239" w:type="dxa"/>
            <w:tcBorders>
              <w:top w:val="nil"/>
              <w:left w:val="nil"/>
              <w:bottom w:val="nil"/>
              <w:right w:val="nil"/>
            </w:tcBorders>
          </w:tcPr>
          <w:p w14:paraId="3B9394BF" w14:textId="77777777" w:rsidR="00426D9B" w:rsidRPr="00226892" w:rsidRDefault="00426D9B" w:rsidP="00023A96">
            <w:pPr>
              <w:rPr>
                <w:rFonts w:ascii="Arial" w:hAnsi="Arial" w:cs="Arial"/>
                <w:sz w:val="18"/>
                <w:szCs w:val="18"/>
              </w:rPr>
            </w:pPr>
          </w:p>
        </w:tc>
        <w:tc>
          <w:tcPr>
            <w:tcW w:w="1593" w:type="dxa"/>
            <w:tcBorders>
              <w:top w:val="nil"/>
              <w:left w:val="nil"/>
              <w:bottom w:val="nil"/>
              <w:right w:val="nil"/>
            </w:tcBorders>
            <w:shd w:val="clear" w:color="auto" w:fill="auto"/>
            <w:vAlign w:val="bottom"/>
            <w:hideMark/>
          </w:tcPr>
          <w:p w14:paraId="1C01090B" w14:textId="65CB1939" w:rsidR="00426D9B" w:rsidRPr="00226892" w:rsidRDefault="00426D9B" w:rsidP="00023A96">
            <w:pPr>
              <w:rPr>
                <w:rFonts w:ascii="Arial" w:hAnsi="Arial" w:cs="Arial"/>
                <w:sz w:val="18"/>
                <w:szCs w:val="18"/>
              </w:rPr>
            </w:pPr>
          </w:p>
        </w:tc>
        <w:tc>
          <w:tcPr>
            <w:tcW w:w="242" w:type="dxa"/>
            <w:tcBorders>
              <w:top w:val="nil"/>
              <w:left w:val="nil"/>
              <w:bottom w:val="nil"/>
              <w:right w:val="nil"/>
            </w:tcBorders>
          </w:tcPr>
          <w:p w14:paraId="068725AD" w14:textId="77777777" w:rsidR="00426D9B" w:rsidRPr="00226892" w:rsidRDefault="00426D9B" w:rsidP="00023A96">
            <w:pPr>
              <w:rPr>
                <w:rFonts w:ascii="Arial" w:hAnsi="Arial" w:cs="Arial"/>
                <w:sz w:val="18"/>
                <w:szCs w:val="18"/>
                <w:highlight w:val="yellow"/>
              </w:rPr>
            </w:pPr>
          </w:p>
        </w:tc>
        <w:tc>
          <w:tcPr>
            <w:tcW w:w="1588" w:type="dxa"/>
            <w:tcBorders>
              <w:top w:val="nil"/>
              <w:left w:val="nil"/>
              <w:bottom w:val="nil"/>
              <w:right w:val="nil"/>
            </w:tcBorders>
            <w:shd w:val="clear" w:color="auto" w:fill="auto"/>
            <w:vAlign w:val="bottom"/>
            <w:hideMark/>
          </w:tcPr>
          <w:p w14:paraId="6EC4BDA4" w14:textId="273DBCF7" w:rsidR="00426D9B" w:rsidRPr="00226892" w:rsidRDefault="00426D9B" w:rsidP="00023A96">
            <w:pPr>
              <w:rPr>
                <w:rFonts w:ascii="Arial" w:hAnsi="Arial" w:cs="Arial"/>
                <w:sz w:val="18"/>
                <w:szCs w:val="18"/>
                <w:highlight w:val="yellow"/>
              </w:rPr>
            </w:pPr>
          </w:p>
        </w:tc>
      </w:tr>
      <w:tr w:rsidR="00426D9B" w:rsidRPr="00226892" w14:paraId="0D9FC10F" w14:textId="77777777" w:rsidTr="008147CB">
        <w:trPr>
          <w:trHeight w:val="227"/>
        </w:trPr>
        <w:tc>
          <w:tcPr>
            <w:tcW w:w="5292" w:type="dxa"/>
            <w:tcBorders>
              <w:top w:val="nil"/>
              <w:left w:val="nil"/>
              <w:bottom w:val="single" w:sz="4" w:space="0" w:color="auto"/>
              <w:right w:val="nil"/>
            </w:tcBorders>
            <w:shd w:val="clear" w:color="auto" w:fill="auto"/>
            <w:vAlign w:val="bottom"/>
            <w:hideMark/>
          </w:tcPr>
          <w:p w14:paraId="42E7618B" w14:textId="77777777" w:rsidR="00426D9B" w:rsidRPr="00226892" w:rsidRDefault="00426D9B" w:rsidP="00023A96">
            <w:pPr>
              <w:rPr>
                <w:rFonts w:ascii="Arial" w:hAnsi="Arial" w:cs="Arial"/>
                <w:color w:val="000000"/>
                <w:sz w:val="18"/>
                <w:szCs w:val="18"/>
              </w:rPr>
            </w:pPr>
            <w:r w:rsidRPr="00226892">
              <w:rPr>
                <w:rFonts w:ascii="Arial" w:hAnsi="Arial" w:cs="Arial"/>
                <w:color w:val="000000"/>
                <w:sz w:val="18"/>
                <w:szCs w:val="18"/>
              </w:rPr>
              <w:t> </w:t>
            </w:r>
          </w:p>
        </w:tc>
        <w:tc>
          <w:tcPr>
            <w:tcW w:w="685" w:type="dxa"/>
            <w:tcBorders>
              <w:top w:val="nil"/>
              <w:left w:val="nil"/>
              <w:bottom w:val="single" w:sz="4" w:space="0" w:color="auto"/>
              <w:right w:val="nil"/>
            </w:tcBorders>
            <w:shd w:val="clear" w:color="auto" w:fill="auto"/>
            <w:vAlign w:val="bottom"/>
            <w:hideMark/>
          </w:tcPr>
          <w:p w14:paraId="4195F00E" w14:textId="77777777" w:rsidR="00426D9B" w:rsidRPr="00226892" w:rsidRDefault="00426D9B" w:rsidP="008147CB">
            <w:pPr>
              <w:jc w:val="center"/>
              <w:rPr>
                <w:rFonts w:ascii="Arial" w:hAnsi="Arial" w:cs="Arial"/>
                <w:b/>
                <w:bCs/>
                <w:color w:val="000000"/>
                <w:sz w:val="18"/>
                <w:szCs w:val="18"/>
              </w:rPr>
            </w:pPr>
            <w:r w:rsidRPr="00226892">
              <w:rPr>
                <w:rFonts w:ascii="Arial" w:hAnsi="Arial" w:cs="Arial"/>
                <w:b/>
                <w:bCs/>
                <w:color w:val="000000"/>
                <w:sz w:val="18"/>
                <w:szCs w:val="18"/>
              </w:rPr>
              <w:t>Note</w:t>
            </w:r>
          </w:p>
        </w:tc>
        <w:tc>
          <w:tcPr>
            <w:tcW w:w="239" w:type="dxa"/>
            <w:tcBorders>
              <w:top w:val="nil"/>
              <w:left w:val="nil"/>
              <w:bottom w:val="single" w:sz="4" w:space="0" w:color="auto"/>
              <w:right w:val="nil"/>
            </w:tcBorders>
            <w:vAlign w:val="bottom"/>
          </w:tcPr>
          <w:p w14:paraId="46A77E1B" w14:textId="77777777" w:rsidR="00426D9B" w:rsidRPr="00226892" w:rsidRDefault="00426D9B" w:rsidP="00EE2766">
            <w:pPr>
              <w:jc w:val="center"/>
              <w:rPr>
                <w:rFonts w:ascii="Arial" w:hAnsi="Arial" w:cs="Arial"/>
                <w:b/>
                <w:bCs/>
                <w:color w:val="000000"/>
                <w:sz w:val="18"/>
                <w:szCs w:val="18"/>
              </w:rPr>
            </w:pPr>
          </w:p>
        </w:tc>
        <w:tc>
          <w:tcPr>
            <w:tcW w:w="1593" w:type="dxa"/>
            <w:tcBorders>
              <w:top w:val="nil"/>
              <w:left w:val="nil"/>
              <w:bottom w:val="single" w:sz="4" w:space="0" w:color="auto"/>
              <w:right w:val="nil"/>
            </w:tcBorders>
            <w:shd w:val="clear" w:color="auto" w:fill="auto"/>
            <w:vAlign w:val="bottom"/>
            <w:hideMark/>
          </w:tcPr>
          <w:p w14:paraId="30272BC5" w14:textId="4335BA08" w:rsidR="00426D9B" w:rsidRPr="00226892" w:rsidRDefault="00426D9B" w:rsidP="00EE2766">
            <w:pPr>
              <w:jc w:val="center"/>
              <w:rPr>
                <w:rFonts w:ascii="Arial" w:hAnsi="Arial" w:cs="Arial"/>
                <w:b/>
                <w:bCs/>
                <w:color w:val="000000"/>
                <w:sz w:val="18"/>
                <w:szCs w:val="18"/>
              </w:rPr>
            </w:pPr>
            <w:proofErr w:type="spellStart"/>
            <w:r w:rsidRPr="00226892">
              <w:rPr>
                <w:rFonts w:ascii="Arial" w:hAnsi="Arial" w:cs="Arial"/>
                <w:b/>
                <w:bCs/>
                <w:color w:val="000000"/>
                <w:sz w:val="18"/>
                <w:szCs w:val="18"/>
              </w:rPr>
              <w:t>Rok</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končiaci</w:t>
            </w:r>
            <w:proofErr w:type="spellEnd"/>
            <w:r w:rsidRPr="00226892">
              <w:rPr>
                <w:rFonts w:ascii="Arial" w:hAnsi="Arial" w:cs="Arial"/>
                <w:b/>
                <w:bCs/>
                <w:color w:val="000000"/>
                <w:sz w:val="18"/>
                <w:szCs w:val="18"/>
              </w:rPr>
              <w:t xml:space="preserve"> </w:t>
            </w:r>
            <w:r w:rsidRPr="00226892">
              <w:rPr>
                <w:rFonts w:ascii="Arial" w:hAnsi="Arial" w:cs="Arial"/>
                <w:b/>
                <w:bCs/>
                <w:color w:val="000000"/>
                <w:sz w:val="18"/>
                <w:szCs w:val="18"/>
              </w:rPr>
              <w:br/>
              <w:t xml:space="preserve">31. </w:t>
            </w:r>
            <w:proofErr w:type="spellStart"/>
            <w:r w:rsidRPr="00226892">
              <w:rPr>
                <w:rFonts w:ascii="Arial" w:hAnsi="Arial" w:cs="Arial"/>
                <w:b/>
                <w:bCs/>
                <w:color w:val="000000"/>
                <w:sz w:val="18"/>
                <w:szCs w:val="18"/>
              </w:rPr>
              <w:t>decembra</w:t>
            </w:r>
            <w:proofErr w:type="spellEnd"/>
            <w:r w:rsidRPr="00226892">
              <w:rPr>
                <w:rFonts w:ascii="Arial" w:hAnsi="Arial" w:cs="Arial"/>
                <w:b/>
                <w:bCs/>
                <w:color w:val="000000"/>
                <w:sz w:val="18"/>
                <w:szCs w:val="18"/>
              </w:rPr>
              <w:t xml:space="preserve"> 201</w:t>
            </w:r>
            <w:r w:rsidR="00B71CF0" w:rsidRPr="00226892">
              <w:rPr>
                <w:rFonts w:ascii="Arial" w:hAnsi="Arial" w:cs="Arial"/>
                <w:b/>
                <w:bCs/>
                <w:color w:val="000000"/>
                <w:sz w:val="18"/>
                <w:szCs w:val="18"/>
              </w:rPr>
              <w:t>8</w:t>
            </w:r>
          </w:p>
        </w:tc>
        <w:tc>
          <w:tcPr>
            <w:tcW w:w="242" w:type="dxa"/>
            <w:tcBorders>
              <w:top w:val="nil"/>
              <w:left w:val="nil"/>
              <w:bottom w:val="single" w:sz="4" w:space="0" w:color="auto"/>
              <w:right w:val="nil"/>
            </w:tcBorders>
            <w:vAlign w:val="bottom"/>
          </w:tcPr>
          <w:p w14:paraId="37457831" w14:textId="77777777" w:rsidR="00426D9B" w:rsidRPr="00226892" w:rsidRDefault="00426D9B" w:rsidP="00EE2766">
            <w:pPr>
              <w:jc w:val="center"/>
              <w:rPr>
                <w:rFonts w:ascii="Arial" w:hAnsi="Arial" w:cs="Arial"/>
                <w:b/>
                <w:bCs/>
                <w:color w:val="000000"/>
                <w:sz w:val="18"/>
                <w:szCs w:val="18"/>
              </w:rPr>
            </w:pPr>
          </w:p>
        </w:tc>
        <w:tc>
          <w:tcPr>
            <w:tcW w:w="1588" w:type="dxa"/>
            <w:tcBorders>
              <w:top w:val="nil"/>
              <w:left w:val="nil"/>
              <w:bottom w:val="single" w:sz="4" w:space="0" w:color="auto"/>
              <w:right w:val="nil"/>
            </w:tcBorders>
            <w:shd w:val="clear" w:color="auto" w:fill="auto"/>
            <w:vAlign w:val="bottom"/>
            <w:hideMark/>
          </w:tcPr>
          <w:p w14:paraId="69C6E082" w14:textId="7F2EA975" w:rsidR="00426D9B" w:rsidRPr="00226892" w:rsidRDefault="00426D9B" w:rsidP="00EE2766">
            <w:pPr>
              <w:jc w:val="center"/>
              <w:rPr>
                <w:rFonts w:ascii="Arial" w:hAnsi="Arial" w:cs="Arial"/>
                <w:b/>
                <w:bCs/>
                <w:color w:val="000000"/>
                <w:sz w:val="18"/>
                <w:szCs w:val="18"/>
              </w:rPr>
            </w:pPr>
            <w:proofErr w:type="spellStart"/>
            <w:r w:rsidRPr="00226892">
              <w:rPr>
                <w:rFonts w:ascii="Arial" w:hAnsi="Arial" w:cs="Arial"/>
                <w:b/>
                <w:bCs/>
                <w:color w:val="000000"/>
                <w:sz w:val="18"/>
                <w:szCs w:val="18"/>
              </w:rPr>
              <w:t>Rok</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končiaci</w:t>
            </w:r>
            <w:proofErr w:type="spellEnd"/>
            <w:r w:rsidRPr="00226892">
              <w:rPr>
                <w:rFonts w:ascii="Arial" w:hAnsi="Arial" w:cs="Arial"/>
                <w:b/>
                <w:bCs/>
                <w:color w:val="000000"/>
                <w:sz w:val="18"/>
                <w:szCs w:val="18"/>
              </w:rPr>
              <w:t xml:space="preserve"> </w:t>
            </w:r>
            <w:r w:rsidRPr="00226892">
              <w:rPr>
                <w:rFonts w:ascii="Arial" w:hAnsi="Arial" w:cs="Arial"/>
                <w:b/>
                <w:bCs/>
                <w:color w:val="000000"/>
                <w:sz w:val="18"/>
                <w:szCs w:val="18"/>
              </w:rPr>
              <w:br/>
              <w:t xml:space="preserve">31. </w:t>
            </w:r>
            <w:proofErr w:type="spellStart"/>
            <w:r w:rsidRPr="00226892">
              <w:rPr>
                <w:rFonts w:ascii="Arial" w:hAnsi="Arial" w:cs="Arial"/>
                <w:b/>
                <w:bCs/>
                <w:color w:val="000000"/>
                <w:sz w:val="18"/>
                <w:szCs w:val="18"/>
              </w:rPr>
              <w:t>decembra</w:t>
            </w:r>
            <w:proofErr w:type="spellEnd"/>
            <w:r w:rsidRPr="00226892">
              <w:rPr>
                <w:rFonts w:ascii="Arial" w:hAnsi="Arial" w:cs="Arial"/>
                <w:b/>
                <w:bCs/>
                <w:color w:val="000000"/>
                <w:sz w:val="18"/>
                <w:szCs w:val="18"/>
              </w:rPr>
              <w:t xml:space="preserve"> </w:t>
            </w:r>
            <w:r w:rsidR="00F63A77" w:rsidRPr="00226892">
              <w:rPr>
                <w:rFonts w:ascii="Arial" w:hAnsi="Arial" w:cs="Arial"/>
                <w:b/>
                <w:bCs/>
                <w:color w:val="000000"/>
                <w:sz w:val="18"/>
                <w:szCs w:val="18"/>
              </w:rPr>
              <w:t>2017</w:t>
            </w:r>
          </w:p>
        </w:tc>
      </w:tr>
      <w:tr w:rsidR="00426D9B" w:rsidRPr="00226892" w14:paraId="65A6E2D9" w14:textId="77777777" w:rsidTr="008147CB">
        <w:trPr>
          <w:trHeight w:val="227"/>
        </w:trPr>
        <w:tc>
          <w:tcPr>
            <w:tcW w:w="5292" w:type="dxa"/>
            <w:tcBorders>
              <w:top w:val="nil"/>
              <w:left w:val="nil"/>
              <w:bottom w:val="nil"/>
              <w:right w:val="nil"/>
            </w:tcBorders>
            <w:shd w:val="clear" w:color="auto" w:fill="auto"/>
            <w:vAlign w:val="bottom"/>
            <w:hideMark/>
          </w:tcPr>
          <w:p w14:paraId="44BE0A28" w14:textId="77777777" w:rsidR="00426D9B" w:rsidRPr="00226892" w:rsidRDefault="00426D9B" w:rsidP="00023A96">
            <w:pPr>
              <w:rPr>
                <w:rFonts w:ascii="Arial" w:hAnsi="Arial" w:cs="Arial"/>
                <w:b/>
                <w:bCs/>
                <w:color w:val="000000"/>
                <w:sz w:val="18"/>
                <w:szCs w:val="18"/>
              </w:rPr>
            </w:pPr>
            <w:proofErr w:type="spellStart"/>
            <w:r w:rsidRPr="00226892">
              <w:rPr>
                <w:rFonts w:ascii="Arial" w:hAnsi="Arial" w:cs="Arial"/>
                <w:b/>
                <w:bCs/>
                <w:color w:val="000000"/>
                <w:sz w:val="18"/>
                <w:szCs w:val="18"/>
              </w:rPr>
              <w:t>Peňažné</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toky</w:t>
            </w:r>
            <w:proofErr w:type="spellEnd"/>
            <w:r w:rsidRPr="00226892">
              <w:rPr>
                <w:rFonts w:ascii="Arial" w:hAnsi="Arial" w:cs="Arial"/>
                <w:b/>
                <w:bCs/>
                <w:color w:val="000000"/>
                <w:sz w:val="18"/>
                <w:szCs w:val="18"/>
              </w:rPr>
              <w:t xml:space="preserve"> z </w:t>
            </w:r>
            <w:proofErr w:type="spellStart"/>
            <w:r w:rsidRPr="00226892">
              <w:rPr>
                <w:rFonts w:ascii="Arial" w:hAnsi="Arial" w:cs="Arial"/>
                <w:b/>
                <w:bCs/>
                <w:color w:val="000000"/>
                <w:sz w:val="18"/>
                <w:szCs w:val="18"/>
              </w:rPr>
              <w:t>prevádzkovej</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činnosti</w:t>
            </w:r>
            <w:proofErr w:type="spellEnd"/>
          </w:p>
        </w:tc>
        <w:tc>
          <w:tcPr>
            <w:tcW w:w="685" w:type="dxa"/>
            <w:tcBorders>
              <w:top w:val="nil"/>
              <w:left w:val="nil"/>
              <w:bottom w:val="nil"/>
              <w:right w:val="nil"/>
            </w:tcBorders>
            <w:shd w:val="clear" w:color="auto" w:fill="auto"/>
            <w:vAlign w:val="bottom"/>
            <w:hideMark/>
          </w:tcPr>
          <w:p w14:paraId="499872BA" w14:textId="77777777" w:rsidR="00426D9B" w:rsidRPr="00226892" w:rsidRDefault="00426D9B" w:rsidP="008147CB">
            <w:pPr>
              <w:jc w:val="center"/>
              <w:rPr>
                <w:rFonts w:ascii="Arial" w:hAnsi="Arial" w:cs="Arial"/>
                <w:sz w:val="18"/>
                <w:szCs w:val="18"/>
              </w:rPr>
            </w:pPr>
          </w:p>
        </w:tc>
        <w:tc>
          <w:tcPr>
            <w:tcW w:w="239" w:type="dxa"/>
            <w:tcBorders>
              <w:top w:val="nil"/>
              <w:left w:val="nil"/>
              <w:right w:val="nil"/>
            </w:tcBorders>
          </w:tcPr>
          <w:p w14:paraId="173340F1" w14:textId="77777777" w:rsidR="00426D9B" w:rsidRPr="00226892" w:rsidRDefault="00426D9B" w:rsidP="00023A96">
            <w:pPr>
              <w:jc w:val="right"/>
              <w:rPr>
                <w:rFonts w:ascii="Arial" w:hAnsi="Arial" w:cs="Arial"/>
                <w:sz w:val="18"/>
                <w:szCs w:val="18"/>
              </w:rPr>
            </w:pPr>
          </w:p>
        </w:tc>
        <w:tc>
          <w:tcPr>
            <w:tcW w:w="1593" w:type="dxa"/>
            <w:tcBorders>
              <w:top w:val="nil"/>
              <w:left w:val="nil"/>
              <w:bottom w:val="nil"/>
              <w:right w:val="nil"/>
            </w:tcBorders>
            <w:shd w:val="clear" w:color="auto" w:fill="auto"/>
            <w:vAlign w:val="bottom"/>
            <w:hideMark/>
          </w:tcPr>
          <w:p w14:paraId="78762D5F" w14:textId="229DB4F1" w:rsidR="00426D9B" w:rsidRPr="00226892" w:rsidRDefault="00426D9B" w:rsidP="00023A96">
            <w:pPr>
              <w:jc w:val="right"/>
              <w:rPr>
                <w:rFonts w:ascii="Arial" w:hAnsi="Arial" w:cs="Arial"/>
                <w:sz w:val="18"/>
                <w:szCs w:val="18"/>
              </w:rPr>
            </w:pPr>
          </w:p>
        </w:tc>
        <w:tc>
          <w:tcPr>
            <w:tcW w:w="242" w:type="dxa"/>
            <w:tcBorders>
              <w:top w:val="nil"/>
              <w:left w:val="nil"/>
              <w:bottom w:val="nil"/>
              <w:right w:val="nil"/>
            </w:tcBorders>
          </w:tcPr>
          <w:p w14:paraId="28FB3DB5" w14:textId="77777777" w:rsidR="00426D9B" w:rsidRPr="00226892" w:rsidRDefault="00426D9B" w:rsidP="00023A96">
            <w:pPr>
              <w:jc w:val="right"/>
              <w:rPr>
                <w:rFonts w:ascii="Arial" w:hAnsi="Arial" w:cs="Arial"/>
                <w:sz w:val="18"/>
                <w:szCs w:val="18"/>
              </w:rPr>
            </w:pPr>
          </w:p>
        </w:tc>
        <w:tc>
          <w:tcPr>
            <w:tcW w:w="1588" w:type="dxa"/>
            <w:tcBorders>
              <w:top w:val="nil"/>
              <w:left w:val="nil"/>
              <w:bottom w:val="nil"/>
              <w:right w:val="nil"/>
            </w:tcBorders>
            <w:shd w:val="clear" w:color="auto" w:fill="auto"/>
            <w:vAlign w:val="bottom"/>
            <w:hideMark/>
          </w:tcPr>
          <w:p w14:paraId="68B7939D" w14:textId="7F20D0E8" w:rsidR="00426D9B" w:rsidRPr="00226892" w:rsidRDefault="00426D9B" w:rsidP="00023A96">
            <w:pPr>
              <w:jc w:val="right"/>
              <w:rPr>
                <w:rFonts w:ascii="Arial" w:hAnsi="Arial" w:cs="Arial"/>
                <w:sz w:val="18"/>
                <w:szCs w:val="18"/>
              </w:rPr>
            </w:pPr>
          </w:p>
        </w:tc>
      </w:tr>
      <w:tr w:rsidR="00426D9B" w:rsidRPr="00226892" w14:paraId="7D9995C5" w14:textId="77777777" w:rsidTr="008147CB">
        <w:trPr>
          <w:trHeight w:val="227"/>
        </w:trPr>
        <w:tc>
          <w:tcPr>
            <w:tcW w:w="5292" w:type="dxa"/>
            <w:tcBorders>
              <w:top w:val="nil"/>
              <w:left w:val="nil"/>
              <w:bottom w:val="nil"/>
              <w:right w:val="nil"/>
            </w:tcBorders>
            <w:shd w:val="clear" w:color="auto" w:fill="auto"/>
            <w:vAlign w:val="bottom"/>
            <w:hideMark/>
          </w:tcPr>
          <w:p w14:paraId="4E597F7D" w14:textId="77777777" w:rsidR="00426D9B" w:rsidRPr="00226892" w:rsidRDefault="00426D9B" w:rsidP="00023A96">
            <w:pPr>
              <w:rPr>
                <w:rFonts w:ascii="Arial" w:hAnsi="Arial" w:cs="Arial"/>
                <w:sz w:val="18"/>
                <w:szCs w:val="18"/>
              </w:rPr>
            </w:pPr>
          </w:p>
        </w:tc>
        <w:tc>
          <w:tcPr>
            <w:tcW w:w="685" w:type="dxa"/>
            <w:tcBorders>
              <w:top w:val="nil"/>
              <w:left w:val="nil"/>
              <w:bottom w:val="nil"/>
              <w:right w:val="nil"/>
            </w:tcBorders>
            <w:shd w:val="clear" w:color="auto" w:fill="auto"/>
            <w:vAlign w:val="bottom"/>
            <w:hideMark/>
          </w:tcPr>
          <w:p w14:paraId="5A7CC463" w14:textId="77777777" w:rsidR="00426D9B" w:rsidRPr="00226892" w:rsidRDefault="00426D9B" w:rsidP="008147CB">
            <w:pPr>
              <w:jc w:val="center"/>
              <w:rPr>
                <w:rFonts w:ascii="Arial" w:hAnsi="Arial" w:cs="Arial"/>
                <w:sz w:val="18"/>
                <w:szCs w:val="18"/>
              </w:rPr>
            </w:pPr>
          </w:p>
        </w:tc>
        <w:tc>
          <w:tcPr>
            <w:tcW w:w="239" w:type="dxa"/>
            <w:tcBorders>
              <w:top w:val="nil"/>
              <w:left w:val="nil"/>
              <w:bottom w:val="nil"/>
              <w:right w:val="nil"/>
            </w:tcBorders>
          </w:tcPr>
          <w:p w14:paraId="0C241EFD" w14:textId="77777777" w:rsidR="00426D9B" w:rsidRPr="00226892" w:rsidRDefault="00426D9B" w:rsidP="00023A96">
            <w:pPr>
              <w:jc w:val="right"/>
              <w:rPr>
                <w:rFonts w:ascii="Arial" w:hAnsi="Arial" w:cs="Arial"/>
                <w:sz w:val="18"/>
                <w:szCs w:val="18"/>
              </w:rPr>
            </w:pPr>
          </w:p>
        </w:tc>
        <w:tc>
          <w:tcPr>
            <w:tcW w:w="1593" w:type="dxa"/>
            <w:tcBorders>
              <w:top w:val="nil"/>
              <w:left w:val="nil"/>
              <w:bottom w:val="nil"/>
              <w:right w:val="nil"/>
            </w:tcBorders>
            <w:shd w:val="clear" w:color="auto" w:fill="auto"/>
            <w:vAlign w:val="bottom"/>
            <w:hideMark/>
          </w:tcPr>
          <w:p w14:paraId="7F86EBF8" w14:textId="244F2AA7" w:rsidR="00426D9B" w:rsidRPr="00226892" w:rsidRDefault="00426D9B" w:rsidP="00023A96">
            <w:pPr>
              <w:jc w:val="right"/>
              <w:rPr>
                <w:rFonts w:ascii="Arial" w:hAnsi="Arial" w:cs="Arial"/>
                <w:sz w:val="18"/>
                <w:szCs w:val="18"/>
              </w:rPr>
            </w:pPr>
          </w:p>
        </w:tc>
        <w:tc>
          <w:tcPr>
            <w:tcW w:w="242" w:type="dxa"/>
            <w:tcBorders>
              <w:top w:val="nil"/>
              <w:left w:val="nil"/>
              <w:right w:val="nil"/>
            </w:tcBorders>
          </w:tcPr>
          <w:p w14:paraId="11728F58" w14:textId="77777777" w:rsidR="00426D9B" w:rsidRPr="00226892" w:rsidRDefault="00426D9B" w:rsidP="00023A96">
            <w:pPr>
              <w:jc w:val="right"/>
              <w:rPr>
                <w:rFonts w:ascii="Arial" w:hAnsi="Arial" w:cs="Arial"/>
                <w:sz w:val="18"/>
                <w:szCs w:val="18"/>
              </w:rPr>
            </w:pPr>
          </w:p>
        </w:tc>
        <w:tc>
          <w:tcPr>
            <w:tcW w:w="1588" w:type="dxa"/>
            <w:tcBorders>
              <w:top w:val="nil"/>
              <w:left w:val="nil"/>
              <w:bottom w:val="nil"/>
              <w:right w:val="nil"/>
            </w:tcBorders>
            <w:shd w:val="clear" w:color="auto" w:fill="auto"/>
            <w:vAlign w:val="bottom"/>
            <w:hideMark/>
          </w:tcPr>
          <w:p w14:paraId="76177969" w14:textId="497B121C" w:rsidR="00426D9B" w:rsidRPr="00226892" w:rsidRDefault="00426D9B" w:rsidP="00023A96">
            <w:pPr>
              <w:jc w:val="right"/>
              <w:rPr>
                <w:rFonts w:ascii="Arial" w:hAnsi="Arial" w:cs="Arial"/>
                <w:sz w:val="18"/>
                <w:szCs w:val="18"/>
              </w:rPr>
            </w:pPr>
          </w:p>
        </w:tc>
      </w:tr>
      <w:tr w:rsidR="006C5424" w:rsidRPr="00226892" w14:paraId="1D533A25" w14:textId="77777777" w:rsidTr="008147CB">
        <w:trPr>
          <w:trHeight w:val="227"/>
        </w:trPr>
        <w:tc>
          <w:tcPr>
            <w:tcW w:w="5292" w:type="dxa"/>
            <w:tcBorders>
              <w:top w:val="nil"/>
              <w:left w:val="nil"/>
              <w:bottom w:val="nil"/>
              <w:right w:val="nil"/>
            </w:tcBorders>
            <w:shd w:val="clear" w:color="auto" w:fill="auto"/>
            <w:vAlign w:val="bottom"/>
            <w:hideMark/>
          </w:tcPr>
          <w:p w14:paraId="0813A4AD" w14:textId="77777777" w:rsidR="006C5424" w:rsidRPr="00226892" w:rsidRDefault="006C5424" w:rsidP="006C5424">
            <w:pPr>
              <w:rPr>
                <w:rFonts w:ascii="Arial" w:hAnsi="Arial" w:cs="Arial"/>
                <w:b/>
                <w:bCs/>
                <w:color w:val="000000"/>
                <w:sz w:val="18"/>
                <w:szCs w:val="18"/>
              </w:rPr>
            </w:pPr>
            <w:proofErr w:type="spellStart"/>
            <w:r w:rsidRPr="00226892">
              <w:rPr>
                <w:rFonts w:ascii="Arial" w:hAnsi="Arial" w:cs="Arial"/>
                <w:b/>
                <w:bCs/>
                <w:color w:val="000000"/>
                <w:sz w:val="18"/>
                <w:szCs w:val="18"/>
              </w:rPr>
              <w:t>Peňažné</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prostriedky</w:t>
            </w:r>
            <w:proofErr w:type="spellEnd"/>
            <w:r w:rsidRPr="00226892">
              <w:rPr>
                <w:rFonts w:ascii="Arial" w:hAnsi="Arial" w:cs="Arial"/>
                <w:b/>
                <w:bCs/>
                <w:color w:val="000000"/>
                <w:sz w:val="18"/>
                <w:szCs w:val="18"/>
              </w:rPr>
              <w:t xml:space="preserve"> z </w:t>
            </w:r>
            <w:proofErr w:type="spellStart"/>
            <w:r w:rsidRPr="00226892">
              <w:rPr>
                <w:rFonts w:ascii="Arial" w:hAnsi="Arial" w:cs="Arial"/>
                <w:b/>
                <w:bCs/>
                <w:color w:val="000000"/>
                <w:sz w:val="18"/>
                <w:szCs w:val="18"/>
              </w:rPr>
              <w:t>prevádzky</w:t>
            </w:r>
            <w:proofErr w:type="spellEnd"/>
          </w:p>
        </w:tc>
        <w:tc>
          <w:tcPr>
            <w:tcW w:w="685" w:type="dxa"/>
            <w:tcBorders>
              <w:top w:val="nil"/>
              <w:left w:val="nil"/>
              <w:bottom w:val="nil"/>
              <w:right w:val="nil"/>
            </w:tcBorders>
            <w:shd w:val="clear" w:color="auto" w:fill="auto"/>
            <w:vAlign w:val="bottom"/>
            <w:hideMark/>
          </w:tcPr>
          <w:p w14:paraId="74A128EE" w14:textId="5B648BAB" w:rsidR="006C5424" w:rsidRPr="00226892" w:rsidRDefault="006C5424" w:rsidP="008147CB">
            <w:pPr>
              <w:jc w:val="center"/>
              <w:rPr>
                <w:rFonts w:ascii="Arial" w:hAnsi="Arial" w:cs="Arial"/>
                <w:sz w:val="18"/>
                <w:szCs w:val="18"/>
                <w:lang w:val="sk-SK"/>
              </w:rPr>
            </w:pPr>
            <w:r w:rsidRPr="00226892">
              <w:rPr>
                <w:rFonts w:ascii="Arial" w:hAnsi="Arial" w:cs="Arial"/>
                <w:sz w:val="18"/>
                <w:szCs w:val="18"/>
                <w:lang w:val="sk-SK"/>
              </w:rPr>
              <w:t>2</w:t>
            </w:r>
            <w:r w:rsidR="00417748" w:rsidRPr="00226892">
              <w:rPr>
                <w:rFonts w:ascii="Arial" w:hAnsi="Arial" w:cs="Arial"/>
                <w:sz w:val="18"/>
                <w:szCs w:val="18"/>
                <w:lang w:val="sk-SK"/>
              </w:rPr>
              <w:t>8</w:t>
            </w:r>
          </w:p>
        </w:tc>
        <w:tc>
          <w:tcPr>
            <w:tcW w:w="239" w:type="dxa"/>
            <w:tcBorders>
              <w:top w:val="nil"/>
              <w:left w:val="nil"/>
              <w:right w:val="nil"/>
            </w:tcBorders>
          </w:tcPr>
          <w:p w14:paraId="15BE2E16" w14:textId="77777777" w:rsidR="006C5424" w:rsidRPr="00226892" w:rsidRDefault="006C5424" w:rsidP="006C5424">
            <w:pPr>
              <w:jc w:val="right"/>
              <w:rPr>
                <w:rFonts w:ascii="Arial" w:hAnsi="Arial" w:cs="Arial"/>
                <w:b/>
                <w:bCs/>
                <w:color w:val="000000"/>
                <w:sz w:val="18"/>
                <w:szCs w:val="18"/>
                <w:lang w:val="en-US"/>
              </w:rPr>
            </w:pPr>
          </w:p>
        </w:tc>
        <w:tc>
          <w:tcPr>
            <w:tcW w:w="1593" w:type="dxa"/>
            <w:tcBorders>
              <w:top w:val="nil"/>
              <w:left w:val="nil"/>
              <w:bottom w:val="double" w:sz="6" w:space="0" w:color="auto"/>
              <w:right w:val="nil"/>
            </w:tcBorders>
            <w:shd w:val="clear" w:color="auto" w:fill="auto"/>
            <w:vAlign w:val="bottom"/>
          </w:tcPr>
          <w:p w14:paraId="65AC397B" w14:textId="1E5D2135" w:rsidR="006C5424" w:rsidRPr="00226892" w:rsidRDefault="00C6116F" w:rsidP="006C5424">
            <w:pPr>
              <w:jc w:val="right"/>
              <w:rPr>
                <w:rFonts w:ascii="Arial" w:hAnsi="Arial" w:cs="Arial"/>
                <w:b/>
                <w:bCs/>
                <w:color w:val="000000"/>
                <w:sz w:val="18"/>
                <w:szCs w:val="18"/>
                <w:lang w:val="en-US"/>
              </w:rPr>
            </w:pPr>
            <w:r w:rsidRPr="00226892">
              <w:rPr>
                <w:rFonts w:ascii="Arial" w:hAnsi="Arial" w:cs="Arial"/>
                <w:b/>
                <w:bCs/>
                <w:color w:val="000000"/>
                <w:sz w:val="18"/>
                <w:szCs w:val="18"/>
                <w:lang w:val="en-US"/>
              </w:rPr>
              <w:t>33 277</w:t>
            </w:r>
          </w:p>
        </w:tc>
        <w:tc>
          <w:tcPr>
            <w:tcW w:w="242" w:type="dxa"/>
            <w:tcBorders>
              <w:top w:val="nil"/>
              <w:left w:val="nil"/>
            </w:tcBorders>
          </w:tcPr>
          <w:p w14:paraId="464EBBF6" w14:textId="77777777" w:rsidR="006C5424" w:rsidRPr="00226892" w:rsidRDefault="006C5424" w:rsidP="006C5424">
            <w:pPr>
              <w:jc w:val="right"/>
              <w:rPr>
                <w:rFonts w:ascii="Arial" w:hAnsi="Arial" w:cs="Arial"/>
                <w:b/>
                <w:bCs/>
                <w:color w:val="000000"/>
                <w:sz w:val="18"/>
                <w:szCs w:val="18"/>
              </w:rPr>
            </w:pPr>
          </w:p>
        </w:tc>
        <w:tc>
          <w:tcPr>
            <w:tcW w:w="1588" w:type="dxa"/>
            <w:tcBorders>
              <w:top w:val="nil"/>
              <w:left w:val="nil"/>
              <w:bottom w:val="double" w:sz="6" w:space="0" w:color="auto"/>
              <w:right w:val="nil"/>
            </w:tcBorders>
            <w:shd w:val="clear" w:color="auto" w:fill="auto"/>
            <w:vAlign w:val="bottom"/>
          </w:tcPr>
          <w:p w14:paraId="1B2609D0" w14:textId="7322B1CF" w:rsidR="006C5424" w:rsidRPr="00226892" w:rsidRDefault="006C5424" w:rsidP="006C5424">
            <w:pPr>
              <w:jc w:val="right"/>
              <w:rPr>
                <w:rFonts w:ascii="Arial" w:hAnsi="Arial" w:cs="Arial"/>
                <w:b/>
                <w:bCs/>
                <w:color w:val="000000"/>
                <w:sz w:val="18"/>
                <w:szCs w:val="18"/>
              </w:rPr>
            </w:pPr>
            <w:r w:rsidRPr="00226892">
              <w:rPr>
                <w:rFonts w:ascii="Arial" w:hAnsi="Arial" w:cs="Arial"/>
                <w:b/>
                <w:bCs/>
                <w:color w:val="000000"/>
                <w:sz w:val="18"/>
                <w:szCs w:val="18"/>
                <w:lang w:val="en-US"/>
              </w:rPr>
              <w:t xml:space="preserve">9 </w:t>
            </w:r>
            <w:r w:rsidR="008D1C4A" w:rsidRPr="00226892">
              <w:rPr>
                <w:rFonts w:ascii="Arial" w:hAnsi="Arial" w:cs="Arial"/>
                <w:b/>
                <w:bCs/>
                <w:color w:val="000000"/>
                <w:sz w:val="18"/>
                <w:szCs w:val="18"/>
                <w:lang w:val="en-US"/>
              </w:rPr>
              <w:t>542</w:t>
            </w:r>
          </w:p>
        </w:tc>
      </w:tr>
      <w:tr w:rsidR="006C5424" w:rsidRPr="00226892" w14:paraId="086EC3AB" w14:textId="77777777" w:rsidTr="008147CB">
        <w:trPr>
          <w:trHeight w:val="227"/>
        </w:trPr>
        <w:tc>
          <w:tcPr>
            <w:tcW w:w="5292" w:type="dxa"/>
            <w:tcBorders>
              <w:top w:val="nil"/>
              <w:left w:val="nil"/>
              <w:bottom w:val="nil"/>
              <w:right w:val="nil"/>
            </w:tcBorders>
            <w:shd w:val="clear" w:color="auto" w:fill="auto"/>
            <w:vAlign w:val="bottom"/>
            <w:hideMark/>
          </w:tcPr>
          <w:p w14:paraId="1CEA5F28" w14:textId="77777777" w:rsidR="006C5424" w:rsidRPr="00226892" w:rsidRDefault="006C5424" w:rsidP="006C5424">
            <w:pPr>
              <w:rPr>
                <w:rFonts w:ascii="Arial" w:hAnsi="Arial" w:cs="Arial"/>
                <w:b/>
                <w:bCs/>
                <w:color w:val="000000"/>
                <w:sz w:val="18"/>
                <w:szCs w:val="18"/>
              </w:rPr>
            </w:pPr>
          </w:p>
        </w:tc>
        <w:tc>
          <w:tcPr>
            <w:tcW w:w="685" w:type="dxa"/>
            <w:tcBorders>
              <w:top w:val="nil"/>
              <w:left w:val="nil"/>
              <w:bottom w:val="nil"/>
              <w:right w:val="nil"/>
            </w:tcBorders>
            <w:shd w:val="clear" w:color="auto" w:fill="auto"/>
            <w:vAlign w:val="bottom"/>
            <w:hideMark/>
          </w:tcPr>
          <w:p w14:paraId="66514078" w14:textId="77777777" w:rsidR="006C5424" w:rsidRPr="00226892" w:rsidRDefault="006C5424" w:rsidP="008147CB">
            <w:pPr>
              <w:jc w:val="center"/>
              <w:rPr>
                <w:rFonts w:ascii="Arial" w:hAnsi="Arial" w:cs="Arial"/>
                <w:sz w:val="18"/>
                <w:szCs w:val="18"/>
              </w:rPr>
            </w:pPr>
          </w:p>
        </w:tc>
        <w:tc>
          <w:tcPr>
            <w:tcW w:w="239" w:type="dxa"/>
            <w:tcBorders>
              <w:top w:val="nil"/>
              <w:left w:val="nil"/>
              <w:bottom w:val="nil"/>
              <w:right w:val="nil"/>
            </w:tcBorders>
          </w:tcPr>
          <w:p w14:paraId="1D6F3E7E" w14:textId="77777777" w:rsidR="006C5424" w:rsidRPr="00226892" w:rsidRDefault="006C5424" w:rsidP="006C5424">
            <w:pPr>
              <w:jc w:val="right"/>
              <w:rPr>
                <w:rFonts w:ascii="Arial" w:hAnsi="Arial" w:cs="Arial"/>
                <w:sz w:val="18"/>
                <w:szCs w:val="18"/>
              </w:rPr>
            </w:pPr>
          </w:p>
        </w:tc>
        <w:tc>
          <w:tcPr>
            <w:tcW w:w="1593" w:type="dxa"/>
            <w:tcBorders>
              <w:top w:val="nil"/>
              <w:left w:val="nil"/>
              <w:bottom w:val="nil"/>
              <w:right w:val="nil"/>
            </w:tcBorders>
            <w:shd w:val="clear" w:color="auto" w:fill="auto"/>
            <w:vAlign w:val="bottom"/>
          </w:tcPr>
          <w:p w14:paraId="56232B9C" w14:textId="3BFABE9C" w:rsidR="006C5424" w:rsidRPr="00226892" w:rsidRDefault="006C5424" w:rsidP="006C5424">
            <w:pPr>
              <w:jc w:val="right"/>
              <w:rPr>
                <w:rFonts w:ascii="Arial" w:hAnsi="Arial" w:cs="Arial"/>
                <w:sz w:val="18"/>
                <w:szCs w:val="18"/>
              </w:rPr>
            </w:pPr>
          </w:p>
        </w:tc>
        <w:tc>
          <w:tcPr>
            <w:tcW w:w="242" w:type="dxa"/>
            <w:tcBorders>
              <w:top w:val="nil"/>
              <w:left w:val="nil"/>
              <w:bottom w:val="nil"/>
            </w:tcBorders>
          </w:tcPr>
          <w:p w14:paraId="35311C4F" w14:textId="77777777" w:rsidR="006C5424" w:rsidRPr="00226892" w:rsidRDefault="006C5424" w:rsidP="006C5424">
            <w:pPr>
              <w:jc w:val="right"/>
              <w:rPr>
                <w:rFonts w:ascii="Arial" w:hAnsi="Arial" w:cs="Arial"/>
                <w:sz w:val="18"/>
                <w:szCs w:val="18"/>
              </w:rPr>
            </w:pPr>
          </w:p>
        </w:tc>
        <w:tc>
          <w:tcPr>
            <w:tcW w:w="1588" w:type="dxa"/>
            <w:tcBorders>
              <w:top w:val="nil"/>
              <w:left w:val="nil"/>
              <w:bottom w:val="nil"/>
              <w:right w:val="nil"/>
            </w:tcBorders>
            <w:shd w:val="clear" w:color="auto" w:fill="auto"/>
            <w:vAlign w:val="bottom"/>
          </w:tcPr>
          <w:p w14:paraId="1E4CEEB8" w14:textId="558D9F9D" w:rsidR="006C5424" w:rsidRPr="00226892" w:rsidRDefault="006C5424" w:rsidP="006C5424">
            <w:pPr>
              <w:jc w:val="right"/>
              <w:rPr>
                <w:rFonts w:ascii="Arial" w:hAnsi="Arial" w:cs="Arial"/>
                <w:sz w:val="18"/>
                <w:szCs w:val="18"/>
              </w:rPr>
            </w:pPr>
          </w:p>
        </w:tc>
      </w:tr>
      <w:tr w:rsidR="006C5424" w:rsidRPr="00226892" w14:paraId="5F287112" w14:textId="77777777" w:rsidTr="008147CB">
        <w:trPr>
          <w:trHeight w:val="227"/>
        </w:trPr>
        <w:tc>
          <w:tcPr>
            <w:tcW w:w="5292" w:type="dxa"/>
            <w:tcBorders>
              <w:top w:val="nil"/>
              <w:left w:val="nil"/>
              <w:bottom w:val="nil"/>
              <w:right w:val="nil"/>
            </w:tcBorders>
            <w:shd w:val="clear" w:color="auto" w:fill="auto"/>
            <w:vAlign w:val="bottom"/>
            <w:hideMark/>
          </w:tcPr>
          <w:p w14:paraId="44319B64" w14:textId="77777777" w:rsidR="006C5424" w:rsidRPr="00226892" w:rsidRDefault="006C5424" w:rsidP="006C5424">
            <w:pPr>
              <w:rPr>
                <w:rFonts w:ascii="Arial" w:hAnsi="Arial" w:cs="Arial"/>
                <w:color w:val="000000"/>
                <w:sz w:val="18"/>
                <w:szCs w:val="18"/>
              </w:rPr>
            </w:pPr>
            <w:proofErr w:type="spellStart"/>
            <w:r w:rsidRPr="00226892">
              <w:rPr>
                <w:rFonts w:ascii="Arial" w:hAnsi="Arial" w:cs="Arial"/>
                <w:color w:val="000000"/>
                <w:sz w:val="18"/>
                <w:szCs w:val="18"/>
              </w:rPr>
              <w:t>Prijaté</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úroky</w:t>
            </w:r>
            <w:proofErr w:type="spellEnd"/>
          </w:p>
        </w:tc>
        <w:tc>
          <w:tcPr>
            <w:tcW w:w="685" w:type="dxa"/>
            <w:tcBorders>
              <w:top w:val="nil"/>
              <w:left w:val="nil"/>
              <w:bottom w:val="nil"/>
              <w:right w:val="nil"/>
            </w:tcBorders>
            <w:shd w:val="clear" w:color="auto" w:fill="auto"/>
            <w:vAlign w:val="bottom"/>
            <w:hideMark/>
          </w:tcPr>
          <w:p w14:paraId="3E232099" w14:textId="77777777" w:rsidR="006C5424" w:rsidRPr="00226892" w:rsidRDefault="006C5424" w:rsidP="008147CB">
            <w:pPr>
              <w:jc w:val="center"/>
              <w:rPr>
                <w:rFonts w:ascii="Arial" w:hAnsi="Arial" w:cs="Arial"/>
                <w:sz w:val="18"/>
                <w:szCs w:val="18"/>
              </w:rPr>
            </w:pPr>
          </w:p>
        </w:tc>
        <w:tc>
          <w:tcPr>
            <w:tcW w:w="239" w:type="dxa"/>
            <w:tcBorders>
              <w:top w:val="nil"/>
              <w:left w:val="nil"/>
              <w:bottom w:val="nil"/>
              <w:right w:val="nil"/>
            </w:tcBorders>
          </w:tcPr>
          <w:p w14:paraId="5205F7AF" w14:textId="77777777" w:rsidR="006C5424" w:rsidRPr="00226892" w:rsidRDefault="006C5424" w:rsidP="006C5424">
            <w:pPr>
              <w:jc w:val="right"/>
              <w:rPr>
                <w:rFonts w:ascii="Arial" w:hAnsi="Arial" w:cs="Arial"/>
                <w:color w:val="000000"/>
                <w:sz w:val="18"/>
                <w:szCs w:val="18"/>
              </w:rPr>
            </w:pPr>
          </w:p>
        </w:tc>
        <w:tc>
          <w:tcPr>
            <w:tcW w:w="1593" w:type="dxa"/>
            <w:tcBorders>
              <w:top w:val="nil"/>
              <w:left w:val="nil"/>
              <w:bottom w:val="nil"/>
              <w:right w:val="nil"/>
            </w:tcBorders>
            <w:shd w:val="clear" w:color="auto" w:fill="auto"/>
            <w:vAlign w:val="bottom"/>
          </w:tcPr>
          <w:p w14:paraId="64A65C2E" w14:textId="3156DFA7" w:rsidR="006C5424" w:rsidRPr="00226892" w:rsidRDefault="0021511B" w:rsidP="006C5424">
            <w:pPr>
              <w:jc w:val="right"/>
              <w:rPr>
                <w:rFonts w:ascii="Arial" w:hAnsi="Arial" w:cs="Arial"/>
                <w:color w:val="000000"/>
                <w:sz w:val="18"/>
                <w:szCs w:val="18"/>
              </w:rPr>
            </w:pPr>
            <w:r w:rsidRPr="00226892">
              <w:rPr>
                <w:rFonts w:ascii="Arial" w:hAnsi="Arial" w:cs="Arial"/>
                <w:color w:val="000000"/>
                <w:sz w:val="18"/>
                <w:szCs w:val="18"/>
              </w:rPr>
              <w:t>6</w:t>
            </w:r>
          </w:p>
        </w:tc>
        <w:tc>
          <w:tcPr>
            <w:tcW w:w="242" w:type="dxa"/>
            <w:tcBorders>
              <w:top w:val="nil"/>
              <w:left w:val="nil"/>
              <w:bottom w:val="nil"/>
            </w:tcBorders>
          </w:tcPr>
          <w:p w14:paraId="216CC04F" w14:textId="77777777" w:rsidR="006C5424" w:rsidRPr="00226892" w:rsidRDefault="006C5424" w:rsidP="006C5424">
            <w:pPr>
              <w:jc w:val="right"/>
              <w:rPr>
                <w:rFonts w:ascii="Arial" w:hAnsi="Arial" w:cs="Arial"/>
                <w:color w:val="000000"/>
                <w:sz w:val="18"/>
                <w:szCs w:val="18"/>
              </w:rPr>
            </w:pPr>
          </w:p>
        </w:tc>
        <w:tc>
          <w:tcPr>
            <w:tcW w:w="1588" w:type="dxa"/>
            <w:tcBorders>
              <w:top w:val="nil"/>
              <w:left w:val="nil"/>
              <w:bottom w:val="nil"/>
              <w:right w:val="nil"/>
            </w:tcBorders>
            <w:shd w:val="clear" w:color="auto" w:fill="auto"/>
            <w:vAlign w:val="bottom"/>
          </w:tcPr>
          <w:p w14:paraId="5D2B3F4E" w14:textId="1A5332FB" w:rsidR="006C5424" w:rsidRPr="00226892" w:rsidRDefault="008D1C4A" w:rsidP="006C5424">
            <w:pPr>
              <w:jc w:val="right"/>
              <w:rPr>
                <w:rFonts w:ascii="Arial" w:hAnsi="Arial" w:cs="Arial"/>
                <w:color w:val="000000"/>
                <w:sz w:val="18"/>
                <w:szCs w:val="18"/>
              </w:rPr>
            </w:pPr>
            <w:r w:rsidRPr="00226892">
              <w:rPr>
                <w:rFonts w:ascii="Arial" w:hAnsi="Arial" w:cs="Arial"/>
                <w:color w:val="000000"/>
                <w:sz w:val="18"/>
                <w:szCs w:val="18"/>
              </w:rPr>
              <w:t>19</w:t>
            </w:r>
          </w:p>
        </w:tc>
      </w:tr>
      <w:tr w:rsidR="006C5424" w:rsidRPr="00226892" w14:paraId="7C51AACC" w14:textId="77777777" w:rsidTr="008147CB">
        <w:trPr>
          <w:trHeight w:val="227"/>
        </w:trPr>
        <w:tc>
          <w:tcPr>
            <w:tcW w:w="5292" w:type="dxa"/>
            <w:tcBorders>
              <w:top w:val="nil"/>
              <w:left w:val="nil"/>
              <w:bottom w:val="nil"/>
              <w:right w:val="nil"/>
            </w:tcBorders>
            <w:shd w:val="clear" w:color="auto" w:fill="auto"/>
            <w:vAlign w:val="bottom"/>
            <w:hideMark/>
          </w:tcPr>
          <w:p w14:paraId="2D86A24C" w14:textId="77777777" w:rsidR="006C5424" w:rsidRPr="00226892" w:rsidRDefault="006C5424" w:rsidP="006C5424">
            <w:pPr>
              <w:rPr>
                <w:rFonts w:ascii="Arial" w:hAnsi="Arial" w:cs="Arial"/>
                <w:color w:val="000000"/>
                <w:sz w:val="18"/>
                <w:szCs w:val="18"/>
              </w:rPr>
            </w:pPr>
            <w:proofErr w:type="spellStart"/>
            <w:r w:rsidRPr="00226892">
              <w:rPr>
                <w:rFonts w:ascii="Arial" w:hAnsi="Arial" w:cs="Arial"/>
                <w:color w:val="000000"/>
                <w:sz w:val="18"/>
                <w:szCs w:val="18"/>
              </w:rPr>
              <w:t>Zaplatená</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daň</w:t>
            </w:r>
            <w:proofErr w:type="spellEnd"/>
            <w:r w:rsidRPr="00226892">
              <w:rPr>
                <w:rFonts w:ascii="Arial" w:hAnsi="Arial" w:cs="Arial"/>
                <w:color w:val="000000"/>
                <w:sz w:val="18"/>
                <w:szCs w:val="18"/>
              </w:rPr>
              <w:t xml:space="preserve"> z </w:t>
            </w:r>
            <w:proofErr w:type="spellStart"/>
            <w:r w:rsidRPr="00226892">
              <w:rPr>
                <w:rFonts w:ascii="Arial" w:hAnsi="Arial" w:cs="Arial"/>
                <w:color w:val="000000"/>
                <w:sz w:val="18"/>
                <w:szCs w:val="18"/>
              </w:rPr>
              <w:t>príjmov</w:t>
            </w:r>
            <w:proofErr w:type="spellEnd"/>
          </w:p>
        </w:tc>
        <w:tc>
          <w:tcPr>
            <w:tcW w:w="685" w:type="dxa"/>
            <w:tcBorders>
              <w:top w:val="nil"/>
              <w:left w:val="nil"/>
              <w:bottom w:val="nil"/>
              <w:right w:val="nil"/>
            </w:tcBorders>
            <w:shd w:val="clear" w:color="auto" w:fill="auto"/>
            <w:vAlign w:val="bottom"/>
            <w:hideMark/>
          </w:tcPr>
          <w:p w14:paraId="210D0086" w14:textId="77777777" w:rsidR="006C5424" w:rsidRPr="00226892" w:rsidRDefault="006C5424" w:rsidP="008147CB">
            <w:pPr>
              <w:jc w:val="center"/>
              <w:rPr>
                <w:rFonts w:ascii="Arial" w:hAnsi="Arial" w:cs="Arial"/>
                <w:sz w:val="18"/>
                <w:szCs w:val="18"/>
              </w:rPr>
            </w:pPr>
          </w:p>
        </w:tc>
        <w:tc>
          <w:tcPr>
            <w:tcW w:w="239" w:type="dxa"/>
            <w:tcBorders>
              <w:top w:val="nil"/>
              <w:left w:val="nil"/>
              <w:bottom w:val="nil"/>
              <w:right w:val="nil"/>
            </w:tcBorders>
          </w:tcPr>
          <w:p w14:paraId="5CF980DE" w14:textId="77777777" w:rsidR="006C5424" w:rsidRPr="00226892" w:rsidRDefault="006C5424" w:rsidP="006C5424">
            <w:pPr>
              <w:jc w:val="right"/>
              <w:rPr>
                <w:rFonts w:ascii="Arial" w:hAnsi="Arial" w:cs="Arial"/>
                <w:color w:val="000000"/>
                <w:sz w:val="18"/>
                <w:szCs w:val="18"/>
              </w:rPr>
            </w:pPr>
          </w:p>
        </w:tc>
        <w:tc>
          <w:tcPr>
            <w:tcW w:w="1593" w:type="dxa"/>
            <w:tcBorders>
              <w:top w:val="nil"/>
              <w:left w:val="nil"/>
              <w:bottom w:val="nil"/>
              <w:right w:val="nil"/>
            </w:tcBorders>
            <w:shd w:val="clear" w:color="auto" w:fill="auto"/>
            <w:vAlign w:val="bottom"/>
          </w:tcPr>
          <w:p w14:paraId="0AD9D007" w14:textId="586DBEB9" w:rsidR="006C5424" w:rsidRPr="00226892" w:rsidRDefault="0021511B" w:rsidP="006C5424">
            <w:pPr>
              <w:jc w:val="right"/>
              <w:rPr>
                <w:rFonts w:ascii="Arial" w:hAnsi="Arial" w:cs="Arial"/>
                <w:color w:val="000000"/>
                <w:sz w:val="18"/>
                <w:szCs w:val="18"/>
              </w:rPr>
            </w:pPr>
            <w:r w:rsidRPr="00226892">
              <w:rPr>
                <w:rFonts w:ascii="Arial" w:hAnsi="Arial" w:cs="Arial"/>
                <w:color w:val="000000"/>
                <w:sz w:val="18"/>
                <w:szCs w:val="18"/>
              </w:rPr>
              <w:t>309</w:t>
            </w:r>
          </w:p>
        </w:tc>
        <w:tc>
          <w:tcPr>
            <w:tcW w:w="242" w:type="dxa"/>
            <w:tcBorders>
              <w:top w:val="nil"/>
              <w:left w:val="nil"/>
              <w:bottom w:val="nil"/>
            </w:tcBorders>
          </w:tcPr>
          <w:p w14:paraId="6267D5D7" w14:textId="77777777" w:rsidR="006C5424" w:rsidRPr="00226892" w:rsidRDefault="006C5424" w:rsidP="006C5424">
            <w:pPr>
              <w:jc w:val="right"/>
              <w:rPr>
                <w:rFonts w:ascii="Arial" w:hAnsi="Arial" w:cs="Arial"/>
                <w:color w:val="000000"/>
                <w:sz w:val="18"/>
                <w:szCs w:val="18"/>
              </w:rPr>
            </w:pPr>
          </w:p>
        </w:tc>
        <w:tc>
          <w:tcPr>
            <w:tcW w:w="1588" w:type="dxa"/>
            <w:tcBorders>
              <w:top w:val="nil"/>
              <w:left w:val="nil"/>
              <w:bottom w:val="nil"/>
              <w:right w:val="nil"/>
            </w:tcBorders>
            <w:shd w:val="clear" w:color="auto" w:fill="auto"/>
            <w:vAlign w:val="bottom"/>
          </w:tcPr>
          <w:p w14:paraId="610E4A9F" w14:textId="053AB3B9" w:rsidR="006C5424" w:rsidRPr="00226892" w:rsidRDefault="006C5424" w:rsidP="006C5424">
            <w:pPr>
              <w:jc w:val="right"/>
              <w:rPr>
                <w:rFonts w:ascii="Arial" w:hAnsi="Arial" w:cs="Arial"/>
                <w:color w:val="000000"/>
                <w:sz w:val="18"/>
                <w:szCs w:val="18"/>
              </w:rPr>
            </w:pPr>
            <w:r w:rsidRPr="00226892">
              <w:rPr>
                <w:rFonts w:ascii="Arial" w:hAnsi="Arial" w:cs="Arial"/>
                <w:color w:val="000000"/>
                <w:sz w:val="18"/>
                <w:szCs w:val="18"/>
              </w:rPr>
              <w:t>100</w:t>
            </w:r>
          </w:p>
        </w:tc>
      </w:tr>
      <w:tr w:rsidR="006C5424" w:rsidRPr="00226892" w14:paraId="3B4C2DD1" w14:textId="77777777" w:rsidTr="008147CB">
        <w:trPr>
          <w:trHeight w:val="227"/>
        </w:trPr>
        <w:tc>
          <w:tcPr>
            <w:tcW w:w="5292" w:type="dxa"/>
            <w:tcBorders>
              <w:top w:val="nil"/>
              <w:left w:val="nil"/>
              <w:bottom w:val="nil"/>
              <w:right w:val="nil"/>
            </w:tcBorders>
            <w:shd w:val="clear" w:color="auto" w:fill="auto"/>
            <w:vAlign w:val="bottom"/>
            <w:hideMark/>
          </w:tcPr>
          <w:p w14:paraId="641249AC" w14:textId="77777777" w:rsidR="006C5424" w:rsidRPr="00226892" w:rsidRDefault="006C5424" w:rsidP="006C5424">
            <w:pPr>
              <w:rPr>
                <w:rFonts w:ascii="Arial" w:hAnsi="Arial" w:cs="Arial"/>
                <w:color w:val="000000"/>
                <w:sz w:val="18"/>
                <w:szCs w:val="18"/>
              </w:rPr>
            </w:pPr>
          </w:p>
        </w:tc>
        <w:tc>
          <w:tcPr>
            <w:tcW w:w="685" w:type="dxa"/>
            <w:tcBorders>
              <w:top w:val="nil"/>
              <w:left w:val="nil"/>
              <w:bottom w:val="nil"/>
              <w:right w:val="nil"/>
            </w:tcBorders>
            <w:shd w:val="clear" w:color="auto" w:fill="auto"/>
            <w:vAlign w:val="bottom"/>
            <w:hideMark/>
          </w:tcPr>
          <w:p w14:paraId="2CA1252D" w14:textId="77777777" w:rsidR="006C5424" w:rsidRPr="00226892" w:rsidRDefault="006C5424" w:rsidP="008147CB">
            <w:pPr>
              <w:jc w:val="center"/>
              <w:rPr>
                <w:rFonts w:ascii="Arial" w:hAnsi="Arial" w:cs="Arial"/>
                <w:sz w:val="18"/>
                <w:szCs w:val="18"/>
              </w:rPr>
            </w:pPr>
          </w:p>
        </w:tc>
        <w:tc>
          <w:tcPr>
            <w:tcW w:w="239" w:type="dxa"/>
            <w:tcBorders>
              <w:top w:val="nil"/>
              <w:left w:val="nil"/>
              <w:bottom w:val="nil"/>
              <w:right w:val="nil"/>
            </w:tcBorders>
          </w:tcPr>
          <w:p w14:paraId="082FA246" w14:textId="77777777" w:rsidR="006C5424" w:rsidRPr="00226892" w:rsidRDefault="006C5424" w:rsidP="006C5424">
            <w:pPr>
              <w:jc w:val="right"/>
              <w:rPr>
                <w:rFonts w:ascii="Arial" w:hAnsi="Arial" w:cs="Arial"/>
                <w:sz w:val="18"/>
                <w:szCs w:val="18"/>
              </w:rPr>
            </w:pPr>
          </w:p>
        </w:tc>
        <w:tc>
          <w:tcPr>
            <w:tcW w:w="1593" w:type="dxa"/>
            <w:tcBorders>
              <w:top w:val="nil"/>
              <w:left w:val="nil"/>
              <w:bottom w:val="nil"/>
              <w:right w:val="nil"/>
            </w:tcBorders>
            <w:shd w:val="clear" w:color="auto" w:fill="auto"/>
            <w:vAlign w:val="bottom"/>
          </w:tcPr>
          <w:p w14:paraId="3D1BF315" w14:textId="6AD1A83A" w:rsidR="006C5424" w:rsidRPr="00226892" w:rsidRDefault="006C5424" w:rsidP="006C5424">
            <w:pPr>
              <w:jc w:val="right"/>
              <w:rPr>
                <w:rFonts w:ascii="Arial" w:hAnsi="Arial" w:cs="Arial"/>
                <w:sz w:val="18"/>
                <w:szCs w:val="18"/>
              </w:rPr>
            </w:pPr>
          </w:p>
        </w:tc>
        <w:tc>
          <w:tcPr>
            <w:tcW w:w="242" w:type="dxa"/>
            <w:tcBorders>
              <w:top w:val="nil"/>
              <w:left w:val="nil"/>
              <w:bottom w:val="nil"/>
            </w:tcBorders>
          </w:tcPr>
          <w:p w14:paraId="0652AC3F" w14:textId="77777777" w:rsidR="006C5424" w:rsidRPr="00226892" w:rsidRDefault="006C5424" w:rsidP="006C5424">
            <w:pPr>
              <w:jc w:val="right"/>
              <w:rPr>
                <w:rFonts w:ascii="Arial" w:hAnsi="Arial" w:cs="Arial"/>
                <w:sz w:val="18"/>
                <w:szCs w:val="18"/>
              </w:rPr>
            </w:pPr>
          </w:p>
        </w:tc>
        <w:tc>
          <w:tcPr>
            <w:tcW w:w="1588" w:type="dxa"/>
            <w:tcBorders>
              <w:top w:val="nil"/>
              <w:left w:val="nil"/>
              <w:bottom w:val="nil"/>
              <w:right w:val="nil"/>
            </w:tcBorders>
            <w:shd w:val="clear" w:color="auto" w:fill="auto"/>
            <w:vAlign w:val="bottom"/>
          </w:tcPr>
          <w:p w14:paraId="74494E42" w14:textId="448390B1" w:rsidR="006C5424" w:rsidRPr="00226892" w:rsidRDefault="006C5424" w:rsidP="006C5424">
            <w:pPr>
              <w:jc w:val="right"/>
              <w:rPr>
                <w:rFonts w:ascii="Arial" w:hAnsi="Arial" w:cs="Arial"/>
                <w:sz w:val="18"/>
                <w:szCs w:val="18"/>
              </w:rPr>
            </w:pPr>
          </w:p>
        </w:tc>
      </w:tr>
      <w:tr w:rsidR="006C5424" w:rsidRPr="00226892" w14:paraId="36D0FC8C" w14:textId="77777777" w:rsidTr="008147CB">
        <w:trPr>
          <w:trHeight w:val="227"/>
        </w:trPr>
        <w:tc>
          <w:tcPr>
            <w:tcW w:w="5292" w:type="dxa"/>
            <w:tcBorders>
              <w:top w:val="nil"/>
              <w:left w:val="nil"/>
              <w:bottom w:val="nil"/>
              <w:right w:val="nil"/>
            </w:tcBorders>
            <w:shd w:val="clear" w:color="auto" w:fill="auto"/>
            <w:vAlign w:val="bottom"/>
            <w:hideMark/>
          </w:tcPr>
          <w:p w14:paraId="74867DDE" w14:textId="75F98EFC" w:rsidR="006C5424" w:rsidRPr="00226892" w:rsidRDefault="006C5424" w:rsidP="006C5424">
            <w:pPr>
              <w:rPr>
                <w:rFonts w:ascii="Arial" w:hAnsi="Arial" w:cs="Arial"/>
                <w:b/>
                <w:bCs/>
                <w:color w:val="000000"/>
                <w:sz w:val="18"/>
                <w:szCs w:val="18"/>
              </w:rPr>
            </w:pPr>
            <w:proofErr w:type="spellStart"/>
            <w:r w:rsidRPr="00226892">
              <w:rPr>
                <w:rFonts w:ascii="Arial" w:hAnsi="Arial" w:cs="Arial"/>
                <w:b/>
                <w:bCs/>
                <w:color w:val="000000"/>
                <w:sz w:val="18"/>
                <w:szCs w:val="18"/>
              </w:rPr>
              <w:t>Čisté</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peňažné</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toky</w:t>
            </w:r>
            <w:proofErr w:type="spellEnd"/>
            <w:r w:rsidRPr="00226892">
              <w:rPr>
                <w:rFonts w:ascii="Arial" w:hAnsi="Arial" w:cs="Arial"/>
                <w:b/>
                <w:bCs/>
                <w:color w:val="000000"/>
                <w:sz w:val="18"/>
                <w:szCs w:val="18"/>
              </w:rPr>
              <w:t xml:space="preserve"> z </w:t>
            </w:r>
            <w:proofErr w:type="spellStart"/>
            <w:r w:rsidRPr="00226892">
              <w:rPr>
                <w:rFonts w:ascii="Arial" w:hAnsi="Arial" w:cs="Arial"/>
                <w:b/>
                <w:bCs/>
                <w:color w:val="000000"/>
                <w:sz w:val="18"/>
                <w:szCs w:val="18"/>
              </w:rPr>
              <w:t>prevádzkovej</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činnosti</w:t>
            </w:r>
            <w:proofErr w:type="spellEnd"/>
            <w:r w:rsidRPr="00226892">
              <w:rPr>
                <w:rFonts w:ascii="Arial" w:hAnsi="Arial" w:cs="Arial"/>
                <w:b/>
                <w:bCs/>
                <w:color w:val="000000"/>
                <w:sz w:val="18"/>
                <w:szCs w:val="18"/>
              </w:rPr>
              <w:t xml:space="preserve"> </w:t>
            </w:r>
          </w:p>
        </w:tc>
        <w:tc>
          <w:tcPr>
            <w:tcW w:w="685" w:type="dxa"/>
            <w:tcBorders>
              <w:top w:val="nil"/>
              <w:left w:val="nil"/>
              <w:bottom w:val="nil"/>
              <w:right w:val="nil"/>
            </w:tcBorders>
            <w:shd w:val="clear" w:color="auto" w:fill="auto"/>
            <w:vAlign w:val="bottom"/>
            <w:hideMark/>
          </w:tcPr>
          <w:p w14:paraId="6697B0C5" w14:textId="77777777" w:rsidR="006C5424" w:rsidRPr="00226892" w:rsidRDefault="006C5424" w:rsidP="008147CB">
            <w:pPr>
              <w:jc w:val="center"/>
              <w:rPr>
                <w:rFonts w:ascii="Arial" w:hAnsi="Arial" w:cs="Arial"/>
                <w:sz w:val="18"/>
                <w:szCs w:val="18"/>
              </w:rPr>
            </w:pPr>
          </w:p>
        </w:tc>
        <w:tc>
          <w:tcPr>
            <w:tcW w:w="239" w:type="dxa"/>
            <w:tcBorders>
              <w:left w:val="nil"/>
              <w:right w:val="nil"/>
            </w:tcBorders>
          </w:tcPr>
          <w:p w14:paraId="59DEB666" w14:textId="77777777" w:rsidR="006C5424" w:rsidRPr="00226892" w:rsidRDefault="006C5424" w:rsidP="006C5424">
            <w:pPr>
              <w:jc w:val="right"/>
              <w:rPr>
                <w:rFonts w:ascii="Arial" w:hAnsi="Arial" w:cs="Arial"/>
                <w:b/>
                <w:bCs/>
                <w:color w:val="000000"/>
                <w:sz w:val="18"/>
                <w:szCs w:val="18"/>
              </w:rPr>
            </w:pPr>
          </w:p>
        </w:tc>
        <w:tc>
          <w:tcPr>
            <w:tcW w:w="1593" w:type="dxa"/>
            <w:tcBorders>
              <w:top w:val="single" w:sz="4" w:space="0" w:color="auto"/>
              <w:left w:val="nil"/>
              <w:bottom w:val="double" w:sz="6" w:space="0" w:color="auto"/>
              <w:right w:val="nil"/>
            </w:tcBorders>
            <w:shd w:val="clear" w:color="auto" w:fill="auto"/>
            <w:vAlign w:val="bottom"/>
          </w:tcPr>
          <w:p w14:paraId="646570F9" w14:textId="265BC0FA" w:rsidR="006C5424" w:rsidRPr="00226892" w:rsidRDefault="0021511B" w:rsidP="006C5424">
            <w:pPr>
              <w:jc w:val="right"/>
              <w:rPr>
                <w:rFonts w:ascii="Arial" w:hAnsi="Arial" w:cs="Arial"/>
                <w:b/>
                <w:bCs/>
                <w:color w:val="000000"/>
                <w:sz w:val="18"/>
                <w:szCs w:val="18"/>
              </w:rPr>
            </w:pPr>
            <w:r w:rsidRPr="00226892">
              <w:rPr>
                <w:rFonts w:ascii="Arial" w:hAnsi="Arial" w:cs="Arial"/>
                <w:b/>
                <w:bCs/>
                <w:color w:val="000000"/>
                <w:sz w:val="18"/>
                <w:szCs w:val="18"/>
              </w:rPr>
              <w:t xml:space="preserve">33 </w:t>
            </w:r>
            <w:r w:rsidR="00C6116F" w:rsidRPr="00226892">
              <w:rPr>
                <w:rFonts w:ascii="Arial" w:hAnsi="Arial" w:cs="Arial"/>
                <w:b/>
                <w:bCs/>
                <w:color w:val="000000"/>
                <w:sz w:val="18"/>
                <w:szCs w:val="18"/>
              </w:rPr>
              <w:t>592</w:t>
            </w:r>
          </w:p>
        </w:tc>
        <w:tc>
          <w:tcPr>
            <w:tcW w:w="242" w:type="dxa"/>
            <w:tcBorders>
              <w:left w:val="nil"/>
            </w:tcBorders>
          </w:tcPr>
          <w:p w14:paraId="1159EAD4" w14:textId="77777777" w:rsidR="006C5424" w:rsidRPr="00226892" w:rsidRDefault="006C5424" w:rsidP="006C5424">
            <w:pPr>
              <w:jc w:val="right"/>
              <w:rPr>
                <w:rFonts w:ascii="Arial" w:hAnsi="Arial" w:cs="Arial"/>
                <w:b/>
                <w:bCs/>
                <w:color w:val="000000"/>
                <w:sz w:val="18"/>
                <w:szCs w:val="18"/>
              </w:rPr>
            </w:pPr>
          </w:p>
        </w:tc>
        <w:tc>
          <w:tcPr>
            <w:tcW w:w="1588" w:type="dxa"/>
            <w:tcBorders>
              <w:top w:val="single" w:sz="4" w:space="0" w:color="auto"/>
              <w:left w:val="nil"/>
              <w:bottom w:val="double" w:sz="6" w:space="0" w:color="auto"/>
              <w:right w:val="nil"/>
            </w:tcBorders>
            <w:shd w:val="clear" w:color="auto" w:fill="auto"/>
            <w:vAlign w:val="bottom"/>
          </w:tcPr>
          <w:p w14:paraId="22ABE084" w14:textId="1B6AF87F" w:rsidR="006C5424" w:rsidRPr="00226892" w:rsidRDefault="008D1C4A" w:rsidP="006C5424">
            <w:pPr>
              <w:jc w:val="right"/>
              <w:rPr>
                <w:rFonts w:ascii="Arial" w:hAnsi="Arial" w:cs="Arial"/>
                <w:b/>
                <w:bCs/>
                <w:color w:val="000000"/>
                <w:sz w:val="18"/>
                <w:szCs w:val="18"/>
              </w:rPr>
            </w:pPr>
            <w:r w:rsidRPr="00226892">
              <w:rPr>
                <w:rFonts w:ascii="Arial" w:hAnsi="Arial" w:cs="Arial"/>
                <w:b/>
                <w:bCs/>
                <w:color w:val="000000"/>
                <w:sz w:val="18"/>
                <w:szCs w:val="18"/>
              </w:rPr>
              <w:t>9 661</w:t>
            </w:r>
          </w:p>
        </w:tc>
      </w:tr>
      <w:tr w:rsidR="006C5424" w:rsidRPr="00226892" w14:paraId="112F667E" w14:textId="77777777" w:rsidTr="008147CB">
        <w:trPr>
          <w:trHeight w:val="227"/>
        </w:trPr>
        <w:tc>
          <w:tcPr>
            <w:tcW w:w="5292" w:type="dxa"/>
            <w:tcBorders>
              <w:top w:val="nil"/>
              <w:left w:val="nil"/>
              <w:bottom w:val="nil"/>
              <w:right w:val="nil"/>
            </w:tcBorders>
            <w:shd w:val="clear" w:color="auto" w:fill="auto"/>
            <w:vAlign w:val="bottom"/>
            <w:hideMark/>
          </w:tcPr>
          <w:p w14:paraId="0A756379" w14:textId="77777777" w:rsidR="006C5424" w:rsidRPr="00226892" w:rsidRDefault="006C5424" w:rsidP="006C5424">
            <w:pPr>
              <w:rPr>
                <w:rFonts w:ascii="Arial" w:hAnsi="Arial" w:cs="Arial"/>
                <w:b/>
                <w:bCs/>
                <w:color w:val="000000"/>
                <w:sz w:val="18"/>
                <w:szCs w:val="18"/>
              </w:rPr>
            </w:pPr>
          </w:p>
        </w:tc>
        <w:tc>
          <w:tcPr>
            <w:tcW w:w="685" w:type="dxa"/>
            <w:tcBorders>
              <w:top w:val="nil"/>
              <w:left w:val="nil"/>
              <w:bottom w:val="nil"/>
              <w:right w:val="nil"/>
            </w:tcBorders>
            <w:shd w:val="clear" w:color="auto" w:fill="auto"/>
            <w:vAlign w:val="bottom"/>
            <w:hideMark/>
          </w:tcPr>
          <w:p w14:paraId="5475DFEA" w14:textId="77777777" w:rsidR="006C5424" w:rsidRPr="00226892" w:rsidRDefault="006C5424" w:rsidP="008147CB">
            <w:pPr>
              <w:jc w:val="center"/>
              <w:rPr>
                <w:rFonts w:ascii="Arial" w:hAnsi="Arial" w:cs="Arial"/>
                <w:sz w:val="18"/>
                <w:szCs w:val="18"/>
              </w:rPr>
            </w:pPr>
          </w:p>
        </w:tc>
        <w:tc>
          <w:tcPr>
            <w:tcW w:w="239" w:type="dxa"/>
            <w:tcBorders>
              <w:top w:val="nil"/>
              <w:left w:val="nil"/>
              <w:bottom w:val="nil"/>
              <w:right w:val="nil"/>
            </w:tcBorders>
          </w:tcPr>
          <w:p w14:paraId="6BB37490" w14:textId="77777777" w:rsidR="006C5424" w:rsidRPr="00226892" w:rsidRDefault="006C5424" w:rsidP="006C5424">
            <w:pPr>
              <w:jc w:val="right"/>
              <w:rPr>
                <w:rFonts w:ascii="Arial" w:hAnsi="Arial" w:cs="Arial"/>
                <w:sz w:val="18"/>
                <w:szCs w:val="18"/>
              </w:rPr>
            </w:pPr>
          </w:p>
        </w:tc>
        <w:tc>
          <w:tcPr>
            <w:tcW w:w="1593" w:type="dxa"/>
            <w:tcBorders>
              <w:top w:val="nil"/>
              <w:left w:val="nil"/>
              <w:bottom w:val="nil"/>
              <w:right w:val="nil"/>
            </w:tcBorders>
            <w:shd w:val="clear" w:color="auto" w:fill="auto"/>
            <w:vAlign w:val="bottom"/>
          </w:tcPr>
          <w:p w14:paraId="491BEE5F" w14:textId="50085BB8" w:rsidR="006C5424" w:rsidRPr="00226892" w:rsidRDefault="006C5424" w:rsidP="006C5424">
            <w:pPr>
              <w:jc w:val="right"/>
              <w:rPr>
                <w:rFonts w:ascii="Arial" w:hAnsi="Arial" w:cs="Arial"/>
                <w:sz w:val="18"/>
                <w:szCs w:val="18"/>
              </w:rPr>
            </w:pPr>
          </w:p>
        </w:tc>
        <w:tc>
          <w:tcPr>
            <w:tcW w:w="242" w:type="dxa"/>
            <w:tcBorders>
              <w:top w:val="nil"/>
              <w:left w:val="nil"/>
              <w:bottom w:val="nil"/>
            </w:tcBorders>
          </w:tcPr>
          <w:p w14:paraId="2C88D8E7" w14:textId="77777777" w:rsidR="006C5424" w:rsidRPr="00226892" w:rsidRDefault="006C5424" w:rsidP="006C5424">
            <w:pPr>
              <w:jc w:val="right"/>
              <w:rPr>
                <w:rFonts w:ascii="Arial" w:hAnsi="Arial" w:cs="Arial"/>
                <w:sz w:val="18"/>
                <w:szCs w:val="18"/>
              </w:rPr>
            </w:pPr>
          </w:p>
        </w:tc>
        <w:tc>
          <w:tcPr>
            <w:tcW w:w="1588" w:type="dxa"/>
            <w:tcBorders>
              <w:top w:val="nil"/>
              <w:left w:val="nil"/>
              <w:bottom w:val="nil"/>
              <w:right w:val="nil"/>
            </w:tcBorders>
            <w:shd w:val="clear" w:color="auto" w:fill="auto"/>
            <w:vAlign w:val="bottom"/>
          </w:tcPr>
          <w:p w14:paraId="4F948E99" w14:textId="419281C2" w:rsidR="006C5424" w:rsidRPr="00226892" w:rsidRDefault="006C5424" w:rsidP="006C5424">
            <w:pPr>
              <w:jc w:val="right"/>
              <w:rPr>
                <w:rFonts w:ascii="Arial" w:hAnsi="Arial" w:cs="Arial"/>
                <w:sz w:val="18"/>
                <w:szCs w:val="18"/>
              </w:rPr>
            </w:pPr>
          </w:p>
        </w:tc>
      </w:tr>
      <w:tr w:rsidR="006C5424" w:rsidRPr="00226892" w14:paraId="328E61AB" w14:textId="77777777" w:rsidTr="008147CB">
        <w:trPr>
          <w:trHeight w:val="227"/>
        </w:trPr>
        <w:tc>
          <w:tcPr>
            <w:tcW w:w="5292" w:type="dxa"/>
            <w:tcBorders>
              <w:top w:val="nil"/>
              <w:left w:val="nil"/>
              <w:bottom w:val="nil"/>
              <w:right w:val="nil"/>
            </w:tcBorders>
            <w:shd w:val="clear" w:color="auto" w:fill="auto"/>
            <w:vAlign w:val="bottom"/>
            <w:hideMark/>
          </w:tcPr>
          <w:p w14:paraId="627B9A42" w14:textId="77777777" w:rsidR="006C5424" w:rsidRPr="00226892" w:rsidRDefault="006C5424" w:rsidP="006C5424">
            <w:pPr>
              <w:rPr>
                <w:rFonts w:ascii="Arial" w:hAnsi="Arial" w:cs="Arial"/>
                <w:b/>
                <w:bCs/>
                <w:color w:val="000000"/>
                <w:sz w:val="18"/>
                <w:szCs w:val="18"/>
              </w:rPr>
            </w:pPr>
            <w:proofErr w:type="spellStart"/>
            <w:r w:rsidRPr="00226892">
              <w:rPr>
                <w:rFonts w:ascii="Arial" w:hAnsi="Arial" w:cs="Arial"/>
                <w:b/>
                <w:bCs/>
                <w:color w:val="000000"/>
                <w:sz w:val="18"/>
                <w:szCs w:val="18"/>
              </w:rPr>
              <w:t>Peňažné</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toky</w:t>
            </w:r>
            <w:proofErr w:type="spellEnd"/>
            <w:r w:rsidRPr="00226892">
              <w:rPr>
                <w:rFonts w:ascii="Arial" w:hAnsi="Arial" w:cs="Arial"/>
                <w:b/>
                <w:bCs/>
                <w:color w:val="000000"/>
                <w:sz w:val="18"/>
                <w:szCs w:val="18"/>
              </w:rPr>
              <w:t xml:space="preserve"> z </w:t>
            </w:r>
            <w:proofErr w:type="spellStart"/>
            <w:r w:rsidRPr="00226892">
              <w:rPr>
                <w:rFonts w:ascii="Arial" w:hAnsi="Arial" w:cs="Arial"/>
                <w:b/>
                <w:bCs/>
                <w:color w:val="000000"/>
                <w:sz w:val="18"/>
                <w:szCs w:val="18"/>
              </w:rPr>
              <w:t>investičnej</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činnosti</w:t>
            </w:r>
            <w:proofErr w:type="spellEnd"/>
          </w:p>
        </w:tc>
        <w:tc>
          <w:tcPr>
            <w:tcW w:w="685" w:type="dxa"/>
            <w:tcBorders>
              <w:top w:val="nil"/>
              <w:left w:val="nil"/>
              <w:bottom w:val="nil"/>
              <w:right w:val="nil"/>
            </w:tcBorders>
            <w:shd w:val="clear" w:color="auto" w:fill="auto"/>
            <w:vAlign w:val="bottom"/>
            <w:hideMark/>
          </w:tcPr>
          <w:p w14:paraId="3AD9AF71" w14:textId="77777777" w:rsidR="006C5424" w:rsidRPr="00226892" w:rsidRDefault="006C5424" w:rsidP="008147CB">
            <w:pPr>
              <w:jc w:val="center"/>
              <w:rPr>
                <w:rFonts w:ascii="Arial" w:hAnsi="Arial" w:cs="Arial"/>
                <w:sz w:val="18"/>
                <w:szCs w:val="18"/>
              </w:rPr>
            </w:pPr>
          </w:p>
        </w:tc>
        <w:tc>
          <w:tcPr>
            <w:tcW w:w="239" w:type="dxa"/>
            <w:tcBorders>
              <w:top w:val="nil"/>
              <w:left w:val="nil"/>
              <w:bottom w:val="nil"/>
              <w:right w:val="nil"/>
            </w:tcBorders>
          </w:tcPr>
          <w:p w14:paraId="2E8090BD" w14:textId="77777777" w:rsidR="006C5424" w:rsidRPr="00226892" w:rsidRDefault="006C5424" w:rsidP="006C5424">
            <w:pPr>
              <w:jc w:val="right"/>
              <w:rPr>
                <w:rFonts w:ascii="Arial" w:hAnsi="Arial" w:cs="Arial"/>
                <w:color w:val="000000"/>
                <w:sz w:val="18"/>
                <w:szCs w:val="18"/>
              </w:rPr>
            </w:pPr>
          </w:p>
        </w:tc>
        <w:tc>
          <w:tcPr>
            <w:tcW w:w="1593" w:type="dxa"/>
            <w:tcBorders>
              <w:top w:val="nil"/>
              <w:left w:val="nil"/>
              <w:bottom w:val="nil"/>
              <w:right w:val="nil"/>
            </w:tcBorders>
            <w:shd w:val="clear" w:color="auto" w:fill="auto"/>
            <w:vAlign w:val="bottom"/>
          </w:tcPr>
          <w:p w14:paraId="4C2C573E" w14:textId="5E8BA688" w:rsidR="006C5424" w:rsidRPr="00226892" w:rsidRDefault="006C5424" w:rsidP="006C5424">
            <w:pPr>
              <w:jc w:val="right"/>
              <w:rPr>
                <w:rFonts w:ascii="Arial" w:hAnsi="Arial" w:cs="Arial"/>
                <w:color w:val="000000"/>
                <w:sz w:val="18"/>
                <w:szCs w:val="18"/>
              </w:rPr>
            </w:pPr>
          </w:p>
        </w:tc>
        <w:tc>
          <w:tcPr>
            <w:tcW w:w="242" w:type="dxa"/>
            <w:tcBorders>
              <w:top w:val="nil"/>
              <w:left w:val="nil"/>
              <w:bottom w:val="nil"/>
            </w:tcBorders>
          </w:tcPr>
          <w:p w14:paraId="2B8073BB" w14:textId="77777777" w:rsidR="006C5424" w:rsidRPr="00226892" w:rsidRDefault="006C5424" w:rsidP="006C5424">
            <w:pPr>
              <w:jc w:val="right"/>
              <w:rPr>
                <w:rFonts w:ascii="Arial" w:hAnsi="Arial" w:cs="Arial"/>
                <w:sz w:val="18"/>
                <w:szCs w:val="18"/>
              </w:rPr>
            </w:pPr>
          </w:p>
        </w:tc>
        <w:tc>
          <w:tcPr>
            <w:tcW w:w="1588" w:type="dxa"/>
            <w:tcBorders>
              <w:top w:val="nil"/>
              <w:left w:val="nil"/>
              <w:bottom w:val="nil"/>
              <w:right w:val="nil"/>
            </w:tcBorders>
            <w:shd w:val="clear" w:color="auto" w:fill="auto"/>
            <w:vAlign w:val="bottom"/>
          </w:tcPr>
          <w:p w14:paraId="5C1BD384" w14:textId="18F5DF33" w:rsidR="006C5424" w:rsidRPr="00226892" w:rsidRDefault="006C5424" w:rsidP="006C5424">
            <w:pPr>
              <w:jc w:val="right"/>
              <w:rPr>
                <w:rFonts w:ascii="Arial" w:hAnsi="Arial" w:cs="Arial"/>
                <w:sz w:val="18"/>
                <w:szCs w:val="18"/>
              </w:rPr>
            </w:pPr>
          </w:p>
        </w:tc>
      </w:tr>
      <w:tr w:rsidR="006C5424" w:rsidRPr="00226892" w14:paraId="122331E1" w14:textId="77777777" w:rsidTr="008147CB">
        <w:trPr>
          <w:trHeight w:val="227"/>
        </w:trPr>
        <w:tc>
          <w:tcPr>
            <w:tcW w:w="5292" w:type="dxa"/>
            <w:tcBorders>
              <w:top w:val="nil"/>
              <w:left w:val="nil"/>
              <w:bottom w:val="nil"/>
              <w:right w:val="nil"/>
            </w:tcBorders>
            <w:shd w:val="clear" w:color="auto" w:fill="auto"/>
            <w:vAlign w:val="bottom"/>
            <w:hideMark/>
          </w:tcPr>
          <w:p w14:paraId="1B45BA7C" w14:textId="77777777" w:rsidR="006C5424" w:rsidRPr="00226892" w:rsidRDefault="006C5424" w:rsidP="006C5424">
            <w:pPr>
              <w:rPr>
                <w:rFonts w:ascii="Arial" w:hAnsi="Arial" w:cs="Arial"/>
                <w:color w:val="000000"/>
                <w:sz w:val="18"/>
                <w:szCs w:val="18"/>
              </w:rPr>
            </w:pPr>
            <w:proofErr w:type="spellStart"/>
            <w:r w:rsidRPr="00226892">
              <w:rPr>
                <w:rFonts w:ascii="Arial" w:hAnsi="Arial" w:cs="Arial"/>
                <w:color w:val="000000"/>
                <w:sz w:val="18"/>
                <w:szCs w:val="18"/>
              </w:rPr>
              <w:t>Výdavky</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na</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nákup</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dlhodobého</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hmotného</w:t>
            </w:r>
            <w:proofErr w:type="spellEnd"/>
            <w:r w:rsidRPr="00226892">
              <w:rPr>
                <w:rFonts w:ascii="Arial" w:hAnsi="Arial" w:cs="Arial"/>
                <w:color w:val="000000"/>
                <w:sz w:val="18"/>
                <w:szCs w:val="18"/>
              </w:rPr>
              <w:t xml:space="preserve"> a </w:t>
            </w:r>
            <w:proofErr w:type="spellStart"/>
            <w:r w:rsidRPr="00226892">
              <w:rPr>
                <w:rFonts w:ascii="Arial" w:hAnsi="Arial" w:cs="Arial"/>
                <w:color w:val="000000"/>
                <w:sz w:val="18"/>
                <w:szCs w:val="18"/>
              </w:rPr>
              <w:t>nehmotného</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majetku</w:t>
            </w:r>
            <w:proofErr w:type="spellEnd"/>
          </w:p>
        </w:tc>
        <w:tc>
          <w:tcPr>
            <w:tcW w:w="685" w:type="dxa"/>
            <w:tcBorders>
              <w:top w:val="nil"/>
              <w:left w:val="nil"/>
              <w:bottom w:val="nil"/>
              <w:right w:val="nil"/>
            </w:tcBorders>
            <w:shd w:val="clear" w:color="auto" w:fill="auto"/>
            <w:vAlign w:val="bottom"/>
            <w:hideMark/>
          </w:tcPr>
          <w:p w14:paraId="5D0FE6F6" w14:textId="77777777" w:rsidR="006C5424" w:rsidRPr="00226892" w:rsidRDefault="006C5424" w:rsidP="008147CB">
            <w:pPr>
              <w:jc w:val="center"/>
              <w:rPr>
                <w:rFonts w:ascii="Arial" w:hAnsi="Arial" w:cs="Arial"/>
                <w:sz w:val="18"/>
                <w:szCs w:val="18"/>
                <w:lang w:val="en-US"/>
              </w:rPr>
            </w:pPr>
          </w:p>
        </w:tc>
        <w:tc>
          <w:tcPr>
            <w:tcW w:w="239" w:type="dxa"/>
            <w:tcBorders>
              <w:top w:val="nil"/>
              <w:left w:val="nil"/>
              <w:bottom w:val="nil"/>
              <w:right w:val="nil"/>
            </w:tcBorders>
          </w:tcPr>
          <w:p w14:paraId="72962F67" w14:textId="77777777" w:rsidR="006C5424" w:rsidRPr="00226892" w:rsidRDefault="006C5424" w:rsidP="006C5424">
            <w:pPr>
              <w:jc w:val="right"/>
              <w:rPr>
                <w:rFonts w:ascii="Arial" w:hAnsi="Arial" w:cs="Arial"/>
                <w:color w:val="000000"/>
                <w:sz w:val="18"/>
                <w:szCs w:val="18"/>
                <w:lang w:val="en-US"/>
              </w:rPr>
            </w:pPr>
          </w:p>
        </w:tc>
        <w:tc>
          <w:tcPr>
            <w:tcW w:w="1593" w:type="dxa"/>
            <w:tcBorders>
              <w:top w:val="nil"/>
              <w:left w:val="nil"/>
              <w:bottom w:val="nil"/>
              <w:right w:val="nil"/>
            </w:tcBorders>
            <w:shd w:val="clear" w:color="auto" w:fill="auto"/>
            <w:vAlign w:val="bottom"/>
          </w:tcPr>
          <w:p w14:paraId="461C42E2" w14:textId="5CA5520A" w:rsidR="006C5424" w:rsidRPr="00226892" w:rsidRDefault="0021511B" w:rsidP="006C5424">
            <w:pPr>
              <w:jc w:val="right"/>
              <w:rPr>
                <w:rFonts w:ascii="Arial" w:hAnsi="Arial" w:cs="Arial"/>
                <w:color w:val="000000"/>
                <w:sz w:val="18"/>
                <w:szCs w:val="18"/>
                <w:lang w:val="en-US"/>
              </w:rPr>
            </w:pPr>
            <w:r w:rsidRPr="00226892">
              <w:rPr>
                <w:rFonts w:ascii="Arial" w:hAnsi="Arial" w:cs="Arial"/>
                <w:color w:val="000000"/>
                <w:sz w:val="18"/>
                <w:szCs w:val="18"/>
                <w:lang w:val="en-US"/>
              </w:rPr>
              <w:t xml:space="preserve">-5 </w:t>
            </w:r>
            <w:r w:rsidR="00C6116F" w:rsidRPr="00226892">
              <w:rPr>
                <w:rFonts w:ascii="Arial" w:hAnsi="Arial" w:cs="Arial"/>
                <w:color w:val="000000"/>
                <w:sz w:val="18"/>
                <w:szCs w:val="18"/>
                <w:lang w:val="en-US"/>
              </w:rPr>
              <w:t>747</w:t>
            </w:r>
          </w:p>
        </w:tc>
        <w:tc>
          <w:tcPr>
            <w:tcW w:w="242" w:type="dxa"/>
            <w:tcBorders>
              <w:top w:val="nil"/>
              <w:left w:val="nil"/>
              <w:bottom w:val="nil"/>
            </w:tcBorders>
          </w:tcPr>
          <w:p w14:paraId="524F3D94" w14:textId="77777777" w:rsidR="006C5424" w:rsidRPr="00226892" w:rsidRDefault="006C5424" w:rsidP="006C5424">
            <w:pPr>
              <w:jc w:val="right"/>
              <w:rPr>
                <w:rFonts w:ascii="Arial" w:hAnsi="Arial" w:cs="Arial"/>
                <w:color w:val="000000"/>
                <w:sz w:val="18"/>
                <w:szCs w:val="18"/>
              </w:rPr>
            </w:pPr>
          </w:p>
        </w:tc>
        <w:tc>
          <w:tcPr>
            <w:tcW w:w="1588" w:type="dxa"/>
            <w:tcBorders>
              <w:top w:val="nil"/>
              <w:left w:val="nil"/>
              <w:bottom w:val="nil"/>
              <w:right w:val="nil"/>
            </w:tcBorders>
            <w:shd w:val="clear" w:color="auto" w:fill="auto"/>
            <w:vAlign w:val="bottom"/>
          </w:tcPr>
          <w:p w14:paraId="453EB7EF" w14:textId="7A3ACA85" w:rsidR="006C5424" w:rsidRPr="00226892" w:rsidRDefault="006C5424" w:rsidP="006C5424">
            <w:pPr>
              <w:jc w:val="right"/>
              <w:rPr>
                <w:rFonts w:ascii="Arial" w:hAnsi="Arial" w:cs="Arial"/>
                <w:color w:val="000000"/>
                <w:sz w:val="18"/>
                <w:szCs w:val="18"/>
              </w:rPr>
            </w:pPr>
            <w:r w:rsidRPr="00226892">
              <w:rPr>
                <w:rFonts w:ascii="Arial" w:hAnsi="Arial" w:cs="Arial"/>
                <w:color w:val="000000"/>
                <w:sz w:val="18"/>
                <w:szCs w:val="18"/>
                <w:lang w:val="en-US"/>
              </w:rPr>
              <w:t>-</w:t>
            </w:r>
            <w:r w:rsidR="008D1C4A" w:rsidRPr="00226892">
              <w:rPr>
                <w:rFonts w:ascii="Arial" w:hAnsi="Arial" w:cs="Arial"/>
                <w:color w:val="000000"/>
                <w:sz w:val="18"/>
                <w:szCs w:val="18"/>
                <w:lang w:val="en-US"/>
              </w:rPr>
              <w:t>5 807</w:t>
            </w:r>
          </w:p>
        </w:tc>
      </w:tr>
      <w:tr w:rsidR="006C5424" w:rsidRPr="00226892" w14:paraId="54374523" w14:textId="77777777" w:rsidTr="008147CB">
        <w:trPr>
          <w:trHeight w:val="227"/>
        </w:trPr>
        <w:tc>
          <w:tcPr>
            <w:tcW w:w="5292" w:type="dxa"/>
            <w:tcBorders>
              <w:top w:val="nil"/>
              <w:left w:val="nil"/>
              <w:bottom w:val="nil"/>
              <w:right w:val="nil"/>
            </w:tcBorders>
            <w:shd w:val="clear" w:color="auto" w:fill="auto"/>
            <w:vAlign w:val="bottom"/>
          </w:tcPr>
          <w:p w14:paraId="6B3D4759" w14:textId="49E99096" w:rsidR="006C5424" w:rsidRPr="00226892" w:rsidRDefault="006C5424" w:rsidP="006C5424">
            <w:pPr>
              <w:rPr>
                <w:rFonts w:ascii="Arial" w:hAnsi="Arial" w:cs="Arial"/>
                <w:color w:val="000000"/>
                <w:sz w:val="18"/>
                <w:szCs w:val="18"/>
                <w:lang w:val="sk-SK"/>
              </w:rPr>
            </w:pPr>
            <w:proofErr w:type="spellStart"/>
            <w:r w:rsidRPr="00226892">
              <w:rPr>
                <w:rFonts w:ascii="Arial" w:hAnsi="Arial" w:cs="Arial"/>
                <w:color w:val="000000"/>
                <w:sz w:val="18"/>
                <w:szCs w:val="18"/>
              </w:rPr>
              <w:t>Pr</w:t>
            </w:r>
            <w:r w:rsidRPr="00226892">
              <w:rPr>
                <w:rFonts w:ascii="Arial" w:hAnsi="Arial" w:cs="Arial"/>
                <w:color w:val="000000"/>
                <w:sz w:val="18"/>
                <w:szCs w:val="18"/>
                <w:lang w:val="sk-SK"/>
              </w:rPr>
              <w:t>íjmy</w:t>
            </w:r>
            <w:proofErr w:type="spellEnd"/>
            <w:r w:rsidRPr="00226892">
              <w:rPr>
                <w:rFonts w:ascii="Arial" w:hAnsi="Arial" w:cs="Arial"/>
                <w:color w:val="000000"/>
                <w:sz w:val="18"/>
                <w:szCs w:val="18"/>
                <w:lang w:val="sk-SK"/>
              </w:rPr>
              <w:t xml:space="preserve"> z predaja dlhodobého hmotného a nehmotného majetku</w:t>
            </w:r>
          </w:p>
        </w:tc>
        <w:tc>
          <w:tcPr>
            <w:tcW w:w="685" w:type="dxa"/>
            <w:tcBorders>
              <w:top w:val="nil"/>
              <w:left w:val="nil"/>
              <w:bottom w:val="nil"/>
              <w:right w:val="nil"/>
            </w:tcBorders>
            <w:shd w:val="clear" w:color="auto" w:fill="auto"/>
            <w:vAlign w:val="bottom"/>
          </w:tcPr>
          <w:p w14:paraId="28E70D88" w14:textId="77777777" w:rsidR="006C5424" w:rsidRPr="00226892" w:rsidRDefault="006C5424" w:rsidP="008147CB">
            <w:pPr>
              <w:jc w:val="center"/>
              <w:rPr>
                <w:rFonts w:ascii="Arial" w:hAnsi="Arial" w:cs="Arial"/>
                <w:sz w:val="18"/>
                <w:szCs w:val="18"/>
                <w:lang w:val="en-US"/>
              </w:rPr>
            </w:pPr>
          </w:p>
        </w:tc>
        <w:tc>
          <w:tcPr>
            <w:tcW w:w="239" w:type="dxa"/>
            <w:tcBorders>
              <w:top w:val="nil"/>
              <w:left w:val="nil"/>
              <w:bottom w:val="nil"/>
              <w:right w:val="nil"/>
            </w:tcBorders>
          </w:tcPr>
          <w:p w14:paraId="14B0D509" w14:textId="77777777" w:rsidR="006C5424" w:rsidRPr="00226892" w:rsidRDefault="006C5424" w:rsidP="006C5424">
            <w:pPr>
              <w:jc w:val="right"/>
              <w:rPr>
                <w:rFonts w:ascii="Arial" w:hAnsi="Arial" w:cs="Arial"/>
                <w:color w:val="000000"/>
                <w:sz w:val="18"/>
                <w:szCs w:val="18"/>
              </w:rPr>
            </w:pPr>
          </w:p>
        </w:tc>
        <w:tc>
          <w:tcPr>
            <w:tcW w:w="1593" w:type="dxa"/>
            <w:tcBorders>
              <w:top w:val="nil"/>
              <w:left w:val="nil"/>
              <w:bottom w:val="nil"/>
              <w:right w:val="nil"/>
            </w:tcBorders>
            <w:shd w:val="clear" w:color="auto" w:fill="auto"/>
            <w:vAlign w:val="bottom"/>
          </w:tcPr>
          <w:p w14:paraId="42FED8F9" w14:textId="66ED1CAF" w:rsidR="006C5424" w:rsidRPr="00226892" w:rsidRDefault="0021511B" w:rsidP="006C5424">
            <w:pPr>
              <w:jc w:val="right"/>
              <w:rPr>
                <w:rFonts w:ascii="Arial" w:hAnsi="Arial" w:cs="Arial"/>
                <w:color w:val="000000"/>
                <w:sz w:val="18"/>
                <w:szCs w:val="18"/>
              </w:rPr>
            </w:pPr>
            <w:r w:rsidRPr="00226892">
              <w:rPr>
                <w:rFonts w:ascii="Arial" w:hAnsi="Arial" w:cs="Arial"/>
                <w:color w:val="000000"/>
                <w:sz w:val="18"/>
                <w:szCs w:val="18"/>
              </w:rPr>
              <w:t>1</w:t>
            </w:r>
            <w:r w:rsidR="00C6116F" w:rsidRPr="00226892">
              <w:rPr>
                <w:rFonts w:ascii="Arial" w:hAnsi="Arial" w:cs="Arial"/>
                <w:color w:val="000000"/>
                <w:sz w:val="18"/>
                <w:szCs w:val="18"/>
              </w:rPr>
              <w:t>24</w:t>
            </w:r>
          </w:p>
        </w:tc>
        <w:tc>
          <w:tcPr>
            <w:tcW w:w="242" w:type="dxa"/>
            <w:tcBorders>
              <w:top w:val="nil"/>
              <w:left w:val="nil"/>
              <w:bottom w:val="nil"/>
            </w:tcBorders>
          </w:tcPr>
          <w:p w14:paraId="4CB48127" w14:textId="77777777" w:rsidR="006C5424" w:rsidRPr="00226892" w:rsidRDefault="006C5424" w:rsidP="006C5424">
            <w:pPr>
              <w:jc w:val="right"/>
              <w:rPr>
                <w:rFonts w:ascii="Arial" w:hAnsi="Arial" w:cs="Arial"/>
                <w:color w:val="000000"/>
                <w:sz w:val="18"/>
                <w:szCs w:val="18"/>
              </w:rPr>
            </w:pPr>
          </w:p>
        </w:tc>
        <w:tc>
          <w:tcPr>
            <w:tcW w:w="1588" w:type="dxa"/>
            <w:tcBorders>
              <w:top w:val="nil"/>
              <w:left w:val="nil"/>
              <w:bottom w:val="nil"/>
              <w:right w:val="nil"/>
            </w:tcBorders>
            <w:shd w:val="clear" w:color="auto" w:fill="auto"/>
            <w:vAlign w:val="bottom"/>
          </w:tcPr>
          <w:p w14:paraId="45D695A2" w14:textId="0836950E" w:rsidR="006C5424" w:rsidRPr="00226892" w:rsidRDefault="008D1C4A" w:rsidP="006C5424">
            <w:pPr>
              <w:jc w:val="right"/>
              <w:rPr>
                <w:rFonts w:ascii="Arial" w:hAnsi="Arial" w:cs="Arial"/>
                <w:color w:val="000000"/>
                <w:sz w:val="18"/>
                <w:szCs w:val="18"/>
              </w:rPr>
            </w:pPr>
            <w:r w:rsidRPr="00226892">
              <w:rPr>
                <w:rFonts w:ascii="Arial" w:hAnsi="Arial" w:cs="Arial"/>
                <w:color w:val="000000"/>
                <w:sz w:val="18"/>
                <w:szCs w:val="18"/>
              </w:rPr>
              <w:t>100</w:t>
            </w:r>
          </w:p>
        </w:tc>
      </w:tr>
      <w:tr w:rsidR="00364A0E" w:rsidRPr="00226892" w14:paraId="13CECB74" w14:textId="77777777" w:rsidTr="008147CB">
        <w:trPr>
          <w:trHeight w:val="227"/>
        </w:trPr>
        <w:tc>
          <w:tcPr>
            <w:tcW w:w="5292" w:type="dxa"/>
            <w:tcBorders>
              <w:top w:val="nil"/>
              <w:left w:val="nil"/>
              <w:bottom w:val="nil"/>
              <w:right w:val="nil"/>
            </w:tcBorders>
            <w:shd w:val="clear" w:color="auto" w:fill="auto"/>
            <w:vAlign w:val="bottom"/>
            <w:hideMark/>
          </w:tcPr>
          <w:p w14:paraId="1831CA27" w14:textId="0F820B99" w:rsidR="00364A0E" w:rsidRPr="00226892" w:rsidRDefault="00364A0E" w:rsidP="00364A0E">
            <w:pPr>
              <w:rPr>
                <w:rFonts w:ascii="Arial" w:hAnsi="Arial" w:cs="Arial"/>
                <w:color w:val="000000"/>
                <w:sz w:val="18"/>
                <w:szCs w:val="18"/>
              </w:rPr>
            </w:pPr>
            <w:proofErr w:type="spellStart"/>
            <w:r w:rsidRPr="00226892">
              <w:rPr>
                <w:rFonts w:ascii="Arial" w:hAnsi="Arial" w:cs="Arial"/>
                <w:color w:val="000000"/>
                <w:sz w:val="18"/>
                <w:szCs w:val="18"/>
              </w:rPr>
              <w:t>Príjmy</w:t>
            </w:r>
            <w:proofErr w:type="spellEnd"/>
            <w:r w:rsidRPr="00226892">
              <w:rPr>
                <w:rFonts w:ascii="Arial" w:hAnsi="Arial" w:cs="Arial"/>
                <w:color w:val="000000"/>
                <w:sz w:val="18"/>
                <w:szCs w:val="18"/>
              </w:rPr>
              <w:t xml:space="preserve"> zo </w:t>
            </w:r>
            <w:proofErr w:type="spellStart"/>
            <w:r w:rsidRPr="00226892">
              <w:rPr>
                <w:rFonts w:ascii="Arial" w:hAnsi="Arial" w:cs="Arial"/>
                <w:color w:val="000000"/>
                <w:sz w:val="18"/>
                <w:szCs w:val="18"/>
              </w:rPr>
              <w:t>splátok</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istiny</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poskytnutých</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pôžičiek</w:t>
            </w:r>
            <w:proofErr w:type="spellEnd"/>
          </w:p>
        </w:tc>
        <w:tc>
          <w:tcPr>
            <w:tcW w:w="685" w:type="dxa"/>
            <w:tcBorders>
              <w:top w:val="nil"/>
              <w:left w:val="nil"/>
              <w:bottom w:val="nil"/>
              <w:right w:val="nil"/>
            </w:tcBorders>
            <w:shd w:val="clear" w:color="auto" w:fill="auto"/>
            <w:vAlign w:val="bottom"/>
            <w:hideMark/>
          </w:tcPr>
          <w:p w14:paraId="4924EEB1" w14:textId="1E2B5C35" w:rsidR="00364A0E" w:rsidRPr="00226892" w:rsidRDefault="00364A0E" w:rsidP="008147CB">
            <w:pPr>
              <w:jc w:val="center"/>
              <w:rPr>
                <w:rFonts w:ascii="Arial" w:hAnsi="Arial" w:cs="Arial"/>
                <w:sz w:val="18"/>
                <w:szCs w:val="18"/>
              </w:rPr>
            </w:pPr>
            <w:r w:rsidRPr="00226892">
              <w:rPr>
                <w:rFonts w:ascii="Arial" w:hAnsi="Arial" w:cs="Arial"/>
                <w:sz w:val="18"/>
                <w:szCs w:val="18"/>
              </w:rPr>
              <w:t>3</w:t>
            </w:r>
            <w:r w:rsidR="00417748" w:rsidRPr="00226892">
              <w:rPr>
                <w:rFonts w:ascii="Arial" w:hAnsi="Arial" w:cs="Arial"/>
                <w:sz w:val="18"/>
                <w:szCs w:val="18"/>
              </w:rPr>
              <w:t>1</w:t>
            </w:r>
          </w:p>
        </w:tc>
        <w:tc>
          <w:tcPr>
            <w:tcW w:w="239" w:type="dxa"/>
            <w:tcBorders>
              <w:top w:val="nil"/>
              <w:left w:val="nil"/>
              <w:bottom w:val="nil"/>
              <w:right w:val="nil"/>
            </w:tcBorders>
          </w:tcPr>
          <w:p w14:paraId="28E5E2CE" w14:textId="77777777" w:rsidR="00364A0E" w:rsidRPr="00226892" w:rsidRDefault="00364A0E" w:rsidP="00364A0E">
            <w:pPr>
              <w:jc w:val="right"/>
              <w:rPr>
                <w:rFonts w:ascii="Arial" w:hAnsi="Arial" w:cs="Arial"/>
                <w:color w:val="000000"/>
                <w:sz w:val="18"/>
                <w:szCs w:val="18"/>
              </w:rPr>
            </w:pPr>
          </w:p>
        </w:tc>
        <w:tc>
          <w:tcPr>
            <w:tcW w:w="1593" w:type="dxa"/>
            <w:tcBorders>
              <w:top w:val="nil"/>
              <w:left w:val="nil"/>
              <w:bottom w:val="nil"/>
              <w:right w:val="nil"/>
            </w:tcBorders>
            <w:shd w:val="clear" w:color="auto" w:fill="auto"/>
            <w:vAlign w:val="bottom"/>
          </w:tcPr>
          <w:p w14:paraId="163ABEE6" w14:textId="2E8C7556" w:rsidR="00364A0E" w:rsidRPr="00226892" w:rsidRDefault="00C6116F" w:rsidP="00364A0E">
            <w:pPr>
              <w:jc w:val="right"/>
              <w:rPr>
                <w:rFonts w:ascii="Arial" w:hAnsi="Arial" w:cs="Arial"/>
                <w:color w:val="000000"/>
                <w:sz w:val="18"/>
                <w:szCs w:val="18"/>
              </w:rPr>
            </w:pPr>
            <w:r w:rsidRPr="00226892">
              <w:rPr>
                <w:rFonts w:ascii="Arial" w:hAnsi="Arial" w:cs="Arial"/>
                <w:color w:val="000000"/>
                <w:sz w:val="18"/>
                <w:szCs w:val="18"/>
              </w:rPr>
              <w:t>-</w:t>
            </w:r>
          </w:p>
        </w:tc>
        <w:tc>
          <w:tcPr>
            <w:tcW w:w="242" w:type="dxa"/>
            <w:tcBorders>
              <w:top w:val="nil"/>
              <w:left w:val="nil"/>
              <w:bottom w:val="nil"/>
            </w:tcBorders>
          </w:tcPr>
          <w:p w14:paraId="66BA2AA9" w14:textId="77777777" w:rsidR="00364A0E" w:rsidRPr="00226892" w:rsidRDefault="00364A0E" w:rsidP="00364A0E">
            <w:pPr>
              <w:jc w:val="right"/>
              <w:rPr>
                <w:rFonts w:ascii="Arial" w:hAnsi="Arial" w:cs="Arial"/>
                <w:color w:val="000000"/>
                <w:sz w:val="18"/>
                <w:szCs w:val="18"/>
              </w:rPr>
            </w:pPr>
          </w:p>
        </w:tc>
        <w:tc>
          <w:tcPr>
            <w:tcW w:w="1588" w:type="dxa"/>
            <w:tcBorders>
              <w:top w:val="nil"/>
              <w:left w:val="nil"/>
              <w:bottom w:val="nil"/>
              <w:right w:val="nil"/>
            </w:tcBorders>
            <w:shd w:val="clear" w:color="auto" w:fill="auto"/>
            <w:vAlign w:val="bottom"/>
          </w:tcPr>
          <w:p w14:paraId="0F037C93" w14:textId="77777777" w:rsidR="00364A0E" w:rsidRPr="00226892" w:rsidRDefault="00364A0E" w:rsidP="00364A0E">
            <w:pPr>
              <w:jc w:val="right"/>
              <w:rPr>
                <w:rFonts w:ascii="Arial" w:hAnsi="Arial" w:cs="Arial"/>
                <w:color w:val="000000"/>
                <w:sz w:val="18"/>
                <w:szCs w:val="18"/>
              </w:rPr>
            </w:pPr>
            <w:r w:rsidRPr="00226892">
              <w:rPr>
                <w:rFonts w:ascii="Arial" w:hAnsi="Arial" w:cs="Arial"/>
                <w:color w:val="000000"/>
                <w:sz w:val="18"/>
                <w:szCs w:val="18"/>
              </w:rPr>
              <w:t>450</w:t>
            </w:r>
          </w:p>
        </w:tc>
      </w:tr>
      <w:tr w:rsidR="00364A0E" w:rsidRPr="00226892" w14:paraId="18B9D0FE" w14:textId="77777777" w:rsidTr="008147CB">
        <w:trPr>
          <w:trHeight w:val="227"/>
        </w:trPr>
        <w:tc>
          <w:tcPr>
            <w:tcW w:w="5292" w:type="dxa"/>
            <w:tcBorders>
              <w:top w:val="nil"/>
              <w:left w:val="nil"/>
              <w:bottom w:val="nil"/>
              <w:right w:val="nil"/>
            </w:tcBorders>
            <w:shd w:val="clear" w:color="auto" w:fill="auto"/>
            <w:vAlign w:val="bottom"/>
            <w:hideMark/>
          </w:tcPr>
          <w:p w14:paraId="5B85FE30" w14:textId="1449A8CD" w:rsidR="00364A0E" w:rsidRPr="00226892" w:rsidRDefault="00364A0E" w:rsidP="00364A0E">
            <w:pPr>
              <w:rPr>
                <w:rFonts w:ascii="Arial" w:hAnsi="Arial" w:cs="Arial"/>
                <w:color w:val="000000"/>
                <w:sz w:val="18"/>
                <w:szCs w:val="18"/>
              </w:rPr>
            </w:pPr>
            <w:proofErr w:type="spellStart"/>
            <w:r w:rsidRPr="00226892">
              <w:rPr>
                <w:rFonts w:ascii="Arial" w:hAnsi="Arial" w:cs="Arial"/>
                <w:color w:val="000000"/>
                <w:sz w:val="18"/>
                <w:szCs w:val="18"/>
              </w:rPr>
              <w:t>Poskytnuté</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pôžičky</w:t>
            </w:r>
            <w:proofErr w:type="spellEnd"/>
          </w:p>
        </w:tc>
        <w:tc>
          <w:tcPr>
            <w:tcW w:w="685" w:type="dxa"/>
            <w:tcBorders>
              <w:top w:val="nil"/>
              <w:left w:val="nil"/>
              <w:bottom w:val="nil"/>
              <w:right w:val="nil"/>
            </w:tcBorders>
            <w:shd w:val="clear" w:color="auto" w:fill="auto"/>
            <w:vAlign w:val="bottom"/>
            <w:hideMark/>
          </w:tcPr>
          <w:p w14:paraId="3E756B80" w14:textId="77777777" w:rsidR="00364A0E" w:rsidRPr="00226892" w:rsidRDefault="00364A0E" w:rsidP="008147CB">
            <w:pPr>
              <w:jc w:val="center"/>
              <w:rPr>
                <w:rFonts w:ascii="Arial" w:hAnsi="Arial" w:cs="Arial"/>
                <w:sz w:val="18"/>
                <w:szCs w:val="18"/>
              </w:rPr>
            </w:pPr>
          </w:p>
        </w:tc>
        <w:tc>
          <w:tcPr>
            <w:tcW w:w="239" w:type="dxa"/>
            <w:tcBorders>
              <w:top w:val="nil"/>
              <w:left w:val="nil"/>
              <w:bottom w:val="nil"/>
              <w:right w:val="nil"/>
            </w:tcBorders>
          </w:tcPr>
          <w:p w14:paraId="39A9F534" w14:textId="77777777" w:rsidR="00364A0E" w:rsidRPr="00226892" w:rsidRDefault="00364A0E" w:rsidP="00364A0E">
            <w:pPr>
              <w:jc w:val="right"/>
              <w:rPr>
                <w:rFonts w:ascii="Arial" w:hAnsi="Arial" w:cs="Arial"/>
                <w:color w:val="000000"/>
                <w:sz w:val="18"/>
                <w:szCs w:val="18"/>
              </w:rPr>
            </w:pPr>
          </w:p>
        </w:tc>
        <w:tc>
          <w:tcPr>
            <w:tcW w:w="1593" w:type="dxa"/>
            <w:tcBorders>
              <w:top w:val="nil"/>
              <w:left w:val="nil"/>
              <w:bottom w:val="nil"/>
              <w:right w:val="nil"/>
            </w:tcBorders>
            <w:shd w:val="clear" w:color="auto" w:fill="auto"/>
            <w:vAlign w:val="bottom"/>
          </w:tcPr>
          <w:p w14:paraId="48308E5A" w14:textId="0EFF2092" w:rsidR="00364A0E" w:rsidRPr="00226892" w:rsidRDefault="00364A0E" w:rsidP="00364A0E">
            <w:pPr>
              <w:jc w:val="right"/>
              <w:rPr>
                <w:rFonts w:ascii="Arial" w:hAnsi="Arial" w:cs="Arial"/>
                <w:color w:val="000000"/>
                <w:sz w:val="18"/>
                <w:szCs w:val="18"/>
              </w:rPr>
            </w:pPr>
            <w:r w:rsidRPr="00226892">
              <w:rPr>
                <w:rFonts w:ascii="Arial" w:hAnsi="Arial" w:cs="Arial"/>
                <w:color w:val="000000"/>
                <w:sz w:val="18"/>
                <w:szCs w:val="18"/>
              </w:rPr>
              <w:t>-</w:t>
            </w:r>
            <w:r w:rsidR="00C6116F" w:rsidRPr="00226892">
              <w:rPr>
                <w:rFonts w:ascii="Arial" w:hAnsi="Arial" w:cs="Arial"/>
                <w:color w:val="000000"/>
                <w:sz w:val="18"/>
                <w:szCs w:val="18"/>
              </w:rPr>
              <w:t>100</w:t>
            </w:r>
          </w:p>
        </w:tc>
        <w:tc>
          <w:tcPr>
            <w:tcW w:w="242" w:type="dxa"/>
            <w:tcBorders>
              <w:top w:val="nil"/>
              <w:left w:val="nil"/>
              <w:bottom w:val="nil"/>
            </w:tcBorders>
          </w:tcPr>
          <w:p w14:paraId="09D1F0F5" w14:textId="77777777" w:rsidR="00364A0E" w:rsidRPr="00226892" w:rsidRDefault="00364A0E" w:rsidP="00364A0E">
            <w:pPr>
              <w:jc w:val="right"/>
              <w:rPr>
                <w:rFonts w:ascii="Arial" w:hAnsi="Arial" w:cs="Arial"/>
                <w:color w:val="000000"/>
                <w:sz w:val="18"/>
                <w:szCs w:val="18"/>
              </w:rPr>
            </w:pPr>
          </w:p>
        </w:tc>
        <w:tc>
          <w:tcPr>
            <w:tcW w:w="1588" w:type="dxa"/>
            <w:tcBorders>
              <w:top w:val="nil"/>
              <w:left w:val="nil"/>
              <w:bottom w:val="nil"/>
              <w:right w:val="nil"/>
            </w:tcBorders>
            <w:shd w:val="clear" w:color="auto" w:fill="auto"/>
            <w:vAlign w:val="bottom"/>
          </w:tcPr>
          <w:p w14:paraId="5615ADCF" w14:textId="14C12B6A" w:rsidR="00364A0E" w:rsidRPr="00226892" w:rsidRDefault="00364A0E" w:rsidP="00364A0E">
            <w:pPr>
              <w:jc w:val="right"/>
              <w:rPr>
                <w:rFonts w:ascii="Arial" w:hAnsi="Arial" w:cs="Arial"/>
                <w:color w:val="000000"/>
                <w:sz w:val="18"/>
                <w:szCs w:val="18"/>
              </w:rPr>
            </w:pPr>
            <w:r w:rsidRPr="00226892">
              <w:rPr>
                <w:rFonts w:ascii="Arial" w:hAnsi="Arial" w:cs="Arial"/>
                <w:color w:val="000000"/>
                <w:sz w:val="18"/>
                <w:szCs w:val="18"/>
              </w:rPr>
              <w:t>-</w:t>
            </w:r>
          </w:p>
        </w:tc>
      </w:tr>
      <w:tr w:rsidR="00364A0E" w:rsidRPr="00226892" w14:paraId="735B4BC4" w14:textId="77777777" w:rsidTr="008147CB">
        <w:trPr>
          <w:trHeight w:val="227"/>
        </w:trPr>
        <w:tc>
          <w:tcPr>
            <w:tcW w:w="5292" w:type="dxa"/>
            <w:tcBorders>
              <w:top w:val="nil"/>
              <w:left w:val="nil"/>
              <w:bottom w:val="nil"/>
              <w:right w:val="nil"/>
            </w:tcBorders>
            <w:shd w:val="clear" w:color="auto" w:fill="auto"/>
            <w:vAlign w:val="bottom"/>
          </w:tcPr>
          <w:p w14:paraId="2B935E3E" w14:textId="7CF8F450" w:rsidR="00364A0E" w:rsidRPr="00226892" w:rsidRDefault="00364A0E" w:rsidP="00364A0E">
            <w:pPr>
              <w:rPr>
                <w:rFonts w:ascii="Arial" w:hAnsi="Arial" w:cs="Arial"/>
                <w:color w:val="000000"/>
                <w:sz w:val="18"/>
                <w:szCs w:val="18"/>
              </w:rPr>
            </w:pPr>
            <w:proofErr w:type="spellStart"/>
            <w:r w:rsidRPr="00226892">
              <w:rPr>
                <w:rFonts w:ascii="Arial" w:hAnsi="Arial" w:cs="Arial"/>
                <w:color w:val="000000"/>
                <w:sz w:val="18"/>
                <w:szCs w:val="18"/>
              </w:rPr>
              <w:t>Príjmy</w:t>
            </w:r>
            <w:proofErr w:type="spellEnd"/>
            <w:r w:rsidRPr="00226892">
              <w:rPr>
                <w:rFonts w:ascii="Arial" w:hAnsi="Arial" w:cs="Arial"/>
                <w:color w:val="000000"/>
                <w:sz w:val="18"/>
                <w:szCs w:val="18"/>
              </w:rPr>
              <w:t xml:space="preserve"> z </w:t>
            </w:r>
            <w:proofErr w:type="spellStart"/>
            <w:r w:rsidRPr="00226892">
              <w:rPr>
                <w:rFonts w:ascii="Arial" w:hAnsi="Arial" w:cs="Arial"/>
                <w:color w:val="000000"/>
                <w:sz w:val="18"/>
                <w:szCs w:val="18"/>
              </w:rPr>
              <w:t>predaja</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pridružených</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spoločností</w:t>
            </w:r>
            <w:proofErr w:type="spellEnd"/>
          </w:p>
        </w:tc>
        <w:tc>
          <w:tcPr>
            <w:tcW w:w="685" w:type="dxa"/>
            <w:tcBorders>
              <w:top w:val="nil"/>
              <w:left w:val="nil"/>
              <w:bottom w:val="nil"/>
              <w:right w:val="nil"/>
            </w:tcBorders>
            <w:shd w:val="clear" w:color="auto" w:fill="auto"/>
            <w:vAlign w:val="bottom"/>
          </w:tcPr>
          <w:p w14:paraId="4F932C51" w14:textId="77777777" w:rsidR="00364A0E" w:rsidRPr="00226892" w:rsidRDefault="00364A0E" w:rsidP="008147CB">
            <w:pPr>
              <w:jc w:val="center"/>
              <w:rPr>
                <w:rFonts w:ascii="Arial" w:hAnsi="Arial" w:cs="Arial"/>
                <w:sz w:val="18"/>
                <w:szCs w:val="18"/>
              </w:rPr>
            </w:pPr>
          </w:p>
        </w:tc>
        <w:tc>
          <w:tcPr>
            <w:tcW w:w="239" w:type="dxa"/>
            <w:tcBorders>
              <w:top w:val="nil"/>
              <w:left w:val="nil"/>
              <w:bottom w:val="nil"/>
              <w:right w:val="nil"/>
            </w:tcBorders>
          </w:tcPr>
          <w:p w14:paraId="5C17F751" w14:textId="77777777" w:rsidR="00364A0E" w:rsidRPr="00226892" w:rsidRDefault="00364A0E" w:rsidP="00364A0E">
            <w:pPr>
              <w:jc w:val="right"/>
              <w:rPr>
                <w:rFonts w:ascii="Arial" w:hAnsi="Arial" w:cs="Arial"/>
                <w:color w:val="000000"/>
                <w:sz w:val="18"/>
                <w:szCs w:val="18"/>
              </w:rPr>
            </w:pPr>
          </w:p>
        </w:tc>
        <w:tc>
          <w:tcPr>
            <w:tcW w:w="1593" w:type="dxa"/>
            <w:tcBorders>
              <w:top w:val="nil"/>
              <w:left w:val="nil"/>
              <w:bottom w:val="nil"/>
              <w:right w:val="nil"/>
            </w:tcBorders>
            <w:shd w:val="clear" w:color="auto" w:fill="auto"/>
            <w:vAlign w:val="bottom"/>
          </w:tcPr>
          <w:p w14:paraId="1E77BABD" w14:textId="51AB45C4" w:rsidR="00364A0E" w:rsidRPr="00226892" w:rsidRDefault="00364A0E" w:rsidP="00364A0E">
            <w:pPr>
              <w:jc w:val="right"/>
              <w:rPr>
                <w:rFonts w:ascii="Arial" w:hAnsi="Arial" w:cs="Arial"/>
                <w:color w:val="000000"/>
                <w:sz w:val="18"/>
                <w:szCs w:val="18"/>
              </w:rPr>
            </w:pPr>
            <w:r w:rsidRPr="00226892">
              <w:rPr>
                <w:rFonts w:ascii="Arial" w:hAnsi="Arial" w:cs="Arial"/>
                <w:color w:val="000000"/>
                <w:sz w:val="18"/>
                <w:szCs w:val="18"/>
              </w:rPr>
              <w:t>-</w:t>
            </w:r>
          </w:p>
        </w:tc>
        <w:tc>
          <w:tcPr>
            <w:tcW w:w="242" w:type="dxa"/>
            <w:tcBorders>
              <w:top w:val="nil"/>
              <w:left w:val="nil"/>
              <w:bottom w:val="nil"/>
            </w:tcBorders>
          </w:tcPr>
          <w:p w14:paraId="7243B61B" w14:textId="77777777" w:rsidR="00364A0E" w:rsidRPr="00226892" w:rsidRDefault="00364A0E" w:rsidP="00364A0E">
            <w:pPr>
              <w:jc w:val="right"/>
              <w:rPr>
                <w:rFonts w:ascii="Arial" w:hAnsi="Arial" w:cs="Arial"/>
                <w:color w:val="000000"/>
                <w:sz w:val="18"/>
                <w:szCs w:val="18"/>
              </w:rPr>
            </w:pPr>
          </w:p>
        </w:tc>
        <w:tc>
          <w:tcPr>
            <w:tcW w:w="1588" w:type="dxa"/>
            <w:tcBorders>
              <w:top w:val="nil"/>
              <w:left w:val="nil"/>
              <w:bottom w:val="nil"/>
              <w:right w:val="nil"/>
            </w:tcBorders>
            <w:shd w:val="clear" w:color="auto" w:fill="auto"/>
            <w:vAlign w:val="bottom"/>
          </w:tcPr>
          <w:p w14:paraId="2AAE14A8" w14:textId="32A05C40" w:rsidR="00364A0E" w:rsidRPr="00226892" w:rsidRDefault="00364A0E" w:rsidP="00364A0E">
            <w:pPr>
              <w:jc w:val="right"/>
              <w:rPr>
                <w:rFonts w:ascii="Arial" w:hAnsi="Arial" w:cs="Arial"/>
                <w:color w:val="000000"/>
                <w:sz w:val="18"/>
                <w:szCs w:val="18"/>
              </w:rPr>
            </w:pPr>
            <w:r w:rsidRPr="00226892">
              <w:rPr>
                <w:rFonts w:ascii="Arial" w:hAnsi="Arial" w:cs="Arial"/>
                <w:color w:val="000000"/>
                <w:sz w:val="18"/>
                <w:szCs w:val="18"/>
              </w:rPr>
              <w:t>2</w:t>
            </w:r>
          </w:p>
        </w:tc>
      </w:tr>
      <w:tr w:rsidR="00364A0E" w:rsidRPr="00226892" w14:paraId="7DAFFCB3" w14:textId="77777777" w:rsidTr="008147CB">
        <w:trPr>
          <w:trHeight w:val="227"/>
        </w:trPr>
        <w:tc>
          <w:tcPr>
            <w:tcW w:w="5292" w:type="dxa"/>
            <w:tcBorders>
              <w:top w:val="nil"/>
              <w:left w:val="nil"/>
              <w:bottom w:val="nil"/>
              <w:right w:val="nil"/>
            </w:tcBorders>
            <w:shd w:val="clear" w:color="auto" w:fill="auto"/>
            <w:vAlign w:val="bottom"/>
          </w:tcPr>
          <w:p w14:paraId="28A2AFC7" w14:textId="672561CC" w:rsidR="00364A0E" w:rsidRPr="00226892" w:rsidRDefault="00364A0E" w:rsidP="00364A0E">
            <w:pPr>
              <w:rPr>
                <w:rFonts w:ascii="Arial" w:hAnsi="Arial" w:cs="Arial"/>
                <w:color w:val="000000"/>
                <w:sz w:val="18"/>
                <w:szCs w:val="18"/>
              </w:rPr>
            </w:pPr>
            <w:proofErr w:type="spellStart"/>
            <w:r w:rsidRPr="00226892">
              <w:rPr>
                <w:rFonts w:ascii="Arial" w:hAnsi="Arial" w:cs="Arial"/>
                <w:color w:val="000000"/>
                <w:sz w:val="18"/>
                <w:szCs w:val="18"/>
              </w:rPr>
              <w:t>Nákup</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ostatných</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investícií</w:t>
            </w:r>
            <w:proofErr w:type="spellEnd"/>
          </w:p>
        </w:tc>
        <w:tc>
          <w:tcPr>
            <w:tcW w:w="685" w:type="dxa"/>
            <w:tcBorders>
              <w:top w:val="nil"/>
              <w:left w:val="nil"/>
              <w:bottom w:val="nil"/>
              <w:right w:val="nil"/>
            </w:tcBorders>
            <w:shd w:val="clear" w:color="auto" w:fill="auto"/>
            <w:vAlign w:val="bottom"/>
          </w:tcPr>
          <w:p w14:paraId="043E3552" w14:textId="77777777" w:rsidR="00364A0E" w:rsidRPr="00226892" w:rsidRDefault="00364A0E" w:rsidP="008147CB">
            <w:pPr>
              <w:jc w:val="center"/>
              <w:rPr>
                <w:rFonts w:ascii="Arial" w:hAnsi="Arial" w:cs="Arial"/>
                <w:sz w:val="18"/>
                <w:szCs w:val="18"/>
              </w:rPr>
            </w:pPr>
          </w:p>
        </w:tc>
        <w:tc>
          <w:tcPr>
            <w:tcW w:w="239" w:type="dxa"/>
            <w:tcBorders>
              <w:top w:val="nil"/>
              <w:left w:val="nil"/>
              <w:bottom w:val="nil"/>
              <w:right w:val="nil"/>
            </w:tcBorders>
          </w:tcPr>
          <w:p w14:paraId="48192771" w14:textId="77777777" w:rsidR="00364A0E" w:rsidRPr="00226892" w:rsidRDefault="00364A0E" w:rsidP="00364A0E">
            <w:pPr>
              <w:jc w:val="right"/>
              <w:rPr>
                <w:rFonts w:ascii="Arial" w:hAnsi="Arial" w:cs="Arial"/>
                <w:color w:val="000000"/>
                <w:sz w:val="18"/>
                <w:szCs w:val="18"/>
              </w:rPr>
            </w:pPr>
          </w:p>
        </w:tc>
        <w:tc>
          <w:tcPr>
            <w:tcW w:w="1593" w:type="dxa"/>
            <w:tcBorders>
              <w:top w:val="nil"/>
              <w:left w:val="nil"/>
              <w:bottom w:val="nil"/>
              <w:right w:val="nil"/>
            </w:tcBorders>
            <w:shd w:val="clear" w:color="auto" w:fill="auto"/>
            <w:vAlign w:val="bottom"/>
          </w:tcPr>
          <w:p w14:paraId="61903DF7" w14:textId="4CFFDA3E" w:rsidR="00364A0E" w:rsidRPr="00226892" w:rsidRDefault="00364A0E" w:rsidP="00364A0E">
            <w:pPr>
              <w:jc w:val="right"/>
              <w:rPr>
                <w:rFonts w:ascii="Arial" w:hAnsi="Arial" w:cs="Arial"/>
                <w:color w:val="000000"/>
                <w:sz w:val="18"/>
                <w:szCs w:val="18"/>
              </w:rPr>
            </w:pPr>
            <w:r w:rsidRPr="00226892">
              <w:rPr>
                <w:rFonts w:ascii="Arial" w:hAnsi="Arial" w:cs="Arial"/>
                <w:color w:val="000000"/>
                <w:sz w:val="18"/>
                <w:szCs w:val="18"/>
              </w:rPr>
              <w:t>-</w:t>
            </w:r>
          </w:p>
        </w:tc>
        <w:tc>
          <w:tcPr>
            <w:tcW w:w="242" w:type="dxa"/>
            <w:tcBorders>
              <w:top w:val="nil"/>
              <w:left w:val="nil"/>
              <w:bottom w:val="nil"/>
            </w:tcBorders>
          </w:tcPr>
          <w:p w14:paraId="0BCC43F6" w14:textId="77777777" w:rsidR="00364A0E" w:rsidRPr="00226892" w:rsidRDefault="00364A0E" w:rsidP="00364A0E">
            <w:pPr>
              <w:jc w:val="right"/>
              <w:rPr>
                <w:rFonts w:ascii="Arial" w:hAnsi="Arial" w:cs="Arial"/>
                <w:color w:val="000000"/>
                <w:sz w:val="18"/>
                <w:szCs w:val="18"/>
              </w:rPr>
            </w:pPr>
          </w:p>
        </w:tc>
        <w:tc>
          <w:tcPr>
            <w:tcW w:w="1588" w:type="dxa"/>
            <w:tcBorders>
              <w:top w:val="nil"/>
              <w:left w:val="nil"/>
              <w:bottom w:val="nil"/>
              <w:right w:val="nil"/>
            </w:tcBorders>
            <w:shd w:val="clear" w:color="auto" w:fill="auto"/>
            <w:vAlign w:val="bottom"/>
          </w:tcPr>
          <w:p w14:paraId="75A608E4" w14:textId="0E6451F2" w:rsidR="00364A0E" w:rsidRPr="00226892" w:rsidRDefault="00364A0E" w:rsidP="00364A0E">
            <w:pPr>
              <w:jc w:val="right"/>
              <w:rPr>
                <w:rFonts w:ascii="Arial" w:hAnsi="Arial" w:cs="Arial"/>
                <w:color w:val="000000"/>
                <w:sz w:val="18"/>
                <w:szCs w:val="18"/>
              </w:rPr>
            </w:pPr>
            <w:r w:rsidRPr="00226892">
              <w:rPr>
                <w:rFonts w:ascii="Arial" w:hAnsi="Arial" w:cs="Arial"/>
                <w:color w:val="000000"/>
                <w:sz w:val="18"/>
                <w:szCs w:val="18"/>
              </w:rPr>
              <w:t>-8</w:t>
            </w:r>
          </w:p>
        </w:tc>
      </w:tr>
      <w:tr w:rsidR="00364A0E" w:rsidRPr="00226892" w14:paraId="41AAC73D" w14:textId="77777777" w:rsidTr="008147CB">
        <w:trPr>
          <w:trHeight w:val="227"/>
        </w:trPr>
        <w:tc>
          <w:tcPr>
            <w:tcW w:w="5292" w:type="dxa"/>
            <w:tcBorders>
              <w:top w:val="nil"/>
              <w:left w:val="nil"/>
              <w:bottom w:val="nil"/>
              <w:right w:val="nil"/>
            </w:tcBorders>
            <w:shd w:val="clear" w:color="auto" w:fill="auto"/>
            <w:vAlign w:val="bottom"/>
            <w:hideMark/>
          </w:tcPr>
          <w:p w14:paraId="637E5231" w14:textId="77777777" w:rsidR="00364A0E" w:rsidRPr="00226892" w:rsidRDefault="00364A0E" w:rsidP="00364A0E">
            <w:pPr>
              <w:rPr>
                <w:rFonts w:ascii="Arial" w:hAnsi="Arial" w:cs="Arial"/>
                <w:color w:val="000000"/>
                <w:sz w:val="18"/>
                <w:szCs w:val="18"/>
              </w:rPr>
            </w:pPr>
          </w:p>
        </w:tc>
        <w:tc>
          <w:tcPr>
            <w:tcW w:w="685" w:type="dxa"/>
            <w:tcBorders>
              <w:top w:val="nil"/>
              <w:left w:val="nil"/>
              <w:bottom w:val="nil"/>
              <w:right w:val="nil"/>
            </w:tcBorders>
            <w:shd w:val="clear" w:color="auto" w:fill="auto"/>
            <w:vAlign w:val="bottom"/>
            <w:hideMark/>
          </w:tcPr>
          <w:p w14:paraId="002402B0" w14:textId="77777777" w:rsidR="00364A0E" w:rsidRPr="00226892" w:rsidRDefault="00364A0E" w:rsidP="008147CB">
            <w:pPr>
              <w:jc w:val="center"/>
              <w:rPr>
                <w:rFonts w:ascii="Arial" w:hAnsi="Arial" w:cs="Arial"/>
                <w:sz w:val="18"/>
                <w:szCs w:val="18"/>
              </w:rPr>
            </w:pPr>
          </w:p>
        </w:tc>
        <w:tc>
          <w:tcPr>
            <w:tcW w:w="239" w:type="dxa"/>
            <w:tcBorders>
              <w:top w:val="nil"/>
              <w:left w:val="nil"/>
              <w:bottom w:val="nil"/>
              <w:right w:val="nil"/>
            </w:tcBorders>
          </w:tcPr>
          <w:p w14:paraId="25BCF4B4" w14:textId="77777777" w:rsidR="00364A0E" w:rsidRPr="00226892" w:rsidRDefault="00364A0E" w:rsidP="00364A0E">
            <w:pPr>
              <w:jc w:val="right"/>
              <w:rPr>
                <w:rFonts w:ascii="Arial" w:hAnsi="Arial" w:cs="Arial"/>
                <w:sz w:val="18"/>
                <w:szCs w:val="18"/>
              </w:rPr>
            </w:pPr>
          </w:p>
        </w:tc>
        <w:tc>
          <w:tcPr>
            <w:tcW w:w="1593" w:type="dxa"/>
            <w:tcBorders>
              <w:top w:val="nil"/>
              <w:left w:val="nil"/>
              <w:bottom w:val="nil"/>
              <w:right w:val="nil"/>
            </w:tcBorders>
            <w:shd w:val="clear" w:color="auto" w:fill="auto"/>
            <w:vAlign w:val="bottom"/>
          </w:tcPr>
          <w:p w14:paraId="0087C819" w14:textId="080AE9EE" w:rsidR="00364A0E" w:rsidRPr="00226892" w:rsidRDefault="00364A0E" w:rsidP="00364A0E">
            <w:pPr>
              <w:jc w:val="right"/>
              <w:rPr>
                <w:rFonts w:ascii="Arial" w:hAnsi="Arial" w:cs="Arial"/>
                <w:sz w:val="18"/>
                <w:szCs w:val="18"/>
              </w:rPr>
            </w:pPr>
          </w:p>
        </w:tc>
        <w:tc>
          <w:tcPr>
            <w:tcW w:w="242" w:type="dxa"/>
            <w:tcBorders>
              <w:top w:val="nil"/>
              <w:left w:val="nil"/>
              <w:bottom w:val="nil"/>
            </w:tcBorders>
          </w:tcPr>
          <w:p w14:paraId="66A24CEA" w14:textId="77777777" w:rsidR="00364A0E" w:rsidRPr="00226892" w:rsidRDefault="00364A0E" w:rsidP="00364A0E">
            <w:pPr>
              <w:jc w:val="right"/>
              <w:rPr>
                <w:rFonts w:ascii="Arial" w:hAnsi="Arial" w:cs="Arial"/>
                <w:sz w:val="18"/>
                <w:szCs w:val="18"/>
              </w:rPr>
            </w:pPr>
          </w:p>
        </w:tc>
        <w:tc>
          <w:tcPr>
            <w:tcW w:w="1588" w:type="dxa"/>
            <w:tcBorders>
              <w:top w:val="nil"/>
              <w:left w:val="nil"/>
              <w:bottom w:val="nil"/>
              <w:right w:val="nil"/>
            </w:tcBorders>
            <w:shd w:val="clear" w:color="auto" w:fill="auto"/>
            <w:vAlign w:val="bottom"/>
          </w:tcPr>
          <w:p w14:paraId="7414165C" w14:textId="3657F016" w:rsidR="00364A0E" w:rsidRPr="00226892" w:rsidRDefault="00364A0E" w:rsidP="00364A0E">
            <w:pPr>
              <w:jc w:val="right"/>
              <w:rPr>
                <w:rFonts w:ascii="Arial" w:hAnsi="Arial" w:cs="Arial"/>
                <w:sz w:val="18"/>
                <w:szCs w:val="18"/>
              </w:rPr>
            </w:pPr>
          </w:p>
        </w:tc>
      </w:tr>
      <w:tr w:rsidR="00364A0E" w:rsidRPr="00226892" w14:paraId="50868D78" w14:textId="77777777" w:rsidTr="008147CB">
        <w:trPr>
          <w:trHeight w:val="227"/>
        </w:trPr>
        <w:tc>
          <w:tcPr>
            <w:tcW w:w="5292" w:type="dxa"/>
            <w:tcBorders>
              <w:top w:val="nil"/>
              <w:left w:val="nil"/>
              <w:bottom w:val="nil"/>
              <w:right w:val="nil"/>
            </w:tcBorders>
            <w:shd w:val="clear" w:color="auto" w:fill="auto"/>
            <w:vAlign w:val="bottom"/>
            <w:hideMark/>
          </w:tcPr>
          <w:p w14:paraId="4FAA391D" w14:textId="01EF400E" w:rsidR="00364A0E" w:rsidRPr="00226892" w:rsidRDefault="00364A0E" w:rsidP="00364A0E">
            <w:pPr>
              <w:rPr>
                <w:rFonts w:ascii="Arial" w:hAnsi="Arial" w:cs="Arial"/>
                <w:b/>
                <w:bCs/>
                <w:color w:val="000000"/>
                <w:sz w:val="18"/>
                <w:szCs w:val="18"/>
              </w:rPr>
            </w:pPr>
            <w:proofErr w:type="spellStart"/>
            <w:r w:rsidRPr="00226892">
              <w:rPr>
                <w:rFonts w:ascii="Arial" w:hAnsi="Arial" w:cs="Arial"/>
                <w:b/>
                <w:bCs/>
                <w:color w:val="000000"/>
                <w:sz w:val="18"/>
                <w:szCs w:val="18"/>
              </w:rPr>
              <w:t>Čisté</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peňažné</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toky</w:t>
            </w:r>
            <w:proofErr w:type="spellEnd"/>
            <w:r w:rsidRPr="00226892">
              <w:rPr>
                <w:rFonts w:ascii="Arial" w:hAnsi="Arial" w:cs="Arial"/>
                <w:b/>
                <w:bCs/>
                <w:color w:val="000000"/>
                <w:sz w:val="18"/>
                <w:szCs w:val="18"/>
              </w:rPr>
              <w:t xml:space="preserve"> z </w:t>
            </w:r>
            <w:proofErr w:type="spellStart"/>
            <w:r w:rsidRPr="00226892">
              <w:rPr>
                <w:rFonts w:ascii="Arial" w:hAnsi="Arial" w:cs="Arial"/>
                <w:b/>
                <w:bCs/>
                <w:color w:val="000000"/>
                <w:sz w:val="18"/>
                <w:szCs w:val="18"/>
              </w:rPr>
              <w:t>investičnej</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činnosti</w:t>
            </w:r>
            <w:proofErr w:type="spellEnd"/>
            <w:r w:rsidRPr="00226892">
              <w:rPr>
                <w:rFonts w:ascii="Arial" w:hAnsi="Arial" w:cs="Arial"/>
                <w:b/>
                <w:bCs/>
                <w:color w:val="000000"/>
                <w:sz w:val="18"/>
                <w:szCs w:val="18"/>
              </w:rPr>
              <w:t xml:space="preserve"> </w:t>
            </w:r>
          </w:p>
        </w:tc>
        <w:tc>
          <w:tcPr>
            <w:tcW w:w="685" w:type="dxa"/>
            <w:tcBorders>
              <w:top w:val="nil"/>
              <w:left w:val="nil"/>
              <w:bottom w:val="nil"/>
              <w:right w:val="nil"/>
            </w:tcBorders>
            <w:shd w:val="clear" w:color="auto" w:fill="auto"/>
            <w:vAlign w:val="bottom"/>
            <w:hideMark/>
          </w:tcPr>
          <w:p w14:paraId="505DF217" w14:textId="77777777" w:rsidR="00364A0E" w:rsidRPr="00226892" w:rsidRDefault="00364A0E" w:rsidP="008147CB">
            <w:pPr>
              <w:jc w:val="center"/>
              <w:rPr>
                <w:rFonts w:ascii="Arial" w:hAnsi="Arial" w:cs="Arial"/>
                <w:sz w:val="18"/>
                <w:szCs w:val="18"/>
              </w:rPr>
            </w:pPr>
          </w:p>
        </w:tc>
        <w:tc>
          <w:tcPr>
            <w:tcW w:w="239" w:type="dxa"/>
            <w:tcBorders>
              <w:left w:val="nil"/>
              <w:right w:val="nil"/>
            </w:tcBorders>
          </w:tcPr>
          <w:p w14:paraId="0B347417" w14:textId="77777777" w:rsidR="00364A0E" w:rsidRPr="00226892" w:rsidRDefault="00364A0E" w:rsidP="00364A0E">
            <w:pPr>
              <w:jc w:val="right"/>
              <w:rPr>
                <w:rFonts w:ascii="Arial" w:hAnsi="Arial" w:cs="Arial"/>
                <w:b/>
                <w:bCs/>
                <w:color w:val="000000"/>
                <w:sz w:val="18"/>
                <w:szCs w:val="18"/>
              </w:rPr>
            </w:pPr>
          </w:p>
        </w:tc>
        <w:tc>
          <w:tcPr>
            <w:tcW w:w="1593" w:type="dxa"/>
            <w:tcBorders>
              <w:top w:val="single" w:sz="4" w:space="0" w:color="auto"/>
              <w:left w:val="nil"/>
              <w:bottom w:val="double" w:sz="6" w:space="0" w:color="auto"/>
              <w:right w:val="nil"/>
            </w:tcBorders>
            <w:shd w:val="clear" w:color="auto" w:fill="auto"/>
            <w:vAlign w:val="bottom"/>
          </w:tcPr>
          <w:p w14:paraId="3F1D2D0E" w14:textId="36A2D200" w:rsidR="00364A0E" w:rsidRPr="00226892" w:rsidRDefault="00364A0E" w:rsidP="00364A0E">
            <w:pPr>
              <w:jc w:val="right"/>
              <w:rPr>
                <w:rFonts w:ascii="Arial" w:hAnsi="Arial" w:cs="Arial"/>
                <w:b/>
                <w:bCs/>
                <w:color w:val="000000"/>
                <w:sz w:val="18"/>
                <w:szCs w:val="18"/>
              </w:rPr>
            </w:pPr>
            <w:r w:rsidRPr="00226892">
              <w:rPr>
                <w:rFonts w:ascii="Arial" w:hAnsi="Arial" w:cs="Arial"/>
                <w:b/>
                <w:bCs/>
                <w:color w:val="000000"/>
                <w:sz w:val="18"/>
                <w:szCs w:val="18"/>
              </w:rPr>
              <w:t xml:space="preserve">-5 </w:t>
            </w:r>
            <w:r w:rsidR="00C6116F" w:rsidRPr="00226892">
              <w:rPr>
                <w:rFonts w:ascii="Arial" w:hAnsi="Arial" w:cs="Arial"/>
                <w:b/>
                <w:bCs/>
                <w:color w:val="000000"/>
                <w:sz w:val="18"/>
                <w:szCs w:val="18"/>
              </w:rPr>
              <w:t>723</w:t>
            </w:r>
          </w:p>
        </w:tc>
        <w:tc>
          <w:tcPr>
            <w:tcW w:w="242" w:type="dxa"/>
            <w:tcBorders>
              <w:left w:val="nil"/>
            </w:tcBorders>
          </w:tcPr>
          <w:p w14:paraId="34D7F920" w14:textId="77777777" w:rsidR="00364A0E" w:rsidRPr="00226892" w:rsidRDefault="00364A0E" w:rsidP="00364A0E">
            <w:pPr>
              <w:pStyle w:val="Odsekzoznamu"/>
              <w:jc w:val="right"/>
              <w:rPr>
                <w:rFonts w:ascii="Arial" w:hAnsi="Arial" w:cs="Arial"/>
                <w:b/>
                <w:bCs/>
                <w:color w:val="000000"/>
                <w:sz w:val="18"/>
                <w:szCs w:val="18"/>
              </w:rPr>
            </w:pPr>
          </w:p>
        </w:tc>
        <w:tc>
          <w:tcPr>
            <w:tcW w:w="1588" w:type="dxa"/>
            <w:tcBorders>
              <w:top w:val="single" w:sz="4" w:space="0" w:color="auto"/>
              <w:left w:val="nil"/>
              <w:bottom w:val="double" w:sz="6" w:space="0" w:color="auto"/>
              <w:right w:val="nil"/>
            </w:tcBorders>
            <w:shd w:val="clear" w:color="auto" w:fill="auto"/>
            <w:vAlign w:val="bottom"/>
          </w:tcPr>
          <w:p w14:paraId="5D563D9D" w14:textId="1F7AEBB0" w:rsidR="00364A0E" w:rsidRPr="00226892" w:rsidRDefault="00364A0E" w:rsidP="00364A0E">
            <w:pPr>
              <w:pStyle w:val="Odsekzoznamu"/>
              <w:jc w:val="right"/>
              <w:rPr>
                <w:rFonts w:ascii="Arial" w:hAnsi="Arial" w:cs="Arial"/>
                <w:b/>
                <w:bCs/>
                <w:color w:val="000000"/>
                <w:sz w:val="18"/>
                <w:szCs w:val="18"/>
              </w:rPr>
            </w:pPr>
            <w:r w:rsidRPr="00226892">
              <w:rPr>
                <w:rFonts w:ascii="Arial" w:hAnsi="Arial" w:cs="Arial"/>
                <w:b/>
                <w:bCs/>
                <w:color w:val="000000"/>
                <w:sz w:val="18"/>
                <w:szCs w:val="18"/>
              </w:rPr>
              <w:t xml:space="preserve">-5 </w:t>
            </w:r>
            <w:r w:rsidR="008D1C4A" w:rsidRPr="00226892">
              <w:rPr>
                <w:rFonts w:ascii="Arial" w:hAnsi="Arial" w:cs="Arial"/>
                <w:b/>
                <w:bCs/>
                <w:color w:val="000000"/>
                <w:sz w:val="18"/>
                <w:szCs w:val="18"/>
              </w:rPr>
              <w:t>263</w:t>
            </w:r>
          </w:p>
        </w:tc>
      </w:tr>
      <w:tr w:rsidR="00364A0E" w:rsidRPr="00226892" w14:paraId="6096A4E3" w14:textId="77777777" w:rsidTr="008147CB">
        <w:trPr>
          <w:trHeight w:val="227"/>
        </w:trPr>
        <w:tc>
          <w:tcPr>
            <w:tcW w:w="5292" w:type="dxa"/>
            <w:tcBorders>
              <w:top w:val="nil"/>
              <w:left w:val="nil"/>
              <w:bottom w:val="nil"/>
              <w:right w:val="nil"/>
            </w:tcBorders>
            <w:shd w:val="clear" w:color="auto" w:fill="auto"/>
            <w:vAlign w:val="bottom"/>
            <w:hideMark/>
          </w:tcPr>
          <w:p w14:paraId="54EE21D7" w14:textId="77777777" w:rsidR="00364A0E" w:rsidRPr="00226892" w:rsidRDefault="00364A0E" w:rsidP="00364A0E">
            <w:pPr>
              <w:rPr>
                <w:rFonts w:ascii="Arial" w:hAnsi="Arial" w:cs="Arial"/>
                <w:b/>
                <w:bCs/>
                <w:color w:val="000000"/>
                <w:sz w:val="18"/>
                <w:szCs w:val="18"/>
              </w:rPr>
            </w:pPr>
          </w:p>
        </w:tc>
        <w:tc>
          <w:tcPr>
            <w:tcW w:w="685" w:type="dxa"/>
            <w:tcBorders>
              <w:top w:val="nil"/>
              <w:left w:val="nil"/>
              <w:bottom w:val="nil"/>
              <w:right w:val="nil"/>
            </w:tcBorders>
            <w:shd w:val="clear" w:color="auto" w:fill="auto"/>
            <w:vAlign w:val="bottom"/>
            <w:hideMark/>
          </w:tcPr>
          <w:p w14:paraId="4E950880" w14:textId="77777777" w:rsidR="00364A0E" w:rsidRPr="00226892" w:rsidRDefault="00364A0E" w:rsidP="008147CB">
            <w:pPr>
              <w:jc w:val="center"/>
              <w:rPr>
                <w:rFonts w:ascii="Arial" w:hAnsi="Arial" w:cs="Arial"/>
                <w:sz w:val="18"/>
                <w:szCs w:val="18"/>
              </w:rPr>
            </w:pPr>
          </w:p>
        </w:tc>
        <w:tc>
          <w:tcPr>
            <w:tcW w:w="239" w:type="dxa"/>
            <w:tcBorders>
              <w:top w:val="nil"/>
              <w:left w:val="nil"/>
              <w:bottom w:val="nil"/>
              <w:right w:val="nil"/>
            </w:tcBorders>
          </w:tcPr>
          <w:p w14:paraId="66726C86" w14:textId="77777777" w:rsidR="00364A0E" w:rsidRPr="00226892" w:rsidRDefault="00364A0E" w:rsidP="00364A0E">
            <w:pPr>
              <w:jc w:val="right"/>
              <w:rPr>
                <w:rFonts w:ascii="Arial" w:hAnsi="Arial" w:cs="Arial"/>
                <w:sz w:val="18"/>
                <w:szCs w:val="18"/>
              </w:rPr>
            </w:pPr>
          </w:p>
        </w:tc>
        <w:tc>
          <w:tcPr>
            <w:tcW w:w="1593" w:type="dxa"/>
            <w:tcBorders>
              <w:top w:val="nil"/>
              <w:left w:val="nil"/>
              <w:bottom w:val="nil"/>
              <w:right w:val="nil"/>
            </w:tcBorders>
            <w:shd w:val="clear" w:color="auto" w:fill="auto"/>
            <w:vAlign w:val="bottom"/>
          </w:tcPr>
          <w:p w14:paraId="4673F6B5" w14:textId="765643C2" w:rsidR="00364A0E" w:rsidRPr="00226892" w:rsidRDefault="00364A0E" w:rsidP="00364A0E">
            <w:pPr>
              <w:jc w:val="right"/>
              <w:rPr>
                <w:rFonts w:ascii="Arial" w:hAnsi="Arial" w:cs="Arial"/>
                <w:sz w:val="18"/>
                <w:szCs w:val="18"/>
              </w:rPr>
            </w:pPr>
          </w:p>
        </w:tc>
        <w:tc>
          <w:tcPr>
            <w:tcW w:w="242" w:type="dxa"/>
            <w:tcBorders>
              <w:top w:val="nil"/>
              <w:left w:val="nil"/>
              <w:bottom w:val="nil"/>
            </w:tcBorders>
          </w:tcPr>
          <w:p w14:paraId="43C6B76C" w14:textId="77777777" w:rsidR="00364A0E" w:rsidRPr="00226892" w:rsidRDefault="00364A0E" w:rsidP="00364A0E">
            <w:pPr>
              <w:jc w:val="right"/>
              <w:rPr>
                <w:rFonts w:ascii="Arial" w:hAnsi="Arial" w:cs="Arial"/>
                <w:sz w:val="18"/>
                <w:szCs w:val="18"/>
              </w:rPr>
            </w:pPr>
          </w:p>
        </w:tc>
        <w:tc>
          <w:tcPr>
            <w:tcW w:w="1588" w:type="dxa"/>
            <w:tcBorders>
              <w:top w:val="nil"/>
              <w:left w:val="nil"/>
              <w:bottom w:val="nil"/>
              <w:right w:val="nil"/>
            </w:tcBorders>
            <w:shd w:val="clear" w:color="auto" w:fill="auto"/>
            <w:vAlign w:val="bottom"/>
          </w:tcPr>
          <w:p w14:paraId="69CC6048" w14:textId="5C7D08C8" w:rsidR="00364A0E" w:rsidRPr="00226892" w:rsidRDefault="00364A0E" w:rsidP="00364A0E">
            <w:pPr>
              <w:jc w:val="right"/>
              <w:rPr>
                <w:rFonts w:ascii="Arial" w:hAnsi="Arial" w:cs="Arial"/>
                <w:sz w:val="18"/>
                <w:szCs w:val="18"/>
              </w:rPr>
            </w:pPr>
          </w:p>
        </w:tc>
      </w:tr>
      <w:tr w:rsidR="00364A0E" w:rsidRPr="00226892" w14:paraId="6F522801" w14:textId="77777777" w:rsidTr="008147CB">
        <w:trPr>
          <w:trHeight w:val="227"/>
        </w:trPr>
        <w:tc>
          <w:tcPr>
            <w:tcW w:w="5292" w:type="dxa"/>
            <w:tcBorders>
              <w:top w:val="nil"/>
              <w:left w:val="nil"/>
              <w:bottom w:val="nil"/>
              <w:right w:val="nil"/>
            </w:tcBorders>
            <w:shd w:val="clear" w:color="auto" w:fill="auto"/>
            <w:vAlign w:val="bottom"/>
            <w:hideMark/>
          </w:tcPr>
          <w:p w14:paraId="0E40868A" w14:textId="77777777" w:rsidR="00364A0E" w:rsidRPr="00226892" w:rsidRDefault="00364A0E" w:rsidP="00364A0E">
            <w:pPr>
              <w:rPr>
                <w:rFonts w:ascii="Arial" w:hAnsi="Arial" w:cs="Arial"/>
                <w:b/>
                <w:bCs/>
                <w:color w:val="000000"/>
                <w:sz w:val="18"/>
                <w:szCs w:val="18"/>
              </w:rPr>
            </w:pPr>
            <w:proofErr w:type="spellStart"/>
            <w:r w:rsidRPr="00226892">
              <w:rPr>
                <w:rFonts w:ascii="Arial" w:hAnsi="Arial" w:cs="Arial"/>
                <w:b/>
                <w:bCs/>
                <w:color w:val="000000"/>
                <w:sz w:val="18"/>
                <w:szCs w:val="18"/>
              </w:rPr>
              <w:t>Peňažné</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toky</w:t>
            </w:r>
            <w:proofErr w:type="spellEnd"/>
            <w:r w:rsidRPr="00226892">
              <w:rPr>
                <w:rFonts w:ascii="Arial" w:hAnsi="Arial" w:cs="Arial"/>
                <w:b/>
                <w:bCs/>
                <w:color w:val="000000"/>
                <w:sz w:val="18"/>
                <w:szCs w:val="18"/>
              </w:rPr>
              <w:t xml:space="preserve"> z </w:t>
            </w:r>
            <w:proofErr w:type="spellStart"/>
            <w:r w:rsidRPr="00226892">
              <w:rPr>
                <w:rFonts w:ascii="Arial" w:hAnsi="Arial" w:cs="Arial"/>
                <w:b/>
                <w:bCs/>
                <w:color w:val="000000"/>
                <w:sz w:val="18"/>
                <w:szCs w:val="18"/>
              </w:rPr>
              <w:t>finančnej</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činnosti</w:t>
            </w:r>
            <w:proofErr w:type="spellEnd"/>
          </w:p>
        </w:tc>
        <w:tc>
          <w:tcPr>
            <w:tcW w:w="685" w:type="dxa"/>
            <w:tcBorders>
              <w:top w:val="nil"/>
              <w:left w:val="nil"/>
              <w:bottom w:val="nil"/>
              <w:right w:val="nil"/>
            </w:tcBorders>
            <w:shd w:val="clear" w:color="auto" w:fill="auto"/>
            <w:vAlign w:val="bottom"/>
            <w:hideMark/>
          </w:tcPr>
          <w:p w14:paraId="5C760917" w14:textId="77777777" w:rsidR="00364A0E" w:rsidRPr="00226892" w:rsidRDefault="00364A0E" w:rsidP="008147CB">
            <w:pPr>
              <w:jc w:val="center"/>
              <w:rPr>
                <w:rFonts w:ascii="Arial" w:hAnsi="Arial" w:cs="Arial"/>
                <w:sz w:val="18"/>
                <w:szCs w:val="18"/>
              </w:rPr>
            </w:pPr>
          </w:p>
        </w:tc>
        <w:tc>
          <w:tcPr>
            <w:tcW w:w="239" w:type="dxa"/>
            <w:tcBorders>
              <w:top w:val="nil"/>
              <w:left w:val="nil"/>
              <w:bottom w:val="nil"/>
              <w:right w:val="nil"/>
            </w:tcBorders>
          </w:tcPr>
          <w:p w14:paraId="5AF79435" w14:textId="77777777" w:rsidR="00364A0E" w:rsidRPr="00226892" w:rsidRDefault="00364A0E" w:rsidP="00364A0E">
            <w:pPr>
              <w:jc w:val="right"/>
              <w:rPr>
                <w:rFonts w:ascii="Arial" w:hAnsi="Arial" w:cs="Arial"/>
                <w:color w:val="000000"/>
                <w:sz w:val="18"/>
                <w:szCs w:val="18"/>
              </w:rPr>
            </w:pPr>
          </w:p>
        </w:tc>
        <w:tc>
          <w:tcPr>
            <w:tcW w:w="1593" w:type="dxa"/>
            <w:tcBorders>
              <w:top w:val="nil"/>
              <w:left w:val="nil"/>
              <w:bottom w:val="nil"/>
              <w:right w:val="nil"/>
            </w:tcBorders>
            <w:shd w:val="clear" w:color="auto" w:fill="auto"/>
            <w:vAlign w:val="bottom"/>
          </w:tcPr>
          <w:p w14:paraId="37479099" w14:textId="4EBA450B" w:rsidR="00364A0E" w:rsidRPr="00226892" w:rsidRDefault="00364A0E" w:rsidP="00364A0E">
            <w:pPr>
              <w:jc w:val="right"/>
              <w:rPr>
                <w:rFonts w:ascii="Arial" w:hAnsi="Arial" w:cs="Arial"/>
                <w:color w:val="000000"/>
                <w:sz w:val="18"/>
                <w:szCs w:val="18"/>
              </w:rPr>
            </w:pPr>
          </w:p>
        </w:tc>
        <w:tc>
          <w:tcPr>
            <w:tcW w:w="242" w:type="dxa"/>
            <w:tcBorders>
              <w:top w:val="nil"/>
              <w:left w:val="nil"/>
              <w:bottom w:val="nil"/>
            </w:tcBorders>
          </w:tcPr>
          <w:p w14:paraId="3B06C812" w14:textId="77777777" w:rsidR="00364A0E" w:rsidRPr="00226892" w:rsidRDefault="00364A0E" w:rsidP="00364A0E">
            <w:pPr>
              <w:jc w:val="right"/>
              <w:rPr>
                <w:rFonts w:ascii="Arial" w:hAnsi="Arial" w:cs="Arial"/>
                <w:color w:val="000000"/>
                <w:sz w:val="18"/>
                <w:szCs w:val="18"/>
              </w:rPr>
            </w:pPr>
          </w:p>
        </w:tc>
        <w:tc>
          <w:tcPr>
            <w:tcW w:w="1588" w:type="dxa"/>
            <w:tcBorders>
              <w:top w:val="nil"/>
              <w:left w:val="nil"/>
              <w:bottom w:val="nil"/>
              <w:right w:val="nil"/>
            </w:tcBorders>
            <w:shd w:val="clear" w:color="auto" w:fill="auto"/>
            <w:vAlign w:val="bottom"/>
          </w:tcPr>
          <w:p w14:paraId="4F82FDDF" w14:textId="43D9C86F" w:rsidR="00364A0E" w:rsidRPr="00226892" w:rsidRDefault="00364A0E" w:rsidP="00364A0E">
            <w:pPr>
              <w:jc w:val="right"/>
              <w:rPr>
                <w:rFonts w:ascii="Arial" w:hAnsi="Arial" w:cs="Arial"/>
                <w:sz w:val="18"/>
                <w:szCs w:val="18"/>
              </w:rPr>
            </w:pPr>
          </w:p>
        </w:tc>
      </w:tr>
      <w:tr w:rsidR="008D1C4A" w:rsidRPr="00226892" w14:paraId="15FE36EC" w14:textId="77777777" w:rsidTr="008147CB">
        <w:trPr>
          <w:trHeight w:val="227"/>
        </w:trPr>
        <w:tc>
          <w:tcPr>
            <w:tcW w:w="5292" w:type="dxa"/>
            <w:tcBorders>
              <w:top w:val="nil"/>
              <w:left w:val="nil"/>
              <w:bottom w:val="nil"/>
              <w:right w:val="nil"/>
            </w:tcBorders>
            <w:shd w:val="clear" w:color="auto" w:fill="auto"/>
            <w:vAlign w:val="bottom"/>
            <w:hideMark/>
          </w:tcPr>
          <w:p w14:paraId="67718C84" w14:textId="230FD321" w:rsidR="008D1C4A" w:rsidRPr="00226892" w:rsidRDefault="008D1C4A" w:rsidP="000815E1">
            <w:pPr>
              <w:rPr>
                <w:rFonts w:ascii="Arial" w:hAnsi="Arial" w:cs="Arial"/>
                <w:color w:val="000000"/>
                <w:sz w:val="18"/>
                <w:szCs w:val="18"/>
              </w:rPr>
            </w:pPr>
            <w:proofErr w:type="spellStart"/>
            <w:r w:rsidRPr="00226892">
              <w:rPr>
                <w:rFonts w:ascii="Arial" w:hAnsi="Arial" w:cs="Arial"/>
                <w:color w:val="000000"/>
                <w:sz w:val="18"/>
                <w:szCs w:val="18"/>
              </w:rPr>
              <w:t>Príjmy</w:t>
            </w:r>
            <w:proofErr w:type="spellEnd"/>
            <w:r w:rsidRPr="00226892">
              <w:rPr>
                <w:rFonts w:ascii="Arial" w:hAnsi="Arial" w:cs="Arial"/>
                <w:color w:val="000000"/>
                <w:sz w:val="18"/>
                <w:szCs w:val="18"/>
              </w:rPr>
              <w:t xml:space="preserve"> zo </w:t>
            </w:r>
            <w:proofErr w:type="spellStart"/>
            <w:r w:rsidRPr="00226892">
              <w:rPr>
                <w:rFonts w:ascii="Arial" w:hAnsi="Arial" w:cs="Arial"/>
                <w:color w:val="000000"/>
                <w:sz w:val="18"/>
                <w:szCs w:val="18"/>
              </w:rPr>
              <w:t>zmeniek</w:t>
            </w:r>
            <w:proofErr w:type="spellEnd"/>
            <w:r w:rsidRPr="00226892">
              <w:rPr>
                <w:rFonts w:ascii="Arial" w:hAnsi="Arial" w:cs="Arial"/>
                <w:color w:val="000000"/>
                <w:sz w:val="18"/>
                <w:szCs w:val="18"/>
              </w:rPr>
              <w:t xml:space="preserve"> </w:t>
            </w:r>
          </w:p>
        </w:tc>
        <w:tc>
          <w:tcPr>
            <w:tcW w:w="685" w:type="dxa"/>
            <w:tcBorders>
              <w:top w:val="nil"/>
              <w:left w:val="nil"/>
              <w:bottom w:val="nil"/>
              <w:right w:val="nil"/>
            </w:tcBorders>
            <w:shd w:val="clear" w:color="auto" w:fill="auto"/>
            <w:vAlign w:val="bottom"/>
            <w:hideMark/>
          </w:tcPr>
          <w:p w14:paraId="0A289C24" w14:textId="77777777" w:rsidR="008D1C4A" w:rsidRPr="00226892" w:rsidRDefault="008D1C4A" w:rsidP="008147CB">
            <w:pPr>
              <w:jc w:val="center"/>
              <w:rPr>
                <w:rFonts w:ascii="Arial" w:hAnsi="Arial" w:cs="Arial"/>
                <w:sz w:val="18"/>
                <w:szCs w:val="18"/>
                <w:highlight w:val="yellow"/>
              </w:rPr>
            </w:pPr>
          </w:p>
        </w:tc>
        <w:tc>
          <w:tcPr>
            <w:tcW w:w="239" w:type="dxa"/>
            <w:tcBorders>
              <w:top w:val="nil"/>
              <w:left w:val="nil"/>
              <w:bottom w:val="nil"/>
              <w:right w:val="nil"/>
            </w:tcBorders>
          </w:tcPr>
          <w:p w14:paraId="52FAD20A" w14:textId="77777777" w:rsidR="008D1C4A" w:rsidRPr="00226892" w:rsidRDefault="008D1C4A" w:rsidP="000815E1">
            <w:pPr>
              <w:jc w:val="right"/>
              <w:rPr>
                <w:rFonts w:ascii="Arial" w:hAnsi="Arial" w:cs="Arial"/>
                <w:color w:val="000000"/>
                <w:sz w:val="18"/>
                <w:szCs w:val="18"/>
                <w:highlight w:val="yellow"/>
              </w:rPr>
            </w:pPr>
          </w:p>
        </w:tc>
        <w:tc>
          <w:tcPr>
            <w:tcW w:w="1593" w:type="dxa"/>
            <w:tcBorders>
              <w:top w:val="nil"/>
              <w:left w:val="nil"/>
              <w:bottom w:val="nil"/>
              <w:right w:val="nil"/>
            </w:tcBorders>
            <w:shd w:val="clear" w:color="auto" w:fill="auto"/>
            <w:vAlign w:val="bottom"/>
          </w:tcPr>
          <w:p w14:paraId="7B58B5FA" w14:textId="05A61D82" w:rsidR="008D1C4A" w:rsidRPr="00226892" w:rsidRDefault="008D1C4A" w:rsidP="000815E1">
            <w:pPr>
              <w:jc w:val="right"/>
              <w:rPr>
                <w:rFonts w:ascii="Arial" w:hAnsi="Arial" w:cs="Arial"/>
                <w:color w:val="000000"/>
                <w:sz w:val="18"/>
                <w:szCs w:val="18"/>
              </w:rPr>
            </w:pPr>
            <w:r w:rsidRPr="00226892">
              <w:rPr>
                <w:rFonts w:ascii="Arial" w:hAnsi="Arial" w:cs="Arial"/>
                <w:color w:val="000000"/>
                <w:sz w:val="18"/>
                <w:szCs w:val="18"/>
              </w:rPr>
              <w:t>-</w:t>
            </w:r>
          </w:p>
        </w:tc>
        <w:tc>
          <w:tcPr>
            <w:tcW w:w="242" w:type="dxa"/>
            <w:tcBorders>
              <w:top w:val="nil"/>
              <w:left w:val="nil"/>
              <w:bottom w:val="nil"/>
            </w:tcBorders>
          </w:tcPr>
          <w:p w14:paraId="154A2AB0" w14:textId="77777777" w:rsidR="008D1C4A" w:rsidRPr="00226892" w:rsidRDefault="008D1C4A" w:rsidP="000815E1">
            <w:pPr>
              <w:jc w:val="right"/>
              <w:rPr>
                <w:rFonts w:ascii="Arial" w:hAnsi="Arial" w:cs="Arial"/>
                <w:color w:val="000000"/>
                <w:sz w:val="18"/>
                <w:szCs w:val="18"/>
                <w:highlight w:val="yellow"/>
              </w:rPr>
            </w:pPr>
          </w:p>
        </w:tc>
        <w:tc>
          <w:tcPr>
            <w:tcW w:w="1588" w:type="dxa"/>
            <w:tcBorders>
              <w:top w:val="nil"/>
              <w:left w:val="nil"/>
              <w:bottom w:val="nil"/>
              <w:right w:val="nil"/>
            </w:tcBorders>
            <w:shd w:val="clear" w:color="auto" w:fill="auto"/>
            <w:vAlign w:val="bottom"/>
          </w:tcPr>
          <w:p w14:paraId="595466F2" w14:textId="67DF78F6" w:rsidR="008D1C4A" w:rsidRPr="00226892" w:rsidRDefault="008D1C4A" w:rsidP="000815E1">
            <w:pPr>
              <w:jc w:val="right"/>
              <w:rPr>
                <w:rFonts w:ascii="Arial" w:hAnsi="Arial" w:cs="Arial"/>
                <w:color w:val="000000"/>
                <w:sz w:val="18"/>
                <w:szCs w:val="18"/>
              </w:rPr>
            </w:pPr>
            <w:r w:rsidRPr="00226892">
              <w:rPr>
                <w:rFonts w:ascii="Arial" w:hAnsi="Arial" w:cs="Arial"/>
                <w:color w:val="000000"/>
                <w:sz w:val="18"/>
                <w:szCs w:val="18"/>
              </w:rPr>
              <w:t>500</w:t>
            </w:r>
          </w:p>
        </w:tc>
      </w:tr>
      <w:tr w:rsidR="008D1C4A" w:rsidRPr="00226892" w14:paraId="10E9F8C9" w14:textId="77777777" w:rsidTr="008147CB">
        <w:trPr>
          <w:trHeight w:val="227"/>
        </w:trPr>
        <w:tc>
          <w:tcPr>
            <w:tcW w:w="5292" w:type="dxa"/>
            <w:tcBorders>
              <w:top w:val="nil"/>
              <w:left w:val="nil"/>
              <w:bottom w:val="nil"/>
              <w:right w:val="nil"/>
            </w:tcBorders>
            <w:shd w:val="clear" w:color="auto" w:fill="auto"/>
            <w:vAlign w:val="bottom"/>
            <w:hideMark/>
          </w:tcPr>
          <w:p w14:paraId="548DA984" w14:textId="662D6930" w:rsidR="008D1C4A" w:rsidRPr="00226892" w:rsidRDefault="008D1C4A" w:rsidP="000815E1">
            <w:pPr>
              <w:rPr>
                <w:rFonts w:ascii="Arial" w:hAnsi="Arial" w:cs="Arial"/>
                <w:color w:val="000000"/>
                <w:sz w:val="18"/>
                <w:szCs w:val="18"/>
              </w:rPr>
            </w:pPr>
            <w:proofErr w:type="spellStart"/>
            <w:r w:rsidRPr="00226892">
              <w:rPr>
                <w:rFonts w:ascii="Arial" w:hAnsi="Arial" w:cs="Arial"/>
                <w:color w:val="000000"/>
                <w:sz w:val="18"/>
                <w:szCs w:val="18"/>
              </w:rPr>
              <w:t>Splátky</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zmeniek</w:t>
            </w:r>
            <w:proofErr w:type="spellEnd"/>
            <w:r w:rsidRPr="00226892">
              <w:rPr>
                <w:rFonts w:ascii="Arial" w:hAnsi="Arial" w:cs="Arial"/>
                <w:color w:val="000000"/>
                <w:sz w:val="18"/>
                <w:szCs w:val="18"/>
              </w:rPr>
              <w:t xml:space="preserve"> </w:t>
            </w:r>
          </w:p>
        </w:tc>
        <w:tc>
          <w:tcPr>
            <w:tcW w:w="685" w:type="dxa"/>
            <w:tcBorders>
              <w:top w:val="nil"/>
              <w:left w:val="nil"/>
              <w:bottom w:val="nil"/>
              <w:right w:val="nil"/>
            </w:tcBorders>
            <w:shd w:val="clear" w:color="auto" w:fill="auto"/>
            <w:vAlign w:val="bottom"/>
            <w:hideMark/>
          </w:tcPr>
          <w:p w14:paraId="59AD061E" w14:textId="77777777" w:rsidR="008D1C4A" w:rsidRPr="00226892" w:rsidRDefault="008D1C4A" w:rsidP="008147CB">
            <w:pPr>
              <w:jc w:val="center"/>
              <w:rPr>
                <w:rFonts w:ascii="Arial" w:hAnsi="Arial" w:cs="Arial"/>
                <w:sz w:val="18"/>
                <w:szCs w:val="18"/>
                <w:highlight w:val="yellow"/>
              </w:rPr>
            </w:pPr>
          </w:p>
        </w:tc>
        <w:tc>
          <w:tcPr>
            <w:tcW w:w="239" w:type="dxa"/>
            <w:tcBorders>
              <w:top w:val="nil"/>
              <w:left w:val="nil"/>
              <w:bottom w:val="nil"/>
              <w:right w:val="nil"/>
            </w:tcBorders>
          </w:tcPr>
          <w:p w14:paraId="5DD08C95" w14:textId="77777777" w:rsidR="008D1C4A" w:rsidRPr="00226892" w:rsidRDefault="008D1C4A" w:rsidP="000815E1">
            <w:pPr>
              <w:jc w:val="right"/>
              <w:rPr>
                <w:rFonts w:ascii="Arial" w:hAnsi="Arial" w:cs="Arial"/>
                <w:color w:val="000000"/>
                <w:sz w:val="18"/>
                <w:szCs w:val="18"/>
                <w:highlight w:val="yellow"/>
              </w:rPr>
            </w:pPr>
          </w:p>
        </w:tc>
        <w:tc>
          <w:tcPr>
            <w:tcW w:w="1593" w:type="dxa"/>
            <w:tcBorders>
              <w:top w:val="nil"/>
              <w:left w:val="nil"/>
              <w:bottom w:val="nil"/>
              <w:right w:val="nil"/>
            </w:tcBorders>
            <w:shd w:val="clear" w:color="auto" w:fill="auto"/>
            <w:vAlign w:val="bottom"/>
          </w:tcPr>
          <w:p w14:paraId="24AE083F" w14:textId="3E2BA893" w:rsidR="008D1C4A" w:rsidRPr="00226892" w:rsidRDefault="008D1C4A" w:rsidP="000815E1">
            <w:pPr>
              <w:jc w:val="right"/>
              <w:rPr>
                <w:rFonts w:ascii="Arial" w:hAnsi="Arial" w:cs="Arial"/>
                <w:color w:val="000000"/>
                <w:sz w:val="18"/>
                <w:szCs w:val="18"/>
              </w:rPr>
            </w:pPr>
            <w:r w:rsidRPr="00226892">
              <w:rPr>
                <w:rFonts w:ascii="Arial" w:hAnsi="Arial" w:cs="Arial"/>
                <w:color w:val="000000"/>
                <w:sz w:val="18"/>
                <w:szCs w:val="18"/>
              </w:rPr>
              <w:t>-</w:t>
            </w:r>
          </w:p>
        </w:tc>
        <w:tc>
          <w:tcPr>
            <w:tcW w:w="242" w:type="dxa"/>
            <w:tcBorders>
              <w:top w:val="nil"/>
              <w:left w:val="nil"/>
              <w:bottom w:val="nil"/>
            </w:tcBorders>
          </w:tcPr>
          <w:p w14:paraId="437F23BD" w14:textId="77777777" w:rsidR="008D1C4A" w:rsidRPr="00226892" w:rsidRDefault="008D1C4A" w:rsidP="000815E1">
            <w:pPr>
              <w:jc w:val="right"/>
              <w:rPr>
                <w:rFonts w:ascii="Arial" w:hAnsi="Arial" w:cs="Arial"/>
                <w:color w:val="000000"/>
                <w:sz w:val="18"/>
                <w:szCs w:val="18"/>
                <w:highlight w:val="yellow"/>
              </w:rPr>
            </w:pPr>
          </w:p>
        </w:tc>
        <w:tc>
          <w:tcPr>
            <w:tcW w:w="1588" w:type="dxa"/>
            <w:tcBorders>
              <w:top w:val="nil"/>
              <w:left w:val="nil"/>
              <w:bottom w:val="nil"/>
              <w:right w:val="nil"/>
            </w:tcBorders>
            <w:shd w:val="clear" w:color="auto" w:fill="auto"/>
            <w:vAlign w:val="bottom"/>
          </w:tcPr>
          <w:p w14:paraId="7F8AF51B" w14:textId="35869432" w:rsidR="008D1C4A" w:rsidRPr="00226892" w:rsidRDefault="008D1C4A" w:rsidP="000815E1">
            <w:pPr>
              <w:jc w:val="right"/>
              <w:rPr>
                <w:rFonts w:ascii="Arial" w:hAnsi="Arial" w:cs="Arial"/>
                <w:color w:val="000000"/>
                <w:sz w:val="18"/>
                <w:szCs w:val="18"/>
              </w:rPr>
            </w:pPr>
            <w:r w:rsidRPr="00226892">
              <w:rPr>
                <w:rFonts w:ascii="Arial" w:hAnsi="Arial" w:cs="Arial"/>
                <w:color w:val="000000"/>
                <w:sz w:val="18"/>
                <w:szCs w:val="18"/>
              </w:rPr>
              <w:t>-1 000</w:t>
            </w:r>
          </w:p>
        </w:tc>
      </w:tr>
      <w:tr w:rsidR="00364A0E" w:rsidRPr="00226892" w14:paraId="2C8E21F1" w14:textId="77777777" w:rsidTr="008147CB">
        <w:trPr>
          <w:trHeight w:val="227"/>
        </w:trPr>
        <w:tc>
          <w:tcPr>
            <w:tcW w:w="5292" w:type="dxa"/>
            <w:tcBorders>
              <w:top w:val="nil"/>
              <w:left w:val="nil"/>
              <w:bottom w:val="nil"/>
              <w:right w:val="nil"/>
            </w:tcBorders>
            <w:shd w:val="clear" w:color="auto" w:fill="auto"/>
            <w:vAlign w:val="bottom"/>
            <w:hideMark/>
          </w:tcPr>
          <w:p w14:paraId="44B06506" w14:textId="6AF07E43" w:rsidR="00364A0E" w:rsidRPr="00226892" w:rsidRDefault="00364A0E" w:rsidP="00364A0E">
            <w:pPr>
              <w:rPr>
                <w:rFonts w:ascii="Arial" w:hAnsi="Arial" w:cs="Arial"/>
                <w:color w:val="000000"/>
                <w:sz w:val="18"/>
                <w:szCs w:val="18"/>
              </w:rPr>
            </w:pPr>
            <w:proofErr w:type="spellStart"/>
            <w:r w:rsidRPr="00226892">
              <w:rPr>
                <w:rFonts w:ascii="Arial" w:hAnsi="Arial" w:cs="Arial"/>
                <w:color w:val="000000"/>
                <w:sz w:val="18"/>
                <w:szCs w:val="18"/>
              </w:rPr>
              <w:t>Príjmy</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bankových</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úverov</w:t>
            </w:r>
            <w:proofErr w:type="spellEnd"/>
            <w:r w:rsidRPr="00226892">
              <w:rPr>
                <w:rFonts w:ascii="Arial" w:hAnsi="Arial" w:cs="Arial"/>
                <w:color w:val="000000"/>
                <w:sz w:val="18"/>
                <w:szCs w:val="18"/>
              </w:rPr>
              <w:t xml:space="preserve"> </w:t>
            </w:r>
          </w:p>
        </w:tc>
        <w:tc>
          <w:tcPr>
            <w:tcW w:w="685" w:type="dxa"/>
            <w:tcBorders>
              <w:top w:val="nil"/>
              <w:left w:val="nil"/>
              <w:bottom w:val="nil"/>
              <w:right w:val="nil"/>
            </w:tcBorders>
            <w:shd w:val="clear" w:color="auto" w:fill="auto"/>
            <w:vAlign w:val="bottom"/>
            <w:hideMark/>
          </w:tcPr>
          <w:p w14:paraId="3E20707F" w14:textId="77777777" w:rsidR="00364A0E" w:rsidRPr="00226892" w:rsidRDefault="00364A0E" w:rsidP="008147CB">
            <w:pPr>
              <w:jc w:val="center"/>
              <w:rPr>
                <w:rFonts w:ascii="Arial" w:hAnsi="Arial" w:cs="Arial"/>
                <w:sz w:val="18"/>
                <w:szCs w:val="18"/>
                <w:highlight w:val="yellow"/>
              </w:rPr>
            </w:pPr>
          </w:p>
        </w:tc>
        <w:tc>
          <w:tcPr>
            <w:tcW w:w="239" w:type="dxa"/>
            <w:tcBorders>
              <w:top w:val="nil"/>
              <w:left w:val="nil"/>
              <w:bottom w:val="nil"/>
              <w:right w:val="nil"/>
            </w:tcBorders>
          </w:tcPr>
          <w:p w14:paraId="7D887F64" w14:textId="77777777" w:rsidR="00364A0E" w:rsidRPr="00226892" w:rsidRDefault="00364A0E" w:rsidP="00364A0E">
            <w:pPr>
              <w:jc w:val="right"/>
              <w:rPr>
                <w:rFonts w:ascii="Arial" w:hAnsi="Arial" w:cs="Arial"/>
                <w:color w:val="000000"/>
                <w:sz w:val="18"/>
                <w:szCs w:val="18"/>
                <w:highlight w:val="yellow"/>
              </w:rPr>
            </w:pPr>
          </w:p>
        </w:tc>
        <w:tc>
          <w:tcPr>
            <w:tcW w:w="1593" w:type="dxa"/>
            <w:tcBorders>
              <w:top w:val="nil"/>
              <w:left w:val="nil"/>
              <w:bottom w:val="nil"/>
              <w:right w:val="nil"/>
            </w:tcBorders>
            <w:shd w:val="clear" w:color="auto" w:fill="auto"/>
            <w:vAlign w:val="bottom"/>
          </w:tcPr>
          <w:p w14:paraId="788C1590" w14:textId="0B829E7F" w:rsidR="00364A0E" w:rsidRPr="00226892" w:rsidRDefault="00C6116F" w:rsidP="00364A0E">
            <w:pPr>
              <w:jc w:val="right"/>
              <w:rPr>
                <w:rFonts w:ascii="Arial" w:hAnsi="Arial" w:cs="Arial"/>
                <w:color w:val="000000"/>
                <w:sz w:val="18"/>
                <w:szCs w:val="18"/>
              </w:rPr>
            </w:pPr>
            <w:r w:rsidRPr="00226892">
              <w:rPr>
                <w:rFonts w:ascii="Arial" w:hAnsi="Arial" w:cs="Arial"/>
                <w:color w:val="000000"/>
                <w:sz w:val="18"/>
                <w:szCs w:val="18"/>
              </w:rPr>
              <w:t>1 901</w:t>
            </w:r>
          </w:p>
        </w:tc>
        <w:tc>
          <w:tcPr>
            <w:tcW w:w="242" w:type="dxa"/>
            <w:tcBorders>
              <w:top w:val="nil"/>
              <w:left w:val="nil"/>
              <w:bottom w:val="nil"/>
            </w:tcBorders>
          </w:tcPr>
          <w:p w14:paraId="3124276E" w14:textId="77777777" w:rsidR="00364A0E" w:rsidRPr="00226892" w:rsidRDefault="00364A0E" w:rsidP="00364A0E">
            <w:pPr>
              <w:jc w:val="right"/>
              <w:rPr>
                <w:rFonts w:ascii="Arial" w:hAnsi="Arial" w:cs="Arial"/>
                <w:color w:val="000000"/>
                <w:sz w:val="18"/>
                <w:szCs w:val="18"/>
                <w:highlight w:val="yellow"/>
              </w:rPr>
            </w:pPr>
          </w:p>
        </w:tc>
        <w:tc>
          <w:tcPr>
            <w:tcW w:w="1588" w:type="dxa"/>
            <w:tcBorders>
              <w:top w:val="nil"/>
              <w:left w:val="nil"/>
              <w:bottom w:val="nil"/>
              <w:right w:val="nil"/>
            </w:tcBorders>
            <w:shd w:val="clear" w:color="auto" w:fill="auto"/>
            <w:vAlign w:val="bottom"/>
          </w:tcPr>
          <w:p w14:paraId="53097303" w14:textId="1524D544" w:rsidR="00364A0E" w:rsidRPr="00226892" w:rsidRDefault="008D1C4A" w:rsidP="00364A0E">
            <w:pPr>
              <w:jc w:val="right"/>
              <w:rPr>
                <w:rFonts w:ascii="Arial" w:hAnsi="Arial" w:cs="Arial"/>
                <w:color w:val="000000"/>
                <w:sz w:val="18"/>
                <w:szCs w:val="18"/>
              </w:rPr>
            </w:pPr>
            <w:r w:rsidRPr="00226892">
              <w:rPr>
                <w:rFonts w:ascii="Arial" w:hAnsi="Arial" w:cs="Arial"/>
                <w:color w:val="000000"/>
                <w:sz w:val="18"/>
                <w:szCs w:val="18"/>
              </w:rPr>
              <w:t>14 994</w:t>
            </w:r>
          </w:p>
        </w:tc>
      </w:tr>
      <w:tr w:rsidR="00364A0E" w:rsidRPr="00226892" w14:paraId="3B201D20" w14:textId="77777777" w:rsidTr="008147CB">
        <w:trPr>
          <w:trHeight w:val="227"/>
        </w:trPr>
        <w:tc>
          <w:tcPr>
            <w:tcW w:w="5292" w:type="dxa"/>
            <w:tcBorders>
              <w:top w:val="nil"/>
              <w:left w:val="nil"/>
              <w:bottom w:val="nil"/>
              <w:right w:val="nil"/>
            </w:tcBorders>
            <w:shd w:val="clear" w:color="auto" w:fill="auto"/>
            <w:vAlign w:val="bottom"/>
            <w:hideMark/>
          </w:tcPr>
          <w:p w14:paraId="3DD59FF4" w14:textId="59AF7186" w:rsidR="00364A0E" w:rsidRPr="00226892" w:rsidRDefault="00364A0E" w:rsidP="00364A0E">
            <w:pPr>
              <w:rPr>
                <w:rFonts w:ascii="Arial" w:hAnsi="Arial" w:cs="Arial"/>
                <w:color w:val="000000"/>
                <w:sz w:val="18"/>
                <w:szCs w:val="18"/>
              </w:rPr>
            </w:pPr>
            <w:proofErr w:type="spellStart"/>
            <w:r w:rsidRPr="00226892">
              <w:rPr>
                <w:rFonts w:ascii="Arial" w:hAnsi="Arial" w:cs="Arial"/>
                <w:color w:val="000000"/>
                <w:sz w:val="18"/>
                <w:szCs w:val="18"/>
              </w:rPr>
              <w:t>Splátky</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bankových</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úverov</w:t>
            </w:r>
            <w:proofErr w:type="spellEnd"/>
            <w:r w:rsidRPr="00226892">
              <w:rPr>
                <w:rFonts w:ascii="Arial" w:hAnsi="Arial" w:cs="Arial"/>
                <w:color w:val="000000"/>
                <w:sz w:val="18"/>
                <w:szCs w:val="18"/>
              </w:rPr>
              <w:t xml:space="preserve"> </w:t>
            </w:r>
          </w:p>
        </w:tc>
        <w:tc>
          <w:tcPr>
            <w:tcW w:w="685" w:type="dxa"/>
            <w:tcBorders>
              <w:top w:val="nil"/>
              <w:left w:val="nil"/>
              <w:bottom w:val="nil"/>
              <w:right w:val="nil"/>
            </w:tcBorders>
            <w:shd w:val="clear" w:color="auto" w:fill="auto"/>
            <w:vAlign w:val="bottom"/>
            <w:hideMark/>
          </w:tcPr>
          <w:p w14:paraId="47663B91" w14:textId="77777777" w:rsidR="00364A0E" w:rsidRPr="00226892" w:rsidRDefault="00364A0E" w:rsidP="008147CB">
            <w:pPr>
              <w:jc w:val="center"/>
              <w:rPr>
                <w:rFonts w:ascii="Arial" w:hAnsi="Arial" w:cs="Arial"/>
                <w:sz w:val="18"/>
                <w:szCs w:val="18"/>
                <w:highlight w:val="yellow"/>
              </w:rPr>
            </w:pPr>
          </w:p>
        </w:tc>
        <w:tc>
          <w:tcPr>
            <w:tcW w:w="239" w:type="dxa"/>
            <w:tcBorders>
              <w:top w:val="nil"/>
              <w:left w:val="nil"/>
              <w:bottom w:val="nil"/>
              <w:right w:val="nil"/>
            </w:tcBorders>
          </w:tcPr>
          <w:p w14:paraId="282DDFFB" w14:textId="77777777" w:rsidR="00364A0E" w:rsidRPr="00226892" w:rsidRDefault="00364A0E" w:rsidP="00364A0E">
            <w:pPr>
              <w:jc w:val="right"/>
              <w:rPr>
                <w:rFonts w:ascii="Arial" w:hAnsi="Arial" w:cs="Arial"/>
                <w:color w:val="000000"/>
                <w:sz w:val="18"/>
                <w:szCs w:val="18"/>
                <w:highlight w:val="yellow"/>
              </w:rPr>
            </w:pPr>
          </w:p>
        </w:tc>
        <w:tc>
          <w:tcPr>
            <w:tcW w:w="1593" w:type="dxa"/>
            <w:tcBorders>
              <w:top w:val="nil"/>
              <w:left w:val="nil"/>
              <w:bottom w:val="nil"/>
              <w:right w:val="nil"/>
            </w:tcBorders>
            <w:shd w:val="clear" w:color="auto" w:fill="auto"/>
            <w:vAlign w:val="bottom"/>
          </w:tcPr>
          <w:p w14:paraId="3808010B" w14:textId="5587F2CC" w:rsidR="00364A0E" w:rsidRPr="00226892" w:rsidRDefault="00C6116F" w:rsidP="00364A0E">
            <w:pPr>
              <w:jc w:val="right"/>
              <w:rPr>
                <w:rFonts w:ascii="Arial" w:hAnsi="Arial" w:cs="Arial"/>
                <w:color w:val="000000"/>
                <w:sz w:val="18"/>
                <w:szCs w:val="18"/>
              </w:rPr>
            </w:pPr>
            <w:r w:rsidRPr="00226892">
              <w:rPr>
                <w:rFonts w:ascii="Arial" w:hAnsi="Arial" w:cs="Arial"/>
                <w:color w:val="000000"/>
                <w:sz w:val="18"/>
                <w:szCs w:val="18"/>
              </w:rPr>
              <w:t>-24 072</w:t>
            </w:r>
          </w:p>
        </w:tc>
        <w:tc>
          <w:tcPr>
            <w:tcW w:w="242" w:type="dxa"/>
            <w:tcBorders>
              <w:top w:val="nil"/>
              <w:left w:val="nil"/>
              <w:bottom w:val="nil"/>
            </w:tcBorders>
          </w:tcPr>
          <w:p w14:paraId="52392B40" w14:textId="77777777" w:rsidR="00364A0E" w:rsidRPr="00226892" w:rsidRDefault="00364A0E" w:rsidP="00364A0E">
            <w:pPr>
              <w:jc w:val="right"/>
              <w:rPr>
                <w:rFonts w:ascii="Arial" w:hAnsi="Arial" w:cs="Arial"/>
                <w:color w:val="000000"/>
                <w:sz w:val="18"/>
                <w:szCs w:val="18"/>
                <w:highlight w:val="yellow"/>
              </w:rPr>
            </w:pPr>
          </w:p>
        </w:tc>
        <w:tc>
          <w:tcPr>
            <w:tcW w:w="1588" w:type="dxa"/>
            <w:tcBorders>
              <w:top w:val="nil"/>
              <w:left w:val="nil"/>
              <w:bottom w:val="nil"/>
              <w:right w:val="nil"/>
            </w:tcBorders>
            <w:shd w:val="clear" w:color="auto" w:fill="auto"/>
            <w:vAlign w:val="bottom"/>
          </w:tcPr>
          <w:p w14:paraId="261CD4E5" w14:textId="56B0B9E9" w:rsidR="00364A0E" w:rsidRPr="00226892" w:rsidRDefault="008D1C4A" w:rsidP="00364A0E">
            <w:pPr>
              <w:jc w:val="right"/>
              <w:rPr>
                <w:rFonts w:ascii="Arial" w:hAnsi="Arial" w:cs="Arial"/>
                <w:color w:val="000000"/>
                <w:sz w:val="18"/>
                <w:szCs w:val="18"/>
              </w:rPr>
            </w:pPr>
            <w:r w:rsidRPr="00226892">
              <w:rPr>
                <w:rFonts w:ascii="Arial" w:hAnsi="Arial" w:cs="Arial"/>
                <w:color w:val="000000"/>
                <w:sz w:val="18"/>
                <w:szCs w:val="18"/>
              </w:rPr>
              <w:t>-17 246</w:t>
            </w:r>
          </w:p>
        </w:tc>
      </w:tr>
      <w:tr w:rsidR="008D1C4A" w:rsidRPr="00226892" w14:paraId="1B5EF528" w14:textId="77777777" w:rsidTr="008147CB">
        <w:trPr>
          <w:trHeight w:val="227"/>
        </w:trPr>
        <w:tc>
          <w:tcPr>
            <w:tcW w:w="5292" w:type="dxa"/>
            <w:tcBorders>
              <w:top w:val="nil"/>
              <w:left w:val="nil"/>
              <w:bottom w:val="nil"/>
              <w:right w:val="nil"/>
            </w:tcBorders>
            <w:shd w:val="clear" w:color="auto" w:fill="auto"/>
            <w:vAlign w:val="bottom"/>
            <w:hideMark/>
          </w:tcPr>
          <w:p w14:paraId="297834A4" w14:textId="77777777" w:rsidR="008D1C4A" w:rsidRPr="00226892" w:rsidRDefault="008D1C4A" w:rsidP="000815E1">
            <w:pPr>
              <w:rPr>
                <w:rFonts w:ascii="Arial" w:hAnsi="Arial" w:cs="Arial"/>
                <w:color w:val="000000"/>
                <w:sz w:val="18"/>
                <w:szCs w:val="18"/>
              </w:rPr>
            </w:pPr>
            <w:proofErr w:type="spellStart"/>
            <w:r w:rsidRPr="00226892">
              <w:rPr>
                <w:rFonts w:ascii="Arial" w:hAnsi="Arial" w:cs="Arial"/>
                <w:color w:val="000000"/>
                <w:sz w:val="18"/>
                <w:szCs w:val="18"/>
              </w:rPr>
              <w:t>Príjem</w:t>
            </w:r>
            <w:proofErr w:type="spellEnd"/>
            <w:r w:rsidRPr="00226892">
              <w:rPr>
                <w:rFonts w:ascii="Arial" w:hAnsi="Arial" w:cs="Arial"/>
                <w:color w:val="000000"/>
                <w:sz w:val="18"/>
                <w:szCs w:val="18"/>
              </w:rPr>
              <w:t xml:space="preserve"> z </w:t>
            </w:r>
            <w:proofErr w:type="spellStart"/>
            <w:r w:rsidRPr="00226892">
              <w:rPr>
                <w:rFonts w:ascii="Arial" w:hAnsi="Arial" w:cs="Arial"/>
                <w:color w:val="000000"/>
                <w:sz w:val="18"/>
                <w:szCs w:val="18"/>
              </w:rPr>
              <w:t>pôžičky</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od</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spriaznených</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strán</w:t>
            </w:r>
            <w:proofErr w:type="spellEnd"/>
          </w:p>
        </w:tc>
        <w:tc>
          <w:tcPr>
            <w:tcW w:w="685" w:type="dxa"/>
            <w:tcBorders>
              <w:top w:val="nil"/>
              <w:left w:val="nil"/>
              <w:bottom w:val="nil"/>
              <w:right w:val="nil"/>
            </w:tcBorders>
            <w:shd w:val="clear" w:color="auto" w:fill="auto"/>
            <w:vAlign w:val="bottom"/>
            <w:hideMark/>
          </w:tcPr>
          <w:p w14:paraId="03884489" w14:textId="77777777" w:rsidR="008D1C4A" w:rsidRPr="00226892" w:rsidRDefault="008D1C4A" w:rsidP="008147CB">
            <w:pPr>
              <w:jc w:val="center"/>
              <w:rPr>
                <w:rFonts w:ascii="Arial" w:hAnsi="Arial" w:cs="Arial"/>
                <w:sz w:val="18"/>
                <w:szCs w:val="18"/>
              </w:rPr>
            </w:pPr>
          </w:p>
        </w:tc>
        <w:tc>
          <w:tcPr>
            <w:tcW w:w="239" w:type="dxa"/>
            <w:tcBorders>
              <w:top w:val="nil"/>
              <w:left w:val="nil"/>
              <w:bottom w:val="nil"/>
              <w:right w:val="nil"/>
            </w:tcBorders>
          </w:tcPr>
          <w:p w14:paraId="1DB9DDCA" w14:textId="77777777" w:rsidR="008D1C4A" w:rsidRPr="00226892" w:rsidRDefault="008D1C4A" w:rsidP="000815E1">
            <w:pPr>
              <w:jc w:val="right"/>
              <w:rPr>
                <w:rFonts w:ascii="Arial" w:hAnsi="Arial" w:cs="Arial"/>
                <w:color w:val="000000"/>
                <w:sz w:val="18"/>
                <w:szCs w:val="18"/>
              </w:rPr>
            </w:pPr>
          </w:p>
        </w:tc>
        <w:tc>
          <w:tcPr>
            <w:tcW w:w="1593" w:type="dxa"/>
            <w:tcBorders>
              <w:top w:val="nil"/>
              <w:left w:val="nil"/>
              <w:bottom w:val="nil"/>
              <w:right w:val="nil"/>
            </w:tcBorders>
            <w:shd w:val="clear" w:color="auto" w:fill="auto"/>
            <w:vAlign w:val="bottom"/>
          </w:tcPr>
          <w:p w14:paraId="7E7E53B0" w14:textId="77777777" w:rsidR="008D1C4A" w:rsidRPr="00226892" w:rsidRDefault="008D1C4A" w:rsidP="000815E1">
            <w:pPr>
              <w:jc w:val="right"/>
              <w:rPr>
                <w:rFonts w:ascii="Arial" w:hAnsi="Arial" w:cs="Arial"/>
                <w:color w:val="000000"/>
                <w:sz w:val="18"/>
                <w:szCs w:val="18"/>
              </w:rPr>
            </w:pPr>
            <w:r w:rsidRPr="00226892">
              <w:rPr>
                <w:rFonts w:ascii="Arial" w:hAnsi="Arial" w:cs="Arial"/>
                <w:color w:val="000000"/>
                <w:sz w:val="18"/>
                <w:szCs w:val="18"/>
              </w:rPr>
              <w:t>5 000</w:t>
            </w:r>
          </w:p>
        </w:tc>
        <w:tc>
          <w:tcPr>
            <w:tcW w:w="242" w:type="dxa"/>
            <w:tcBorders>
              <w:top w:val="nil"/>
              <w:left w:val="nil"/>
              <w:bottom w:val="nil"/>
            </w:tcBorders>
          </w:tcPr>
          <w:p w14:paraId="4F5D87D0" w14:textId="77777777" w:rsidR="008D1C4A" w:rsidRPr="00226892" w:rsidRDefault="008D1C4A" w:rsidP="000815E1">
            <w:pPr>
              <w:jc w:val="right"/>
              <w:rPr>
                <w:rFonts w:ascii="Arial" w:hAnsi="Arial" w:cs="Arial"/>
                <w:color w:val="000000"/>
                <w:sz w:val="18"/>
                <w:szCs w:val="18"/>
              </w:rPr>
            </w:pPr>
          </w:p>
        </w:tc>
        <w:tc>
          <w:tcPr>
            <w:tcW w:w="1588" w:type="dxa"/>
            <w:tcBorders>
              <w:top w:val="nil"/>
              <w:left w:val="nil"/>
              <w:bottom w:val="nil"/>
              <w:right w:val="nil"/>
            </w:tcBorders>
            <w:shd w:val="clear" w:color="auto" w:fill="auto"/>
            <w:vAlign w:val="bottom"/>
          </w:tcPr>
          <w:p w14:paraId="52302096" w14:textId="77777777" w:rsidR="008D1C4A" w:rsidRPr="00226892" w:rsidRDefault="008D1C4A" w:rsidP="000815E1">
            <w:pPr>
              <w:jc w:val="right"/>
              <w:rPr>
                <w:rFonts w:ascii="Arial" w:hAnsi="Arial" w:cs="Arial"/>
                <w:color w:val="000000"/>
                <w:sz w:val="18"/>
                <w:szCs w:val="18"/>
              </w:rPr>
            </w:pPr>
            <w:r w:rsidRPr="00226892">
              <w:rPr>
                <w:rFonts w:ascii="Arial" w:hAnsi="Arial" w:cs="Arial"/>
                <w:color w:val="000000"/>
                <w:sz w:val="18"/>
                <w:szCs w:val="18"/>
              </w:rPr>
              <w:t>5 201</w:t>
            </w:r>
          </w:p>
        </w:tc>
      </w:tr>
      <w:tr w:rsidR="00364A0E" w:rsidRPr="00226892" w14:paraId="24A8E8C6" w14:textId="77777777" w:rsidTr="008147CB">
        <w:trPr>
          <w:trHeight w:val="227"/>
        </w:trPr>
        <w:tc>
          <w:tcPr>
            <w:tcW w:w="5292" w:type="dxa"/>
            <w:tcBorders>
              <w:top w:val="nil"/>
              <w:left w:val="nil"/>
              <w:bottom w:val="nil"/>
              <w:right w:val="nil"/>
            </w:tcBorders>
            <w:shd w:val="clear" w:color="auto" w:fill="auto"/>
            <w:vAlign w:val="bottom"/>
            <w:hideMark/>
          </w:tcPr>
          <w:p w14:paraId="5A0A167C" w14:textId="7948EAA2" w:rsidR="00364A0E" w:rsidRPr="00226892" w:rsidRDefault="008D1C4A" w:rsidP="00364A0E">
            <w:pPr>
              <w:rPr>
                <w:rFonts w:ascii="Arial" w:hAnsi="Arial" w:cs="Arial"/>
                <w:color w:val="000000"/>
                <w:sz w:val="18"/>
                <w:szCs w:val="18"/>
              </w:rPr>
            </w:pPr>
            <w:proofErr w:type="spellStart"/>
            <w:r w:rsidRPr="00226892">
              <w:rPr>
                <w:rFonts w:ascii="Arial" w:hAnsi="Arial" w:cs="Arial"/>
                <w:color w:val="000000"/>
                <w:sz w:val="18"/>
                <w:szCs w:val="18"/>
              </w:rPr>
              <w:t>Splátky</w:t>
            </w:r>
            <w:proofErr w:type="spellEnd"/>
            <w:r w:rsidRPr="00226892">
              <w:rPr>
                <w:rFonts w:ascii="Arial" w:hAnsi="Arial" w:cs="Arial"/>
                <w:color w:val="000000"/>
                <w:sz w:val="18"/>
                <w:szCs w:val="18"/>
              </w:rPr>
              <w:t xml:space="preserve"> z </w:t>
            </w:r>
            <w:proofErr w:type="spellStart"/>
            <w:r w:rsidRPr="00226892">
              <w:rPr>
                <w:rFonts w:ascii="Arial" w:hAnsi="Arial" w:cs="Arial"/>
                <w:color w:val="000000"/>
                <w:sz w:val="18"/>
                <w:szCs w:val="18"/>
              </w:rPr>
              <w:t>pôžičiek</w:t>
            </w:r>
            <w:proofErr w:type="spellEnd"/>
            <w:r w:rsidR="00364A0E" w:rsidRPr="00226892">
              <w:rPr>
                <w:rFonts w:ascii="Arial" w:hAnsi="Arial" w:cs="Arial"/>
                <w:color w:val="000000"/>
                <w:sz w:val="18"/>
                <w:szCs w:val="18"/>
              </w:rPr>
              <w:t xml:space="preserve"> </w:t>
            </w:r>
            <w:proofErr w:type="spellStart"/>
            <w:r w:rsidR="00364A0E" w:rsidRPr="00226892">
              <w:rPr>
                <w:rFonts w:ascii="Arial" w:hAnsi="Arial" w:cs="Arial"/>
                <w:color w:val="000000"/>
                <w:sz w:val="18"/>
                <w:szCs w:val="18"/>
              </w:rPr>
              <w:t>od</w:t>
            </w:r>
            <w:proofErr w:type="spellEnd"/>
            <w:r w:rsidR="00364A0E" w:rsidRPr="00226892">
              <w:rPr>
                <w:rFonts w:ascii="Arial" w:hAnsi="Arial" w:cs="Arial"/>
                <w:color w:val="000000"/>
                <w:sz w:val="18"/>
                <w:szCs w:val="18"/>
              </w:rPr>
              <w:t xml:space="preserve"> </w:t>
            </w:r>
            <w:proofErr w:type="spellStart"/>
            <w:r w:rsidR="00364A0E" w:rsidRPr="00226892">
              <w:rPr>
                <w:rFonts w:ascii="Arial" w:hAnsi="Arial" w:cs="Arial"/>
                <w:color w:val="000000"/>
                <w:sz w:val="18"/>
                <w:szCs w:val="18"/>
              </w:rPr>
              <w:t>spriaznených</w:t>
            </w:r>
            <w:proofErr w:type="spellEnd"/>
            <w:r w:rsidR="00364A0E" w:rsidRPr="00226892">
              <w:rPr>
                <w:rFonts w:ascii="Arial" w:hAnsi="Arial" w:cs="Arial"/>
                <w:color w:val="000000"/>
                <w:sz w:val="18"/>
                <w:szCs w:val="18"/>
              </w:rPr>
              <w:t xml:space="preserve"> </w:t>
            </w:r>
            <w:proofErr w:type="spellStart"/>
            <w:r w:rsidR="00364A0E" w:rsidRPr="00226892">
              <w:rPr>
                <w:rFonts w:ascii="Arial" w:hAnsi="Arial" w:cs="Arial"/>
                <w:color w:val="000000"/>
                <w:sz w:val="18"/>
                <w:szCs w:val="18"/>
              </w:rPr>
              <w:t>strán</w:t>
            </w:r>
            <w:proofErr w:type="spellEnd"/>
          </w:p>
        </w:tc>
        <w:tc>
          <w:tcPr>
            <w:tcW w:w="685" w:type="dxa"/>
            <w:tcBorders>
              <w:top w:val="nil"/>
              <w:left w:val="nil"/>
              <w:bottom w:val="nil"/>
              <w:right w:val="nil"/>
            </w:tcBorders>
            <w:shd w:val="clear" w:color="auto" w:fill="auto"/>
            <w:vAlign w:val="bottom"/>
            <w:hideMark/>
          </w:tcPr>
          <w:p w14:paraId="500D8649" w14:textId="77777777" w:rsidR="00364A0E" w:rsidRPr="00226892" w:rsidRDefault="00364A0E" w:rsidP="008147CB">
            <w:pPr>
              <w:jc w:val="center"/>
              <w:rPr>
                <w:rFonts w:ascii="Arial" w:hAnsi="Arial" w:cs="Arial"/>
                <w:sz w:val="18"/>
                <w:szCs w:val="18"/>
              </w:rPr>
            </w:pPr>
          </w:p>
        </w:tc>
        <w:tc>
          <w:tcPr>
            <w:tcW w:w="239" w:type="dxa"/>
            <w:tcBorders>
              <w:top w:val="nil"/>
              <w:left w:val="nil"/>
              <w:bottom w:val="nil"/>
              <w:right w:val="nil"/>
            </w:tcBorders>
          </w:tcPr>
          <w:p w14:paraId="3FBD8304" w14:textId="77777777" w:rsidR="00364A0E" w:rsidRPr="00226892" w:rsidRDefault="00364A0E" w:rsidP="00364A0E">
            <w:pPr>
              <w:jc w:val="right"/>
              <w:rPr>
                <w:rFonts w:ascii="Arial" w:hAnsi="Arial" w:cs="Arial"/>
                <w:color w:val="000000"/>
                <w:sz w:val="18"/>
                <w:szCs w:val="18"/>
              </w:rPr>
            </w:pPr>
          </w:p>
        </w:tc>
        <w:tc>
          <w:tcPr>
            <w:tcW w:w="1593" w:type="dxa"/>
            <w:tcBorders>
              <w:top w:val="nil"/>
              <w:left w:val="nil"/>
              <w:bottom w:val="nil"/>
              <w:right w:val="nil"/>
            </w:tcBorders>
            <w:shd w:val="clear" w:color="auto" w:fill="auto"/>
            <w:vAlign w:val="bottom"/>
          </w:tcPr>
          <w:p w14:paraId="31E5864C" w14:textId="25651B43" w:rsidR="00364A0E" w:rsidRPr="00226892" w:rsidRDefault="00C6116F" w:rsidP="00364A0E">
            <w:pPr>
              <w:jc w:val="right"/>
              <w:rPr>
                <w:rFonts w:ascii="Arial" w:hAnsi="Arial" w:cs="Arial"/>
                <w:color w:val="000000"/>
                <w:sz w:val="18"/>
                <w:szCs w:val="18"/>
              </w:rPr>
            </w:pPr>
            <w:r w:rsidRPr="00226892">
              <w:rPr>
                <w:rFonts w:ascii="Arial" w:hAnsi="Arial" w:cs="Arial"/>
                <w:color w:val="000000"/>
                <w:sz w:val="18"/>
                <w:szCs w:val="18"/>
              </w:rPr>
              <w:t>-</w:t>
            </w:r>
          </w:p>
        </w:tc>
        <w:tc>
          <w:tcPr>
            <w:tcW w:w="242" w:type="dxa"/>
            <w:tcBorders>
              <w:top w:val="nil"/>
              <w:left w:val="nil"/>
              <w:bottom w:val="nil"/>
            </w:tcBorders>
          </w:tcPr>
          <w:p w14:paraId="236AA851" w14:textId="77777777" w:rsidR="00364A0E" w:rsidRPr="00226892" w:rsidRDefault="00364A0E" w:rsidP="00364A0E">
            <w:pPr>
              <w:jc w:val="right"/>
              <w:rPr>
                <w:rFonts w:ascii="Arial" w:hAnsi="Arial" w:cs="Arial"/>
                <w:color w:val="000000"/>
                <w:sz w:val="18"/>
                <w:szCs w:val="18"/>
              </w:rPr>
            </w:pPr>
          </w:p>
        </w:tc>
        <w:tc>
          <w:tcPr>
            <w:tcW w:w="1588" w:type="dxa"/>
            <w:tcBorders>
              <w:top w:val="nil"/>
              <w:left w:val="nil"/>
              <w:bottom w:val="nil"/>
              <w:right w:val="nil"/>
            </w:tcBorders>
            <w:shd w:val="clear" w:color="auto" w:fill="auto"/>
            <w:vAlign w:val="bottom"/>
          </w:tcPr>
          <w:p w14:paraId="4D5DDB0A" w14:textId="0F88ECAD" w:rsidR="00364A0E" w:rsidRPr="00226892" w:rsidRDefault="008D1C4A" w:rsidP="00364A0E">
            <w:pPr>
              <w:jc w:val="right"/>
              <w:rPr>
                <w:rFonts w:ascii="Arial" w:hAnsi="Arial" w:cs="Arial"/>
                <w:color w:val="000000"/>
                <w:sz w:val="18"/>
                <w:szCs w:val="18"/>
              </w:rPr>
            </w:pPr>
            <w:r w:rsidRPr="00226892">
              <w:rPr>
                <w:rFonts w:ascii="Arial" w:hAnsi="Arial" w:cs="Arial"/>
                <w:color w:val="000000"/>
                <w:sz w:val="18"/>
                <w:szCs w:val="18"/>
              </w:rPr>
              <w:t>-166</w:t>
            </w:r>
          </w:p>
        </w:tc>
      </w:tr>
      <w:tr w:rsidR="00364A0E" w:rsidRPr="00226892" w14:paraId="23917E8B" w14:textId="77777777" w:rsidTr="008147CB">
        <w:trPr>
          <w:trHeight w:val="227"/>
        </w:trPr>
        <w:tc>
          <w:tcPr>
            <w:tcW w:w="5292" w:type="dxa"/>
            <w:tcBorders>
              <w:top w:val="nil"/>
              <w:left w:val="nil"/>
              <w:bottom w:val="nil"/>
              <w:right w:val="nil"/>
            </w:tcBorders>
            <w:shd w:val="clear" w:color="auto" w:fill="auto"/>
            <w:vAlign w:val="bottom"/>
            <w:hideMark/>
          </w:tcPr>
          <w:p w14:paraId="7EF6BB1C" w14:textId="77777777" w:rsidR="00364A0E" w:rsidRPr="00226892" w:rsidRDefault="00364A0E" w:rsidP="00364A0E">
            <w:pPr>
              <w:rPr>
                <w:rFonts w:ascii="Arial" w:hAnsi="Arial" w:cs="Arial"/>
                <w:color w:val="000000"/>
                <w:sz w:val="18"/>
                <w:szCs w:val="18"/>
              </w:rPr>
            </w:pPr>
            <w:proofErr w:type="spellStart"/>
            <w:r w:rsidRPr="00226892">
              <w:rPr>
                <w:rFonts w:ascii="Arial" w:hAnsi="Arial" w:cs="Arial"/>
                <w:color w:val="000000"/>
                <w:sz w:val="18"/>
                <w:szCs w:val="18"/>
              </w:rPr>
              <w:t>Splátky</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finančného</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lízingu</w:t>
            </w:r>
            <w:proofErr w:type="spellEnd"/>
          </w:p>
        </w:tc>
        <w:tc>
          <w:tcPr>
            <w:tcW w:w="685" w:type="dxa"/>
            <w:tcBorders>
              <w:top w:val="nil"/>
              <w:left w:val="nil"/>
              <w:bottom w:val="nil"/>
              <w:right w:val="nil"/>
            </w:tcBorders>
            <w:shd w:val="clear" w:color="auto" w:fill="auto"/>
            <w:vAlign w:val="bottom"/>
            <w:hideMark/>
          </w:tcPr>
          <w:p w14:paraId="5A751070" w14:textId="77777777" w:rsidR="00364A0E" w:rsidRPr="00226892" w:rsidRDefault="00364A0E" w:rsidP="008147CB">
            <w:pPr>
              <w:jc w:val="center"/>
              <w:rPr>
                <w:rFonts w:ascii="Arial" w:hAnsi="Arial" w:cs="Arial"/>
                <w:sz w:val="18"/>
                <w:szCs w:val="18"/>
                <w:highlight w:val="yellow"/>
              </w:rPr>
            </w:pPr>
          </w:p>
        </w:tc>
        <w:tc>
          <w:tcPr>
            <w:tcW w:w="239" w:type="dxa"/>
            <w:tcBorders>
              <w:top w:val="nil"/>
              <w:left w:val="nil"/>
              <w:bottom w:val="nil"/>
              <w:right w:val="nil"/>
            </w:tcBorders>
          </w:tcPr>
          <w:p w14:paraId="1D81EB1A" w14:textId="77777777" w:rsidR="00364A0E" w:rsidRPr="00226892" w:rsidRDefault="00364A0E" w:rsidP="00364A0E">
            <w:pPr>
              <w:jc w:val="right"/>
              <w:rPr>
                <w:rFonts w:ascii="Arial" w:hAnsi="Arial" w:cs="Arial"/>
                <w:color w:val="000000"/>
                <w:sz w:val="18"/>
                <w:szCs w:val="18"/>
                <w:highlight w:val="yellow"/>
              </w:rPr>
            </w:pPr>
          </w:p>
        </w:tc>
        <w:tc>
          <w:tcPr>
            <w:tcW w:w="1593" w:type="dxa"/>
            <w:tcBorders>
              <w:top w:val="nil"/>
              <w:left w:val="nil"/>
              <w:bottom w:val="nil"/>
              <w:right w:val="nil"/>
            </w:tcBorders>
            <w:shd w:val="clear" w:color="auto" w:fill="auto"/>
            <w:vAlign w:val="bottom"/>
          </w:tcPr>
          <w:p w14:paraId="58048ED9" w14:textId="6CF4B3F5" w:rsidR="00364A0E" w:rsidRPr="00226892" w:rsidRDefault="00C6116F" w:rsidP="00364A0E">
            <w:pPr>
              <w:jc w:val="right"/>
              <w:rPr>
                <w:rFonts w:ascii="Arial" w:hAnsi="Arial" w:cs="Arial"/>
                <w:color w:val="000000"/>
                <w:sz w:val="18"/>
                <w:szCs w:val="18"/>
              </w:rPr>
            </w:pPr>
            <w:r w:rsidRPr="00226892">
              <w:rPr>
                <w:rFonts w:ascii="Arial" w:hAnsi="Arial" w:cs="Arial"/>
                <w:color w:val="000000"/>
                <w:sz w:val="18"/>
                <w:szCs w:val="18"/>
              </w:rPr>
              <w:t>-311</w:t>
            </w:r>
          </w:p>
        </w:tc>
        <w:tc>
          <w:tcPr>
            <w:tcW w:w="242" w:type="dxa"/>
            <w:tcBorders>
              <w:top w:val="nil"/>
              <w:left w:val="nil"/>
              <w:bottom w:val="nil"/>
            </w:tcBorders>
          </w:tcPr>
          <w:p w14:paraId="0BA76897" w14:textId="77777777" w:rsidR="00364A0E" w:rsidRPr="00226892" w:rsidRDefault="00364A0E" w:rsidP="00364A0E">
            <w:pPr>
              <w:jc w:val="right"/>
              <w:rPr>
                <w:rFonts w:ascii="Arial" w:hAnsi="Arial" w:cs="Arial"/>
                <w:color w:val="000000"/>
                <w:sz w:val="18"/>
                <w:szCs w:val="18"/>
                <w:highlight w:val="yellow"/>
              </w:rPr>
            </w:pPr>
          </w:p>
        </w:tc>
        <w:tc>
          <w:tcPr>
            <w:tcW w:w="1588" w:type="dxa"/>
            <w:tcBorders>
              <w:top w:val="nil"/>
              <w:left w:val="nil"/>
              <w:bottom w:val="nil"/>
              <w:right w:val="nil"/>
            </w:tcBorders>
            <w:shd w:val="clear" w:color="auto" w:fill="auto"/>
            <w:vAlign w:val="bottom"/>
          </w:tcPr>
          <w:p w14:paraId="41E905D4" w14:textId="43EA551F" w:rsidR="00364A0E" w:rsidRPr="00226892" w:rsidRDefault="008D1C4A" w:rsidP="00364A0E">
            <w:pPr>
              <w:jc w:val="right"/>
              <w:rPr>
                <w:rFonts w:ascii="Arial" w:hAnsi="Arial" w:cs="Arial"/>
                <w:color w:val="000000"/>
                <w:sz w:val="18"/>
                <w:szCs w:val="18"/>
              </w:rPr>
            </w:pPr>
            <w:r w:rsidRPr="00226892">
              <w:rPr>
                <w:rFonts w:ascii="Arial" w:hAnsi="Arial" w:cs="Arial"/>
                <w:color w:val="000000"/>
                <w:sz w:val="18"/>
                <w:szCs w:val="18"/>
              </w:rPr>
              <w:t>-667</w:t>
            </w:r>
          </w:p>
        </w:tc>
      </w:tr>
      <w:tr w:rsidR="00364A0E" w:rsidRPr="00226892" w14:paraId="7ACF31DC" w14:textId="77777777" w:rsidTr="008147CB">
        <w:trPr>
          <w:trHeight w:val="227"/>
        </w:trPr>
        <w:tc>
          <w:tcPr>
            <w:tcW w:w="5292" w:type="dxa"/>
            <w:tcBorders>
              <w:top w:val="nil"/>
              <w:left w:val="nil"/>
              <w:bottom w:val="nil"/>
              <w:right w:val="nil"/>
            </w:tcBorders>
            <w:shd w:val="clear" w:color="auto" w:fill="auto"/>
            <w:vAlign w:val="bottom"/>
            <w:hideMark/>
          </w:tcPr>
          <w:p w14:paraId="2C9302E8" w14:textId="36B665A7" w:rsidR="00364A0E" w:rsidRPr="00226892" w:rsidRDefault="00364A0E" w:rsidP="00364A0E">
            <w:pPr>
              <w:rPr>
                <w:rFonts w:ascii="Arial" w:hAnsi="Arial" w:cs="Arial"/>
                <w:color w:val="000000"/>
                <w:sz w:val="18"/>
                <w:szCs w:val="18"/>
              </w:rPr>
            </w:pPr>
            <w:proofErr w:type="spellStart"/>
            <w:r w:rsidRPr="00226892">
              <w:rPr>
                <w:rFonts w:ascii="Arial" w:hAnsi="Arial" w:cs="Arial"/>
                <w:color w:val="000000"/>
                <w:sz w:val="18"/>
                <w:szCs w:val="18"/>
              </w:rPr>
              <w:t>Zaplatené</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úroky</w:t>
            </w:r>
            <w:proofErr w:type="spellEnd"/>
          </w:p>
        </w:tc>
        <w:tc>
          <w:tcPr>
            <w:tcW w:w="685" w:type="dxa"/>
            <w:tcBorders>
              <w:top w:val="nil"/>
              <w:left w:val="nil"/>
              <w:bottom w:val="nil"/>
              <w:right w:val="nil"/>
            </w:tcBorders>
            <w:shd w:val="clear" w:color="auto" w:fill="auto"/>
            <w:vAlign w:val="bottom"/>
            <w:hideMark/>
          </w:tcPr>
          <w:p w14:paraId="1EE3544D" w14:textId="77777777" w:rsidR="00364A0E" w:rsidRPr="00226892" w:rsidRDefault="00364A0E" w:rsidP="008147CB">
            <w:pPr>
              <w:jc w:val="center"/>
              <w:rPr>
                <w:rFonts w:ascii="Arial" w:hAnsi="Arial" w:cs="Arial"/>
                <w:sz w:val="18"/>
                <w:szCs w:val="18"/>
              </w:rPr>
            </w:pPr>
          </w:p>
        </w:tc>
        <w:tc>
          <w:tcPr>
            <w:tcW w:w="239" w:type="dxa"/>
            <w:tcBorders>
              <w:top w:val="nil"/>
              <w:left w:val="nil"/>
              <w:bottom w:val="nil"/>
              <w:right w:val="nil"/>
            </w:tcBorders>
          </w:tcPr>
          <w:p w14:paraId="7AA1C02A" w14:textId="77777777" w:rsidR="00364A0E" w:rsidRPr="00226892" w:rsidRDefault="00364A0E" w:rsidP="00364A0E">
            <w:pPr>
              <w:jc w:val="right"/>
              <w:rPr>
                <w:rFonts w:ascii="Arial" w:hAnsi="Arial" w:cs="Arial"/>
                <w:color w:val="000000"/>
                <w:sz w:val="18"/>
                <w:szCs w:val="18"/>
              </w:rPr>
            </w:pPr>
          </w:p>
        </w:tc>
        <w:tc>
          <w:tcPr>
            <w:tcW w:w="1593" w:type="dxa"/>
            <w:tcBorders>
              <w:top w:val="nil"/>
              <w:left w:val="nil"/>
              <w:bottom w:val="nil"/>
              <w:right w:val="nil"/>
            </w:tcBorders>
            <w:shd w:val="clear" w:color="auto" w:fill="auto"/>
            <w:vAlign w:val="bottom"/>
          </w:tcPr>
          <w:p w14:paraId="1225D588" w14:textId="6FE89271" w:rsidR="00364A0E" w:rsidRPr="00226892" w:rsidRDefault="00364A0E" w:rsidP="00364A0E">
            <w:pPr>
              <w:jc w:val="right"/>
              <w:rPr>
                <w:rFonts w:ascii="Arial" w:hAnsi="Arial" w:cs="Arial"/>
                <w:color w:val="000000"/>
                <w:sz w:val="18"/>
                <w:szCs w:val="18"/>
              </w:rPr>
            </w:pPr>
            <w:r w:rsidRPr="00226892">
              <w:rPr>
                <w:rFonts w:ascii="Arial" w:hAnsi="Arial" w:cs="Arial"/>
                <w:color w:val="000000"/>
                <w:sz w:val="18"/>
                <w:szCs w:val="18"/>
              </w:rPr>
              <w:t>-</w:t>
            </w:r>
            <w:r w:rsidR="00C6116F" w:rsidRPr="00226892">
              <w:rPr>
                <w:rFonts w:ascii="Arial" w:hAnsi="Arial" w:cs="Arial"/>
                <w:color w:val="000000"/>
                <w:sz w:val="18"/>
                <w:szCs w:val="18"/>
              </w:rPr>
              <w:t>487</w:t>
            </w:r>
          </w:p>
        </w:tc>
        <w:tc>
          <w:tcPr>
            <w:tcW w:w="242" w:type="dxa"/>
            <w:tcBorders>
              <w:top w:val="nil"/>
              <w:left w:val="nil"/>
              <w:bottom w:val="nil"/>
            </w:tcBorders>
          </w:tcPr>
          <w:p w14:paraId="3A1BE84D" w14:textId="77777777" w:rsidR="00364A0E" w:rsidRPr="00226892" w:rsidRDefault="00364A0E" w:rsidP="00364A0E">
            <w:pPr>
              <w:jc w:val="right"/>
              <w:rPr>
                <w:rFonts w:ascii="Arial" w:hAnsi="Arial" w:cs="Arial"/>
                <w:color w:val="000000"/>
                <w:sz w:val="18"/>
                <w:szCs w:val="18"/>
              </w:rPr>
            </w:pPr>
          </w:p>
        </w:tc>
        <w:tc>
          <w:tcPr>
            <w:tcW w:w="1588" w:type="dxa"/>
            <w:tcBorders>
              <w:top w:val="nil"/>
              <w:left w:val="nil"/>
              <w:bottom w:val="nil"/>
              <w:right w:val="nil"/>
            </w:tcBorders>
            <w:shd w:val="clear" w:color="auto" w:fill="auto"/>
            <w:vAlign w:val="bottom"/>
          </w:tcPr>
          <w:p w14:paraId="507D87CA" w14:textId="6FAAA599" w:rsidR="00364A0E" w:rsidRPr="00226892" w:rsidRDefault="00364A0E" w:rsidP="00364A0E">
            <w:pPr>
              <w:jc w:val="right"/>
              <w:rPr>
                <w:rFonts w:ascii="Arial" w:hAnsi="Arial" w:cs="Arial"/>
                <w:color w:val="000000"/>
                <w:sz w:val="18"/>
                <w:szCs w:val="18"/>
              </w:rPr>
            </w:pPr>
            <w:r w:rsidRPr="00226892">
              <w:rPr>
                <w:rFonts w:ascii="Arial" w:hAnsi="Arial" w:cs="Arial"/>
                <w:color w:val="000000"/>
                <w:sz w:val="18"/>
                <w:szCs w:val="18"/>
              </w:rPr>
              <w:t>-6</w:t>
            </w:r>
            <w:r w:rsidR="008D1C4A" w:rsidRPr="00226892">
              <w:rPr>
                <w:rFonts w:ascii="Arial" w:hAnsi="Arial" w:cs="Arial"/>
                <w:color w:val="000000"/>
                <w:sz w:val="18"/>
                <w:szCs w:val="18"/>
              </w:rPr>
              <w:t>84</w:t>
            </w:r>
          </w:p>
        </w:tc>
      </w:tr>
      <w:tr w:rsidR="00364A0E" w:rsidRPr="00226892" w14:paraId="24EAFA20" w14:textId="77777777" w:rsidTr="008147CB">
        <w:trPr>
          <w:trHeight w:val="227"/>
        </w:trPr>
        <w:tc>
          <w:tcPr>
            <w:tcW w:w="5292" w:type="dxa"/>
            <w:tcBorders>
              <w:top w:val="nil"/>
              <w:left w:val="nil"/>
              <w:bottom w:val="nil"/>
              <w:right w:val="nil"/>
            </w:tcBorders>
            <w:shd w:val="clear" w:color="auto" w:fill="auto"/>
            <w:vAlign w:val="bottom"/>
            <w:hideMark/>
          </w:tcPr>
          <w:p w14:paraId="79B8D12F" w14:textId="77777777" w:rsidR="00364A0E" w:rsidRPr="00226892" w:rsidRDefault="00364A0E" w:rsidP="00364A0E">
            <w:pPr>
              <w:rPr>
                <w:rFonts w:ascii="Arial" w:hAnsi="Arial" w:cs="Arial"/>
                <w:color w:val="000000"/>
                <w:sz w:val="18"/>
                <w:szCs w:val="18"/>
              </w:rPr>
            </w:pPr>
          </w:p>
        </w:tc>
        <w:tc>
          <w:tcPr>
            <w:tcW w:w="685" w:type="dxa"/>
            <w:tcBorders>
              <w:top w:val="nil"/>
              <w:left w:val="nil"/>
              <w:bottom w:val="nil"/>
              <w:right w:val="nil"/>
            </w:tcBorders>
            <w:shd w:val="clear" w:color="auto" w:fill="auto"/>
            <w:vAlign w:val="bottom"/>
            <w:hideMark/>
          </w:tcPr>
          <w:p w14:paraId="423DF97A" w14:textId="77777777" w:rsidR="00364A0E" w:rsidRPr="00226892" w:rsidRDefault="00364A0E" w:rsidP="008147CB">
            <w:pPr>
              <w:jc w:val="center"/>
              <w:rPr>
                <w:rFonts w:ascii="Arial" w:hAnsi="Arial" w:cs="Arial"/>
                <w:sz w:val="18"/>
                <w:szCs w:val="18"/>
              </w:rPr>
            </w:pPr>
          </w:p>
        </w:tc>
        <w:tc>
          <w:tcPr>
            <w:tcW w:w="239" w:type="dxa"/>
            <w:tcBorders>
              <w:top w:val="nil"/>
              <w:left w:val="nil"/>
              <w:bottom w:val="nil"/>
              <w:right w:val="nil"/>
            </w:tcBorders>
          </w:tcPr>
          <w:p w14:paraId="4210DEE5" w14:textId="77777777" w:rsidR="00364A0E" w:rsidRPr="00226892" w:rsidRDefault="00364A0E" w:rsidP="00364A0E">
            <w:pPr>
              <w:jc w:val="right"/>
              <w:rPr>
                <w:rFonts w:ascii="Arial" w:hAnsi="Arial" w:cs="Arial"/>
                <w:sz w:val="18"/>
                <w:szCs w:val="18"/>
              </w:rPr>
            </w:pPr>
          </w:p>
        </w:tc>
        <w:tc>
          <w:tcPr>
            <w:tcW w:w="1593" w:type="dxa"/>
            <w:tcBorders>
              <w:top w:val="nil"/>
              <w:left w:val="nil"/>
              <w:bottom w:val="nil"/>
              <w:right w:val="nil"/>
            </w:tcBorders>
            <w:shd w:val="clear" w:color="auto" w:fill="auto"/>
            <w:vAlign w:val="bottom"/>
          </w:tcPr>
          <w:p w14:paraId="5E988B78" w14:textId="2A560BD6" w:rsidR="00364A0E" w:rsidRPr="00226892" w:rsidRDefault="00364A0E" w:rsidP="00364A0E">
            <w:pPr>
              <w:jc w:val="right"/>
              <w:rPr>
                <w:rFonts w:ascii="Arial" w:hAnsi="Arial" w:cs="Arial"/>
                <w:sz w:val="18"/>
                <w:szCs w:val="18"/>
              </w:rPr>
            </w:pPr>
          </w:p>
        </w:tc>
        <w:tc>
          <w:tcPr>
            <w:tcW w:w="242" w:type="dxa"/>
            <w:tcBorders>
              <w:top w:val="nil"/>
              <w:left w:val="nil"/>
              <w:bottom w:val="nil"/>
            </w:tcBorders>
          </w:tcPr>
          <w:p w14:paraId="64EDD098" w14:textId="77777777" w:rsidR="00364A0E" w:rsidRPr="00226892" w:rsidRDefault="00364A0E" w:rsidP="00364A0E">
            <w:pPr>
              <w:jc w:val="right"/>
              <w:rPr>
                <w:rFonts w:ascii="Arial" w:hAnsi="Arial" w:cs="Arial"/>
                <w:sz w:val="18"/>
                <w:szCs w:val="18"/>
              </w:rPr>
            </w:pPr>
          </w:p>
        </w:tc>
        <w:tc>
          <w:tcPr>
            <w:tcW w:w="1588" w:type="dxa"/>
            <w:tcBorders>
              <w:top w:val="nil"/>
              <w:left w:val="nil"/>
              <w:bottom w:val="nil"/>
              <w:right w:val="nil"/>
            </w:tcBorders>
            <w:shd w:val="clear" w:color="auto" w:fill="auto"/>
            <w:vAlign w:val="bottom"/>
          </w:tcPr>
          <w:p w14:paraId="1D2B65BE" w14:textId="5BABB28E" w:rsidR="00364A0E" w:rsidRPr="00226892" w:rsidRDefault="00364A0E" w:rsidP="00364A0E">
            <w:pPr>
              <w:jc w:val="right"/>
              <w:rPr>
                <w:rFonts w:ascii="Arial" w:hAnsi="Arial" w:cs="Arial"/>
                <w:sz w:val="18"/>
                <w:szCs w:val="18"/>
              </w:rPr>
            </w:pPr>
          </w:p>
        </w:tc>
      </w:tr>
      <w:tr w:rsidR="00364A0E" w:rsidRPr="00226892" w14:paraId="1B0CDAC4" w14:textId="77777777" w:rsidTr="008147CB">
        <w:trPr>
          <w:trHeight w:val="227"/>
        </w:trPr>
        <w:tc>
          <w:tcPr>
            <w:tcW w:w="5292" w:type="dxa"/>
            <w:tcBorders>
              <w:top w:val="nil"/>
              <w:left w:val="nil"/>
              <w:bottom w:val="nil"/>
              <w:right w:val="nil"/>
            </w:tcBorders>
            <w:shd w:val="clear" w:color="auto" w:fill="auto"/>
            <w:vAlign w:val="bottom"/>
            <w:hideMark/>
          </w:tcPr>
          <w:p w14:paraId="658A57C4" w14:textId="5278F8C8" w:rsidR="00364A0E" w:rsidRPr="00226892" w:rsidRDefault="00364A0E" w:rsidP="00364A0E">
            <w:pPr>
              <w:rPr>
                <w:rFonts w:ascii="Arial" w:hAnsi="Arial" w:cs="Arial"/>
                <w:b/>
                <w:bCs/>
                <w:color w:val="000000"/>
                <w:sz w:val="18"/>
                <w:szCs w:val="18"/>
              </w:rPr>
            </w:pPr>
            <w:proofErr w:type="spellStart"/>
            <w:r w:rsidRPr="00226892">
              <w:rPr>
                <w:rFonts w:ascii="Arial" w:hAnsi="Arial" w:cs="Arial"/>
                <w:b/>
                <w:bCs/>
                <w:color w:val="000000"/>
                <w:sz w:val="18"/>
                <w:szCs w:val="18"/>
              </w:rPr>
              <w:t>Čisté</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peňažné</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toky</w:t>
            </w:r>
            <w:proofErr w:type="spellEnd"/>
            <w:r w:rsidRPr="00226892">
              <w:rPr>
                <w:rFonts w:ascii="Arial" w:hAnsi="Arial" w:cs="Arial"/>
                <w:b/>
                <w:bCs/>
                <w:color w:val="000000"/>
                <w:sz w:val="18"/>
                <w:szCs w:val="18"/>
              </w:rPr>
              <w:t xml:space="preserve"> z </w:t>
            </w:r>
            <w:proofErr w:type="spellStart"/>
            <w:r w:rsidRPr="00226892">
              <w:rPr>
                <w:rFonts w:ascii="Arial" w:hAnsi="Arial" w:cs="Arial"/>
                <w:b/>
                <w:bCs/>
                <w:color w:val="000000"/>
                <w:sz w:val="18"/>
                <w:szCs w:val="18"/>
              </w:rPr>
              <w:t>finančnej</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činnosti</w:t>
            </w:r>
            <w:proofErr w:type="spellEnd"/>
            <w:r w:rsidRPr="00226892">
              <w:rPr>
                <w:rFonts w:ascii="Arial" w:hAnsi="Arial" w:cs="Arial"/>
                <w:b/>
                <w:bCs/>
                <w:color w:val="000000"/>
                <w:sz w:val="18"/>
                <w:szCs w:val="18"/>
              </w:rPr>
              <w:t xml:space="preserve"> </w:t>
            </w:r>
          </w:p>
        </w:tc>
        <w:tc>
          <w:tcPr>
            <w:tcW w:w="685" w:type="dxa"/>
            <w:tcBorders>
              <w:top w:val="nil"/>
              <w:left w:val="nil"/>
              <w:bottom w:val="nil"/>
              <w:right w:val="nil"/>
            </w:tcBorders>
            <w:shd w:val="clear" w:color="auto" w:fill="auto"/>
            <w:vAlign w:val="bottom"/>
            <w:hideMark/>
          </w:tcPr>
          <w:p w14:paraId="0755F89C" w14:textId="77777777" w:rsidR="00364A0E" w:rsidRPr="00226892" w:rsidRDefault="00364A0E" w:rsidP="008147CB">
            <w:pPr>
              <w:jc w:val="center"/>
              <w:rPr>
                <w:rFonts w:ascii="Arial" w:hAnsi="Arial" w:cs="Arial"/>
                <w:sz w:val="18"/>
                <w:szCs w:val="18"/>
              </w:rPr>
            </w:pPr>
          </w:p>
        </w:tc>
        <w:tc>
          <w:tcPr>
            <w:tcW w:w="239" w:type="dxa"/>
            <w:tcBorders>
              <w:left w:val="nil"/>
              <w:right w:val="nil"/>
            </w:tcBorders>
          </w:tcPr>
          <w:p w14:paraId="6D8F35EB" w14:textId="77777777" w:rsidR="00364A0E" w:rsidRPr="00226892" w:rsidRDefault="00364A0E" w:rsidP="00364A0E">
            <w:pPr>
              <w:jc w:val="right"/>
              <w:rPr>
                <w:rFonts w:ascii="Arial" w:hAnsi="Arial" w:cs="Arial"/>
                <w:b/>
                <w:bCs/>
                <w:color w:val="000000"/>
                <w:sz w:val="18"/>
                <w:szCs w:val="18"/>
              </w:rPr>
            </w:pPr>
          </w:p>
        </w:tc>
        <w:tc>
          <w:tcPr>
            <w:tcW w:w="1593" w:type="dxa"/>
            <w:tcBorders>
              <w:top w:val="single" w:sz="4" w:space="0" w:color="auto"/>
              <w:left w:val="nil"/>
              <w:bottom w:val="double" w:sz="6" w:space="0" w:color="auto"/>
              <w:right w:val="nil"/>
            </w:tcBorders>
            <w:shd w:val="clear" w:color="auto" w:fill="auto"/>
            <w:vAlign w:val="bottom"/>
          </w:tcPr>
          <w:p w14:paraId="082F3C90" w14:textId="6DD40F00" w:rsidR="00364A0E" w:rsidRPr="00226892" w:rsidRDefault="00364A0E" w:rsidP="00364A0E">
            <w:pPr>
              <w:jc w:val="right"/>
              <w:rPr>
                <w:rFonts w:ascii="Arial" w:hAnsi="Arial" w:cs="Arial"/>
                <w:b/>
                <w:bCs/>
                <w:color w:val="000000"/>
                <w:sz w:val="18"/>
                <w:szCs w:val="18"/>
              </w:rPr>
            </w:pPr>
            <w:r w:rsidRPr="00226892">
              <w:rPr>
                <w:rFonts w:ascii="Arial" w:hAnsi="Arial" w:cs="Arial"/>
                <w:b/>
                <w:bCs/>
                <w:color w:val="000000"/>
                <w:sz w:val="18"/>
                <w:szCs w:val="18"/>
              </w:rPr>
              <w:t>-17 969</w:t>
            </w:r>
          </w:p>
        </w:tc>
        <w:tc>
          <w:tcPr>
            <w:tcW w:w="242" w:type="dxa"/>
            <w:tcBorders>
              <w:left w:val="nil"/>
            </w:tcBorders>
          </w:tcPr>
          <w:p w14:paraId="440648E9" w14:textId="77777777" w:rsidR="00364A0E" w:rsidRPr="00226892" w:rsidRDefault="00364A0E" w:rsidP="00364A0E">
            <w:pPr>
              <w:jc w:val="right"/>
              <w:rPr>
                <w:rFonts w:ascii="Arial" w:hAnsi="Arial" w:cs="Arial"/>
                <w:b/>
                <w:bCs/>
                <w:color w:val="000000"/>
                <w:sz w:val="18"/>
                <w:szCs w:val="18"/>
              </w:rPr>
            </w:pPr>
          </w:p>
        </w:tc>
        <w:tc>
          <w:tcPr>
            <w:tcW w:w="1588" w:type="dxa"/>
            <w:tcBorders>
              <w:top w:val="single" w:sz="4" w:space="0" w:color="auto"/>
              <w:left w:val="nil"/>
              <w:bottom w:val="double" w:sz="6" w:space="0" w:color="auto"/>
              <w:right w:val="nil"/>
            </w:tcBorders>
            <w:shd w:val="clear" w:color="auto" w:fill="auto"/>
            <w:vAlign w:val="bottom"/>
          </w:tcPr>
          <w:p w14:paraId="17330328" w14:textId="007E1108" w:rsidR="00364A0E" w:rsidRPr="00226892" w:rsidRDefault="008D1C4A" w:rsidP="00364A0E">
            <w:pPr>
              <w:jc w:val="right"/>
              <w:rPr>
                <w:rFonts w:ascii="Arial" w:hAnsi="Arial" w:cs="Arial"/>
                <w:b/>
                <w:bCs/>
                <w:color w:val="000000"/>
                <w:sz w:val="18"/>
                <w:szCs w:val="18"/>
              </w:rPr>
            </w:pPr>
            <w:r w:rsidRPr="00226892">
              <w:rPr>
                <w:rFonts w:ascii="Arial" w:hAnsi="Arial" w:cs="Arial"/>
                <w:b/>
                <w:bCs/>
                <w:color w:val="000000"/>
                <w:sz w:val="18"/>
                <w:szCs w:val="18"/>
              </w:rPr>
              <w:t>932</w:t>
            </w:r>
          </w:p>
        </w:tc>
      </w:tr>
      <w:tr w:rsidR="00364A0E" w:rsidRPr="00226892" w14:paraId="73D774AE" w14:textId="77777777" w:rsidTr="008147CB">
        <w:trPr>
          <w:trHeight w:val="227"/>
        </w:trPr>
        <w:tc>
          <w:tcPr>
            <w:tcW w:w="5292" w:type="dxa"/>
            <w:tcBorders>
              <w:top w:val="nil"/>
              <w:left w:val="nil"/>
              <w:bottom w:val="nil"/>
              <w:right w:val="nil"/>
            </w:tcBorders>
            <w:shd w:val="clear" w:color="auto" w:fill="auto"/>
            <w:vAlign w:val="bottom"/>
            <w:hideMark/>
          </w:tcPr>
          <w:p w14:paraId="573164BF" w14:textId="77777777" w:rsidR="00364A0E" w:rsidRPr="00226892" w:rsidRDefault="00364A0E" w:rsidP="00364A0E">
            <w:pPr>
              <w:rPr>
                <w:rFonts w:ascii="Arial" w:hAnsi="Arial" w:cs="Arial"/>
                <w:b/>
                <w:bCs/>
                <w:color w:val="000000"/>
                <w:sz w:val="18"/>
                <w:szCs w:val="18"/>
              </w:rPr>
            </w:pPr>
          </w:p>
        </w:tc>
        <w:tc>
          <w:tcPr>
            <w:tcW w:w="685" w:type="dxa"/>
            <w:tcBorders>
              <w:top w:val="nil"/>
              <w:left w:val="nil"/>
              <w:bottom w:val="nil"/>
              <w:right w:val="nil"/>
            </w:tcBorders>
            <w:shd w:val="clear" w:color="auto" w:fill="auto"/>
            <w:vAlign w:val="bottom"/>
            <w:hideMark/>
          </w:tcPr>
          <w:p w14:paraId="1CF2E189" w14:textId="77777777" w:rsidR="00364A0E" w:rsidRPr="00226892" w:rsidRDefault="00364A0E" w:rsidP="008147CB">
            <w:pPr>
              <w:jc w:val="center"/>
              <w:rPr>
                <w:rFonts w:ascii="Arial" w:hAnsi="Arial" w:cs="Arial"/>
                <w:sz w:val="18"/>
                <w:szCs w:val="18"/>
              </w:rPr>
            </w:pPr>
          </w:p>
        </w:tc>
        <w:tc>
          <w:tcPr>
            <w:tcW w:w="239" w:type="dxa"/>
            <w:tcBorders>
              <w:top w:val="nil"/>
              <w:left w:val="nil"/>
              <w:bottom w:val="nil"/>
              <w:right w:val="nil"/>
            </w:tcBorders>
          </w:tcPr>
          <w:p w14:paraId="69A287C7" w14:textId="77777777" w:rsidR="00364A0E" w:rsidRPr="00226892" w:rsidRDefault="00364A0E" w:rsidP="00364A0E">
            <w:pPr>
              <w:jc w:val="right"/>
              <w:rPr>
                <w:rFonts w:ascii="Arial" w:hAnsi="Arial" w:cs="Arial"/>
                <w:sz w:val="18"/>
                <w:szCs w:val="18"/>
              </w:rPr>
            </w:pPr>
          </w:p>
        </w:tc>
        <w:tc>
          <w:tcPr>
            <w:tcW w:w="1593" w:type="dxa"/>
            <w:tcBorders>
              <w:top w:val="nil"/>
              <w:left w:val="nil"/>
              <w:bottom w:val="nil"/>
              <w:right w:val="nil"/>
            </w:tcBorders>
            <w:shd w:val="clear" w:color="auto" w:fill="auto"/>
            <w:vAlign w:val="bottom"/>
          </w:tcPr>
          <w:p w14:paraId="2CC2F8B2" w14:textId="2A1458E1" w:rsidR="00364A0E" w:rsidRPr="00226892" w:rsidRDefault="00364A0E" w:rsidP="00364A0E">
            <w:pPr>
              <w:jc w:val="right"/>
              <w:rPr>
                <w:rFonts w:ascii="Arial" w:hAnsi="Arial" w:cs="Arial"/>
                <w:sz w:val="18"/>
                <w:szCs w:val="18"/>
              </w:rPr>
            </w:pPr>
          </w:p>
        </w:tc>
        <w:tc>
          <w:tcPr>
            <w:tcW w:w="242" w:type="dxa"/>
            <w:tcBorders>
              <w:top w:val="nil"/>
              <w:left w:val="nil"/>
              <w:bottom w:val="nil"/>
            </w:tcBorders>
          </w:tcPr>
          <w:p w14:paraId="58CA4A25" w14:textId="77777777" w:rsidR="00364A0E" w:rsidRPr="00226892" w:rsidRDefault="00364A0E" w:rsidP="00364A0E">
            <w:pPr>
              <w:jc w:val="right"/>
              <w:rPr>
                <w:rFonts w:ascii="Arial" w:hAnsi="Arial" w:cs="Arial"/>
                <w:sz w:val="18"/>
                <w:szCs w:val="18"/>
              </w:rPr>
            </w:pPr>
          </w:p>
        </w:tc>
        <w:tc>
          <w:tcPr>
            <w:tcW w:w="1588" w:type="dxa"/>
            <w:tcBorders>
              <w:top w:val="nil"/>
              <w:left w:val="nil"/>
              <w:bottom w:val="nil"/>
              <w:right w:val="nil"/>
            </w:tcBorders>
            <w:shd w:val="clear" w:color="auto" w:fill="auto"/>
            <w:vAlign w:val="bottom"/>
          </w:tcPr>
          <w:p w14:paraId="4ECB99C8" w14:textId="4027FAB8" w:rsidR="00364A0E" w:rsidRPr="00226892" w:rsidRDefault="00364A0E" w:rsidP="00364A0E">
            <w:pPr>
              <w:jc w:val="right"/>
              <w:rPr>
                <w:rFonts w:ascii="Arial" w:hAnsi="Arial" w:cs="Arial"/>
                <w:sz w:val="18"/>
                <w:szCs w:val="18"/>
              </w:rPr>
            </w:pPr>
          </w:p>
        </w:tc>
      </w:tr>
      <w:tr w:rsidR="00364A0E" w:rsidRPr="00226892" w14:paraId="3000A985" w14:textId="77777777" w:rsidTr="008147CB">
        <w:trPr>
          <w:trHeight w:val="227"/>
        </w:trPr>
        <w:tc>
          <w:tcPr>
            <w:tcW w:w="5292" w:type="dxa"/>
            <w:tcBorders>
              <w:top w:val="nil"/>
              <w:left w:val="nil"/>
              <w:bottom w:val="nil"/>
              <w:right w:val="nil"/>
            </w:tcBorders>
            <w:shd w:val="clear" w:color="auto" w:fill="auto"/>
            <w:vAlign w:val="bottom"/>
            <w:hideMark/>
          </w:tcPr>
          <w:p w14:paraId="2BA42E0C" w14:textId="05ECE422" w:rsidR="00364A0E" w:rsidRPr="00226892" w:rsidRDefault="00364A0E" w:rsidP="00364A0E">
            <w:pPr>
              <w:rPr>
                <w:rFonts w:ascii="Arial" w:hAnsi="Arial" w:cs="Arial"/>
                <w:b/>
                <w:bCs/>
                <w:color w:val="000000"/>
                <w:sz w:val="18"/>
                <w:szCs w:val="18"/>
              </w:rPr>
            </w:pPr>
            <w:proofErr w:type="spellStart"/>
            <w:r w:rsidRPr="00226892">
              <w:rPr>
                <w:rFonts w:ascii="Arial" w:hAnsi="Arial" w:cs="Arial"/>
                <w:b/>
                <w:bCs/>
                <w:color w:val="000000"/>
                <w:sz w:val="18"/>
                <w:szCs w:val="18"/>
              </w:rPr>
              <w:t>Čistý</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prírastok</w:t>
            </w:r>
            <w:proofErr w:type="spellEnd"/>
            <w:r w:rsidRPr="00226892">
              <w:rPr>
                <w:rFonts w:ascii="Arial" w:hAnsi="Arial" w:cs="Arial"/>
                <w:b/>
                <w:bCs/>
                <w:color w:val="000000"/>
                <w:sz w:val="18"/>
                <w:szCs w:val="18"/>
              </w:rPr>
              <w:t xml:space="preserve"> / (-) </w:t>
            </w:r>
            <w:proofErr w:type="spellStart"/>
            <w:r w:rsidRPr="00226892">
              <w:rPr>
                <w:rFonts w:ascii="Arial" w:hAnsi="Arial" w:cs="Arial"/>
                <w:b/>
                <w:bCs/>
                <w:color w:val="000000"/>
                <w:sz w:val="18"/>
                <w:szCs w:val="18"/>
              </w:rPr>
              <w:t>úbytok</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peňažných</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prostriedkov</w:t>
            </w:r>
            <w:proofErr w:type="spellEnd"/>
            <w:r w:rsidRPr="00226892">
              <w:rPr>
                <w:rFonts w:ascii="Arial" w:hAnsi="Arial" w:cs="Arial"/>
                <w:b/>
                <w:bCs/>
                <w:color w:val="000000"/>
                <w:sz w:val="18"/>
                <w:szCs w:val="18"/>
              </w:rPr>
              <w:t xml:space="preserve"> a </w:t>
            </w:r>
            <w:proofErr w:type="spellStart"/>
            <w:r w:rsidRPr="00226892">
              <w:rPr>
                <w:rFonts w:ascii="Arial" w:hAnsi="Arial" w:cs="Arial"/>
                <w:b/>
                <w:bCs/>
                <w:color w:val="000000"/>
                <w:sz w:val="18"/>
                <w:szCs w:val="18"/>
              </w:rPr>
              <w:t>peňažných</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ekvivalentov</w:t>
            </w:r>
            <w:proofErr w:type="spellEnd"/>
            <w:r w:rsidRPr="00226892">
              <w:rPr>
                <w:rFonts w:ascii="Arial" w:hAnsi="Arial" w:cs="Arial"/>
                <w:b/>
                <w:bCs/>
                <w:color w:val="000000"/>
                <w:sz w:val="18"/>
                <w:szCs w:val="18"/>
              </w:rPr>
              <w:t xml:space="preserve">  </w:t>
            </w:r>
          </w:p>
        </w:tc>
        <w:tc>
          <w:tcPr>
            <w:tcW w:w="685" w:type="dxa"/>
            <w:tcBorders>
              <w:top w:val="nil"/>
              <w:left w:val="nil"/>
              <w:bottom w:val="nil"/>
              <w:right w:val="nil"/>
            </w:tcBorders>
            <w:shd w:val="clear" w:color="auto" w:fill="auto"/>
            <w:vAlign w:val="bottom"/>
            <w:hideMark/>
          </w:tcPr>
          <w:p w14:paraId="54875F7F" w14:textId="77777777" w:rsidR="00364A0E" w:rsidRPr="00226892" w:rsidRDefault="00364A0E" w:rsidP="008147CB">
            <w:pPr>
              <w:jc w:val="center"/>
              <w:rPr>
                <w:rFonts w:ascii="Arial" w:hAnsi="Arial" w:cs="Arial"/>
                <w:sz w:val="18"/>
                <w:szCs w:val="18"/>
              </w:rPr>
            </w:pPr>
          </w:p>
        </w:tc>
        <w:tc>
          <w:tcPr>
            <w:tcW w:w="239" w:type="dxa"/>
            <w:tcBorders>
              <w:top w:val="nil"/>
              <w:left w:val="nil"/>
              <w:bottom w:val="nil"/>
              <w:right w:val="nil"/>
            </w:tcBorders>
          </w:tcPr>
          <w:p w14:paraId="78D6E8B3" w14:textId="77777777" w:rsidR="00364A0E" w:rsidRPr="00226892" w:rsidRDefault="00364A0E" w:rsidP="00364A0E">
            <w:pPr>
              <w:pStyle w:val="Odsekzoznamu"/>
              <w:jc w:val="right"/>
              <w:rPr>
                <w:rFonts w:ascii="Arial" w:hAnsi="Arial" w:cs="Arial"/>
                <w:color w:val="000000"/>
                <w:sz w:val="18"/>
                <w:szCs w:val="18"/>
              </w:rPr>
            </w:pPr>
          </w:p>
        </w:tc>
        <w:tc>
          <w:tcPr>
            <w:tcW w:w="1593" w:type="dxa"/>
            <w:tcBorders>
              <w:top w:val="nil"/>
              <w:left w:val="nil"/>
              <w:bottom w:val="nil"/>
              <w:right w:val="nil"/>
            </w:tcBorders>
            <w:shd w:val="clear" w:color="auto" w:fill="auto"/>
            <w:vAlign w:val="bottom"/>
          </w:tcPr>
          <w:p w14:paraId="68675C82" w14:textId="591E1B1A" w:rsidR="00364A0E" w:rsidRPr="00226892" w:rsidRDefault="00364A0E" w:rsidP="00364A0E">
            <w:pPr>
              <w:pStyle w:val="Odsekzoznamu"/>
              <w:jc w:val="right"/>
              <w:rPr>
                <w:rFonts w:ascii="Arial" w:hAnsi="Arial" w:cs="Arial"/>
                <w:color w:val="000000"/>
                <w:sz w:val="18"/>
                <w:szCs w:val="18"/>
              </w:rPr>
            </w:pPr>
            <w:r w:rsidRPr="00226892">
              <w:rPr>
                <w:rFonts w:ascii="Arial" w:hAnsi="Arial" w:cs="Arial"/>
                <w:color w:val="000000"/>
                <w:sz w:val="18"/>
                <w:szCs w:val="18"/>
              </w:rPr>
              <w:t>9 900</w:t>
            </w:r>
          </w:p>
        </w:tc>
        <w:tc>
          <w:tcPr>
            <w:tcW w:w="242" w:type="dxa"/>
            <w:tcBorders>
              <w:top w:val="nil"/>
              <w:left w:val="nil"/>
              <w:bottom w:val="nil"/>
            </w:tcBorders>
          </w:tcPr>
          <w:p w14:paraId="748D408B" w14:textId="77777777" w:rsidR="00364A0E" w:rsidRPr="00226892" w:rsidRDefault="00364A0E" w:rsidP="00364A0E">
            <w:pPr>
              <w:jc w:val="right"/>
              <w:rPr>
                <w:rFonts w:ascii="Arial" w:hAnsi="Arial" w:cs="Arial"/>
                <w:color w:val="000000"/>
                <w:sz w:val="18"/>
                <w:szCs w:val="18"/>
              </w:rPr>
            </w:pPr>
          </w:p>
        </w:tc>
        <w:tc>
          <w:tcPr>
            <w:tcW w:w="1588" w:type="dxa"/>
            <w:tcBorders>
              <w:top w:val="nil"/>
              <w:left w:val="nil"/>
              <w:bottom w:val="nil"/>
              <w:right w:val="nil"/>
            </w:tcBorders>
            <w:shd w:val="clear" w:color="auto" w:fill="auto"/>
            <w:vAlign w:val="bottom"/>
          </w:tcPr>
          <w:p w14:paraId="6054CB1B" w14:textId="7302916E" w:rsidR="00364A0E" w:rsidRPr="00226892" w:rsidRDefault="00364A0E" w:rsidP="00364A0E">
            <w:pPr>
              <w:jc w:val="right"/>
              <w:rPr>
                <w:rFonts w:ascii="Arial" w:hAnsi="Arial" w:cs="Arial"/>
                <w:color w:val="000000"/>
                <w:sz w:val="18"/>
                <w:szCs w:val="18"/>
              </w:rPr>
            </w:pPr>
            <w:r w:rsidRPr="00226892">
              <w:rPr>
                <w:rFonts w:ascii="Arial" w:hAnsi="Arial" w:cs="Arial"/>
                <w:color w:val="000000"/>
                <w:sz w:val="18"/>
                <w:szCs w:val="18"/>
              </w:rPr>
              <w:t>5 330</w:t>
            </w:r>
          </w:p>
        </w:tc>
      </w:tr>
      <w:tr w:rsidR="00364A0E" w:rsidRPr="00226892" w14:paraId="37A9479B" w14:textId="77777777" w:rsidTr="008147CB">
        <w:trPr>
          <w:trHeight w:val="227"/>
        </w:trPr>
        <w:tc>
          <w:tcPr>
            <w:tcW w:w="5292" w:type="dxa"/>
            <w:tcBorders>
              <w:top w:val="nil"/>
              <w:left w:val="nil"/>
              <w:bottom w:val="nil"/>
              <w:right w:val="nil"/>
            </w:tcBorders>
            <w:shd w:val="clear" w:color="auto" w:fill="auto"/>
            <w:vAlign w:val="bottom"/>
            <w:hideMark/>
          </w:tcPr>
          <w:p w14:paraId="24741D93" w14:textId="77777777" w:rsidR="00364A0E" w:rsidRPr="00226892" w:rsidRDefault="00364A0E" w:rsidP="00364A0E">
            <w:pPr>
              <w:rPr>
                <w:rFonts w:ascii="Arial" w:hAnsi="Arial" w:cs="Arial"/>
                <w:color w:val="000000"/>
                <w:sz w:val="18"/>
                <w:szCs w:val="18"/>
              </w:rPr>
            </w:pPr>
          </w:p>
        </w:tc>
        <w:tc>
          <w:tcPr>
            <w:tcW w:w="685" w:type="dxa"/>
            <w:tcBorders>
              <w:top w:val="nil"/>
              <w:left w:val="nil"/>
              <w:bottom w:val="nil"/>
              <w:right w:val="nil"/>
            </w:tcBorders>
            <w:shd w:val="clear" w:color="auto" w:fill="auto"/>
            <w:vAlign w:val="bottom"/>
            <w:hideMark/>
          </w:tcPr>
          <w:p w14:paraId="159F441B" w14:textId="77777777" w:rsidR="00364A0E" w:rsidRPr="00226892" w:rsidRDefault="00364A0E" w:rsidP="008147CB">
            <w:pPr>
              <w:jc w:val="center"/>
              <w:rPr>
                <w:rFonts w:ascii="Arial" w:hAnsi="Arial" w:cs="Arial"/>
                <w:sz w:val="18"/>
                <w:szCs w:val="18"/>
              </w:rPr>
            </w:pPr>
          </w:p>
        </w:tc>
        <w:tc>
          <w:tcPr>
            <w:tcW w:w="239" w:type="dxa"/>
            <w:tcBorders>
              <w:top w:val="nil"/>
              <w:left w:val="nil"/>
              <w:bottom w:val="nil"/>
              <w:right w:val="nil"/>
            </w:tcBorders>
          </w:tcPr>
          <w:p w14:paraId="00CCFBAD" w14:textId="77777777" w:rsidR="00364A0E" w:rsidRPr="00226892" w:rsidRDefault="00364A0E" w:rsidP="00364A0E">
            <w:pPr>
              <w:jc w:val="right"/>
              <w:rPr>
                <w:rFonts w:ascii="Arial" w:hAnsi="Arial" w:cs="Arial"/>
                <w:sz w:val="18"/>
                <w:szCs w:val="18"/>
              </w:rPr>
            </w:pPr>
          </w:p>
        </w:tc>
        <w:tc>
          <w:tcPr>
            <w:tcW w:w="1593" w:type="dxa"/>
            <w:tcBorders>
              <w:top w:val="nil"/>
              <w:left w:val="nil"/>
              <w:bottom w:val="nil"/>
              <w:right w:val="nil"/>
            </w:tcBorders>
            <w:shd w:val="clear" w:color="auto" w:fill="auto"/>
            <w:vAlign w:val="bottom"/>
          </w:tcPr>
          <w:p w14:paraId="1A048006" w14:textId="67AA069F" w:rsidR="00364A0E" w:rsidRPr="00226892" w:rsidRDefault="00364A0E" w:rsidP="00364A0E">
            <w:pPr>
              <w:jc w:val="right"/>
              <w:rPr>
                <w:rFonts w:ascii="Arial" w:hAnsi="Arial" w:cs="Arial"/>
                <w:sz w:val="18"/>
                <w:szCs w:val="18"/>
              </w:rPr>
            </w:pPr>
          </w:p>
        </w:tc>
        <w:tc>
          <w:tcPr>
            <w:tcW w:w="242" w:type="dxa"/>
            <w:tcBorders>
              <w:top w:val="nil"/>
              <w:left w:val="nil"/>
              <w:right w:val="nil"/>
            </w:tcBorders>
          </w:tcPr>
          <w:p w14:paraId="082A9C1B" w14:textId="77777777" w:rsidR="00364A0E" w:rsidRPr="00226892" w:rsidRDefault="00364A0E" w:rsidP="00364A0E">
            <w:pPr>
              <w:jc w:val="right"/>
              <w:rPr>
                <w:rFonts w:ascii="Arial" w:hAnsi="Arial" w:cs="Arial"/>
                <w:sz w:val="18"/>
                <w:szCs w:val="18"/>
              </w:rPr>
            </w:pPr>
          </w:p>
        </w:tc>
        <w:tc>
          <w:tcPr>
            <w:tcW w:w="1588" w:type="dxa"/>
            <w:tcBorders>
              <w:top w:val="nil"/>
              <w:left w:val="nil"/>
              <w:bottom w:val="nil"/>
              <w:right w:val="nil"/>
            </w:tcBorders>
            <w:shd w:val="clear" w:color="auto" w:fill="auto"/>
            <w:vAlign w:val="bottom"/>
          </w:tcPr>
          <w:p w14:paraId="39B03335" w14:textId="69F21C0A" w:rsidR="00364A0E" w:rsidRPr="00226892" w:rsidRDefault="00364A0E" w:rsidP="00364A0E">
            <w:pPr>
              <w:jc w:val="right"/>
              <w:rPr>
                <w:rFonts w:ascii="Arial" w:hAnsi="Arial" w:cs="Arial"/>
                <w:sz w:val="18"/>
                <w:szCs w:val="18"/>
              </w:rPr>
            </w:pPr>
          </w:p>
        </w:tc>
      </w:tr>
      <w:tr w:rsidR="00364A0E" w:rsidRPr="00226892" w14:paraId="78134814" w14:textId="77777777" w:rsidTr="008147CB">
        <w:trPr>
          <w:trHeight w:val="227"/>
        </w:trPr>
        <w:tc>
          <w:tcPr>
            <w:tcW w:w="5292" w:type="dxa"/>
            <w:tcBorders>
              <w:top w:val="nil"/>
              <w:left w:val="nil"/>
              <w:bottom w:val="nil"/>
              <w:right w:val="nil"/>
            </w:tcBorders>
            <w:shd w:val="clear" w:color="auto" w:fill="auto"/>
            <w:vAlign w:val="bottom"/>
            <w:hideMark/>
          </w:tcPr>
          <w:p w14:paraId="742CC67E" w14:textId="77777777" w:rsidR="00364A0E" w:rsidRPr="00226892" w:rsidRDefault="00364A0E" w:rsidP="00364A0E">
            <w:pPr>
              <w:ind w:right="-309"/>
              <w:rPr>
                <w:rFonts w:ascii="Arial" w:hAnsi="Arial" w:cs="Arial"/>
                <w:b/>
                <w:bCs/>
                <w:color w:val="000000"/>
                <w:sz w:val="18"/>
                <w:szCs w:val="18"/>
              </w:rPr>
            </w:pPr>
            <w:proofErr w:type="spellStart"/>
            <w:r w:rsidRPr="00226892">
              <w:rPr>
                <w:rFonts w:ascii="Arial" w:hAnsi="Arial" w:cs="Arial"/>
                <w:b/>
                <w:bCs/>
                <w:color w:val="000000"/>
                <w:sz w:val="18"/>
                <w:szCs w:val="18"/>
              </w:rPr>
              <w:t>Peňažné</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prostriedky</w:t>
            </w:r>
            <w:proofErr w:type="spellEnd"/>
            <w:r w:rsidRPr="00226892">
              <w:rPr>
                <w:rFonts w:ascii="Arial" w:hAnsi="Arial" w:cs="Arial"/>
                <w:b/>
                <w:bCs/>
                <w:color w:val="000000"/>
                <w:sz w:val="18"/>
                <w:szCs w:val="18"/>
              </w:rPr>
              <w:t xml:space="preserve"> a </w:t>
            </w:r>
            <w:proofErr w:type="spellStart"/>
            <w:r w:rsidRPr="00226892">
              <w:rPr>
                <w:rFonts w:ascii="Arial" w:hAnsi="Arial" w:cs="Arial"/>
                <w:b/>
                <w:bCs/>
                <w:color w:val="000000"/>
                <w:sz w:val="18"/>
                <w:szCs w:val="18"/>
              </w:rPr>
              <w:t>peňažné</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ekvivalenty</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na</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začiatku</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roka</w:t>
            </w:r>
            <w:proofErr w:type="spellEnd"/>
          </w:p>
        </w:tc>
        <w:tc>
          <w:tcPr>
            <w:tcW w:w="685" w:type="dxa"/>
            <w:tcBorders>
              <w:top w:val="nil"/>
              <w:left w:val="nil"/>
              <w:bottom w:val="nil"/>
              <w:right w:val="nil"/>
            </w:tcBorders>
            <w:shd w:val="clear" w:color="auto" w:fill="auto"/>
            <w:vAlign w:val="bottom"/>
            <w:hideMark/>
          </w:tcPr>
          <w:p w14:paraId="74C7D106" w14:textId="4ED8EF00" w:rsidR="00364A0E" w:rsidRPr="00226892" w:rsidRDefault="00364A0E" w:rsidP="008147CB">
            <w:pPr>
              <w:jc w:val="center"/>
              <w:rPr>
                <w:rFonts w:ascii="Arial" w:hAnsi="Arial" w:cs="Arial"/>
                <w:sz w:val="18"/>
                <w:szCs w:val="18"/>
              </w:rPr>
            </w:pPr>
            <w:r w:rsidRPr="00226892">
              <w:rPr>
                <w:rFonts w:ascii="Arial" w:hAnsi="Arial" w:cs="Arial"/>
                <w:sz w:val="18"/>
                <w:szCs w:val="18"/>
              </w:rPr>
              <w:t>1</w:t>
            </w:r>
            <w:r w:rsidR="00417748" w:rsidRPr="00226892">
              <w:rPr>
                <w:rFonts w:ascii="Arial" w:hAnsi="Arial" w:cs="Arial"/>
                <w:sz w:val="18"/>
                <w:szCs w:val="18"/>
              </w:rPr>
              <w:t>3</w:t>
            </w:r>
          </w:p>
        </w:tc>
        <w:tc>
          <w:tcPr>
            <w:tcW w:w="239" w:type="dxa"/>
            <w:tcBorders>
              <w:top w:val="nil"/>
              <w:left w:val="nil"/>
              <w:bottom w:val="nil"/>
              <w:right w:val="nil"/>
            </w:tcBorders>
          </w:tcPr>
          <w:p w14:paraId="6C6CB3FE" w14:textId="77777777" w:rsidR="00364A0E" w:rsidRPr="00226892" w:rsidRDefault="00364A0E" w:rsidP="00364A0E">
            <w:pPr>
              <w:jc w:val="right"/>
              <w:rPr>
                <w:rFonts w:ascii="Arial" w:hAnsi="Arial" w:cs="Arial"/>
                <w:color w:val="000000"/>
                <w:sz w:val="18"/>
                <w:szCs w:val="18"/>
              </w:rPr>
            </w:pPr>
          </w:p>
        </w:tc>
        <w:tc>
          <w:tcPr>
            <w:tcW w:w="1593" w:type="dxa"/>
            <w:tcBorders>
              <w:top w:val="nil"/>
              <w:left w:val="nil"/>
              <w:bottom w:val="nil"/>
              <w:right w:val="nil"/>
            </w:tcBorders>
            <w:shd w:val="clear" w:color="auto" w:fill="auto"/>
            <w:vAlign w:val="bottom"/>
          </w:tcPr>
          <w:p w14:paraId="30AAB9C2" w14:textId="449212C2" w:rsidR="00364A0E" w:rsidRPr="00226892" w:rsidRDefault="00364A0E" w:rsidP="00364A0E">
            <w:pPr>
              <w:jc w:val="right"/>
              <w:rPr>
                <w:rFonts w:ascii="Arial" w:hAnsi="Arial" w:cs="Arial"/>
                <w:color w:val="000000"/>
                <w:sz w:val="18"/>
                <w:szCs w:val="18"/>
              </w:rPr>
            </w:pPr>
            <w:r w:rsidRPr="00226892">
              <w:rPr>
                <w:rFonts w:ascii="Arial" w:hAnsi="Arial" w:cs="Arial"/>
                <w:color w:val="000000"/>
                <w:sz w:val="18"/>
                <w:szCs w:val="18"/>
              </w:rPr>
              <w:t>-2 064</w:t>
            </w:r>
          </w:p>
        </w:tc>
        <w:tc>
          <w:tcPr>
            <w:tcW w:w="242" w:type="dxa"/>
            <w:tcBorders>
              <w:top w:val="nil"/>
              <w:left w:val="nil"/>
              <w:bottom w:val="nil"/>
              <w:right w:val="nil"/>
            </w:tcBorders>
          </w:tcPr>
          <w:p w14:paraId="2D1998DC" w14:textId="77777777" w:rsidR="00364A0E" w:rsidRPr="00226892" w:rsidRDefault="00364A0E" w:rsidP="00364A0E">
            <w:pPr>
              <w:jc w:val="right"/>
              <w:rPr>
                <w:rFonts w:ascii="Arial" w:hAnsi="Arial" w:cs="Arial"/>
                <w:color w:val="000000"/>
                <w:sz w:val="18"/>
                <w:szCs w:val="18"/>
              </w:rPr>
            </w:pPr>
          </w:p>
        </w:tc>
        <w:tc>
          <w:tcPr>
            <w:tcW w:w="1588" w:type="dxa"/>
            <w:tcBorders>
              <w:top w:val="nil"/>
              <w:left w:val="nil"/>
              <w:bottom w:val="nil"/>
              <w:right w:val="nil"/>
            </w:tcBorders>
            <w:shd w:val="clear" w:color="auto" w:fill="auto"/>
            <w:vAlign w:val="bottom"/>
          </w:tcPr>
          <w:p w14:paraId="20A51494" w14:textId="32E68899" w:rsidR="00364A0E" w:rsidRPr="00226892" w:rsidRDefault="00364A0E" w:rsidP="00364A0E">
            <w:pPr>
              <w:jc w:val="right"/>
              <w:rPr>
                <w:rFonts w:ascii="Arial" w:hAnsi="Arial" w:cs="Arial"/>
                <w:color w:val="000000"/>
                <w:sz w:val="18"/>
                <w:szCs w:val="18"/>
              </w:rPr>
            </w:pPr>
            <w:r w:rsidRPr="00226892">
              <w:rPr>
                <w:rFonts w:ascii="Arial" w:hAnsi="Arial" w:cs="Arial"/>
                <w:color w:val="000000"/>
                <w:sz w:val="18"/>
                <w:szCs w:val="18"/>
              </w:rPr>
              <w:t>-7 394</w:t>
            </w:r>
          </w:p>
        </w:tc>
      </w:tr>
      <w:tr w:rsidR="00364A0E" w:rsidRPr="00226892" w14:paraId="299ECF1A" w14:textId="77777777" w:rsidTr="008147CB">
        <w:trPr>
          <w:trHeight w:val="227"/>
        </w:trPr>
        <w:tc>
          <w:tcPr>
            <w:tcW w:w="5292" w:type="dxa"/>
            <w:tcBorders>
              <w:top w:val="nil"/>
              <w:left w:val="nil"/>
              <w:bottom w:val="nil"/>
              <w:right w:val="nil"/>
            </w:tcBorders>
            <w:shd w:val="clear" w:color="auto" w:fill="auto"/>
            <w:vAlign w:val="bottom"/>
            <w:hideMark/>
          </w:tcPr>
          <w:p w14:paraId="16C13110" w14:textId="77777777" w:rsidR="00364A0E" w:rsidRPr="00226892" w:rsidRDefault="00364A0E" w:rsidP="00364A0E">
            <w:pPr>
              <w:rPr>
                <w:rFonts w:ascii="Arial" w:hAnsi="Arial" w:cs="Arial"/>
                <w:color w:val="000000"/>
                <w:sz w:val="18"/>
                <w:szCs w:val="18"/>
              </w:rPr>
            </w:pPr>
          </w:p>
        </w:tc>
        <w:tc>
          <w:tcPr>
            <w:tcW w:w="685" w:type="dxa"/>
            <w:tcBorders>
              <w:top w:val="nil"/>
              <w:left w:val="nil"/>
              <w:bottom w:val="nil"/>
              <w:right w:val="nil"/>
            </w:tcBorders>
            <w:shd w:val="clear" w:color="auto" w:fill="auto"/>
            <w:vAlign w:val="bottom"/>
            <w:hideMark/>
          </w:tcPr>
          <w:p w14:paraId="0C83E7CA" w14:textId="77777777" w:rsidR="00364A0E" w:rsidRPr="00226892" w:rsidRDefault="00364A0E" w:rsidP="008147CB">
            <w:pPr>
              <w:jc w:val="center"/>
              <w:rPr>
                <w:rFonts w:ascii="Arial" w:hAnsi="Arial" w:cs="Arial"/>
                <w:sz w:val="18"/>
                <w:szCs w:val="18"/>
              </w:rPr>
            </w:pPr>
          </w:p>
        </w:tc>
        <w:tc>
          <w:tcPr>
            <w:tcW w:w="239" w:type="dxa"/>
            <w:tcBorders>
              <w:top w:val="nil"/>
              <w:left w:val="nil"/>
              <w:bottom w:val="nil"/>
              <w:right w:val="nil"/>
            </w:tcBorders>
          </w:tcPr>
          <w:p w14:paraId="7ACE6BA4" w14:textId="77777777" w:rsidR="00364A0E" w:rsidRPr="00226892" w:rsidRDefault="00364A0E" w:rsidP="00364A0E">
            <w:pPr>
              <w:jc w:val="right"/>
              <w:rPr>
                <w:rFonts w:ascii="Arial" w:hAnsi="Arial" w:cs="Arial"/>
                <w:sz w:val="18"/>
                <w:szCs w:val="18"/>
              </w:rPr>
            </w:pPr>
          </w:p>
        </w:tc>
        <w:tc>
          <w:tcPr>
            <w:tcW w:w="1593" w:type="dxa"/>
            <w:tcBorders>
              <w:top w:val="nil"/>
              <w:left w:val="nil"/>
              <w:bottom w:val="nil"/>
              <w:right w:val="nil"/>
            </w:tcBorders>
            <w:shd w:val="clear" w:color="auto" w:fill="auto"/>
            <w:vAlign w:val="bottom"/>
          </w:tcPr>
          <w:p w14:paraId="3B5FF3F8" w14:textId="2141F7DC" w:rsidR="00364A0E" w:rsidRPr="00226892" w:rsidRDefault="00364A0E" w:rsidP="00364A0E">
            <w:pPr>
              <w:jc w:val="right"/>
              <w:rPr>
                <w:rFonts w:ascii="Arial" w:hAnsi="Arial" w:cs="Arial"/>
                <w:sz w:val="18"/>
                <w:szCs w:val="18"/>
              </w:rPr>
            </w:pPr>
          </w:p>
        </w:tc>
        <w:tc>
          <w:tcPr>
            <w:tcW w:w="242" w:type="dxa"/>
            <w:tcBorders>
              <w:top w:val="nil"/>
              <w:left w:val="nil"/>
              <w:bottom w:val="nil"/>
              <w:right w:val="nil"/>
            </w:tcBorders>
          </w:tcPr>
          <w:p w14:paraId="7C1D06EB" w14:textId="77777777" w:rsidR="00364A0E" w:rsidRPr="00226892" w:rsidRDefault="00364A0E" w:rsidP="00364A0E">
            <w:pPr>
              <w:jc w:val="right"/>
              <w:rPr>
                <w:rFonts w:ascii="Arial" w:hAnsi="Arial" w:cs="Arial"/>
                <w:sz w:val="18"/>
                <w:szCs w:val="18"/>
              </w:rPr>
            </w:pPr>
          </w:p>
        </w:tc>
        <w:tc>
          <w:tcPr>
            <w:tcW w:w="1588" w:type="dxa"/>
            <w:tcBorders>
              <w:top w:val="nil"/>
              <w:left w:val="nil"/>
              <w:bottom w:val="nil"/>
              <w:right w:val="nil"/>
            </w:tcBorders>
            <w:shd w:val="clear" w:color="auto" w:fill="auto"/>
            <w:vAlign w:val="bottom"/>
          </w:tcPr>
          <w:p w14:paraId="6B1F44C9" w14:textId="4A09FC33" w:rsidR="00364A0E" w:rsidRPr="00226892" w:rsidRDefault="00364A0E" w:rsidP="00364A0E">
            <w:pPr>
              <w:jc w:val="right"/>
              <w:rPr>
                <w:rFonts w:ascii="Arial" w:hAnsi="Arial" w:cs="Arial"/>
                <w:sz w:val="18"/>
                <w:szCs w:val="18"/>
              </w:rPr>
            </w:pPr>
          </w:p>
        </w:tc>
      </w:tr>
      <w:tr w:rsidR="00364A0E" w:rsidRPr="00226892" w14:paraId="0448FCED" w14:textId="77777777" w:rsidTr="008147CB">
        <w:trPr>
          <w:trHeight w:val="227"/>
        </w:trPr>
        <w:tc>
          <w:tcPr>
            <w:tcW w:w="5292" w:type="dxa"/>
            <w:tcBorders>
              <w:top w:val="nil"/>
              <w:left w:val="nil"/>
              <w:bottom w:val="nil"/>
              <w:right w:val="nil"/>
            </w:tcBorders>
            <w:shd w:val="clear" w:color="auto" w:fill="auto"/>
            <w:vAlign w:val="bottom"/>
            <w:hideMark/>
          </w:tcPr>
          <w:p w14:paraId="4C7BEA7E" w14:textId="77777777" w:rsidR="00364A0E" w:rsidRPr="00226892" w:rsidRDefault="00364A0E" w:rsidP="00364A0E">
            <w:pPr>
              <w:rPr>
                <w:rFonts w:ascii="Arial" w:hAnsi="Arial" w:cs="Arial"/>
                <w:b/>
                <w:bCs/>
                <w:color w:val="000000"/>
                <w:sz w:val="18"/>
                <w:szCs w:val="18"/>
              </w:rPr>
            </w:pPr>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Peňažné</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prostriedky</w:t>
            </w:r>
            <w:proofErr w:type="spellEnd"/>
            <w:r w:rsidRPr="00226892">
              <w:rPr>
                <w:rFonts w:ascii="Arial" w:hAnsi="Arial" w:cs="Arial"/>
                <w:b/>
                <w:bCs/>
                <w:color w:val="000000"/>
                <w:sz w:val="18"/>
                <w:szCs w:val="18"/>
              </w:rPr>
              <w:t xml:space="preserve"> a </w:t>
            </w:r>
            <w:proofErr w:type="spellStart"/>
            <w:r w:rsidRPr="00226892">
              <w:rPr>
                <w:rFonts w:ascii="Arial" w:hAnsi="Arial" w:cs="Arial"/>
                <w:b/>
                <w:bCs/>
                <w:color w:val="000000"/>
                <w:sz w:val="18"/>
                <w:szCs w:val="18"/>
              </w:rPr>
              <w:t>peňažné</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ekvivalenty</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na</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konci</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roka</w:t>
            </w:r>
            <w:proofErr w:type="spellEnd"/>
            <w:r w:rsidRPr="00226892">
              <w:rPr>
                <w:rFonts w:ascii="Arial" w:hAnsi="Arial" w:cs="Arial"/>
                <w:b/>
                <w:bCs/>
                <w:color w:val="000000"/>
                <w:sz w:val="18"/>
                <w:szCs w:val="18"/>
              </w:rPr>
              <w:t xml:space="preserve"> </w:t>
            </w:r>
          </w:p>
        </w:tc>
        <w:tc>
          <w:tcPr>
            <w:tcW w:w="685" w:type="dxa"/>
            <w:tcBorders>
              <w:top w:val="nil"/>
              <w:left w:val="nil"/>
              <w:bottom w:val="nil"/>
              <w:right w:val="nil"/>
            </w:tcBorders>
            <w:shd w:val="clear" w:color="auto" w:fill="auto"/>
            <w:vAlign w:val="bottom"/>
            <w:hideMark/>
          </w:tcPr>
          <w:p w14:paraId="48DFB9A4" w14:textId="3A305621" w:rsidR="00364A0E" w:rsidRPr="00226892" w:rsidRDefault="00364A0E" w:rsidP="008147CB">
            <w:pPr>
              <w:jc w:val="center"/>
              <w:rPr>
                <w:rFonts w:ascii="Arial" w:hAnsi="Arial" w:cs="Arial"/>
                <w:sz w:val="18"/>
                <w:szCs w:val="18"/>
              </w:rPr>
            </w:pPr>
            <w:r w:rsidRPr="00226892">
              <w:rPr>
                <w:rFonts w:ascii="Arial" w:hAnsi="Arial" w:cs="Arial"/>
                <w:sz w:val="18"/>
                <w:szCs w:val="18"/>
              </w:rPr>
              <w:t>1</w:t>
            </w:r>
            <w:r w:rsidR="00417748" w:rsidRPr="00226892">
              <w:rPr>
                <w:rFonts w:ascii="Arial" w:hAnsi="Arial" w:cs="Arial"/>
                <w:sz w:val="18"/>
                <w:szCs w:val="18"/>
              </w:rPr>
              <w:t>3</w:t>
            </w:r>
          </w:p>
        </w:tc>
        <w:tc>
          <w:tcPr>
            <w:tcW w:w="239" w:type="dxa"/>
            <w:tcBorders>
              <w:left w:val="nil"/>
              <w:right w:val="nil"/>
            </w:tcBorders>
          </w:tcPr>
          <w:p w14:paraId="2ED7354F" w14:textId="77777777" w:rsidR="00364A0E" w:rsidRPr="00226892" w:rsidRDefault="00364A0E" w:rsidP="00364A0E">
            <w:pPr>
              <w:jc w:val="right"/>
              <w:rPr>
                <w:rFonts w:ascii="Arial" w:hAnsi="Arial" w:cs="Arial"/>
                <w:b/>
                <w:bCs/>
                <w:color w:val="000000"/>
                <w:sz w:val="18"/>
                <w:szCs w:val="18"/>
              </w:rPr>
            </w:pPr>
          </w:p>
        </w:tc>
        <w:tc>
          <w:tcPr>
            <w:tcW w:w="1593" w:type="dxa"/>
            <w:tcBorders>
              <w:top w:val="single" w:sz="4" w:space="0" w:color="auto"/>
              <w:left w:val="nil"/>
              <w:bottom w:val="double" w:sz="6" w:space="0" w:color="auto"/>
              <w:right w:val="nil"/>
            </w:tcBorders>
            <w:shd w:val="clear" w:color="auto" w:fill="auto"/>
            <w:vAlign w:val="bottom"/>
          </w:tcPr>
          <w:p w14:paraId="49E1A890" w14:textId="5113338B" w:rsidR="00364A0E" w:rsidRPr="00226892" w:rsidRDefault="00364A0E" w:rsidP="00364A0E">
            <w:pPr>
              <w:jc w:val="right"/>
              <w:rPr>
                <w:rFonts w:ascii="Arial" w:hAnsi="Arial" w:cs="Arial"/>
                <w:b/>
                <w:bCs/>
                <w:color w:val="000000"/>
                <w:sz w:val="18"/>
                <w:szCs w:val="18"/>
              </w:rPr>
            </w:pPr>
            <w:r w:rsidRPr="00226892">
              <w:rPr>
                <w:rFonts w:ascii="Arial" w:hAnsi="Arial" w:cs="Arial"/>
                <w:b/>
                <w:bCs/>
                <w:color w:val="000000"/>
                <w:sz w:val="18"/>
                <w:szCs w:val="18"/>
              </w:rPr>
              <w:t>7 836</w:t>
            </w:r>
          </w:p>
        </w:tc>
        <w:tc>
          <w:tcPr>
            <w:tcW w:w="242" w:type="dxa"/>
            <w:tcBorders>
              <w:left w:val="nil"/>
              <w:right w:val="nil"/>
            </w:tcBorders>
          </w:tcPr>
          <w:p w14:paraId="7AC40FB4" w14:textId="77777777" w:rsidR="00364A0E" w:rsidRPr="00226892" w:rsidRDefault="00364A0E" w:rsidP="00364A0E">
            <w:pPr>
              <w:jc w:val="right"/>
              <w:rPr>
                <w:rFonts w:ascii="Arial" w:hAnsi="Arial" w:cs="Arial"/>
                <w:b/>
                <w:bCs/>
                <w:color w:val="000000"/>
                <w:sz w:val="18"/>
                <w:szCs w:val="18"/>
              </w:rPr>
            </w:pPr>
          </w:p>
        </w:tc>
        <w:tc>
          <w:tcPr>
            <w:tcW w:w="1588" w:type="dxa"/>
            <w:tcBorders>
              <w:top w:val="single" w:sz="4" w:space="0" w:color="auto"/>
              <w:left w:val="nil"/>
              <w:bottom w:val="double" w:sz="6" w:space="0" w:color="auto"/>
              <w:right w:val="nil"/>
            </w:tcBorders>
            <w:shd w:val="clear" w:color="auto" w:fill="auto"/>
            <w:vAlign w:val="bottom"/>
          </w:tcPr>
          <w:p w14:paraId="710C69EF" w14:textId="68AD2CCB" w:rsidR="00364A0E" w:rsidRPr="00226892" w:rsidRDefault="00364A0E" w:rsidP="00364A0E">
            <w:pPr>
              <w:jc w:val="right"/>
              <w:rPr>
                <w:rFonts w:ascii="Arial" w:hAnsi="Arial" w:cs="Arial"/>
                <w:b/>
                <w:bCs/>
                <w:color w:val="000000"/>
                <w:sz w:val="18"/>
                <w:szCs w:val="18"/>
              </w:rPr>
            </w:pPr>
            <w:r w:rsidRPr="00226892">
              <w:rPr>
                <w:rFonts w:ascii="Arial" w:hAnsi="Arial" w:cs="Arial"/>
                <w:b/>
                <w:bCs/>
                <w:color w:val="000000"/>
                <w:sz w:val="18"/>
                <w:szCs w:val="18"/>
              </w:rPr>
              <w:t>-2 064</w:t>
            </w:r>
          </w:p>
        </w:tc>
      </w:tr>
      <w:bookmarkEnd w:id="21"/>
    </w:tbl>
    <w:p w14:paraId="3C5210ED" w14:textId="77777777" w:rsidR="003F4CA4" w:rsidRPr="00226892" w:rsidRDefault="003F4CA4" w:rsidP="003F31F6">
      <w:pPr>
        <w:suppressAutoHyphens/>
        <w:rPr>
          <w:rFonts w:ascii="Arial" w:hAnsi="Arial" w:cs="Arial"/>
        </w:rPr>
      </w:pPr>
    </w:p>
    <w:p w14:paraId="5B4357F9" w14:textId="2A5FD99C" w:rsidR="003F4CA4" w:rsidRPr="00226892" w:rsidRDefault="003F4CA4" w:rsidP="000D75E7">
      <w:pPr>
        <w:pStyle w:val="Pta"/>
        <w:ind w:right="360"/>
        <w:rPr>
          <w:rFonts w:ascii="Arial" w:hAnsi="Arial" w:cs="Arial"/>
        </w:rPr>
      </w:pPr>
    </w:p>
    <w:p w14:paraId="12FCA0BB" w14:textId="77777777" w:rsidR="00AE7AC7" w:rsidRPr="00226892" w:rsidRDefault="00AE7AC7" w:rsidP="001C5911">
      <w:pPr>
        <w:pStyle w:val="Nadpis1"/>
        <w:rPr>
          <w:highlight w:val="yellow"/>
        </w:rPr>
        <w:sectPr w:rsidR="00AE7AC7" w:rsidRPr="00226892" w:rsidSect="00DF6E8D">
          <w:headerReference w:type="even" r:id="rId20"/>
          <w:headerReference w:type="default" r:id="rId21"/>
          <w:headerReference w:type="first" r:id="rId22"/>
          <w:pgSz w:w="11907" w:h="16840" w:code="9"/>
          <w:pgMar w:top="1134" w:right="1134" w:bottom="1134" w:left="1134" w:header="709" w:footer="709" w:gutter="0"/>
          <w:cols w:space="708"/>
          <w:noEndnote/>
        </w:sectPr>
      </w:pPr>
    </w:p>
    <w:p w14:paraId="00AED48B" w14:textId="3795A460" w:rsidR="00302C89" w:rsidRPr="00226892" w:rsidRDefault="00302C89" w:rsidP="008D29D7">
      <w:pPr>
        <w:pStyle w:val="Nadpis3"/>
        <w:keepNext w:val="0"/>
        <w:widowControl/>
        <w:numPr>
          <w:ilvl w:val="0"/>
          <w:numId w:val="37"/>
        </w:numPr>
        <w:tabs>
          <w:tab w:val="clear" w:pos="1069"/>
        </w:tabs>
        <w:suppressAutoHyphens/>
        <w:ind w:left="426"/>
        <w:rPr>
          <w:rFonts w:ascii="Arial" w:hAnsi="Arial" w:cs="Arial"/>
          <w:sz w:val="20"/>
        </w:rPr>
      </w:pPr>
      <w:bookmarkStart w:id="22" w:name="_Toc325985763"/>
      <w:bookmarkStart w:id="23" w:name="_Toc387812463"/>
      <w:bookmarkStart w:id="24" w:name="_Toc27409965"/>
      <w:bookmarkStart w:id="25" w:name="_Toc414363597"/>
      <w:bookmarkStart w:id="26" w:name="_Toc442612633"/>
      <w:bookmarkStart w:id="27" w:name="_Toc445697433"/>
      <w:proofErr w:type="spellStart"/>
      <w:r w:rsidRPr="00226892">
        <w:rPr>
          <w:rFonts w:ascii="Arial" w:hAnsi="Arial" w:cs="Arial"/>
          <w:sz w:val="20"/>
        </w:rPr>
        <w:lastRenderedPageBreak/>
        <w:t>Všeobecné</w:t>
      </w:r>
      <w:proofErr w:type="spellEnd"/>
      <w:r w:rsidRPr="00226892">
        <w:rPr>
          <w:rFonts w:ascii="Arial" w:hAnsi="Arial" w:cs="Arial"/>
          <w:sz w:val="20"/>
        </w:rPr>
        <w:t xml:space="preserve"> </w:t>
      </w:r>
      <w:proofErr w:type="spellStart"/>
      <w:r w:rsidRPr="00226892">
        <w:rPr>
          <w:rFonts w:ascii="Arial" w:hAnsi="Arial" w:cs="Arial"/>
          <w:sz w:val="20"/>
        </w:rPr>
        <w:t>informácie</w:t>
      </w:r>
      <w:bookmarkEnd w:id="22"/>
      <w:bookmarkEnd w:id="23"/>
      <w:bookmarkEnd w:id="24"/>
      <w:proofErr w:type="spellEnd"/>
    </w:p>
    <w:p w14:paraId="4E1C8B39" w14:textId="77777777" w:rsidR="00302C89" w:rsidRPr="00226892" w:rsidRDefault="00302C89" w:rsidP="00302C89">
      <w:pPr>
        <w:suppressAutoHyphens/>
        <w:rPr>
          <w:rFonts w:ascii="Arial" w:hAnsi="Arial" w:cs="Arial"/>
          <w:b/>
          <w:lang w:val="sk-SK"/>
        </w:rPr>
      </w:pPr>
    </w:p>
    <w:p w14:paraId="3815E26D" w14:textId="177AC178" w:rsidR="00302C89" w:rsidRPr="00226892" w:rsidRDefault="00302C89" w:rsidP="009B79FC">
      <w:pPr>
        <w:pStyle w:val="StyleABC-paragrahinNotesAfter10pt"/>
        <w:suppressAutoHyphens/>
        <w:ind w:left="66"/>
        <w:rPr>
          <w:rFonts w:cs="Arial"/>
          <w:sz w:val="20"/>
          <w:lang w:val="sk-SK"/>
        </w:rPr>
      </w:pPr>
      <w:r w:rsidRPr="00226892">
        <w:rPr>
          <w:rFonts w:cs="Arial"/>
          <w:sz w:val="20"/>
          <w:lang w:val="sk-SK"/>
        </w:rPr>
        <w:t>Táto konsolidovaná účtovná závierka bola pripravená v súlade s Medzinárodnými štandardmi pre finančné výkazníctvo platnými v Európskej Únii (ďalej „IFRS“) za rok končiaci 31. decembra 201</w:t>
      </w:r>
      <w:r w:rsidR="00206D7F" w:rsidRPr="00226892">
        <w:rPr>
          <w:rFonts w:cs="Arial"/>
          <w:sz w:val="20"/>
          <w:lang w:val="sk-SK"/>
        </w:rPr>
        <w:t>8</w:t>
      </w:r>
      <w:r w:rsidRPr="00226892">
        <w:rPr>
          <w:rFonts w:cs="Arial"/>
          <w:sz w:val="20"/>
          <w:lang w:val="sk-SK"/>
        </w:rPr>
        <w:t xml:space="preserve"> pre MATADOR </w:t>
      </w:r>
      <w:proofErr w:type="spellStart"/>
      <w:r w:rsidR="0078035E" w:rsidRPr="00226892">
        <w:rPr>
          <w:rFonts w:cs="Arial"/>
          <w:sz w:val="20"/>
          <w:lang w:val="sk-SK"/>
        </w:rPr>
        <w:t>Automotive</w:t>
      </w:r>
      <w:proofErr w:type="spellEnd"/>
      <w:r w:rsidR="0078035E" w:rsidRPr="00226892">
        <w:rPr>
          <w:rFonts w:cs="Arial"/>
          <w:sz w:val="20"/>
          <w:lang w:val="sk-SK"/>
        </w:rPr>
        <w:t xml:space="preserve"> Vráble</w:t>
      </w:r>
      <w:r w:rsidRPr="00226892">
        <w:rPr>
          <w:rFonts w:cs="Arial"/>
          <w:sz w:val="20"/>
          <w:lang w:val="sk-SK"/>
        </w:rPr>
        <w:t xml:space="preserve">, </w:t>
      </w:r>
      <w:proofErr w:type="spellStart"/>
      <w:r w:rsidRPr="00226892">
        <w:rPr>
          <w:rFonts w:cs="Arial"/>
          <w:sz w:val="20"/>
          <w:lang w:val="sk-SK"/>
        </w:rPr>
        <w:t>a.s</w:t>
      </w:r>
      <w:proofErr w:type="spellEnd"/>
      <w:r w:rsidRPr="00226892">
        <w:rPr>
          <w:rFonts w:cs="Arial"/>
          <w:sz w:val="20"/>
          <w:lang w:val="sk-SK"/>
        </w:rPr>
        <w:t>. (ďalej ako “Spoločnosť”) a jej dcérsk</w:t>
      </w:r>
      <w:r w:rsidR="00F37321" w:rsidRPr="00226892">
        <w:rPr>
          <w:rFonts w:cs="Arial"/>
          <w:sz w:val="20"/>
          <w:lang w:val="sk-SK"/>
        </w:rPr>
        <w:t>u</w:t>
      </w:r>
      <w:r w:rsidRPr="00226892">
        <w:rPr>
          <w:rFonts w:cs="Arial"/>
          <w:sz w:val="20"/>
          <w:lang w:val="sk-SK"/>
        </w:rPr>
        <w:t xml:space="preserve"> spoločn</w:t>
      </w:r>
      <w:r w:rsidR="0078035E" w:rsidRPr="00226892">
        <w:rPr>
          <w:rFonts w:cs="Arial"/>
          <w:sz w:val="20"/>
          <w:lang w:val="sk-SK"/>
        </w:rPr>
        <w:t>os</w:t>
      </w:r>
      <w:r w:rsidR="00F37321" w:rsidRPr="00226892">
        <w:rPr>
          <w:rFonts w:cs="Arial"/>
          <w:sz w:val="20"/>
          <w:lang w:val="sk-SK"/>
        </w:rPr>
        <w:t xml:space="preserve">ť MATADOR </w:t>
      </w:r>
      <w:proofErr w:type="spellStart"/>
      <w:r w:rsidR="00F37321" w:rsidRPr="00226892">
        <w:rPr>
          <w:rFonts w:cs="Arial"/>
          <w:sz w:val="20"/>
          <w:lang w:val="sk-SK"/>
        </w:rPr>
        <w:t>Automotive</w:t>
      </w:r>
      <w:proofErr w:type="spellEnd"/>
      <w:r w:rsidR="00F37321" w:rsidRPr="00226892">
        <w:rPr>
          <w:rFonts w:cs="Arial"/>
          <w:sz w:val="20"/>
          <w:lang w:val="sk-SK"/>
        </w:rPr>
        <w:t xml:space="preserve"> ČR, </w:t>
      </w:r>
      <w:proofErr w:type="spellStart"/>
      <w:r w:rsidR="00F37321" w:rsidRPr="00226892">
        <w:rPr>
          <w:rFonts w:cs="Arial"/>
          <w:sz w:val="20"/>
          <w:lang w:val="sk-SK"/>
        </w:rPr>
        <w:t>s.r.o</w:t>
      </w:r>
      <w:proofErr w:type="spellEnd"/>
      <w:r w:rsidR="00F37321" w:rsidRPr="00226892">
        <w:rPr>
          <w:rFonts w:cs="Arial"/>
          <w:sz w:val="20"/>
          <w:lang w:val="sk-SK"/>
        </w:rPr>
        <w:t>.</w:t>
      </w:r>
      <w:r w:rsidR="0078035E" w:rsidRPr="00226892">
        <w:rPr>
          <w:rFonts w:cs="Arial"/>
          <w:sz w:val="20"/>
          <w:lang w:val="sk-SK"/>
        </w:rPr>
        <w:t xml:space="preserve"> (spolu ďalej ako “Skupina”</w:t>
      </w:r>
      <w:r w:rsidRPr="00226892">
        <w:rPr>
          <w:rFonts w:cs="Arial"/>
          <w:sz w:val="20"/>
          <w:lang w:val="sk-SK"/>
        </w:rPr>
        <w:t>).</w:t>
      </w:r>
    </w:p>
    <w:p w14:paraId="3A9C30F0" w14:textId="1ECC98D7" w:rsidR="00302C89" w:rsidRPr="00226892" w:rsidRDefault="0078035E" w:rsidP="009B79FC">
      <w:pPr>
        <w:pStyle w:val="StyleABC-paragrahinNotesAfter10pt"/>
        <w:suppressAutoHyphens/>
        <w:ind w:left="66"/>
        <w:rPr>
          <w:rFonts w:cs="Arial"/>
          <w:sz w:val="20"/>
          <w:lang w:val="sk-SK"/>
        </w:rPr>
      </w:pPr>
      <w:r w:rsidRPr="00226892">
        <w:rPr>
          <w:rFonts w:cs="Arial"/>
          <w:sz w:val="20"/>
          <w:lang w:val="sk-SK"/>
        </w:rPr>
        <w:t>Spoločnosť bola založená 24</w:t>
      </w:r>
      <w:r w:rsidR="00302C89" w:rsidRPr="00226892">
        <w:rPr>
          <w:rFonts w:cs="Arial"/>
          <w:sz w:val="20"/>
          <w:lang w:val="sk-SK"/>
        </w:rPr>
        <w:t xml:space="preserve">. </w:t>
      </w:r>
      <w:r w:rsidRPr="00226892">
        <w:rPr>
          <w:rFonts w:cs="Arial"/>
          <w:sz w:val="20"/>
          <w:lang w:val="sk-SK"/>
        </w:rPr>
        <w:t>apríla 1992</w:t>
      </w:r>
      <w:r w:rsidR="00302C89" w:rsidRPr="00226892">
        <w:rPr>
          <w:rFonts w:cs="Arial"/>
          <w:sz w:val="20"/>
          <w:lang w:val="sk-SK"/>
        </w:rPr>
        <w:t xml:space="preserve"> a do obchodného registra bola zapísaná 1</w:t>
      </w:r>
      <w:r w:rsidRPr="00226892">
        <w:rPr>
          <w:rFonts w:cs="Arial"/>
          <w:sz w:val="20"/>
          <w:lang w:val="sk-SK"/>
        </w:rPr>
        <w:t>. mája 1992</w:t>
      </w:r>
      <w:r w:rsidR="00302C89" w:rsidRPr="00226892">
        <w:rPr>
          <w:rFonts w:cs="Arial"/>
          <w:sz w:val="20"/>
          <w:lang w:val="sk-SK"/>
        </w:rPr>
        <w:t xml:space="preserve"> (Obchodný register Okresného súdu </w:t>
      </w:r>
      <w:r w:rsidRPr="00226892">
        <w:rPr>
          <w:rFonts w:cs="Arial"/>
          <w:sz w:val="20"/>
          <w:lang w:val="sk-SK"/>
        </w:rPr>
        <w:t xml:space="preserve">Nitra, oddiel vložka </w:t>
      </w:r>
      <w:r w:rsidR="00302C89" w:rsidRPr="00226892">
        <w:rPr>
          <w:rFonts w:cs="Arial"/>
          <w:sz w:val="20"/>
          <w:lang w:val="sk-SK"/>
        </w:rPr>
        <w:t xml:space="preserve">Sa, vložka </w:t>
      </w:r>
      <w:r w:rsidRPr="00226892">
        <w:rPr>
          <w:rFonts w:cs="Arial"/>
          <w:sz w:val="20"/>
          <w:lang w:val="sk-SK"/>
        </w:rPr>
        <w:t>8/N</w:t>
      </w:r>
      <w:r w:rsidR="00302C89" w:rsidRPr="00226892">
        <w:rPr>
          <w:rFonts w:cs="Arial"/>
          <w:sz w:val="20"/>
          <w:lang w:val="sk-SK"/>
        </w:rPr>
        <w:t>).</w:t>
      </w:r>
    </w:p>
    <w:p w14:paraId="150E29A7" w14:textId="570FCAB9" w:rsidR="00302C89" w:rsidRPr="00226892" w:rsidRDefault="00302C89" w:rsidP="009B79FC">
      <w:pPr>
        <w:pStyle w:val="StyleABC-paragrahinNotesAfter10pt"/>
        <w:suppressAutoHyphens/>
        <w:ind w:left="66"/>
        <w:rPr>
          <w:rFonts w:cs="Arial"/>
          <w:sz w:val="20"/>
          <w:lang w:val="sk-SK"/>
        </w:rPr>
      </w:pPr>
      <w:r w:rsidRPr="00226892">
        <w:rPr>
          <w:rFonts w:cs="Arial"/>
          <w:sz w:val="20"/>
          <w:lang w:val="sk-SK"/>
        </w:rPr>
        <w:t xml:space="preserve">Spoločnosť bola založená a má sídlo v Slovenskej republike. </w:t>
      </w:r>
    </w:p>
    <w:p w14:paraId="3BF6F310" w14:textId="4D71AC90" w:rsidR="006C5424" w:rsidRPr="00226892" w:rsidRDefault="006C5424" w:rsidP="009B79FC">
      <w:pPr>
        <w:pStyle w:val="StyleABC-paragrahinNotesAfter10pt"/>
        <w:suppressAutoHyphens/>
        <w:ind w:left="66"/>
        <w:rPr>
          <w:rFonts w:cs="Arial"/>
          <w:sz w:val="20"/>
          <w:lang w:val="sk-SK"/>
        </w:rPr>
      </w:pPr>
      <w:r w:rsidRPr="00226892">
        <w:rPr>
          <w:rFonts w:cs="Arial"/>
          <w:sz w:val="20"/>
          <w:lang w:val="sk-SK"/>
        </w:rPr>
        <w:t>Štruktúra priamych akcionárov Spoločnosti k 31. decembru 2018 bola nasledovná:</w:t>
      </w:r>
    </w:p>
    <w:tbl>
      <w:tblPr>
        <w:tblW w:w="5000" w:type="pct"/>
        <w:tblCellMar>
          <w:left w:w="70" w:type="dxa"/>
          <w:right w:w="70" w:type="dxa"/>
        </w:tblCellMar>
        <w:tblLook w:val="04A0" w:firstRow="1" w:lastRow="0" w:firstColumn="1" w:lastColumn="0" w:noHBand="0" w:noVBand="1"/>
      </w:tblPr>
      <w:tblGrid>
        <w:gridCol w:w="3832"/>
        <w:gridCol w:w="1473"/>
        <w:gridCol w:w="1475"/>
        <w:gridCol w:w="1473"/>
        <w:gridCol w:w="1386"/>
      </w:tblGrid>
      <w:tr w:rsidR="006C5424" w:rsidRPr="00226892" w14:paraId="177D4D95" w14:textId="77777777" w:rsidTr="009B79FC">
        <w:trPr>
          <w:trHeight w:val="230"/>
        </w:trPr>
        <w:tc>
          <w:tcPr>
            <w:tcW w:w="1988" w:type="pct"/>
            <w:vMerge w:val="restart"/>
            <w:tcBorders>
              <w:top w:val="nil"/>
              <w:left w:val="nil"/>
              <w:bottom w:val="single" w:sz="4" w:space="0" w:color="000000"/>
              <w:right w:val="nil"/>
            </w:tcBorders>
            <w:shd w:val="clear" w:color="auto" w:fill="auto"/>
            <w:vAlign w:val="bottom"/>
            <w:hideMark/>
          </w:tcPr>
          <w:p w14:paraId="0BD77220" w14:textId="77777777" w:rsidR="006C5424" w:rsidRPr="00226892" w:rsidRDefault="006C5424" w:rsidP="00ED3406">
            <w:pPr>
              <w:jc w:val="center"/>
              <w:rPr>
                <w:rFonts w:ascii="Arial" w:hAnsi="Arial" w:cs="Arial"/>
                <w:b/>
                <w:bCs/>
                <w:sz w:val="18"/>
                <w:szCs w:val="18"/>
              </w:rPr>
            </w:pPr>
            <w:proofErr w:type="spellStart"/>
            <w:r w:rsidRPr="00226892">
              <w:rPr>
                <w:rFonts w:ascii="Arial" w:hAnsi="Arial" w:cs="Arial"/>
                <w:b/>
                <w:bCs/>
                <w:sz w:val="18"/>
                <w:szCs w:val="18"/>
              </w:rPr>
              <w:t>Spoločník</w:t>
            </w:r>
            <w:proofErr w:type="spellEnd"/>
            <w:r w:rsidRPr="00226892">
              <w:rPr>
                <w:rFonts w:ascii="Arial" w:hAnsi="Arial" w:cs="Arial"/>
                <w:b/>
                <w:bCs/>
                <w:sz w:val="18"/>
                <w:szCs w:val="18"/>
              </w:rPr>
              <w:t xml:space="preserve">, </w:t>
            </w:r>
            <w:proofErr w:type="spellStart"/>
            <w:r w:rsidRPr="00226892">
              <w:rPr>
                <w:rFonts w:ascii="Arial" w:hAnsi="Arial" w:cs="Arial"/>
                <w:b/>
                <w:bCs/>
                <w:sz w:val="18"/>
                <w:szCs w:val="18"/>
              </w:rPr>
              <w:t>akcionár</w:t>
            </w:r>
            <w:proofErr w:type="spellEnd"/>
          </w:p>
        </w:tc>
        <w:tc>
          <w:tcPr>
            <w:tcW w:w="1529" w:type="pct"/>
            <w:gridSpan w:val="2"/>
            <w:vMerge w:val="restart"/>
            <w:tcBorders>
              <w:top w:val="nil"/>
              <w:left w:val="nil"/>
              <w:bottom w:val="nil"/>
              <w:right w:val="nil"/>
            </w:tcBorders>
            <w:shd w:val="clear" w:color="auto" w:fill="auto"/>
            <w:vAlign w:val="bottom"/>
            <w:hideMark/>
          </w:tcPr>
          <w:p w14:paraId="6341E9C6" w14:textId="77777777" w:rsidR="006C5424" w:rsidRPr="00226892" w:rsidRDefault="006C5424" w:rsidP="00ED3406">
            <w:pPr>
              <w:jc w:val="center"/>
              <w:rPr>
                <w:rFonts w:ascii="Arial" w:hAnsi="Arial" w:cs="Arial"/>
                <w:b/>
                <w:bCs/>
                <w:sz w:val="18"/>
                <w:szCs w:val="18"/>
              </w:rPr>
            </w:pPr>
            <w:proofErr w:type="spellStart"/>
            <w:r w:rsidRPr="00226892">
              <w:rPr>
                <w:rFonts w:ascii="Arial" w:hAnsi="Arial" w:cs="Arial"/>
                <w:b/>
                <w:bCs/>
                <w:sz w:val="18"/>
                <w:szCs w:val="18"/>
              </w:rPr>
              <w:t>Výška</w:t>
            </w:r>
            <w:proofErr w:type="spellEnd"/>
            <w:r w:rsidRPr="00226892">
              <w:rPr>
                <w:rFonts w:ascii="Arial" w:hAnsi="Arial" w:cs="Arial"/>
                <w:b/>
                <w:bCs/>
                <w:sz w:val="18"/>
                <w:szCs w:val="18"/>
              </w:rPr>
              <w:t xml:space="preserve"> </w:t>
            </w:r>
            <w:proofErr w:type="spellStart"/>
            <w:r w:rsidRPr="00226892">
              <w:rPr>
                <w:rFonts w:ascii="Arial" w:hAnsi="Arial" w:cs="Arial"/>
                <w:b/>
                <w:bCs/>
                <w:sz w:val="18"/>
                <w:szCs w:val="18"/>
              </w:rPr>
              <w:t>podielu</w:t>
            </w:r>
            <w:proofErr w:type="spellEnd"/>
            <w:r w:rsidRPr="00226892">
              <w:rPr>
                <w:rFonts w:ascii="Arial" w:hAnsi="Arial" w:cs="Arial"/>
                <w:b/>
                <w:bCs/>
                <w:sz w:val="18"/>
                <w:szCs w:val="18"/>
              </w:rPr>
              <w:t xml:space="preserve"> </w:t>
            </w:r>
            <w:proofErr w:type="spellStart"/>
            <w:r w:rsidRPr="00226892">
              <w:rPr>
                <w:rFonts w:ascii="Arial" w:hAnsi="Arial" w:cs="Arial"/>
                <w:b/>
                <w:bCs/>
                <w:sz w:val="18"/>
                <w:szCs w:val="18"/>
              </w:rPr>
              <w:t>na</w:t>
            </w:r>
            <w:proofErr w:type="spellEnd"/>
            <w:r w:rsidRPr="00226892">
              <w:rPr>
                <w:rFonts w:ascii="Arial" w:hAnsi="Arial" w:cs="Arial"/>
                <w:b/>
                <w:bCs/>
                <w:sz w:val="18"/>
                <w:szCs w:val="18"/>
              </w:rPr>
              <w:t xml:space="preserve"> </w:t>
            </w:r>
            <w:proofErr w:type="spellStart"/>
            <w:r w:rsidRPr="00226892">
              <w:rPr>
                <w:rFonts w:ascii="Arial" w:hAnsi="Arial" w:cs="Arial"/>
                <w:b/>
                <w:bCs/>
                <w:sz w:val="18"/>
                <w:szCs w:val="18"/>
              </w:rPr>
              <w:t>základnom</w:t>
            </w:r>
            <w:proofErr w:type="spellEnd"/>
            <w:r w:rsidRPr="00226892">
              <w:rPr>
                <w:rFonts w:ascii="Arial" w:hAnsi="Arial" w:cs="Arial"/>
                <w:b/>
                <w:bCs/>
                <w:sz w:val="18"/>
                <w:szCs w:val="18"/>
              </w:rPr>
              <w:t xml:space="preserve"> </w:t>
            </w:r>
            <w:proofErr w:type="spellStart"/>
            <w:r w:rsidRPr="00226892">
              <w:rPr>
                <w:rFonts w:ascii="Arial" w:hAnsi="Arial" w:cs="Arial"/>
                <w:b/>
                <w:bCs/>
                <w:sz w:val="18"/>
                <w:szCs w:val="18"/>
              </w:rPr>
              <w:t>imaní</w:t>
            </w:r>
            <w:proofErr w:type="spellEnd"/>
          </w:p>
        </w:tc>
        <w:tc>
          <w:tcPr>
            <w:tcW w:w="764" w:type="pct"/>
            <w:vMerge w:val="restart"/>
            <w:tcBorders>
              <w:top w:val="nil"/>
              <w:left w:val="nil"/>
              <w:bottom w:val="single" w:sz="4" w:space="0" w:color="000000"/>
              <w:right w:val="nil"/>
            </w:tcBorders>
            <w:shd w:val="clear" w:color="auto" w:fill="auto"/>
            <w:vAlign w:val="bottom"/>
            <w:hideMark/>
          </w:tcPr>
          <w:p w14:paraId="72B23AF3" w14:textId="77777777" w:rsidR="006C5424" w:rsidRPr="00226892" w:rsidRDefault="006C5424" w:rsidP="00ED3406">
            <w:pPr>
              <w:jc w:val="center"/>
              <w:rPr>
                <w:rFonts w:ascii="Arial" w:hAnsi="Arial" w:cs="Arial"/>
                <w:b/>
                <w:bCs/>
                <w:sz w:val="18"/>
                <w:szCs w:val="18"/>
              </w:rPr>
            </w:pPr>
            <w:proofErr w:type="spellStart"/>
            <w:r w:rsidRPr="00226892">
              <w:rPr>
                <w:rFonts w:ascii="Arial" w:hAnsi="Arial" w:cs="Arial"/>
                <w:b/>
                <w:bCs/>
                <w:sz w:val="18"/>
                <w:szCs w:val="18"/>
              </w:rPr>
              <w:t>Podiel</w:t>
            </w:r>
            <w:proofErr w:type="spellEnd"/>
            <w:r w:rsidRPr="00226892">
              <w:rPr>
                <w:rFonts w:ascii="Arial" w:hAnsi="Arial" w:cs="Arial"/>
                <w:b/>
                <w:bCs/>
                <w:sz w:val="18"/>
                <w:szCs w:val="18"/>
              </w:rPr>
              <w:t xml:space="preserve"> </w:t>
            </w:r>
            <w:proofErr w:type="spellStart"/>
            <w:r w:rsidRPr="00226892">
              <w:rPr>
                <w:rFonts w:ascii="Arial" w:hAnsi="Arial" w:cs="Arial"/>
                <w:b/>
                <w:bCs/>
                <w:sz w:val="18"/>
                <w:szCs w:val="18"/>
              </w:rPr>
              <w:t>na</w:t>
            </w:r>
            <w:proofErr w:type="spellEnd"/>
            <w:r w:rsidRPr="00226892">
              <w:rPr>
                <w:rFonts w:ascii="Arial" w:hAnsi="Arial" w:cs="Arial"/>
                <w:b/>
                <w:bCs/>
                <w:sz w:val="18"/>
                <w:szCs w:val="18"/>
              </w:rPr>
              <w:t xml:space="preserve"> </w:t>
            </w:r>
          </w:p>
          <w:p w14:paraId="3A8C7D4E" w14:textId="77777777" w:rsidR="006C5424" w:rsidRPr="00226892" w:rsidRDefault="006C5424" w:rsidP="00ED3406">
            <w:pPr>
              <w:jc w:val="center"/>
              <w:rPr>
                <w:rFonts w:ascii="Arial" w:hAnsi="Arial" w:cs="Arial"/>
                <w:b/>
                <w:bCs/>
                <w:sz w:val="18"/>
                <w:szCs w:val="18"/>
              </w:rPr>
            </w:pPr>
            <w:proofErr w:type="spellStart"/>
            <w:r w:rsidRPr="00226892">
              <w:rPr>
                <w:rFonts w:ascii="Arial" w:hAnsi="Arial" w:cs="Arial"/>
                <w:b/>
                <w:bCs/>
                <w:sz w:val="18"/>
                <w:szCs w:val="18"/>
              </w:rPr>
              <w:t>hlasovacích</w:t>
            </w:r>
            <w:proofErr w:type="spellEnd"/>
            <w:r w:rsidRPr="00226892">
              <w:rPr>
                <w:rFonts w:ascii="Arial" w:hAnsi="Arial" w:cs="Arial"/>
                <w:b/>
                <w:bCs/>
                <w:sz w:val="18"/>
                <w:szCs w:val="18"/>
              </w:rPr>
              <w:t xml:space="preserve"> </w:t>
            </w:r>
          </w:p>
          <w:p w14:paraId="3AAFEB15" w14:textId="77777777" w:rsidR="006C5424" w:rsidRPr="00226892" w:rsidRDefault="006C5424" w:rsidP="00ED3406">
            <w:pPr>
              <w:jc w:val="center"/>
              <w:rPr>
                <w:rFonts w:ascii="Arial" w:hAnsi="Arial" w:cs="Arial"/>
                <w:b/>
                <w:bCs/>
                <w:sz w:val="18"/>
                <w:szCs w:val="18"/>
              </w:rPr>
            </w:pPr>
            <w:proofErr w:type="spellStart"/>
            <w:r w:rsidRPr="00226892">
              <w:rPr>
                <w:rFonts w:ascii="Arial" w:hAnsi="Arial" w:cs="Arial"/>
                <w:b/>
                <w:bCs/>
                <w:sz w:val="18"/>
                <w:szCs w:val="18"/>
              </w:rPr>
              <w:t>právach</w:t>
            </w:r>
            <w:proofErr w:type="spellEnd"/>
            <w:r w:rsidRPr="00226892">
              <w:rPr>
                <w:rFonts w:ascii="Arial" w:hAnsi="Arial" w:cs="Arial"/>
                <w:b/>
                <w:bCs/>
                <w:sz w:val="18"/>
                <w:szCs w:val="18"/>
              </w:rPr>
              <w:t xml:space="preserve"> v %</w:t>
            </w:r>
          </w:p>
        </w:tc>
        <w:tc>
          <w:tcPr>
            <w:tcW w:w="719" w:type="pct"/>
            <w:vMerge w:val="restart"/>
            <w:tcBorders>
              <w:top w:val="nil"/>
              <w:left w:val="nil"/>
              <w:bottom w:val="single" w:sz="4" w:space="0" w:color="000000"/>
              <w:right w:val="nil"/>
            </w:tcBorders>
            <w:shd w:val="clear" w:color="auto" w:fill="auto"/>
            <w:vAlign w:val="bottom"/>
            <w:hideMark/>
          </w:tcPr>
          <w:p w14:paraId="09DA64FE" w14:textId="77777777" w:rsidR="006C5424" w:rsidRPr="00226892" w:rsidRDefault="006C5424" w:rsidP="00ED3406">
            <w:pPr>
              <w:jc w:val="center"/>
              <w:rPr>
                <w:rFonts w:ascii="Arial" w:hAnsi="Arial" w:cs="Arial"/>
                <w:b/>
                <w:bCs/>
                <w:sz w:val="18"/>
                <w:szCs w:val="18"/>
              </w:rPr>
            </w:pPr>
            <w:proofErr w:type="spellStart"/>
            <w:r w:rsidRPr="00226892">
              <w:rPr>
                <w:rFonts w:ascii="Arial" w:hAnsi="Arial" w:cs="Arial"/>
                <w:b/>
                <w:bCs/>
                <w:sz w:val="18"/>
                <w:szCs w:val="18"/>
              </w:rPr>
              <w:t>Iný</w:t>
            </w:r>
            <w:proofErr w:type="spellEnd"/>
            <w:r w:rsidRPr="00226892">
              <w:rPr>
                <w:rFonts w:ascii="Arial" w:hAnsi="Arial" w:cs="Arial"/>
                <w:b/>
                <w:bCs/>
                <w:sz w:val="18"/>
                <w:szCs w:val="18"/>
              </w:rPr>
              <w:t xml:space="preserve"> </w:t>
            </w:r>
            <w:proofErr w:type="spellStart"/>
            <w:r w:rsidRPr="00226892">
              <w:rPr>
                <w:rFonts w:ascii="Arial" w:hAnsi="Arial" w:cs="Arial"/>
                <w:b/>
                <w:bCs/>
                <w:sz w:val="18"/>
                <w:szCs w:val="18"/>
              </w:rPr>
              <w:t>podiel</w:t>
            </w:r>
            <w:proofErr w:type="spellEnd"/>
            <w:r w:rsidRPr="00226892">
              <w:rPr>
                <w:rFonts w:ascii="Arial" w:hAnsi="Arial" w:cs="Arial"/>
                <w:b/>
                <w:bCs/>
                <w:sz w:val="18"/>
                <w:szCs w:val="18"/>
              </w:rPr>
              <w:t xml:space="preserve"> </w:t>
            </w:r>
            <w:proofErr w:type="spellStart"/>
            <w:r w:rsidRPr="00226892">
              <w:rPr>
                <w:rFonts w:ascii="Arial" w:hAnsi="Arial" w:cs="Arial"/>
                <w:b/>
                <w:bCs/>
                <w:sz w:val="18"/>
                <w:szCs w:val="18"/>
              </w:rPr>
              <w:t>na</w:t>
            </w:r>
            <w:proofErr w:type="spellEnd"/>
            <w:r w:rsidRPr="00226892">
              <w:rPr>
                <w:rFonts w:ascii="Arial" w:hAnsi="Arial" w:cs="Arial"/>
                <w:b/>
                <w:bCs/>
                <w:sz w:val="18"/>
                <w:szCs w:val="18"/>
              </w:rPr>
              <w:t xml:space="preserve"> </w:t>
            </w:r>
            <w:proofErr w:type="spellStart"/>
            <w:r w:rsidRPr="00226892">
              <w:rPr>
                <w:rFonts w:ascii="Arial" w:hAnsi="Arial" w:cs="Arial"/>
                <w:b/>
                <w:bCs/>
                <w:sz w:val="18"/>
                <w:szCs w:val="18"/>
              </w:rPr>
              <w:t>ostatných</w:t>
            </w:r>
            <w:proofErr w:type="spellEnd"/>
            <w:r w:rsidRPr="00226892">
              <w:rPr>
                <w:rFonts w:ascii="Arial" w:hAnsi="Arial" w:cs="Arial"/>
                <w:b/>
                <w:bCs/>
                <w:sz w:val="18"/>
                <w:szCs w:val="18"/>
              </w:rPr>
              <w:t xml:space="preserve"> </w:t>
            </w:r>
          </w:p>
          <w:p w14:paraId="1A610804" w14:textId="77777777" w:rsidR="006C5424" w:rsidRPr="00226892" w:rsidRDefault="006C5424" w:rsidP="00ED3406">
            <w:pPr>
              <w:jc w:val="center"/>
              <w:rPr>
                <w:rFonts w:ascii="Arial" w:hAnsi="Arial" w:cs="Arial"/>
                <w:b/>
                <w:bCs/>
                <w:sz w:val="18"/>
                <w:szCs w:val="18"/>
              </w:rPr>
            </w:pPr>
            <w:proofErr w:type="spellStart"/>
            <w:r w:rsidRPr="00226892">
              <w:rPr>
                <w:rFonts w:ascii="Arial" w:hAnsi="Arial" w:cs="Arial"/>
                <w:b/>
                <w:bCs/>
                <w:sz w:val="18"/>
                <w:szCs w:val="18"/>
              </w:rPr>
              <w:t>položkách</w:t>
            </w:r>
            <w:proofErr w:type="spellEnd"/>
            <w:r w:rsidRPr="00226892">
              <w:rPr>
                <w:rFonts w:ascii="Arial" w:hAnsi="Arial" w:cs="Arial"/>
                <w:b/>
                <w:bCs/>
                <w:sz w:val="18"/>
                <w:szCs w:val="18"/>
              </w:rPr>
              <w:t xml:space="preserve"> VI </w:t>
            </w:r>
            <w:proofErr w:type="spellStart"/>
            <w:r w:rsidRPr="00226892">
              <w:rPr>
                <w:rFonts w:ascii="Arial" w:hAnsi="Arial" w:cs="Arial"/>
                <w:b/>
                <w:bCs/>
                <w:sz w:val="18"/>
                <w:szCs w:val="18"/>
              </w:rPr>
              <w:t>ako</w:t>
            </w:r>
            <w:proofErr w:type="spellEnd"/>
            <w:r w:rsidRPr="00226892">
              <w:rPr>
                <w:rFonts w:ascii="Arial" w:hAnsi="Arial" w:cs="Arial"/>
                <w:b/>
                <w:bCs/>
                <w:sz w:val="18"/>
                <w:szCs w:val="18"/>
              </w:rPr>
              <w:t xml:space="preserve"> </w:t>
            </w:r>
            <w:proofErr w:type="spellStart"/>
            <w:r w:rsidRPr="00226892">
              <w:rPr>
                <w:rFonts w:ascii="Arial" w:hAnsi="Arial" w:cs="Arial"/>
                <w:b/>
                <w:bCs/>
                <w:sz w:val="18"/>
                <w:szCs w:val="18"/>
              </w:rPr>
              <w:t>na</w:t>
            </w:r>
            <w:proofErr w:type="spellEnd"/>
            <w:r w:rsidRPr="00226892">
              <w:rPr>
                <w:rFonts w:ascii="Arial" w:hAnsi="Arial" w:cs="Arial"/>
                <w:b/>
                <w:bCs/>
                <w:sz w:val="18"/>
                <w:szCs w:val="18"/>
              </w:rPr>
              <w:t xml:space="preserve"> ZI v %</w:t>
            </w:r>
          </w:p>
        </w:tc>
      </w:tr>
      <w:tr w:rsidR="006C5424" w:rsidRPr="00226892" w14:paraId="0254B990" w14:textId="77777777" w:rsidTr="009B79FC">
        <w:trPr>
          <w:trHeight w:val="276"/>
        </w:trPr>
        <w:tc>
          <w:tcPr>
            <w:tcW w:w="1988" w:type="pct"/>
            <w:vMerge/>
            <w:tcBorders>
              <w:top w:val="nil"/>
              <w:left w:val="nil"/>
              <w:bottom w:val="single" w:sz="4" w:space="0" w:color="000000"/>
              <w:right w:val="nil"/>
            </w:tcBorders>
            <w:vAlign w:val="center"/>
            <w:hideMark/>
          </w:tcPr>
          <w:p w14:paraId="3D161596" w14:textId="77777777" w:rsidR="006C5424" w:rsidRPr="00226892" w:rsidRDefault="006C5424" w:rsidP="00ED3406">
            <w:pPr>
              <w:rPr>
                <w:rFonts w:ascii="Arial" w:hAnsi="Arial" w:cs="Arial"/>
                <w:b/>
                <w:bCs/>
                <w:sz w:val="18"/>
                <w:szCs w:val="18"/>
              </w:rPr>
            </w:pPr>
          </w:p>
        </w:tc>
        <w:tc>
          <w:tcPr>
            <w:tcW w:w="1529" w:type="pct"/>
            <w:gridSpan w:val="2"/>
            <w:vMerge/>
            <w:tcBorders>
              <w:top w:val="nil"/>
              <w:left w:val="nil"/>
              <w:bottom w:val="nil"/>
              <w:right w:val="nil"/>
            </w:tcBorders>
            <w:vAlign w:val="center"/>
            <w:hideMark/>
          </w:tcPr>
          <w:p w14:paraId="1346E7C6" w14:textId="77777777" w:rsidR="006C5424" w:rsidRPr="00226892" w:rsidRDefault="006C5424" w:rsidP="00ED3406">
            <w:pPr>
              <w:rPr>
                <w:rFonts w:ascii="Arial" w:hAnsi="Arial" w:cs="Arial"/>
                <w:b/>
                <w:bCs/>
                <w:sz w:val="18"/>
                <w:szCs w:val="18"/>
              </w:rPr>
            </w:pPr>
          </w:p>
        </w:tc>
        <w:tc>
          <w:tcPr>
            <w:tcW w:w="764" w:type="pct"/>
            <w:vMerge/>
            <w:tcBorders>
              <w:top w:val="nil"/>
              <w:left w:val="nil"/>
              <w:bottom w:val="single" w:sz="4" w:space="0" w:color="000000"/>
              <w:right w:val="nil"/>
            </w:tcBorders>
            <w:vAlign w:val="center"/>
            <w:hideMark/>
          </w:tcPr>
          <w:p w14:paraId="223646F6" w14:textId="77777777" w:rsidR="006C5424" w:rsidRPr="00226892" w:rsidRDefault="006C5424" w:rsidP="00ED3406">
            <w:pPr>
              <w:rPr>
                <w:rFonts w:ascii="Arial" w:hAnsi="Arial" w:cs="Arial"/>
                <w:b/>
                <w:bCs/>
                <w:sz w:val="18"/>
                <w:szCs w:val="18"/>
              </w:rPr>
            </w:pPr>
          </w:p>
        </w:tc>
        <w:tc>
          <w:tcPr>
            <w:tcW w:w="719" w:type="pct"/>
            <w:vMerge/>
            <w:tcBorders>
              <w:top w:val="nil"/>
              <w:left w:val="nil"/>
              <w:bottom w:val="single" w:sz="4" w:space="0" w:color="000000"/>
              <w:right w:val="nil"/>
            </w:tcBorders>
            <w:vAlign w:val="center"/>
            <w:hideMark/>
          </w:tcPr>
          <w:p w14:paraId="174D0F68" w14:textId="77777777" w:rsidR="006C5424" w:rsidRPr="00226892" w:rsidRDefault="006C5424" w:rsidP="00ED3406">
            <w:pPr>
              <w:rPr>
                <w:rFonts w:ascii="Arial" w:hAnsi="Arial" w:cs="Arial"/>
                <w:b/>
                <w:bCs/>
                <w:sz w:val="18"/>
                <w:szCs w:val="18"/>
              </w:rPr>
            </w:pPr>
          </w:p>
        </w:tc>
      </w:tr>
      <w:tr w:rsidR="006C5424" w:rsidRPr="00226892" w14:paraId="79334896" w14:textId="77777777" w:rsidTr="009B79FC">
        <w:trPr>
          <w:trHeight w:val="276"/>
        </w:trPr>
        <w:tc>
          <w:tcPr>
            <w:tcW w:w="1988" w:type="pct"/>
            <w:vMerge/>
            <w:tcBorders>
              <w:top w:val="nil"/>
              <w:left w:val="nil"/>
              <w:bottom w:val="single" w:sz="4" w:space="0" w:color="000000"/>
              <w:right w:val="nil"/>
            </w:tcBorders>
            <w:vAlign w:val="center"/>
            <w:hideMark/>
          </w:tcPr>
          <w:p w14:paraId="075F864F" w14:textId="77777777" w:rsidR="006C5424" w:rsidRPr="00226892" w:rsidRDefault="006C5424" w:rsidP="00ED3406">
            <w:pPr>
              <w:rPr>
                <w:rFonts w:ascii="Arial" w:hAnsi="Arial" w:cs="Arial"/>
                <w:b/>
                <w:bCs/>
                <w:sz w:val="18"/>
                <w:szCs w:val="18"/>
              </w:rPr>
            </w:pPr>
          </w:p>
        </w:tc>
        <w:tc>
          <w:tcPr>
            <w:tcW w:w="1529" w:type="pct"/>
            <w:gridSpan w:val="2"/>
            <w:vMerge/>
            <w:tcBorders>
              <w:top w:val="nil"/>
              <w:left w:val="nil"/>
              <w:bottom w:val="nil"/>
              <w:right w:val="nil"/>
            </w:tcBorders>
            <w:vAlign w:val="center"/>
            <w:hideMark/>
          </w:tcPr>
          <w:p w14:paraId="76B032A1" w14:textId="77777777" w:rsidR="006C5424" w:rsidRPr="00226892" w:rsidRDefault="006C5424" w:rsidP="00ED3406">
            <w:pPr>
              <w:rPr>
                <w:rFonts w:ascii="Arial" w:hAnsi="Arial" w:cs="Arial"/>
                <w:b/>
                <w:bCs/>
                <w:sz w:val="18"/>
                <w:szCs w:val="18"/>
              </w:rPr>
            </w:pPr>
          </w:p>
        </w:tc>
        <w:tc>
          <w:tcPr>
            <w:tcW w:w="764" w:type="pct"/>
            <w:vMerge/>
            <w:tcBorders>
              <w:top w:val="nil"/>
              <w:left w:val="nil"/>
              <w:bottom w:val="single" w:sz="4" w:space="0" w:color="000000"/>
              <w:right w:val="nil"/>
            </w:tcBorders>
            <w:vAlign w:val="center"/>
            <w:hideMark/>
          </w:tcPr>
          <w:p w14:paraId="60934895" w14:textId="77777777" w:rsidR="006C5424" w:rsidRPr="00226892" w:rsidRDefault="006C5424" w:rsidP="00ED3406">
            <w:pPr>
              <w:rPr>
                <w:rFonts w:ascii="Arial" w:hAnsi="Arial" w:cs="Arial"/>
                <w:b/>
                <w:bCs/>
                <w:sz w:val="18"/>
                <w:szCs w:val="18"/>
              </w:rPr>
            </w:pPr>
          </w:p>
        </w:tc>
        <w:tc>
          <w:tcPr>
            <w:tcW w:w="719" w:type="pct"/>
            <w:vMerge/>
            <w:tcBorders>
              <w:top w:val="nil"/>
              <w:left w:val="nil"/>
              <w:bottom w:val="single" w:sz="4" w:space="0" w:color="000000"/>
              <w:right w:val="nil"/>
            </w:tcBorders>
            <w:vAlign w:val="center"/>
            <w:hideMark/>
          </w:tcPr>
          <w:p w14:paraId="0D5461A9" w14:textId="77777777" w:rsidR="006C5424" w:rsidRPr="00226892" w:rsidRDefault="006C5424" w:rsidP="00ED3406">
            <w:pPr>
              <w:rPr>
                <w:rFonts w:ascii="Arial" w:hAnsi="Arial" w:cs="Arial"/>
                <w:b/>
                <w:bCs/>
                <w:sz w:val="18"/>
                <w:szCs w:val="18"/>
              </w:rPr>
            </w:pPr>
          </w:p>
        </w:tc>
      </w:tr>
      <w:tr w:rsidR="006C5424" w:rsidRPr="00226892" w14:paraId="7093D9FE" w14:textId="77777777" w:rsidTr="009B79FC">
        <w:trPr>
          <w:trHeight w:val="227"/>
        </w:trPr>
        <w:tc>
          <w:tcPr>
            <w:tcW w:w="1988" w:type="pct"/>
            <w:vMerge/>
            <w:tcBorders>
              <w:top w:val="nil"/>
              <w:left w:val="nil"/>
              <w:bottom w:val="single" w:sz="4" w:space="0" w:color="000000"/>
              <w:right w:val="nil"/>
            </w:tcBorders>
            <w:vAlign w:val="center"/>
            <w:hideMark/>
          </w:tcPr>
          <w:p w14:paraId="3F74AB89" w14:textId="77777777" w:rsidR="006C5424" w:rsidRPr="00226892" w:rsidRDefault="006C5424" w:rsidP="00ED3406">
            <w:pPr>
              <w:rPr>
                <w:rFonts w:ascii="Arial" w:hAnsi="Arial" w:cs="Arial"/>
                <w:b/>
                <w:bCs/>
                <w:sz w:val="18"/>
                <w:szCs w:val="18"/>
              </w:rPr>
            </w:pPr>
          </w:p>
        </w:tc>
        <w:tc>
          <w:tcPr>
            <w:tcW w:w="764" w:type="pct"/>
            <w:tcBorders>
              <w:top w:val="nil"/>
              <w:left w:val="nil"/>
              <w:bottom w:val="single" w:sz="4" w:space="0" w:color="auto"/>
              <w:right w:val="nil"/>
            </w:tcBorders>
            <w:shd w:val="clear" w:color="auto" w:fill="auto"/>
            <w:vAlign w:val="bottom"/>
            <w:hideMark/>
          </w:tcPr>
          <w:p w14:paraId="79E58926" w14:textId="77777777" w:rsidR="006C5424" w:rsidRPr="00226892" w:rsidRDefault="006C5424" w:rsidP="00ED3406">
            <w:pPr>
              <w:jc w:val="center"/>
              <w:rPr>
                <w:rFonts w:ascii="Arial" w:hAnsi="Arial" w:cs="Arial"/>
                <w:b/>
                <w:bCs/>
                <w:sz w:val="18"/>
                <w:szCs w:val="18"/>
              </w:rPr>
            </w:pPr>
            <w:proofErr w:type="spellStart"/>
            <w:r w:rsidRPr="00226892">
              <w:rPr>
                <w:rFonts w:ascii="Arial" w:hAnsi="Arial" w:cs="Arial"/>
                <w:b/>
                <w:bCs/>
                <w:sz w:val="18"/>
                <w:szCs w:val="18"/>
              </w:rPr>
              <w:t>absolútne</w:t>
            </w:r>
            <w:proofErr w:type="spellEnd"/>
          </w:p>
        </w:tc>
        <w:tc>
          <w:tcPr>
            <w:tcW w:w="764" w:type="pct"/>
            <w:tcBorders>
              <w:top w:val="nil"/>
              <w:left w:val="nil"/>
              <w:bottom w:val="single" w:sz="4" w:space="0" w:color="auto"/>
              <w:right w:val="nil"/>
            </w:tcBorders>
            <w:shd w:val="clear" w:color="auto" w:fill="auto"/>
            <w:vAlign w:val="bottom"/>
            <w:hideMark/>
          </w:tcPr>
          <w:p w14:paraId="75CB6399" w14:textId="77777777" w:rsidR="006C5424" w:rsidRPr="00226892" w:rsidRDefault="006C5424" w:rsidP="00ED3406">
            <w:pPr>
              <w:jc w:val="center"/>
              <w:rPr>
                <w:rFonts w:ascii="Arial" w:hAnsi="Arial" w:cs="Arial"/>
                <w:b/>
                <w:bCs/>
                <w:sz w:val="18"/>
                <w:szCs w:val="18"/>
              </w:rPr>
            </w:pPr>
            <w:r w:rsidRPr="00226892">
              <w:rPr>
                <w:rFonts w:ascii="Arial" w:hAnsi="Arial" w:cs="Arial"/>
                <w:b/>
                <w:bCs/>
                <w:sz w:val="18"/>
                <w:szCs w:val="18"/>
              </w:rPr>
              <w:t>v %</w:t>
            </w:r>
          </w:p>
        </w:tc>
        <w:tc>
          <w:tcPr>
            <w:tcW w:w="764" w:type="pct"/>
            <w:vMerge/>
            <w:tcBorders>
              <w:top w:val="nil"/>
              <w:left w:val="nil"/>
              <w:bottom w:val="single" w:sz="4" w:space="0" w:color="000000"/>
              <w:right w:val="nil"/>
            </w:tcBorders>
            <w:vAlign w:val="center"/>
            <w:hideMark/>
          </w:tcPr>
          <w:p w14:paraId="16B8DAE6" w14:textId="77777777" w:rsidR="006C5424" w:rsidRPr="00226892" w:rsidRDefault="006C5424" w:rsidP="00ED3406">
            <w:pPr>
              <w:rPr>
                <w:rFonts w:ascii="Arial" w:hAnsi="Arial" w:cs="Arial"/>
                <w:b/>
                <w:bCs/>
                <w:sz w:val="18"/>
                <w:szCs w:val="18"/>
              </w:rPr>
            </w:pPr>
          </w:p>
        </w:tc>
        <w:tc>
          <w:tcPr>
            <w:tcW w:w="719" w:type="pct"/>
            <w:vMerge/>
            <w:tcBorders>
              <w:top w:val="nil"/>
              <w:left w:val="nil"/>
              <w:bottom w:val="single" w:sz="4" w:space="0" w:color="000000"/>
              <w:right w:val="nil"/>
            </w:tcBorders>
            <w:vAlign w:val="center"/>
            <w:hideMark/>
          </w:tcPr>
          <w:p w14:paraId="4CB255D6" w14:textId="77777777" w:rsidR="006C5424" w:rsidRPr="00226892" w:rsidRDefault="006C5424" w:rsidP="00ED3406">
            <w:pPr>
              <w:rPr>
                <w:rFonts w:ascii="Arial" w:hAnsi="Arial" w:cs="Arial"/>
                <w:b/>
                <w:bCs/>
                <w:sz w:val="18"/>
                <w:szCs w:val="18"/>
              </w:rPr>
            </w:pPr>
          </w:p>
        </w:tc>
      </w:tr>
      <w:tr w:rsidR="006C5424" w:rsidRPr="00226892" w14:paraId="4D99FFE8" w14:textId="77777777" w:rsidTr="009B79FC">
        <w:trPr>
          <w:trHeight w:val="227"/>
        </w:trPr>
        <w:tc>
          <w:tcPr>
            <w:tcW w:w="1988" w:type="pct"/>
            <w:tcBorders>
              <w:top w:val="nil"/>
              <w:left w:val="nil"/>
              <w:bottom w:val="nil"/>
              <w:right w:val="nil"/>
            </w:tcBorders>
            <w:shd w:val="clear" w:color="auto" w:fill="auto"/>
            <w:vAlign w:val="bottom"/>
            <w:hideMark/>
          </w:tcPr>
          <w:p w14:paraId="731ECAA6" w14:textId="77777777" w:rsidR="006C5424" w:rsidRPr="00226892" w:rsidRDefault="006C5424" w:rsidP="00ED3406">
            <w:pPr>
              <w:rPr>
                <w:rFonts w:ascii="Arial" w:hAnsi="Arial" w:cs="Arial"/>
                <w:sz w:val="18"/>
                <w:szCs w:val="18"/>
              </w:rPr>
            </w:pPr>
            <w:r w:rsidRPr="00226892">
              <w:rPr>
                <w:rFonts w:ascii="Arial" w:hAnsi="Arial" w:cs="Arial"/>
                <w:sz w:val="18"/>
                <w:szCs w:val="18"/>
              </w:rPr>
              <w:t xml:space="preserve">M.I.L. MATINVESTMENTS LIMITED </w:t>
            </w:r>
          </w:p>
        </w:tc>
        <w:tc>
          <w:tcPr>
            <w:tcW w:w="764" w:type="pct"/>
            <w:tcBorders>
              <w:top w:val="nil"/>
              <w:left w:val="nil"/>
              <w:bottom w:val="nil"/>
              <w:right w:val="nil"/>
            </w:tcBorders>
            <w:shd w:val="clear" w:color="auto" w:fill="auto"/>
            <w:vAlign w:val="bottom"/>
            <w:hideMark/>
          </w:tcPr>
          <w:p w14:paraId="7F51395D" w14:textId="23EE988B" w:rsidR="006C5424" w:rsidRPr="00226892" w:rsidRDefault="006C5424" w:rsidP="00ED3406">
            <w:pPr>
              <w:jc w:val="right"/>
              <w:rPr>
                <w:rFonts w:ascii="Arial" w:hAnsi="Arial" w:cs="Arial"/>
                <w:sz w:val="18"/>
                <w:szCs w:val="18"/>
              </w:rPr>
            </w:pPr>
            <w:r w:rsidRPr="00226892">
              <w:rPr>
                <w:rFonts w:ascii="Arial" w:hAnsi="Arial" w:cs="Arial"/>
                <w:sz w:val="18"/>
                <w:szCs w:val="18"/>
              </w:rPr>
              <w:t>8 206</w:t>
            </w:r>
          </w:p>
        </w:tc>
        <w:tc>
          <w:tcPr>
            <w:tcW w:w="764" w:type="pct"/>
            <w:tcBorders>
              <w:top w:val="nil"/>
              <w:left w:val="nil"/>
              <w:bottom w:val="nil"/>
              <w:right w:val="nil"/>
            </w:tcBorders>
            <w:shd w:val="clear" w:color="auto" w:fill="auto"/>
            <w:vAlign w:val="bottom"/>
            <w:hideMark/>
          </w:tcPr>
          <w:p w14:paraId="6A1296C0" w14:textId="36FB7DEA" w:rsidR="006C5424" w:rsidRPr="00226892" w:rsidRDefault="006C5424" w:rsidP="00ED3406">
            <w:pPr>
              <w:jc w:val="right"/>
              <w:rPr>
                <w:rFonts w:ascii="Arial" w:hAnsi="Arial" w:cs="Arial"/>
                <w:sz w:val="18"/>
                <w:szCs w:val="18"/>
              </w:rPr>
            </w:pPr>
            <w:r w:rsidRPr="00226892">
              <w:rPr>
                <w:rFonts w:ascii="Arial" w:hAnsi="Arial" w:cs="Arial"/>
                <w:sz w:val="18"/>
                <w:szCs w:val="18"/>
              </w:rPr>
              <w:t>40,14%</w:t>
            </w:r>
          </w:p>
        </w:tc>
        <w:tc>
          <w:tcPr>
            <w:tcW w:w="764" w:type="pct"/>
            <w:tcBorders>
              <w:top w:val="nil"/>
              <w:left w:val="nil"/>
              <w:bottom w:val="nil"/>
              <w:right w:val="nil"/>
            </w:tcBorders>
            <w:shd w:val="clear" w:color="auto" w:fill="auto"/>
            <w:hideMark/>
          </w:tcPr>
          <w:p w14:paraId="662E283A" w14:textId="333EBFE6" w:rsidR="006C5424" w:rsidRPr="00226892" w:rsidRDefault="006C5424" w:rsidP="00ED3406">
            <w:pPr>
              <w:jc w:val="right"/>
              <w:rPr>
                <w:rFonts w:ascii="Arial" w:hAnsi="Arial" w:cs="Arial"/>
                <w:sz w:val="18"/>
                <w:szCs w:val="18"/>
              </w:rPr>
            </w:pPr>
            <w:r w:rsidRPr="00226892">
              <w:rPr>
                <w:rFonts w:ascii="Arial" w:hAnsi="Arial" w:cs="Arial"/>
                <w:sz w:val="18"/>
                <w:szCs w:val="18"/>
              </w:rPr>
              <w:t>40,32%</w:t>
            </w:r>
          </w:p>
        </w:tc>
        <w:tc>
          <w:tcPr>
            <w:tcW w:w="719" w:type="pct"/>
            <w:tcBorders>
              <w:top w:val="nil"/>
              <w:left w:val="nil"/>
              <w:bottom w:val="nil"/>
              <w:right w:val="nil"/>
            </w:tcBorders>
            <w:shd w:val="clear" w:color="auto" w:fill="auto"/>
            <w:hideMark/>
          </w:tcPr>
          <w:p w14:paraId="13CA292B" w14:textId="1023A92E" w:rsidR="006C5424" w:rsidRPr="00226892" w:rsidRDefault="006C5424" w:rsidP="00ED3406">
            <w:pPr>
              <w:jc w:val="right"/>
              <w:rPr>
                <w:rFonts w:ascii="Arial" w:hAnsi="Arial" w:cs="Arial"/>
                <w:sz w:val="18"/>
                <w:szCs w:val="18"/>
              </w:rPr>
            </w:pPr>
            <w:r w:rsidRPr="00226892">
              <w:rPr>
                <w:rFonts w:ascii="Arial" w:hAnsi="Arial" w:cs="Arial"/>
                <w:sz w:val="18"/>
                <w:szCs w:val="18"/>
              </w:rPr>
              <w:t>40,32%</w:t>
            </w:r>
          </w:p>
        </w:tc>
      </w:tr>
      <w:tr w:rsidR="006C5424" w:rsidRPr="00226892" w14:paraId="300C1F8E" w14:textId="77777777" w:rsidTr="009B79FC">
        <w:trPr>
          <w:trHeight w:val="227"/>
        </w:trPr>
        <w:tc>
          <w:tcPr>
            <w:tcW w:w="1988" w:type="pct"/>
            <w:tcBorders>
              <w:top w:val="nil"/>
              <w:left w:val="nil"/>
              <w:bottom w:val="nil"/>
              <w:right w:val="nil"/>
            </w:tcBorders>
            <w:shd w:val="clear" w:color="auto" w:fill="auto"/>
            <w:vAlign w:val="bottom"/>
            <w:hideMark/>
          </w:tcPr>
          <w:p w14:paraId="27FB4458" w14:textId="77777777" w:rsidR="006C5424" w:rsidRPr="00226892" w:rsidRDefault="006C5424" w:rsidP="00ED3406">
            <w:pPr>
              <w:rPr>
                <w:rFonts w:ascii="Arial" w:hAnsi="Arial" w:cs="Arial"/>
                <w:sz w:val="18"/>
                <w:szCs w:val="18"/>
              </w:rPr>
            </w:pPr>
            <w:r w:rsidRPr="00226892">
              <w:rPr>
                <w:rFonts w:ascii="Arial" w:hAnsi="Arial" w:cs="Arial"/>
                <w:sz w:val="18"/>
                <w:szCs w:val="18"/>
              </w:rPr>
              <w:t>SODECIA Automotive Europe GmbH</w:t>
            </w:r>
          </w:p>
        </w:tc>
        <w:tc>
          <w:tcPr>
            <w:tcW w:w="764" w:type="pct"/>
            <w:tcBorders>
              <w:top w:val="nil"/>
              <w:left w:val="nil"/>
              <w:bottom w:val="nil"/>
              <w:right w:val="nil"/>
            </w:tcBorders>
            <w:shd w:val="clear" w:color="auto" w:fill="auto"/>
            <w:vAlign w:val="bottom"/>
            <w:hideMark/>
          </w:tcPr>
          <w:p w14:paraId="6D79AE5F" w14:textId="5AC20E6D" w:rsidR="006C5424" w:rsidRPr="00226892" w:rsidRDefault="006C5424" w:rsidP="00ED3406">
            <w:pPr>
              <w:jc w:val="right"/>
              <w:rPr>
                <w:rFonts w:ascii="Arial" w:hAnsi="Arial" w:cs="Arial"/>
                <w:sz w:val="18"/>
                <w:szCs w:val="18"/>
              </w:rPr>
            </w:pPr>
            <w:r w:rsidRPr="00226892">
              <w:rPr>
                <w:rFonts w:ascii="Arial" w:hAnsi="Arial" w:cs="Arial"/>
                <w:sz w:val="18"/>
                <w:szCs w:val="18"/>
              </w:rPr>
              <w:t>12 114</w:t>
            </w:r>
          </w:p>
        </w:tc>
        <w:tc>
          <w:tcPr>
            <w:tcW w:w="764" w:type="pct"/>
            <w:tcBorders>
              <w:top w:val="nil"/>
              <w:left w:val="nil"/>
              <w:bottom w:val="nil"/>
              <w:right w:val="nil"/>
            </w:tcBorders>
            <w:shd w:val="clear" w:color="auto" w:fill="auto"/>
            <w:vAlign w:val="bottom"/>
            <w:hideMark/>
          </w:tcPr>
          <w:p w14:paraId="70235A82" w14:textId="46EDF71D" w:rsidR="006C5424" w:rsidRPr="00226892" w:rsidRDefault="006C5424" w:rsidP="00ED3406">
            <w:pPr>
              <w:jc w:val="right"/>
              <w:rPr>
                <w:rFonts w:ascii="Arial" w:hAnsi="Arial" w:cs="Arial"/>
                <w:sz w:val="18"/>
                <w:szCs w:val="18"/>
              </w:rPr>
            </w:pPr>
            <w:r w:rsidRPr="00226892">
              <w:rPr>
                <w:rFonts w:ascii="Arial" w:hAnsi="Arial" w:cs="Arial"/>
                <w:sz w:val="18"/>
                <w:szCs w:val="18"/>
              </w:rPr>
              <w:t>59,24%</w:t>
            </w:r>
          </w:p>
        </w:tc>
        <w:tc>
          <w:tcPr>
            <w:tcW w:w="764" w:type="pct"/>
            <w:tcBorders>
              <w:top w:val="nil"/>
              <w:left w:val="nil"/>
              <w:bottom w:val="nil"/>
              <w:right w:val="nil"/>
            </w:tcBorders>
            <w:shd w:val="clear" w:color="auto" w:fill="auto"/>
            <w:hideMark/>
          </w:tcPr>
          <w:p w14:paraId="175431ED" w14:textId="249CA8B5" w:rsidR="006C5424" w:rsidRPr="00226892" w:rsidRDefault="006C5424" w:rsidP="00ED3406">
            <w:pPr>
              <w:jc w:val="right"/>
              <w:rPr>
                <w:rFonts w:ascii="Arial" w:hAnsi="Arial" w:cs="Arial"/>
                <w:sz w:val="18"/>
                <w:szCs w:val="18"/>
              </w:rPr>
            </w:pPr>
            <w:r w:rsidRPr="00226892">
              <w:rPr>
                <w:rFonts w:ascii="Arial" w:hAnsi="Arial" w:cs="Arial"/>
                <w:sz w:val="18"/>
                <w:szCs w:val="18"/>
              </w:rPr>
              <w:t>59,31%</w:t>
            </w:r>
          </w:p>
        </w:tc>
        <w:tc>
          <w:tcPr>
            <w:tcW w:w="719" w:type="pct"/>
            <w:tcBorders>
              <w:top w:val="nil"/>
              <w:left w:val="nil"/>
              <w:bottom w:val="nil"/>
              <w:right w:val="nil"/>
            </w:tcBorders>
            <w:shd w:val="clear" w:color="auto" w:fill="auto"/>
            <w:hideMark/>
          </w:tcPr>
          <w:p w14:paraId="140C1EF3" w14:textId="240C13E5" w:rsidR="006C5424" w:rsidRPr="00226892" w:rsidRDefault="006C5424" w:rsidP="00ED3406">
            <w:pPr>
              <w:jc w:val="right"/>
              <w:rPr>
                <w:rFonts w:ascii="Arial" w:hAnsi="Arial" w:cs="Arial"/>
                <w:sz w:val="18"/>
                <w:szCs w:val="18"/>
              </w:rPr>
            </w:pPr>
            <w:r w:rsidRPr="00226892">
              <w:rPr>
                <w:rFonts w:ascii="Arial" w:hAnsi="Arial" w:cs="Arial"/>
                <w:sz w:val="18"/>
                <w:szCs w:val="18"/>
              </w:rPr>
              <w:t>59,31%</w:t>
            </w:r>
          </w:p>
        </w:tc>
      </w:tr>
      <w:tr w:rsidR="006C5424" w:rsidRPr="00226892" w14:paraId="3E63AF66" w14:textId="77777777" w:rsidTr="009B79FC">
        <w:trPr>
          <w:trHeight w:val="227"/>
        </w:trPr>
        <w:tc>
          <w:tcPr>
            <w:tcW w:w="1988" w:type="pct"/>
            <w:tcBorders>
              <w:top w:val="nil"/>
              <w:left w:val="nil"/>
              <w:bottom w:val="nil"/>
              <w:right w:val="nil"/>
            </w:tcBorders>
            <w:shd w:val="clear" w:color="auto" w:fill="auto"/>
            <w:vAlign w:val="bottom"/>
            <w:hideMark/>
          </w:tcPr>
          <w:p w14:paraId="5C2344CE" w14:textId="77777777" w:rsidR="006C5424" w:rsidRPr="00226892" w:rsidRDefault="006C5424" w:rsidP="00ED3406">
            <w:pPr>
              <w:rPr>
                <w:rFonts w:ascii="Arial" w:hAnsi="Arial" w:cs="Arial"/>
                <w:sz w:val="18"/>
                <w:szCs w:val="18"/>
              </w:rPr>
            </w:pPr>
            <w:proofErr w:type="spellStart"/>
            <w:r w:rsidRPr="00226892">
              <w:rPr>
                <w:rFonts w:ascii="Arial" w:hAnsi="Arial" w:cs="Arial"/>
                <w:sz w:val="18"/>
                <w:szCs w:val="18"/>
              </w:rPr>
              <w:t>Ostatní</w:t>
            </w:r>
            <w:proofErr w:type="spellEnd"/>
            <w:r w:rsidRPr="00226892">
              <w:rPr>
                <w:rFonts w:ascii="Arial" w:hAnsi="Arial" w:cs="Arial"/>
                <w:sz w:val="18"/>
                <w:szCs w:val="18"/>
              </w:rPr>
              <w:t xml:space="preserve"> </w:t>
            </w:r>
            <w:proofErr w:type="spellStart"/>
            <w:r w:rsidRPr="00226892">
              <w:rPr>
                <w:rFonts w:ascii="Arial" w:hAnsi="Arial" w:cs="Arial"/>
                <w:sz w:val="18"/>
                <w:szCs w:val="18"/>
              </w:rPr>
              <w:t>akcionári</w:t>
            </w:r>
            <w:proofErr w:type="spellEnd"/>
          </w:p>
        </w:tc>
        <w:tc>
          <w:tcPr>
            <w:tcW w:w="764" w:type="pct"/>
            <w:tcBorders>
              <w:top w:val="nil"/>
              <w:left w:val="nil"/>
              <w:bottom w:val="nil"/>
              <w:right w:val="nil"/>
            </w:tcBorders>
            <w:shd w:val="clear" w:color="auto" w:fill="auto"/>
            <w:vAlign w:val="bottom"/>
            <w:hideMark/>
          </w:tcPr>
          <w:p w14:paraId="501371D8" w14:textId="77777777" w:rsidR="006C5424" w:rsidRPr="00226892" w:rsidRDefault="006C5424" w:rsidP="00ED3406">
            <w:pPr>
              <w:jc w:val="right"/>
              <w:rPr>
                <w:rFonts w:ascii="Arial" w:hAnsi="Arial" w:cs="Arial"/>
                <w:sz w:val="18"/>
                <w:szCs w:val="18"/>
              </w:rPr>
            </w:pPr>
            <w:r w:rsidRPr="00226892">
              <w:rPr>
                <w:rFonts w:ascii="Arial" w:hAnsi="Arial" w:cs="Arial"/>
                <w:sz w:val="18"/>
                <w:szCs w:val="18"/>
              </w:rPr>
              <w:t>76</w:t>
            </w:r>
          </w:p>
        </w:tc>
        <w:tc>
          <w:tcPr>
            <w:tcW w:w="764" w:type="pct"/>
            <w:tcBorders>
              <w:top w:val="nil"/>
              <w:left w:val="nil"/>
              <w:bottom w:val="nil"/>
              <w:right w:val="nil"/>
            </w:tcBorders>
            <w:shd w:val="clear" w:color="auto" w:fill="auto"/>
            <w:vAlign w:val="bottom"/>
            <w:hideMark/>
          </w:tcPr>
          <w:p w14:paraId="15035199" w14:textId="77777777" w:rsidR="006C5424" w:rsidRPr="00226892" w:rsidRDefault="006C5424" w:rsidP="00ED3406">
            <w:pPr>
              <w:jc w:val="right"/>
              <w:rPr>
                <w:rFonts w:ascii="Arial" w:hAnsi="Arial" w:cs="Arial"/>
                <w:sz w:val="18"/>
                <w:szCs w:val="18"/>
              </w:rPr>
            </w:pPr>
            <w:r w:rsidRPr="00226892">
              <w:rPr>
                <w:rFonts w:ascii="Arial" w:hAnsi="Arial" w:cs="Arial"/>
                <w:sz w:val="18"/>
                <w:szCs w:val="18"/>
              </w:rPr>
              <w:t>0,37%</w:t>
            </w:r>
          </w:p>
        </w:tc>
        <w:tc>
          <w:tcPr>
            <w:tcW w:w="764" w:type="pct"/>
            <w:tcBorders>
              <w:top w:val="nil"/>
              <w:left w:val="nil"/>
              <w:bottom w:val="nil"/>
              <w:right w:val="nil"/>
            </w:tcBorders>
            <w:shd w:val="clear" w:color="auto" w:fill="auto"/>
            <w:hideMark/>
          </w:tcPr>
          <w:p w14:paraId="3B5E242A" w14:textId="77777777" w:rsidR="006C5424" w:rsidRPr="00226892" w:rsidRDefault="006C5424" w:rsidP="00ED3406">
            <w:pPr>
              <w:jc w:val="right"/>
              <w:rPr>
                <w:rFonts w:ascii="Arial" w:hAnsi="Arial" w:cs="Arial"/>
                <w:sz w:val="18"/>
                <w:szCs w:val="18"/>
              </w:rPr>
            </w:pPr>
            <w:r w:rsidRPr="00226892">
              <w:rPr>
                <w:rFonts w:ascii="Arial" w:hAnsi="Arial" w:cs="Arial"/>
                <w:sz w:val="18"/>
                <w:szCs w:val="18"/>
              </w:rPr>
              <w:t>0,37%</w:t>
            </w:r>
          </w:p>
        </w:tc>
        <w:tc>
          <w:tcPr>
            <w:tcW w:w="719" w:type="pct"/>
            <w:tcBorders>
              <w:top w:val="nil"/>
              <w:left w:val="nil"/>
              <w:bottom w:val="nil"/>
              <w:right w:val="nil"/>
            </w:tcBorders>
            <w:shd w:val="clear" w:color="auto" w:fill="auto"/>
            <w:hideMark/>
          </w:tcPr>
          <w:p w14:paraId="259E20F9" w14:textId="77777777" w:rsidR="006C5424" w:rsidRPr="00226892" w:rsidRDefault="006C5424" w:rsidP="00ED3406">
            <w:pPr>
              <w:jc w:val="right"/>
              <w:rPr>
                <w:rFonts w:ascii="Arial" w:hAnsi="Arial" w:cs="Arial"/>
                <w:sz w:val="18"/>
                <w:szCs w:val="18"/>
              </w:rPr>
            </w:pPr>
            <w:r w:rsidRPr="00226892">
              <w:rPr>
                <w:rFonts w:ascii="Arial" w:hAnsi="Arial" w:cs="Arial"/>
                <w:sz w:val="18"/>
                <w:szCs w:val="18"/>
              </w:rPr>
              <w:t>0,37%</w:t>
            </w:r>
          </w:p>
        </w:tc>
      </w:tr>
      <w:tr w:rsidR="006C5424" w:rsidRPr="00226892" w14:paraId="6752124A" w14:textId="77777777" w:rsidTr="009B79FC">
        <w:trPr>
          <w:trHeight w:val="227"/>
        </w:trPr>
        <w:tc>
          <w:tcPr>
            <w:tcW w:w="1988" w:type="pct"/>
            <w:tcBorders>
              <w:top w:val="nil"/>
              <w:left w:val="nil"/>
              <w:bottom w:val="nil"/>
              <w:right w:val="nil"/>
            </w:tcBorders>
            <w:shd w:val="clear" w:color="auto" w:fill="auto"/>
            <w:vAlign w:val="bottom"/>
            <w:hideMark/>
          </w:tcPr>
          <w:p w14:paraId="114CA5B6" w14:textId="77777777" w:rsidR="006C5424" w:rsidRPr="00226892" w:rsidRDefault="006C5424" w:rsidP="00ED3406">
            <w:pPr>
              <w:rPr>
                <w:rFonts w:ascii="Arial" w:hAnsi="Arial" w:cs="Arial"/>
                <w:sz w:val="18"/>
                <w:szCs w:val="18"/>
              </w:rPr>
            </w:pPr>
            <w:r w:rsidRPr="00226892">
              <w:rPr>
                <w:rFonts w:ascii="Arial" w:hAnsi="Arial" w:cs="Arial"/>
                <w:sz w:val="18"/>
                <w:szCs w:val="18"/>
              </w:rPr>
              <w:t xml:space="preserve">MATADOR Automotive </w:t>
            </w:r>
            <w:proofErr w:type="spellStart"/>
            <w:r w:rsidRPr="00226892">
              <w:rPr>
                <w:rFonts w:ascii="Arial" w:hAnsi="Arial" w:cs="Arial"/>
                <w:sz w:val="18"/>
                <w:szCs w:val="18"/>
              </w:rPr>
              <w:t>Vráble</w:t>
            </w:r>
            <w:proofErr w:type="spellEnd"/>
            <w:r w:rsidRPr="00226892">
              <w:rPr>
                <w:rFonts w:ascii="Arial" w:hAnsi="Arial" w:cs="Arial"/>
                <w:sz w:val="18"/>
                <w:szCs w:val="18"/>
              </w:rPr>
              <w:t xml:space="preserve">, </w:t>
            </w:r>
            <w:proofErr w:type="spellStart"/>
            <w:r w:rsidRPr="00226892">
              <w:rPr>
                <w:rFonts w:ascii="Arial" w:hAnsi="Arial" w:cs="Arial"/>
                <w:sz w:val="18"/>
                <w:szCs w:val="18"/>
              </w:rPr>
              <w:t>a.s.</w:t>
            </w:r>
            <w:proofErr w:type="spellEnd"/>
          </w:p>
        </w:tc>
        <w:tc>
          <w:tcPr>
            <w:tcW w:w="764" w:type="pct"/>
            <w:tcBorders>
              <w:top w:val="nil"/>
              <w:left w:val="nil"/>
              <w:bottom w:val="nil"/>
              <w:right w:val="nil"/>
            </w:tcBorders>
            <w:shd w:val="clear" w:color="auto" w:fill="auto"/>
            <w:vAlign w:val="bottom"/>
            <w:hideMark/>
          </w:tcPr>
          <w:p w14:paraId="447DFFCC" w14:textId="77777777" w:rsidR="006C5424" w:rsidRPr="00226892" w:rsidRDefault="006C5424" w:rsidP="00ED3406">
            <w:pPr>
              <w:jc w:val="right"/>
              <w:rPr>
                <w:rFonts w:ascii="Arial" w:hAnsi="Arial" w:cs="Arial"/>
                <w:sz w:val="18"/>
                <w:szCs w:val="18"/>
              </w:rPr>
            </w:pPr>
            <w:r w:rsidRPr="00226892">
              <w:rPr>
                <w:rFonts w:ascii="Arial" w:hAnsi="Arial" w:cs="Arial"/>
                <w:sz w:val="18"/>
                <w:szCs w:val="18"/>
              </w:rPr>
              <w:t>52</w:t>
            </w:r>
          </w:p>
        </w:tc>
        <w:tc>
          <w:tcPr>
            <w:tcW w:w="764" w:type="pct"/>
            <w:tcBorders>
              <w:top w:val="nil"/>
              <w:left w:val="nil"/>
              <w:bottom w:val="nil"/>
              <w:right w:val="nil"/>
            </w:tcBorders>
            <w:shd w:val="clear" w:color="auto" w:fill="auto"/>
            <w:vAlign w:val="bottom"/>
            <w:hideMark/>
          </w:tcPr>
          <w:p w14:paraId="30CB164B" w14:textId="77777777" w:rsidR="006C5424" w:rsidRPr="00226892" w:rsidRDefault="006C5424" w:rsidP="00ED3406">
            <w:pPr>
              <w:jc w:val="right"/>
              <w:rPr>
                <w:rFonts w:ascii="Arial" w:hAnsi="Arial" w:cs="Arial"/>
                <w:sz w:val="18"/>
                <w:szCs w:val="18"/>
              </w:rPr>
            </w:pPr>
            <w:r w:rsidRPr="00226892">
              <w:rPr>
                <w:rFonts w:ascii="Arial" w:hAnsi="Arial" w:cs="Arial"/>
                <w:sz w:val="18"/>
                <w:szCs w:val="18"/>
              </w:rPr>
              <w:t>0,25%</w:t>
            </w:r>
          </w:p>
        </w:tc>
        <w:tc>
          <w:tcPr>
            <w:tcW w:w="764" w:type="pct"/>
            <w:tcBorders>
              <w:top w:val="nil"/>
              <w:left w:val="nil"/>
              <w:bottom w:val="nil"/>
              <w:right w:val="nil"/>
            </w:tcBorders>
            <w:shd w:val="clear" w:color="auto" w:fill="auto"/>
            <w:hideMark/>
          </w:tcPr>
          <w:p w14:paraId="7A230546" w14:textId="77777777" w:rsidR="006C5424" w:rsidRPr="00226892" w:rsidRDefault="006C5424" w:rsidP="00ED3406">
            <w:pPr>
              <w:jc w:val="right"/>
              <w:rPr>
                <w:rFonts w:ascii="Arial" w:hAnsi="Arial" w:cs="Arial"/>
                <w:sz w:val="18"/>
                <w:szCs w:val="18"/>
              </w:rPr>
            </w:pPr>
            <w:r w:rsidRPr="00226892">
              <w:rPr>
                <w:rFonts w:ascii="Arial" w:hAnsi="Arial" w:cs="Arial"/>
                <w:sz w:val="18"/>
                <w:szCs w:val="18"/>
              </w:rPr>
              <w:t>0,00%</w:t>
            </w:r>
          </w:p>
        </w:tc>
        <w:tc>
          <w:tcPr>
            <w:tcW w:w="719" w:type="pct"/>
            <w:tcBorders>
              <w:top w:val="nil"/>
              <w:left w:val="nil"/>
              <w:bottom w:val="nil"/>
              <w:right w:val="nil"/>
            </w:tcBorders>
            <w:shd w:val="clear" w:color="auto" w:fill="auto"/>
            <w:hideMark/>
          </w:tcPr>
          <w:p w14:paraId="2C8E39F4" w14:textId="77777777" w:rsidR="006C5424" w:rsidRPr="00226892" w:rsidRDefault="006C5424" w:rsidP="00ED3406">
            <w:pPr>
              <w:jc w:val="right"/>
              <w:rPr>
                <w:rFonts w:ascii="Arial" w:hAnsi="Arial" w:cs="Arial"/>
                <w:sz w:val="18"/>
                <w:szCs w:val="18"/>
              </w:rPr>
            </w:pPr>
            <w:r w:rsidRPr="00226892">
              <w:rPr>
                <w:rFonts w:ascii="Arial" w:hAnsi="Arial" w:cs="Arial"/>
                <w:sz w:val="18"/>
                <w:szCs w:val="18"/>
              </w:rPr>
              <w:t>0,00%</w:t>
            </w:r>
          </w:p>
        </w:tc>
      </w:tr>
      <w:tr w:rsidR="006C5424" w:rsidRPr="00226892" w14:paraId="3D11CFF2" w14:textId="77777777" w:rsidTr="009B79FC">
        <w:trPr>
          <w:trHeight w:val="227"/>
        </w:trPr>
        <w:tc>
          <w:tcPr>
            <w:tcW w:w="1988" w:type="pct"/>
            <w:tcBorders>
              <w:top w:val="nil"/>
              <w:left w:val="nil"/>
              <w:bottom w:val="nil"/>
              <w:right w:val="nil"/>
            </w:tcBorders>
            <w:shd w:val="clear" w:color="auto" w:fill="auto"/>
            <w:vAlign w:val="bottom"/>
            <w:hideMark/>
          </w:tcPr>
          <w:p w14:paraId="52949A1E" w14:textId="77777777" w:rsidR="006C5424" w:rsidRPr="00226892" w:rsidRDefault="006C5424" w:rsidP="00ED3406">
            <w:pPr>
              <w:rPr>
                <w:rFonts w:ascii="Arial" w:hAnsi="Arial" w:cs="Arial"/>
                <w:b/>
                <w:bCs/>
                <w:sz w:val="18"/>
                <w:szCs w:val="18"/>
              </w:rPr>
            </w:pPr>
            <w:proofErr w:type="spellStart"/>
            <w:r w:rsidRPr="00226892">
              <w:rPr>
                <w:rFonts w:ascii="Arial" w:hAnsi="Arial" w:cs="Arial"/>
                <w:b/>
                <w:bCs/>
                <w:sz w:val="18"/>
                <w:szCs w:val="18"/>
              </w:rPr>
              <w:t>Spolu</w:t>
            </w:r>
            <w:proofErr w:type="spellEnd"/>
          </w:p>
        </w:tc>
        <w:tc>
          <w:tcPr>
            <w:tcW w:w="764" w:type="pct"/>
            <w:tcBorders>
              <w:top w:val="single" w:sz="4" w:space="0" w:color="auto"/>
              <w:left w:val="nil"/>
              <w:bottom w:val="double" w:sz="6" w:space="0" w:color="auto"/>
              <w:right w:val="nil"/>
            </w:tcBorders>
            <w:shd w:val="clear" w:color="auto" w:fill="auto"/>
            <w:vAlign w:val="bottom"/>
            <w:hideMark/>
          </w:tcPr>
          <w:p w14:paraId="29E946B1" w14:textId="77777777" w:rsidR="006C5424" w:rsidRPr="00226892" w:rsidRDefault="006C5424" w:rsidP="00ED3406">
            <w:pPr>
              <w:jc w:val="right"/>
              <w:rPr>
                <w:rFonts w:ascii="Arial" w:hAnsi="Arial" w:cs="Arial"/>
                <w:b/>
                <w:bCs/>
                <w:sz w:val="18"/>
                <w:szCs w:val="18"/>
              </w:rPr>
            </w:pPr>
            <w:r w:rsidRPr="00226892">
              <w:rPr>
                <w:rFonts w:ascii="Arial" w:hAnsi="Arial" w:cs="Arial"/>
                <w:b/>
                <w:bCs/>
                <w:sz w:val="18"/>
                <w:szCs w:val="18"/>
              </w:rPr>
              <w:t>20 448</w:t>
            </w:r>
          </w:p>
        </w:tc>
        <w:tc>
          <w:tcPr>
            <w:tcW w:w="764" w:type="pct"/>
            <w:tcBorders>
              <w:top w:val="single" w:sz="4" w:space="0" w:color="auto"/>
              <w:left w:val="nil"/>
              <w:bottom w:val="double" w:sz="6" w:space="0" w:color="auto"/>
              <w:right w:val="nil"/>
            </w:tcBorders>
            <w:shd w:val="clear" w:color="auto" w:fill="auto"/>
            <w:vAlign w:val="bottom"/>
            <w:hideMark/>
          </w:tcPr>
          <w:p w14:paraId="7549CD50" w14:textId="77777777" w:rsidR="006C5424" w:rsidRPr="00226892" w:rsidRDefault="006C5424" w:rsidP="00ED3406">
            <w:pPr>
              <w:jc w:val="right"/>
              <w:rPr>
                <w:rFonts w:ascii="Arial" w:hAnsi="Arial" w:cs="Arial"/>
                <w:b/>
                <w:bCs/>
                <w:sz w:val="18"/>
                <w:szCs w:val="18"/>
              </w:rPr>
            </w:pPr>
            <w:r w:rsidRPr="00226892">
              <w:rPr>
                <w:rFonts w:ascii="Arial" w:hAnsi="Arial" w:cs="Arial"/>
                <w:b/>
                <w:bCs/>
                <w:sz w:val="18"/>
                <w:szCs w:val="18"/>
              </w:rPr>
              <w:t>100%</w:t>
            </w:r>
          </w:p>
        </w:tc>
        <w:tc>
          <w:tcPr>
            <w:tcW w:w="764" w:type="pct"/>
            <w:tcBorders>
              <w:top w:val="single" w:sz="4" w:space="0" w:color="auto"/>
              <w:left w:val="nil"/>
              <w:bottom w:val="double" w:sz="6" w:space="0" w:color="auto"/>
              <w:right w:val="nil"/>
            </w:tcBorders>
            <w:shd w:val="clear" w:color="auto" w:fill="auto"/>
            <w:vAlign w:val="bottom"/>
            <w:hideMark/>
          </w:tcPr>
          <w:p w14:paraId="2B566E2D" w14:textId="77777777" w:rsidR="006C5424" w:rsidRPr="00226892" w:rsidRDefault="006C5424" w:rsidP="00ED3406">
            <w:pPr>
              <w:jc w:val="right"/>
              <w:rPr>
                <w:rFonts w:ascii="Arial" w:hAnsi="Arial" w:cs="Arial"/>
                <w:b/>
                <w:bCs/>
                <w:sz w:val="18"/>
                <w:szCs w:val="18"/>
              </w:rPr>
            </w:pPr>
            <w:r w:rsidRPr="00226892">
              <w:rPr>
                <w:rFonts w:ascii="Arial" w:hAnsi="Arial" w:cs="Arial"/>
                <w:b/>
                <w:bCs/>
                <w:sz w:val="18"/>
                <w:szCs w:val="18"/>
              </w:rPr>
              <w:t>100%</w:t>
            </w:r>
          </w:p>
        </w:tc>
        <w:tc>
          <w:tcPr>
            <w:tcW w:w="719" w:type="pct"/>
            <w:tcBorders>
              <w:top w:val="single" w:sz="4" w:space="0" w:color="auto"/>
              <w:left w:val="nil"/>
              <w:bottom w:val="double" w:sz="6" w:space="0" w:color="auto"/>
              <w:right w:val="nil"/>
            </w:tcBorders>
            <w:shd w:val="clear" w:color="auto" w:fill="auto"/>
            <w:vAlign w:val="bottom"/>
            <w:hideMark/>
          </w:tcPr>
          <w:p w14:paraId="2DCD6E6B" w14:textId="77777777" w:rsidR="006C5424" w:rsidRPr="00226892" w:rsidRDefault="006C5424" w:rsidP="00ED3406">
            <w:pPr>
              <w:jc w:val="right"/>
              <w:rPr>
                <w:rFonts w:ascii="Arial" w:hAnsi="Arial" w:cs="Arial"/>
                <w:b/>
                <w:bCs/>
                <w:sz w:val="18"/>
                <w:szCs w:val="18"/>
              </w:rPr>
            </w:pPr>
            <w:r w:rsidRPr="00226892">
              <w:rPr>
                <w:rFonts w:ascii="Arial" w:hAnsi="Arial" w:cs="Arial"/>
                <w:b/>
                <w:bCs/>
                <w:sz w:val="18"/>
                <w:szCs w:val="18"/>
              </w:rPr>
              <w:t>100%</w:t>
            </w:r>
          </w:p>
        </w:tc>
      </w:tr>
    </w:tbl>
    <w:p w14:paraId="13E10E86" w14:textId="77777777" w:rsidR="006C5424" w:rsidRPr="00226892" w:rsidRDefault="006C5424" w:rsidP="00751708">
      <w:pPr>
        <w:pStyle w:val="StyleABC-paragrahinNotesAfter10pt"/>
        <w:suppressAutoHyphens/>
        <w:ind w:left="426"/>
        <w:rPr>
          <w:rFonts w:cs="Arial"/>
          <w:color w:val="000000"/>
          <w:sz w:val="20"/>
          <w:lang w:val="sk-SK"/>
        </w:rPr>
      </w:pPr>
    </w:p>
    <w:p w14:paraId="68E50D99" w14:textId="2C9ADB4C" w:rsidR="006C5424" w:rsidRPr="00226892" w:rsidRDefault="00B06181" w:rsidP="00B06181">
      <w:pPr>
        <w:pStyle w:val="StyleABC-paragrahinNotesAfter10pt"/>
        <w:suppressAutoHyphens/>
        <w:ind w:left="66"/>
        <w:rPr>
          <w:rFonts w:cs="Arial"/>
          <w:sz w:val="20"/>
          <w:lang w:val="sk-SK"/>
        </w:rPr>
      </w:pPr>
      <w:r w:rsidRPr="00226892">
        <w:rPr>
          <w:rFonts w:cs="Arial"/>
          <w:sz w:val="20"/>
          <w:lang w:val="sk-SK"/>
        </w:rPr>
        <w:t>Štruktúra priamych akcionárov Spoločnosti k 31. decembru 2017 bola nasledovná</w:t>
      </w:r>
      <w:r w:rsidR="006C5424" w:rsidRPr="00226892">
        <w:rPr>
          <w:rFonts w:cs="Arial"/>
        </w:rPr>
        <w:t>:</w:t>
      </w:r>
    </w:p>
    <w:tbl>
      <w:tblPr>
        <w:tblW w:w="5000" w:type="pct"/>
        <w:tblCellMar>
          <w:left w:w="70" w:type="dxa"/>
          <w:right w:w="70" w:type="dxa"/>
        </w:tblCellMar>
        <w:tblLook w:val="04A0" w:firstRow="1" w:lastRow="0" w:firstColumn="1" w:lastColumn="0" w:noHBand="0" w:noVBand="1"/>
      </w:tblPr>
      <w:tblGrid>
        <w:gridCol w:w="3832"/>
        <w:gridCol w:w="1473"/>
        <w:gridCol w:w="1475"/>
        <w:gridCol w:w="1473"/>
        <w:gridCol w:w="1386"/>
      </w:tblGrid>
      <w:tr w:rsidR="006B0FF0" w:rsidRPr="00226892" w14:paraId="0572243A" w14:textId="77777777" w:rsidTr="009B79FC">
        <w:trPr>
          <w:trHeight w:val="230"/>
        </w:trPr>
        <w:tc>
          <w:tcPr>
            <w:tcW w:w="1988" w:type="pct"/>
            <w:vMerge w:val="restart"/>
            <w:tcBorders>
              <w:top w:val="nil"/>
              <w:left w:val="nil"/>
              <w:bottom w:val="single" w:sz="4" w:space="0" w:color="000000"/>
              <w:right w:val="nil"/>
            </w:tcBorders>
            <w:shd w:val="clear" w:color="auto" w:fill="auto"/>
            <w:vAlign w:val="bottom"/>
            <w:hideMark/>
          </w:tcPr>
          <w:p w14:paraId="52C5A700" w14:textId="77777777" w:rsidR="006B0FF0" w:rsidRPr="00226892" w:rsidRDefault="006B0FF0" w:rsidP="00BA675C">
            <w:pPr>
              <w:jc w:val="center"/>
              <w:rPr>
                <w:rFonts w:ascii="Arial" w:hAnsi="Arial" w:cs="Arial"/>
                <w:b/>
                <w:bCs/>
                <w:sz w:val="18"/>
                <w:szCs w:val="18"/>
              </w:rPr>
            </w:pPr>
            <w:bookmarkStart w:id="28" w:name="RANGE!B4:F12"/>
            <w:proofErr w:type="spellStart"/>
            <w:r w:rsidRPr="00226892">
              <w:rPr>
                <w:rFonts w:ascii="Arial" w:hAnsi="Arial" w:cs="Arial"/>
                <w:b/>
                <w:bCs/>
                <w:sz w:val="18"/>
                <w:szCs w:val="18"/>
              </w:rPr>
              <w:t>Spoločník</w:t>
            </w:r>
            <w:proofErr w:type="spellEnd"/>
            <w:r w:rsidRPr="00226892">
              <w:rPr>
                <w:rFonts w:ascii="Arial" w:hAnsi="Arial" w:cs="Arial"/>
                <w:b/>
                <w:bCs/>
                <w:sz w:val="18"/>
                <w:szCs w:val="18"/>
              </w:rPr>
              <w:t xml:space="preserve">, </w:t>
            </w:r>
            <w:proofErr w:type="spellStart"/>
            <w:r w:rsidRPr="00226892">
              <w:rPr>
                <w:rFonts w:ascii="Arial" w:hAnsi="Arial" w:cs="Arial"/>
                <w:b/>
                <w:bCs/>
                <w:sz w:val="18"/>
                <w:szCs w:val="18"/>
              </w:rPr>
              <w:t>akcionár</w:t>
            </w:r>
            <w:bookmarkEnd w:id="28"/>
            <w:proofErr w:type="spellEnd"/>
          </w:p>
        </w:tc>
        <w:tc>
          <w:tcPr>
            <w:tcW w:w="1529" w:type="pct"/>
            <w:gridSpan w:val="2"/>
            <w:vMerge w:val="restart"/>
            <w:tcBorders>
              <w:top w:val="nil"/>
              <w:left w:val="nil"/>
              <w:bottom w:val="nil"/>
              <w:right w:val="nil"/>
            </w:tcBorders>
            <w:shd w:val="clear" w:color="auto" w:fill="auto"/>
            <w:vAlign w:val="bottom"/>
            <w:hideMark/>
          </w:tcPr>
          <w:p w14:paraId="03A493FB" w14:textId="77777777" w:rsidR="006B0FF0" w:rsidRPr="00226892" w:rsidRDefault="006B0FF0" w:rsidP="00BA675C">
            <w:pPr>
              <w:jc w:val="center"/>
              <w:rPr>
                <w:rFonts w:ascii="Arial" w:hAnsi="Arial" w:cs="Arial"/>
                <w:b/>
                <w:bCs/>
                <w:sz w:val="18"/>
                <w:szCs w:val="18"/>
              </w:rPr>
            </w:pPr>
            <w:proofErr w:type="spellStart"/>
            <w:r w:rsidRPr="00226892">
              <w:rPr>
                <w:rFonts w:ascii="Arial" w:hAnsi="Arial" w:cs="Arial"/>
                <w:b/>
                <w:bCs/>
                <w:sz w:val="18"/>
                <w:szCs w:val="18"/>
              </w:rPr>
              <w:t>Výška</w:t>
            </w:r>
            <w:proofErr w:type="spellEnd"/>
            <w:r w:rsidRPr="00226892">
              <w:rPr>
                <w:rFonts w:ascii="Arial" w:hAnsi="Arial" w:cs="Arial"/>
                <w:b/>
                <w:bCs/>
                <w:sz w:val="18"/>
                <w:szCs w:val="18"/>
              </w:rPr>
              <w:t xml:space="preserve"> </w:t>
            </w:r>
            <w:proofErr w:type="spellStart"/>
            <w:r w:rsidRPr="00226892">
              <w:rPr>
                <w:rFonts w:ascii="Arial" w:hAnsi="Arial" w:cs="Arial"/>
                <w:b/>
                <w:bCs/>
                <w:sz w:val="18"/>
                <w:szCs w:val="18"/>
              </w:rPr>
              <w:t>podielu</w:t>
            </w:r>
            <w:proofErr w:type="spellEnd"/>
            <w:r w:rsidRPr="00226892">
              <w:rPr>
                <w:rFonts w:ascii="Arial" w:hAnsi="Arial" w:cs="Arial"/>
                <w:b/>
                <w:bCs/>
                <w:sz w:val="18"/>
                <w:szCs w:val="18"/>
              </w:rPr>
              <w:t xml:space="preserve"> </w:t>
            </w:r>
            <w:proofErr w:type="spellStart"/>
            <w:r w:rsidRPr="00226892">
              <w:rPr>
                <w:rFonts w:ascii="Arial" w:hAnsi="Arial" w:cs="Arial"/>
                <w:b/>
                <w:bCs/>
                <w:sz w:val="18"/>
                <w:szCs w:val="18"/>
              </w:rPr>
              <w:t>na</w:t>
            </w:r>
            <w:proofErr w:type="spellEnd"/>
            <w:r w:rsidRPr="00226892">
              <w:rPr>
                <w:rFonts w:ascii="Arial" w:hAnsi="Arial" w:cs="Arial"/>
                <w:b/>
                <w:bCs/>
                <w:sz w:val="18"/>
                <w:szCs w:val="18"/>
              </w:rPr>
              <w:t xml:space="preserve"> </w:t>
            </w:r>
            <w:proofErr w:type="spellStart"/>
            <w:r w:rsidRPr="00226892">
              <w:rPr>
                <w:rFonts w:ascii="Arial" w:hAnsi="Arial" w:cs="Arial"/>
                <w:b/>
                <w:bCs/>
                <w:sz w:val="18"/>
                <w:szCs w:val="18"/>
              </w:rPr>
              <w:t>základnom</w:t>
            </w:r>
            <w:proofErr w:type="spellEnd"/>
            <w:r w:rsidRPr="00226892">
              <w:rPr>
                <w:rFonts w:ascii="Arial" w:hAnsi="Arial" w:cs="Arial"/>
                <w:b/>
                <w:bCs/>
                <w:sz w:val="18"/>
                <w:szCs w:val="18"/>
              </w:rPr>
              <w:t xml:space="preserve"> </w:t>
            </w:r>
            <w:proofErr w:type="spellStart"/>
            <w:r w:rsidRPr="00226892">
              <w:rPr>
                <w:rFonts w:ascii="Arial" w:hAnsi="Arial" w:cs="Arial"/>
                <w:b/>
                <w:bCs/>
                <w:sz w:val="18"/>
                <w:szCs w:val="18"/>
              </w:rPr>
              <w:t>imaní</w:t>
            </w:r>
            <w:proofErr w:type="spellEnd"/>
          </w:p>
        </w:tc>
        <w:tc>
          <w:tcPr>
            <w:tcW w:w="764" w:type="pct"/>
            <w:vMerge w:val="restart"/>
            <w:tcBorders>
              <w:top w:val="nil"/>
              <w:left w:val="nil"/>
              <w:bottom w:val="single" w:sz="4" w:space="0" w:color="000000"/>
              <w:right w:val="nil"/>
            </w:tcBorders>
            <w:shd w:val="clear" w:color="auto" w:fill="auto"/>
            <w:vAlign w:val="bottom"/>
            <w:hideMark/>
          </w:tcPr>
          <w:p w14:paraId="5BCDA3A7" w14:textId="77777777" w:rsidR="006B0FF0" w:rsidRPr="00226892" w:rsidRDefault="006B0FF0" w:rsidP="00BA675C">
            <w:pPr>
              <w:jc w:val="center"/>
              <w:rPr>
                <w:rFonts w:ascii="Arial" w:hAnsi="Arial" w:cs="Arial"/>
                <w:b/>
                <w:bCs/>
                <w:sz w:val="18"/>
                <w:szCs w:val="18"/>
              </w:rPr>
            </w:pPr>
            <w:proofErr w:type="spellStart"/>
            <w:r w:rsidRPr="00226892">
              <w:rPr>
                <w:rFonts w:ascii="Arial" w:hAnsi="Arial" w:cs="Arial"/>
                <w:b/>
                <w:bCs/>
                <w:sz w:val="18"/>
                <w:szCs w:val="18"/>
              </w:rPr>
              <w:t>Podiel</w:t>
            </w:r>
            <w:proofErr w:type="spellEnd"/>
            <w:r w:rsidRPr="00226892">
              <w:rPr>
                <w:rFonts w:ascii="Arial" w:hAnsi="Arial" w:cs="Arial"/>
                <w:b/>
                <w:bCs/>
                <w:sz w:val="18"/>
                <w:szCs w:val="18"/>
              </w:rPr>
              <w:t xml:space="preserve"> </w:t>
            </w:r>
            <w:proofErr w:type="spellStart"/>
            <w:r w:rsidRPr="00226892">
              <w:rPr>
                <w:rFonts w:ascii="Arial" w:hAnsi="Arial" w:cs="Arial"/>
                <w:b/>
                <w:bCs/>
                <w:sz w:val="18"/>
                <w:szCs w:val="18"/>
              </w:rPr>
              <w:t>na</w:t>
            </w:r>
            <w:proofErr w:type="spellEnd"/>
            <w:r w:rsidRPr="00226892">
              <w:rPr>
                <w:rFonts w:ascii="Arial" w:hAnsi="Arial" w:cs="Arial"/>
                <w:b/>
                <w:bCs/>
                <w:sz w:val="18"/>
                <w:szCs w:val="18"/>
              </w:rPr>
              <w:t xml:space="preserve"> </w:t>
            </w:r>
          </w:p>
          <w:p w14:paraId="7B0C2298" w14:textId="77777777" w:rsidR="006B0FF0" w:rsidRPr="00226892" w:rsidRDefault="006B0FF0" w:rsidP="00BA675C">
            <w:pPr>
              <w:jc w:val="center"/>
              <w:rPr>
                <w:rFonts w:ascii="Arial" w:hAnsi="Arial" w:cs="Arial"/>
                <w:b/>
                <w:bCs/>
                <w:sz w:val="18"/>
                <w:szCs w:val="18"/>
              </w:rPr>
            </w:pPr>
            <w:proofErr w:type="spellStart"/>
            <w:r w:rsidRPr="00226892">
              <w:rPr>
                <w:rFonts w:ascii="Arial" w:hAnsi="Arial" w:cs="Arial"/>
                <w:b/>
                <w:bCs/>
                <w:sz w:val="18"/>
                <w:szCs w:val="18"/>
              </w:rPr>
              <w:t>hlasovacích</w:t>
            </w:r>
            <w:proofErr w:type="spellEnd"/>
            <w:r w:rsidRPr="00226892">
              <w:rPr>
                <w:rFonts w:ascii="Arial" w:hAnsi="Arial" w:cs="Arial"/>
                <w:b/>
                <w:bCs/>
                <w:sz w:val="18"/>
                <w:szCs w:val="18"/>
              </w:rPr>
              <w:t xml:space="preserve"> </w:t>
            </w:r>
          </w:p>
          <w:p w14:paraId="1B9814C3" w14:textId="77777777" w:rsidR="006B0FF0" w:rsidRPr="00226892" w:rsidRDefault="006B0FF0" w:rsidP="00BA675C">
            <w:pPr>
              <w:jc w:val="center"/>
              <w:rPr>
                <w:rFonts w:ascii="Arial" w:hAnsi="Arial" w:cs="Arial"/>
                <w:b/>
                <w:bCs/>
                <w:sz w:val="18"/>
                <w:szCs w:val="18"/>
              </w:rPr>
            </w:pPr>
            <w:proofErr w:type="spellStart"/>
            <w:r w:rsidRPr="00226892">
              <w:rPr>
                <w:rFonts w:ascii="Arial" w:hAnsi="Arial" w:cs="Arial"/>
                <w:b/>
                <w:bCs/>
                <w:sz w:val="18"/>
                <w:szCs w:val="18"/>
              </w:rPr>
              <w:t>právach</w:t>
            </w:r>
            <w:proofErr w:type="spellEnd"/>
            <w:r w:rsidRPr="00226892">
              <w:rPr>
                <w:rFonts w:ascii="Arial" w:hAnsi="Arial" w:cs="Arial"/>
                <w:b/>
                <w:bCs/>
                <w:sz w:val="18"/>
                <w:szCs w:val="18"/>
              </w:rPr>
              <w:t xml:space="preserve"> v %</w:t>
            </w:r>
          </w:p>
        </w:tc>
        <w:tc>
          <w:tcPr>
            <w:tcW w:w="719" w:type="pct"/>
            <w:vMerge w:val="restart"/>
            <w:tcBorders>
              <w:top w:val="nil"/>
              <w:left w:val="nil"/>
              <w:bottom w:val="single" w:sz="4" w:space="0" w:color="000000"/>
              <w:right w:val="nil"/>
            </w:tcBorders>
            <w:shd w:val="clear" w:color="auto" w:fill="auto"/>
            <w:vAlign w:val="bottom"/>
            <w:hideMark/>
          </w:tcPr>
          <w:p w14:paraId="346133EA" w14:textId="77777777" w:rsidR="006B0FF0" w:rsidRPr="00226892" w:rsidRDefault="006B0FF0" w:rsidP="00BA675C">
            <w:pPr>
              <w:jc w:val="center"/>
              <w:rPr>
                <w:rFonts w:ascii="Arial" w:hAnsi="Arial" w:cs="Arial"/>
                <w:b/>
                <w:bCs/>
                <w:sz w:val="18"/>
                <w:szCs w:val="18"/>
              </w:rPr>
            </w:pPr>
            <w:proofErr w:type="spellStart"/>
            <w:r w:rsidRPr="00226892">
              <w:rPr>
                <w:rFonts w:ascii="Arial" w:hAnsi="Arial" w:cs="Arial"/>
                <w:b/>
                <w:bCs/>
                <w:sz w:val="18"/>
                <w:szCs w:val="18"/>
              </w:rPr>
              <w:t>Iný</w:t>
            </w:r>
            <w:proofErr w:type="spellEnd"/>
            <w:r w:rsidRPr="00226892">
              <w:rPr>
                <w:rFonts w:ascii="Arial" w:hAnsi="Arial" w:cs="Arial"/>
                <w:b/>
                <w:bCs/>
                <w:sz w:val="18"/>
                <w:szCs w:val="18"/>
              </w:rPr>
              <w:t xml:space="preserve"> </w:t>
            </w:r>
            <w:proofErr w:type="spellStart"/>
            <w:r w:rsidRPr="00226892">
              <w:rPr>
                <w:rFonts w:ascii="Arial" w:hAnsi="Arial" w:cs="Arial"/>
                <w:b/>
                <w:bCs/>
                <w:sz w:val="18"/>
                <w:szCs w:val="18"/>
              </w:rPr>
              <w:t>podiel</w:t>
            </w:r>
            <w:proofErr w:type="spellEnd"/>
            <w:r w:rsidRPr="00226892">
              <w:rPr>
                <w:rFonts w:ascii="Arial" w:hAnsi="Arial" w:cs="Arial"/>
                <w:b/>
                <w:bCs/>
                <w:sz w:val="18"/>
                <w:szCs w:val="18"/>
              </w:rPr>
              <w:t xml:space="preserve"> </w:t>
            </w:r>
            <w:proofErr w:type="spellStart"/>
            <w:r w:rsidRPr="00226892">
              <w:rPr>
                <w:rFonts w:ascii="Arial" w:hAnsi="Arial" w:cs="Arial"/>
                <w:b/>
                <w:bCs/>
                <w:sz w:val="18"/>
                <w:szCs w:val="18"/>
              </w:rPr>
              <w:t>na</w:t>
            </w:r>
            <w:proofErr w:type="spellEnd"/>
            <w:r w:rsidRPr="00226892">
              <w:rPr>
                <w:rFonts w:ascii="Arial" w:hAnsi="Arial" w:cs="Arial"/>
                <w:b/>
                <w:bCs/>
                <w:sz w:val="18"/>
                <w:szCs w:val="18"/>
              </w:rPr>
              <w:t xml:space="preserve"> </w:t>
            </w:r>
            <w:proofErr w:type="spellStart"/>
            <w:r w:rsidRPr="00226892">
              <w:rPr>
                <w:rFonts w:ascii="Arial" w:hAnsi="Arial" w:cs="Arial"/>
                <w:b/>
                <w:bCs/>
                <w:sz w:val="18"/>
                <w:szCs w:val="18"/>
              </w:rPr>
              <w:t>ostatných</w:t>
            </w:r>
            <w:proofErr w:type="spellEnd"/>
            <w:r w:rsidRPr="00226892">
              <w:rPr>
                <w:rFonts w:ascii="Arial" w:hAnsi="Arial" w:cs="Arial"/>
                <w:b/>
                <w:bCs/>
                <w:sz w:val="18"/>
                <w:szCs w:val="18"/>
              </w:rPr>
              <w:t xml:space="preserve"> </w:t>
            </w:r>
          </w:p>
          <w:p w14:paraId="10115EE5" w14:textId="77777777" w:rsidR="006B0FF0" w:rsidRPr="00226892" w:rsidRDefault="006B0FF0" w:rsidP="00BA675C">
            <w:pPr>
              <w:jc w:val="center"/>
              <w:rPr>
                <w:rFonts w:ascii="Arial" w:hAnsi="Arial" w:cs="Arial"/>
                <w:b/>
                <w:bCs/>
                <w:sz w:val="18"/>
                <w:szCs w:val="18"/>
              </w:rPr>
            </w:pPr>
            <w:proofErr w:type="spellStart"/>
            <w:r w:rsidRPr="00226892">
              <w:rPr>
                <w:rFonts w:ascii="Arial" w:hAnsi="Arial" w:cs="Arial"/>
                <w:b/>
                <w:bCs/>
                <w:sz w:val="18"/>
                <w:szCs w:val="18"/>
              </w:rPr>
              <w:t>položkách</w:t>
            </w:r>
            <w:proofErr w:type="spellEnd"/>
            <w:r w:rsidRPr="00226892">
              <w:rPr>
                <w:rFonts w:ascii="Arial" w:hAnsi="Arial" w:cs="Arial"/>
                <w:b/>
                <w:bCs/>
                <w:sz w:val="18"/>
                <w:szCs w:val="18"/>
              </w:rPr>
              <w:t xml:space="preserve"> VI </w:t>
            </w:r>
            <w:proofErr w:type="spellStart"/>
            <w:r w:rsidRPr="00226892">
              <w:rPr>
                <w:rFonts w:ascii="Arial" w:hAnsi="Arial" w:cs="Arial"/>
                <w:b/>
                <w:bCs/>
                <w:sz w:val="18"/>
                <w:szCs w:val="18"/>
              </w:rPr>
              <w:t>ako</w:t>
            </w:r>
            <w:proofErr w:type="spellEnd"/>
            <w:r w:rsidRPr="00226892">
              <w:rPr>
                <w:rFonts w:ascii="Arial" w:hAnsi="Arial" w:cs="Arial"/>
                <w:b/>
                <w:bCs/>
                <w:sz w:val="18"/>
                <w:szCs w:val="18"/>
              </w:rPr>
              <w:t xml:space="preserve"> </w:t>
            </w:r>
            <w:proofErr w:type="spellStart"/>
            <w:r w:rsidRPr="00226892">
              <w:rPr>
                <w:rFonts w:ascii="Arial" w:hAnsi="Arial" w:cs="Arial"/>
                <w:b/>
                <w:bCs/>
                <w:sz w:val="18"/>
                <w:szCs w:val="18"/>
              </w:rPr>
              <w:t>na</w:t>
            </w:r>
            <w:proofErr w:type="spellEnd"/>
            <w:r w:rsidRPr="00226892">
              <w:rPr>
                <w:rFonts w:ascii="Arial" w:hAnsi="Arial" w:cs="Arial"/>
                <w:b/>
                <w:bCs/>
                <w:sz w:val="18"/>
                <w:szCs w:val="18"/>
              </w:rPr>
              <w:t xml:space="preserve"> ZI v %</w:t>
            </w:r>
          </w:p>
        </w:tc>
      </w:tr>
      <w:tr w:rsidR="006B0FF0" w:rsidRPr="00226892" w14:paraId="58428F5C" w14:textId="77777777" w:rsidTr="009B79FC">
        <w:trPr>
          <w:trHeight w:val="276"/>
        </w:trPr>
        <w:tc>
          <w:tcPr>
            <w:tcW w:w="1988" w:type="pct"/>
            <w:vMerge/>
            <w:tcBorders>
              <w:top w:val="nil"/>
              <w:left w:val="nil"/>
              <w:bottom w:val="single" w:sz="4" w:space="0" w:color="000000"/>
              <w:right w:val="nil"/>
            </w:tcBorders>
            <w:vAlign w:val="center"/>
            <w:hideMark/>
          </w:tcPr>
          <w:p w14:paraId="06E47EEB" w14:textId="77777777" w:rsidR="006B0FF0" w:rsidRPr="00226892" w:rsidRDefault="006B0FF0" w:rsidP="00BA675C">
            <w:pPr>
              <w:rPr>
                <w:rFonts w:ascii="Arial" w:hAnsi="Arial" w:cs="Arial"/>
                <w:b/>
                <w:bCs/>
                <w:sz w:val="18"/>
                <w:szCs w:val="18"/>
              </w:rPr>
            </w:pPr>
          </w:p>
        </w:tc>
        <w:tc>
          <w:tcPr>
            <w:tcW w:w="1529" w:type="pct"/>
            <w:gridSpan w:val="2"/>
            <w:vMerge/>
            <w:tcBorders>
              <w:top w:val="nil"/>
              <w:left w:val="nil"/>
              <w:bottom w:val="nil"/>
              <w:right w:val="nil"/>
            </w:tcBorders>
            <w:vAlign w:val="center"/>
            <w:hideMark/>
          </w:tcPr>
          <w:p w14:paraId="06E5B98B" w14:textId="77777777" w:rsidR="006B0FF0" w:rsidRPr="00226892" w:rsidRDefault="006B0FF0" w:rsidP="00BA675C">
            <w:pPr>
              <w:rPr>
                <w:rFonts w:ascii="Arial" w:hAnsi="Arial" w:cs="Arial"/>
                <w:b/>
                <w:bCs/>
                <w:sz w:val="18"/>
                <w:szCs w:val="18"/>
              </w:rPr>
            </w:pPr>
          </w:p>
        </w:tc>
        <w:tc>
          <w:tcPr>
            <w:tcW w:w="764" w:type="pct"/>
            <w:vMerge/>
            <w:tcBorders>
              <w:top w:val="nil"/>
              <w:left w:val="nil"/>
              <w:bottom w:val="single" w:sz="4" w:space="0" w:color="000000"/>
              <w:right w:val="nil"/>
            </w:tcBorders>
            <w:vAlign w:val="center"/>
            <w:hideMark/>
          </w:tcPr>
          <w:p w14:paraId="360BB781" w14:textId="77777777" w:rsidR="006B0FF0" w:rsidRPr="00226892" w:rsidRDefault="006B0FF0" w:rsidP="00BA675C">
            <w:pPr>
              <w:rPr>
                <w:rFonts w:ascii="Arial" w:hAnsi="Arial" w:cs="Arial"/>
                <w:b/>
                <w:bCs/>
                <w:sz w:val="18"/>
                <w:szCs w:val="18"/>
              </w:rPr>
            </w:pPr>
          </w:p>
        </w:tc>
        <w:tc>
          <w:tcPr>
            <w:tcW w:w="719" w:type="pct"/>
            <w:vMerge/>
            <w:tcBorders>
              <w:top w:val="nil"/>
              <w:left w:val="nil"/>
              <w:bottom w:val="single" w:sz="4" w:space="0" w:color="000000"/>
              <w:right w:val="nil"/>
            </w:tcBorders>
            <w:vAlign w:val="center"/>
            <w:hideMark/>
          </w:tcPr>
          <w:p w14:paraId="7A8B9791" w14:textId="77777777" w:rsidR="006B0FF0" w:rsidRPr="00226892" w:rsidRDefault="006B0FF0" w:rsidP="00BA675C">
            <w:pPr>
              <w:rPr>
                <w:rFonts w:ascii="Arial" w:hAnsi="Arial" w:cs="Arial"/>
                <w:b/>
                <w:bCs/>
                <w:sz w:val="18"/>
                <w:szCs w:val="18"/>
              </w:rPr>
            </w:pPr>
          </w:p>
        </w:tc>
      </w:tr>
      <w:tr w:rsidR="006B0FF0" w:rsidRPr="00226892" w14:paraId="5E3F3572" w14:textId="77777777" w:rsidTr="009B79FC">
        <w:trPr>
          <w:trHeight w:val="276"/>
        </w:trPr>
        <w:tc>
          <w:tcPr>
            <w:tcW w:w="1988" w:type="pct"/>
            <w:vMerge/>
            <w:tcBorders>
              <w:top w:val="nil"/>
              <w:left w:val="nil"/>
              <w:bottom w:val="single" w:sz="4" w:space="0" w:color="000000"/>
              <w:right w:val="nil"/>
            </w:tcBorders>
            <w:vAlign w:val="center"/>
            <w:hideMark/>
          </w:tcPr>
          <w:p w14:paraId="0C8295AA" w14:textId="77777777" w:rsidR="006B0FF0" w:rsidRPr="00226892" w:rsidRDefault="006B0FF0" w:rsidP="00BA675C">
            <w:pPr>
              <w:rPr>
                <w:rFonts w:ascii="Arial" w:hAnsi="Arial" w:cs="Arial"/>
                <w:b/>
                <w:bCs/>
                <w:sz w:val="18"/>
                <w:szCs w:val="18"/>
              </w:rPr>
            </w:pPr>
          </w:p>
        </w:tc>
        <w:tc>
          <w:tcPr>
            <w:tcW w:w="1529" w:type="pct"/>
            <w:gridSpan w:val="2"/>
            <w:vMerge/>
            <w:tcBorders>
              <w:top w:val="nil"/>
              <w:left w:val="nil"/>
              <w:bottom w:val="nil"/>
              <w:right w:val="nil"/>
            </w:tcBorders>
            <w:vAlign w:val="center"/>
            <w:hideMark/>
          </w:tcPr>
          <w:p w14:paraId="08B45B0D" w14:textId="77777777" w:rsidR="006B0FF0" w:rsidRPr="00226892" w:rsidRDefault="006B0FF0" w:rsidP="00BA675C">
            <w:pPr>
              <w:rPr>
                <w:rFonts w:ascii="Arial" w:hAnsi="Arial" w:cs="Arial"/>
                <w:b/>
                <w:bCs/>
                <w:sz w:val="18"/>
                <w:szCs w:val="18"/>
              </w:rPr>
            </w:pPr>
          </w:p>
        </w:tc>
        <w:tc>
          <w:tcPr>
            <w:tcW w:w="764" w:type="pct"/>
            <w:vMerge/>
            <w:tcBorders>
              <w:top w:val="nil"/>
              <w:left w:val="nil"/>
              <w:bottom w:val="single" w:sz="4" w:space="0" w:color="000000"/>
              <w:right w:val="nil"/>
            </w:tcBorders>
            <w:vAlign w:val="center"/>
            <w:hideMark/>
          </w:tcPr>
          <w:p w14:paraId="0A15AF5C" w14:textId="77777777" w:rsidR="006B0FF0" w:rsidRPr="00226892" w:rsidRDefault="006B0FF0" w:rsidP="00BA675C">
            <w:pPr>
              <w:rPr>
                <w:rFonts w:ascii="Arial" w:hAnsi="Arial" w:cs="Arial"/>
                <w:b/>
                <w:bCs/>
                <w:sz w:val="18"/>
                <w:szCs w:val="18"/>
              </w:rPr>
            </w:pPr>
          </w:p>
        </w:tc>
        <w:tc>
          <w:tcPr>
            <w:tcW w:w="719" w:type="pct"/>
            <w:vMerge/>
            <w:tcBorders>
              <w:top w:val="nil"/>
              <w:left w:val="nil"/>
              <w:bottom w:val="single" w:sz="4" w:space="0" w:color="000000"/>
              <w:right w:val="nil"/>
            </w:tcBorders>
            <w:vAlign w:val="center"/>
            <w:hideMark/>
          </w:tcPr>
          <w:p w14:paraId="7CF50149" w14:textId="77777777" w:rsidR="006B0FF0" w:rsidRPr="00226892" w:rsidRDefault="006B0FF0" w:rsidP="00BA675C">
            <w:pPr>
              <w:rPr>
                <w:rFonts w:ascii="Arial" w:hAnsi="Arial" w:cs="Arial"/>
                <w:b/>
                <w:bCs/>
                <w:sz w:val="18"/>
                <w:szCs w:val="18"/>
              </w:rPr>
            </w:pPr>
          </w:p>
        </w:tc>
      </w:tr>
      <w:tr w:rsidR="006B0FF0" w:rsidRPr="00226892" w14:paraId="1E68002D" w14:textId="77777777" w:rsidTr="009B79FC">
        <w:trPr>
          <w:trHeight w:val="227"/>
        </w:trPr>
        <w:tc>
          <w:tcPr>
            <w:tcW w:w="1988" w:type="pct"/>
            <w:vMerge/>
            <w:tcBorders>
              <w:top w:val="nil"/>
              <w:left w:val="nil"/>
              <w:bottom w:val="single" w:sz="4" w:space="0" w:color="000000"/>
              <w:right w:val="nil"/>
            </w:tcBorders>
            <w:vAlign w:val="center"/>
            <w:hideMark/>
          </w:tcPr>
          <w:p w14:paraId="39F22DDB" w14:textId="77777777" w:rsidR="006B0FF0" w:rsidRPr="00226892" w:rsidRDefault="006B0FF0" w:rsidP="00BA675C">
            <w:pPr>
              <w:rPr>
                <w:rFonts w:ascii="Arial" w:hAnsi="Arial" w:cs="Arial"/>
                <w:b/>
                <w:bCs/>
                <w:sz w:val="18"/>
                <w:szCs w:val="18"/>
              </w:rPr>
            </w:pPr>
          </w:p>
        </w:tc>
        <w:tc>
          <w:tcPr>
            <w:tcW w:w="764" w:type="pct"/>
            <w:tcBorders>
              <w:top w:val="nil"/>
              <w:left w:val="nil"/>
              <w:bottom w:val="single" w:sz="4" w:space="0" w:color="auto"/>
              <w:right w:val="nil"/>
            </w:tcBorders>
            <w:shd w:val="clear" w:color="auto" w:fill="auto"/>
            <w:vAlign w:val="bottom"/>
            <w:hideMark/>
          </w:tcPr>
          <w:p w14:paraId="1AD6036D" w14:textId="77777777" w:rsidR="006B0FF0" w:rsidRPr="00226892" w:rsidRDefault="006B0FF0" w:rsidP="00BA675C">
            <w:pPr>
              <w:jc w:val="center"/>
              <w:rPr>
                <w:rFonts w:ascii="Arial" w:hAnsi="Arial" w:cs="Arial"/>
                <w:b/>
                <w:bCs/>
                <w:sz w:val="18"/>
                <w:szCs w:val="18"/>
              </w:rPr>
            </w:pPr>
            <w:proofErr w:type="spellStart"/>
            <w:r w:rsidRPr="00226892">
              <w:rPr>
                <w:rFonts w:ascii="Arial" w:hAnsi="Arial" w:cs="Arial"/>
                <w:b/>
                <w:bCs/>
                <w:sz w:val="18"/>
                <w:szCs w:val="18"/>
              </w:rPr>
              <w:t>absolútne</w:t>
            </w:r>
            <w:proofErr w:type="spellEnd"/>
          </w:p>
        </w:tc>
        <w:tc>
          <w:tcPr>
            <w:tcW w:w="764" w:type="pct"/>
            <w:tcBorders>
              <w:top w:val="nil"/>
              <w:left w:val="nil"/>
              <w:bottom w:val="single" w:sz="4" w:space="0" w:color="auto"/>
              <w:right w:val="nil"/>
            </w:tcBorders>
            <w:shd w:val="clear" w:color="auto" w:fill="auto"/>
            <w:vAlign w:val="bottom"/>
            <w:hideMark/>
          </w:tcPr>
          <w:p w14:paraId="1F4E3069" w14:textId="77777777" w:rsidR="006B0FF0" w:rsidRPr="00226892" w:rsidRDefault="006B0FF0" w:rsidP="00BA675C">
            <w:pPr>
              <w:jc w:val="center"/>
              <w:rPr>
                <w:rFonts w:ascii="Arial" w:hAnsi="Arial" w:cs="Arial"/>
                <w:b/>
                <w:bCs/>
                <w:sz w:val="18"/>
                <w:szCs w:val="18"/>
              </w:rPr>
            </w:pPr>
            <w:r w:rsidRPr="00226892">
              <w:rPr>
                <w:rFonts w:ascii="Arial" w:hAnsi="Arial" w:cs="Arial"/>
                <w:b/>
                <w:bCs/>
                <w:sz w:val="18"/>
                <w:szCs w:val="18"/>
              </w:rPr>
              <w:t>v %</w:t>
            </w:r>
          </w:p>
        </w:tc>
        <w:tc>
          <w:tcPr>
            <w:tcW w:w="764" w:type="pct"/>
            <w:vMerge/>
            <w:tcBorders>
              <w:top w:val="nil"/>
              <w:left w:val="nil"/>
              <w:bottom w:val="single" w:sz="4" w:space="0" w:color="000000"/>
              <w:right w:val="nil"/>
            </w:tcBorders>
            <w:vAlign w:val="center"/>
            <w:hideMark/>
          </w:tcPr>
          <w:p w14:paraId="15A3EE62" w14:textId="77777777" w:rsidR="006B0FF0" w:rsidRPr="00226892" w:rsidRDefault="006B0FF0" w:rsidP="00BA675C">
            <w:pPr>
              <w:rPr>
                <w:rFonts w:ascii="Arial" w:hAnsi="Arial" w:cs="Arial"/>
                <w:b/>
                <w:bCs/>
                <w:sz w:val="18"/>
                <w:szCs w:val="18"/>
              </w:rPr>
            </w:pPr>
          </w:p>
        </w:tc>
        <w:tc>
          <w:tcPr>
            <w:tcW w:w="719" w:type="pct"/>
            <w:vMerge/>
            <w:tcBorders>
              <w:top w:val="nil"/>
              <w:left w:val="nil"/>
              <w:bottom w:val="single" w:sz="4" w:space="0" w:color="000000"/>
              <w:right w:val="nil"/>
            </w:tcBorders>
            <w:vAlign w:val="center"/>
            <w:hideMark/>
          </w:tcPr>
          <w:p w14:paraId="4CFCEEF5" w14:textId="77777777" w:rsidR="006B0FF0" w:rsidRPr="00226892" w:rsidRDefault="006B0FF0" w:rsidP="00BA675C">
            <w:pPr>
              <w:rPr>
                <w:rFonts w:ascii="Arial" w:hAnsi="Arial" w:cs="Arial"/>
                <w:b/>
                <w:bCs/>
                <w:sz w:val="18"/>
                <w:szCs w:val="18"/>
              </w:rPr>
            </w:pPr>
          </w:p>
        </w:tc>
      </w:tr>
      <w:tr w:rsidR="006B0FF0" w:rsidRPr="00226892" w14:paraId="7BD2CF7B" w14:textId="77777777" w:rsidTr="009B79FC">
        <w:trPr>
          <w:trHeight w:val="227"/>
        </w:trPr>
        <w:tc>
          <w:tcPr>
            <w:tcW w:w="1988" w:type="pct"/>
            <w:tcBorders>
              <w:top w:val="nil"/>
              <w:left w:val="nil"/>
              <w:bottom w:val="nil"/>
              <w:right w:val="nil"/>
            </w:tcBorders>
            <w:shd w:val="clear" w:color="auto" w:fill="auto"/>
            <w:vAlign w:val="bottom"/>
            <w:hideMark/>
          </w:tcPr>
          <w:p w14:paraId="16DB89A7" w14:textId="77777777" w:rsidR="006B0FF0" w:rsidRPr="00226892" w:rsidRDefault="006B0FF0" w:rsidP="00BA675C">
            <w:pPr>
              <w:rPr>
                <w:rFonts w:ascii="Arial" w:hAnsi="Arial" w:cs="Arial"/>
                <w:sz w:val="18"/>
                <w:szCs w:val="18"/>
              </w:rPr>
            </w:pPr>
            <w:r w:rsidRPr="00226892">
              <w:rPr>
                <w:rFonts w:ascii="Arial" w:hAnsi="Arial" w:cs="Arial"/>
                <w:sz w:val="18"/>
                <w:szCs w:val="18"/>
              </w:rPr>
              <w:t xml:space="preserve">M.I.L. MATINVESTMENTS LIMITED </w:t>
            </w:r>
          </w:p>
        </w:tc>
        <w:tc>
          <w:tcPr>
            <w:tcW w:w="764" w:type="pct"/>
            <w:tcBorders>
              <w:top w:val="nil"/>
              <w:left w:val="nil"/>
              <w:bottom w:val="nil"/>
              <w:right w:val="nil"/>
            </w:tcBorders>
            <w:shd w:val="clear" w:color="auto" w:fill="auto"/>
            <w:vAlign w:val="bottom"/>
            <w:hideMark/>
          </w:tcPr>
          <w:p w14:paraId="7F3C9432" w14:textId="00C191C6" w:rsidR="006B0FF0" w:rsidRPr="00226892" w:rsidRDefault="006B0FF0" w:rsidP="00BA675C">
            <w:pPr>
              <w:jc w:val="right"/>
              <w:rPr>
                <w:rFonts w:ascii="Arial" w:hAnsi="Arial" w:cs="Arial"/>
                <w:sz w:val="18"/>
                <w:szCs w:val="18"/>
              </w:rPr>
            </w:pPr>
            <w:r w:rsidRPr="00226892">
              <w:rPr>
                <w:rFonts w:ascii="Arial" w:hAnsi="Arial" w:cs="Arial"/>
                <w:sz w:val="18"/>
                <w:szCs w:val="18"/>
              </w:rPr>
              <w:t>14 340</w:t>
            </w:r>
          </w:p>
        </w:tc>
        <w:tc>
          <w:tcPr>
            <w:tcW w:w="764" w:type="pct"/>
            <w:tcBorders>
              <w:top w:val="nil"/>
              <w:left w:val="nil"/>
              <w:bottom w:val="nil"/>
              <w:right w:val="nil"/>
            </w:tcBorders>
            <w:shd w:val="clear" w:color="auto" w:fill="auto"/>
            <w:vAlign w:val="bottom"/>
            <w:hideMark/>
          </w:tcPr>
          <w:p w14:paraId="520E3BC6" w14:textId="77777777" w:rsidR="006B0FF0" w:rsidRPr="00226892" w:rsidRDefault="006B0FF0" w:rsidP="00BA675C">
            <w:pPr>
              <w:jc w:val="right"/>
              <w:rPr>
                <w:rFonts w:ascii="Arial" w:hAnsi="Arial" w:cs="Arial"/>
                <w:sz w:val="18"/>
                <w:szCs w:val="18"/>
              </w:rPr>
            </w:pPr>
            <w:r w:rsidRPr="00226892">
              <w:rPr>
                <w:rFonts w:ascii="Arial" w:hAnsi="Arial" w:cs="Arial"/>
                <w:sz w:val="18"/>
                <w:szCs w:val="18"/>
              </w:rPr>
              <w:t>70,14%</w:t>
            </w:r>
          </w:p>
        </w:tc>
        <w:tc>
          <w:tcPr>
            <w:tcW w:w="764" w:type="pct"/>
            <w:tcBorders>
              <w:top w:val="nil"/>
              <w:left w:val="nil"/>
              <w:bottom w:val="nil"/>
              <w:right w:val="nil"/>
            </w:tcBorders>
            <w:shd w:val="clear" w:color="auto" w:fill="auto"/>
            <w:hideMark/>
          </w:tcPr>
          <w:p w14:paraId="0717ED48" w14:textId="77777777" w:rsidR="006B0FF0" w:rsidRPr="00226892" w:rsidRDefault="006B0FF0" w:rsidP="00BA675C">
            <w:pPr>
              <w:jc w:val="right"/>
              <w:rPr>
                <w:rFonts w:ascii="Arial" w:hAnsi="Arial" w:cs="Arial"/>
                <w:sz w:val="18"/>
                <w:szCs w:val="18"/>
              </w:rPr>
            </w:pPr>
            <w:r w:rsidRPr="00226892">
              <w:rPr>
                <w:rFonts w:ascii="Arial" w:hAnsi="Arial" w:cs="Arial"/>
                <w:sz w:val="18"/>
                <w:szCs w:val="18"/>
              </w:rPr>
              <w:t>70,32%</w:t>
            </w:r>
          </w:p>
        </w:tc>
        <w:tc>
          <w:tcPr>
            <w:tcW w:w="719" w:type="pct"/>
            <w:tcBorders>
              <w:top w:val="nil"/>
              <w:left w:val="nil"/>
              <w:bottom w:val="nil"/>
              <w:right w:val="nil"/>
            </w:tcBorders>
            <w:shd w:val="clear" w:color="auto" w:fill="auto"/>
            <w:hideMark/>
          </w:tcPr>
          <w:p w14:paraId="3BF6882C" w14:textId="77777777" w:rsidR="006B0FF0" w:rsidRPr="00226892" w:rsidRDefault="006B0FF0" w:rsidP="00BA675C">
            <w:pPr>
              <w:jc w:val="right"/>
              <w:rPr>
                <w:rFonts w:ascii="Arial" w:hAnsi="Arial" w:cs="Arial"/>
                <w:sz w:val="18"/>
                <w:szCs w:val="18"/>
              </w:rPr>
            </w:pPr>
            <w:r w:rsidRPr="00226892">
              <w:rPr>
                <w:rFonts w:ascii="Arial" w:hAnsi="Arial" w:cs="Arial"/>
                <w:sz w:val="18"/>
                <w:szCs w:val="18"/>
              </w:rPr>
              <w:t>70,32%</w:t>
            </w:r>
          </w:p>
        </w:tc>
      </w:tr>
      <w:tr w:rsidR="006B0FF0" w:rsidRPr="00226892" w14:paraId="09D5288A" w14:textId="77777777" w:rsidTr="009B79FC">
        <w:trPr>
          <w:trHeight w:val="227"/>
        </w:trPr>
        <w:tc>
          <w:tcPr>
            <w:tcW w:w="1988" w:type="pct"/>
            <w:tcBorders>
              <w:top w:val="nil"/>
              <w:left w:val="nil"/>
              <w:bottom w:val="nil"/>
              <w:right w:val="nil"/>
            </w:tcBorders>
            <w:shd w:val="clear" w:color="auto" w:fill="auto"/>
            <w:vAlign w:val="bottom"/>
            <w:hideMark/>
          </w:tcPr>
          <w:p w14:paraId="616E972B" w14:textId="77777777" w:rsidR="006B0FF0" w:rsidRPr="00226892" w:rsidRDefault="006B0FF0" w:rsidP="00BA675C">
            <w:pPr>
              <w:rPr>
                <w:rFonts w:ascii="Arial" w:hAnsi="Arial" w:cs="Arial"/>
                <w:sz w:val="18"/>
                <w:szCs w:val="18"/>
              </w:rPr>
            </w:pPr>
            <w:r w:rsidRPr="00226892">
              <w:rPr>
                <w:rFonts w:ascii="Arial" w:hAnsi="Arial" w:cs="Arial"/>
                <w:sz w:val="18"/>
                <w:szCs w:val="18"/>
              </w:rPr>
              <w:t>SODECIA Automotive Europe GmbH</w:t>
            </w:r>
          </w:p>
        </w:tc>
        <w:tc>
          <w:tcPr>
            <w:tcW w:w="764" w:type="pct"/>
            <w:tcBorders>
              <w:top w:val="nil"/>
              <w:left w:val="nil"/>
              <w:bottom w:val="nil"/>
              <w:right w:val="nil"/>
            </w:tcBorders>
            <w:shd w:val="clear" w:color="auto" w:fill="auto"/>
            <w:vAlign w:val="bottom"/>
            <w:hideMark/>
          </w:tcPr>
          <w:p w14:paraId="6AAA45A1" w14:textId="66C98200" w:rsidR="006B0FF0" w:rsidRPr="00226892" w:rsidRDefault="006B0FF0" w:rsidP="00BA675C">
            <w:pPr>
              <w:jc w:val="right"/>
              <w:rPr>
                <w:rFonts w:ascii="Arial" w:hAnsi="Arial" w:cs="Arial"/>
                <w:sz w:val="18"/>
                <w:szCs w:val="18"/>
              </w:rPr>
            </w:pPr>
            <w:r w:rsidRPr="00226892">
              <w:rPr>
                <w:rFonts w:ascii="Arial" w:hAnsi="Arial" w:cs="Arial"/>
                <w:sz w:val="18"/>
                <w:szCs w:val="18"/>
              </w:rPr>
              <w:t>5 980</w:t>
            </w:r>
          </w:p>
        </w:tc>
        <w:tc>
          <w:tcPr>
            <w:tcW w:w="764" w:type="pct"/>
            <w:tcBorders>
              <w:top w:val="nil"/>
              <w:left w:val="nil"/>
              <w:bottom w:val="nil"/>
              <w:right w:val="nil"/>
            </w:tcBorders>
            <w:shd w:val="clear" w:color="auto" w:fill="auto"/>
            <w:vAlign w:val="bottom"/>
            <w:hideMark/>
          </w:tcPr>
          <w:p w14:paraId="213E18BE" w14:textId="77777777" w:rsidR="006B0FF0" w:rsidRPr="00226892" w:rsidRDefault="006B0FF0" w:rsidP="00BA675C">
            <w:pPr>
              <w:jc w:val="right"/>
              <w:rPr>
                <w:rFonts w:ascii="Arial" w:hAnsi="Arial" w:cs="Arial"/>
                <w:sz w:val="18"/>
                <w:szCs w:val="18"/>
              </w:rPr>
            </w:pPr>
            <w:r w:rsidRPr="00226892">
              <w:rPr>
                <w:rFonts w:ascii="Arial" w:hAnsi="Arial" w:cs="Arial"/>
                <w:sz w:val="18"/>
                <w:szCs w:val="18"/>
              </w:rPr>
              <w:t>29,24%</w:t>
            </w:r>
          </w:p>
        </w:tc>
        <w:tc>
          <w:tcPr>
            <w:tcW w:w="764" w:type="pct"/>
            <w:tcBorders>
              <w:top w:val="nil"/>
              <w:left w:val="nil"/>
              <w:bottom w:val="nil"/>
              <w:right w:val="nil"/>
            </w:tcBorders>
            <w:shd w:val="clear" w:color="auto" w:fill="auto"/>
            <w:hideMark/>
          </w:tcPr>
          <w:p w14:paraId="6647F009" w14:textId="77777777" w:rsidR="006B0FF0" w:rsidRPr="00226892" w:rsidRDefault="006B0FF0" w:rsidP="00BA675C">
            <w:pPr>
              <w:jc w:val="right"/>
              <w:rPr>
                <w:rFonts w:ascii="Arial" w:hAnsi="Arial" w:cs="Arial"/>
                <w:sz w:val="18"/>
                <w:szCs w:val="18"/>
              </w:rPr>
            </w:pPr>
            <w:r w:rsidRPr="00226892">
              <w:rPr>
                <w:rFonts w:ascii="Arial" w:hAnsi="Arial" w:cs="Arial"/>
                <w:sz w:val="18"/>
                <w:szCs w:val="18"/>
              </w:rPr>
              <w:t>29,31%</w:t>
            </w:r>
          </w:p>
        </w:tc>
        <w:tc>
          <w:tcPr>
            <w:tcW w:w="719" w:type="pct"/>
            <w:tcBorders>
              <w:top w:val="nil"/>
              <w:left w:val="nil"/>
              <w:bottom w:val="nil"/>
              <w:right w:val="nil"/>
            </w:tcBorders>
            <w:shd w:val="clear" w:color="auto" w:fill="auto"/>
            <w:hideMark/>
          </w:tcPr>
          <w:p w14:paraId="70D08041" w14:textId="77777777" w:rsidR="006B0FF0" w:rsidRPr="00226892" w:rsidRDefault="006B0FF0" w:rsidP="00BA675C">
            <w:pPr>
              <w:jc w:val="right"/>
              <w:rPr>
                <w:rFonts w:ascii="Arial" w:hAnsi="Arial" w:cs="Arial"/>
                <w:sz w:val="18"/>
                <w:szCs w:val="18"/>
              </w:rPr>
            </w:pPr>
            <w:r w:rsidRPr="00226892">
              <w:rPr>
                <w:rFonts w:ascii="Arial" w:hAnsi="Arial" w:cs="Arial"/>
                <w:sz w:val="18"/>
                <w:szCs w:val="18"/>
              </w:rPr>
              <w:t>29,31%</w:t>
            </w:r>
          </w:p>
        </w:tc>
      </w:tr>
      <w:tr w:rsidR="006B0FF0" w:rsidRPr="00226892" w14:paraId="4AD5F8B2" w14:textId="77777777" w:rsidTr="009B79FC">
        <w:trPr>
          <w:trHeight w:val="227"/>
        </w:trPr>
        <w:tc>
          <w:tcPr>
            <w:tcW w:w="1988" w:type="pct"/>
            <w:tcBorders>
              <w:top w:val="nil"/>
              <w:left w:val="nil"/>
              <w:bottom w:val="nil"/>
              <w:right w:val="nil"/>
            </w:tcBorders>
            <w:shd w:val="clear" w:color="auto" w:fill="auto"/>
            <w:vAlign w:val="bottom"/>
            <w:hideMark/>
          </w:tcPr>
          <w:p w14:paraId="5180F166" w14:textId="77777777" w:rsidR="006B0FF0" w:rsidRPr="00226892" w:rsidRDefault="006B0FF0" w:rsidP="00BA675C">
            <w:pPr>
              <w:rPr>
                <w:rFonts w:ascii="Arial" w:hAnsi="Arial" w:cs="Arial"/>
                <w:sz w:val="18"/>
                <w:szCs w:val="18"/>
              </w:rPr>
            </w:pPr>
            <w:proofErr w:type="spellStart"/>
            <w:r w:rsidRPr="00226892">
              <w:rPr>
                <w:rFonts w:ascii="Arial" w:hAnsi="Arial" w:cs="Arial"/>
                <w:sz w:val="18"/>
                <w:szCs w:val="18"/>
              </w:rPr>
              <w:t>Ostatní</w:t>
            </w:r>
            <w:proofErr w:type="spellEnd"/>
            <w:r w:rsidRPr="00226892">
              <w:rPr>
                <w:rFonts w:ascii="Arial" w:hAnsi="Arial" w:cs="Arial"/>
                <w:sz w:val="18"/>
                <w:szCs w:val="18"/>
              </w:rPr>
              <w:t xml:space="preserve"> </w:t>
            </w:r>
            <w:proofErr w:type="spellStart"/>
            <w:r w:rsidRPr="00226892">
              <w:rPr>
                <w:rFonts w:ascii="Arial" w:hAnsi="Arial" w:cs="Arial"/>
                <w:sz w:val="18"/>
                <w:szCs w:val="18"/>
              </w:rPr>
              <w:t>akcionári</w:t>
            </w:r>
            <w:proofErr w:type="spellEnd"/>
          </w:p>
        </w:tc>
        <w:tc>
          <w:tcPr>
            <w:tcW w:w="764" w:type="pct"/>
            <w:tcBorders>
              <w:top w:val="nil"/>
              <w:left w:val="nil"/>
              <w:bottom w:val="nil"/>
              <w:right w:val="nil"/>
            </w:tcBorders>
            <w:shd w:val="clear" w:color="auto" w:fill="auto"/>
            <w:vAlign w:val="bottom"/>
            <w:hideMark/>
          </w:tcPr>
          <w:p w14:paraId="5AB9C9E4" w14:textId="05BCB951" w:rsidR="006B0FF0" w:rsidRPr="00226892" w:rsidRDefault="006B0FF0" w:rsidP="00BA675C">
            <w:pPr>
              <w:jc w:val="right"/>
              <w:rPr>
                <w:rFonts w:ascii="Arial" w:hAnsi="Arial" w:cs="Arial"/>
                <w:sz w:val="18"/>
                <w:szCs w:val="18"/>
              </w:rPr>
            </w:pPr>
            <w:r w:rsidRPr="00226892">
              <w:rPr>
                <w:rFonts w:ascii="Arial" w:hAnsi="Arial" w:cs="Arial"/>
                <w:sz w:val="18"/>
                <w:szCs w:val="18"/>
              </w:rPr>
              <w:t>7</w:t>
            </w:r>
            <w:r w:rsidR="00F37321" w:rsidRPr="00226892">
              <w:rPr>
                <w:rFonts w:ascii="Arial" w:hAnsi="Arial" w:cs="Arial"/>
                <w:sz w:val="18"/>
                <w:szCs w:val="18"/>
              </w:rPr>
              <w:t>6</w:t>
            </w:r>
          </w:p>
        </w:tc>
        <w:tc>
          <w:tcPr>
            <w:tcW w:w="764" w:type="pct"/>
            <w:tcBorders>
              <w:top w:val="nil"/>
              <w:left w:val="nil"/>
              <w:bottom w:val="nil"/>
              <w:right w:val="nil"/>
            </w:tcBorders>
            <w:shd w:val="clear" w:color="auto" w:fill="auto"/>
            <w:vAlign w:val="bottom"/>
            <w:hideMark/>
          </w:tcPr>
          <w:p w14:paraId="248328FD" w14:textId="77777777" w:rsidR="006B0FF0" w:rsidRPr="00226892" w:rsidRDefault="006B0FF0" w:rsidP="00BA675C">
            <w:pPr>
              <w:jc w:val="right"/>
              <w:rPr>
                <w:rFonts w:ascii="Arial" w:hAnsi="Arial" w:cs="Arial"/>
                <w:sz w:val="18"/>
                <w:szCs w:val="18"/>
              </w:rPr>
            </w:pPr>
            <w:r w:rsidRPr="00226892">
              <w:rPr>
                <w:rFonts w:ascii="Arial" w:hAnsi="Arial" w:cs="Arial"/>
                <w:sz w:val="18"/>
                <w:szCs w:val="18"/>
              </w:rPr>
              <w:t>0,37%</w:t>
            </w:r>
          </w:p>
        </w:tc>
        <w:tc>
          <w:tcPr>
            <w:tcW w:w="764" w:type="pct"/>
            <w:tcBorders>
              <w:top w:val="nil"/>
              <w:left w:val="nil"/>
              <w:bottom w:val="nil"/>
              <w:right w:val="nil"/>
            </w:tcBorders>
            <w:shd w:val="clear" w:color="auto" w:fill="auto"/>
            <w:hideMark/>
          </w:tcPr>
          <w:p w14:paraId="56C840BC" w14:textId="77777777" w:rsidR="006B0FF0" w:rsidRPr="00226892" w:rsidRDefault="006B0FF0" w:rsidP="00BA675C">
            <w:pPr>
              <w:jc w:val="right"/>
              <w:rPr>
                <w:rFonts w:ascii="Arial" w:hAnsi="Arial" w:cs="Arial"/>
                <w:sz w:val="18"/>
                <w:szCs w:val="18"/>
              </w:rPr>
            </w:pPr>
            <w:r w:rsidRPr="00226892">
              <w:rPr>
                <w:rFonts w:ascii="Arial" w:hAnsi="Arial" w:cs="Arial"/>
                <w:sz w:val="18"/>
                <w:szCs w:val="18"/>
              </w:rPr>
              <w:t>0,37%</w:t>
            </w:r>
          </w:p>
        </w:tc>
        <w:tc>
          <w:tcPr>
            <w:tcW w:w="719" w:type="pct"/>
            <w:tcBorders>
              <w:top w:val="nil"/>
              <w:left w:val="nil"/>
              <w:bottom w:val="nil"/>
              <w:right w:val="nil"/>
            </w:tcBorders>
            <w:shd w:val="clear" w:color="auto" w:fill="auto"/>
            <w:hideMark/>
          </w:tcPr>
          <w:p w14:paraId="5B68496E" w14:textId="77777777" w:rsidR="006B0FF0" w:rsidRPr="00226892" w:rsidRDefault="006B0FF0" w:rsidP="00BA675C">
            <w:pPr>
              <w:jc w:val="right"/>
              <w:rPr>
                <w:rFonts w:ascii="Arial" w:hAnsi="Arial" w:cs="Arial"/>
                <w:sz w:val="18"/>
                <w:szCs w:val="18"/>
              </w:rPr>
            </w:pPr>
            <w:r w:rsidRPr="00226892">
              <w:rPr>
                <w:rFonts w:ascii="Arial" w:hAnsi="Arial" w:cs="Arial"/>
                <w:sz w:val="18"/>
                <w:szCs w:val="18"/>
              </w:rPr>
              <w:t>0,37%</w:t>
            </w:r>
          </w:p>
        </w:tc>
      </w:tr>
      <w:tr w:rsidR="006B0FF0" w:rsidRPr="00226892" w14:paraId="1A5A33A3" w14:textId="77777777" w:rsidTr="009B79FC">
        <w:trPr>
          <w:trHeight w:val="227"/>
        </w:trPr>
        <w:tc>
          <w:tcPr>
            <w:tcW w:w="1988" w:type="pct"/>
            <w:tcBorders>
              <w:top w:val="nil"/>
              <w:left w:val="nil"/>
              <w:bottom w:val="nil"/>
              <w:right w:val="nil"/>
            </w:tcBorders>
            <w:shd w:val="clear" w:color="auto" w:fill="auto"/>
            <w:vAlign w:val="bottom"/>
            <w:hideMark/>
          </w:tcPr>
          <w:p w14:paraId="0DB2A88C" w14:textId="77777777" w:rsidR="006B0FF0" w:rsidRPr="00226892" w:rsidRDefault="006B0FF0" w:rsidP="00BA675C">
            <w:pPr>
              <w:rPr>
                <w:rFonts w:ascii="Arial" w:hAnsi="Arial" w:cs="Arial"/>
                <w:sz w:val="18"/>
                <w:szCs w:val="18"/>
              </w:rPr>
            </w:pPr>
            <w:r w:rsidRPr="00226892">
              <w:rPr>
                <w:rFonts w:ascii="Arial" w:hAnsi="Arial" w:cs="Arial"/>
                <w:sz w:val="18"/>
                <w:szCs w:val="18"/>
              </w:rPr>
              <w:t xml:space="preserve">MATADOR Automotive </w:t>
            </w:r>
            <w:proofErr w:type="spellStart"/>
            <w:r w:rsidRPr="00226892">
              <w:rPr>
                <w:rFonts w:ascii="Arial" w:hAnsi="Arial" w:cs="Arial"/>
                <w:sz w:val="18"/>
                <w:szCs w:val="18"/>
              </w:rPr>
              <w:t>Vráble</w:t>
            </w:r>
            <w:proofErr w:type="spellEnd"/>
            <w:r w:rsidRPr="00226892">
              <w:rPr>
                <w:rFonts w:ascii="Arial" w:hAnsi="Arial" w:cs="Arial"/>
                <w:sz w:val="18"/>
                <w:szCs w:val="18"/>
              </w:rPr>
              <w:t xml:space="preserve">, </w:t>
            </w:r>
            <w:proofErr w:type="spellStart"/>
            <w:r w:rsidRPr="00226892">
              <w:rPr>
                <w:rFonts w:ascii="Arial" w:hAnsi="Arial" w:cs="Arial"/>
                <w:sz w:val="18"/>
                <w:szCs w:val="18"/>
              </w:rPr>
              <w:t>a.s.</w:t>
            </w:r>
            <w:proofErr w:type="spellEnd"/>
          </w:p>
        </w:tc>
        <w:tc>
          <w:tcPr>
            <w:tcW w:w="764" w:type="pct"/>
            <w:tcBorders>
              <w:top w:val="nil"/>
              <w:left w:val="nil"/>
              <w:bottom w:val="nil"/>
              <w:right w:val="nil"/>
            </w:tcBorders>
            <w:shd w:val="clear" w:color="auto" w:fill="auto"/>
            <w:vAlign w:val="bottom"/>
            <w:hideMark/>
          </w:tcPr>
          <w:p w14:paraId="19F8BB35" w14:textId="485B49D7" w:rsidR="006B0FF0" w:rsidRPr="00226892" w:rsidRDefault="006B0FF0" w:rsidP="00BA675C">
            <w:pPr>
              <w:jc w:val="right"/>
              <w:rPr>
                <w:rFonts w:ascii="Arial" w:hAnsi="Arial" w:cs="Arial"/>
                <w:sz w:val="18"/>
                <w:szCs w:val="18"/>
              </w:rPr>
            </w:pPr>
            <w:r w:rsidRPr="00226892">
              <w:rPr>
                <w:rFonts w:ascii="Arial" w:hAnsi="Arial" w:cs="Arial"/>
                <w:sz w:val="18"/>
                <w:szCs w:val="18"/>
              </w:rPr>
              <w:t>5</w:t>
            </w:r>
            <w:r w:rsidR="00F37321" w:rsidRPr="00226892">
              <w:rPr>
                <w:rFonts w:ascii="Arial" w:hAnsi="Arial" w:cs="Arial"/>
                <w:sz w:val="18"/>
                <w:szCs w:val="18"/>
              </w:rPr>
              <w:t>2</w:t>
            </w:r>
          </w:p>
        </w:tc>
        <w:tc>
          <w:tcPr>
            <w:tcW w:w="764" w:type="pct"/>
            <w:tcBorders>
              <w:top w:val="nil"/>
              <w:left w:val="nil"/>
              <w:bottom w:val="nil"/>
              <w:right w:val="nil"/>
            </w:tcBorders>
            <w:shd w:val="clear" w:color="auto" w:fill="auto"/>
            <w:vAlign w:val="bottom"/>
            <w:hideMark/>
          </w:tcPr>
          <w:p w14:paraId="7632AA81" w14:textId="77777777" w:rsidR="006B0FF0" w:rsidRPr="00226892" w:rsidRDefault="006B0FF0" w:rsidP="00BA675C">
            <w:pPr>
              <w:jc w:val="right"/>
              <w:rPr>
                <w:rFonts w:ascii="Arial" w:hAnsi="Arial" w:cs="Arial"/>
                <w:sz w:val="18"/>
                <w:szCs w:val="18"/>
              </w:rPr>
            </w:pPr>
            <w:r w:rsidRPr="00226892">
              <w:rPr>
                <w:rFonts w:ascii="Arial" w:hAnsi="Arial" w:cs="Arial"/>
                <w:sz w:val="18"/>
                <w:szCs w:val="18"/>
              </w:rPr>
              <w:t>0,25%</w:t>
            </w:r>
          </w:p>
        </w:tc>
        <w:tc>
          <w:tcPr>
            <w:tcW w:w="764" w:type="pct"/>
            <w:tcBorders>
              <w:top w:val="nil"/>
              <w:left w:val="nil"/>
              <w:bottom w:val="nil"/>
              <w:right w:val="nil"/>
            </w:tcBorders>
            <w:shd w:val="clear" w:color="auto" w:fill="auto"/>
            <w:hideMark/>
          </w:tcPr>
          <w:p w14:paraId="10C4174B" w14:textId="77777777" w:rsidR="006B0FF0" w:rsidRPr="00226892" w:rsidRDefault="006B0FF0" w:rsidP="00BA675C">
            <w:pPr>
              <w:jc w:val="right"/>
              <w:rPr>
                <w:rFonts w:ascii="Arial" w:hAnsi="Arial" w:cs="Arial"/>
                <w:sz w:val="18"/>
                <w:szCs w:val="18"/>
              </w:rPr>
            </w:pPr>
            <w:r w:rsidRPr="00226892">
              <w:rPr>
                <w:rFonts w:ascii="Arial" w:hAnsi="Arial" w:cs="Arial"/>
                <w:sz w:val="18"/>
                <w:szCs w:val="18"/>
              </w:rPr>
              <w:t>0,00%</w:t>
            </w:r>
          </w:p>
        </w:tc>
        <w:tc>
          <w:tcPr>
            <w:tcW w:w="719" w:type="pct"/>
            <w:tcBorders>
              <w:top w:val="nil"/>
              <w:left w:val="nil"/>
              <w:bottom w:val="nil"/>
              <w:right w:val="nil"/>
            </w:tcBorders>
            <w:shd w:val="clear" w:color="auto" w:fill="auto"/>
            <w:hideMark/>
          </w:tcPr>
          <w:p w14:paraId="4DBE589C" w14:textId="77777777" w:rsidR="006B0FF0" w:rsidRPr="00226892" w:rsidRDefault="006B0FF0" w:rsidP="00BA675C">
            <w:pPr>
              <w:jc w:val="right"/>
              <w:rPr>
                <w:rFonts w:ascii="Arial" w:hAnsi="Arial" w:cs="Arial"/>
                <w:sz w:val="18"/>
                <w:szCs w:val="18"/>
              </w:rPr>
            </w:pPr>
            <w:r w:rsidRPr="00226892">
              <w:rPr>
                <w:rFonts w:ascii="Arial" w:hAnsi="Arial" w:cs="Arial"/>
                <w:sz w:val="18"/>
                <w:szCs w:val="18"/>
              </w:rPr>
              <w:t>0,00%</w:t>
            </w:r>
          </w:p>
        </w:tc>
      </w:tr>
      <w:tr w:rsidR="006B0FF0" w:rsidRPr="00226892" w14:paraId="5FF2A95B" w14:textId="77777777" w:rsidTr="009B79FC">
        <w:trPr>
          <w:trHeight w:val="227"/>
        </w:trPr>
        <w:tc>
          <w:tcPr>
            <w:tcW w:w="1988" w:type="pct"/>
            <w:tcBorders>
              <w:top w:val="nil"/>
              <w:left w:val="nil"/>
              <w:bottom w:val="nil"/>
              <w:right w:val="nil"/>
            </w:tcBorders>
            <w:shd w:val="clear" w:color="auto" w:fill="auto"/>
            <w:vAlign w:val="bottom"/>
            <w:hideMark/>
          </w:tcPr>
          <w:p w14:paraId="117BBB53" w14:textId="77777777" w:rsidR="006B0FF0" w:rsidRPr="00226892" w:rsidRDefault="006B0FF0" w:rsidP="00BA675C">
            <w:pPr>
              <w:rPr>
                <w:rFonts w:ascii="Arial" w:hAnsi="Arial" w:cs="Arial"/>
                <w:b/>
                <w:bCs/>
                <w:sz w:val="18"/>
                <w:szCs w:val="18"/>
              </w:rPr>
            </w:pPr>
            <w:proofErr w:type="spellStart"/>
            <w:r w:rsidRPr="00226892">
              <w:rPr>
                <w:rFonts w:ascii="Arial" w:hAnsi="Arial" w:cs="Arial"/>
                <w:b/>
                <w:bCs/>
                <w:sz w:val="18"/>
                <w:szCs w:val="18"/>
              </w:rPr>
              <w:t>Spolu</w:t>
            </w:r>
            <w:proofErr w:type="spellEnd"/>
          </w:p>
        </w:tc>
        <w:tc>
          <w:tcPr>
            <w:tcW w:w="764" w:type="pct"/>
            <w:tcBorders>
              <w:top w:val="single" w:sz="4" w:space="0" w:color="auto"/>
              <w:left w:val="nil"/>
              <w:bottom w:val="double" w:sz="6" w:space="0" w:color="auto"/>
              <w:right w:val="nil"/>
            </w:tcBorders>
            <w:shd w:val="clear" w:color="auto" w:fill="auto"/>
            <w:vAlign w:val="bottom"/>
            <w:hideMark/>
          </w:tcPr>
          <w:p w14:paraId="52CE2117" w14:textId="0482DC90" w:rsidR="006B0FF0" w:rsidRPr="00226892" w:rsidRDefault="006B0FF0" w:rsidP="00BA675C">
            <w:pPr>
              <w:jc w:val="right"/>
              <w:rPr>
                <w:rFonts w:ascii="Arial" w:hAnsi="Arial" w:cs="Arial"/>
                <w:b/>
                <w:bCs/>
                <w:sz w:val="18"/>
                <w:szCs w:val="18"/>
              </w:rPr>
            </w:pPr>
            <w:r w:rsidRPr="00226892">
              <w:rPr>
                <w:rFonts w:ascii="Arial" w:hAnsi="Arial" w:cs="Arial"/>
                <w:b/>
                <w:bCs/>
                <w:sz w:val="18"/>
                <w:szCs w:val="18"/>
              </w:rPr>
              <w:t>20 448</w:t>
            </w:r>
          </w:p>
        </w:tc>
        <w:tc>
          <w:tcPr>
            <w:tcW w:w="764" w:type="pct"/>
            <w:tcBorders>
              <w:top w:val="single" w:sz="4" w:space="0" w:color="auto"/>
              <w:left w:val="nil"/>
              <w:bottom w:val="double" w:sz="6" w:space="0" w:color="auto"/>
              <w:right w:val="nil"/>
            </w:tcBorders>
            <w:shd w:val="clear" w:color="auto" w:fill="auto"/>
            <w:vAlign w:val="bottom"/>
            <w:hideMark/>
          </w:tcPr>
          <w:p w14:paraId="48D84333" w14:textId="77777777" w:rsidR="006B0FF0" w:rsidRPr="00226892" w:rsidRDefault="006B0FF0" w:rsidP="00BA675C">
            <w:pPr>
              <w:jc w:val="right"/>
              <w:rPr>
                <w:rFonts w:ascii="Arial" w:hAnsi="Arial" w:cs="Arial"/>
                <w:b/>
                <w:bCs/>
                <w:sz w:val="18"/>
                <w:szCs w:val="18"/>
              </w:rPr>
            </w:pPr>
            <w:r w:rsidRPr="00226892">
              <w:rPr>
                <w:rFonts w:ascii="Arial" w:hAnsi="Arial" w:cs="Arial"/>
                <w:b/>
                <w:bCs/>
                <w:sz w:val="18"/>
                <w:szCs w:val="18"/>
              </w:rPr>
              <w:t>100%</w:t>
            </w:r>
          </w:p>
        </w:tc>
        <w:tc>
          <w:tcPr>
            <w:tcW w:w="764" w:type="pct"/>
            <w:tcBorders>
              <w:top w:val="single" w:sz="4" w:space="0" w:color="auto"/>
              <w:left w:val="nil"/>
              <w:bottom w:val="double" w:sz="6" w:space="0" w:color="auto"/>
              <w:right w:val="nil"/>
            </w:tcBorders>
            <w:shd w:val="clear" w:color="auto" w:fill="auto"/>
            <w:vAlign w:val="bottom"/>
            <w:hideMark/>
          </w:tcPr>
          <w:p w14:paraId="2B96DF2F" w14:textId="77777777" w:rsidR="006B0FF0" w:rsidRPr="00226892" w:rsidRDefault="006B0FF0" w:rsidP="00BA675C">
            <w:pPr>
              <w:jc w:val="right"/>
              <w:rPr>
                <w:rFonts w:ascii="Arial" w:hAnsi="Arial" w:cs="Arial"/>
                <w:b/>
                <w:bCs/>
                <w:sz w:val="18"/>
                <w:szCs w:val="18"/>
              </w:rPr>
            </w:pPr>
            <w:r w:rsidRPr="00226892">
              <w:rPr>
                <w:rFonts w:ascii="Arial" w:hAnsi="Arial" w:cs="Arial"/>
                <w:b/>
                <w:bCs/>
                <w:sz w:val="18"/>
                <w:szCs w:val="18"/>
              </w:rPr>
              <w:t>100%</w:t>
            </w:r>
          </w:p>
        </w:tc>
        <w:tc>
          <w:tcPr>
            <w:tcW w:w="719" w:type="pct"/>
            <w:tcBorders>
              <w:top w:val="single" w:sz="4" w:space="0" w:color="auto"/>
              <w:left w:val="nil"/>
              <w:bottom w:val="double" w:sz="6" w:space="0" w:color="auto"/>
              <w:right w:val="nil"/>
            </w:tcBorders>
            <w:shd w:val="clear" w:color="auto" w:fill="auto"/>
            <w:vAlign w:val="bottom"/>
            <w:hideMark/>
          </w:tcPr>
          <w:p w14:paraId="55FCD7E1" w14:textId="77777777" w:rsidR="006B0FF0" w:rsidRPr="00226892" w:rsidRDefault="006B0FF0" w:rsidP="00BA675C">
            <w:pPr>
              <w:jc w:val="right"/>
              <w:rPr>
                <w:rFonts w:ascii="Arial" w:hAnsi="Arial" w:cs="Arial"/>
                <w:b/>
                <w:bCs/>
                <w:sz w:val="18"/>
                <w:szCs w:val="18"/>
              </w:rPr>
            </w:pPr>
            <w:r w:rsidRPr="00226892">
              <w:rPr>
                <w:rFonts w:ascii="Arial" w:hAnsi="Arial" w:cs="Arial"/>
                <w:b/>
                <w:bCs/>
                <w:sz w:val="18"/>
                <w:szCs w:val="18"/>
              </w:rPr>
              <w:t>100%</w:t>
            </w:r>
          </w:p>
        </w:tc>
      </w:tr>
    </w:tbl>
    <w:p w14:paraId="41A53FA4" w14:textId="77777777" w:rsidR="00541CE6" w:rsidRPr="00226892" w:rsidRDefault="00541CE6" w:rsidP="009B79FC">
      <w:pPr>
        <w:pStyle w:val="StyleABC-paragrahinNotesAfter10pt"/>
        <w:suppressAutoHyphens/>
        <w:rPr>
          <w:rFonts w:cs="Arial"/>
          <w:sz w:val="20"/>
        </w:rPr>
      </w:pPr>
    </w:p>
    <w:p w14:paraId="0A051991" w14:textId="4BDBAC87" w:rsidR="002A4AF0" w:rsidRPr="00226892" w:rsidRDefault="002A4AF0" w:rsidP="009B79FC">
      <w:pPr>
        <w:pStyle w:val="StyleABC-paragrahinNotesAfter10pt"/>
        <w:suppressAutoHyphens/>
        <w:rPr>
          <w:rFonts w:cs="Arial"/>
          <w:sz w:val="20"/>
        </w:rPr>
      </w:pPr>
      <w:proofErr w:type="spellStart"/>
      <w:r w:rsidRPr="00226892">
        <w:rPr>
          <w:rFonts w:cs="Arial"/>
          <w:sz w:val="20"/>
        </w:rPr>
        <w:t>Priamou</w:t>
      </w:r>
      <w:proofErr w:type="spellEnd"/>
      <w:r w:rsidR="00F37321" w:rsidRPr="00226892">
        <w:rPr>
          <w:rFonts w:cs="Arial"/>
          <w:sz w:val="20"/>
        </w:rPr>
        <w:t xml:space="preserve"> </w:t>
      </w:r>
      <w:proofErr w:type="spellStart"/>
      <w:r w:rsidR="00F37321" w:rsidRPr="00226892">
        <w:rPr>
          <w:rFonts w:cs="Arial"/>
          <w:sz w:val="20"/>
        </w:rPr>
        <w:t>materskou</w:t>
      </w:r>
      <w:proofErr w:type="spellEnd"/>
      <w:r w:rsidR="00F37321" w:rsidRPr="00226892">
        <w:rPr>
          <w:rFonts w:cs="Arial"/>
          <w:sz w:val="20"/>
        </w:rPr>
        <w:t xml:space="preserve"> </w:t>
      </w:r>
      <w:proofErr w:type="spellStart"/>
      <w:r w:rsidR="00F37321" w:rsidRPr="00226892">
        <w:rPr>
          <w:rFonts w:cs="Arial"/>
          <w:sz w:val="20"/>
        </w:rPr>
        <w:t>spoločnosťou</w:t>
      </w:r>
      <w:proofErr w:type="spellEnd"/>
      <w:r w:rsidR="00F37321" w:rsidRPr="00226892">
        <w:rPr>
          <w:rFonts w:cs="Arial"/>
          <w:sz w:val="20"/>
        </w:rPr>
        <w:t xml:space="preserve"> </w:t>
      </w:r>
      <w:proofErr w:type="spellStart"/>
      <w:r w:rsidR="00F37321" w:rsidRPr="00226892">
        <w:rPr>
          <w:rFonts w:cs="Arial"/>
          <w:sz w:val="20"/>
        </w:rPr>
        <w:t>Spoločnosti</w:t>
      </w:r>
      <w:proofErr w:type="spellEnd"/>
      <w:r w:rsidR="00F37321" w:rsidRPr="00226892">
        <w:rPr>
          <w:rFonts w:cs="Arial"/>
          <w:sz w:val="20"/>
        </w:rPr>
        <w:t xml:space="preserve"> je </w:t>
      </w:r>
      <w:r w:rsidR="006C5424" w:rsidRPr="00226892">
        <w:rPr>
          <w:rFonts w:cs="Arial"/>
          <w:sz w:val="20"/>
        </w:rPr>
        <w:t>SODECIA Automotive Europe GmbH</w:t>
      </w:r>
      <w:r w:rsidR="00F37321" w:rsidRPr="00226892">
        <w:rPr>
          <w:rFonts w:cs="Arial"/>
          <w:sz w:val="20"/>
        </w:rPr>
        <w:t xml:space="preserve">, </w:t>
      </w:r>
      <w:proofErr w:type="spellStart"/>
      <w:r w:rsidR="00F37321" w:rsidRPr="00226892">
        <w:rPr>
          <w:rFonts w:cs="Arial"/>
          <w:sz w:val="20"/>
        </w:rPr>
        <w:t>ktorá</w:t>
      </w:r>
      <w:proofErr w:type="spellEnd"/>
      <w:r w:rsidR="00F37321" w:rsidRPr="00226892">
        <w:rPr>
          <w:rFonts w:cs="Arial"/>
          <w:sz w:val="20"/>
        </w:rPr>
        <w:t xml:space="preserve"> </w:t>
      </w:r>
      <w:r w:rsidR="006C5424" w:rsidRPr="00226892">
        <w:rPr>
          <w:rFonts w:cs="Arial"/>
          <w:sz w:val="20"/>
        </w:rPr>
        <w:t xml:space="preserve">k 31. </w:t>
      </w:r>
      <w:proofErr w:type="spellStart"/>
      <w:r w:rsidR="006C5424" w:rsidRPr="00226892">
        <w:rPr>
          <w:rFonts w:cs="Arial"/>
          <w:sz w:val="20"/>
        </w:rPr>
        <w:t>decem</w:t>
      </w:r>
      <w:r w:rsidR="00B06181" w:rsidRPr="00226892">
        <w:rPr>
          <w:rFonts w:cs="Arial"/>
          <w:sz w:val="20"/>
        </w:rPr>
        <w:t>b</w:t>
      </w:r>
      <w:r w:rsidR="006C5424" w:rsidRPr="00226892">
        <w:rPr>
          <w:rFonts w:cs="Arial"/>
          <w:sz w:val="20"/>
        </w:rPr>
        <w:t>ru</w:t>
      </w:r>
      <w:proofErr w:type="spellEnd"/>
      <w:r w:rsidR="006C5424" w:rsidRPr="00226892">
        <w:rPr>
          <w:rFonts w:cs="Arial"/>
          <w:sz w:val="20"/>
        </w:rPr>
        <w:t xml:space="preserve"> 2018 </w:t>
      </w:r>
      <w:proofErr w:type="spellStart"/>
      <w:r w:rsidR="00F37321" w:rsidRPr="00226892">
        <w:rPr>
          <w:rFonts w:cs="Arial"/>
          <w:sz w:val="20"/>
        </w:rPr>
        <w:t>vlastní</w:t>
      </w:r>
      <w:proofErr w:type="spellEnd"/>
      <w:r w:rsidR="00F37321" w:rsidRPr="00226892">
        <w:rPr>
          <w:rFonts w:cs="Arial"/>
          <w:sz w:val="20"/>
        </w:rPr>
        <w:t xml:space="preserve"> </w:t>
      </w:r>
      <w:r w:rsidR="006C5424" w:rsidRPr="00226892">
        <w:rPr>
          <w:rFonts w:cs="Arial"/>
          <w:sz w:val="20"/>
        </w:rPr>
        <w:t>59,24</w:t>
      </w:r>
      <w:r w:rsidR="00F37321" w:rsidRPr="00226892">
        <w:rPr>
          <w:rFonts w:cs="Arial"/>
          <w:sz w:val="20"/>
        </w:rPr>
        <w:t xml:space="preserve">% v </w:t>
      </w:r>
      <w:proofErr w:type="spellStart"/>
      <w:r w:rsidR="00F37321" w:rsidRPr="00226892">
        <w:rPr>
          <w:rFonts w:cs="Arial"/>
          <w:sz w:val="20"/>
        </w:rPr>
        <w:t>spoločnosti</w:t>
      </w:r>
      <w:proofErr w:type="spellEnd"/>
      <w:r w:rsidR="00F37321" w:rsidRPr="00226892">
        <w:rPr>
          <w:rFonts w:cs="Arial"/>
          <w:sz w:val="20"/>
        </w:rPr>
        <w:t xml:space="preserve"> </w:t>
      </w:r>
      <w:r w:rsidR="006C5424" w:rsidRPr="00226892">
        <w:rPr>
          <w:rFonts w:cs="Arial"/>
          <w:sz w:val="20"/>
        </w:rPr>
        <w:t xml:space="preserve">MATADOR Automotive </w:t>
      </w:r>
      <w:proofErr w:type="spellStart"/>
      <w:r w:rsidR="006C5424" w:rsidRPr="00226892">
        <w:rPr>
          <w:rFonts w:cs="Arial"/>
          <w:sz w:val="20"/>
        </w:rPr>
        <w:t>Vráble</w:t>
      </w:r>
      <w:proofErr w:type="spellEnd"/>
      <w:r w:rsidR="006C5424" w:rsidRPr="00226892">
        <w:rPr>
          <w:rFonts w:cs="Arial"/>
          <w:sz w:val="20"/>
        </w:rPr>
        <w:t xml:space="preserve">, </w:t>
      </w:r>
      <w:proofErr w:type="spellStart"/>
      <w:r w:rsidR="006C5424" w:rsidRPr="00226892">
        <w:rPr>
          <w:rFonts w:cs="Arial"/>
          <w:sz w:val="20"/>
        </w:rPr>
        <w:t>a.s.</w:t>
      </w:r>
      <w:proofErr w:type="spellEnd"/>
      <w:r w:rsidR="00F37321" w:rsidRPr="00226892">
        <w:rPr>
          <w:rFonts w:cs="Arial"/>
          <w:sz w:val="20"/>
        </w:rPr>
        <w:t xml:space="preserve"> </w:t>
      </w:r>
      <w:proofErr w:type="spellStart"/>
      <w:r w:rsidRPr="00226892">
        <w:rPr>
          <w:rFonts w:cs="Arial"/>
          <w:sz w:val="20"/>
        </w:rPr>
        <w:t>Najvyššou</w:t>
      </w:r>
      <w:proofErr w:type="spellEnd"/>
      <w:r w:rsidRPr="00226892">
        <w:rPr>
          <w:rFonts w:cs="Arial"/>
          <w:sz w:val="20"/>
        </w:rPr>
        <w:t xml:space="preserve"> </w:t>
      </w:r>
      <w:proofErr w:type="spellStart"/>
      <w:r w:rsidRPr="00226892">
        <w:rPr>
          <w:rFonts w:cs="Arial"/>
          <w:sz w:val="20"/>
        </w:rPr>
        <w:t>materskou</w:t>
      </w:r>
      <w:proofErr w:type="spellEnd"/>
      <w:r w:rsidRPr="00226892">
        <w:rPr>
          <w:rFonts w:cs="Arial"/>
          <w:sz w:val="20"/>
        </w:rPr>
        <w:t xml:space="preserve"> </w:t>
      </w:r>
      <w:proofErr w:type="spellStart"/>
      <w:r w:rsidRPr="00226892">
        <w:rPr>
          <w:rFonts w:cs="Arial"/>
          <w:sz w:val="20"/>
        </w:rPr>
        <w:t>spoločnosťou</w:t>
      </w:r>
      <w:proofErr w:type="spellEnd"/>
      <w:r w:rsidRPr="00226892">
        <w:rPr>
          <w:rFonts w:cs="Arial"/>
          <w:sz w:val="20"/>
        </w:rPr>
        <w:t xml:space="preserve"> </w:t>
      </w:r>
      <w:proofErr w:type="spellStart"/>
      <w:r w:rsidRPr="00226892">
        <w:rPr>
          <w:rFonts w:cs="Arial"/>
          <w:sz w:val="20"/>
        </w:rPr>
        <w:t>Spoločnosti</w:t>
      </w:r>
      <w:proofErr w:type="spellEnd"/>
      <w:r w:rsidRPr="00226892">
        <w:rPr>
          <w:rFonts w:cs="Arial"/>
          <w:sz w:val="20"/>
        </w:rPr>
        <w:t xml:space="preserve"> je </w:t>
      </w:r>
      <w:proofErr w:type="spellStart"/>
      <w:r w:rsidRPr="00226892">
        <w:rPr>
          <w:rFonts w:cs="Arial"/>
          <w:sz w:val="20"/>
        </w:rPr>
        <w:t>Sodecia</w:t>
      </w:r>
      <w:proofErr w:type="spellEnd"/>
      <w:r w:rsidRPr="00226892">
        <w:rPr>
          <w:rFonts w:cs="Arial"/>
          <w:sz w:val="20"/>
        </w:rPr>
        <w:t xml:space="preserve"> - </w:t>
      </w:r>
      <w:proofErr w:type="spellStart"/>
      <w:r w:rsidRPr="00226892">
        <w:rPr>
          <w:rFonts w:cs="Arial"/>
          <w:sz w:val="20"/>
        </w:rPr>
        <w:t>Participações</w:t>
      </w:r>
      <w:proofErr w:type="spellEnd"/>
      <w:r w:rsidRPr="00226892">
        <w:rPr>
          <w:rFonts w:cs="Arial"/>
          <w:sz w:val="20"/>
        </w:rPr>
        <w:t xml:space="preserve"> </w:t>
      </w:r>
      <w:proofErr w:type="spellStart"/>
      <w:r w:rsidRPr="00226892">
        <w:rPr>
          <w:rFonts w:cs="Arial"/>
          <w:sz w:val="20"/>
        </w:rPr>
        <w:t>Sociais</w:t>
      </w:r>
      <w:proofErr w:type="spellEnd"/>
      <w:r w:rsidRPr="00226892">
        <w:rPr>
          <w:rFonts w:cs="Arial"/>
          <w:sz w:val="20"/>
        </w:rPr>
        <w:t xml:space="preserve">, SGPS, S.A. </w:t>
      </w:r>
      <w:proofErr w:type="spellStart"/>
      <w:r w:rsidR="00960327" w:rsidRPr="00226892">
        <w:rPr>
          <w:rFonts w:cs="Arial"/>
          <w:sz w:val="20"/>
        </w:rPr>
        <w:t>Konečným</w:t>
      </w:r>
      <w:proofErr w:type="spellEnd"/>
      <w:r w:rsidR="00960327" w:rsidRPr="00226892">
        <w:rPr>
          <w:rFonts w:cs="Arial"/>
          <w:sz w:val="20"/>
        </w:rPr>
        <w:t xml:space="preserve"> </w:t>
      </w:r>
      <w:proofErr w:type="spellStart"/>
      <w:r w:rsidR="00960327" w:rsidRPr="00226892">
        <w:rPr>
          <w:rFonts w:cs="Arial"/>
          <w:sz w:val="20"/>
        </w:rPr>
        <w:t>užívateľom</w:t>
      </w:r>
      <w:proofErr w:type="spellEnd"/>
      <w:r w:rsidR="00960327" w:rsidRPr="00226892">
        <w:rPr>
          <w:rFonts w:cs="Arial"/>
          <w:sz w:val="20"/>
        </w:rPr>
        <w:t xml:space="preserve"> </w:t>
      </w:r>
      <w:proofErr w:type="spellStart"/>
      <w:proofErr w:type="gramStart"/>
      <w:r w:rsidR="00960327" w:rsidRPr="00226892">
        <w:rPr>
          <w:rFonts w:cs="Arial"/>
          <w:sz w:val="20"/>
        </w:rPr>
        <w:t>výhod</w:t>
      </w:r>
      <w:proofErr w:type="spellEnd"/>
      <w:r w:rsidR="00960327" w:rsidRPr="00226892">
        <w:rPr>
          <w:rFonts w:cs="Arial"/>
          <w:sz w:val="20"/>
        </w:rPr>
        <w:t xml:space="preserve"> </w:t>
      </w:r>
      <w:r w:rsidRPr="00226892">
        <w:rPr>
          <w:rFonts w:cs="Arial"/>
          <w:sz w:val="20"/>
        </w:rPr>
        <w:t xml:space="preserve"> k</w:t>
      </w:r>
      <w:proofErr w:type="gramEnd"/>
      <w:r w:rsidRPr="00226892">
        <w:rPr>
          <w:rFonts w:cs="Arial"/>
          <w:sz w:val="20"/>
        </w:rPr>
        <w:t xml:space="preserve"> 31. </w:t>
      </w:r>
      <w:proofErr w:type="spellStart"/>
      <w:r w:rsidRPr="00226892">
        <w:rPr>
          <w:rFonts w:cs="Arial"/>
          <w:sz w:val="20"/>
        </w:rPr>
        <w:t>decembru</w:t>
      </w:r>
      <w:proofErr w:type="spellEnd"/>
      <w:r w:rsidRPr="00226892">
        <w:rPr>
          <w:rFonts w:cs="Arial"/>
          <w:sz w:val="20"/>
        </w:rPr>
        <w:t xml:space="preserve"> 2018</w:t>
      </w:r>
      <w:r w:rsidR="00960327" w:rsidRPr="00226892">
        <w:rPr>
          <w:rFonts w:cs="Arial"/>
          <w:sz w:val="20"/>
        </w:rPr>
        <w:t xml:space="preserve"> je Rui de </w:t>
      </w:r>
      <w:proofErr w:type="spellStart"/>
      <w:r w:rsidR="00960327" w:rsidRPr="00226892">
        <w:rPr>
          <w:rFonts w:cs="Arial"/>
          <w:sz w:val="20"/>
        </w:rPr>
        <w:t>Lemos</w:t>
      </w:r>
      <w:proofErr w:type="spellEnd"/>
      <w:r w:rsidR="00960327" w:rsidRPr="00226892">
        <w:rPr>
          <w:rFonts w:cs="Arial"/>
          <w:sz w:val="20"/>
        </w:rPr>
        <w:t xml:space="preserve"> </w:t>
      </w:r>
      <w:proofErr w:type="spellStart"/>
      <w:r w:rsidR="00960327" w:rsidRPr="00226892">
        <w:rPr>
          <w:rFonts w:cs="Arial"/>
          <w:sz w:val="20"/>
        </w:rPr>
        <w:t>Menteiro</w:t>
      </w:r>
      <w:proofErr w:type="spellEnd"/>
      <w:r w:rsidR="00960327" w:rsidRPr="00226892">
        <w:rPr>
          <w:rFonts w:cs="Arial"/>
          <w:sz w:val="20"/>
        </w:rPr>
        <w:t>.</w:t>
      </w:r>
    </w:p>
    <w:p w14:paraId="3187975F" w14:textId="38BF223F" w:rsidR="00931B35" w:rsidRPr="00226892" w:rsidRDefault="00931B35" w:rsidP="009B79FC">
      <w:pPr>
        <w:pStyle w:val="StyleABC-paragrahinNotesAfter10pt"/>
        <w:suppressAutoHyphens/>
        <w:rPr>
          <w:rFonts w:cs="Arial"/>
          <w:sz w:val="20"/>
        </w:rPr>
      </w:pPr>
      <w:proofErr w:type="spellStart"/>
      <w:r w:rsidRPr="00226892">
        <w:rPr>
          <w:rFonts w:cs="Arial"/>
          <w:sz w:val="20"/>
        </w:rPr>
        <w:t>Najvyššou</w:t>
      </w:r>
      <w:proofErr w:type="spellEnd"/>
      <w:r w:rsidRPr="00226892">
        <w:rPr>
          <w:rFonts w:cs="Arial"/>
          <w:sz w:val="20"/>
        </w:rPr>
        <w:t xml:space="preserve"> </w:t>
      </w:r>
      <w:proofErr w:type="spellStart"/>
      <w:r w:rsidRPr="00226892">
        <w:rPr>
          <w:rFonts w:cs="Arial"/>
          <w:sz w:val="20"/>
        </w:rPr>
        <w:t>materskou</w:t>
      </w:r>
      <w:proofErr w:type="spellEnd"/>
      <w:r w:rsidRPr="00226892">
        <w:rPr>
          <w:rFonts w:cs="Arial"/>
          <w:sz w:val="20"/>
        </w:rPr>
        <w:t xml:space="preserve"> </w:t>
      </w:r>
      <w:proofErr w:type="spellStart"/>
      <w:r w:rsidRPr="00226892">
        <w:rPr>
          <w:rFonts w:cs="Arial"/>
          <w:sz w:val="20"/>
        </w:rPr>
        <w:t>spoločnosťou</w:t>
      </w:r>
      <w:proofErr w:type="spellEnd"/>
      <w:r w:rsidRPr="00226892">
        <w:rPr>
          <w:rFonts w:cs="Arial"/>
          <w:sz w:val="20"/>
        </w:rPr>
        <w:t xml:space="preserve"> </w:t>
      </w:r>
      <w:proofErr w:type="spellStart"/>
      <w:r w:rsidRPr="00226892">
        <w:rPr>
          <w:rFonts w:cs="Arial"/>
          <w:sz w:val="20"/>
        </w:rPr>
        <w:t>Spoločnosti</w:t>
      </w:r>
      <w:proofErr w:type="spellEnd"/>
      <w:r w:rsidRPr="00226892">
        <w:rPr>
          <w:rFonts w:cs="Arial"/>
          <w:sz w:val="20"/>
        </w:rPr>
        <w:t xml:space="preserve"> za </w:t>
      </w:r>
      <w:proofErr w:type="spellStart"/>
      <w:r w:rsidRPr="00226892">
        <w:rPr>
          <w:rFonts w:cs="Arial"/>
          <w:sz w:val="20"/>
        </w:rPr>
        <w:t>predch</w:t>
      </w:r>
      <w:r w:rsidRPr="00226892">
        <w:rPr>
          <w:rFonts w:cs="Arial"/>
          <w:sz w:val="20"/>
          <w:lang w:val="sk-SK"/>
        </w:rPr>
        <w:t>ádzajúce</w:t>
      </w:r>
      <w:proofErr w:type="spellEnd"/>
      <w:r w:rsidRPr="00226892">
        <w:rPr>
          <w:rFonts w:cs="Arial"/>
          <w:sz w:val="20"/>
          <w:lang w:val="sk-SK"/>
        </w:rPr>
        <w:t xml:space="preserve"> účtovné obdobie </w:t>
      </w:r>
      <w:proofErr w:type="spellStart"/>
      <w:r w:rsidRPr="00226892">
        <w:rPr>
          <w:rFonts w:cs="Arial"/>
          <w:sz w:val="20"/>
        </w:rPr>
        <w:t>bol</w:t>
      </w:r>
      <w:proofErr w:type="spellEnd"/>
      <w:r w:rsidRPr="00226892">
        <w:rPr>
          <w:rFonts w:cs="Arial"/>
          <w:sz w:val="20"/>
        </w:rPr>
        <w:t xml:space="preserve"> MATADOR HOLDING, </w:t>
      </w:r>
      <w:proofErr w:type="spellStart"/>
      <w:r w:rsidRPr="00226892">
        <w:rPr>
          <w:rFonts w:cs="Arial"/>
          <w:sz w:val="20"/>
        </w:rPr>
        <w:t>a.s.</w:t>
      </w:r>
      <w:proofErr w:type="spellEnd"/>
      <w:r w:rsidRPr="00226892">
        <w:rPr>
          <w:rFonts w:cs="Arial"/>
          <w:sz w:val="20"/>
        </w:rPr>
        <w:t xml:space="preserve">, </w:t>
      </w:r>
      <w:proofErr w:type="spellStart"/>
      <w:r w:rsidRPr="00226892">
        <w:rPr>
          <w:rFonts w:cs="Arial"/>
          <w:sz w:val="20"/>
        </w:rPr>
        <w:t>ktorá</w:t>
      </w:r>
      <w:proofErr w:type="spellEnd"/>
      <w:r w:rsidRPr="00226892">
        <w:rPr>
          <w:rFonts w:cs="Arial"/>
          <w:sz w:val="20"/>
        </w:rPr>
        <w:t xml:space="preserve"> </w:t>
      </w:r>
      <w:proofErr w:type="spellStart"/>
      <w:r w:rsidRPr="00226892">
        <w:rPr>
          <w:rFonts w:cs="Arial"/>
          <w:sz w:val="20"/>
        </w:rPr>
        <w:t>vlastnila</w:t>
      </w:r>
      <w:proofErr w:type="spellEnd"/>
      <w:r w:rsidRPr="00226892">
        <w:rPr>
          <w:rFonts w:cs="Arial"/>
          <w:sz w:val="20"/>
        </w:rPr>
        <w:t xml:space="preserve"> 100% v </w:t>
      </w:r>
      <w:proofErr w:type="spellStart"/>
      <w:r w:rsidRPr="00226892">
        <w:rPr>
          <w:rFonts w:cs="Arial"/>
          <w:sz w:val="20"/>
        </w:rPr>
        <w:t>spoločnosti</w:t>
      </w:r>
      <w:proofErr w:type="spellEnd"/>
      <w:r w:rsidRPr="00226892">
        <w:rPr>
          <w:rFonts w:cs="Arial"/>
          <w:sz w:val="20"/>
        </w:rPr>
        <w:t xml:space="preserve"> M.I.L. MATINVESTMENTS LIMITED. </w:t>
      </w:r>
      <w:proofErr w:type="spellStart"/>
      <w:r w:rsidRPr="00226892">
        <w:rPr>
          <w:rFonts w:cs="Arial"/>
          <w:sz w:val="20"/>
        </w:rPr>
        <w:t>Najvyššími</w:t>
      </w:r>
      <w:proofErr w:type="spellEnd"/>
      <w:r w:rsidRPr="00226892">
        <w:rPr>
          <w:rFonts w:cs="Arial"/>
          <w:sz w:val="20"/>
        </w:rPr>
        <w:t xml:space="preserve"> </w:t>
      </w:r>
      <w:proofErr w:type="spellStart"/>
      <w:r w:rsidRPr="00226892">
        <w:rPr>
          <w:rFonts w:cs="Arial"/>
          <w:sz w:val="20"/>
        </w:rPr>
        <w:t>akcionármi</w:t>
      </w:r>
      <w:proofErr w:type="spellEnd"/>
      <w:r w:rsidRPr="00226892">
        <w:rPr>
          <w:rFonts w:cs="Arial"/>
          <w:sz w:val="20"/>
        </w:rPr>
        <w:t xml:space="preserve"> a </w:t>
      </w:r>
      <w:proofErr w:type="spellStart"/>
      <w:r w:rsidRPr="00226892">
        <w:rPr>
          <w:rFonts w:cs="Arial"/>
          <w:sz w:val="20"/>
        </w:rPr>
        <w:t>konečnými</w:t>
      </w:r>
      <w:proofErr w:type="spellEnd"/>
      <w:r w:rsidRPr="00226892">
        <w:rPr>
          <w:rFonts w:cs="Arial"/>
          <w:sz w:val="20"/>
        </w:rPr>
        <w:t xml:space="preserve"> </w:t>
      </w:r>
      <w:proofErr w:type="spellStart"/>
      <w:r w:rsidRPr="00226892">
        <w:rPr>
          <w:rFonts w:cs="Arial"/>
          <w:sz w:val="20"/>
        </w:rPr>
        <w:t>vlastníkmi</w:t>
      </w:r>
      <w:proofErr w:type="spellEnd"/>
      <w:r w:rsidRPr="00226892">
        <w:rPr>
          <w:rFonts w:cs="Arial"/>
          <w:sz w:val="20"/>
        </w:rPr>
        <w:t xml:space="preserve"> </w:t>
      </w:r>
      <w:proofErr w:type="spellStart"/>
      <w:r w:rsidRPr="00226892">
        <w:rPr>
          <w:rFonts w:cs="Arial"/>
          <w:sz w:val="20"/>
        </w:rPr>
        <w:t>Spoločnosti</w:t>
      </w:r>
      <w:proofErr w:type="spellEnd"/>
      <w:r w:rsidRPr="00226892">
        <w:rPr>
          <w:rFonts w:cs="Arial"/>
          <w:sz w:val="20"/>
        </w:rPr>
        <w:t xml:space="preserve"> </w:t>
      </w:r>
      <w:proofErr w:type="spellStart"/>
      <w:r w:rsidRPr="00226892">
        <w:rPr>
          <w:rFonts w:cs="Arial"/>
          <w:sz w:val="20"/>
        </w:rPr>
        <w:t>boli</w:t>
      </w:r>
      <w:proofErr w:type="spellEnd"/>
      <w:r w:rsidRPr="00226892">
        <w:rPr>
          <w:rFonts w:cs="Arial"/>
          <w:sz w:val="20"/>
        </w:rPr>
        <w:t xml:space="preserve"> k 31. </w:t>
      </w:r>
      <w:proofErr w:type="spellStart"/>
      <w:r w:rsidRPr="00226892">
        <w:rPr>
          <w:rFonts w:cs="Arial"/>
          <w:sz w:val="20"/>
        </w:rPr>
        <w:t>decembru</w:t>
      </w:r>
      <w:proofErr w:type="spellEnd"/>
      <w:r w:rsidRPr="00226892">
        <w:rPr>
          <w:rFonts w:cs="Arial"/>
          <w:sz w:val="20"/>
        </w:rPr>
        <w:t xml:space="preserve"> 2017 Ing. Miroslav Rosina, Doc. Ing. </w:t>
      </w:r>
      <w:proofErr w:type="spellStart"/>
      <w:r w:rsidRPr="00226892">
        <w:rPr>
          <w:rFonts w:cs="Arial"/>
          <w:sz w:val="20"/>
        </w:rPr>
        <w:t>Štefan</w:t>
      </w:r>
      <w:proofErr w:type="spellEnd"/>
      <w:r w:rsidRPr="00226892">
        <w:rPr>
          <w:rFonts w:cs="Arial"/>
          <w:sz w:val="20"/>
        </w:rPr>
        <w:t xml:space="preserve"> Rosina, PhD. a PhD. Ing. </w:t>
      </w:r>
      <w:proofErr w:type="spellStart"/>
      <w:r w:rsidRPr="00226892">
        <w:rPr>
          <w:rFonts w:cs="Arial"/>
          <w:sz w:val="20"/>
        </w:rPr>
        <w:t>Jozef</w:t>
      </w:r>
      <w:proofErr w:type="spellEnd"/>
      <w:r w:rsidRPr="00226892">
        <w:rPr>
          <w:rFonts w:cs="Arial"/>
          <w:sz w:val="20"/>
        </w:rPr>
        <w:t xml:space="preserve"> </w:t>
      </w:r>
      <w:proofErr w:type="spellStart"/>
      <w:r w:rsidRPr="00226892">
        <w:rPr>
          <w:rFonts w:cs="Arial"/>
          <w:sz w:val="20"/>
        </w:rPr>
        <w:t>Vozár</w:t>
      </w:r>
      <w:proofErr w:type="spellEnd"/>
      <w:r w:rsidRPr="00226892">
        <w:rPr>
          <w:rFonts w:cs="Arial"/>
          <w:sz w:val="20"/>
        </w:rPr>
        <w:t xml:space="preserve">, </w:t>
      </w:r>
      <w:proofErr w:type="spellStart"/>
      <w:r w:rsidRPr="00226892">
        <w:rPr>
          <w:rFonts w:cs="Arial"/>
          <w:sz w:val="20"/>
        </w:rPr>
        <w:t>pričom</w:t>
      </w:r>
      <w:proofErr w:type="spellEnd"/>
      <w:r w:rsidRPr="00226892">
        <w:rPr>
          <w:rFonts w:cs="Arial"/>
          <w:sz w:val="20"/>
        </w:rPr>
        <w:t xml:space="preserve"> </w:t>
      </w:r>
      <w:proofErr w:type="spellStart"/>
      <w:r w:rsidRPr="00226892">
        <w:rPr>
          <w:rFonts w:cs="Arial"/>
          <w:sz w:val="20"/>
        </w:rPr>
        <w:t>žiadny</w:t>
      </w:r>
      <w:proofErr w:type="spellEnd"/>
      <w:r w:rsidRPr="00226892">
        <w:rPr>
          <w:rFonts w:cs="Arial"/>
          <w:sz w:val="20"/>
        </w:rPr>
        <w:t xml:space="preserve"> z </w:t>
      </w:r>
      <w:proofErr w:type="spellStart"/>
      <w:r w:rsidRPr="00226892">
        <w:rPr>
          <w:rFonts w:cs="Arial"/>
          <w:sz w:val="20"/>
        </w:rPr>
        <w:t>akcionárov</w:t>
      </w:r>
      <w:proofErr w:type="spellEnd"/>
      <w:r w:rsidRPr="00226892">
        <w:rPr>
          <w:rFonts w:cs="Arial"/>
          <w:sz w:val="20"/>
        </w:rPr>
        <w:t xml:space="preserve"> </w:t>
      </w:r>
      <w:proofErr w:type="spellStart"/>
      <w:r w:rsidRPr="00226892">
        <w:rPr>
          <w:rFonts w:cs="Arial"/>
          <w:sz w:val="20"/>
        </w:rPr>
        <w:t>nemal</w:t>
      </w:r>
      <w:proofErr w:type="spellEnd"/>
      <w:r w:rsidRPr="00226892">
        <w:rPr>
          <w:rFonts w:cs="Arial"/>
          <w:sz w:val="20"/>
        </w:rPr>
        <w:t xml:space="preserve"> </w:t>
      </w:r>
      <w:proofErr w:type="spellStart"/>
      <w:r w:rsidRPr="00226892">
        <w:rPr>
          <w:rFonts w:cs="Arial"/>
          <w:sz w:val="20"/>
        </w:rPr>
        <w:t>kontrolu</w:t>
      </w:r>
      <w:proofErr w:type="spellEnd"/>
      <w:r w:rsidRPr="00226892">
        <w:rPr>
          <w:rFonts w:cs="Arial"/>
          <w:sz w:val="20"/>
        </w:rPr>
        <w:t xml:space="preserve"> </w:t>
      </w:r>
      <w:proofErr w:type="spellStart"/>
      <w:r w:rsidRPr="00226892">
        <w:rPr>
          <w:rFonts w:cs="Arial"/>
          <w:sz w:val="20"/>
        </w:rPr>
        <w:t>nad</w:t>
      </w:r>
      <w:proofErr w:type="spellEnd"/>
      <w:r w:rsidRPr="00226892">
        <w:rPr>
          <w:rFonts w:cs="Arial"/>
          <w:sz w:val="20"/>
        </w:rPr>
        <w:t xml:space="preserve"> </w:t>
      </w:r>
      <w:proofErr w:type="spellStart"/>
      <w:r w:rsidRPr="00226892">
        <w:rPr>
          <w:rFonts w:cs="Arial"/>
          <w:sz w:val="20"/>
        </w:rPr>
        <w:t>Spoločnosťou</w:t>
      </w:r>
      <w:proofErr w:type="spellEnd"/>
      <w:r w:rsidRPr="00226892">
        <w:rPr>
          <w:rFonts w:cs="Arial"/>
          <w:sz w:val="20"/>
        </w:rPr>
        <w:t>.</w:t>
      </w:r>
    </w:p>
    <w:p w14:paraId="55E1B57D" w14:textId="3A265FCE" w:rsidR="00302C89" w:rsidRPr="00226892" w:rsidRDefault="006B0FF0" w:rsidP="009B79FC">
      <w:pPr>
        <w:pStyle w:val="StyleABC-paragrahinNotesAfter10pt"/>
        <w:suppressAutoHyphens/>
        <w:rPr>
          <w:rFonts w:cs="Arial"/>
          <w:sz w:val="20"/>
        </w:rPr>
      </w:pPr>
      <w:proofErr w:type="spellStart"/>
      <w:r w:rsidRPr="00226892">
        <w:rPr>
          <w:rFonts w:cs="Arial"/>
          <w:sz w:val="20"/>
        </w:rPr>
        <w:t>Dňa</w:t>
      </w:r>
      <w:proofErr w:type="spellEnd"/>
      <w:r w:rsidRPr="00226892">
        <w:rPr>
          <w:rFonts w:cs="Arial"/>
          <w:sz w:val="20"/>
        </w:rPr>
        <w:t xml:space="preserve"> 01. </w:t>
      </w:r>
      <w:proofErr w:type="spellStart"/>
      <w:r w:rsidRPr="00226892">
        <w:rPr>
          <w:rFonts w:cs="Arial"/>
          <w:sz w:val="20"/>
        </w:rPr>
        <w:t>decembra</w:t>
      </w:r>
      <w:proofErr w:type="spellEnd"/>
      <w:r w:rsidRPr="00226892">
        <w:rPr>
          <w:rFonts w:cs="Arial"/>
          <w:sz w:val="20"/>
        </w:rPr>
        <w:t xml:space="preserve"> 2017 </w:t>
      </w:r>
      <w:proofErr w:type="spellStart"/>
      <w:r w:rsidRPr="00226892">
        <w:rPr>
          <w:rFonts w:cs="Arial"/>
          <w:sz w:val="20"/>
        </w:rPr>
        <w:t>spoločnosť</w:t>
      </w:r>
      <w:proofErr w:type="spellEnd"/>
      <w:r w:rsidRPr="00226892">
        <w:rPr>
          <w:rFonts w:cs="Arial"/>
          <w:sz w:val="20"/>
        </w:rPr>
        <w:t xml:space="preserve"> M.I.L. MATINVESTMENTS LIMITED </w:t>
      </w:r>
      <w:proofErr w:type="spellStart"/>
      <w:r w:rsidRPr="00226892">
        <w:rPr>
          <w:rFonts w:cs="Arial"/>
          <w:sz w:val="20"/>
        </w:rPr>
        <w:t>predala</w:t>
      </w:r>
      <w:proofErr w:type="spellEnd"/>
      <w:r w:rsidRPr="00226892">
        <w:rPr>
          <w:rFonts w:cs="Arial"/>
          <w:sz w:val="20"/>
        </w:rPr>
        <w:t xml:space="preserve"> </w:t>
      </w:r>
      <w:proofErr w:type="spellStart"/>
      <w:r w:rsidRPr="00226892">
        <w:rPr>
          <w:rFonts w:cs="Arial"/>
          <w:sz w:val="20"/>
        </w:rPr>
        <w:t>menšinový</w:t>
      </w:r>
      <w:proofErr w:type="spellEnd"/>
      <w:r w:rsidRPr="00226892">
        <w:rPr>
          <w:rFonts w:cs="Arial"/>
          <w:sz w:val="20"/>
        </w:rPr>
        <w:t xml:space="preserve"> </w:t>
      </w:r>
      <w:proofErr w:type="spellStart"/>
      <w:r w:rsidRPr="00226892">
        <w:rPr>
          <w:rFonts w:cs="Arial"/>
          <w:sz w:val="20"/>
        </w:rPr>
        <w:t>podiel</w:t>
      </w:r>
      <w:proofErr w:type="spellEnd"/>
      <w:r w:rsidRPr="00226892">
        <w:rPr>
          <w:rFonts w:cs="Arial"/>
          <w:sz w:val="20"/>
        </w:rPr>
        <w:t xml:space="preserve"> v </w:t>
      </w:r>
      <w:proofErr w:type="spellStart"/>
      <w:proofErr w:type="gramStart"/>
      <w:r w:rsidRPr="00226892">
        <w:rPr>
          <w:rFonts w:cs="Arial"/>
          <w:sz w:val="20"/>
        </w:rPr>
        <w:t>Spoločnosti</w:t>
      </w:r>
      <w:proofErr w:type="spellEnd"/>
      <w:r w:rsidRPr="00226892">
        <w:rPr>
          <w:rFonts w:cs="Arial"/>
          <w:sz w:val="20"/>
        </w:rPr>
        <w:t xml:space="preserve">  </w:t>
      </w:r>
      <w:proofErr w:type="spellStart"/>
      <w:r w:rsidRPr="00226892">
        <w:rPr>
          <w:rFonts w:cs="Arial"/>
          <w:sz w:val="20"/>
        </w:rPr>
        <w:t>vo</w:t>
      </w:r>
      <w:proofErr w:type="spellEnd"/>
      <w:proofErr w:type="gramEnd"/>
      <w:r w:rsidRPr="00226892">
        <w:rPr>
          <w:rFonts w:cs="Arial"/>
          <w:sz w:val="20"/>
        </w:rPr>
        <w:t xml:space="preserve"> </w:t>
      </w:r>
      <w:proofErr w:type="spellStart"/>
      <w:r w:rsidRPr="00226892">
        <w:rPr>
          <w:rFonts w:cs="Arial"/>
          <w:sz w:val="20"/>
        </w:rPr>
        <w:t>výške</w:t>
      </w:r>
      <w:proofErr w:type="spellEnd"/>
      <w:r w:rsidRPr="00226892">
        <w:rPr>
          <w:rFonts w:cs="Arial"/>
          <w:sz w:val="20"/>
        </w:rPr>
        <w:t xml:space="preserve"> 29,24% </w:t>
      </w:r>
      <w:proofErr w:type="spellStart"/>
      <w:r w:rsidRPr="00226892">
        <w:rPr>
          <w:rFonts w:cs="Arial"/>
          <w:sz w:val="20"/>
        </w:rPr>
        <w:t>strategickému</w:t>
      </w:r>
      <w:proofErr w:type="spellEnd"/>
      <w:r w:rsidRPr="00226892">
        <w:rPr>
          <w:rFonts w:cs="Arial"/>
          <w:sz w:val="20"/>
        </w:rPr>
        <w:t xml:space="preserve"> </w:t>
      </w:r>
      <w:proofErr w:type="spellStart"/>
      <w:r w:rsidRPr="00226892">
        <w:rPr>
          <w:rFonts w:cs="Arial"/>
          <w:sz w:val="20"/>
        </w:rPr>
        <w:t>partnerovi</w:t>
      </w:r>
      <w:proofErr w:type="spellEnd"/>
      <w:r w:rsidRPr="00226892">
        <w:rPr>
          <w:rFonts w:cs="Arial"/>
          <w:sz w:val="20"/>
        </w:rPr>
        <w:t xml:space="preserve"> </w:t>
      </w:r>
      <w:proofErr w:type="spellStart"/>
      <w:r w:rsidRPr="00226892">
        <w:rPr>
          <w:rFonts w:cs="Arial"/>
          <w:sz w:val="20"/>
        </w:rPr>
        <w:t>spoločnosti</w:t>
      </w:r>
      <w:proofErr w:type="spellEnd"/>
      <w:r w:rsidRPr="00226892">
        <w:rPr>
          <w:rFonts w:cs="Arial"/>
          <w:sz w:val="20"/>
        </w:rPr>
        <w:t xml:space="preserve"> SODECIA Automotive Europe GmbH (</w:t>
      </w:r>
      <w:proofErr w:type="spellStart"/>
      <w:r w:rsidRPr="00226892">
        <w:rPr>
          <w:rFonts w:cs="Arial"/>
          <w:sz w:val="20"/>
        </w:rPr>
        <w:t>ďalej</w:t>
      </w:r>
      <w:proofErr w:type="spellEnd"/>
      <w:r w:rsidRPr="00226892">
        <w:rPr>
          <w:rFonts w:cs="Arial"/>
          <w:sz w:val="20"/>
        </w:rPr>
        <w:t xml:space="preserve"> </w:t>
      </w:r>
      <w:proofErr w:type="spellStart"/>
      <w:r w:rsidRPr="00226892">
        <w:rPr>
          <w:rFonts w:cs="Arial"/>
          <w:sz w:val="20"/>
        </w:rPr>
        <w:t>len</w:t>
      </w:r>
      <w:proofErr w:type="spellEnd"/>
      <w:r w:rsidRPr="00226892">
        <w:rPr>
          <w:rFonts w:cs="Arial"/>
          <w:sz w:val="20"/>
        </w:rPr>
        <w:t xml:space="preserve"> SODECIA) . </w:t>
      </w:r>
      <w:proofErr w:type="spellStart"/>
      <w:r w:rsidRPr="00226892">
        <w:rPr>
          <w:rFonts w:cs="Arial"/>
          <w:sz w:val="20"/>
        </w:rPr>
        <w:t>Spoločnosť</w:t>
      </w:r>
      <w:proofErr w:type="spellEnd"/>
      <w:r w:rsidRPr="00226892">
        <w:rPr>
          <w:rFonts w:cs="Arial"/>
          <w:sz w:val="20"/>
        </w:rPr>
        <w:t xml:space="preserve"> SODECIA </w:t>
      </w:r>
      <w:proofErr w:type="gramStart"/>
      <w:r w:rsidRPr="00226892">
        <w:rPr>
          <w:rFonts w:cs="Arial"/>
          <w:sz w:val="20"/>
        </w:rPr>
        <w:t xml:space="preserve">je  </w:t>
      </w:r>
      <w:proofErr w:type="spellStart"/>
      <w:r w:rsidRPr="00226892">
        <w:rPr>
          <w:rFonts w:cs="Arial"/>
          <w:sz w:val="20"/>
        </w:rPr>
        <w:t>globálny</w:t>
      </w:r>
      <w:proofErr w:type="spellEnd"/>
      <w:proofErr w:type="gramEnd"/>
      <w:r w:rsidRPr="00226892">
        <w:rPr>
          <w:rFonts w:cs="Arial"/>
          <w:sz w:val="20"/>
        </w:rPr>
        <w:t xml:space="preserve"> </w:t>
      </w:r>
      <w:proofErr w:type="spellStart"/>
      <w:r w:rsidRPr="00226892">
        <w:rPr>
          <w:rFonts w:cs="Arial"/>
          <w:sz w:val="20"/>
        </w:rPr>
        <w:t>dodávateľ</w:t>
      </w:r>
      <w:proofErr w:type="spellEnd"/>
      <w:r w:rsidRPr="00226892">
        <w:rPr>
          <w:rFonts w:cs="Arial"/>
          <w:sz w:val="20"/>
        </w:rPr>
        <w:t xml:space="preserve"> pre </w:t>
      </w:r>
      <w:proofErr w:type="spellStart"/>
      <w:r w:rsidRPr="00226892">
        <w:rPr>
          <w:rFonts w:cs="Arial"/>
          <w:sz w:val="20"/>
        </w:rPr>
        <w:t>automobilový</w:t>
      </w:r>
      <w:proofErr w:type="spellEnd"/>
      <w:r w:rsidRPr="00226892">
        <w:rPr>
          <w:rFonts w:cs="Arial"/>
          <w:sz w:val="20"/>
        </w:rPr>
        <w:t xml:space="preserve"> </w:t>
      </w:r>
      <w:proofErr w:type="spellStart"/>
      <w:r w:rsidRPr="00226892">
        <w:rPr>
          <w:rFonts w:cs="Arial"/>
          <w:sz w:val="20"/>
        </w:rPr>
        <w:t>priemysel</w:t>
      </w:r>
      <w:proofErr w:type="spellEnd"/>
      <w:r w:rsidRPr="00226892">
        <w:rPr>
          <w:rFonts w:cs="Arial"/>
          <w:sz w:val="20"/>
        </w:rPr>
        <w:t xml:space="preserve"> s </w:t>
      </w:r>
      <w:proofErr w:type="spellStart"/>
      <w:r w:rsidRPr="00226892">
        <w:rPr>
          <w:rFonts w:cs="Arial"/>
          <w:sz w:val="20"/>
        </w:rPr>
        <w:t>pobočkami</w:t>
      </w:r>
      <w:proofErr w:type="spellEnd"/>
      <w:r w:rsidRPr="00226892">
        <w:rPr>
          <w:rFonts w:cs="Arial"/>
          <w:sz w:val="20"/>
        </w:rPr>
        <w:t xml:space="preserve"> v 42 </w:t>
      </w:r>
      <w:proofErr w:type="spellStart"/>
      <w:r w:rsidRPr="00226892">
        <w:rPr>
          <w:rFonts w:cs="Arial"/>
          <w:sz w:val="20"/>
        </w:rPr>
        <w:t>lokalitách</w:t>
      </w:r>
      <w:proofErr w:type="spellEnd"/>
      <w:r w:rsidRPr="00226892">
        <w:rPr>
          <w:rFonts w:cs="Arial"/>
          <w:sz w:val="20"/>
        </w:rPr>
        <w:t xml:space="preserve"> v </w:t>
      </w:r>
      <w:proofErr w:type="spellStart"/>
      <w:r w:rsidRPr="00226892">
        <w:rPr>
          <w:rFonts w:cs="Arial"/>
          <w:sz w:val="20"/>
        </w:rPr>
        <w:t>Európe</w:t>
      </w:r>
      <w:proofErr w:type="spellEnd"/>
      <w:r w:rsidRPr="00226892">
        <w:rPr>
          <w:rFonts w:cs="Arial"/>
          <w:sz w:val="20"/>
        </w:rPr>
        <w:t>, v </w:t>
      </w:r>
      <w:proofErr w:type="spellStart"/>
      <w:r w:rsidRPr="00226892">
        <w:rPr>
          <w:rFonts w:cs="Arial"/>
          <w:sz w:val="20"/>
        </w:rPr>
        <w:t>Ázii</w:t>
      </w:r>
      <w:proofErr w:type="spellEnd"/>
      <w:r w:rsidRPr="00226892">
        <w:rPr>
          <w:rFonts w:cs="Arial"/>
          <w:sz w:val="20"/>
        </w:rPr>
        <w:t>, v </w:t>
      </w:r>
      <w:proofErr w:type="spellStart"/>
      <w:r w:rsidRPr="00226892">
        <w:rPr>
          <w:rFonts w:cs="Arial"/>
          <w:sz w:val="20"/>
        </w:rPr>
        <w:t>Afrike</w:t>
      </w:r>
      <w:proofErr w:type="spellEnd"/>
      <w:r w:rsidRPr="00226892">
        <w:rPr>
          <w:rFonts w:cs="Arial"/>
          <w:sz w:val="20"/>
        </w:rPr>
        <w:t xml:space="preserve"> a v </w:t>
      </w:r>
      <w:proofErr w:type="spellStart"/>
      <w:r w:rsidRPr="00226892">
        <w:rPr>
          <w:rFonts w:cs="Arial"/>
          <w:sz w:val="20"/>
        </w:rPr>
        <w:t>Severnej</w:t>
      </w:r>
      <w:proofErr w:type="spellEnd"/>
      <w:r w:rsidRPr="00226892">
        <w:rPr>
          <w:rFonts w:cs="Arial"/>
          <w:sz w:val="20"/>
        </w:rPr>
        <w:t xml:space="preserve"> a </w:t>
      </w:r>
      <w:proofErr w:type="spellStart"/>
      <w:r w:rsidRPr="00226892">
        <w:rPr>
          <w:rFonts w:cs="Arial"/>
          <w:sz w:val="20"/>
        </w:rPr>
        <w:t>Južnej</w:t>
      </w:r>
      <w:proofErr w:type="spellEnd"/>
      <w:r w:rsidRPr="00226892">
        <w:rPr>
          <w:rFonts w:cs="Arial"/>
          <w:sz w:val="20"/>
        </w:rPr>
        <w:t xml:space="preserve"> </w:t>
      </w:r>
      <w:proofErr w:type="spellStart"/>
      <w:r w:rsidRPr="00226892">
        <w:rPr>
          <w:rFonts w:cs="Arial"/>
          <w:sz w:val="20"/>
        </w:rPr>
        <w:t>Amerike</w:t>
      </w:r>
      <w:proofErr w:type="spellEnd"/>
      <w:r w:rsidRPr="00226892">
        <w:rPr>
          <w:rFonts w:cs="Arial"/>
          <w:sz w:val="20"/>
        </w:rPr>
        <w:t xml:space="preserve">. </w:t>
      </w:r>
      <w:proofErr w:type="spellStart"/>
      <w:r w:rsidRPr="00226892">
        <w:rPr>
          <w:rFonts w:cs="Arial"/>
          <w:sz w:val="20"/>
        </w:rPr>
        <w:t>Cieľom</w:t>
      </w:r>
      <w:proofErr w:type="spellEnd"/>
      <w:r w:rsidRPr="00226892">
        <w:rPr>
          <w:rFonts w:cs="Arial"/>
          <w:sz w:val="20"/>
        </w:rPr>
        <w:t xml:space="preserve"> </w:t>
      </w:r>
      <w:proofErr w:type="spellStart"/>
      <w:r w:rsidRPr="00226892">
        <w:rPr>
          <w:rFonts w:cs="Arial"/>
          <w:sz w:val="20"/>
        </w:rPr>
        <w:t>transakcie</w:t>
      </w:r>
      <w:proofErr w:type="spellEnd"/>
      <w:r w:rsidRPr="00226892">
        <w:rPr>
          <w:rFonts w:cs="Arial"/>
          <w:sz w:val="20"/>
        </w:rPr>
        <w:t xml:space="preserve"> </w:t>
      </w:r>
      <w:r w:rsidR="008434EE" w:rsidRPr="00226892">
        <w:rPr>
          <w:rFonts w:cs="Arial"/>
          <w:sz w:val="20"/>
        </w:rPr>
        <w:t xml:space="preserve">pre </w:t>
      </w:r>
      <w:proofErr w:type="spellStart"/>
      <w:r w:rsidR="008434EE" w:rsidRPr="00226892">
        <w:rPr>
          <w:rFonts w:cs="Arial"/>
          <w:sz w:val="20"/>
        </w:rPr>
        <w:t>konečných</w:t>
      </w:r>
      <w:proofErr w:type="spellEnd"/>
      <w:r w:rsidR="008434EE" w:rsidRPr="00226892">
        <w:rPr>
          <w:rFonts w:cs="Arial"/>
          <w:sz w:val="20"/>
        </w:rPr>
        <w:t xml:space="preserve"> </w:t>
      </w:r>
      <w:proofErr w:type="spellStart"/>
      <w:r w:rsidR="008434EE" w:rsidRPr="00226892">
        <w:rPr>
          <w:rFonts w:cs="Arial"/>
          <w:sz w:val="20"/>
        </w:rPr>
        <w:t>vlastníkov</w:t>
      </w:r>
      <w:proofErr w:type="spellEnd"/>
      <w:r w:rsidR="008434EE" w:rsidRPr="00226892">
        <w:rPr>
          <w:rFonts w:cs="Arial"/>
          <w:sz w:val="20"/>
        </w:rPr>
        <w:t xml:space="preserve"> </w:t>
      </w:r>
      <w:proofErr w:type="spellStart"/>
      <w:r w:rsidR="008434EE" w:rsidRPr="00226892">
        <w:rPr>
          <w:rFonts w:cs="Arial"/>
          <w:sz w:val="20"/>
        </w:rPr>
        <w:t>Spoločnosti</w:t>
      </w:r>
      <w:proofErr w:type="spellEnd"/>
      <w:r w:rsidR="004222DD" w:rsidRPr="00226892">
        <w:rPr>
          <w:rFonts w:cs="Arial"/>
          <w:sz w:val="20"/>
        </w:rPr>
        <w:t xml:space="preserve"> </w:t>
      </w:r>
      <w:r w:rsidRPr="00226892">
        <w:rPr>
          <w:rFonts w:cs="Arial"/>
          <w:sz w:val="20"/>
        </w:rPr>
        <w:t xml:space="preserve">je </w:t>
      </w:r>
      <w:proofErr w:type="spellStart"/>
      <w:r w:rsidRPr="00226892">
        <w:rPr>
          <w:rFonts w:cs="Arial"/>
          <w:sz w:val="20"/>
        </w:rPr>
        <w:t>vytvoriť</w:t>
      </w:r>
      <w:proofErr w:type="spellEnd"/>
      <w:r w:rsidRPr="00226892">
        <w:rPr>
          <w:rFonts w:cs="Arial"/>
          <w:sz w:val="20"/>
        </w:rPr>
        <w:t xml:space="preserve"> </w:t>
      </w:r>
      <w:proofErr w:type="spellStart"/>
      <w:r w:rsidRPr="00226892">
        <w:rPr>
          <w:rFonts w:cs="Arial"/>
          <w:sz w:val="20"/>
        </w:rPr>
        <w:t>strategické</w:t>
      </w:r>
      <w:proofErr w:type="spellEnd"/>
      <w:r w:rsidRPr="00226892">
        <w:rPr>
          <w:rFonts w:cs="Arial"/>
          <w:sz w:val="20"/>
        </w:rPr>
        <w:t xml:space="preserve"> </w:t>
      </w:r>
      <w:proofErr w:type="spellStart"/>
      <w:r w:rsidRPr="00226892">
        <w:rPr>
          <w:rFonts w:cs="Arial"/>
          <w:sz w:val="20"/>
        </w:rPr>
        <w:t>partnerstvo</w:t>
      </w:r>
      <w:proofErr w:type="spellEnd"/>
      <w:r w:rsidRPr="00226892">
        <w:rPr>
          <w:rFonts w:cs="Arial"/>
          <w:sz w:val="20"/>
        </w:rPr>
        <w:t xml:space="preserve"> s </w:t>
      </w:r>
      <w:proofErr w:type="spellStart"/>
      <w:r w:rsidRPr="00226892">
        <w:rPr>
          <w:rFonts w:cs="Arial"/>
          <w:sz w:val="20"/>
        </w:rPr>
        <w:t>globálnym</w:t>
      </w:r>
      <w:proofErr w:type="spellEnd"/>
      <w:r w:rsidRPr="00226892">
        <w:rPr>
          <w:rFonts w:cs="Arial"/>
          <w:sz w:val="20"/>
        </w:rPr>
        <w:t xml:space="preserve"> </w:t>
      </w:r>
      <w:proofErr w:type="spellStart"/>
      <w:r w:rsidRPr="00226892">
        <w:rPr>
          <w:rFonts w:cs="Arial"/>
          <w:sz w:val="20"/>
        </w:rPr>
        <w:t>hráčom</w:t>
      </w:r>
      <w:proofErr w:type="spellEnd"/>
      <w:r w:rsidRPr="00226892">
        <w:rPr>
          <w:rFonts w:cs="Arial"/>
          <w:sz w:val="20"/>
        </w:rPr>
        <w:t xml:space="preserve"> za </w:t>
      </w:r>
      <w:proofErr w:type="spellStart"/>
      <w:r w:rsidRPr="00226892">
        <w:rPr>
          <w:rFonts w:cs="Arial"/>
          <w:sz w:val="20"/>
        </w:rPr>
        <w:t>účelom</w:t>
      </w:r>
      <w:proofErr w:type="spellEnd"/>
      <w:r w:rsidRPr="00226892">
        <w:rPr>
          <w:rFonts w:cs="Arial"/>
          <w:sz w:val="20"/>
        </w:rPr>
        <w:t xml:space="preserve"> </w:t>
      </w:r>
      <w:proofErr w:type="spellStart"/>
      <w:r w:rsidRPr="00226892">
        <w:rPr>
          <w:rFonts w:cs="Arial"/>
          <w:sz w:val="20"/>
        </w:rPr>
        <w:t>vyrábať</w:t>
      </w:r>
      <w:proofErr w:type="spellEnd"/>
      <w:r w:rsidRPr="00226892">
        <w:rPr>
          <w:rFonts w:cs="Arial"/>
          <w:sz w:val="20"/>
        </w:rPr>
        <w:t xml:space="preserve"> </w:t>
      </w:r>
      <w:proofErr w:type="spellStart"/>
      <w:r w:rsidRPr="00226892">
        <w:rPr>
          <w:rFonts w:cs="Arial"/>
          <w:sz w:val="20"/>
        </w:rPr>
        <w:t>komponenty</w:t>
      </w:r>
      <w:proofErr w:type="spellEnd"/>
      <w:r w:rsidRPr="00226892">
        <w:rPr>
          <w:rFonts w:cs="Arial"/>
          <w:sz w:val="20"/>
        </w:rPr>
        <w:t xml:space="preserve"> pre platformy </w:t>
      </w:r>
      <w:proofErr w:type="spellStart"/>
      <w:r w:rsidRPr="00226892">
        <w:rPr>
          <w:rFonts w:cs="Arial"/>
          <w:sz w:val="20"/>
        </w:rPr>
        <w:t>na</w:t>
      </w:r>
      <w:proofErr w:type="spellEnd"/>
      <w:r w:rsidRPr="00226892">
        <w:rPr>
          <w:rFonts w:cs="Arial"/>
          <w:sz w:val="20"/>
        </w:rPr>
        <w:t xml:space="preserve"> </w:t>
      </w:r>
      <w:proofErr w:type="spellStart"/>
      <w:r w:rsidRPr="00226892">
        <w:rPr>
          <w:rFonts w:cs="Arial"/>
          <w:sz w:val="20"/>
        </w:rPr>
        <w:t>globálnej</w:t>
      </w:r>
      <w:proofErr w:type="spellEnd"/>
      <w:r w:rsidRPr="00226892">
        <w:rPr>
          <w:rFonts w:cs="Arial"/>
          <w:sz w:val="20"/>
        </w:rPr>
        <w:t xml:space="preserve"> </w:t>
      </w:r>
      <w:proofErr w:type="spellStart"/>
      <w:r w:rsidRPr="00226892">
        <w:rPr>
          <w:rFonts w:cs="Arial"/>
          <w:sz w:val="20"/>
        </w:rPr>
        <w:t>úrovni</w:t>
      </w:r>
      <w:proofErr w:type="spellEnd"/>
      <w:r w:rsidRPr="00226892">
        <w:rPr>
          <w:rFonts w:cs="Arial"/>
          <w:sz w:val="20"/>
        </w:rPr>
        <w:t>.</w:t>
      </w:r>
    </w:p>
    <w:p w14:paraId="6D36272E" w14:textId="1791918C" w:rsidR="006C5424" w:rsidRPr="00226892" w:rsidRDefault="006C5424" w:rsidP="009B79FC">
      <w:pPr>
        <w:pStyle w:val="StyleABC-paragrahinNotesAfter10pt"/>
        <w:suppressAutoHyphens/>
        <w:rPr>
          <w:rFonts w:cs="Arial"/>
          <w:sz w:val="20"/>
        </w:rPr>
      </w:pPr>
      <w:proofErr w:type="spellStart"/>
      <w:r w:rsidRPr="00226892">
        <w:rPr>
          <w:rFonts w:cs="Arial"/>
          <w:sz w:val="20"/>
        </w:rPr>
        <w:t>Dňa</w:t>
      </w:r>
      <w:proofErr w:type="spellEnd"/>
      <w:r w:rsidRPr="00226892">
        <w:rPr>
          <w:rFonts w:cs="Arial"/>
          <w:sz w:val="20"/>
        </w:rPr>
        <w:t xml:space="preserve"> 31. </w:t>
      </w:r>
      <w:proofErr w:type="spellStart"/>
      <w:r w:rsidRPr="00226892">
        <w:rPr>
          <w:rFonts w:cs="Arial"/>
          <w:sz w:val="20"/>
        </w:rPr>
        <w:t>októbra</w:t>
      </w:r>
      <w:proofErr w:type="spellEnd"/>
      <w:r w:rsidRPr="00226892">
        <w:rPr>
          <w:rFonts w:cs="Arial"/>
          <w:sz w:val="20"/>
        </w:rPr>
        <w:t xml:space="preserve"> 2018 M.I.L. MATINVESTMENTS LIMITED </w:t>
      </w:r>
      <w:proofErr w:type="spellStart"/>
      <w:r w:rsidRPr="00226892">
        <w:rPr>
          <w:rFonts w:cs="Arial"/>
          <w:sz w:val="20"/>
        </w:rPr>
        <w:t>predala</w:t>
      </w:r>
      <w:proofErr w:type="spellEnd"/>
      <w:r w:rsidRPr="00226892">
        <w:rPr>
          <w:rFonts w:cs="Arial"/>
          <w:sz w:val="20"/>
        </w:rPr>
        <w:t xml:space="preserve"> </w:t>
      </w:r>
      <w:proofErr w:type="spellStart"/>
      <w:r w:rsidRPr="00226892">
        <w:rPr>
          <w:rFonts w:cs="Arial"/>
          <w:sz w:val="20"/>
        </w:rPr>
        <w:t>spoločnosti</w:t>
      </w:r>
      <w:proofErr w:type="spellEnd"/>
      <w:r w:rsidRPr="00226892">
        <w:rPr>
          <w:rFonts w:cs="Arial"/>
          <w:sz w:val="20"/>
        </w:rPr>
        <w:t xml:space="preserve"> SODECIA Automotive Europe GmbH </w:t>
      </w:r>
      <w:proofErr w:type="spellStart"/>
      <w:r w:rsidRPr="00226892">
        <w:rPr>
          <w:rFonts w:cs="Arial"/>
          <w:sz w:val="20"/>
        </w:rPr>
        <w:t>akcie</w:t>
      </w:r>
      <w:proofErr w:type="spellEnd"/>
      <w:r w:rsidRPr="00226892">
        <w:rPr>
          <w:rFonts w:cs="Arial"/>
          <w:sz w:val="20"/>
        </w:rPr>
        <w:t xml:space="preserve"> </w:t>
      </w:r>
      <w:proofErr w:type="spellStart"/>
      <w:r w:rsidRPr="00226892">
        <w:rPr>
          <w:rFonts w:cs="Arial"/>
          <w:sz w:val="20"/>
        </w:rPr>
        <w:t>vo</w:t>
      </w:r>
      <w:proofErr w:type="spellEnd"/>
      <w:r w:rsidRPr="00226892">
        <w:rPr>
          <w:rFonts w:cs="Arial"/>
          <w:sz w:val="20"/>
        </w:rPr>
        <w:t xml:space="preserve"> </w:t>
      </w:r>
      <w:proofErr w:type="spellStart"/>
      <w:r w:rsidRPr="00226892">
        <w:rPr>
          <w:rFonts w:cs="Arial"/>
          <w:sz w:val="20"/>
        </w:rPr>
        <w:t>výške</w:t>
      </w:r>
      <w:proofErr w:type="spellEnd"/>
      <w:r w:rsidRPr="00226892">
        <w:rPr>
          <w:rFonts w:cs="Arial"/>
          <w:sz w:val="20"/>
        </w:rPr>
        <w:t xml:space="preserve"> 30,00% </w:t>
      </w:r>
      <w:proofErr w:type="spellStart"/>
      <w:r w:rsidRPr="00226892">
        <w:rPr>
          <w:rFonts w:cs="Arial"/>
          <w:sz w:val="20"/>
        </w:rPr>
        <w:t>základného</w:t>
      </w:r>
      <w:proofErr w:type="spellEnd"/>
      <w:r w:rsidRPr="00226892">
        <w:rPr>
          <w:rFonts w:cs="Arial"/>
          <w:sz w:val="20"/>
        </w:rPr>
        <w:t xml:space="preserve"> </w:t>
      </w:r>
      <w:proofErr w:type="spellStart"/>
      <w:r w:rsidRPr="00226892">
        <w:rPr>
          <w:rFonts w:cs="Arial"/>
          <w:sz w:val="20"/>
        </w:rPr>
        <w:t>imania</w:t>
      </w:r>
      <w:proofErr w:type="spellEnd"/>
      <w:r w:rsidRPr="00226892">
        <w:rPr>
          <w:rFonts w:cs="Arial"/>
          <w:sz w:val="20"/>
        </w:rPr>
        <w:t xml:space="preserve">. </w:t>
      </w:r>
      <w:proofErr w:type="spellStart"/>
      <w:r w:rsidRPr="00226892">
        <w:rPr>
          <w:rFonts w:cs="Arial"/>
          <w:sz w:val="20"/>
        </w:rPr>
        <w:t>Rozhodným</w:t>
      </w:r>
      <w:proofErr w:type="spellEnd"/>
      <w:r w:rsidRPr="00226892">
        <w:rPr>
          <w:rFonts w:cs="Arial"/>
          <w:sz w:val="20"/>
        </w:rPr>
        <w:t xml:space="preserve"> </w:t>
      </w:r>
      <w:proofErr w:type="spellStart"/>
      <w:r w:rsidRPr="00226892">
        <w:rPr>
          <w:rFonts w:cs="Arial"/>
          <w:sz w:val="20"/>
        </w:rPr>
        <w:t>dňom</w:t>
      </w:r>
      <w:proofErr w:type="spellEnd"/>
      <w:r w:rsidRPr="00226892">
        <w:rPr>
          <w:rFonts w:cs="Arial"/>
          <w:sz w:val="20"/>
        </w:rPr>
        <w:t xml:space="preserve"> </w:t>
      </w:r>
      <w:proofErr w:type="spellStart"/>
      <w:r w:rsidRPr="00226892">
        <w:rPr>
          <w:rFonts w:cs="Arial"/>
          <w:sz w:val="20"/>
        </w:rPr>
        <w:t>prevzatia</w:t>
      </w:r>
      <w:proofErr w:type="spellEnd"/>
      <w:r w:rsidRPr="00226892">
        <w:rPr>
          <w:rFonts w:cs="Arial"/>
          <w:sz w:val="20"/>
        </w:rPr>
        <w:t xml:space="preserve"> </w:t>
      </w:r>
      <w:proofErr w:type="spellStart"/>
      <w:r w:rsidRPr="00226892">
        <w:rPr>
          <w:rFonts w:cs="Arial"/>
          <w:sz w:val="20"/>
        </w:rPr>
        <w:t>kontroly</w:t>
      </w:r>
      <w:proofErr w:type="spellEnd"/>
      <w:r w:rsidRPr="00226892">
        <w:rPr>
          <w:rFonts w:cs="Arial"/>
          <w:sz w:val="20"/>
        </w:rPr>
        <w:t xml:space="preserve"> </w:t>
      </w:r>
      <w:proofErr w:type="spellStart"/>
      <w:r w:rsidRPr="00226892">
        <w:rPr>
          <w:rFonts w:cs="Arial"/>
          <w:sz w:val="20"/>
        </w:rPr>
        <w:t>spoločnosťou</w:t>
      </w:r>
      <w:proofErr w:type="spellEnd"/>
      <w:r w:rsidRPr="00226892">
        <w:rPr>
          <w:rFonts w:cs="Arial"/>
          <w:sz w:val="20"/>
        </w:rPr>
        <w:t xml:space="preserve"> SODECIA Automotive Europe GmbH </w:t>
      </w:r>
      <w:proofErr w:type="spellStart"/>
      <w:r w:rsidRPr="00226892">
        <w:rPr>
          <w:rFonts w:cs="Arial"/>
          <w:sz w:val="20"/>
        </w:rPr>
        <w:t>nad</w:t>
      </w:r>
      <w:proofErr w:type="spellEnd"/>
      <w:r w:rsidRPr="00226892">
        <w:rPr>
          <w:rFonts w:cs="Arial"/>
          <w:sz w:val="20"/>
        </w:rPr>
        <w:t xml:space="preserve"> </w:t>
      </w:r>
      <w:proofErr w:type="spellStart"/>
      <w:r w:rsidRPr="00226892">
        <w:rPr>
          <w:rFonts w:cs="Arial"/>
          <w:sz w:val="20"/>
        </w:rPr>
        <w:t>Spoločnosťou</w:t>
      </w:r>
      <w:proofErr w:type="spellEnd"/>
      <w:r w:rsidRPr="00226892">
        <w:rPr>
          <w:rFonts w:cs="Arial"/>
          <w:sz w:val="20"/>
        </w:rPr>
        <w:t xml:space="preserve"> je 1. </w:t>
      </w:r>
      <w:proofErr w:type="spellStart"/>
      <w:r w:rsidRPr="00226892">
        <w:rPr>
          <w:rFonts w:cs="Arial"/>
          <w:sz w:val="20"/>
        </w:rPr>
        <w:t>júl</w:t>
      </w:r>
      <w:proofErr w:type="spellEnd"/>
      <w:r w:rsidRPr="00226892">
        <w:rPr>
          <w:rFonts w:cs="Arial"/>
          <w:sz w:val="20"/>
        </w:rPr>
        <w:t xml:space="preserve"> 2018</w:t>
      </w:r>
      <w:r w:rsidR="00206D7F" w:rsidRPr="00226892">
        <w:rPr>
          <w:rFonts w:cs="Arial"/>
          <w:sz w:val="20"/>
        </w:rPr>
        <w:t>,</w:t>
      </w:r>
      <w:r w:rsidRPr="00226892">
        <w:rPr>
          <w:rFonts w:cs="Arial"/>
          <w:sz w:val="20"/>
        </w:rPr>
        <w:t xml:space="preserve"> </w:t>
      </w:r>
      <w:proofErr w:type="spellStart"/>
      <w:r w:rsidRPr="00226892">
        <w:rPr>
          <w:rFonts w:cs="Arial"/>
          <w:sz w:val="20"/>
        </w:rPr>
        <w:t>kedy</w:t>
      </w:r>
      <w:proofErr w:type="spellEnd"/>
      <w:r w:rsidRPr="00226892">
        <w:rPr>
          <w:rFonts w:cs="Arial"/>
          <w:sz w:val="20"/>
        </w:rPr>
        <w:t xml:space="preserve"> </w:t>
      </w:r>
      <w:proofErr w:type="spellStart"/>
      <w:r w:rsidRPr="00226892">
        <w:rPr>
          <w:rFonts w:cs="Arial"/>
          <w:sz w:val="20"/>
        </w:rPr>
        <w:t>došlo</w:t>
      </w:r>
      <w:proofErr w:type="spellEnd"/>
      <w:r w:rsidRPr="00226892">
        <w:rPr>
          <w:rFonts w:cs="Arial"/>
          <w:sz w:val="20"/>
        </w:rPr>
        <w:t xml:space="preserve"> k </w:t>
      </w:r>
      <w:proofErr w:type="spellStart"/>
      <w:r w:rsidRPr="00226892">
        <w:rPr>
          <w:rFonts w:cs="Arial"/>
          <w:sz w:val="20"/>
        </w:rPr>
        <w:t>prevzatiu</w:t>
      </w:r>
      <w:proofErr w:type="spellEnd"/>
      <w:r w:rsidRPr="00226892">
        <w:rPr>
          <w:rFonts w:cs="Arial"/>
          <w:sz w:val="20"/>
        </w:rPr>
        <w:t xml:space="preserve"> </w:t>
      </w:r>
      <w:proofErr w:type="spellStart"/>
      <w:r w:rsidRPr="00226892">
        <w:rPr>
          <w:rFonts w:cs="Arial"/>
          <w:sz w:val="20"/>
        </w:rPr>
        <w:t>manažérskej</w:t>
      </w:r>
      <w:proofErr w:type="spellEnd"/>
      <w:r w:rsidRPr="00226892">
        <w:rPr>
          <w:rFonts w:cs="Arial"/>
          <w:sz w:val="20"/>
        </w:rPr>
        <w:t xml:space="preserve"> </w:t>
      </w:r>
      <w:proofErr w:type="spellStart"/>
      <w:r w:rsidRPr="00226892">
        <w:rPr>
          <w:rFonts w:cs="Arial"/>
          <w:sz w:val="20"/>
        </w:rPr>
        <w:t>kontroly</w:t>
      </w:r>
      <w:proofErr w:type="spellEnd"/>
      <w:r w:rsidRPr="00226892">
        <w:rPr>
          <w:rFonts w:cs="Arial"/>
          <w:sz w:val="20"/>
        </w:rPr>
        <w:t>.</w:t>
      </w:r>
    </w:p>
    <w:p w14:paraId="46896659" w14:textId="77777777" w:rsidR="00931B35" w:rsidRPr="00226892" w:rsidRDefault="00931B35" w:rsidP="009B79FC">
      <w:pPr>
        <w:pStyle w:val="StyleABC-paragrahinNotesAfter10pt"/>
        <w:suppressAutoHyphens/>
        <w:rPr>
          <w:rFonts w:cs="Arial"/>
          <w:sz w:val="20"/>
        </w:rPr>
      </w:pPr>
    </w:p>
    <w:p w14:paraId="45B8B68E" w14:textId="6E532526" w:rsidR="00302C89" w:rsidRPr="00226892" w:rsidRDefault="00302C89" w:rsidP="009B79FC">
      <w:pPr>
        <w:pStyle w:val="StyleABC-paragrahinNotesAfter10pt"/>
        <w:suppressAutoHyphens/>
        <w:spacing w:after="0"/>
        <w:ind w:left="1"/>
        <w:rPr>
          <w:rFonts w:cs="Arial"/>
          <w:sz w:val="20"/>
          <w:lang w:val="sk-SK"/>
        </w:rPr>
      </w:pPr>
      <w:bookmarkStart w:id="29" w:name="_Toc64630551"/>
      <w:r w:rsidRPr="00226892">
        <w:rPr>
          <w:rFonts w:cs="Arial"/>
          <w:sz w:val="20"/>
          <w:lang w:val="sk-SK"/>
        </w:rPr>
        <w:lastRenderedPageBreak/>
        <w:t xml:space="preserve">V roku </w:t>
      </w:r>
      <w:r w:rsidR="000D75E7" w:rsidRPr="00226892">
        <w:rPr>
          <w:rFonts w:cs="Arial"/>
          <w:sz w:val="20"/>
          <w:lang w:val="sk-SK"/>
        </w:rPr>
        <w:t>201</w:t>
      </w:r>
      <w:r w:rsidR="006C5424" w:rsidRPr="00226892">
        <w:rPr>
          <w:rFonts w:cs="Arial"/>
          <w:sz w:val="20"/>
          <w:lang w:val="sk-SK"/>
        </w:rPr>
        <w:t>8</w:t>
      </w:r>
      <w:r w:rsidR="000D75E7" w:rsidRPr="00226892">
        <w:rPr>
          <w:rFonts w:cs="Arial"/>
          <w:sz w:val="20"/>
          <w:lang w:val="sk-SK"/>
        </w:rPr>
        <w:t xml:space="preserve"> </w:t>
      </w:r>
      <w:r w:rsidRPr="00226892">
        <w:rPr>
          <w:rFonts w:cs="Arial"/>
          <w:sz w:val="20"/>
          <w:lang w:val="sk-SK"/>
        </w:rPr>
        <w:t xml:space="preserve">mala Skupina v priemere </w:t>
      </w:r>
      <w:r w:rsidR="006C5424" w:rsidRPr="00226892">
        <w:rPr>
          <w:rFonts w:cs="Arial"/>
          <w:sz w:val="20"/>
          <w:lang w:val="sk-SK"/>
        </w:rPr>
        <w:t>1 330</w:t>
      </w:r>
      <w:r w:rsidR="004B299B" w:rsidRPr="00226892">
        <w:rPr>
          <w:rFonts w:cs="Arial"/>
          <w:sz w:val="20"/>
          <w:lang w:val="sk-SK"/>
        </w:rPr>
        <w:t xml:space="preserve"> </w:t>
      </w:r>
      <w:r w:rsidRPr="00226892">
        <w:rPr>
          <w:rFonts w:cs="Arial"/>
          <w:sz w:val="20"/>
          <w:lang w:val="sk-SK"/>
        </w:rPr>
        <w:t>zamestnancov (</w:t>
      </w:r>
      <w:r w:rsidR="00F63A77" w:rsidRPr="00226892">
        <w:rPr>
          <w:rFonts w:cs="Arial"/>
          <w:sz w:val="20"/>
          <w:lang w:val="sk-SK"/>
        </w:rPr>
        <w:t>2017</w:t>
      </w:r>
      <w:r w:rsidR="004F0130" w:rsidRPr="00226892">
        <w:rPr>
          <w:rFonts w:cs="Arial"/>
          <w:sz w:val="20"/>
          <w:lang w:val="sk-SK"/>
        </w:rPr>
        <w:t xml:space="preserve">: </w:t>
      </w:r>
      <w:r w:rsidR="006C5424" w:rsidRPr="00226892">
        <w:rPr>
          <w:rFonts w:cs="Arial"/>
          <w:sz w:val="20"/>
          <w:lang w:val="sk-SK"/>
        </w:rPr>
        <w:t>1 238</w:t>
      </w:r>
      <w:r w:rsidRPr="00226892">
        <w:rPr>
          <w:rFonts w:cs="Arial"/>
          <w:sz w:val="20"/>
          <w:lang w:val="sk-SK"/>
        </w:rPr>
        <w:t xml:space="preserve">), z toho </w:t>
      </w:r>
      <w:r w:rsidR="006C5424" w:rsidRPr="00226892">
        <w:rPr>
          <w:rFonts w:cs="Arial"/>
          <w:sz w:val="20"/>
          <w:lang w:val="sk-SK"/>
        </w:rPr>
        <w:t>60</w:t>
      </w:r>
      <w:r w:rsidR="004B299B" w:rsidRPr="00226892">
        <w:rPr>
          <w:rFonts w:cs="Arial"/>
          <w:sz w:val="20"/>
          <w:lang w:val="sk-SK"/>
        </w:rPr>
        <w:t xml:space="preserve"> </w:t>
      </w:r>
      <w:r w:rsidRPr="00226892">
        <w:rPr>
          <w:rFonts w:cs="Arial"/>
          <w:sz w:val="20"/>
          <w:lang w:val="sk-SK"/>
        </w:rPr>
        <w:t>riadiacich pracovníkov (</w:t>
      </w:r>
      <w:r w:rsidR="00F63A77" w:rsidRPr="00226892">
        <w:rPr>
          <w:rFonts w:cs="Arial"/>
          <w:sz w:val="20"/>
          <w:lang w:val="sk-SK"/>
        </w:rPr>
        <w:t>2017</w:t>
      </w:r>
      <w:r w:rsidR="004F0130" w:rsidRPr="00226892">
        <w:rPr>
          <w:rFonts w:cs="Arial"/>
          <w:sz w:val="20"/>
          <w:lang w:val="sk-SK"/>
        </w:rPr>
        <w:t>: 4</w:t>
      </w:r>
      <w:r w:rsidR="006C5424" w:rsidRPr="00226892">
        <w:rPr>
          <w:rFonts w:cs="Arial"/>
          <w:sz w:val="20"/>
          <w:lang w:val="sk-SK"/>
        </w:rPr>
        <w:t>9</w:t>
      </w:r>
      <w:r w:rsidR="004F0130" w:rsidRPr="00226892">
        <w:rPr>
          <w:rFonts w:cs="Arial"/>
          <w:sz w:val="20"/>
          <w:lang w:val="sk-SK"/>
        </w:rPr>
        <w:t xml:space="preserve"> </w:t>
      </w:r>
      <w:r w:rsidRPr="00226892">
        <w:rPr>
          <w:rFonts w:cs="Arial"/>
          <w:sz w:val="20"/>
          <w:lang w:val="sk-SK"/>
        </w:rPr>
        <w:t xml:space="preserve">). </w:t>
      </w:r>
    </w:p>
    <w:p w14:paraId="5A40383B" w14:textId="77777777" w:rsidR="00302C89" w:rsidRPr="00226892" w:rsidRDefault="00302C89" w:rsidP="00751708">
      <w:pPr>
        <w:pStyle w:val="StyleABC-paragrahinNotesAfter10pt"/>
        <w:suppressAutoHyphens/>
        <w:spacing w:after="0"/>
        <w:ind w:left="426"/>
        <w:rPr>
          <w:rFonts w:cs="Arial"/>
          <w:sz w:val="20"/>
          <w:lang w:val="sk-SK"/>
        </w:rPr>
      </w:pPr>
    </w:p>
    <w:p w14:paraId="71348D56" w14:textId="3AEB4216" w:rsidR="00302C89" w:rsidRPr="00226892" w:rsidRDefault="00302C89" w:rsidP="00931B35">
      <w:pPr>
        <w:pStyle w:val="StyleABC-paragrahinNotesAfter10pt"/>
        <w:suppressAutoHyphens/>
        <w:spacing w:after="0"/>
        <w:ind w:left="1"/>
        <w:rPr>
          <w:rFonts w:cs="Arial"/>
          <w:b/>
          <w:szCs w:val="18"/>
          <w:lang w:val="sk-SK"/>
        </w:rPr>
      </w:pPr>
      <w:r w:rsidRPr="00226892">
        <w:rPr>
          <w:rFonts w:cs="Arial"/>
          <w:sz w:val="20"/>
          <w:lang w:val="sk-SK"/>
        </w:rPr>
        <w:t>Spoločnosť nie je neobmedzene ručiacim spoločníkom v iných spoločnostiach.</w:t>
      </w:r>
      <w:bookmarkEnd w:id="29"/>
    </w:p>
    <w:p w14:paraId="5A674039" w14:textId="77777777" w:rsidR="008434EE" w:rsidRPr="00226892" w:rsidRDefault="008434EE" w:rsidP="00751708">
      <w:pPr>
        <w:pStyle w:val="StyleABC-paragrahinNotesAfter10pt"/>
        <w:suppressAutoHyphens/>
        <w:ind w:left="426"/>
        <w:rPr>
          <w:rFonts w:cs="Arial"/>
          <w:b/>
          <w:sz w:val="20"/>
          <w:lang w:val="sk-SK"/>
        </w:rPr>
      </w:pPr>
    </w:p>
    <w:p w14:paraId="081F0E23" w14:textId="1FE3FE8B" w:rsidR="00302C89" w:rsidRPr="00226892" w:rsidRDefault="00302C89" w:rsidP="009B79FC">
      <w:pPr>
        <w:pStyle w:val="StyleABC-paragrahinNotesAfter10pt"/>
        <w:suppressAutoHyphens/>
        <w:ind w:left="1"/>
        <w:rPr>
          <w:rFonts w:cs="Arial"/>
          <w:b/>
          <w:sz w:val="20"/>
          <w:lang w:val="sk-SK"/>
        </w:rPr>
      </w:pPr>
      <w:r w:rsidRPr="00226892">
        <w:rPr>
          <w:rFonts w:cs="Arial"/>
          <w:b/>
          <w:sz w:val="20"/>
          <w:lang w:val="sk-SK"/>
        </w:rPr>
        <w:t>Členovia Predstavenstva a Dozornej rady Spoločnosti</w:t>
      </w:r>
      <w:r w:rsidRPr="00226892">
        <w:rPr>
          <w:rFonts w:cs="Arial"/>
          <w:b/>
          <w:sz w:val="20"/>
          <w:lang w:val="sk-SK"/>
        </w:rPr>
        <w:tab/>
      </w:r>
    </w:p>
    <w:p w14:paraId="001E1E8F" w14:textId="2881EA16" w:rsidR="006B01B0" w:rsidRPr="00226892" w:rsidRDefault="00302C89" w:rsidP="009B79FC">
      <w:pPr>
        <w:pStyle w:val="StyleABC-paragrahinNotesAfter10pt"/>
        <w:suppressAutoHyphens/>
        <w:ind w:left="1"/>
        <w:rPr>
          <w:rFonts w:cs="Arial"/>
          <w:b/>
          <w:i/>
          <w:szCs w:val="18"/>
          <w:lang w:val="sk-SK"/>
        </w:rPr>
      </w:pPr>
      <w:r w:rsidRPr="00226892">
        <w:rPr>
          <w:rFonts w:cs="Arial"/>
          <w:sz w:val="20"/>
          <w:lang w:val="sk-SK"/>
        </w:rPr>
        <w:t xml:space="preserve">Zloženie predstavenstva a dozornej rady Spoločnosti bolo nasledovné: </w:t>
      </w:r>
    </w:p>
    <w:tbl>
      <w:tblPr>
        <w:tblW w:w="5000" w:type="pct"/>
        <w:tblCellMar>
          <w:left w:w="70" w:type="dxa"/>
          <w:right w:w="70" w:type="dxa"/>
        </w:tblCellMar>
        <w:tblLook w:val="04A0" w:firstRow="1" w:lastRow="0" w:firstColumn="1" w:lastColumn="0" w:noHBand="0" w:noVBand="1"/>
      </w:tblPr>
      <w:tblGrid>
        <w:gridCol w:w="2446"/>
        <w:gridCol w:w="3291"/>
        <w:gridCol w:w="3902"/>
      </w:tblGrid>
      <w:tr w:rsidR="00695254" w:rsidRPr="00226892" w14:paraId="4E86A662" w14:textId="77777777" w:rsidTr="009B79FC">
        <w:trPr>
          <w:trHeight w:val="227"/>
        </w:trPr>
        <w:tc>
          <w:tcPr>
            <w:tcW w:w="1269" w:type="pct"/>
            <w:tcBorders>
              <w:top w:val="nil"/>
              <w:left w:val="nil"/>
              <w:bottom w:val="single" w:sz="8" w:space="0" w:color="auto"/>
              <w:right w:val="nil"/>
            </w:tcBorders>
            <w:shd w:val="clear" w:color="auto" w:fill="auto"/>
            <w:vAlign w:val="center"/>
            <w:hideMark/>
          </w:tcPr>
          <w:p w14:paraId="5BD4EB65" w14:textId="77777777" w:rsidR="00695254" w:rsidRPr="00226892" w:rsidRDefault="00695254" w:rsidP="00BA675C">
            <w:pPr>
              <w:rPr>
                <w:rFonts w:ascii="Arial" w:hAnsi="Arial" w:cs="Arial"/>
                <w:color w:val="000000"/>
                <w:sz w:val="18"/>
                <w:szCs w:val="18"/>
              </w:rPr>
            </w:pPr>
            <w:r w:rsidRPr="00226892">
              <w:rPr>
                <w:rFonts w:ascii="Arial" w:hAnsi="Arial" w:cs="Arial"/>
                <w:color w:val="000000"/>
                <w:sz w:val="18"/>
                <w:szCs w:val="18"/>
              </w:rPr>
              <w:t> </w:t>
            </w:r>
          </w:p>
        </w:tc>
        <w:tc>
          <w:tcPr>
            <w:tcW w:w="1707" w:type="pct"/>
            <w:tcBorders>
              <w:top w:val="nil"/>
              <w:left w:val="nil"/>
              <w:bottom w:val="single" w:sz="8" w:space="0" w:color="auto"/>
              <w:right w:val="nil"/>
            </w:tcBorders>
            <w:shd w:val="clear" w:color="auto" w:fill="auto"/>
            <w:vAlign w:val="bottom"/>
            <w:hideMark/>
          </w:tcPr>
          <w:p w14:paraId="12576C2B" w14:textId="48CF14FF" w:rsidR="00695254" w:rsidRPr="00226892" w:rsidRDefault="00695254" w:rsidP="00BA675C">
            <w:pPr>
              <w:jc w:val="center"/>
              <w:rPr>
                <w:rFonts w:ascii="Arial" w:hAnsi="Arial" w:cs="Arial"/>
                <w:b/>
                <w:bCs/>
                <w:color w:val="000000"/>
                <w:sz w:val="18"/>
                <w:szCs w:val="18"/>
              </w:rPr>
            </w:pPr>
            <w:proofErr w:type="spellStart"/>
            <w:r w:rsidRPr="00226892">
              <w:rPr>
                <w:rFonts w:ascii="Arial" w:hAnsi="Arial" w:cs="Arial"/>
                <w:b/>
                <w:bCs/>
                <w:color w:val="000000"/>
                <w:sz w:val="18"/>
                <w:szCs w:val="18"/>
              </w:rPr>
              <w:t>Stav</w:t>
            </w:r>
            <w:proofErr w:type="spellEnd"/>
            <w:r w:rsidRPr="00226892">
              <w:rPr>
                <w:rFonts w:ascii="Arial" w:hAnsi="Arial" w:cs="Arial"/>
                <w:b/>
                <w:bCs/>
                <w:color w:val="000000"/>
                <w:sz w:val="18"/>
                <w:szCs w:val="18"/>
              </w:rPr>
              <w:t xml:space="preserve"> k 31.12.201</w:t>
            </w:r>
            <w:r w:rsidR="00B71CF0" w:rsidRPr="00226892">
              <w:rPr>
                <w:rFonts w:ascii="Arial" w:hAnsi="Arial" w:cs="Arial"/>
                <w:b/>
                <w:bCs/>
                <w:color w:val="000000"/>
                <w:sz w:val="18"/>
                <w:szCs w:val="18"/>
              </w:rPr>
              <w:t>8</w:t>
            </w:r>
          </w:p>
        </w:tc>
        <w:tc>
          <w:tcPr>
            <w:tcW w:w="2024" w:type="pct"/>
            <w:tcBorders>
              <w:top w:val="nil"/>
              <w:left w:val="nil"/>
              <w:bottom w:val="single" w:sz="8" w:space="0" w:color="auto"/>
              <w:right w:val="nil"/>
            </w:tcBorders>
            <w:shd w:val="clear" w:color="auto" w:fill="auto"/>
            <w:vAlign w:val="bottom"/>
            <w:hideMark/>
          </w:tcPr>
          <w:p w14:paraId="3EDD655E" w14:textId="4B655167" w:rsidR="00695254" w:rsidRPr="00226892" w:rsidRDefault="00695254" w:rsidP="00BA675C">
            <w:pPr>
              <w:jc w:val="center"/>
              <w:rPr>
                <w:rFonts w:ascii="Arial" w:hAnsi="Arial" w:cs="Arial"/>
                <w:b/>
                <w:bCs/>
                <w:color w:val="000000"/>
                <w:sz w:val="18"/>
                <w:szCs w:val="18"/>
              </w:rPr>
            </w:pPr>
            <w:proofErr w:type="spellStart"/>
            <w:r w:rsidRPr="00226892">
              <w:rPr>
                <w:rFonts w:ascii="Arial" w:hAnsi="Arial" w:cs="Arial"/>
                <w:b/>
                <w:bCs/>
                <w:color w:val="000000"/>
                <w:sz w:val="18"/>
                <w:szCs w:val="18"/>
              </w:rPr>
              <w:t>Stav</w:t>
            </w:r>
            <w:proofErr w:type="spellEnd"/>
            <w:r w:rsidRPr="00226892">
              <w:rPr>
                <w:rFonts w:ascii="Arial" w:hAnsi="Arial" w:cs="Arial"/>
                <w:b/>
                <w:bCs/>
                <w:color w:val="000000"/>
                <w:sz w:val="18"/>
                <w:szCs w:val="18"/>
              </w:rPr>
              <w:t xml:space="preserve"> k 31.12.</w:t>
            </w:r>
            <w:r w:rsidR="00F63A77" w:rsidRPr="00226892">
              <w:rPr>
                <w:rFonts w:ascii="Arial" w:hAnsi="Arial" w:cs="Arial"/>
                <w:b/>
                <w:bCs/>
                <w:color w:val="000000"/>
                <w:sz w:val="18"/>
                <w:szCs w:val="18"/>
              </w:rPr>
              <w:t>2017</w:t>
            </w:r>
          </w:p>
        </w:tc>
      </w:tr>
      <w:tr w:rsidR="00695254" w:rsidRPr="00226892" w14:paraId="1A601AD2" w14:textId="77777777" w:rsidTr="00AC2584">
        <w:trPr>
          <w:trHeight w:val="227"/>
        </w:trPr>
        <w:tc>
          <w:tcPr>
            <w:tcW w:w="1269" w:type="pct"/>
            <w:tcBorders>
              <w:top w:val="nil"/>
              <w:left w:val="nil"/>
              <w:right w:val="nil"/>
            </w:tcBorders>
            <w:shd w:val="clear" w:color="auto" w:fill="auto"/>
            <w:hideMark/>
          </w:tcPr>
          <w:p w14:paraId="1EA9D246" w14:textId="77777777" w:rsidR="00695254" w:rsidRPr="00226892" w:rsidRDefault="00695254" w:rsidP="00AC2584">
            <w:pPr>
              <w:rPr>
                <w:rFonts w:ascii="Arial" w:hAnsi="Arial" w:cs="Arial"/>
                <w:b/>
                <w:color w:val="000000"/>
                <w:sz w:val="18"/>
                <w:szCs w:val="18"/>
              </w:rPr>
            </w:pPr>
            <w:proofErr w:type="spellStart"/>
            <w:r w:rsidRPr="00226892">
              <w:rPr>
                <w:rFonts w:ascii="Arial" w:hAnsi="Arial" w:cs="Arial"/>
                <w:b/>
                <w:color w:val="000000"/>
                <w:sz w:val="18"/>
                <w:szCs w:val="18"/>
              </w:rPr>
              <w:t>Predstavenstvo</w:t>
            </w:r>
            <w:proofErr w:type="spellEnd"/>
            <w:r w:rsidRPr="00226892">
              <w:rPr>
                <w:rFonts w:ascii="Arial" w:hAnsi="Arial" w:cs="Arial"/>
                <w:b/>
                <w:color w:val="000000"/>
                <w:sz w:val="18"/>
                <w:szCs w:val="18"/>
              </w:rPr>
              <w:t>:</w:t>
            </w:r>
          </w:p>
        </w:tc>
        <w:tc>
          <w:tcPr>
            <w:tcW w:w="1707" w:type="pct"/>
            <w:tcBorders>
              <w:top w:val="nil"/>
              <w:left w:val="nil"/>
              <w:right w:val="nil"/>
            </w:tcBorders>
            <w:shd w:val="clear" w:color="auto" w:fill="auto"/>
            <w:vAlign w:val="bottom"/>
            <w:hideMark/>
          </w:tcPr>
          <w:p w14:paraId="73F484A5" w14:textId="77777777" w:rsidR="00695254" w:rsidRPr="00226892" w:rsidRDefault="00695254" w:rsidP="00BA675C">
            <w:pPr>
              <w:jc w:val="right"/>
              <w:rPr>
                <w:rFonts w:ascii="Arial" w:hAnsi="Arial" w:cs="Arial"/>
                <w:color w:val="000000"/>
                <w:sz w:val="18"/>
                <w:szCs w:val="18"/>
              </w:rPr>
            </w:pPr>
          </w:p>
        </w:tc>
        <w:tc>
          <w:tcPr>
            <w:tcW w:w="2024" w:type="pct"/>
            <w:tcBorders>
              <w:top w:val="nil"/>
              <w:left w:val="nil"/>
              <w:right w:val="nil"/>
            </w:tcBorders>
            <w:shd w:val="clear" w:color="auto" w:fill="auto"/>
            <w:vAlign w:val="bottom"/>
            <w:hideMark/>
          </w:tcPr>
          <w:p w14:paraId="06919725" w14:textId="77777777" w:rsidR="00695254" w:rsidRPr="00226892" w:rsidRDefault="00695254" w:rsidP="00BA675C">
            <w:pPr>
              <w:jc w:val="right"/>
              <w:rPr>
                <w:rFonts w:ascii="Arial" w:hAnsi="Arial" w:cs="Arial"/>
                <w:sz w:val="18"/>
                <w:szCs w:val="18"/>
              </w:rPr>
            </w:pPr>
          </w:p>
        </w:tc>
      </w:tr>
      <w:tr w:rsidR="00695254" w:rsidRPr="00226892" w14:paraId="5DA3FCDA" w14:textId="77777777" w:rsidTr="00AC2584">
        <w:trPr>
          <w:trHeight w:val="227"/>
        </w:trPr>
        <w:tc>
          <w:tcPr>
            <w:tcW w:w="1269" w:type="pct"/>
            <w:tcBorders>
              <w:top w:val="nil"/>
              <w:left w:val="nil"/>
              <w:bottom w:val="single" w:sz="4" w:space="0" w:color="auto"/>
              <w:right w:val="nil"/>
            </w:tcBorders>
            <w:shd w:val="clear" w:color="auto" w:fill="auto"/>
            <w:hideMark/>
          </w:tcPr>
          <w:p w14:paraId="29B46554" w14:textId="77777777" w:rsidR="00C51CA7" w:rsidRPr="00226892" w:rsidRDefault="00695254" w:rsidP="00AC2584">
            <w:pPr>
              <w:rPr>
                <w:rFonts w:ascii="Arial" w:hAnsi="Arial" w:cs="Arial"/>
                <w:color w:val="000000"/>
                <w:sz w:val="18"/>
                <w:szCs w:val="18"/>
              </w:rPr>
            </w:pPr>
            <w:proofErr w:type="spellStart"/>
            <w:r w:rsidRPr="00226892">
              <w:rPr>
                <w:rFonts w:ascii="Arial" w:hAnsi="Arial" w:cs="Arial"/>
                <w:color w:val="000000"/>
                <w:sz w:val="18"/>
                <w:szCs w:val="18"/>
              </w:rPr>
              <w:t>Predseda</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predstavenstva</w:t>
            </w:r>
            <w:proofErr w:type="spellEnd"/>
          </w:p>
          <w:p w14:paraId="73F19C7D" w14:textId="24098E24" w:rsidR="00AC4843" w:rsidRPr="00226892" w:rsidRDefault="00AC4843" w:rsidP="00AC2584">
            <w:pPr>
              <w:rPr>
                <w:rFonts w:ascii="Arial" w:hAnsi="Arial" w:cs="Arial"/>
                <w:color w:val="000000"/>
                <w:sz w:val="18"/>
                <w:szCs w:val="18"/>
              </w:rPr>
            </w:pPr>
          </w:p>
        </w:tc>
        <w:tc>
          <w:tcPr>
            <w:tcW w:w="1707" w:type="pct"/>
            <w:tcBorders>
              <w:top w:val="nil"/>
              <w:left w:val="nil"/>
              <w:bottom w:val="single" w:sz="4" w:space="0" w:color="auto"/>
              <w:right w:val="nil"/>
            </w:tcBorders>
            <w:shd w:val="clear" w:color="auto" w:fill="auto"/>
            <w:vAlign w:val="bottom"/>
            <w:hideMark/>
          </w:tcPr>
          <w:p w14:paraId="2E73BF71" w14:textId="77777777" w:rsidR="00695254" w:rsidRPr="00226892" w:rsidRDefault="00695254" w:rsidP="00BA675C">
            <w:pPr>
              <w:jc w:val="right"/>
              <w:rPr>
                <w:rFonts w:ascii="Arial" w:hAnsi="Arial" w:cs="Arial"/>
                <w:color w:val="000000"/>
                <w:sz w:val="18"/>
                <w:szCs w:val="18"/>
              </w:rPr>
            </w:pPr>
            <w:r w:rsidRPr="00226892">
              <w:rPr>
                <w:rFonts w:ascii="Arial" w:hAnsi="Arial" w:cs="Arial"/>
                <w:color w:val="000000"/>
                <w:sz w:val="18"/>
                <w:szCs w:val="18"/>
              </w:rPr>
              <w:t xml:space="preserve">doc. Ing. </w:t>
            </w:r>
            <w:proofErr w:type="spellStart"/>
            <w:r w:rsidRPr="00226892">
              <w:rPr>
                <w:rFonts w:ascii="Arial" w:hAnsi="Arial" w:cs="Arial"/>
                <w:color w:val="000000"/>
                <w:sz w:val="18"/>
                <w:szCs w:val="18"/>
              </w:rPr>
              <w:t>Štefan</w:t>
            </w:r>
            <w:proofErr w:type="spellEnd"/>
            <w:r w:rsidRPr="00226892">
              <w:rPr>
                <w:rFonts w:ascii="Arial" w:hAnsi="Arial" w:cs="Arial"/>
                <w:color w:val="000000"/>
                <w:sz w:val="18"/>
                <w:szCs w:val="18"/>
              </w:rPr>
              <w:t xml:space="preserve"> Rosina, PhD. MBA</w:t>
            </w:r>
            <w:r w:rsidR="006C5424" w:rsidRPr="00226892">
              <w:rPr>
                <w:rFonts w:ascii="Arial" w:hAnsi="Arial" w:cs="Arial"/>
                <w:color w:val="000000"/>
                <w:sz w:val="18"/>
                <w:szCs w:val="18"/>
              </w:rPr>
              <w:t xml:space="preserve"> (do 11.12.2018)</w:t>
            </w:r>
          </w:p>
          <w:p w14:paraId="170D5C14" w14:textId="29841C02" w:rsidR="00C51CA7" w:rsidRPr="00226892" w:rsidRDefault="00C51CA7" w:rsidP="00BA675C">
            <w:pPr>
              <w:jc w:val="right"/>
              <w:rPr>
                <w:rFonts w:ascii="Arial" w:hAnsi="Arial" w:cs="Arial"/>
                <w:color w:val="000000"/>
                <w:sz w:val="18"/>
                <w:szCs w:val="18"/>
              </w:rPr>
            </w:pPr>
            <w:r w:rsidRPr="00226892">
              <w:rPr>
                <w:rFonts w:ascii="Arial" w:hAnsi="Arial" w:cs="Arial"/>
                <w:color w:val="000000"/>
                <w:sz w:val="18"/>
                <w:szCs w:val="18"/>
              </w:rPr>
              <w:t xml:space="preserve">Rui de </w:t>
            </w:r>
            <w:proofErr w:type="spellStart"/>
            <w:r w:rsidRPr="00226892">
              <w:rPr>
                <w:rFonts w:ascii="Arial" w:hAnsi="Arial" w:cs="Arial"/>
                <w:color w:val="000000"/>
                <w:sz w:val="18"/>
                <w:szCs w:val="18"/>
              </w:rPr>
              <w:t>Lemos</w:t>
            </w:r>
            <w:proofErr w:type="spellEnd"/>
            <w:r w:rsidRPr="00226892">
              <w:rPr>
                <w:rFonts w:ascii="Arial" w:hAnsi="Arial" w:cs="Arial"/>
                <w:color w:val="000000"/>
                <w:sz w:val="18"/>
                <w:szCs w:val="18"/>
              </w:rPr>
              <w:t xml:space="preserve"> Monteiro (od 11.12.2018)</w:t>
            </w:r>
          </w:p>
        </w:tc>
        <w:tc>
          <w:tcPr>
            <w:tcW w:w="2024" w:type="pct"/>
            <w:tcBorders>
              <w:top w:val="nil"/>
              <w:left w:val="nil"/>
              <w:bottom w:val="single" w:sz="4" w:space="0" w:color="auto"/>
              <w:right w:val="nil"/>
            </w:tcBorders>
            <w:shd w:val="clear" w:color="auto" w:fill="auto"/>
            <w:vAlign w:val="bottom"/>
            <w:hideMark/>
          </w:tcPr>
          <w:p w14:paraId="769217B2" w14:textId="77777777" w:rsidR="00695254" w:rsidRPr="00226892" w:rsidRDefault="00695254" w:rsidP="00BA675C">
            <w:pPr>
              <w:jc w:val="right"/>
              <w:rPr>
                <w:rFonts w:ascii="Arial" w:hAnsi="Arial" w:cs="Arial"/>
                <w:color w:val="000000"/>
                <w:sz w:val="18"/>
                <w:szCs w:val="18"/>
              </w:rPr>
            </w:pPr>
            <w:r w:rsidRPr="00226892">
              <w:rPr>
                <w:rFonts w:ascii="Arial" w:hAnsi="Arial" w:cs="Arial"/>
                <w:color w:val="000000"/>
                <w:sz w:val="18"/>
                <w:szCs w:val="18"/>
              </w:rPr>
              <w:t xml:space="preserve">doc. Ing. </w:t>
            </w:r>
            <w:proofErr w:type="spellStart"/>
            <w:r w:rsidRPr="00226892">
              <w:rPr>
                <w:rFonts w:ascii="Arial" w:hAnsi="Arial" w:cs="Arial"/>
                <w:color w:val="000000"/>
                <w:sz w:val="18"/>
                <w:szCs w:val="18"/>
              </w:rPr>
              <w:t>Štefan</w:t>
            </w:r>
            <w:proofErr w:type="spellEnd"/>
            <w:r w:rsidRPr="00226892">
              <w:rPr>
                <w:rFonts w:ascii="Arial" w:hAnsi="Arial" w:cs="Arial"/>
                <w:color w:val="000000"/>
                <w:sz w:val="18"/>
                <w:szCs w:val="18"/>
              </w:rPr>
              <w:t xml:space="preserve"> Rosina, PhD. MBA</w:t>
            </w:r>
          </w:p>
        </w:tc>
      </w:tr>
      <w:tr w:rsidR="00695254" w:rsidRPr="00226892" w14:paraId="7ED3216F" w14:textId="77777777" w:rsidTr="00AC2584">
        <w:trPr>
          <w:trHeight w:val="227"/>
        </w:trPr>
        <w:tc>
          <w:tcPr>
            <w:tcW w:w="1269" w:type="pct"/>
            <w:tcBorders>
              <w:left w:val="nil"/>
              <w:bottom w:val="single" w:sz="4" w:space="0" w:color="auto"/>
              <w:right w:val="nil"/>
            </w:tcBorders>
            <w:shd w:val="clear" w:color="auto" w:fill="auto"/>
            <w:hideMark/>
          </w:tcPr>
          <w:p w14:paraId="7029D194" w14:textId="0F5A1BDF" w:rsidR="00C51CA7" w:rsidRPr="00226892" w:rsidRDefault="00695254" w:rsidP="00AC2584">
            <w:pPr>
              <w:rPr>
                <w:rFonts w:ascii="Arial" w:hAnsi="Arial" w:cs="Arial"/>
                <w:color w:val="000000"/>
                <w:sz w:val="18"/>
                <w:szCs w:val="18"/>
              </w:rPr>
            </w:pPr>
            <w:proofErr w:type="spellStart"/>
            <w:r w:rsidRPr="00226892">
              <w:rPr>
                <w:rFonts w:ascii="Arial" w:hAnsi="Arial" w:cs="Arial"/>
                <w:color w:val="000000"/>
                <w:sz w:val="18"/>
                <w:szCs w:val="18"/>
              </w:rPr>
              <w:t>Podpredseda</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predstavenstva</w:t>
            </w:r>
            <w:proofErr w:type="spellEnd"/>
          </w:p>
          <w:p w14:paraId="0432859E" w14:textId="213C9EEB" w:rsidR="00C51CA7" w:rsidRPr="00226892" w:rsidRDefault="00C51CA7" w:rsidP="00AC2584">
            <w:pPr>
              <w:rPr>
                <w:rFonts w:ascii="Arial" w:hAnsi="Arial" w:cs="Arial"/>
                <w:color w:val="000000"/>
                <w:sz w:val="18"/>
                <w:szCs w:val="18"/>
              </w:rPr>
            </w:pPr>
          </w:p>
          <w:p w14:paraId="2DA970C5" w14:textId="5857EF69" w:rsidR="00C51CA7" w:rsidRPr="00226892" w:rsidRDefault="00C51CA7" w:rsidP="00AC2584">
            <w:pPr>
              <w:rPr>
                <w:rFonts w:ascii="Arial" w:hAnsi="Arial" w:cs="Arial"/>
                <w:color w:val="000000"/>
                <w:sz w:val="18"/>
                <w:szCs w:val="18"/>
              </w:rPr>
            </w:pPr>
          </w:p>
          <w:p w14:paraId="408871AD" w14:textId="4D7DCE37" w:rsidR="00C51CA7" w:rsidRPr="00226892" w:rsidRDefault="00C51CA7" w:rsidP="00AC2584">
            <w:pPr>
              <w:rPr>
                <w:rFonts w:ascii="Arial" w:hAnsi="Arial" w:cs="Arial"/>
                <w:color w:val="000000"/>
                <w:sz w:val="18"/>
                <w:szCs w:val="18"/>
              </w:rPr>
            </w:pPr>
          </w:p>
          <w:p w14:paraId="6E5D020C" w14:textId="0124800C" w:rsidR="00C51CA7" w:rsidRPr="00226892" w:rsidRDefault="00C51CA7" w:rsidP="00AC2584">
            <w:pPr>
              <w:rPr>
                <w:rFonts w:ascii="Arial" w:hAnsi="Arial" w:cs="Arial"/>
                <w:color w:val="000000"/>
                <w:sz w:val="18"/>
                <w:szCs w:val="18"/>
              </w:rPr>
            </w:pPr>
          </w:p>
          <w:p w14:paraId="7050FF3C" w14:textId="77777777" w:rsidR="00C51CA7" w:rsidRPr="00226892" w:rsidRDefault="00C51CA7" w:rsidP="00AC2584">
            <w:pPr>
              <w:rPr>
                <w:rFonts w:ascii="Arial" w:hAnsi="Arial" w:cs="Arial"/>
                <w:color w:val="000000"/>
                <w:sz w:val="18"/>
                <w:szCs w:val="18"/>
              </w:rPr>
            </w:pPr>
          </w:p>
          <w:p w14:paraId="77281454" w14:textId="55BD778A" w:rsidR="00C51CA7" w:rsidRPr="00226892" w:rsidRDefault="00C51CA7" w:rsidP="00AC2584">
            <w:pPr>
              <w:rPr>
                <w:rFonts w:ascii="Arial" w:hAnsi="Arial" w:cs="Arial"/>
                <w:color w:val="000000"/>
                <w:sz w:val="18"/>
                <w:szCs w:val="18"/>
              </w:rPr>
            </w:pPr>
          </w:p>
        </w:tc>
        <w:tc>
          <w:tcPr>
            <w:tcW w:w="1707" w:type="pct"/>
            <w:tcBorders>
              <w:top w:val="nil"/>
              <w:left w:val="nil"/>
              <w:bottom w:val="single" w:sz="4" w:space="0" w:color="auto"/>
              <w:right w:val="nil"/>
            </w:tcBorders>
            <w:shd w:val="clear" w:color="auto" w:fill="auto"/>
            <w:vAlign w:val="bottom"/>
            <w:hideMark/>
          </w:tcPr>
          <w:p w14:paraId="66CEC53F" w14:textId="594A776E" w:rsidR="00C51CA7" w:rsidRPr="00226892" w:rsidRDefault="00695254" w:rsidP="00C51CA7">
            <w:pPr>
              <w:jc w:val="right"/>
              <w:rPr>
                <w:rFonts w:ascii="Arial" w:hAnsi="Arial" w:cs="Arial"/>
                <w:color w:val="000000"/>
                <w:sz w:val="18"/>
                <w:szCs w:val="18"/>
              </w:rPr>
            </w:pPr>
            <w:r w:rsidRPr="00226892">
              <w:rPr>
                <w:rFonts w:ascii="Arial" w:hAnsi="Arial" w:cs="Arial"/>
                <w:color w:val="000000"/>
                <w:sz w:val="18"/>
                <w:szCs w:val="18"/>
              </w:rPr>
              <w:t xml:space="preserve">Ing. Miroslav Rosina, </w:t>
            </w:r>
            <w:proofErr w:type="gramStart"/>
            <w:r w:rsidRPr="00226892">
              <w:rPr>
                <w:rFonts w:ascii="Arial" w:hAnsi="Arial" w:cs="Arial"/>
                <w:color w:val="000000"/>
                <w:sz w:val="18"/>
                <w:szCs w:val="18"/>
              </w:rPr>
              <w:t>PhD.</w:t>
            </w:r>
            <w:r w:rsidR="00C51CA7" w:rsidRPr="00226892">
              <w:rPr>
                <w:rFonts w:ascii="Arial" w:hAnsi="Arial" w:cs="Arial"/>
                <w:color w:val="000000"/>
                <w:sz w:val="18"/>
                <w:szCs w:val="18"/>
              </w:rPr>
              <w:t>(</w:t>
            </w:r>
            <w:proofErr w:type="gramEnd"/>
            <w:r w:rsidR="00C51CA7" w:rsidRPr="00226892">
              <w:rPr>
                <w:rFonts w:ascii="Arial" w:hAnsi="Arial" w:cs="Arial"/>
                <w:color w:val="000000"/>
                <w:sz w:val="18"/>
                <w:szCs w:val="18"/>
              </w:rPr>
              <w:t>od 1.3.2018)</w:t>
            </w:r>
          </w:p>
          <w:p w14:paraId="18D4A509" w14:textId="4897A631" w:rsidR="00C51CA7" w:rsidRPr="00226892" w:rsidRDefault="00C51CA7" w:rsidP="00C51CA7">
            <w:pPr>
              <w:jc w:val="right"/>
              <w:rPr>
                <w:rFonts w:ascii="Arial" w:hAnsi="Arial" w:cs="Arial"/>
                <w:color w:val="000000"/>
                <w:sz w:val="18"/>
                <w:szCs w:val="18"/>
              </w:rPr>
            </w:pPr>
            <w:r w:rsidRPr="00226892">
              <w:rPr>
                <w:rFonts w:ascii="Arial" w:hAnsi="Arial" w:cs="Arial"/>
                <w:color w:val="000000"/>
                <w:sz w:val="18"/>
                <w:szCs w:val="18"/>
              </w:rPr>
              <w:t xml:space="preserve">Doc. Ing. </w:t>
            </w:r>
            <w:proofErr w:type="spellStart"/>
            <w:r w:rsidRPr="00226892">
              <w:rPr>
                <w:rFonts w:ascii="Arial" w:hAnsi="Arial" w:cs="Arial"/>
                <w:color w:val="000000"/>
                <w:sz w:val="18"/>
                <w:szCs w:val="18"/>
              </w:rPr>
              <w:t>Štefan</w:t>
            </w:r>
            <w:proofErr w:type="spellEnd"/>
            <w:r w:rsidRPr="00226892">
              <w:rPr>
                <w:rFonts w:ascii="Arial" w:hAnsi="Arial" w:cs="Arial"/>
                <w:color w:val="000000"/>
                <w:sz w:val="18"/>
                <w:szCs w:val="18"/>
              </w:rPr>
              <w:t xml:space="preserve"> Rosina, PhD. MBA (od 11.12.2018)</w:t>
            </w:r>
          </w:p>
          <w:p w14:paraId="7CCF8F26" w14:textId="06261CD1" w:rsidR="00C51CA7" w:rsidRPr="00226892" w:rsidRDefault="00C51CA7" w:rsidP="00C51CA7">
            <w:pPr>
              <w:jc w:val="right"/>
              <w:rPr>
                <w:rFonts w:ascii="Arial" w:hAnsi="Arial" w:cs="Arial"/>
                <w:color w:val="000000"/>
                <w:sz w:val="18"/>
                <w:szCs w:val="18"/>
              </w:rPr>
            </w:pPr>
            <w:r w:rsidRPr="00226892">
              <w:rPr>
                <w:rFonts w:ascii="Arial" w:hAnsi="Arial" w:cs="Arial"/>
                <w:color w:val="000000"/>
                <w:sz w:val="18"/>
                <w:szCs w:val="18"/>
              </w:rPr>
              <w:t xml:space="preserve">Ing. Martin </w:t>
            </w:r>
            <w:proofErr w:type="spellStart"/>
            <w:r w:rsidRPr="00226892">
              <w:rPr>
                <w:rFonts w:ascii="Arial" w:hAnsi="Arial" w:cs="Arial"/>
                <w:color w:val="000000"/>
                <w:sz w:val="18"/>
                <w:szCs w:val="18"/>
              </w:rPr>
              <w:t>Kele</w:t>
            </w:r>
            <w:proofErr w:type="spellEnd"/>
            <w:r w:rsidRPr="00226892">
              <w:rPr>
                <w:rFonts w:ascii="Arial" w:hAnsi="Arial" w:cs="Arial"/>
                <w:color w:val="000000"/>
                <w:sz w:val="18"/>
                <w:szCs w:val="18"/>
              </w:rPr>
              <w:t xml:space="preserve"> (do 1.3.2018)</w:t>
            </w:r>
          </w:p>
          <w:p w14:paraId="57A0D240" w14:textId="4850137E" w:rsidR="00695254" w:rsidRPr="00226892" w:rsidRDefault="00C51CA7" w:rsidP="00ED3406">
            <w:pPr>
              <w:jc w:val="right"/>
              <w:rPr>
                <w:rFonts w:ascii="Arial" w:hAnsi="Arial" w:cs="Arial"/>
                <w:color w:val="000000"/>
                <w:sz w:val="18"/>
                <w:szCs w:val="18"/>
              </w:rPr>
            </w:pPr>
            <w:r w:rsidRPr="00226892">
              <w:rPr>
                <w:rFonts w:ascii="Arial" w:hAnsi="Arial" w:cs="Arial"/>
                <w:color w:val="000000"/>
                <w:sz w:val="18"/>
                <w:szCs w:val="18"/>
              </w:rPr>
              <w:t xml:space="preserve">Rui de </w:t>
            </w:r>
            <w:proofErr w:type="spellStart"/>
            <w:r w:rsidRPr="00226892">
              <w:rPr>
                <w:rFonts w:ascii="Arial" w:hAnsi="Arial" w:cs="Arial"/>
                <w:color w:val="000000"/>
                <w:sz w:val="18"/>
                <w:szCs w:val="18"/>
              </w:rPr>
              <w:t>Lemos</w:t>
            </w:r>
            <w:proofErr w:type="spellEnd"/>
            <w:r w:rsidRPr="00226892">
              <w:rPr>
                <w:rFonts w:ascii="Arial" w:hAnsi="Arial" w:cs="Arial"/>
                <w:color w:val="000000"/>
                <w:sz w:val="18"/>
                <w:szCs w:val="18"/>
              </w:rPr>
              <w:t xml:space="preserve"> Monteiro (od 1.3.2018 do 11.12.2018)</w:t>
            </w:r>
            <w:r w:rsidR="00695254" w:rsidRPr="00226892">
              <w:rPr>
                <w:rFonts w:ascii="Arial" w:hAnsi="Arial" w:cs="Arial"/>
                <w:color w:val="000000"/>
                <w:sz w:val="18"/>
                <w:szCs w:val="18"/>
              </w:rPr>
              <w:t xml:space="preserve"> </w:t>
            </w:r>
          </w:p>
        </w:tc>
        <w:tc>
          <w:tcPr>
            <w:tcW w:w="2024" w:type="pct"/>
            <w:tcBorders>
              <w:top w:val="nil"/>
              <w:left w:val="nil"/>
              <w:bottom w:val="single" w:sz="4" w:space="0" w:color="auto"/>
              <w:right w:val="nil"/>
            </w:tcBorders>
            <w:shd w:val="clear" w:color="auto" w:fill="auto"/>
            <w:vAlign w:val="bottom"/>
            <w:hideMark/>
          </w:tcPr>
          <w:p w14:paraId="645E171A" w14:textId="77777777" w:rsidR="00AC4843" w:rsidRPr="00226892" w:rsidRDefault="00695254" w:rsidP="00BA675C">
            <w:pPr>
              <w:jc w:val="right"/>
              <w:rPr>
                <w:rFonts w:ascii="Arial" w:hAnsi="Arial" w:cs="Arial"/>
                <w:color w:val="000000"/>
                <w:sz w:val="18"/>
                <w:szCs w:val="18"/>
              </w:rPr>
            </w:pPr>
            <w:r w:rsidRPr="00226892">
              <w:rPr>
                <w:rFonts w:ascii="Arial" w:hAnsi="Arial" w:cs="Arial"/>
                <w:color w:val="000000"/>
                <w:sz w:val="18"/>
                <w:szCs w:val="18"/>
              </w:rPr>
              <w:t>Ing. Miroslav Rosina, PhD.</w:t>
            </w:r>
          </w:p>
          <w:p w14:paraId="4FAEC547" w14:textId="488E17CD" w:rsidR="00695254" w:rsidRPr="00226892" w:rsidRDefault="00AC4843" w:rsidP="00BA675C">
            <w:pPr>
              <w:jc w:val="right"/>
              <w:rPr>
                <w:rFonts w:ascii="Arial" w:hAnsi="Arial" w:cs="Arial"/>
                <w:color w:val="000000"/>
                <w:sz w:val="18"/>
                <w:szCs w:val="18"/>
              </w:rPr>
            </w:pPr>
            <w:r w:rsidRPr="00226892">
              <w:rPr>
                <w:rFonts w:ascii="Arial" w:hAnsi="Arial" w:cs="Arial"/>
                <w:color w:val="000000"/>
                <w:sz w:val="18"/>
                <w:szCs w:val="18"/>
              </w:rPr>
              <w:t xml:space="preserve">Ing. Martin </w:t>
            </w:r>
            <w:proofErr w:type="spellStart"/>
            <w:r w:rsidRPr="00226892">
              <w:rPr>
                <w:rFonts w:ascii="Arial" w:hAnsi="Arial" w:cs="Arial"/>
                <w:color w:val="000000"/>
                <w:sz w:val="18"/>
                <w:szCs w:val="18"/>
              </w:rPr>
              <w:t>Kele</w:t>
            </w:r>
            <w:proofErr w:type="spellEnd"/>
            <w:r w:rsidR="00695254" w:rsidRPr="00226892">
              <w:rPr>
                <w:rFonts w:ascii="Arial" w:hAnsi="Arial" w:cs="Arial"/>
                <w:color w:val="000000"/>
                <w:sz w:val="18"/>
                <w:szCs w:val="18"/>
              </w:rPr>
              <w:t xml:space="preserve"> </w:t>
            </w:r>
          </w:p>
        </w:tc>
      </w:tr>
      <w:tr w:rsidR="00695254" w:rsidRPr="00226892" w14:paraId="58C00277" w14:textId="77777777" w:rsidTr="00AC2584">
        <w:trPr>
          <w:trHeight w:val="227"/>
        </w:trPr>
        <w:tc>
          <w:tcPr>
            <w:tcW w:w="1269" w:type="pct"/>
            <w:tcBorders>
              <w:top w:val="single" w:sz="4" w:space="0" w:color="auto"/>
              <w:left w:val="nil"/>
              <w:right w:val="nil"/>
            </w:tcBorders>
            <w:shd w:val="clear" w:color="auto" w:fill="auto"/>
            <w:hideMark/>
          </w:tcPr>
          <w:p w14:paraId="04B6AE11" w14:textId="64E2085A" w:rsidR="00695254" w:rsidRPr="00226892" w:rsidRDefault="00695254" w:rsidP="00AC2584">
            <w:pPr>
              <w:rPr>
                <w:rFonts w:ascii="Arial" w:hAnsi="Arial" w:cs="Arial"/>
                <w:color w:val="000000"/>
                <w:sz w:val="18"/>
                <w:szCs w:val="18"/>
              </w:rPr>
            </w:pPr>
            <w:proofErr w:type="spellStart"/>
            <w:r w:rsidRPr="00226892">
              <w:rPr>
                <w:rFonts w:ascii="Arial" w:hAnsi="Arial" w:cs="Arial"/>
                <w:color w:val="000000"/>
                <w:sz w:val="18"/>
                <w:szCs w:val="18"/>
              </w:rPr>
              <w:t>Člen</w:t>
            </w:r>
            <w:r w:rsidR="00AC4843" w:rsidRPr="00226892">
              <w:rPr>
                <w:rFonts w:ascii="Arial" w:hAnsi="Arial" w:cs="Arial"/>
                <w:color w:val="000000"/>
                <w:sz w:val="18"/>
                <w:szCs w:val="18"/>
              </w:rPr>
              <w:t>ovia</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predstavenstva</w:t>
            </w:r>
            <w:proofErr w:type="spellEnd"/>
          </w:p>
        </w:tc>
        <w:tc>
          <w:tcPr>
            <w:tcW w:w="1707" w:type="pct"/>
            <w:tcBorders>
              <w:top w:val="single" w:sz="4" w:space="0" w:color="auto"/>
              <w:left w:val="nil"/>
              <w:right w:val="nil"/>
            </w:tcBorders>
            <w:shd w:val="clear" w:color="auto" w:fill="auto"/>
            <w:vAlign w:val="bottom"/>
            <w:hideMark/>
          </w:tcPr>
          <w:p w14:paraId="6F4076B3" w14:textId="42854DBE" w:rsidR="00695254" w:rsidRPr="00226892" w:rsidRDefault="00695254" w:rsidP="00BA675C">
            <w:pPr>
              <w:jc w:val="right"/>
              <w:rPr>
                <w:rFonts w:ascii="Arial" w:hAnsi="Arial" w:cs="Arial"/>
                <w:color w:val="000000"/>
                <w:sz w:val="18"/>
                <w:szCs w:val="18"/>
              </w:rPr>
            </w:pPr>
            <w:r w:rsidRPr="00226892">
              <w:rPr>
                <w:rFonts w:ascii="Arial" w:hAnsi="Arial" w:cs="Arial"/>
                <w:color w:val="000000"/>
                <w:sz w:val="18"/>
                <w:szCs w:val="18"/>
              </w:rPr>
              <w:t xml:space="preserve">Ing. </w:t>
            </w:r>
            <w:proofErr w:type="spellStart"/>
            <w:r w:rsidRPr="00226892">
              <w:rPr>
                <w:rFonts w:ascii="Arial" w:hAnsi="Arial" w:cs="Arial"/>
                <w:color w:val="000000"/>
                <w:sz w:val="18"/>
                <w:szCs w:val="18"/>
              </w:rPr>
              <w:t>Jozef</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Vozár</w:t>
            </w:r>
            <w:proofErr w:type="spellEnd"/>
            <w:r w:rsidR="00AC4843" w:rsidRPr="00226892">
              <w:rPr>
                <w:rFonts w:ascii="Arial" w:hAnsi="Arial" w:cs="Arial"/>
                <w:color w:val="000000"/>
                <w:sz w:val="18"/>
                <w:szCs w:val="18"/>
              </w:rPr>
              <w:t xml:space="preserve"> (do 1.3.2018)</w:t>
            </w:r>
            <w:r w:rsidRPr="00226892">
              <w:rPr>
                <w:rFonts w:ascii="Arial" w:hAnsi="Arial" w:cs="Arial"/>
                <w:color w:val="000000"/>
                <w:sz w:val="18"/>
                <w:szCs w:val="18"/>
              </w:rPr>
              <w:t xml:space="preserve"> </w:t>
            </w:r>
          </w:p>
        </w:tc>
        <w:tc>
          <w:tcPr>
            <w:tcW w:w="2024" w:type="pct"/>
            <w:tcBorders>
              <w:top w:val="single" w:sz="4" w:space="0" w:color="auto"/>
              <w:left w:val="nil"/>
              <w:right w:val="nil"/>
            </w:tcBorders>
            <w:shd w:val="clear" w:color="auto" w:fill="auto"/>
            <w:vAlign w:val="bottom"/>
            <w:hideMark/>
          </w:tcPr>
          <w:p w14:paraId="17169788" w14:textId="08F0C34C" w:rsidR="00695254" w:rsidRPr="00226892" w:rsidRDefault="00695254" w:rsidP="00BA675C">
            <w:pPr>
              <w:jc w:val="right"/>
              <w:rPr>
                <w:rFonts w:ascii="Arial" w:hAnsi="Arial" w:cs="Arial"/>
                <w:color w:val="000000"/>
                <w:sz w:val="18"/>
                <w:szCs w:val="18"/>
              </w:rPr>
            </w:pPr>
          </w:p>
        </w:tc>
      </w:tr>
      <w:tr w:rsidR="00695254" w:rsidRPr="00226892" w14:paraId="579BB7B7" w14:textId="77777777" w:rsidTr="00AC2584">
        <w:trPr>
          <w:trHeight w:val="227"/>
        </w:trPr>
        <w:tc>
          <w:tcPr>
            <w:tcW w:w="1269" w:type="pct"/>
            <w:tcBorders>
              <w:left w:val="nil"/>
              <w:right w:val="nil"/>
            </w:tcBorders>
            <w:shd w:val="clear" w:color="auto" w:fill="auto"/>
            <w:hideMark/>
          </w:tcPr>
          <w:p w14:paraId="592B62B3" w14:textId="1780FD26" w:rsidR="00695254" w:rsidRPr="00226892" w:rsidRDefault="00695254" w:rsidP="00AC2584">
            <w:pPr>
              <w:rPr>
                <w:rFonts w:ascii="Arial" w:hAnsi="Arial" w:cs="Arial"/>
                <w:color w:val="000000"/>
                <w:sz w:val="18"/>
                <w:szCs w:val="18"/>
              </w:rPr>
            </w:pPr>
          </w:p>
        </w:tc>
        <w:tc>
          <w:tcPr>
            <w:tcW w:w="1707" w:type="pct"/>
            <w:tcBorders>
              <w:left w:val="nil"/>
              <w:right w:val="nil"/>
            </w:tcBorders>
            <w:shd w:val="clear" w:color="auto" w:fill="auto"/>
            <w:vAlign w:val="bottom"/>
            <w:hideMark/>
          </w:tcPr>
          <w:p w14:paraId="5DEF7011" w14:textId="1F88DE2C" w:rsidR="00695254" w:rsidRPr="00226892" w:rsidRDefault="00695254" w:rsidP="00BA675C">
            <w:pPr>
              <w:jc w:val="right"/>
              <w:rPr>
                <w:rFonts w:ascii="Arial" w:hAnsi="Arial" w:cs="Arial"/>
                <w:color w:val="000000"/>
                <w:sz w:val="18"/>
                <w:szCs w:val="18"/>
              </w:rPr>
            </w:pPr>
            <w:r w:rsidRPr="00226892">
              <w:rPr>
                <w:rFonts w:ascii="Arial" w:hAnsi="Arial" w:cs="Arial"/>
                <w:color w:val="000000"/>
                <w:sz w:val="18"/>
                <w:szCs w:val="18"/>
              </w:rPr>
              <w:t xml:space="preserve">Ing. </w:t>
            </w:r>
            <w:proofErr w:type="spellStart"/>
            <w:r w:rsidR="00AC4843" w:rsidRPr="00226892">
              <w:rPr>
                <w:rFonts w:ascii="Arial" w:hAnsi="Arial" w:cs="Arial"/>
                <w:color w:val="000000"/>
                <w:sz w:val="18"/>
                <w:szCs w:val="18"/>
              </w:rPr>
              <w:t>Vojtěch</w:t>
            </w:r>
            <w:proofErr w:type="spellEnd"/>
            <w:r w:rsidR="00AC4843" w:rsidRPr="00226892">
              <w:rPr>
                <w:rFonts w:ascii="Arial" w:hAnsi="Arial" w:cs="Arial"/>
                <w:color w:val="000000"/>
                <w:sz w:val="18"/>
                <w:szCs w:val="18"/>
              </w:rPr>
              <w:t xml:space="preserve"> </w:t>
            </w:r>
            <w:proofErr w:type="spellStart"/>
            <w:r w:rsidR="00AC4843" w:rsidRPr="00226892">
              <w:rPr>
                <w:rFonts w:ascii="Arial" w:hAnsi="Arial" w:cs="Arial"/>
                <w:color w:val="000000"/>
                <w:sz w:val="18"/>
                <w:szCs w:val="18"/>
              </w:rPr>
              <w:t>Žák</w:t>
            </w:r>
            <w:proofErr w:type="spellEnd"/>
            <w:r w:rsidRPr="00226892">
              <w:rPr>
                <w:rFonts w:ascii="Arial" w:hAnsi="Arial" w:cs="Arial"/>
                <w:color w:val="000000"/>
                <w:sz w:val="18"/>
                <w:szCs w:val="18"/>
              </w:rPr>
              <w:t xml:space="preserve"> (</w:t>
            </w:r>
            <w:r w:rsidR="00AC4843" w:rsidRPr="00226892">
              <w:rPr>
                <w:rFonts w:ascii="Arial" w:hAnsi="Arial" w:cs="Arial"/>
                <w:color w:val="000000"/>
                <w:sz w:val="18"/>
                <w:szCs w:val="18"/>
              </w:rPr>
              <w:t>od 1.3.2018</w:t>
            </w:r>
            <w:r w:rsidRPr="00226892">
              <w:rPr>
                <w:rFonts w:ascii="Arial" w:hAnsi="Arial" w:cs="Arial"/>
                <w:color w:val="000000"/>
                <w:sz w:val="18"/>
                <w:szCs w:val="18"/>
              </w:rPr>
              <w:t>)</w:t>
            </w:r>
          </w:p>
          <w:p w14:paraId="6B35A6DE" w14:textId="77777777" w:rsidR="00AC4843" w:rsidRPr="00226892" w:rsidRDefault="00AC4843" w:rsidP="00BA675C">
            <w:pPr>
              <w:jc w:val="right"/>
              <w:rPr>
                <w:rFonts w:ascii="Arial" w:hAnsi="Arial" w:cs="Arial"/>
                <w:color w:val="000000"/>
                <w:sz w:val="18"/>
                <w:szCs w:val="18"/>
              </w:rPr>
            </w:pPr>
            <w:r w:rsidRPr="00226892">
              <w:rPr>
                <w:rFonts w:ascii="Arial" w:hAnsi="Arial" w:cs="Arial"/>
                <w:color w:val="000000"/>
                <w:sz w:val="18"/>
                <w:szCs w:val="18"/>
              </w:rPr>
              <w:t xml:space="preserve">Ing. Rastislav </w:t>
            </w:r>
            <w:proofErr w:type="spellStart"/>
            <w:r w:rsidRPr="00226892">
              <w:rPr>
                <w:rFonts w:ascii="Arial" w:hAnsi="Arial" w:cs="Arial"/>
                <w:color w:val="000000"/>
                <w:sz w:val="18"/>
                <w:szCs w:val="18"/>
              </w:rPr>
              <w:t>Fuliér</w:t>
            </w:r>
            <w:proofErr w:type="spellEnd"/>
            <w:r w:rsidRPr="00226892">
              <w:rPr>
                <w:rFonts w:ascii="Arial" w:hAnsi="Arial" w:cs="Arial"/>
                <w:color w:val="000000"/>
                <w:sz w:val="18"/>
                <w:szCs w:val="18"/>
              </w:rPr>
              <w:t xml:space="preserve"> (od 11.12.2018)</w:t>
            </w:r>
          </w:p>
          <w:p w14:paraId="0423AE0C" w14:textId="77777777" w:rsidR="00AC4843" w:rsidRPr="00226892" w:rsidRDefault="00AC4843" w:rsidP="00BA675C">
            <w:pPr>
              <w:jc w:val="right"/>
              <w:rPr>
                <w:rFonts w:ascii="Arial" w:hAnsi="Arial" w:cs="Arial"/>
                <w:color w:val="000000"/>
                <w:sz w:val="18"/>
                <w:szCs w:val="18"/>
              </w:rPr>
            </w:pPr>
            <w:r w:rsidRPr="00226892">
              <w:rPr>
                <w:rFonts w:ascii="Arial" w:hAnsi="Arial" w:cs="Arial"/>
                <w:color w:val="000000"/>
                <w:sz w:val="18"/>
                <w:szCs w:val="18"/>
              </w:rPr>
              <w:t xml:space="preserve">Ing. </w:t>
            </w:r>
            <w:proofErr w:type="spellStart"/>
            <w:r w:rsidRPr="00226892">
              <w:rPr>
                <w:rFonts w:ascii="Arial" w:hAnsi="Arial" w:cs="Arial"/>
                <w:color w:val="000000"/>
                <w:sz w:val="18"/>
                <w:szCs w:val="18"/>
              </w:rPr>
              <w:t>Mirosla</w:t>
            </w:r>
            <w:proofErr w:type="spellEnd"/>
            <w:r w:rsidRPr="00226892">
              <w:rPr>
                <w:rFonts w:ascii="Arial" w:hAnsi="Arial" w:cs="Arial"/>
                <w:color w:val="000000"/>
                <w:sz w:val="18"/>
                <w:szCs w:val="18"/>
              </w:rPr>
              <w:t xml:space="preserve"> Rosina (od 1.3.2018 do 11.12.208)</w:t>
            </w:r>
          </w:p>
          <w:p w14:paraId="589F9293" w14:textId="77777777" w:rsidR="00AC4843" w:rsidRPr="00226892" w:rsidRDefault="00AC4843" w:rsidP="00BA675C">
            <w:pPr>
              <w:jc w:val="right"/>
              <w:rPr>
                <w:rFonts w:ascii="Arial" w:hAnsi="Arial" w:cs="Arial"/>
                <w:color w:val="000000"/>
                <w:sz w:val="18"/>
                <w:szCs w:val="18"/>
              </w:rPr>
            </w:pPr>
            <w:r w:rsidRPr="00226892">
              <w:rPr>
                <w:rFonts w:ascii="Arial" w:hAnsi="Arial" w:cs="Arial"/>
                <w:color w:val="000000"/>
                <w:sz w:val="18"/>
                <w:szCs w:val="18"/>
              </w:rPr>
              <w:t xml:space="preserve">Marta do </w:t>
            </w:r>
            <w:proofErr w:type="spellStart"/>
            <w:r w:rsidRPr="00226892">
              <w:rPr>
                <w:rFonts w:ascii="Arial" w:hAnsi="Arial" w:cs="Arial"/>
                <w:color w:val="000000"/>
                <w:sz w:val="18"/>
                <w:szCs w:val="18"/>
              </w:rPr>
              <w:t>Céu</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Morais</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Cláudio</w:t>
            </w:r>
            <w:proofErr w:type="spellEnd"/>
            <w:r w:rsidRPr="00226892">
              <w:rPr>
                <w:rFonts w:ascii="Arial" w:hAnsi="Arial" w:cs="Arial"/>
                <w:color w:val="000000"/>
                <w:sz w:val="18"/>
                <w:szCs w:val="18"/>
              </w:rPr>
              <w:t xml:space="preserve"> (od 1.3.2018 do 11.12.2018)</w:t>
            </w:r>
          </w:p>
          <w:p w14:paraId="70765433" w14:textId="352A27D1" w:rsidR="00AC4843" w:rsidRPr="00226892" w:rsidRDefault="00AC4843" w:rsidP="00BA675C">
            <w:pPr>
              <w:jc w:val="right"/>
              <w:rPr>
                <w:rFonts w:ascii="Arial" w:hAnsi="Arial" w:cs="Arial"/>
                <w:color w:val="000000"/>
                <w:sz w:val="18"/>
                <w:szCs w:val="18"/>
              </w:rPr>
            </w:pPr>
            <w:r w:rsidRPr="00226892">
              <w:rPr>
                <w:rFonts w:ascii="Arial" w:hAnsi="Arial" w:cs="Arial"/>
                <w:color w:val="000000"/>
                <w:sz w:val="18"/>
                <w:szCs w:val="18"/>
              </w:rPr>
              <w:t xml:space="preserve">Filipe José Mesquita Soares </w:t>
            </w:r>
            <w:proofErr w:type="spellStart"/>
            <w:r w:rsidRPr="00226892">
              <w:rPr>
                <w:rFonts w:ascii="Arial" w:hAnsi="Arial" w:cs="Arial"/>
                <w:color w:val="000000"/>
                <w:sz w:val="18"/>
                <w:szCs w:val="18"/>
              </w:rPr>
              <w:t>Moutinho</w:t>
            </w:r>
            <w:proofErr w:type="spellEnd"/>
            <w:r w:rsidRPr="00226892">
              <w:rPr>
                <w:rFonts w:ascii="Arial" w:hAnsi="Arial" w:cs="Arial"/>
                <w:color w:val="000000"/>
                <w:sz w:val="18"/>
                <w:szCs w:val="18"/>
              </w:rPr>
              <w:t xml:space="preserve"> (od 11.12.2018)</w:t>
            </w:r>
          </w:p>
        </w:tc>
        <w:tc>
          <w:tcPr>
            <w:tcW w:w="2024" w:type="pct"/>
            <w:tcBorders>
              <w:left w:val="nil"/>
              <w:right w:val="nil"/>
            </w:tcBorders>
            <w:shd w:val="clear" w:color="auto" w:fill="auto"/>
            <w:vAlign w:val="bottom"/>
            <w:hideMark/>
          </w:tcPr>
          <w:p w14:paraId="16EF81E5" w14:textId="77777777" w:rsidR="00695254" w:rsidRPr="00226892" w:rsidRDefault="00695254" w:rsidP="00BA675C">
            <w:pPr>
              <w:jc w:val="right"/>
              <w:rPr>
                <w:rFonts w:ascii="Arial" w:hAnsi="Arial" w:cs="Arial"/>
                <w:color w:val="000000"/>
                <w:sz w:val="18"/>
                <w:szCs w:val="18"/>
              </w:rPr>
            </w:pPr>
            <w:r w:rsidRPr="00226892">
              <w:rPr>
                <w:rFonts w:ascii="Arial" w:hAnsi="Arial" w:cs="Arial"/>
                <w:color w:val="000000"/>
                <w:sz w:val="18"/>
                <w:szCs w:val="18"/>
              </w:rPr>
              <w:t xml:space="preserve">Ing. Boris </w:t>
            </w:r>
            <w:proofErr w:type="spellStart"/>
            <w:r w:rsidRPr="00226892">
              <w:rPr>
                <w:rFonts w:ascii="Arial" w:hAnsi="Arial" w:cs="Arial"/>
                <w:color w:val="000000"/>
                <w:sz w:val="18"/>
                <w:szCs w:val="18"/>
              </w:rPr>
              <w:t>Sluka</w:t>
            </w:r>
            <w:proofErr w:type="spellEnd"/>
            <w:r w:rsidR="00AC4843" w:rsidRPr="00226892">
              <w:rPr>
                <w:rFonts w:ascii="Arial" w:hAnsi="Arial" w:cs="Arial"/>
                <w:color w:val="000000"/>
                <w:sz w:val="18"/>
                <w:szCs w:val="18"/>
              </w:rPr>
              <w:t xml:space="preserve"> (do 28.6.2017)</w:t>
            </w:r>
          </w:p>
          <w:p w14:paraId="06892D4E" w14:textId="06233548" w:rsidR="00D3713C" w:rsidRPr="00226892" w:rsidRDefault="00D3713C" w:rsidP="00BA675C">
            <w:pPr>
              <w:jc w:val="right"/>
              <w:rPr>
                <w:rFonts w:ascii="Arial" w:hAnsi="Arial" w:cs="Arial"/>
                <w:color w:val="000000"/>
                <w:sz w:val="18"/>
                <w:szCs w:val="18"/>
              </w:rPr>
            </w:pPr>
            <w:r w:rsidRPr="00226892">
              <w:rPr>
                <w:rFonts w:ascii="Arial" w:hAnsi="Arial" w:cs="Arial"/>
                <w:color w:val="000000"/>
                <w:sz w:val="18"/>
                <w:szCs w:val="18"/>
              </w:rPr>
              <w:t xml:space="preserve">Ing. </w:t>
            </w:r>
            <w:proofErr w:type="spellStart"/>
            <w:r w:rsidRPr="00226892">
              <w:rPr>
                <w:rFonts w:ascii="Arial" w:hAnsi="Arial" w:cs="Arial"/>
                <w:color w:val="000000"/>
                <w:sz w:val="18"/>
                <w:szCs w:val="18"/>
              </w:rPr>
              <w:t>Jozef</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Vozár</w:t>
            </w:r>
            <w:proofErr w:type="spellEnd"/>
          </w:p>
        </w:tc>
      </w:tr>
      <w:tr w:rsidR="00695254" w:rsidRPr="00226892" w14:paraId="50CAFE38" w14:textId="77777777" w:rsidTr="00AC2584">
        <w:trPr>
          <w:trHeight w:val="227"/>
        </w:trPr>
        <w:tc>
          <w:tcPr>
            <w:tcW w:w="1269" w:type="pct"/>
            <w:tcBorders>
              <w:left w:val="nil"/>
              <w:right w:val="nil"/>
            </w:tcBorders>
            <w:shd w:val="clear" w:color="auto" w:fill="auto"/>
          </w:tcPr>
          <w:p w14:paraId="00A3DFAF" w14:textId="77777777" w:rsidR="00695254" w:rsidRPr="00226892" w:rsidRDefault="00695254" w:rsidP="00AC2584">
            <w:pPr>
              <w:rPr>
                <w:rFonts w:ascii="Arial" w:hAnsi="Arial" w:cs="Arial"/>
                <w:b/>
                <w:color w:val="000000"/>
                <w:sz w:val="18"/>
                <w:szCs w:val="18"/>
              </w:rPr>
            </w:pPr>
          </w:p>
        </w:tc>
        <w:tc>
          <w:tcPr>
            <w:tcW w:w="1707" w:type="pct"/>
            <w:tcBorders>
              <w:left w:val="nil"/>
              <w:right w:val="nil"/>
            </w:tcBorders>
            <w:shd w:val="clear" w:color="auto" w:fill="auto"/>
            <w:vAlign w:val="bottom"/>
          </w:tcPr>
          <w:p w14:paraId="29C8EA22" w14:textId="77777777" w:rsidR="00695254" w:rsidRPr="00226892" w:rsidRDefault="00695254" w:rsidP="00BA675C">
            <w:pPr>
              <w:jc w:val="right"/>
              <w:rPr>
                <w:rFonts w:ascii="Arial" w:hAnsi="Arial" w:cs="Arial"/>
                <w:b/>
                <w:color w:val="000000"/>
                <w:sz w:val="18"/>
                <w:szCs w:val="18"/>
              </w:rPr>
            </w:pPr>
          </w:p>
        </w:tc>
        <w:tc>
          <w:tcPr>
            <w:tcW w:w="2024" w:type="pct"/>
            <w:tcBorders>
              <w:left w:val="nil"/>
              <w:right w:val="nil"/>
            </w:tcBorders>
            <w:shd w:val="clear" w:color="auto" w:fill="auto"/>
            <w:vAlign w:val="bottom"/>
          </w:tcPr>
          <w:p w14:paraId="1BCADE9D" w14:textId="77777777" w:rsidR="00695254" w:rsidRPr="00226892" w:rsidRDefault="00695254" w:rsidP="00BA675C">
            <w:pPr>
              <w:jc w:val="right"/>
              <w:rPr>
                <w:rFonts w:ascii="Arial" w:hAnsi="Arial" w:cs="Arial"/>
                <w:b/>
                <w:sz w:val="18"/>
                <w:szCs w:val="18"/>
              </w:rPr>
            </w:pPr>
          </w:p>
        </w:tc>
      </w:tr>
      <w:tr w:rsidR="00695254" w:rsidRPr="00226892" w14:paraId="4E975144" w14:textId="77777777" w:rsidTr="00BC05E6">
        <w:trPr>
          <w:trHeight w:val="227"/>
        </w:trPr>
        <w:tc>
          <w:tcPr>
            <w:tcW w:w="1269" w:type="pct"/>
            <w:tcBorders>
              <w:left w:val="nil"/>
              <w:bottom w:val="single" w:sz="4" w:space="0" w:color="auto"/>
              <w:right w:val="nil"/>
            </w:tcBorders>
            <w:shd w:val="clear" w:color="auto" w:fill="auto"/>
          </w:tcPr>
          <w:p w14:paraId="3EC944BE" w14:textId="77777777" w:rsidR="00695254" w:rsidRPr="00226892" w:rsidRDefault="00695254" w:rsidP="00AC2584">
            <w:pPr>
              <w:rPr>
                <w:rFonts w:ascii="Arial" w:hAnsi="Arial" w:cs="Arial"/>
                <w:b/>
                <w:color w:val="000000"/>
                <w:sz w:val="18"/>
                <w:szCs w:val="18"/>
              </w:rPr>
            </w:pPr>
          </w:p>
        </w:tc>
        <w:tc>
          <w:tcPr>
            <w:tcW w:w="1707" w:type="pct"/>
            <w:tcBorders>
              <w:left w:val="nil"/>
              <w:bottom w:val="single" w:sz="4" w:space="0" w:color="auto"/>
              <w:right w:val="nil"/>
            </w:tcBorders>
            <w:shd w:val="clear" w:color="auto" w:fill="auto"/>
            <w:vAlign w:val="bottom"/>
          </w:tcPr>
          <w:p w14:paraId="4A5F0178" w14:textId="60C00AC9" w:rsidR="00695254" w:rsidRPr="00226892" w:rsidRDefault="00695254" w:rsidP="00BC05E6">
            <w:pPr>
              <w:jc w:val="center"/>
              <w:rPr>
                <w:rFonts w:ascii="Arial" w:hAnsi="Arial" w:cs="Arial"/>
                <w:b/>
                <w:color w:val="000000"/>
                <w:sz w:val="18"/>
                <w:szCs w:val="18"/>
              </w:rPr>
            </w:pPr>
            <w:proofErr w:type="spellStart"/>
            <w:r w:rsidRPr="00226892">
              <w:rPr>
                <w:rFonts w:ascii="Arial" w:hAnsi="Arial" w:cs="Arial"/>
                <w:b/>
                <w:color w:val="000000"/>
                <w:sz w:val="18"/>
                <w:szCs w:val="18"/>
              </w:rPr>
              <w:t>Stav</w:t>
            </w:r>
            <w:proofErr w:type="spellEnd"/>
            <w:r w:rsidRPr="00226892">
              <w:rPr>
                <w:rFonts w:ascii="Arial" w:hAnsi="Arial" w:cs="Arial"/>
                <w:b/>
                <w:color w:val="000000"/>
                <w:sz w:val="18"/>
                <w:szCs w:val="18"/>
              </w:rPr>
              <w:t xml:space="preserve"> k 31.12.201</w:t>
            </w:r>
            <w:r w:rsidR="00D3713C" w:rsidRPr="00226892">
              <w:rPr>
                <w:rFonts w:ascii="Arial" w:hAnsi="Arial" w:cs="Arial"/>
                <w:b/>
                <w:color w:val="000000"/>
                <w:sz w:val="18"/>
                <w:szCs w:val="18"/>
              </w:rPr>
              <w:t>8</w:t>
            </w:r>
          </w:p>
        </w:tc>
        <w:tc>
          <w:tcPr>
            <w:tcW w:w="2024" w:type="pct"/>
            <w:tcBorders>
              <w:left w:val="nil"/>
              <w:bottom w:val="single" w:sz="4" w:space="0" w:color="auto"/>
              <w:right w:val="nil"/>
            </w:tcBorders>
            <w:shd w:val="clear" w:color="auto" w:fill="auto"/>
            <w:vAlign w:val="bottom"/>
          </w:tcPr>
          <w:p w14:paraId="39C82745" w14:textId="426AA1D4" w:rsidR="00695254" w:rsidRPr="00226892" w:rsidRDefault="00695254" w:rsidP="00BC05E6">
            <w:pPr>
              <w:jc w:val="center"/>
              <w:rPr>
                <w:rFonts w:ascii="Arial" w:hAnsi="Arial" w:cs="Arial"/>
                <w:b/>
                <w:sz w:val="18"/>
                <w:szCs w:val="18"/>
              </w:rPr>
            </w:pPr>
            <w:proofErr w:type="spellStart"/>
            <w:r w:rsidRPr="00226892">
              <w:rPr>
                <w:rFonts w:ascii="Arial" w:hAnsi="Arial" w:cs="Arial"/>
                <w:b/>
                <w:sz w:val="18"/>
                <w:szCs w:val="18"/>
              </w:rPr>
              <w:t>Stav</w:t>
            </w:r>
            <w:proofErr w:type="spellEnd"/>
            <w:r w:rsidRPr="00226892">
              <w:rPr>
                <w:rFonts w:ascii="Arial" w:hAnsi="Arial" w:cs="Arial"/>
                <w:b/>
                <w:sz w:val="18"/>
                <w:szCs w:val="18"/>
              </w:rPr>
              <w:t xml:space="preserve"> k 31.12.</w:t>
            </w:r>
            <w:r w:rsidR="00F63A77" w:rsidRPr="00226892">
              <w:rPr>
                <w:rFonts w:ascii="Arial" w:hAnsi="Arial" w:cs="Arial"/>
                <w:b/>
                <w:sz w:val="18"/>
                <w:szCs w:val="18"/>
              </w:rPr>
              <w:t>2017</w:t>
            </w:r>
          </w:p>
        </w:tc>
      </w:tr>
      <w:tr w:rsidR="00695254" w:rsidRPr="00226892" w14:paraId="49EEF8FC" w14:textId="77777777" w:rsidTr="00AC2584">
        <w:trPr>
          <w:trHeight w:val="227"/>
        </w:trPr>
        <w:tc>
          <w:tcPr>
            <w:tcW w:w="1269" w:type="pct"/>
            <w:tcBorders>
              <w:top w:val="single" w:sz="4" w:space="0" w:color="auto"/>
              <w:left w:val="nil"/>
              <w:right w:val="nil"/>
            </w:tcBorders>
            <w:shd w:val="clear" w:color="auto" w:fill="auto"/>
            <w:hideMark/>
          </w:tcPr>
          <w:p w14:paraId="4168BBEE" w14:textId="77777777" w:rsidR="00695254" w:rsidRPr="00226892" w:rsidRDefault="00695254" w:rsidP="00AC2584">
            <w:pPr>
              <w:rPr>
                <w:rFonts w:ascii="Arial" w:hAnsi="Arial" w:cs="Arial"/>
                <w:b/>
                <w:color w:val="000000"/>
                <w:sz w:val="18"/>
                <w:szCs w:val="18"/>
              </w:rPr>
            </w:pPr>
            <w:proofErr w:type="spellStart"/>
            <w:r w:rsidRPr="00226892">
              <w:rPr>
                <w:rFonts w:ascii="Arial" w:hAnsi="Arial" w:cs="Arial"/>
                <w:b/>
                <w:color w:val="000000"/>
                <w:sz w:val="18"/>
                <w:szCs w:val="18"/>
              </w:rPr>
              <w:t>Dozorná</w:t>
            </w:r>
            <w:proofErr w:type="spellEnd"/>
            <w:r w:rsidRPr="00226892">
              <w:rPr>
                <w:rFonts w:ascii="Arial" w:hAnsi="Arial" w:cs="Arial"/>
                <w:b/>
                <w:color w:val="000000"/>
                <w:sz w:val="18"/>
                <w:szCs w:val="18"/>
              </w:rPr>
              <w:t xml:space="preserve"> </w:t>
            </w:r>
            <w:proofErr w:type="spellStart"/>
            <w:r w:rsidRPr="00226892">
              <w:rPr>
                <w:rFonts w:ascii="Arial" w:hAnsi="Arial" w:cs="Arial"/>
                <w:b/>
                <w:color w:val="000000"/>
                <w:sz w:val="18"/>
                <w:szCs w:val="18"/>
              </w:rPr>
              <w:t>rada</w:t>
            </w:r>
            <w:proofErr w:type="spellEnd"/>
            <w:r w:rsidRPr="00226892">
              <w:rPr>
                <w:rFonts w:ascii="Arial" w:hAnsi="Arial" w:cs="Arial"/>
                <w:b/>
                <w:color w:val="000000"/>
                <w:sz w:val="18"/>
                <w:szCs w:val="18"/>
              </w:rPr>
              <w:t>:</w:t>
            </w:r>
          </w:p>
        </w:tc>
        <w:tc>
          <w:tcPr>
            <w:tcW w:w="1707" w:type="pct"/>
            <w:tcBorders>
              <w:top w:val="single" w:sz="4" w:space="0" w:color="auto"/>
              <w:left w:val="nil"/>
              <w:right w:val="nil"/>
            </w:tcBorders>
            <w:shd w:val="clear" w:color="auto" w:fill="auto"/>
            <w:vAlign w:val="bottom"/>
            <w:hideMark/>
          </w:tcPr>
          <w:p w14:paraId="69FE6E0E" w14:textId="77777777" w:rsidR="00695254" w:rsidRPr="00226892" w:rsidRDefault="00695254" w:rsidP="00BA675C">
            <w:pPr>
              <w:jc w:val="right"/>
              <w:rPr>
                <w:rFonts w:ascii="Arial" w:hAnsi="Arial" w:cs="Arial"/>
                <w:color w:val="000000"/>
                <w:sz w:val="18"/>
                <w:szCs w:val="18"/>
              </w:rPr>
            </w:pPr>
          </w:p>
        </w:tc>
        <w:tc>
          <w:tcPr>
            <w:tcW w:w="2024" w:type="pct"/>
            <w:tcBorders>
              <w:top w:val="single" w:sz="4" w:space="0" w:color="auto"/>
              <w:left w:val="nil"/>
              <w:right w:val="nil"/>
            </w:tcBorders>
            <w:shd w:val="clear" w:color="auto" w:fill="auto"/>
            <w:vAlign w:val="bottom"/>
            <w:hideMark/>
          </w:tcPr>
          <w:p w14:paraId="60D0EBB2" w14:textId="77777777" w:rsidR="00695254" w:rsidRPr="00226892" w:rsidRDefault="00695254" w:rsidP="00BA675C">
            <w:pPr>
              <w:jc w:val="right"/>
              <w:rPr>
                <w:rFonts w:ascii="Arial" w:hAnsi="Arial" w:cs="Arial"/>
                <w:sz w:val="18"/>
                <w:szCs w:val="18"/>
              </w:rPr>
            </w:pPr>
          </w:p>
        </w:tc>
      </w:tr>
      <w:tr w:rsidR="00695254" w:rsidRPr="00226892" w14:paraId="5EB22FD3" w14:textId="77777777" w:rsidTr="00AC2584">
        <w:trPr>
          <w:trHeight w:val="227"/>
        </w:trPr>
        <w:tc>
          <w:tcPr>
            <w:tcW w:w="1269" w:type="pct"/>
            <w:tcBorders>
              <w:top w:val="nil"/>
              <w:left w:val="nil"/>
              <w:right w:val="nil"/>
            </w:tcBorders>
            <w:shd w:val="clear" w:color="auto" w:fill="auto"/>
            <w:hideMark/>
          </w:tcPr>
          <w:p w14:paraId="6FD2B5E8" w14:textId="2D81F499" w:rsidR="00695254" w:rsidRPr="00226892" w:rsidRDefault="00695254" w:rsidP="00AC2584">
            <w:pPr>
              <w:rPr>
                <w:rFonts w:ascii="Arial" w:hAnsi="Arial" w:cs="Arial"/>
                <w:color w:val="000000"/>
                <w:sz w:val="18"/>
                <w:szCs w:val="18"/>
              </w:rPr>
            </w:pPr>
            <w:proofErr w:type="spellStart"/>
            <w:r w:rsidRPr="00226892">
              <w:rPr>
                <w:rFonts w:ascii="Arial" w:hAnsi="Arial" w:cs="Arial"/>
                <w:color w:val="000000"/>
                <w:sz w:val="18"/>
                <w:szCs w:val="18"/>
              </w:rPr>
              <w:t>Člen</w:t>
            </w:r>
            <w:r w:rsidR="00D3713C" w:rsidRPr="00226892">
              <w:rPr>
                <w:rFonts w:ascii="Arial" w:hAnsi="Arial" w:cs="Arial"/>
                <w:color w:val="000000"/>
                <w:sz w:val="18"/>
                <w:szCs w:val="18"/>
              </w:rPr>
              <w:t>ovia</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dozornej</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rady</w:t>
            </w:r>
            <w:proofErr w:type="spellEnd"/>
          </w:p>
        </w:tc>
        <w:tc>
          <w:tcPr>
            <w:tcW w:w="1707" w:type="pct"/>
            <w:tcBorders>
              <w:top w:val="nil"/>
              <w:left w:val="nil"/>
              <w:right w:val="nil"/>
            </w:tcBorders>
            <w:shd w:val="clear" w:color="auto" w:fill="auto"/>
            <w:vAlign w:val="bottom"/>
            <w:hideMark/>
          </w:tcPr>
          <w:p w14:paraId="019987BC" w14:textId="6F2A0B6A" w:rsidR="00695254" w:rsidRPr="00226892" w:rsidRDefault="00695254" w:rsidP="00BA675C">
            <w:pPr>
              <w:jc w:val="right"/>
              <w:rPr>
                <w:rFonts w:ascii="Arial" w:hAnsi="Arial" w:cs="Arial"/>
                <w:color w:val="000000"/>
                <w:sz w:val="18"/>
                <w:szCs w:val="18"/>
              </w:rPr>
            </w:pPr>
            <w:r w:rsidRPr="00226892">
              <w:rPr>
                <w:rFonts w:ascii="Arial" w:hAnsi="Arial" w:cs="Arial"/>
                <w:color w:val="000000"/>
                <w:sz w:val="18"/>
                <w:szCs w:val="18"/>
              </w:rPr>
              <w:t xml:space="preserve">Ing. </w:t>
            </w:r>
            <w:proofErr w:type="spellStart"/>
            <w:r w:rsidRPr="00226892">
              <w:rPr>
                <w:rFonts w:ascii="Arial" w:hAnsi="Arial" w:cs="Arial"/>
                <w:color w:val="000000"/>
                <w:sz w:val="18"/>
                <w:szCs w:val="18"/>
              </w:rPr>
              <w:t>Juraj</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Hričovský</w:t>
            </w:r>
            <w:proofErr w:type="spellEnd"/>
            <w:r w:rsidR="00D3713C" w:rsidRPr="00226892">
              <w:rPr>
                <w:rFonts w:ascii="Arial" w:hAnsi="Arial" w:cs="Arial"/>
                <w:color w:val="000000"/>
                <w:sz w:val="18"/>
                <w:szCs w:val="18"/>
              </w:rPr>
              <w:t xml:space="preserve"> (do 1.3.2018)</w:t>
            </w:r>
            <w:r w:rsidRPr="00226892">
              <w:rPr>
                <w:rFonts w:ascii="Arial" w:hAnsi="Arial" w:cs="Arial"/>
                <w:color w:val="000000"/>
                <w:sz w:val="18"/>
                <w:szCs w:val="18"/>
              </w:rPr>
              <w:t xml:space="preserve"> </w:t>
            </w:r>
          </w:p>
        </w:tc>
        <w:tc>
          <w:tcPr>
            <w:tcW w:w="2024" w:type="pct"/>
            <w:tcBorders>
              <w:top w:val="nil"/>
              <w:left w:val="nil"/>
              <w:right w:val="nil"/>
            </w:tcBorders>
            <w:shd w:val="clear" w:color="auto" w:fill="auto"/>
            <w:vAlign w:val="bottom"/>
            <w:hideMark/>
          </w:tcPr>
          <w:p w14:paraId="79F8F3E9" w14:textId="0FCF0F92" w:rsidR="00695254" w:rsidRPr="00226892" w:rsidRDefault="00695254" w:rsidP="00BA675C">
            <w:pPr>
              <w:jc w:val="right"/>
              <w:rPr>
                <w:rFonts w:ascii="Arial" w:hAnsi="Arial" w:cs="Arial"/>
                <w:color w:val="000000"/>
                <w:sz w:val="18"/>
                <w:szCs w:val="18"/>
              </w:rPr>
            </w:pPr>
            <w:r w:rsidRPr="00226892">
              <w:rPr>
                <w:rFonts w:ascii="Arial" w:hAnsi="Arial" w:cs="Arial"/>
                <w:color w:val="000000"/>
                <w:sz w:val="18"/>
                <w:szCs w:val="18"/>
              </w:rPr>
              <w:t xml:space="preserve">Ing. </w:t>
            </w:r>
            <w:proofErr w:type="spellStart"/>
            <w:r w:rsidRPr="00226892">
              <w:rPr>
                <w:rFonts w:ascii="Arial" w:hAnsi="Arial" w:cs="Arial"/>
                <w:color w:val="000000"/>
                <w:sz w:val="18"/>
                <w:szCs w:val="18"/>
              </w:rPr>
              <w:t>Juraj</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Hričovský</w:t>
            </w:r>
            <w:proofErr w:type="spellEnd"/>
            <w:r w:rsidRPr="00226892">
              <w:rPr>
                <w:rFonts w:ascii="Arial" w:hAnsi="Arial" w:cs="Arial"/>
                <w:color w:val="000000"/>
                <w:sz w:val="18"/>
                <w:szCs w:val="18"/>
              </w:rPr>
              <w:t xml:space="preserve"> (od 01.06.</w:t>
            </w:r>
            <w:r w:rsidR="00F63A77" w:rsidRPr="00226892">
              <w:rPr>
                <w:rFonts w:ascii="Arial" w:hAnsi="Arial" w:cs="Arial"/>
                <w:color w:val="000000"/>
                <w:sz w:val="18"/>
                <w:szCs w:val="18"/>
              </w:rPr>
              <w:t>2017</w:t>
            </w:r>
            <w:r w:rsidRPr="00226892">
              <w:rPr>
                <w:rFonts w:ascii="Arial" w:hAnsi="Arial" w:cs="Arial"/>
                <w:color w:val="000000"/>
                <w:sz w:val="18"/>
                <w:szCs w:val="18"/>
              </w:rPr>
              <w:t>)</w:t>
            </w:r>
          </w:p>
        </w:tc>
      </w:tr>
      <w:tr w:rsidR="00695254" w:rsidRPr="00226892" w14:paraId="6A6ED81E" w14:textId="77777777" w:rsidTr="00AC2584">
        <w:trPr>
          <w:trHeight w:val="227"/>
        </w:trPr>
        <w:tc>
          <w:tcPr>
            <w:tcW w:w="1269" w:type="pct"/>
            <w:tcBorders>
              <w:top w:val="nil"/>
              <w:left w:val="nil"/>
              <w:right w:val="nil"/>
            </w:tcBorders>
            <w:shd w:val="clear" w:color="auto" w:fill="auto"/>
          </w:tcPr>
          <w:p w14:paraId="74E19288" w14:textId="15950771" w:rsidR="00695254" w:rsidRPr="00226892" w:rsidRDefault="00695254" w:rsidP="00AC2584">
            <w:pPr>
              <w:rPr>
                <w:rFonts w:ascii="Arial" w:hAnsi="Arial" w:cs="Arial"/>
                <w:color w:val="000000"/>
                <w:sz w:val="18"/>
                <w:szCs w:val="18"/>
              </w:rPr>
            </w:pPr>
          </w:p>
        </w:tc>
        <w:tc>
          <w:tcPr>
            <w:tcW w:w="1707" w:type="pct"/>
            <w:tcBorders>
              <w:top w:val="nil"/>
              <w:left w:val="nil"/>
              <w:right w:val="nil"/>
            </w:tcBorders>
            <w:shd w:val="clear" w:color="auto" w:fill="auto"/>
            <w:vAlign w:val="bottom"/>
            <w:hideMark/>
          </w:tcPr>
          <w:p w14:paraId="0CBF664B" w14:textId="77777777" w:rsidR="00695254" w:rsidRPr="00226892" w:rsidRDefault="00695254" w:rsidP="00BA675C">
            <w:pPr>
              <w:jc w:val="right"/>
              <w:rPr>
                <w:rFonts w:ascii="Arial" w:hAnsi="Arial" w:cs="Arial"/>
                <w:color w:val="000000"/>
                <w:sz w:val="18"/>
                <w:szCs w:val="18"/>
              </w:rPr>
            </w:pPr>
            <w:r w:rsidRPr="00226892">
              <w:rPr>
                <w:rFonts w:ascii="Arial" w:hAnsi="Arial" w:cs="Arial"/>
                <w:color w:val="000000"/>
                <w:sz w:val="18"/>
                <w:szCs w:val="18"/>
              </w:rPr>
              <w:t xml:space="preserve">Gabriel </w:t>
            </w:r>
            <w:proofErr w:type="spellStart"/>
            <w:r w:rsidRPr="00226892">
              <w:rPr>
                <w:rFonts w:ascii="Arial" w:hAnsi="Arial" w:cs="Arial"/>
                <w:color w:val="000000"/>
                <w:sz w:val="18"/>
                <w:szCs w:val="18"/>
              </w:rPr>
              <w:t>Nádašdy</w:t>
            </w:r>
            <w:proofErr w:type="spellEnd"/>
          </w:p>
        </w:tc>
        <w:tc>
          <w:tcPr>
            <w:tcW w:w="2024" w:type="pct"/>
            <w:tcBorders>
              <w:top w:val="nil"/>
              <w:left w:val="nil"/>
              <w:right w:val="nil"/>
            </w:tcBorders>
            <w:shd w:val="clear" w:color="auto" w:fill="auto"/>
            <w:vAlign w:val="bottom"/>
            <w:hideMark/>
          </w:tcPr>
          <w:p w14:paraId="25C3FA87" w14:textId="77777777" w:rsidR="00695254" w:rsidRPr="00226892" w:rsidRDefault="00695254" w:rsidP="00BA675C">
            <w:pPr>
              <w:jc w:val="right"/>
              <w:rPr>
                <w:rFonts w:ascii="Arial" w:hAnsi="Arial" w:cs="Arial"/>
                <w:color w:val="000000"/>
                <w:sz w:val="18"/>
                <w:szCs w:val="18"/>
              </w:rPr>
            </w:pPr>
            <w:r w:rsidRPr="00226892">
              <w:rPr>
                <w:rFonts w:ascii="Arial" w:hAnsi="Arial" w:cs="Arial"/>
                <w:color w:val="000000"/>
                <w:sz w:val="18"/>
                <w:szCs w:val="18"/>
              </w:rPr>
              <w:t xml:space="preserve">Gabriel </w:t>
            </w:r>
            <w:proofErr w:type="spellStart"/>
            <w:r w:rsidRPr="00226892">
              <w:rPr>
                <w:rFonts w:ascii="Arial" w:hAnsi="Arial" w:cs="Arial"/>
                <w:color w:val="000000"/>
                <w:sz w:val="18"/>
                <w:szCs w:val="18"/>
              </w:rPr>
              <w:t>Nádašdy</w:t>
            </w:r>
            <w:proofErr w:type="spellEnd"/>
          </w:p>
        </w:tc>
      </w:tr>
      <w:tr w:rsidR="00D3713C" w:rsidRPr="00226892" w14:paraId="0284C892" w14:textId="77777777" w:rsidTr="00AC2584">
        <w:trPr>
          <w:trHeight w:val="227"/>
        </w:trPr>
        <w:tc>
          <w:tcPr>
            <w:tcW w:w="1269" w:type="pct"/>
            <w:tcBorders>
              <w:top w:val="nil"/>
              <w:left w:val="nil"/>
              <w:right w:val="nil"/>
            </w:tcBorders>
            <w:shd w:val="clear" w:color="auto" w:fill="auto"/>
          </w:tcPr>
          <w:p w14:paraId="16060C58" w14:textId="77777777" w:rsidR="00D3713C" w:rsidRPr="00226892" w:rsidRDefault="00D3713C" w:rsidP="00AC2584">
            <w:pPr>
              <w:rPr>
                <w:rFonts w:ascii="Arial" w:hAnsi="Arial" w:cs="Arial"/>
                <w:color w:val="000000"/>
                <w:sz w:val="18"/>
                <w:szCs w:val="18"/>
              </w:rPr>
            </w:pPr>
          </w:p>
        </w:tc>
        <w:tc>
          <w:tcPr>
            <w:tcW w:w="1707" w:type="pct"/>
            <w:tcBorders>
              <w:top w:val="nil"/>
              <w:left w:val="nil"/>
              <w:right w:val="nil"/>
            </w:tcBorders>
            <w:shd w:val="clear" w:color="auto" w:fill="auto"/>
            <w:vAlign w:val="bottom"/>
            <w:hideMark/>
          </w:tcPr>
          <w:p w14:paraId="01143928" w14:textId="77777777" w:rsidR="00D3713C" w:rsidRPr="00226892" w:rsidRDefault="00D3713C" w:rsidP="00ED3406">
            <w:pPr>
              <w:jc w:val="right"/>
              <w:rPr>
                <w:rFonts w:ascii="Arial" w:hAnsi="Arial" w:cs="Arial"/>
                <w:color w:val="000000"/>
                <w:sz w:val="18"/>
                <w:szCs w:val="18"/>
              </w:rPr>
            </w:pPr>
            <w:r w:rsidRPr="00226892">
              <w:rPr>
                <w:rFonts w:ascii="Arial" w:hAnsi="Arial" w:cs="Arial"/>
                <w:color w:val="000000"/>
                <w:sz w:val="18"/>
                <w:szCs w:val="18"/>
              </w:rPr>
              <w:t xml:space="preserve">Ing. Inge </w:t>
            </w:r>
            <w:proofErr w:type="spellStart"/>
            <w:r w:rsidRPr="00226892">
              <w:rPr>
                <w:rFonts w:ascii="Arial" w:hAnsi="Arial" w:cs="Arial"/>
                <w:color w:val="000000"/>
                <w:sz w:val="18"/>
                <w:szCs w:val="18"/>
              </w:rPr>
              <w:t>Murgašová</w:t>
            </w:r>
            <w:proofErr w:type="spellEnd"/>
            <w:r w:rsidRPr="00226892">
              <w:rPr>
                <w:rFonts w:ascii="Arial" w:hAnsi="Arial" w:cs="Arial"/>
                <w:color w:val="000000"/>
                <w:sz w:val="18"/>
                <w:szCs w:val="18"/>
              </w:rPr>
              <w:t xml:space="preserve"> (do 1.3.2018) </w:t>
            </w:r>
          </w:p>
        </w:tc>
        <w:tc>
          <w:tcPr>
            <w:tcW w:w="2024" w:type="pct"/>
            <w:tcBorders>
              <w:top w:val="nil"/>
              <w:left w:val="nil"/>
              <w:right w:val="nil"/>
            </w:tcBorders>
            <w:shd w:val="clear" w:color="auto" w:fill="auto"/>
            <w:vAlign w:val="bottom"/>
            <w:hideMark/>
          </w:tcPr>
          <w:p w14:paraId="7FE154F2" w14:textId="77777777" w:rsidR="00D3713C" w:rsidRPr="00226892" w:rsidRDefault="00D3713C" w:rsidP="00ED3406">
            <w:pPr>
              <w:jc w:val="right"/>
              <w:rPr>
                <w:rFonts w:ascii="Arial" w:hAnsi="Arial" w:cs="Arial"/>
                <w:color w:val="000000"/>
                <w:sz w:val="18"/>
                <w:szCs w:val="18"/>
              </w:rPr>
            </w:pPr>
            <w:r w:rsidRPr="00226892">
              <w:rPr>
                <w:rFonts w:ascii="Arial" w:hAnsi="Arial" w:cs="Arial"/>
                <w:color w:val="000000"/>
                <w:sz w:val="18"/>
                <w:szCs w:val="18"/>
              </w:rPr>
              <w:t xml:space="preserve">Ing. Inge </w:t>
            </w:r>
            <w:proofErr w:type="spellStart"/>
            <w:r w:rsidRPr="00226892">
              <w:rPr>
                <w:rFonts w:ascii="Arial" w:hAnsi="Arial" w:cs="Arial"/>
                <w:color w:val="000000"/>
                <w:sz w:val="18"/>
                <w:szCs w:val="18"/>
              </w:rPr>
              <w:t>Murgašová</w:t>
            </w:r>
            <w:proofErr w:type="spellEnd"/>
            <w:r w:rsidRPr="00226892">
              <w:rPr>
                <w:rFonts w:ascii="Arial" w:hAnsi="Arial" w:cs="Arial"/>
                <w:color w:val="000000"/>
                <w:sz w:val="18"/>
                <w:szCs w:val="18"/>
              </w:rPr>
              <w:t xml:space="preserve"> </w:t>
            </w:r>
          </w:p>
        </w:tc>
      </w:tr>
      <w:tr w:rsidR="00695254" w:rsidRPr="00226892" w14:paraId="073DFF84" w14:textId="77777777" w:rsidTr="00AC2584">
        <w:trPr>
          <w:trHeight w:val="227"/>
        </w:trPr>
        <w:tc>
          <w:tcPr>
            <w:tcW w:w="1269" w:type="pct"/>
            <w:tcBorders>
              <w:top w:val="nil"/>
              <w:left w:val="nil"/>
              <w:right w:val="nil"/>
            </w:tcBorders>
            <w:shd w:val="clear" w:color="auto" w:fill="auto"/>
          </w:tcPr>
          <w:p w14:paraId="3965F740" w14:textId="114B44C2" w:rsidR="00695254" w:rsidRPr="00226892" w:rsidRDefault="00695254" w:rsidP="00AC2584">
            <w:pPr>
              <w:rPr>
                <w:rFonts w:ascii="Arial" w:hAnsi="Arial" w:cs="Arial"/>
                <w:color w:val="000000"/>
                <w:sz w:val="18"/>
                <w:szCs w:val="18"/>
              </w:rPr>
            </w:pPr>
          </w:p>
        </w:tc>
        <w:tc>
          <w:tcPr>
            <w:tcW w:w="1707" w:type="pct"/>
            <w:tcBorders>
              <w:top w:val="nil"/>
              <w:left w:val="nil"/>
              <w:right w:val="nil"/>
            </w:tcBorders>
            <w:shd w:val="clear" w:color="auto" w:fill="auto"/>
            <w:vAlign w:val="bottom"/>
            <w:hideMark/>
          </w:tcPr>
          <w:p w14:paraId="7841B827" w14:textId="0F997DA1" w:rsidR="00695254" w:rsidRPr="00226892" w:rsidRDefault="00695254" w:rsidP="00BA675C">
            <w:pPr>
              <w:jc w:val="right"/>
              <w:rPr>
                <w:rFonts w:ascii="Arial" w:hAnsi="Arial" w:cs="Arial"/>
                <w:color w:val="000000"/>
                <w:sz w:val="18"/>
                <w:szCs w:val="18"/>
              </w:rPr>
            </w:pPr>
            <w:r w:rsidRPr="00226892">
              <w:rPr>
                <w:rFonts w:ascii="Arial" w:hAnsi="Arial" w:cs="Arial"/>
                <w:color w:val="000000"/>
                <w:sz w:val="18"/>
                <w:szCs w:val="18"/>
              </w:rPr>
              <w:t xml:space="preserve">Ing. </w:t>
            </w:r>
            <w:r w:rsidR="00D3713C" w:rsidRPr="00226892">
              <w:rPr>
                <w:rFonts w:ascii="Arial" w:hAnsi="Arial" w:cs="Arial"/>
                <w:color w:val="000000"/>
                <w:sz w:val="18"/>
                <w:szCs w:val="18"/>
              </w:rPr>
              <w:t>Miroslav Rosina, PhD. (od 11.12.2018)</w:t>
            </w:r>
          </w:p>
          <w:p w14:paraId="735BCA3B" w14:textId="77777777" w:rsidR="00D3713C" w:rsidRPr="00226892" w:rsidRDefault="00D3713C" w:rsidP="00BA675C">
            <w:pPr>
              <w:jc w:val="right"/>
              <w:rPr>
                <w:rFonts w:ascii="Arial" w:hAnsi="Arial" w:cs="Arial"/>
                <w:color w:val="000000"/>
                <w:sz w:val="18"/>
                <w:szCs w:val="18"/>
              </w:rPr>
            </w:pPr>
            <w:r w:rsidRPr="00226892">
              <w:rPr>
                <w:rFonts w:ascii="Arial" w:hAnsi="Arial" w:cs="Arial"/>
                <w:color w:val="000000"/>
                <w:sz w:val="18"/>
                <w:szCs w:val="18"/>
              </w:rPr>
              <w:t>Miguel Nuno de Avelar Lopes Cardoso (od 1.3.2018)</w:t>
            </w:r>
          </w:p>
          <w:p w14:paraId="17CB31DC" w14:textId="57527BF4" w:rsidR="00D3713C" w:rsidRPr="00226892" w:rsidRDefault="00D3713C" w:rsidP="00BA675C">
            <w:pPr>
              <w:jc w:val="right"/>
              <w:rPr>
                <w:rFonts w:ascii="Arial" w:hAnsi="Arial" w:cs="Arial"/>
                <w:color w:val="000000"/>
                <w:sz w:val="18"/>
                <w:szCs w:val="18"/>
              </w:rPr>
            </w:pPr>
            <w:r w:rsidRPr="00226892">
              <w:rPr>
                <w:rFonts w:ascii="Arial" w:hAnsi="Arial" w:cs="Arial"/>
                <w:color w:val="000000"/>
                <w:sz w:val="18"/>
                <w:szCs w:val="18"/>
              </w:rPr>
              <w:t xml:space="preserve">Ing. Martin </w:t>
            </w:r>
            <w:proofErr w:type="spellStart"/>
            <w:r w:rsidRPr="00226892">
              <w:rPr>
                <w:rFonts w:ascii="Arial" w:hAnsi="Arial" w:cs="Arial"/>
                <w:color w:val="000000"/>
                <w:sz w:val="18"/>
                <w:szCs w:val="18"/>
              </w:rPr>
              <w:t>Kele</w:t>
            </w:r>
            <w:proofErr w:type="spellEnd"/>
            <w:r w:rsidRPr="00226892">
              <w:rPr>
                <w:rFonts w:ascii="Arial" w:hAnsi="Arial" w:cs="Arial"/>
                <w:color w:val="000000"/>
                <w:sz w:val="18"/>
                <w:szCs w:val="18"/>
              </w:rPr>
              <w:t xml:space="preserve"> (od 1.3.2018 do 11.12.2018)</w:t>
            </w:r>
          </w:p>
        </w:tc>
        <w:tc>
          <w:tcPr>
            <w:tcW w:w="2024" w:type="pct"/>
            <w:tcBorders>
              <w:top w:val="nil"/>
              <w:left w:val="nil"/>
              <w:right w:val="nil"/>
            </w:tcBorders>
            <w:shd w:val="clear" w:color="auto" w:fill="auto"/>
            <w:vAlign w:val="bottom"/>
            <w:hideMark/>
          </w:tcPr>
          <w:p w14:paraId="0308FE8B" w14:textId="0E7530FB" w:rsidR="00695254" w:rsidRPr="00226892" w:rsidRDefault="00695254" w:rsidP="00BA675C">
            <w:pPr>
              <w:jc w:val="right"/>
              <w:rPr>
                <w:rFonts w:ascii="Arial" w:hAnsi="Arial" w:cs="Arial"/>
                <w:color w:val="000000"/>
                <w:sz w:val="18"/>
                <w:szCs w:val="18"/>
              </w:rPr>
            </w:pPr>
          </w:p>
          <w:p w14:paraId="69449611" w14:textId="1BF0E189" w:rsidR="00D3713C" w:rsidRPr="00226892" w:rsidRDefault="00D3713C" w:rsidP="00BA675C">
            <w:pPr>
              <w:jc w:val="right"/>
              <w:rPr>
                <w:rFonts w:ascii="Arial" w:hAnsi="Arial" w:cs="Arial"/>
                <w:color w:val="000000"/>
                <w:sz w:val="18"/>
                <w:szCs w:val="18"/>
              </w:rPr>
            </w:pPr>
          </w:p>
        </w:tc>
      </w:tr>
    </w:tbl>
    <w:p w14:paraId="1E870BB3" w14:textId="77777777" w:rsidR="00302C89" w:rsidRPr="00226892" w:rsidRDefault="00302C89" w:rsidP="009B79FC">
      <w:pPr>
        <w:pStyle w:val="ABC-paragrahinNotes"/>
        <w:suppressAutoHyphens/>
        <w:spacing w:before="240" w:after="120"/>
        <w:rPr>
          <w:rFonts w:cs="Arial"/>
          <w:b/>
          <w:i/>
          <w:sz w:val="20"/>
          <w:lang w:val="sk-SK"/>
        </w:rPr>
      </w:pPr>
      <w:r w:rsidRPr="00226892">
        <w:rPr>
          <w:rFonts w:cs="Arial"/>
          <w:b/>
          <w:i/>
          <w:sz w:val="20"/>
          <w:lang w:val="sk-SK"/>
        </w:rPr>
        <w:t>Hlavný predmet činnosti</w:t>
      </w:r>
    </w:p>
    <w:p w14:paraId="3DD88AE6" w14:textId="4EF29B21" w:rsidR="00302C89" w:rsidRPr="00226892" w:rsidRDefault="00302C89" w:rsidP="009B79FC">
      <w:pPr>
        <w:pStyle w:val="StyleABC-paragrahinNotesAfter10pt"/>
        <w:suppressAutoHyphens/>
        <w:rPr>
          <w:rFonts w:cs="Arial"/>
          <w:color w:val="000000"/>
          <w:sz w:val="20"/>
          <w:lang w:val="sk-SK"/>
        </w:rPr>
      </w:pPr>
      <w:r w:rsidRPr="00226892">
        <w:rPr>
          <w:rFonts w:cs="Arial"/>
          <w:sz w:val="20"/>
          <w:lang w:val="sk-SK"/>
        </w:rPr>
        <w:t xml:space="preserve">Hlavným predmetom činnosti Skupiny je produkcia automobilových komponentov. </w:t>
      </w:r>
    </w:p>
    <w:p w14:paraId="37557C9C" w14:textId="2231F73E" w:rsidR="00302C89" w:rsidRPr="00226892" w:rsidRDefault="00302C89" w:rsidP="009B79FC">
      <w:pPr>
        <w:pStyle w:val="StyleABC-paragrahinNotesAfter10pt"/>
        <w:suppressAutoHyphens/>
        <w:rPr>
          <w:rFonts w:cs="Arial"/>
          <w:sz w:val="20"/>
          <w:lang w:val="sk-SK"/>
        </w:rPr>
      </w:pPr>
      <w:r w:rsidRPr="00226892">
        <w:rPr>
          <w:rFonts w:cs="Arial"/>
          <w:sz w:val="20"/>
          <w:lang w:val="sk-SK"/>
        </w:rPr>
        <w:t>Výrobné kapacity Skupiny sa nachádzajú na území Slovenskej a Českej republiky.</w:t>
      </w:r>
    </w:p>
    <w:p w14:paraId="659A4B74" w14:textId="77777777" w:rsidR="00302C89" w:rsidRPr="00226892" w:rsidRDefault="00302C89" w:rsidP="009B79FC">
      <w:pPr>
        <w:pStyle w:val="ABC-paragrahinNotes"/>
        <w:suppressAutoHyphens/>
        <w:spacing w:after="120"/>
        <w:rPr>
          <w:rFonts w:cs="Arial"/>
          <w:b/>
          <w:i/>
          <w:sz w:val="20"/>
          <w:lang w:val="sk-SK"/>
        </w:rPr>
      </w:pPr>
      <w:r w:rsidRPr="00226892">
        <w:rPr>
          <w:rFonts w:cs="Arial"/>
          <w:b/>
          <w:i/>
          <w:sz w:val="20"/>
          <w:lang w:val="sk-SK"/>
        </w:rPr>
        <w:t>Sídlo a miesto podnikania Spoločnosti</w:t>
      </w:r>
    </w:p>
    <w:p w14:paraId="6B4D98B9" w14:textId="790ECC38" w:rsidR="00302C89" w:rsidRPr="00226892" w:rsidRDefault="004F0130" w:rsidP="009B79FC">
      <w:pPr>
        <w:pStyle w:val="StyleABC-paragrahinNotesAfter10pt"/>
        <w:suppressAutoHyphens/>
        <w:spacing w:after="0"/>
        <w:rPr>
          <w:rFonts w:cs="Arial"/>
          <w:sz w:val="20"/>
          <w:lang w:val="sk-SK"/>
        </w:rPr>
      </w:pPr>
      <w:r w:rsidRPr="00226892">
        <w:rPr>
          <w:rFonts w:cs="Arial"/>
          <w:sz w:val="20"/>
          <w:lang w:val="sk-SK"/>
        </w:rPr>
        <w:t>Staničná 1045</w:t>
      </w:r>
    </w:p>
    <w:p w14:paraId="1AE8ED84" w14:textId="7A56D6DA" w:rsidR="00302C89" w:rsidRPr="00226892" w:rsidRDefault="004F0130" w:rsidP="009B79FC">
      <w:pPr>
        <w:pStyle w:val="StyleABC-paragrahinNotesAfter10pt"/>
        <w:suppressAutoHyphens/>
        <w:spacing w:after="0"/>
        <w:rPr>
          <w:rFonts w:cs="Arial"/>
          <w:sz w:val="20"/>
          <w:lang w:val="sk-SK"/>
        </w:rPr>
      </w:pPr>
      <w:r w:rsidRPr="00226892">
        <w:rPr>
          <w:rFonts w:cs="Arial"/>
          <w:sz w:val="20"/>
          <w:lang w:val="sk-SK"/>
        </w:rPr>
        <w:t>952 12 Vráble</w:t>
      </w:r>
      <w:r w:rsidR="00596FD7" w:rsidRPr="00226892">
        <w:rPr>
          <w:rFonts w:cs="Arial"/>
          <w:sz w:val="20"/>
          <w:lang w:val="sk-SK"/>
        </w:rPr>
        <w:t xml:space="preserve"> </w:t>
      </w:r>
    </w:p>
    <w:p w14:paraId="74ECA19D" w14:textId="77777777" w:rsidR="00302C89" w:rsidRPr="00226892" w:rsidRDefault="00302C89" w:rsidP="009B79FC">
      <w:pPr>
        <w:pStyle w:val="StyleABC-paragrahinNotesAfter10pt"/>
        <w:suppressAutoHyphens/>
        <w:spacing w:after="0"/>
        <w:rPr>
          <w:rFonts w:cs="Arial"/>
          <w:sz w:val="20"/>
          <w:lang w:val="sk-SK"/>
        </w:rPr>
      </w:pPr>
      <w:r w:rsidRPr="00226892">
        <w:rPr>
          <w:rFonts w:cs="Arial"/>
          <w:sz w:val="20"/>
          <w:lang w:val="sk-SK"/>
        </w:rPr>
        <w:t>Slovenská republika</w:t>
      </w:r>
    </w:p>
    <w:p w14:paraId="3500FADF" w14:textId="77777777" w:rsidR="00302C89" w:rsidRPr="00226892" w:rsidRDefault="00302C89" w:rsidP="009B79FC">
      <w:pPr>
        <w:pStyle w:val="StyleABC-paragrahinNotesAfter10pt"/>
        <w:suppressAutoHyphens/>
        <w:spacing w:after="0"/>
        <w:rPr>
          <w:rFonts w:cs="Arial"/>
          <w:sz w:val="20"/>
          <w:lang w:val="sk-SK"/>
        </w:rPr>
      </w:pPr>
    </w:p>
    <w:p w14:paraId="01A51A27" w14:textId="524F252F" w:rsidR="00302C89" w:rsidRPr="00226892" w:rsidRDefault="00302C89" w:rsidP="009B79FC">
      <w:pPr>
        <w:pStyle w:val="StyleABC-paragrahinNotesAfter10pt"/>
        <w:suppressAutoHyphens/>
        <w:spacing w:after="0"/>
        <w:rPr>
          <w:rFonts w:cs="Arial"/>
          <w:sz w:val="20"/>
          <w:lang w:val="sk-SK"/>
        </w:rPr>
      </w:pPr>
      <w:r w:rsidRPr="00226892">
        <w:rPr>
          <w:rFonts w:cs="Arial"/>
          <w:sz w:val="20"/>
          <w:lang w:val="sk-SK"/>
        </w:rPr>
        <w:t xml:space="preserve">IČO: </w:t>
      </w:r>
      <w:r w:rsidR="004F0130" w:rsidRPr="00226892">
        <w:rPr>
          <w:rFonts w:cs="Arial"/>
          <w:sz w:val="20"/>
          <w:lang w:val="sk-SK"/>
        </w:rPr>
        <w:t>31411801</w:t>
      </w:r>
    </w:p>
    <w:p w14:paraId="4512A33A" w14:textId="19F611FD" w:rsidR="00302C89" w:rsidRPr="00226892" w:rsidRDefault="00302C89" w:rsidP="009B79FC">
      <w:pPr>
        <w:pStyle w:val="StyleABC-paragrahinNotesAfter10pt"/>
        <w:suppressAutoHyphens/>
        <w:spacing w:after="0"/>
        <w:rPr>
          <w:rFonts w:cs="Arial"/>
          <w:sz w:val="20"/>
          <w:lang w:val="sk-SK"/>
        </w:rPr>
      </w:pPr>
      <w:r w:rsidRPr="00226892">
        <w:rPr>
          <w:rFonts w:cs="Arial"/>
          <w:sz w:val="20"/>
          <w:lang w:val="sk-SK"/>
        </w:rPr>
        <w:t xml:space="preserve">DIČ: </w:t>
      </w:r>
      <w:r w:rsidR="004F0130" w:rsidRPr="00226892">
        <w:rPr>
          <w:rFonts w:cs="Arial"/>
          <w:sz w:val="20"/>
          <w:lang w:val="sk-SK"/>
        </w:rPr>
        <w:t>2020411272</w:t>
      </w:r>
    </w:p>
    <w:p w14:paraId="101CDC72" w14:textId="77777777" w:rsidR="004F0130" w:rsidRPr="00226892" w:rsidRDefault="004F0130" w:rsidP="009B79FC">
      <w:pPr>
        <w:pStyle w:val="StyleABC-paragrahinNotesAfter10pt"/>
        <w:suppressAutoHyphens/>
        <w:spacing w:after="0"/>
        <w:rPr>
          <w:rFonts w:cs="Arial"/>
          <w:sz w:val="20"/>
          <w:lang w:val="sk-SK"/>
        </w:rPr>
      </w:pPr>
    </w:p>
    <w:p w14:paraId="41EA7D20" w14:textId="1EB9F9D1" w:rsidR="00302C89" w:rsidRPr="00226892" w:rsidRDefault="00302C89" w:rsidP="009B79FC">
      <w:pPr>
        <w:pStyle w:val="StyleABC-paragrahinNotesAfter10pt"/>
        <w:suppressAutoHyphens/>
        <w:rPr>
          <w:rFonts w:cs="Arial"/>
          <w:b/>
          <w:color w:val="000080"/>
          <w:sz w:val="20"/>
          <w:lang w:val="sk-SK"/>
        </w:rPr>
      </w:pPr>
      <w:r w:rsidRPr="00226892">
        <w:rPr>
          <w:rFonts w:cs="Arial"/>
          <w:sz w:val="20"/>
          <w:lang w:val="sk-SK"/>
        </w:rPr>
        <w:t xml:space="preserve">Táto konsolidovaná účtovná závierka bola schválená Predstavenstvom na zverejnenie dňa </w:t>
      </w:r>
      <w:r w:rsidR="00B06181" w:rsidRPr="00226892">
        <w:rPr>
          <w:rFonts w:cs="Arial"/>
          <w:sz w:val="20"/>
          <w:lang w:val="sk-SK"/>
        </w:rPr>
        <w:t>17</w:t>
      </w:r>
      <w:r w:rsidR="007F6B6F" w:rsidRPr="00226892">
        <w:rPr>
          <w:rFonts w:cs="Arial"/>
          <w:sz w:val="20"/>
          <w:lang w:val="sk-SK"/>
        </w:rPr>
        <w:t>.</w:t>
      </w:r>
      <w:r w:rsidR="00B06181" w:rsidRPr="00226892">
        <w:rPr>
          <w:rFonts w:cs="Arial"/>
          <w:sz w:val="20"/>
          <w:lang w:val="sk-SK"/>
        </w:rPr>
        <w:t>12</w:t>
      </w:r>
      <w:r w:rsidR="007F6B6F" w:rsidRPr="00226892">
        <w:rPr>
          <w:rFonts w:cs="Arial"/>
          <w:sz w:val="20"/>
          <w:lang w:val="sk-SK"/>
        </w:rPr>
        <w:t xml:space="preserve"> </w:t>
      </w:r>
      <w:r w:rsidR="000F2346" w:rsidRPr="00226892">
        <w:rPr>
          <w:rFonts w:cs="Arial"/>
          <w:sz w:val="20"/>
          <w:lang w:val="sk-SK"/>
        </w:rPr>
        <w:t>201</w:t>
      </w:r>
      <w:r w:rsidR="008434EE" w:rsidRPr="00226892">
        <w:rPr>
          <w:rFonts w:cs="Arial"/>
          <w:sz w:val="20"/>
          <w:lang w:val="sk-SK"/>
        </w:rPr>
        <w:t>9</w:t>
      </w:r>
      <w:r w:rsidRPr="00226892">
        <w:rPr>
          <w:rFonts w:cs="Arial"/>
          <w:sz w:val="20"/>
          <w:lang w:val="sk-SK"/>
        </w:rPr>
        <w:t>.</w:t>
      </w:r>
      <w:r w:rsidRPr="00226892">
        <w:rPr>
          <w:rFonts w:cs="Arial"/>
          <w:b/>
          <w:color w:val="000080"/>
          <w:sz w:val="20"/>
          <w:lang w:val="sk-SK"/>
        </w:rPr>
        <w:br w:type="page"/>
      </w:r>
    </w:p>
    <w:p w14:paraId="2EF2595B" w14:textId="77777777" w:rsidR="00302C89" w:rsidRPr="00226892" w:rsidRDefault="00302C89" w:rsidP="008D29D7">
      <w:pPr>
        <w:pStyle w:val="Nadpis3"/>
        <w:keepNext w:val="0"/>
        <w:widowControl/>
        <w:numPr>
          <w:ilvl w:val="0"/>
          <w:numId w:val="37"/>
        </w:numPr>
        <w:tabs>
          <w:tab w:val="clear" w:pos="1069"/>
        </w:tabs>
        <w:suppressAutoHyphens/>
        <w:ind w:left="426" w:hanging="426"/>
        <w:rPr>
          <w:rFonts w:ascii="Arial" w:hAnsi="Arial" w:cs="Arial"/>
          <w:sz w:val="20"/>
        </w:rPr>
      </w:pPr>
      <w:bookmarkStart w:id="30" w:name="_Toc422150987"/>
      <w:bookmarkStart w:id="31" w:name="_Toc387697249"/>
      <w:bookmarkStart w:id="32" w:name="_Toc387812464"/>
      <w:bookmarkStart w:id="33" w:name="_Toc387697250"/>
      <w:bookmarkStart w:id="34" w:name="_Toc387812465"/>
      <w:bookmarkStart w:id="35" w:name="_Toc325985764"/>
      <w:bookmarkStart w:id="36" w:name="_Toc387812466"/>
      <w:bookmarkStart w:id="37" w:name="_Toc27409966"/>
      <w:bookmarkEnd w:id="30"/>
      <w:bookmarkEnd w:id="31"/>
      <w:bookmarkEnd w:id="32"/>
      <w:bookmarkEnd w:id="33"/>
      <w:bookmarkEnd w:id="34"/>
      <w:proofErr w:type="spellStart"/>
      <w:r w:rsidRPr="00226892">
        <w:rPr>
          <w:rFonts w:ascii="Arial" w:hAnsi="Arial" w:cs="Arial"/>
          <w:sz w:val="20"/>
        </w:rPr>
        <w:lastRenderedPageBreak/>
        <w:t>Súhrn</w:t>
      </w:r>
      <w:proofErr w:type="spellEnd"/>
      <w:r w:rsidRPr="00226892">
        <w:rPr>
          <w:rFonts w:ascii="Arial" w:hAnsi="Arial" w:cs="Arial"/>
          <w:sz w:val="20"/>
        </w:rPr>
        <w:t xml:space="preserve"> </w:t>
      </w:r>
      <w:proofErr w:type="spellStart"/>
      <w:r w:rsidRPr="00226892">
        <w:rPr>
          <w:rFonts w:ascii="Arial" w:hAnsi="Arial" w:cs="Arial"/>
          <w:sz w:val="20"/>
        </w:rPr>
        <w:t>hlavných</w:t>
      </w:r>
      <w:proofErr w:type="spellEnd"/>
      <w:r w:rsidRPr="00226892">
        <w:rPr>
          <w:rFonts w:ascii="Arial" w:hAnsi="Arial" w:cs="Arial"/>
          <w:sz w:val="20"/>
        </w:rPr>
        <w:t xml:space="preserve"> </w:t>
      </w:r>
      <w:proofErr w:type="spellStart"/>
      <w:r w:rsidRPr="00226892">
        <w:rPr>
          <w:rFonts w:ascii="Arial" w:hAnsi="Arial" w:cs="Arial"/>
          <w:sz w:val="20"/>
        </w:rPr>
        <w:t>účtovných</w:t>
      </w:r>
      <w:proofErr w:type="spellEnd"/>
      <w:r w:rsidRPr="00226892">
        <w:rPr>
          <w:rFonts w:ascii="Arial" w:hAnsi="Arial" w:cs="Arial"/>
          <w:sz w:val="20"/>
        </w:rPr>
        <w:t xml:space="preserve"> </w:t>
      </w:r>
      <w:proofErr w:type="spellStart"/>
      <w:r w:rsidRPr="00226892">
        <w:rPr>
          <w:rFonts w:ascii="Arial" w:hAnsi="Arial" w:cs="Arial"/>
          <w:sz w:val="20"/>
        </w:rPr>
        <w:t>postupov</w:t>
      </w:r>
      <w:bookmarkEnd w:id="35"/>
      <w:bookmarkEnd w:id="36"/>
      <w:bookmarkEnd w:id="37"/>
      <w:proofErr w:type="spellEnd"/>
    </w:p>
    <w:p w14:paraId="225AC35D" w14:textId="77777777" w:rsidR="00302C89" w:rsidRPr="00226892" w:rsidRDefault="00302C89" w:rsidP="00302C89">
      <w:pPr>
        <w:suppressAutoHyphens/>
        <w:rPr>
          <w:rFonts w:ascii="Arial" w:hAnsi="Arial" w:cs="Arial"/>
          <w:b/>
          <w:lang w:val="sk-SK"/>
        </w:rPr>
      </w:pPr>
    </w:p>
    <w:p w14:paraId="6357E9AB" w14:textId="1E50D06B" w:rsidR="00F93024" w:rsidRPr="00226892" w:rsidRDefault="00302C89" w:rsidP="009B79FC">
      <w:pPr>
        <w:pStyle w:val="Textkomentra"/>
        <w:jc w:val="both"/>
        <w:rPr>
          <w:rFonts w:ascii="Arial" w:hAnsi="Arial" w:cs="Arial"/>
          <w:lang w:val="sk-SK"/>
        </w:rPr>
      </w:pPr>
      <w:r w:rsidRPr="00226892">
        <w:rPr>
          <w:rFonts w:ascii="Arial" w:hAnsi="Arial" w:cs="Arial"/>
          <w:lang w:val="sk-SK"/>
        </w:rPr>
        <w:t>Nižšie sú uvedené hlavné účtovné postupy, ktoré boli použité pri zostavení tejto konsolidovanej účtovnej závierky. Boli aplikované konzistentne vo všetkých prezentovaných účtovných obdobiach, pokiaľ nie je uvedené inak</w:t>
      </w:r>
      <w:r w:rsidR="00AA32CB" w:rsidRPr="00226892">
        <w:rPr>
          <w:rFonts w:ascii="Arial" w:hAnsi="Arial" w:cs="Arial"/>
          <w:lang w:val="sk-SK"/>
        </w:rPr>
        <w:t>.</w:t>
      </w:r>
    </w:p>
    <w:p w14:paraId="1D586381" w14:textId="77777777" w:rsidR="00AA32CB" w:rsidRPr="00226892" w:rsidRDefault="00AA32CB" w:rsidP="00AA32CB">
      <w:pPr>
        <w:pStyle w:val="Textkomentra"/>
        <w:ind w:left="426"/>
        <w:jc w:val="both"/>
        <w:rPr>
          <w:rFonts w:ascii="Arial" w:hAnsi="Arial" w:cs="Arial"/>
          <w:lang w:val="sk-SK"/>
        </w:rPr>
      </w:pPr>
    </w:p>
    <w:p w14:paraId="57E37963" w14:textId="77777777" w:rsidR="001309E3" w:rsidRPr="00226892" w:rsidRDefault="001309E3" w:rsidP="001C5911">
      <w:pPr>
        <w:pStyle w:val="Nadpis1"/>
      </w:pPr>
      <w:bookmarkStart w:id="38" w:name="_Toc325985765"/>
      <w:bookmarkStart w:id="39" w:name="_Toc387812467"/>
      <w:bookmarkStart w:id="40" w:name="_Toc27409967"/>
      <w:bookmarkStart w:id="41" w:name="_Ref471396144"/>
      <w:bookmarkStart w:id="42" w:name="_Toc505246801"/>
      <w:bookmarkStart w:id="43" w:name="_Toc516654775"/>
      <w:r w:rsidRPr="00226892">
        <w:t>Základné zásady pre zostavenie účtovnej závierky</w:t>
      </w:r>
      <w:bookmarkEnd w:id="38"/>
      <w:bookmarkEnd w:id="39"/>
      <w:bookmarkEnd w:id="40"/>
    </w:p>
    <w:p w14:paraId="4CB4B3A4" w14:textId="376BDA50" w:rsidR="001309E3" w:rsidRPr="00226892" w:rsidRDefault="001309E3" w:rsidP="009B79FC">
      <w:pPr>
        <w:pStyle w:val="ABC-paragrahinNotes"/>
        <w:suppressAutoHyphens/>
        <w:rPr>
          <w:rFonts w:cs="Arial"/>
          <w:i/>
          <w:sz w:val="20"/>
          <w:lang w:val="sk-SK"/>
        </w:rPr>
      </w:pPr>
      <w:r w:rsidRPr="00226892">
        <w:rPr>
          <w:rFonts w:cs="Arial"/>
          <w:sz w:val="20"/>
          <w:lang w:val="sk-SK"/>
        </w:rPr>
        <w:t xml:space="preserve">Slovenský zákon o účtovníctve (zákon NR SR č. 431/2002 </w:t>
      </w:r>
      <w:proofErr w:type="spellStart"/>
      <w:r w:rsidRPr="00226892">
        <w:rPr>
          <w:rFonts w:cs="Arial"/>
          <w:sz w:val="20"/>
          <w:lang w:val="sk-SK"/>
        </w:rPr>
        <w:t>Z.z</w:t>
      </w:r>
      <w:proofErr w:type="spellEnd"/>
      <w:r w:rsidRPr="00226892">
        <w:rPr>
          <w:rFonts w:cs="Arial"/>
          <w:sz w:val="20"/>
          <w:lang w:val="sk-SK"/>
        </w:rPr>
        <w:t>. v znení neskorších predpisov) vyžaduje, aby niektoré spoločnosti zostavili konsolidovanú účtovnú závierku k 31. decembru 201</w:t>
      </w:r>
      <w:r w:rsidR="00ED3406" w:rsidRPr="00226892">
        <w:rPr>
          <w:rFonts w:cs="Arial"/>
          <w:sz w:val="20"/>
          <w:lang w:val="sk-SK"/>
        </w:rPr>
        <w:t>8</w:t>
      </w:r>
      <w:r w:rsidRPr="00226892">
        <w:rPr>
          <w:rFonts w:cs="Arial"/>
          <w:sz w:val="20"/>
          <w:lang w:val="sk-SK"/>
        </w:rPr>
        <w:t xml:space="preserve"> podľa IFRS platných v Európskej únii („EÚ“)</w:t>
      </w:r>
      <w:r w:rsidR="008434EE" w:rsidRPr="00226892">
        <w:rPr>
          <w:rFonts w:cs="Arial"/>
          <w:sz w:val="20"/>
          <w:lang w:val="sk-SK"/>
        </w:rPr>
        <w:t>, (ďalej ako „IFRS/EÚ“)</w:t>
      </w:r>
      <w:r w:rsidRPr="00226892">
        <w:rPr>
          <w:rFonts w:cs="Arial"/>
          <w:sz w:val="20"/>
          <w:lang w:val="sk-SK"/>
        </w:rPr>
        <w:t xml:space="preserve">. </w:t>
      </w:r>
    </w:p>
    <w:p w14:paraId="4B5C6AE7" w14:textId="1F8E6312" w:rsidR="001309E3" w:rsidRPr="00226892" w:rsidRDefault="001309E3" w:rsidP="009B79FC">
      <w:pPr>
        <w:pStyle w:val="ABC-paragrahinNotes"/>
        <w:suppressAutoHyphens/>
        <w:rPr>
          <w:rFonts w:cs="Arial"/>
          <w:sz w:val="20"/>
          <w:lang w:val="sk-SK"/>
        </w:rPr>
      </w:pPr>
      <w:r w:rsidRPr="00226892">
        <w:rPr>
          <w:rFonts w:cs="Arial"/>
          <w:sz w:val="20"/>
          <w:lang w:val="sk-SK"/>
        </w:rPr>
        <w:t>Táto konsolidovaná účtovná závierka Skupiny bola zostavená v súlade s Medzinárodnými štandardmi pre finančné výkazníctvo („IFRS“) platnými v Európskej Únii k 31. decembru 201</w:t>
      </w:r>
      <w:r w:rsidR="00ED3406" w:rsidRPr="00226892">
        <w:rPr>
          <w:rFonts w:cs="Arial"/>
          <w:sz w:val="20"/>
          <w:lang w:val="sk-SK"/>
        </w:rPr>
        <w:t>8</w:t>
      </w:r>
      <w:r w:rsidRPr="00226892">
        <w:rPr>
          <w:rFonts w:cs="Arial"/>
          <w:sz w:val="20"/>
          <w:lang w:val="sk-SK"/>
        </w:rPr>
        <w:t xml:space="preserve"> na základe princípu historických cien.  </w:t>
      </w:r>
    </w:p>
    <w:p w14:paraId="337DEEF8" w14:textId="77777777" w:rsidR="001309E3" w:rsidRPr="00226892" w:rsidRDefault="001309E3" w:rsidP="009B79FC">
      <w:pPr>
        <w:pStyle w:val="ABC-paragrahinNotes"/>
        <w:suppressAutoHyphens/>
        <w:rPr>
          <w:rFonts w:cs="Arial"/>
          <w:sz w:val="20"/>
          <w:lang w:val="sk-SK"/>
        </w:rPr>
      </w:pPr>
      <w:r w:rsidRPr="00226892">
        <w:rPr>
          <w:rFonts w:cs="Arial"/>
          <w:sz w:val="20"/>
          <w:lang w:val="sk-SK"/>
        </w:rPr>
        <w:t>Konsolidovaná účtovná závierka bola zostavená na základe princípu časového rozlíšenia, podľa ktorého sa transakcie a ďalšie skutočnosti vykazujú v čase ich vzniku a v konsolidovanej účtovnej závierke sa vykazujú v období, s ktorým súvisia, za predpokladu nepretržitého pokračovania v činnosti Skupiny.</w:t>
      </w:r>
    </w:p>
    <w:p w14:paraId="01456BC7" w14:textId="253BB578" w:rsidR="001309E3" w:rsidRPr="00226892" w:rsidRDefault="001309E3" w:rsidP="009B79FC">
      <w:pPr>
        <w:pStyle w:val="ABC-paragrahinNotes"/>
        <w:suppressAutoHyphens/>
        <w:rPr>
          <w:rFonts w:cs="Arial"/>
          <w:sz w:val="20"/>
          <w:lang w:val="sk-SK"/>
        </w:rPr>
      </w:pPr>
      <w:r w:rsidRPr="00226892">
        <w:rPr>
          <w:rFonts w:cs="Arial"/>
          <w:sz w:val="20"/>
          <w:lang w:val="sk-SK"/>
        </w:rPr>
        <w:t>Zostavenie účtovnej závierky v súlade s IFRS platnými v EÚ vyžaduje účtovné odhady a uplatnenie úsudku vedenia pri aplikácii postupov účtovania na problematické transakcie. Oblasti, ktoré sú náročnejšie na posúdenie alebo sú zložitejšie, prípadne oblasti, v ktorých predpoklady a odhady významným spôsobom ovplyvňujú účtovnú závierku, sú uvedené v</w:t>
      </w:r>
      <w:r w:rsidR="00D13161" w:rsidRPr="00226892">
        <w:rPr>
          <w:rFonts w:cs="Arial"/>
          <w:sz w:val="20"/>
          <w:lang w:val="sk-SK"/>
        </w:rPr>
        <w:t> bode 4 p</w:t>
      </w:r>
      <w:r w:rsidRPr="00226892">
        <w:rPr>
          <w:rFonts w:cs="Arial"/>
          <w:sz w:val="20"/>
          <w:lang w:val="sk-SK"/>
        </w:rPr>
        <w:t>oznám</w:t>
      </w:r>
      <w:r w:rsidR="00D13161" w:rsidRPr="00226892">
        <w:rPr>
          <w:rFonts w:cs="Arial"/>
          <w:sz w:val="20"/>
          <w:lang w:val="sk-SK"/>
        </w:rPr>
        <w:t>ok</w:t>
      </w:r>
      <w:r w:rsidRPr="00226892">
        <w:rPr>
          <w:rFonts w:cs="Arial"/>
          <w:sz w:val="20"/>
          <w:lang w:val="sk-SK"/>
        </w:rPr>
        <w:t>.</w:t>
      </w:r>
    </w:p>
    <w:p w14:paraId="5F444FF0" w14:textId="77777777" w:rsidR="001309E3" w:rsidRPr="00226892" w:rsidRDefault="001309E3" w:rsidP="009B79FC">
      <w:pPr>
        <w:pStyle w:val="ABC-paragrahinNotes"/>
        <w:suppressAutoHyphens/>
        <w:rPr>
          <w:rFonts w:cs="Arial"/>
          <w:sz w:val="20"/>
          <w:lang w:val="sk-SK"/>
        </w:rPr>
      </w:pPr>
      <w:r w:rsidRPr="00226892">
        <w:rPr>
          <w:rFonts w:cs="Arial"/>
          <w:sz w:val="20"/>
          <w:lang w:val="sk-SK"/>
        </w:rPr>
        <w:t>Predstavenstvo Spoločnosti môže akcionárom navrhnúť zmenu účtovnej závierky aj po jej schválení na valnom zhromaždení akcionárov. Avšak podľa § 16, odsekov 9 až 11 Zákona o účtovníctve, po zostavení a schválení účtovnej závierky nemožno otvárať uzavreté účtovné knihy. Ak sa zistí po schválení účtovnej závierky, že údaje za predchádzajúce účtovné obdobie nie sú porovnateľné, Zákon o účtovníctve povoľuje účtovnej jednotke ich opraviť v účtovnom období, keď tieto skutočnosti zistila.</w:t>
      </w:r>
    </w:p>
    <w:p w14:paraId="5ABB8F31" w14:textId="77777777" w:rsidR="001309E3" w:rsidRPr="00226892" w:rsidRDefault="001309E3" w:rsidP="009B79FC">
      <w:pPr>
        <w:pStyle w:val="ABC-paragrahinNotes"/>
        <w:suppressAutoHyphens/>
        <w:rPr>
          <w:rFonts w:cs="Arial"/>
          <w:sz w:val="20"/>
          <w:lang w:val="sk-SK"/>
        </w:rPr>
      </w:pPr>
      <w:r w:rsidRPr="00226892">
        <w:rPr>
          <w:rFonts w:cs="Arial"/>
          <w:sz w:val="20"/>
          <w:lang w:val="sk-SK"/>
        </w:rPr>
        <w:t xml:space="preserve">Konsolidovaná účtovná závierka je zostavená v tisícoch eur („EUR"), pokiaľ nie je uvedené inak. </w:t>
      </w:r>
    </w:p>
    <w:p w14:paraId="68712A68" w14:textId="347B7571" w:rsidR="001309E3" w:rsidRPr="00226892" w:rsidRDefault="001309E3" w:rsidP="009B79FC">
      <w:pPr>
        <w:pStyle w:val="ABC-paragrahinNotes"/>
        <w:suppressAutoHyphens/>
        <w:rPr>
          <w:rFonts w:cs="Arial"/>
          <w:sz w:val="20"/>
          <w:lang w:val="sk-SK"/>
        </w:rPr>
      </w:pPr>
      <w:r w:rsidRPr="00226892">
        <w:rPr>
          <w:rFonts w:cs="Arial"/>
          <w:sz w:val="20"/>
          <w:lang w:val="sk-SK"/>
        </w:rPr>
        <w:t xml:space="preserve">Skupina aplikuje všetky Medzinárodné účtovné štandardy a interpretácie vydané Výborom pre medzinárodné štandardy pre finančné výkazníctvo (International </w:t>
      </w:r>
      <w:proofErr w:type="spellStart"/>
      <w:r w:rsidRPr="00226892">
        <w:rPr>
          <w:rFonts w:cs="Arial"/>
          <w:sz w:val="20"/>
          <w:lang w:val="sk-SK"/>
        </w:rPr>
        <w:t>Accounting</w:t>
      </w:r>
      <w:proofErr w:type="spellEnd"/>
      <w:r w:rsidRPr="00226892">
        <w:rPr>
          <w:rFonts w:cs="Arial"/>
          <w:sz w:val="20"/>
          <w:lang w:val="sk-SK"/>
        </w:rPr>
        <w:t xml:space="preserve"> </w:t>
      </w:r>
      <w:proofErr w:type="spellStart"/>
      <w:r w:rsidRPr="00226892">
        <w:rPr>
          <w:rFonts w:cs="Arial"/>
          <w:sz w:val="20"/>
          <w:lang w:val="sk-SK"/>
        </w:rPr>
        <w:t>Standards</w:t>
      </w:r>
      <w:proofErr w:type="spellEnd"/>
      <w:r w:rsidRPr="00226892">
        <w:rPr>
          <w:rFonts w:cs="Arial"/>
          <w:sz w:val="20"/>
          <w:lang w:val="sk-SK"/>
        </w:rPr>
        <w:t xml:space="preserve"> </w:t>
      </w:r>
      <w:proofErr w:type="spellStart"/>
      <w:r w:rsidRPr="00226892">
        <w:rPr>
          <w:rFonts w:cs="Arial"/>
          <w:sz w:val="20"/>
          <w:lang w:val="sk-SK"/>
        </w:rPr>
        <w:t>Board</w:t>
      </w:r>
      <w:proofErr w:type="spellEnd"/>
      <w:r w:rsidRPr="00226892">
        <w:rPr>
          <w:rFonts w:cs="Arial"/>
          <w:sz w:val="20"/>
          <w:lang w:val="sk-SK"/>
        </w:rPr>
        <w:t xml:space="preserve"> - ďalej len „IASB") platnými v EÚ, ktoré boli v platnosti k 31. decembru 201</w:t>
      </w:r>
      <w:r w:rsidR="00ED3406" w:rsidRPr="00226892">
        <w:rPr>
          <w:rFonts w:cs="Arial"/>
          <w:sz w:val="20"/>
          <w:lang w:val="sk-SK"/>
        </w:rPr>
        <w:t>8</w:t>
      </w:r>
      <w:r w:rsidRPr="00226892">
        <w:rPr>
          <w:rFonts w:cs="Arial"/>
          <w:sz w:val="20"/>
          <w:lang w:val="sk-SK"/>
        </w:rPr>
        <w:t>.</w:t>
      </w:r>
    </w:p>
    <w:p w14:paraId="5874CF4A" w14:textId="0E6F04DB" w:rsidR="001309E3" w:rsidRPr="00226892" w:rsidRDefault="001309E3" w:rsidP="009B79FC">
      <w:pPr>
        <w:suppressAutoHyphens/>
        <w:jc w:val="both"/>
        <w:rPr>
          <w:rFonts w:ascii="Arial" w:hAnsi="Arial" w:cs="Arial"/>
          <w:lang w:val="sk-SK"/>
        </w:rPr>
      </w:pPr>
      <w:r w:rsidRPr="00226892">
        <w:rPr>
          <w:rFonts w:ascii="Arial" w:hAnsi="Arial" w:cs="Arial"/>
          <w:lang w:val="sk-SK"/>
        </w:rPr>
        <w:t>Niektoré nové štandardy IFRS sa stali pre Skupinu účinnými od 1. januára 201</w:t>
      </w:r>
      <w:r w:rsidR="00ED3406" w:rsidRPr="00226892">
        <w:rPr>
          <w:rFonts w:ascii="Arial" w:hAnsi="Arial" w:cs="Arial"/>
          <w:lang w:val="sk-SK"/>
        </w:rPr>
        <w:t>8</w:t>
      </w:r>
      <w:r w:rsidRPr="00226892">
        <w:rPr>
          <w:rFonts w:ascii="Arial" w:hAnsi="Arial" w:cs="Arial"/>
          <w:lang w:val="sk-SK"/>
        </w:rPr>
        <w:t xml:space="preserve">. </w:t>
      </w:r>
    </w:p>
    <w:p w14:paraId="541A0FBD" w14:textId="77777777" w:rsidR="00AC2584" w:rsidRPr="00226892" w:rsidRDefault="00AC2584" w:rsidP="009B79FC">
      <w:pPr>
        <w:suppressAutoHyphens/>
        <w:jc w:val="both"/>
        <w:rPr>
          <w:rFonts w:ascii="Arial" w:hAnsi="Arial" w:cs="Arial"/>
          <w:lang w:val="sk-SK"/>
        </w:rPr>
      </w:pPr>
    </w:p>
    <w:p w14:paraId="7F0CD816" w14:textId="76CC8CF5" w:rsidR="00730E03" w:rsidRPr="00226892" w:rsidRDefault="00730E03" w:rsidP="00F77733">
      <w:pPr>
        <w:pStyle w:val="Nadpis1"/>
        <w:numPr>
          <w:ilvl w:val="0"/>
          <w:numId w:val="0"/>
        </w:numPr>
        <w:ind w:left="426" w:hanging="426"/>
      </w:pPr>
      <w:bookmarkStart w:id="44" w:name="_Toc11710244"/>
      <w:bookmarkStart w:id="45" w:name="_Toc12279010"/>
      <w:bookmarkStart w:id="46" w:name="_Toc12279097"/>
      <w:bookmarkStart w:id="47" w:name="_Toc12284677"/>
      <w:bookmarkStart w:id="48" w:name="_Toc18052899"/>
      <w:bookmarkStart w:id="49" w:name="_Toc27409968"/>
      <w:r w:rsidRPr="00226892">
        <w:t>Aplikovanie nových a novelizovaných štandardov a interpretácií</w:t>
      </w:r>
      <w:bookmarkEnd w:id="41"/>
      <w:bookmarkEnd w:id="42"/>
      <w:bookmarkEnd w:id="43"/>
      <w:bookmarkEnd w:id="44"/>
      <w:bookmarkEnd w:id="45"/>
      <w:bookmarkEnd w:id="46"/>
      <w:bookmarkEnd w:id="47"/>
      <w:bookmarkEnd w:id="48"/>
      <w:bookmarkEnd w:id="49"/>
    </w:p>
    <w:p w14:paraId="2ACAB164" w14:textId="4FFC51A9" w:rsidR="00730E03" w:rsidRPr="00226892" w:rsidRDefault="00730E03" w:rsidP="00730E03">
      <w:pPr>
        <w:pStyle w:val="ABC-paragrahinNotes"/>
        <w:spacing w:after="120" w:line="228" w:lineRule="auto"/>
        <w:ind w:right="283"/>
        <w:rPr>
          <w:rFonts w:cs="Arial"/>
          <w:sz w:val="20"/>
          <w:lang w:val="sk-SK"/>
        </w:rPr>
      </w:pPr>
      <w:bookmarkStart w:id="50" w:name="_Hlk26387719"/>
      <w:bookmarkStart w:id="51" w:name="_Ref119391608"/>
      <w:bookmarkStart w:id="52" w:name="_Toc409080698"/>
      <w:r w:rsidRPr="00226892">
        <w:rPr>
          <w:rFonts w:cs="Arial"/>
          <w:sz w:val="20"/>
          <w:lang w:val="sk-SK"/>
        </w:rPr>
        <w:t xml:space="preserve">Nasledovné novelizované štandardy </w:t>
      </w:r>
      <w:bookmarkEnd w:id="50"/>
      <w:r w:rsidRPr="00226892">
        <w:rPr>
          <w:rFonts w:cs="Arial"/>
          <w:sz w:val="20"/>
          <w:lang w:val="sk-SK"/>
        </w:rPr>
        <w:t>nadobudli účinnosť pre Skupinu od 1. januára 201</w:t>
      </w:r>
      <w:r w:rsidR="00ED3406" w:rsidRPr="00226892">
        <w:rPr>
          <w:rFonts w:cs="Arial"/>
          <w:sz w:val="20"/>
          <w:lang w:val="sk-SK"/>
        </w:rPr>
        <w:t>8</w:t>
      </w:r>
      <w:r w:rsidRPr="00226892">
        <w:rPr>
          <w:rFonts w:cs="Arial"/>
          <w:sz w:val="20"/>
          <w:lang w:val="sk-SK"/>
        </w:rPr>
        <w:t>:</w:t>
      </w:r>
    </w:p>
    <w:bookmarkEnd w:id="51"/>
    <w:bookmarkEnd w:id="52"/>
    <w:p w14:paraId="1F1E4CF4" w14:textId="77777777" w:rsidR="00145410" w:rsidRPr="005A5DC8" w:rsidRDefault="00145410" w:rsidP="007356E5">
      <w:pPr>
        <w:spacing w:after="240" w:line="220" w:lineRule="exact"/>
        <w:ind w:right="283"/>
        <w:jc w:val="both"/>
        <w:rPr>
          <w:rFonts w:ascii="Arial" w:hAnsi="Arial" w:cs="Arial"/>
          <w:sz w:val="14"/>
        </w:rPr>
      </w:pPr>
    </w:p>
    <w:p w14:paraId="3BB05260" w14:textId="76026627" w:rsidR="00730E03" w:rsidRPr="00226892" w:rsidRDefault="00730E03" w:rsidP="00751223">
      <w:pPr>
        <w:spacing w:after="240" w:line="220" w:lineRule="exact"/>
        <w:jc w:val="both"/>
        <w:rPr>
          <w:rFonts w:ascii="Arial" w:hAnsi="Arial" w:cs="Arial"/>
          <w:b/>
          <w:i/>
          <w:lang w:val="sk-SK"/>
        </w:rPr>
      </w:pPr>
      <w:r w:rsidRPr="00226892">
        <w:rPr>
          <w:rFonts w:ascii="Arial" w:hAnsi="Arial" w:cs="Arial"/>
          <w:b/>
          <w:i/>
          <w:lang w:val="sk-SK"/>
        </w:rPr>
        <w:t>IFRS 9, Finančné nástroje: klasifikácia oceňovanie (vydaný v júli 2014 a účinný pre ročné účtovné obdobia začínajúca dňa 1. januára 2018 alebo neskôr).</w:t>
      </w:r>
    </w:p>
    <w:p w14:paraId="340657BD" w14:textId="419A4367" w:rsidR="00A11903" w:rsidRPr="00226892" w:rsidRDefault="00A11903" w:rsidP="00751223">
      <w:pPr>
        <w:spacing w:after="240" w:line="220" w:lineRule="exact"/>
        <w:jc w:val="both"/>
        <w:rPr>
          <w:rFonts w:ascii="Arial" w:hAnsi="Arial" w:cs="Arial"/>
          <w:lang w:val="sk-SK"/>
        </w:rPr>
      </w:pPr>
      <w:r w:rsidRPr="00226892">
        <w:rPr>
          <w:rFonts w:ascii="Arial" w:hAnsi="Arial" w:cs="Arial"/>
          <w:lang w:val="sk-SK"/>
        </w:rPr>
        <w:t>Skupina aplikovala štandard IFRS 9, Finančné nástroje od 1. januára 2018. Skupina si nevybrala možnosť úpravy porovnateľných údajov a prípadné úpravy účtovných hodnôt finančných aktív a záväzkov vykázala v otváracom stave nerozdelených ziskov ku dňu prvotnej aplikácie štandardu. Požiadavky revidovaného štandardu IFRS 7, Finančné nástroje: Zverejnenia, boli aplikované až v aktuálnom účtovnom období. Zverejnenia pre porovnateľné obdobie kopírujú zverejnenia vykázané v účtovnej závierke za minulé účtovné obdobie.</w:t>
      </w:r>
    </w:p>
    <w:p w14:paraId="5F45457F" w14:textId="20FA3D75" w:rsidR="00A11903" w:rsidRPr="00226892" w:rsidRDefault="00A11903" w:rsidP="00751223">
      <w:pPr>
        <w:spacing w:after="240" w:line="220" w:lineRule="exact"/>
        <w:jc w:val="both"/>
        <w:rPr>
          <w:rFonts w:ascii="Arial" w:hAnsi="Arial" w:cs="Arial"/>
          <w:lang w:val="sk-SK"/>
        </w:rPr>
      </w:pPr>
      <w:r w:rsidRPr="00226892">
        <w:rPr>
          <w:rFonts w:ascii="Arial" w:hAnsi="Arial" w:cs="Arial"/>
          <w:lang w:val="sk-SK"/>
        </w:rPr>
        <w:t xml:space="preserve">Významné nové účtovné politiky sú aplikované v aktuálnom účtovnom období a sú popísané v patričných častiach Pozn. 2. </w:t>
      </w:r>
    </w:p>
    <w:p w14:paraId="3B146C40" w14:textId="02F450A2" w:rsidR="007B030D" w:rsidRPr="00226892" w:rsidRDefault="007B030D" w:rsidP="00751223">
      <w:pPr>
        <w:spacing w:after="240" w:line="220" w:lineRule="exact"/>
        <w:jc w:val="both"/>
        <w:rPr>
          <w:rFonts w:ascii="Arial" w:hAnsi="Arial" w:cs="Arial"/>
          <w:lang w:val="sk-SK"/>
        </w:rPr>
      </w:pPr>
      <w:r w:rsidRPr="00226892">
        <w:rPr>
          <w:rFonts w:ascii="Arial" w:hAnsi="Arial" w:cs="Arial"/>
          <w:lang w:val="sk-SK"/>
        </w:rPr>
        <w:t>Finančné aktíva ocenené pod</w:t>
      </w:r>
      <w:r w:rsidR="00CD30A3" w:rsidRPr="00226892">
        <w:rPr>
          <w:rFonts w:ascii="Arial" w:hAnsi="Arial" w:cs="Arial"/>
          <w:lang w:val="sk-SK"/>
        </w:rPr>
        <w:t>ľ</w:t>
      </w:r>
      <w:r w:rsidRPr="00226892">
        <w:rPr>
          <w:rFonts w:ascii="Arial" w:hAnsi="Arial" w:cs="Arial"/>
          <w:lang w:val="sk-SK"/>
        </w:rPr>
        <w:t>a nov</w:t>
      </w:r>
      <w:r w:rsidR="00CD30A3" w:rsidRPr="00226892">
        <w:rPr>
          <w:rFonts w:ascii="Arial" w:hAnsi="Arial" w:cs="Arial"/>
          <w:lang w:val="sk-SK"/>
        </w:rPr>
        <w:t>é</w:t>
      </w:r>
      <w:r w:rsidRPr="00226892">
        <w:rPr>
          <w:rFonts w:ascii="Arial" w:hAnsi="Arial" w:cs="Arial"/>
          <w:lang w:val="sk-SK"/>
        </w:rPr>
        <w:t xml:space="preserve">ho </w:t>
      </w:r>
      <w:r w:rsidR="00CD30A3" w:rsidRPr="00226892">
        <w:rPr>
          <w:rFonts w:ascii="Arial" w:hAnsi="Arial" w:cs="Arial"/>
          <w:lang w:val="sk-SK"/>
        </w:rPr>
        <w:t>š</w:t>
      </w:r>
      <w:r w:rsidRPr="00226892">
        <w:rPr>
          <w:rFonts w:ascii="Arial" w:hAnsi="Arial" w:cs="Arial"/>
          <w:lang w:val="sk-SK"/>
        </w:rPr>
        <w:t>tandardu IFRS 9 ku d</w:t>
      </w:r>
      <w:r w:rsidR="00CD30A3" w:rsidRPr="00226892">
        <w:rPr>
          <w:rFonts w:ascii="Arial" w:hAnsi="Arial" w:cs="Arial"/>
          <w:lang w:val="sk-SK"/>
        </w:rPr>
        <w:t>ň</w:t>
      </w:r>
      <w:r w:rsidRPr="00226892">
        <w:rPr>
          <w:rFonts w:ascii="Arial" w:hAnsi="Arial" w:cs="Arial"/>
          <w:lang w:val="sk-SK"/>
        </w:rPr>
        <w:t>u aplik</w:t>
      </w:r>
      <w:r w:rsidR="00CD30A3" w:rsidRPr="00226892">
        <w:rPr>
          <w:rFonts w:ascii="Arial" w:hAnsi="Arial" w:cs="Arial"/>
          <w:lang w:val="sk-SK"/>
        </w:rPr>
        <w:t>á</w:t>
      </w:r>
      <w:r w:rsidRPr="00226892">
        <w:rPr>
          <w:rFonts w:ascii="Arial" w:hAnsi="Arial" w:cs="Arial"/>
          <w:lang w:val="sk-SK"/>
        </w:rPr>
        <w:t>cie nie</w:t>
      </w:r>
      <w:r w:rsidR="00CD30A3" w:rsidRPr="00226892">
        <w:rPr>
          <w:rFonts w:ascii="Arial" w:hAnsi="Arial" w:cs="Arial"/>
          <w:lang w:val="sk-SK"/>
        </w:rPr>
        <w:t xml:space="preserve"> </w:t>
      </w:r>
      <w:r w:rsidRPr="00226892">
        <w:rPr>
          <w:rFonts w:ascii="Arial" w:hAnsi="Arial" w:cs="Arial"/>
          <w:lang w:val="sk-SK"/>
        </w:rPr>
        <w:t>s</w:t>
      </w:r>
      <w:r w:rsidR="00CD30A3" w:rsidRPr="00226892">
        <w:rPr>
          <w:rFonts w:ascii="Arial" w:hAnsi="Arial" w:cs="Arial"/>
          <w:lang w:val="sk-SK"/>
        </w:rPr>
        <w:t>ú</w:t>
      </w:r>
      <w:r w:rsidRPr="00226892">
        <w:rPr>
          <w:rFonts w:ascii="Arial" w:hAnsi="Arial" w:cs="Arial"/>
          <w:lang w:val="sk-SK"/>
        </w:rPr>
        <w:t xml:space="preserve"> v</w:t>
      </w:r>
      <w:r w:rsidR="00CD30A3" w:rsidRPr="00226892">
        <w:rPr>
          <w:rFonts w:ascii="Arial" w:hAnsi="Arial" w:cs="Arial"/>
          <w:lang w:val="sk-SK"/>
        </w:rPr>
        <w:t>ý</w:t>
      </w:r>
      <w:r w:rsidRPr="00226892">
        <w:rPr>
          <w:rFonts w:ascii="Arial" w:hAnsi="Arial" w:cs="Arial"/>
          <w:lang w:val="sk-SK"/>
        </w:rPr>
        <w:t>znamne odli</w:t>
      </w:r>
      <w:r w:rsidR="00CD30A3" w:rsidRPr="00226892">
        <w:rPr>
          <w:rFonts w:ascii="Arial" w:hAnsi="Arial" w:cs="Arial"/>
          <w:lang w:val="sk-SK"/>
        </w:rPr>
        <w:t>šné</w:t>
      </w:r>
      <w:r w:rsidRPr="00226892">
        <w:rPr>
          <w:rFonts w:ascii="Arial" w:hAnsi="Arial" w:cs="Arial"/>
          <w:lang w:val="sk-SK"/>
        </w:rPr>
        <w:t xml:space="preserve"> od hodn</w:t>
      </w:r>
      <w:r w:rsidR="00CD30A3" w:rsidRPr="00226892">
        <w:rPr>
          <w:rFonts w:ascii="Arial" w:hAnsi="Arial" w:cs="Arial"/>
          <w:lang w:val="sk-SK"/>
        </w:rPr>
        <w:t>ôt</w:t>
      </w:r>
      <w:r w:rsidRPr="00226892">
        <w:rPr>
          <w:rFonts w:ascii="Arial" w:hAnsi="Arial" w:cs="Arial"/>
          <w:lang w:val="sk-SK"/>
        </w:rPr>
        <w:t xml:space="preserve"> zistený</w:t>
      </w:r>
      <w:r w:rsidR="00CD30A3" w:rsidRPr="00226892">
        <w:rPr>
          <w:rFonts w:ascii="Arial" w:hAnsi="Arial" w:cs="Arial"/>
          <w:lang w:val="sk-SK"/>
        </w:rPr>
        <w:t>ch</w:t>
      </w:r>
      <w:r w:rsidRPr="00226892">
        <w:rPr>
          <w:rFonts w:ascii="Arial" w:hAnsi="Arial" w:cs="Arial"/>
          <w:lang w:val="sk-SK"/>
        </w:rPr>
        <w:t xml:space="preserve"> v súlade so štandardom IAS 39</w:t>
      </w:r>
      <w:r w:rsidR="00CD30A3" w:rsidRPr="00226892">
        <w:rPr>
          <w:rFonts w:ascii="Arial" w:hAnsi="Arial" w:cs="Arial"/>
          <w:lang w:val="sk-SK"/>
        </w:rPr>
        <w:t>.</w:t>
      </w:r>
    </w:p>
    <w:p w14:paraId="4ED34448" w14:textId="1D28C0F0" w:rsidR="005664EB" w:rsidRPr="00226892" w:rsidRDefault="005664EB" w:rsidP="00751223">
      <w:pPr>
        <w:spacing w:after="240" w:line="220" w:lineRule="exact"/>
        <w:jc w:val="both"/>
        <w:rPr>
          <w:rFonts w:ascii="Arial" w:hAnsi="Arial" w:cs="Arial"/>
          <w:lang w:val="sk-SK"/>
        </w:rPr>
      </w:pPr>
      <w:r w:rsidRPr="00226892">
        <w:rPr>
          <w:rFonts w:ascii="Arial" w:hAnsi="Arial" w:cs="Arial"/>
          <w:lang w:val="sk-SK"/>
        </w:rPr>
        <w:lastRenderedPageBreak/>
        <w:t>a)</w:t>
      </w:r>
      <w:r w:rsidRPr="00226892">
        <w:rPr>
          <w:rFonts w:ascii="Arial" w:hAnsi="Arial" w:cs="Arial"/>
          <w:lang w:val="sk-SK"/>
        </w:rPr>
        <w:tab/>
      </w:r>
      <w:r w:rsidRPr="00226892">
        <w:rPr>
          <w:rFonts w:ascii="Arial" w:hAnsi="Arial" w:cs="Arial"/>
          <w:i/>
          <w:lang w:val="sk-SK"/>
        </w:rPr>
        <w:t>Peňažné prostriedky a peňažné ekvivalenty</w:t>
      </w:r>
    </w:p>
    <w:p w14:paraId="19EF68EF" w14:textId="134067EB" w:rsidR="005664EB" w:rsidRPr="00226892" w:rsidRDefault="005664EB" w:rsidP="00751223">
      <w:pPr>
        <w:spacing w:after="240" w:line="220" w:lineRule="exact"/>
        <w:jc w:val="both"/>
        <w:rPr>
          <w:rFonts w:ascii="Arial" w:hAnsi="Arial" w:cs="Arial"/>
          <w:lang w:val="sk-SK"/>
        </w:rPr>
      </w:pPr>
      <w:r w:rsidRPr="00226892">
        <w:rPr>
          <w:rFonts w:ascii="Arial" w:hAnsi="Arial" w:cs="Arial"/>
          <w:lang w:val="sk-SK"/>
        </w:rPr>
        <w:t>Všetky položky peňažných prostriedkov a peňažných ekvivalentov zverejnené v Pozn. 9 boli preklasifikované z oceňovacej kategórie Pôžičky a pohľadávky („</w:t>
      </w:r>
      <w:proofErr w:type="spellStart"/>
      <w:r w:rsidRPr="00226892">
        <w:rPr>
          <w:rFonts w:ascii="Arial" w:hAnsi="Arial" w:cs="Arial"/>
          <w:lang w:val="sk-SK"/>
        </w:rPr>
        <w:t>PaP</w:t>
      </w:r>
      <w:proofErr w:type="spellEnd"/>
      <w:r w:rsidRPr="00226892">
        <w:rPr>
          <w:rFonts w:ascii="Arial" w:hAnsi="Arial" w:cs="Arial"/>
          <w:lang w:val="sk-SK"/>
        </w:rPr>
        <w:t>“) podľa IAS 39 do oceňovacej kategórie Amortizovaná hodnota („AH“) podľa IFRS 9 ku dňu aplikácie štandardu. Opravné položky vzťahujúce sa na peňažné prostriedky a peňažné ekvivalenty sú nevýznamné.</w:t>
      </w:r>
    </w:p>
    <w:p w14:paraId="3924F968" w14:textId="3F7E730E" w:rsidR="005664EB" w:rsidRPr="00226892" w:rsidRDefault="005664EB" w:rsidP="00751223">
      <w:pPr>
        <w:spacing w:after="240" w:line="220" w:lineRule="exact"/>
        <w:jc w:val="both"/>
        <w:rPr>
          <w:rFonts w:ascii="Arial" w:hAnsi="Arial" w:cs="Arial"/>
          <w:lang w:val="sk-SK"/>
        </w:rPr>
      </w:pPr>
      <w:r w:rsidRPr="00226892">
        <w:rPr>
          <w:rFonts w:ascii="Arial" w:hAnsi="Arial" w:cs="Arial"/>
          <w:lang w:val="sk-SK"/>
        </w:rPr>
        <w:t>(b)</w:t>
      </w:r>
      <w:r w:rsidRPr="00226892">
        <w:rPr>
          <w:rFonts w:ascii="Arial" w:hAnsi="Arial" w:cs="Arial"/>
          <w:lang w:val="sk-SK"/>
        </w:rPr>
        <w:tab/>
      </w:r>
      <w:r w:rsidRPr="00226892">
        <w:rPr>
          <w:rFonts w:ascii="Arial" w:hAnsi="Arial" w:cs="Arial"/>
          <w:i/>
          <w:lang w:val="sk-SK"/>
        </w:rPr>
        <w:t>Pohľadávky z obchodného styku a iné pohľadávky</w:t>
      </w:r>
    </w:p>
    <w:p w14:paraId="4FE2B2A8" w14:textId="634AF698" w:rsidR="005664EB" w:rsidRPr="00226892" w:rsidRDefault="005664EB" w:rsidP="00751223">
      <w:pPr>
        <w:spacing w:after="240" w:line="220" w:lineRule="exact"/>
        <w:jc w:val="both"/>
        <w:rPr>
          <w:rFonts w:ascii="Arial" w:hAnsi="Arial" w:cs="Arial"/>
          <w:lang w:val="sk-SK"/>
        </w:rPr>
      </w:pPr>
      <w:r w:rsidRPr="00226892">
        <w:rPr>
          <w:rFonts w:ascii="Arial" w:hAnsi="Arial" w:cs="Arial"/>
          <w:lang w:val="sk-SK"/>
        </w:rPr>
        <w:t xml:space="preserve">Všetky položky pohľadávok z obchodného styku a iných pohľadávok zverejnené v Pozn. 9 boli preklasifikované z oceňovacej kategórie </w:t>
      </w:r>
      <w:proofErr w:type="spellStart"/>
      <w:r w:rsidRPr="00226892">
        <w:rPr>
          <w:rFonts w:ascii="Arial" w:hAnsi="Arial" w:cs="Arial"/>
          <w:lang w:val="sk-SK"/>
        </w:rPr>
        <w:t>PaP</w:t>
      </w:r>
      <w:proofErr w:type="spellEnd"/>
      <w:r w:rsidRPr="00226892">
        <w:rPr>
          <w:rFonts w:ascii="Arial" w:hAnsi="Arial" w:cs="Arial"/>
          <w:lang w:val="sk-SK"/>
        </w:rPr>
        <w:t xml:space="preserve"> podľa IAS 39 do oceňovacej kategórie AH podľa IFRS 9 ku dňu aplikácie štandardu. Vplyv </w:t>
      </w:r>
      <w:proofErr w:type="spellStart"/>
      <w:r w:rsidRPr="00226892">
        <w:rPr>
          <w:rFonts w:ascii="Arial" w:hAnsi="Arial" w:cs="Arial"/>
          <w:lang w:val="sk-SK"/>
        </w:rPr>
        <w:t>reklasifikácie</w:t>
      </w:r>
      <w:proofErr w:type="spellEnd"/>
      <w:r w:rsidRPr="00226892">
        <w:rPr>
          <w:rFonts w:ascii="Arial" w:hAnsi="Arial" w:cs="Arial"/>
          <w:lang w:val="sk-SK"/>
        </w:rPr>
        <w:t xml:space="preserve"> na účtovnú hodnotu je nevýznamný.</w:t>
      </w:r>
    </w:p>
    <w:p w14:paraId="1FBFE965" w14:textId="339893CF" w:rsidR="00A11903" w:rsidRPr="00226892" w:rsidRDefault="005664EB" w:rsidP="00751223">
      <w:pPr>
        <w:spacing w:after="240" w:line="220" w:lineRule="exact"/>
        <w:jc w:val="both"/>
        <w:rPr>
          <w:rFonts w:ascii="Arial" w:hAnsi="Arial" w:cs="Arial"/>
          <w:lang w:val="sk-SK"/>
        </w:rPr>
      </w:pPr>
      <w:r w:rsidRPr="00226892">
        <w:rPr>
          <w:rFonts w:ascii="Arial" w:hAnsi="Arial" w:cs="Arial"/>
          <w:lang w:val="sk-SK"/>
        </w:rPr>
        <w:t xml:space="preserve">Opravná položka na zníženie hodnoty vypočítaná v súlade s modelom vzniknutej straty podľa IAS 39 alebo IAS 37 k 31. decembru 2017 sa k 31. decembru 2017 významne nelíši od novej opravnej položky na očakávané úverové straty meranej v súlade s modelom očakávanej úverovej straty podľa IFRS 9 k 1. januáru 2018. Spoločnosť nevykonala </w:t>
      </w:r>
      <w:proofErr w:type="spellStart"/>
      <w:r w:rsidRPr="00226892">
        <w:rPr>
          <w:rFonts w:ascii="Arial" w:hAnsi="Arial" w:cs="Arial"/>
          <w:lang w:val="sk-SK"/>
        </w:rPr>
        <w:t>reklasifikačné</w:t>
      </w:r>
      <w:proofErr w:type="spellEnd"/>
      <w:r w:rsidRPr="00226892">
        <w:rPr>
          <w:rFonts w:ascii="Arial" w:hAnsi="Arial" w:cs="Arial"/>
          <w:lang w:val="sk-SK"/>
        </w:rPr>
        <w:t xml:space="preserve"> úpravy ani precenenia, ktoré by mali významný vplyv na opravné položky na očakávané úverové straty k 1. januáru 2018.</w:t>
      </w:r>
    </w:p>
    <w:p w14:paraId="6E1C9BEC" w14:textId="2DF53F0C" w:rsidR="00A11903" w:rsidRPr="00226892" w:rsidRDefault="005664EB" w:rsidP="00751223">
      <w:pPr>
        <w:spacing w:after="240" w:line="220" w:lineRule="exact"/>
        <w:jc w:val="both"/>
        <w:rPr>
          <w:rFonts w:ascii="Arial" w:hAnsi="Arial" w:cs="Arial"/>
          <w:lang w:val="sk-SK"/>
        </w:rPr>
      </w:pPr>
      <w:r w:rsidRPr="00226892">
        <w:rPr>
          <w:rFonts w:ascii="Arial" w:hAnsi="Arial" w:cs="Arial"/>
          <w:lang w:val="sk-SK"/>
        </w:rPr>
        <w:t>Vplyv prechodu na IFRS 9 na položky vlastného imania k 1. januáru 2018 bol nevýznamný.</w:t>
      </w:r>
    </w:p>
    <w:p w14:paraId="5DEFB6B4" w14:textId="2032A6F3" w:rsidR="00730E03" w:rsidRPr="00226892" w:rsidRDefault="00730E03" w:rsidP="00751223">
      <w:pPr>
        <w:jc w:val="both"/>
        <w:rPr>
          <w:rFonts w:ascii="Arial" w:hAnsi="Arial" w:cs="Arial"/>
          <w:iCs/>
          <w:lang w:val="sk-SK" w:eastAsia="ru-RU"/>
        </w:rPr>
      </w:pPr>
      <w:r w:rsidRPr="00226892">
        <w:rPr>
          <w:rFonts w:ascii="Arial" w:hAnsi="Arial" w:cs="Arial"/>
          <w:b/>
          <w:i/>
          <w:lang w:val="sk-SK"/>
        </w:rPr>
        <w:t xml:space="preserve">IFRS 15, Výnosy zo zmlúv so zákazníkmi (vydaný 28. mája 2014, novelizovaný 12. apríla 2016  a účinný pre ročné účtovné obdobia začínajúca dňa 1. januára 2018 alebo neskôr). </w:t>
      </w:r>
      <w:r w:rsidRPr="00226892">
        <w:rPr>
          <w:rFonts w:ascii="Arial" w:hAnsi="Arial" w:cs="Arial"/>
          <w:iCs/>
          <w:lang w:val="sk-SK" w:eastAsia="ru-RU"/>
        </w:rPr>
        <w:t>Tento nový štandard zavádza princíp, že výnosy sa majú účtovať v transakčnej cene v čase, keď tovar alebo služby sú prevedené na zákazníka. Akékoľvek viazané tovary alebo služby, ktoré sú odlíšiteľné, sa musia účtovať samostatne a zľavy alebo vrátky z predajnej ceny musia byť alokované na jednotlivé položky. V prípade, že cena je z akéhokoľvek dôvodu variabilná, musí sa zaúčtovať minimálna hodnota, u ktorej je vysoko pravdepodobné, že nebude odúčtovaná. Náklady na obstaranie zmluvy zo zákazníkmi sa musia kapitalizovať a odpisujú sa počas doby, počas ktorej spoločnosti plynú ekonomické benefity zmluvy so zákazníkom.</w:t>
      </w:r>
      <w:r w:rsidR="00F14483" w:rsidRPr="00226892">
        <w:rPr>
          <w:rFonts w:ascii="Arial" w:hAnsi="Arial" w:cs="Arial"/>
          <w:iCs/>
          <w:lang w:val="sk-SK" w:eastAsia="ru-RU"/>
        </w:rPr>
        <w:t xml:space="preserve"> Výnosy z predaja hotových výrobkov </w:t>
      </w:r>
      <w:r w:rsidR="00E07E4E" w:rsidRPr="00226892">
        <w:rPr>
          <w:rFonts w:ascii="Arial" w:hAnsi="Arial" w:cs="Arial"/>
          <w:iCs/>
          <w:lang w:val="sk-SK" w:eastAsia="ru-RU"/>
        </w:rPr>
        <w:t xml:space="preserve">a tovaru </w:t>
      </w:r>
      <w:r w:rsidR="00F14483" w:rsidRPr="00226892">
        <w:rPr>
          <w:rFonts w:ascii="Arial" w:hAnsi="Arial" w:cs="Arial"/>
          <w:iCs/>
          <w:lang w:val="sk-SK" w:eastAsia="ru-RU"/>
        </w:rPr>
        <w:t>sú vykázané v určitom časovom momente, zmluva má len jednu povinnosť plnenia. S</w:t>
      </w:r>
      <w:r w:rsidR="00D57387" w:rsidRPr="00226892">
        <w:rPr>
          <w:rFonts w:ascii="Arial" w:hAnsi="Arial" w:cs="Arial"/>
          <w:iCs/>
          <w:lang w:val="sk-SK" w:eastAsia="ru-RU"/>
        </w:rPr>
        <w:t>kupina</w:t>
      </w:r>
      <w:r w:rsidR="00F14483" w:rsidRPr="00226892">
        <w:rPr>
          <w:rFonts w:ascii="Arial" w:hAnsi="Arial" w:cs="Arial"/>
          <w:iCs/>
          <w:lang w:val="sk-SK" w:eastAsia="ru-RU"/>
        </w:rPr>
        <w:t xml:space="preserve"> neposkytuje žiadne zľavy a záruky. Účtovanie výnosov z pohľadu časového hľadiska nie je významne odlišné od spôsobu účtovania podľa IAS 11 a IAS 18.</w:t>
      </w:r>
    </w:p>
    <w:p w14:paraId="50410E3A" w14:textId="77777777" w:rsidR="00730E03" w:rsidRPr="00B2638E" w:rsidRDefault="00730E03" w:rsidP="00751223">
      <w:pPr>
        <w:ind w:left="709"/>
        <w:jc w:val="both"/>
        <w:rPr>
          <w:rFonts w:ascii="Arial" w:hAnsi="Arial" w:cs="Arial"/>
          <w:sz w:val="14"/>
          <w:lang w:val="sk-SK"/>
        </w:rPr>
      </w:pPr>
    </w:p>
    <w:p w14:paraId="6ACBA40E" w14:textId="0A197FDA" w:rsidR="00730E03" w:rsidRPr="00226892" w:rsidRDefault="00730E03" w:rsidP="00751223">
      <w:pPr>
        <w:jc w:val="both"/>
        <w:rPr>
          <w:rFonts w:ascii="Arial" w:hAnsi="Arial" w:cs="Arial"/>
          <w:lang w:val="sk-SK"/>
        </w:rPr>
      </w:pPr>
      <w:r w:rsidRPr="00226892">
        <w:rPr>
          <w:rFonts w:ascii="Arial" w:hAnsi="Arial" w:cs="Arial"/>
          <w:lang w:val="sk-SK"/>
        </w:rPr>
        <w:t>V súlade s prechodnými ustanoveniami v IFRS 15 si Skupina zvolila zjednodušenú metódu prechodu s účinnosťou od 1. januára 2018 kedy Skupina bude vykazovať efekt prechodu v konsolidovanej účtovnej závierke za rok končiaci sa 31. decembra 2018, čo bude prvý rok, kedy Skupina bude uplatňovať IFRS 15.</w:t>
      </w:r>
    </w:p>
    <w:p w14:paraId="4B24759C" w14:textId="77777777" w:rsidR="00D57387" w:rsidRPr="00B2638E" w:rsidRDefault="00D57387" w:rsidP="00751223">
      <w:pPr>
        <w:jc w:val="both"/>
        <w:rPr>
          <w:rFonts w:ascii="Arial" w:hAnsi="Arial" w:cs="Arial"/>
          <w:sz w:val="16"/>
          <w:lang w:val="sk-SK"/>
        </w:rPr>
      </w:pPr>
    </w:p>
    <w:p w14:paraId="4EAC8C75" w14:textId="49F806AA" w:rsidR="00341A0D" w:rsidRPr="00226892" w:rsidRDefault="00341A0D" w:rsidP="00751223">
      <w:pPr>
        <w:jc w:val="both"/>
        <w:rPr>
          <w:rFonts w:ascii="Arial" w:hAnsi="Arial" w:cs="Arial"/>
          <w:lang w:val="sk-SK"/>
        </w:rPr>
      </w:pPr>
      <w:r w:rsidRPr="00226892">
        <w:rPr>
          <w:rFonts w:ascii="Arial" w:hAnsi="Arial" w:cs="Arial"/>
          <w:lang w:val="sk-SK"/>
        </w:rPr>
        <w:t>Skupina plánuje uplatniť praktický pohľad použiteľný pre zjednodušený spôsob prechodu. Skupina uplatňuje IFRS 15 retrospektívne len na zmluvy, ktoré neboli ukončené k dátumu prvého uplatňovania štandardu (1. januára 2018).</w:t>
      </w:r>
    </w:p>
    <w:p w14:paraId="343DC472" w14:textId="40A611B8" w:rsidR="00CD73BC" w:rsidRPr="00226892" w:rsidRDefault="00CD73BC" w:rsidP="00751223">
      <w:pPr>
        <w:jc w:val="both"/>
        <w:rPr>
          <w:rFonts w:ascii="Arial" w:hAnsi="Arial" w:cs="Arial"/>
          <w:lang w:val="sk-SK"/>
        </w:rPr>
      </w:pPr>
    </w:p>
    <w:p w14:paraId="3E02A48C" w14:textId="1ACA5D2E" w:rsidR="00CD73BC" w:rsidRDefault="00CD73BC" w:rsidP="00751223">
      <w:pPr>
        <w:jc w:val="both"/>
        <w:rPr>
          <w:rFonts w:ascii="Arial" w:hAnsi="Arial" w:cs="Arial"/>
          <w:lang w:val="sk-SK"/>
        </w:rPr>
      </w:pPr>
      <w:r w:rsidRPr="00226892">
        <w:rPr>
          <w:rFonts w:ascii="Arial" w:hAnsi="Arial" w:cs="Arial"/>
          <w:lang w:val="sk-SK"/>
        </w:rPr>
        <w:t xml:space="preserve">Na základe analýzy výnosov Skupiny za rok končiaci sa 31. decembra 2018, podmienok jednotlivých zmlúv a na základe skutočností a okolností, ktoré existujú k tomuto dátumu a rovnako s ohľadom na zjednodušený spôsob prechodu, manažment Skupiny </w:t>
      </w:r>
      <w:r w:rsidR="00E818C3" w:rsidRPr="00226892">
        <w:rPr>
          <w:rFonts w:ascii="Arial" w:hAnsi="Arial" w:cs="Arial"/>
          <w:lang w:val="sk-SK"/>
        </w:rPr>
        <w:t>konštatuje</w:t>
      </w:r>
      <w:r w:rsidRPr="00226892">
        <w:rPr>
          <w:rFonts w:ascii="Arial" w:hAnsi="Arial" w:cs="Arial"/>
          <w:lang w:val="sk-SK"/>
        </w:rPr>
        <w:t xml:space="preserve">, že aplikácia nového štandardu k 1 januáru 2018 </w:t>
      </w:r>
      <w:r w:rsidR="00E818C3" w:rsidRPr="00226892">
        <w:rPr>
          <w:rFonts w:ascii="Arial" w:hAnsi="Arial" w:cs="Arial"/>
          <w:lang w:val="sk-SK"/>
        </w:rPr>
        <w:t>má</w:t>
      </w:r>
      <w:r w:rsidRPr="00226892">
        <w:rPr>
          <w:rFonts w:ascii="Arial" w:hAnsi="Arial" w:cs="Arial"/>
          <w:lang w:val="sk-SK"/>
        </w:rPr>
        <w:t xml:space="preserve"> nevýznamný</w:t>
      </w:r>
      <w:r w:rsidR="000D3C5B" w:rsidRPr="00226892">
        <w:rPr>
          <w:rFonts w:ascii="Arial" w:hAnsi="Arial" w:cs="Arial"/>
          <w:lang w:val="sk-SK"/>
        </w:rPr>
        <w:t xml:space="preserve"> dopad</w:t>
      </w:r>
      <w:r w:rsidRPr="00226892">
        <w:rPr>
          <w:rFonts w:ascii="Arial" w:hAnsi="Arial" w:cs="Arial"/>
          <w:lang w:val="sk-SK"/>
        </w:rPr>
        <w:t>.</w:t>
      </w:r>
    </w:p>
    <w:p w14:paraId="60655BDD" w14:textId="77777777" w:rsidR="00B2638E" w:rsidRPr="00226892" w:rsidRDefault="00B2638E" w:rsidP="00751223">
      <w:pPr>
        <w:jc w:val="both"/>
        <w:rPr>
          <w:rFonts w:ascii="Arial" w:hAnsi="Arial" w:cs="Arial"/>
          <w:lang w:val="sk-SK"/>
        </w:rPr>
      </w:pPr>
    </w:p>
    <w:p w14:paraId="281C6D44" w14:textId="5D814C81" w:rsidR="00B24FA3" w:rsidRDefault="00341A0D" w:rsidP="00751223">
      <w:pPr>
        <w:jc w:val="both"/>
        <w:rPr>
          <w:rFonts w:ascii="Arial" w:hAnsi="Arial" w:cs="Arial"/>
          <w:lang w:val="sk-SK"/>
        </w:rPr>
      </w:pPr>
      <w:r w:rsidRPr="00226892">
        <w:rPr>
          <w:rFonts w:ascii="Arial" w:hAnsi="Arial" w:cs="Arial"/>
          <w:b/>
          <w:i/>
          <w:lang w:val="sk-SK"/>
        </w:rPr>
        <w:t>Novela IFRS 15, Výnosy zo zmlúv so zákazníkmi (vydaná 12. apríla 2016 a účinná v EÚ pre účtovné obdobia začínajúce 1. januára 2018 alebo neskôr).</w:t>
      </w:r>
      <w:r w:rsidRPr="00226892">
        <w:rPr>
          <w:rFonts w:ascii="Arial" w:hAnsi="Arial" w:cs="Arial"/>
          <w:lang w:val="sk-SK"/>
        </w:rPr>
        <w:t xml:space="preserve"> Novela nemení základné princípy štandardu, ale upresňuje, ako sa tieto princípy majú aplikovať. Objasňuje, ako v rámci zmluvy identifikovať povinnosť plnenia zákazníkovi (povinnosť dodať tovar alebo služby), ako stanoviť, či spoločnosť je primárne zodpovedná za dodanie (ako dodávateľ tovaru alebo služby) alebo len sprostredkovateľ (zodpovedný za sprostredkovanie tovaru alebo služby), ako aj ako stanoviť, či sa výnos z licencie má účtovať v stanovenom čase alebo počas určitého obdobia. Okrem týchto upresnení obsahuje aj dve dodatočné oslobodenia s cieľom znížiť náklady a komplexnosť v čase prvej implementácie štandardu. </w:t>
      </w:r>
      <w:r w:rsidR="00D57387" w:rsidRPr="00226892">
        <w:rPr>
          <w:rFonts w:ascii="Arial" w:hAnsi="Arial" w:cs="Arial"/>
          <w:lang w:val="sk-SK"/>
        </w:rPr>
        <w:t>Skupina</w:t>
      </w:r>
      <w:r w:rsidRPr="00226892">
        <w:rPr>
          <w:rFonts w:ascii="Arial" w:hAnsi="Arial" w:cs="Arial"/>
          <w:lang w:val="sk-SK"/>
        </w:rPr>
        <w:t xml:space="preserve"> posúdila dopad tejto novely na svoju účtovnú závierku a vyhodnotila jej dopad ako nevýznamný.</w:t>
      </w:r>
    </w:p>
    <w:p w14:paraId="4460EB4C" w14:textId="77777777" w:rsidR="00B24FA3" w:rsidRDefault="00B24FA3">
      <w:pPr>
        <w:rPr>
          <w:rFonts w:ascii="Arial" w:hAnsi="Arial" w:cs="Arial"/>
          <w:lang w:val="sk-SK"/>
        </w:rPr>
      </w:pPr>
      <w:r>
        <w:rPr>
          <w:rFonts w:ascii="Arial" w:hAnsi="Arial" w:cs="Arial"/>
          <w:lang w:val="sk-SK"/>
        </w:rPr>
        <w:br w:type="page"/>
      </w:r>
    </w:p>
    <w:p w14:paraId="36723F02" w14:textId="552F94CE" w:rsidR="006102BF" w:rsidRDefault="006102BF" w:rsidP="00751223">
      <w:pPr>
        <w:jc w:val="both"/>
        <w:rPr>
          <w:rFonts w:ascii="Arial" w:hAnsi="Arial" w:cs="Arial"/>
          <w:lang w:val="sk-SK"/>
        </w:rPr>
      </w:pPr>
      <w:r w:rsidRPr="00226892">
        <w:rPr>
          <w:rFonts w:ascii="Arial" w:hAnsi="Arial" w:cs="Arial"/>
          <w:b/>
          <w:i/>
          <w:lang w:val="sk-SK"/>
        </w:rPr>
        <w:lastRenderedPageBreak/>
        <w:t>Novela IFRS 2, Platby na báze podielov</w:t>
      </w:r>
      <w:r w:rsidRPr="00226892">
        <w:rPr>
          <w:rFonts w:ascii="Arial" w:hAnsi="Arial" w:cs="Arial"/>
          <w:i/>
          <w:lang w:val="sk-SK"/>
        </w:rPr>
        <w:t xml:space="preserve"> (vydaná 20. júna 2016 a účinná v EÚ pre ročné účtovné obdobia začínajúce 1. januára 2018 alebo neskôr)</w:t>
      </w:r>
      <w:r w:rsidRPr="00226892">
        <w:rPr>
          <w:rFonts w:ascii="Arial" w:hAnsi="Arial" w:cs="Arial"/>
          <w:lang w:val="sk-SK"/>
        </w:rPr>
        <w:t>. Novelizácia znamená, že netrhové, výkonom podmienené podmienky vzniku nároku na platby na báze podielov ovplyvnia oceňovanie platobných transakcií uhrádzaných v hotovosti na báze podielov rovnakým spôsobom ako odmeny vyrovnané vlastným imaním. Novela taktiež objasňuje klasifikáciu transakcie s prvkom čistého vyrovnania. Spoločnosť posúdila dopad tejto novely na svoju účtovnú závierku a vyhodnotila jej dopad ako nevýznamný.</w:t>
      </w:r>
    </w:p>
    <w:p w14:paraId="1D6C86A5" w14:textId="77777777" w:rsidR="00B24FA3" w:rsidRPr="00226892" w:rsidRDefault="00B24FA3" w:rsidP="00751223">
      <w:pPr>
        <w:jc w:val="both"/>
        <w:rPr>
          <w:rFonts w:ascii="Arial" w:hAnsi="Arial" w:cs="Arial"/>
          <w:lang w:val="sk-SK"/>
        </w:rPr>
      </w:pPr>
    </w:p>
    <w:p w14:paraId="767CFA0E" w14:textId="2A217964" w:rsidR="00467854" w:rsidRPr="00226892" w:rsidRDefault="00467854" w:rsidP="00751223">
      <w:pPr>
        <w:jc w:val="both"/>
        <w:rPr>
          <w:rFonts w:ascii="Arial" w:hAnsi="Arial" w:cs="Arial"/>
          <w:lang w:val="sk-SK"/>
        </w:rPr>
      </w:pPr>
      <w:r w:rsidRPr="00226892">
        <w:rPr>
          <w:rFonts w:ascii="Arial" w:hAnsi="Arial" w:cs="Arial"/>
          <w:b/>
          <w:i/>
          <w:lang w:val="sk-SK"/>
        </w:rPr>
        <w:t xml:space="preserve">Vylepšenia Medzinárodných štandardov finančného výkazníctva na obdobie rokov 2014-2016 – Novelizácia IFRS 1 a IAS 28 </w:t>
      </w:r>
      <w:r w:rsidRPr="00226892">
        <w:rPr>
          <w:rFonts w:ascii="Arial" w:hAnsi="Arial" w:cs="Arial"/>
          <w:i/>
          <w:lang w:val="sk-SK"/>
        </w:rPr>
        <w:t>(novela vydaná 8. decembra 2016 a účinná v EÚ pre ročné účtovné obdobia začínajúce 1. januára 2018 alebo neskôr).</w:t>
      </w:r>
      <w:r w:rsidRPr="00226892">
        <w:rPr>
          <w:rFonts w:ascii="Arial" w:hAnsi="Arial" w:cs="Arial"/>
          <w:lang w:val="sk-SK"/>
        </w:rPr>
        <w:t xml:space="preserve"> IFRS 1 bol novelizovaný tak, že boli zrušené niektoré krátkodobé výnimky z IFRS, ktoré sa týkali zverejňovania informácií o finančných nástrojoch, zamestnaneckých požitkoch a investičných subjektoch, pretože už naplnili plánovaný účel, kvôli ktorému boli zavedené. Novelizácia IAS 28 objasňuje, že účtovná jednotka má pri každej jednotlivej investícii na výber, či bude oceňovať investíciu v reálnej hodnote v súlade s IAS 28, ak ide o organizáciu spravujúcu rizikový kapitál, investičný fond, otvorený podielový fond alebo podobný subjekt, vrátane fondov investičného poistenia. Okrem toho účtovná jednotka, ktorá nie je investičným subjektom, môže mať pridruženú spoločnosť alebo spoločný podnik, ktoré ním sú. IAS 28 povoľuje, aby si takáto účtovná jednotka pri aplikovaní metódy podielu na vlastnom imaní ponechala oceňovanie v reálnej hodnote, ktoré používa jej pridružená spoločnosť alebo spoločný podnik, ktoré sú investičným subjektom. Novelizácia objasňuje, že túto voľbu možno uplatňovať jednotlivo pri každej investícii. S</w:t>
      </w:r>
      <w:r w:rsidR="002E5E40" w:rsidRPr="00226892">
        <w:rPr>
          <w:rFonts w:ascii="Arial" w:hAnsi="Arial" w:cs="Arial"/>
          <w:lang w:val="sk-SK"/>
        </w:rPr>
        <w:t xml:space="preserve">kupina </w:t>
      </w:r>
      <w:r w:rsidRPr="00226892">
        <w:rPr>
          <w:rFonts w:ascii="Arial" w:hAnsi="Arial" w:cs="Arial"/>
          <w:lang w:val="sk-SK"/>
        </w:rPr>
        <w:t>posúdila dopad tejto novelizácie na svoju účtovnú závierku a vyhodnotila jej dopad ako nevýznamný.</w:t>
      </w:r>
    </w:p>
    <w:p w14:paraId="7CC34161" w14:textId="69B02BAF" w:rsidR="00467854" w:rsidRPr="00226892" w:rsidRDefault="00467854" w:rsidP="00751223">
      <w:pPr>
        <w:jc w:val="both"/>
        <w:rPr>
          <w:rFonts w:ascii="Arial" w:hAnsi="Arial" w:cs="Arial"/>
          <w:highlight w:val="yellow"/>
          <w:lang w:val="sk-SK"/>
        </w:rPr>
      </w:pPr>
    </w:p>
    <w:p w14:paraId="2688C5BF" w14:textId="3F9D5874" w:rsidR="00467854" w:rsidRPr="00226892" w:rsidRDefault="00467854" w:rsidP="00751223">
      <w:pPr>
        <w:jc w:val="both"/>
        <w:rPr>
          <w:rFonts w:ascii="Arial" w:hAnsi="Arial" w:cs="Arial"/>
          <w:lang w:val="sk-SK"/>
        </w:rPr>
      </w:pPr>
      <w:r w:rsidRPr="00226892">
        <w:rPr>
          <w:rFonts w:ascii="Arial" w:hAnsi="Arial" w:cs="Arial"/>
          <w:b/>
          <w:i/>
          <w:lang w:val="sk-SK"/>
        </w:rPr>
        <w:t>IFRIC 22, Transakcie v cudzej mene a preddavky</w:t>
      </w:r>
      <w:r w:rsidRPr="00226892">
        <w:rPr>
          <w:rFonts w:ascii="Arial" w:hAnsi="Arial" w:cs="Arial"/>
          <w:lang w:val="sk-SK"/>
        </w:rPr>
        <w:t xml:space="preserve"> </w:t>
      </w:r>
      <w:r w:rsidRPr="00226892">
        <w:rPr>
          <w:rFonts w:ascii="Arial" w:hAnsi="Arial" w:cs="Arial"/>
          <w:i/>
          <w:lang w:val="sk-SK"/>
        </w:rPr>
        <w:t>(interpretácia vydaná 8. decembra 2016 a účinná v EÚ pre ročné účtovné obdobia začínajúce 1. januára 2018 alebo neskôr).</w:t>
      </w:r>
      <w:r w:rsidRPr="00226892">
        <w:rPr>
          <w:rFonts w:ascii="Arial" w:hAnsi="Arial" w:cs="Arial"/>
          <w:lang w:val="sk-SK"/>
        </w:rPr>
        <w:t xml:space="preserve"> Interpretácia sa zaoberá tým, ako určiť dátum transakcie pre účely stanovenia výmenného kurzu, ktorý sa má použiť pri prvotnom vykázaní príslušného aktíva, nákladu alebo výnosu (resp. ich časti) pri odúčtovaní nemonetárneho aktíva alebo nemonetárneho záväzku vyplývajúceho z preddavku v cudzej mene. Podľa IAS 21 sa za dátum transakcie pre účely stanovenia výmenného kurzu, ktorý sa má použiť pri prvotnom vykázaní príslušného aktíva, nákladu alebo výnosu (resp. ich časti), považuje deň, v ktorom účtovná jednotka prvotne vykáže nemonetárne aktívum, resp. nemonetárny záväzok vyplývajúce/-i z preddavku v cudzej mene. V prípade viacerých zálohových platieb, resp. vopred prijatých preddavkov potom musí účtovná jednotka určiť dátum transakcie pre každú zálohovú platbu, resp. každý preddavok. IFRIC 22 sa bude aplikovať iba v situáciách, kedy účtovná jednotka vykáže nemonetárne aktívum, resp. nemonetárny záväzok vyplývajúce/-i z preddavku. IFRIC 22 nedáva aplikačné usmernenia ohľadom definície monetárnych a nemonetárnych položiek. Zálohová platba alebo vopred prijatá úhrada vedie vo všeobecnosti k vykázaniu nemonetárneho aktíva, resp. nemonetárneho záväzku, no niekedy môže mať za následok aj vznik monetárneho aktíva či záväzku. Účtovná jednotka bude teda musieť posúdiť, či ide o monetárnu alebo nemonetárnu položku. </w:t>
      </w:r>
      <w:r w:rsidR="002E5E40" w:rsidRPr="00226892">
        <w:rPr>
          <w:rFonts w:ascii="Arial" w:hAnsi="Arial" w:cs="Arial"/>
          <w:lang w:val="sk-SK"/>
        </w:rPr>
        <w:t xml:space="preserve">Skupina </w:t>
      </w:r>
      <w:r w:rsidRPr="00226892">
        <w:rPr>
          <w:rFonts w:ascii="Arial" w:hAnsi="Arial" w:cs="Arial"/>
          <w:lang w:val="sk-SK"/>
        </w:rPr>
        <w:t>posúdila dopad tejto interpretácie na svoju účtovnú závierku a vyhodnotila jej dopad ako nevýznamný.</w:t>
      </w:r>
    </w:p>
    <w:p w14:paraId="7F855A5B" w14:textId="39E84D52" w:rsidR="00467854" w:rsidRPr="00226892" w:rsidRDefault="00467854" w:rsidP="00751223">
      <w:pPr>
        <w:jc w:val="both"/>
        <w:rPr>
          <w:rFonts w:ascii="Arial" w:hAnsi="Arial" w:cs="Arial"/>
          <w:lang w:val="sk-SK"/>
        </w:rPr>
      </w:pPr>
    </w:p>
    <w:p w14:paraId="6256461E" w14:textId="77777777" w:rsidR="00467854" w:rsidRPr="00226892" w:rsidRDefault="00467854" w:rsidP="00751223">
      <w:pPr>
        <w:jc w:val="both"/>
        <w:rPr>
          <w:rFonts w:ascii="Arial" w:hAnsi="Arial" w:cs="Arial"/>
          <w:b/>
          <w:lang w:val="sk-SK"/>
        </w:rPr>
      </w:pPr>
      <w:r w:rsidRPr="00226892">
        <w:rPr>
          <w:rFonts w:ascii="Arial" w:hAnsi="Arial" w:cs="Arial"/>
          <w:b/>
          <w:lang w:val="sk-SK"/>
        </w:rPr>
        <w:t>Vydané štandardy, interpretácie a novely štandardov, ktoré sú účinné po 31. decembri 2018 a ktoré Spoločnosť predčasne neaplikovala:</w:t>
      </w:r>
    </w:p>
    <w:p w14:paraId="22CCE888" w14:textId="253F2D75" w:rsidR="00467854" w:rsidRPr="00226892" w:rsidRDefault="00467854" w:rsidP="00751223">
      <w:pPr>
        <w:jc w:val="both"/>
        <w:rPr>
          <w:rFonts w:ascii="Arial" w:hAnsi="Arial" w:cs="Arial"/>
          <w:lang w:val="sk-SK"/>
        </w:rPr>
      </w:pPr>
    </w:p>
    <w:p w14:paraId="03BFA338" w14:textId="3FEF7DF3" w:rsidR="00B24FA3" w:rsidRDefault="000A201D" w:rsidP="00751223">
      <w:pPr>
        <w:jc w:val="both"/>
        <w:rPr>
          <w:rFonts w:ascii="Arial" w:hAnsi="Arial" w:cs="Arial"/>
          <w:lang w:val="sk-SK"/>
        </w:rPr>
      </w:pPr>
      <w:r w:rsidRPr="00226892">
        <w:rPr>
          <w:rFonts w:ascii="Arial" w:hAnsi="Arial" w:cs="Arial"/>
          <w:b/>
          <w:i/>
          <w:lang w:val="sk-SK"/>
        </w:rPr>
        <w:t xml:space="preserve">Predaj alebo vklad majetku uskutočnený medzi investorom a jeho pridruženou spoločnosťou alebo spoločným podnikom – Novelizácia IFRS 10 a IAS 28 </w:t>
      </w:r>
      <w:r w:rsidRPr="00226892">
        <w:rPr>
          <w:rFonts w:ascii="Arial" w:hAnsi="Arial" w:cs="Arial"/>
          <w:i/>
          <w:lang w:val="sk-SK"/>
        </w:rPr>
        <w:t>(novela vydaná 11. septembra 2014 a účinná pre ročné obdobia začínajúce dátumom, ktorý stanoví IASB).</w:t>
      </w:r>
      <w:r w:rsidRPr="00226892">
        <w:rPr>
          <w:rFonts w:ascii="Arial" w:hAnsi="Arial" w:cs="Arial"/>
          <w:lang w:val="sk-SK"/>
        </w:rPr>
        <w:t xml:space="preserve"> Táto novela rieši nesúlad medzi požiadavkami IFRS 10 a IAS 28 pri predaji alebo vklade majetku medzi investorom a jeho pridruženou spoločnosťou alebo spoločným podnikom. Najvýznamnejším dôsledkom je skutočnosť, že ak ide o prevod podniku, vykáže sa zisk alebo strata v plnej výške. Čiastočný zisk alebo strata sa vykážu vtedy, ak predmetom transakcie je majetok, ktorý nepredstavuje podnik, a to aj v prípade, ak tento majetok vlastní prevádzaná dcérska spoločnosť. EÚ dosiaľ túto novelu neschválila. V súčasnosti Spoločnosť posudzuje jej dopad na svoju účtovnú závierku.</w:t>
      </w:r>
    </w:p>
    <w:p w14:paraId="61BF9703" w14:textId="77777777" w:rsidR="00B24FA3" w:rsidRDefault="00B24FA3">
      <w:pPr>
        <w:rPr>
          <w:rFonts w:ascii="Arial" w:hAnsi="Arial" w:cs="Arial"/>
          <w:lang w:val="sk-SK"/>
        </w:rPr>
      </w:pPr>
      <w:r>
        <w:rPr>
          <w:rFonts w:ascii="Arial" w:hAnsi="Arial" w:cs="Arial"/>
          <w:lang w:val="sk-SK"/>
        </w:rPr>
        <w:br w:type="page"/>
      </w:r>
    </w:p>
    <w:p w14:paraId="1565ACF6" w14:textId="7C7914ED" w:rsidR="00467854" w:rsidRPr="00226892" w:rsidRDefault="00467854" w:rsidP="00751223">
      <w:pPr>
        <w:jc w:val="both"/>
        <w:rPr>
          <w:rFonts w:ascii="Arial" w:hAnsi="Arial" w:cs="Arial"/>
          <w:lang w:val="sk-SK"/>
        </w:rPr>
      </w:pPr>
      <w:r w:rsidRPr="00226892">
        <w:rPr>
          <w:rFonts w:ascii="Arial" w:hAnsi="Arial" w:cs="Arial"/>
          <w:b/>
          <w:i/>
          <w:lang w:val="sk-SK"/>
        </w:rPr>
        <w:lastRenderedPageBreak/>
        <w:t>IFRIC 23, Účtovanie neistôt v oblasti dane z príjmov</w:t>
      </w:r>
      <w:r w:rsidRPr="00226892">
        <w:rPr>
          <w:rFonts w:ascii="Arial" w:hAnsi="Arial" w:cs="Arial"/>
          <w:lang w:val="sk-SK"/>
        </w:rPr>
        <w:t xml:space="preserve"> </w:t>
      </w:r>
      <w:r w:rsidRPr="00226892">
        <w:rPr>
          <w:rFonts w:ascii="Arial" w:hAnsi="Arial" w:cs="Arial"/>
          <w:i/>
          <w:lang w:val="sk-SK"/>
        </w:rPr>
        <w:t>(interpretácia vydaná 7. júna 2017 a účinná v EÚ pre ročné účtovné obdobia začínajúce 1. januára 2019 alebo neskôr)</w:t>
      </w:r>
      <w:r w:rsidRPr="00226892">
        <w:rPr>
          <w:rFonts w:ascii="Arial" w:hAnsi="Arial" w:cs="Arial"/>
          <w:lang w:val="sk-SK"/>
        </w:rPr>
        <w:t xml:space="preserve">. IAS 12 predpisuje, ako treba účtovať o splatnej a odloženej dani, no nie to, ako sa majú zohľadňovať dopady neistôt. Interpretácia preto objasňuje, ako sa majú aplikovať požiadavky na vykazovanie a oceňovanie uvedené v IAS 12, keď existuje neistota ohľadom dane z príjmov. Účtovná jednotka by mala presne určiť, či sa má každé neisté posúdenie dane zohľadňovať samostatne alebo spoločne s iným alebo viacerými inými neistými daňovými pozíciami, a to na základe toho, ktorý prístup lepšie predpovedá vyjasnenie neistoty. Účtovná jednotka by mala predpokladať, že daňový úrad bude preverovať čiastky, ktoré má právo preverovať, a bude chcieť pritom dopodrobna poznať všetky informácie, ktoré so spomínanými čiastkami súvisia. Ak účtovná jednotka dôjde k záveru, že nie je pravdepodobné, že by daňový úrad akceptoval daňovú pozíciu, následok neistoty sa odrazí v tom, že stanoví súvisiaci zdaniteľný hospodársky výsledok, daňové hodnoty, neumorené daňové straty, nevyužité daňové úľavy či daňové sadzby tak, že použije buď najpravdepodobnejšiu alebo očakávanú hodnotu v závislosti od toho, ktorá metóda bude podľa očakávaní účtovnej jednotky lepšie predpovedať vyjasnenie danej neistoty. Účtovná jednotka zohľadní dopad zmenených skutočností či okolností, resp. dopad nových informácií, ktoré ovplyvňujú interpretáciou vyžadované úsudky alebo odhady, ako zmenu účtovného odhadu. Medzi príklady zmenených skutočností či okolností, resp. nových informácií, ktoré môžu viesť k prehodnoteniu úsudku alebo odhadu, patria o. i. kontroly alebo postupy zo strany daňového úradu, zmeny pravidiel stanovených daňovým úradom, či zánik práva daňového úradu preveriť či opätovne preskúmať daňové pozície. Nie je pravdepodobné, že by chýbajúci súhlas alebo nesúhlas daňového úradu s daňovou pozíciou sám o sebe predstavoval zmenu skutočností či okolností, resp. novú informáciu, ktorá ovplyvňuje interpretáciou vyžadované úsudky a odhady. </w:t>
      </w:r>
      <w:r w:rsidR="00411C90" w:rsidRPr="00226892">
        <w:rPr>
          <w:rFonts w:ascii="Arial" w:hAnsi="Arial" w:cs="Arial"/>
          <w:lang w:val="sk-SK"/>
        </w:rPr>
        <w:t>Skupina neočakáva, že tento štandard bude mať významný vplyv na jej účtovnú závierku.</w:t>
      </w:r>
    </w:p>
    <w:p w14:paraId="4C24AFDF" w14:textId="77777777" w:rsidR="00411C90" w:rsidRPr="00226892" w:rsidRDefault="00411C90" w:rsidP="00751223">
      <w:pPr>
        <w:jc w:val="both"/>
        <w:rPr>
          <w:rFonts w:ascii="Arial" w:hAnsi="Arial" w:cs="Arial"/>
          <w:lang w:val="sk-SK"/>
        </w:rPr>
      </w:pPr>
    </w:p>
    <w:p w14:paraId="78A910BC" w14:textId="77777777" w:rsidR="00467854" w:rsidRPr="00226892" w:rsidRDefault="00467854" w:rsidP="00751223">
      <w:pPr>
        <w:jc w:val="both"/>
        <w:rPr>
          <w:rFonts w:ascii="Arial" w:hAnsi="Arial" w:cs="Arial"/>
          <w:lang w:val="sk-SK"/>
        </w:rPr>
      </w:pPr>
      <w:r w:rsidRPr="00226892">
        <w:rPr>
          <w:rFonts w:ascii="Arial" w:hAnsi="Arial" w:cs="Arial"/>
          <w:b/>
          <w:i/>
          <w:lang w:val="sk-SK"/>
        </w:rPr>
        <w:t>Predčasné splatenie s negatívnou kompenzáciou – novela IFRS 9</w:t>
      </w:r>
      <w:r w:rsidRPr="00226892">
        <w:rPr>
          <w:rFonts w:ascii="Arial" w:hAnsi="Arial" w:cs="Arial"/>
          <w:lang w:val="sk-SK"/>
        </w:rPr>
        <w:t xml:space="preserve"> </w:t>
      </w:r>
      <w:r w:rsidRPr="00226892">
        <w:rPr>
          <w:rFonts w:ascii="Arial" w:hAnsi="Arial" w:cs="Arial"/>
          <w:i/>
          <w:lang w:val="sk-SK"/>
        </w:rPr>
        <w:t>(novela vydaná 12. októbra 2017 a účinná v EÚ pre ročné účtovné obdobia začínajúce 1. januára 2019 alebo neskôr</w:t>
      </w:r>
      <w:r w:rsidRPr="00226892">
        <w:rPr>
          <w:rFonts w:ascii="Arial" w:hAnsi="Arial" w:cs="Arial"/>
          <w:lang w:val="sk-SK"/>
        </w:rPr>
        <w:t>). Novela umožňuje oceňovať v amortizovanej hodnote určité pôžičky a dlhové cenné papiere, ktoré môžu byť predčasne splatené vo výške nižšej než je amortizovaná hodnota, napr. v reálnej hodnote alebo v čiastke, ktorá zahŕňa primeranú kompenzáciu pre príjemcu pôžičky vo výške súčasnej hodnoty vplyvu zvýšenia trhovej úrokovej sadzby počas zostávajúcej životnosti nástroja. Okrem toho, text doplnený do štandardu v časti Východisko pre záver opätovne potvrdzuje jestvujúce usmernenia v IFRS 9 týkajúce sa toho, že zmluvné modifikácie finančných záväzkov oceňovaných v amortizovanej hodnote, ktoré nevedú k odúčtovaniu, budú mať za následok vykázanie zisku alebo straty vo výkaze zisku a strát. Vo väčšine prípadov teda účtovné jednotky nebudú môcť revidovať efektívnu úrokovú sadzbu pre zostatkovú dobu trvania úveru, aby sa vyhli dopadu na zisk alebo stratu pri modifikovaní úveru. V súčasnosti Spoločnosť posudzuje dopad tejto novely na svoju účtovnú závierku.</w:t>
      </w:r>
    </w:p>
    <w:p w14:paraId="08F4056B" w14:textId="77777777" w:rsidR="00467854" w:rsidRPr="00226892" w:rsidRDefault="00467854" w:rsidP="00751223">
      <w:pPr>
        <w:jc w:val="both"/>
        <w:rPr>
          <w:rFonts w:ascii="Arial" w:hAnsi="Arial" w:cs="Arial"/>
          <w:lang w:val="sk-SK"/>
        </w:rPr>
      </w:pPr>
    </w:p>
    <w:p w14:paraId="69CCA137" w14:textId="631B6C79" w:rsidR="00467854" w:rsidRPr="00226892" w:rsidRDefault="00467854" w:rsidP="00751223">
      <w:pPr>
        <w:jc w:val="both"/>
        <w:rPr>
          <w:rFonts w:ascii="Arial" w:hAnsi="Arial" w:cs="Arial"/>
          <w:lang w:val="sk-SK"/>
        </w:rPr>
      </w:pPr>
      <w:r w:rsidRPr="00226892">
        <w:rPr>
          <w:rFonts w:ascii="Arial" w:hAnsi="Arial" w:cs="Arial"/>
          <w:b/>
          <w:i/>
          <w:lang w:val="sk-SK"/>
        </w:rPr>
        <w:t>Vylepšenia Medzinárodných štandardov finančného výkazníctva na obdobie rokov 2015-2017 – Novelizácia IFRS 3, IFRS 11, IAS 12 a IAS 23</w:t>
      </w:r>
      <w:r w:rsidRPr="00226892">
        <w:rPr>
          <w:rFonts w:ascii="Arial" w:hAnsi="Arial" w:cs="Arial"/>
          <w:lang w:val="sk-SK"/>
        </w:rPr>
        <w:t xml:space="preserve"> </w:t>
      </w:r>
      <w:r w:rsidRPr="00226892">
        <w:rPr>
          <w:rFonts w:ascii="Arial" w:hAnsi="Arial" w:cs="Arial"/>
          <w:i/>
          <w:lang w:val="sk-SK"/>
        </w:rPr>
        <w:t>(novela vydaná 12. decembra 2017 a účinná pre ročné účtovné obdobia začínajúce 1. januára 2019 alebo neskôr)</w:t>
      </w:r>
      <w:r w:rsidRPr="00226892">
        <w:rPr>
          <w:rFonts w:ascii="Arial" w:hAnsi="Arial" w:cs="Arial"/>
          <w:lang w:val="sk-SK"/>
        </w:rPr>
        <w:t xml:space="preserve">. Revízie a úpravy malého rozsahu majú dopad na štyri štandardy. IFRS 3 bol novelizovaný s cieľom objasniť, že nadobúdateľ musí preceniť svoj bývalý podiel v spoločných činnostiach, keď daný podnik ovládne. Naopak, IFRS 11 teraz explicitne vysvetľuje, že investor nesmie preceniť svoj bývalý podiel, keď získa spoločnú kontrolu nad spoločnými činnosťami, čo je podobné požiadavkám, keď sa pridružená spoločnosť stane spoločným podnikom a naopak. Novelizovaný štandard IAS 12 vysvetľuje, že účtovná jednotka vykazuje do zisku alebo straty, resp. do ostatného súhrnného zisku, všetky dopady dividend na daň z príjmu v prípade, že vykázala transakcie alebo udalosti, ktoré generovali príslušné rozdeliteľné zisky. Teraz je už zrejmé, že táto požiadavka platí zakaždým, keď platby z finančných nástrojov klasifikovaných ako vlastné imanie predstavujú rozdeľovanie ziskov, a nielen v prípadoch, keď sú daňové dopady výsledkom odlišných daňových sadzieb pre rozdelené a nerozdelené zisky. Novelizovaný štandard IAS 23 teraz obsahuje explicitné usmernenie ohľadom toho, že úvery a pôžičky získané špecificky na financovanie konkrétneho majetku sú vylúčené z balíka všeobecných nákladov na úvery a pôžičky, ktoré možno aktivovať, len dovtedy, kým nebude daný konkrétny majetok v podstate dohotovený. EÚ dosiaľ tieto vylepšenia neschválila. </w:t>
      </w:r>
      <w:r w:rsidR="00C95519" w:rsidRPr="00226892">
        <w:rPr>
          <w:rFonts w:ascii="Arial" w:hAnsi="Arial" w:cs="Arial"/>
          <w:lang w:val="sk-SK"/>
        </w:rPr>
        <w:t xml:space="preserve">Skupina v súvislosti s implementáciou týchto vylepšení neočakáva významný dopad na </w:t>
      </w:r>
      <w:proofErr w:type="spellStart"/>
      <w:r w:rsidR="00C95519" w:rsidRPr="00226892">
        <w:rPr>
          <w:rFonts w:ascii="Arial" w:hAnsi="Arial" w:cs="Arial"/>
          <w:lang w:val="sk-SK"/>
        </w:rPr>
        <w:t>fiančné</w:t>
      </w:r>
      <w:proofErr w:type="spellEnd"/>
      <w:r w:rsidR="00C95519" w:rsidRPr="00226892">
        <w:rPr>
          <w:rFonts w:ascii="Arial" w:hAnsi="Arial" w:cs="Arial"/>
          <w:lang w:val="sk-SK"/>
        </w:rPr>
        <w:t xml:space="preserve"> výkazy Skupiny.</w:t>
      </w:r>
    </w:p>
    <w:p w14:paraId="2E1D455C" w14:textId="77777777" w:rsidR="00C95519" w:rsidRPr="00226892" w:rsidRDefault="00C95519" w:rsidP="00751223">
      <w:pPr>
        <w:jc w:val="both"/>
        <w:rPr>
          <w:rFonts w:ascii="Arial" w:hAnsi="Arial" w:cs="Arial"/>
          <w:lang w:val="sk-SK"/>
        </w:rPr>
      </w:pPr>
    </w:p>
    <w:p w14:paraId="42958758" w14:textId="77777777" w:rsidR="00582755" w:rsidRPr="00226892" w:rsidRDefault="00582755" w:rsidP="00751223">
      <w:pPr>
        <w:jc w:val="both"/>
        <w:rPr>
          <w:rFonts w:ascii="Arial" w:hAnsi="Arial" w:cs="Arial"/>
          <w:b/>
          <w:i/>
          <w:lang w:val="sk-SK"/>
        </w:rPr>
      </w:pPr>
    </w:p>
    <w:p w14:paraId="38480102" w14:textId="77777777" w:rsidR="00582755" w:rsidRPr="00226892" w:rsidRDefault="00582755" w:rsidP="00751223">
      <w:pPr>
        <w:jc w:val="both"/>
        <w:rPr>
          <w:rFonts w:ascii="Arial" w:hAnsi="Arial" w:cs="Arial"/>
          <w:b/>
          <w:i/>
          <w:lang w:val="sk-SK"/>
        </w:rPr>
      </w:pPr>
    </w:p>
    <w:p w14:paraId="77FEC3EF" w14:textId="772BF2CB" w:rsidR="00BD6D79" w:rsidRPr="00226892" w:rsidRDefault="00BD6D79">
      <w:pPr>
        <w:rPr>
          <w:rFonts w:ascii="Arial" w:hAnsi="Arial" w:cs="Arial"/>
          <w:b/>
          <w:i/>
          <w:lang w:val="sk-SK"/>
        </w:rPr>
      </w:pPr>
      <w:r w:rsidRPr="00226892">
        <w:rPr>
          <w:rFonts w:ascii="Arial" w:hAnsi="Arial" w:cs="Arial"/>
          <w:b/>
          <w:i/>
          <w:lang w:val="sk-SK"/>
        </w:rPr>
        <w:br w:type="page"/>
      </w:r>
    </w:p>
    <w:p w14:paraId="6A51A9CC" w14:textId="33497122" w:rsidR="00467854" w:rsidRPr="00226892" w:rsidRDefault="00467854" w:rsidP="00751223">
      <w:pPr>
        <w:jc w:val="both"/>
        <w:rPr>
          <w:rFonts w:ascii="Arial" w:hAnsi="Arial" w:cs="Arial"/>
          <w:lang w:val="sk-SK"/>
        </w:rPr>
      </w:pPr>
      <w:r w:rsidRPr="00226892">
        <w:rPr>
          <w:rFonts w:ascii="Arial" w:hAnsi="Arial" w:cs="Arial"/>
          <w:b/>
          <w:i/>
          <w:lang w:val="sk-SK"/>
        </w:rPr>
        <w:lastRenderedPageBreak/>
        <w:t>Úpravy, krátenie alebo vysporiadanie penzijných programov – novela IAS 19</w:t>
      </w:r>
      <w:r w:rsidRPr="00226892">
        <w:rPr>
          <w:rFonts w:ascii="Arial" w:hAnsi="Arial" w:cs="Arial"/>
          <w:i/>
          <w:lang w:val="sk-SK"/>
        </w:rPr>
        <w:t xml:space="preserve"> (vydaná 7. februára 2018 a účinná pre ročné účtovné obdobia začínajúce 1. januára 2019 alebo neskôr).</w:t>
      </w:r>
      <w:r w:rsidRPr="00226892">
        <w:rPr>
          <w:rFonts w:ascii="Arial" w:hAnsi="Arial" w:cs="Arial"/>
          <w:lang w:val="sk-SK"/>
        </w:rPr>
        <w:t xml:space="preserve"> Novela špecifikuje, ako sa má určovať výška penzijných nákladov, keď dôjde k zmenám v penzijnom programe so stanovenými požitkami. Ak dôjde k nejakej zmene (t. j. k úprave, kráteniu alebo vysporiadaniu) penzijného programu, IAS 19 vyžaduje vykonať opätovné precenenie čistého záväzku alebo čistého aktíva zo stanovených požitkov. Novela požaduje, aby sa aktualizované predpoklady z tohto precenenia použili na stanovenie výšky nákladov súčasnej služby a čistého úrokového nákladu za zostávajúcu časť vykazovaného obdobia po zmene penzijného programu. Pred touto novelou IAS 19 nešpecifikoval, ako sa majú tieto náklady vypočítať za obdobie po zmene penzijného programu. Očakáva sa, že použitie aktualizovaných predpokladov na základe novely povedie k poskytnutiu užitočných informácií užívateľom účtovnej závierky. EÚ dosiaľ túto novelu neschválila. </w:t>
      </w:r>
      <w:r w:rsidR="00C95519" w:rsidRPr="00226892">
        <w:rPr>
          <w:rFonts w:ascii="Arial" w:hAnsi="Arial" w:cs="Arial"/>
          <w:lang w:val="sk-SK"/>
        </w:rPr>
        <w:t>Skupina v súvislosti s implementáciou týchto vylepšení neočakáva významný dopad na finančné výkazy Skupiny.</w:t>
      </w:r>
    </w:p>
    <w:p w14:paraId="4078C831" w14:textId="77777777" w:rsidR="00981EB6" w:rsidRPr="00226892" w:rsidRDefault="00981EB6" w:rsidP="00751223">
      <w:pPr>
        <w:jc w:val="both"/>
        <w:rPr>
          <w:rFonts w:ascii="Arial" w:hAnsi="Arial" w:cs="Arial"/>
          <w:lang w:val="sk-SK"/>
        </w:rPr>
      </w:pPr>
    </w:p>
    <w:p w14:paraId="4A734124" w14:textId="77777777" w:rsidR="00467854" w:rsidRPr="00226892" w:rsidRDefault="00467854" w:rsidP="00751223">
      <w:pPr>
        <w:jc w:val="both"/>
        <w:rPr>
          <w:rFonts w:ascii="Arial" w:hAnsi="Arial" w:cs="Arial"/>
          <w:lang w:val="sk-SK"/>
        </w:rPr>
      </w:pPr>
      <w:r w:rsidRPr="00226892">
        <w:rPr>
          <w:rFonts w:ascii="Arial" w:hAnsi="Arial" w:cs="Arial"/>
          <w:b/>
          <w:i/>
          <w:lang w:val="sk-SK"/>
        </w:rPr>
        <w:t>Novelizácia Koncepčného rámca pre finančné vykazovanie</w:t>
      </w:r>
      <w:r w:rsidRPr="00226892">
        <w:rPr>
          <w:rFonts w:ascii="Arial" w:hAnsi="Arial" w:cs="Arial"/>
          <w:lang w:val="sk-SK"/>
        </w:rPr>
        <w:t xml:space="preserve"> </w:t>
      </w:r>
      <w:r w:rsidRPr="00226892">
        <w:rPr>
          <w:rFonts w:ascii="Arial" w:hAnsi="Arial" w:cs="Arial"/>
          <w:i/>
          <w:lang w:val="sk-SK"/>
        </w:rPr>
        <w:t>(novela vydaná 29. marca 2018 a účinná pre ročné účtovné obdobia začínajúce 1. januára 2020 alebo neskôr).</w:t>
      </w:r>
      <w:r w:rsidRPr="00226892">
        <w:rPr>
          <w:rFonts w:ascii="Arial" w:hAnsi="Arial" w:cs="Arial"/>
          <w:lang w:val="sk-SK"/>
        </w:rPr>
        <w:t xml:space="preserve"> Novelizovaný Koncepčný rámec obsahuje novú kapitolu o oceňovaní, usmernenia o vykazovaní finančnej výkonnosti, vylepšené definície a usmernenia (najmä definíciu záväzku) ako aj objasnenia v dôležitých oblastiach (napr. v otázke úloh zodpovednosti vedenia za zverené zdroje, obozretnosti a neistoty oceňovania vo finančnom vykazovaní). EÚ dosiaľ túto novelu neschválila. Spoločnosť v súčasnosti posudzuje jej dopad na svoju účtovnú závierku.</w:t>
      </w:r>
    </w:p>
    <w:p w14:paraId="4296EC7A" w14:textId="77777777" w:rsidR="00467854" w:rsidRPr="00226892" w:rsidRDefault="00467854" w:rsidP="00751223">
      <w:pPr>
        <w:jc w:val="both"/>
        <w:rPr>
          <w:rFonts w:ascii="Arial" w:hAnsi="Arial" w:cs="Arial"/>
          <w:lang w:val="sk-SK"/>
        </w:rPr>
      </w:pPr>
    </w:p>
    <w:p w14:paraId="5CC22138" w14:textId="07868A22" w:rsidR="00467854" w:rsidRPr="00226892" w:rsidRDefault="00981EB6" w:rsidP="00751223">
      <w:pPr>
        <w:jc w:val="both"/>
        <w:rPr>
          <w:rFonts w:ascii="Arial" w:hAnsi="Arial" w:cs="Arial"/>
          <w:b/>
          <w:i/>
          <w:lang w:val="sk-SK"/>
        </w:rPr>
      </w:pPr>
      <w:r w:rsidRPr="00226892">
        <w:rPr>
          <w:rFonts w:ascii="Arial" w:hAnsi="Arial" w:cs="Arial"/>
          <w:b/>
          <w:i/>
          <w:lang w:val="sk-SK"/>
        </w:rPr>
        <w:t xml:space="preserve">Novelizácia IFRS 3: Definícia podniku </w:t>
      </w:r>
      <w:r w:rsidRPr="00226892">
        <w:rPr>
          <w:rFonts w:ascii="Arial" w:hAnsi="Arial" w:cs="Arial"/>
          <w:i/>
          <w:lang w:val="sk-SK"/>
        </w:rPr>
        <w:t>(vydaná 22. októbra 2018 a účinná pre akvizície od začiatku ročného účtovného obdobia, ktoré začne 1. januára 2020 alebo neskôr).</w:t>
      </w:r>
      <w:r w:rsidRPr="00226892">
        <w:rPr>
          <w:rFonts w:ascii="Arial" w:hAnsi="Arial" w:cs="Arial"/>
          <w:b/>
          <w:i/>
          <w:lang w:val="sk-SK"/>
        </w:rPr>
        <w:t xml:space="preserve"> </w:t>
      </w:r>
      <w:r w:rsidRPr="00226892">
        <w:rPr>
          <w:rFonts w:ascii="Arial" w:hAnsi="Arial" w:cs="Arial"/>
          <w:lang w:val="sk-SK"/>
        </w:rPr>
        <w:t>Novela mení definíciu podniku. Podnik musí mať vstupy a zásadné procesy, ktoré spoločne významným spôsobom prispievajú k schopnosti vytvárať výstupy. Nové usmernenia poskytujú rámec na vyhodnotenie, kedy existujú vstupy a zásadné procesy, vrátane začínajúcich podnikov, ktoré ešte výstupy nevygenerovali. Ak ešte výstupy neexistujú, podmienkou pre klasifikáciu ako podnik je existencia organizovanej pracovnej sily. Definícia výrazu „výstupy“ sa zúžila a sústreďuje sa na tovary a služby poskytované zákazníkom, generovanie investičných a iných výnosov, pričom vylučuje benefity vo forme nižších nákladov a iných ekonomických úžitkov. Taktiež už nie je potrebné posudzovať, či účastníci trhu sú schopní nahradiť chýbajúce prvky alebo integrovať nadobudnuté činnosti a aktíva. Účtovná jednotka môže aplikovať „test koncentrácie“. Nadobudnuté aktíva nebudú predstavovať podnik, ak sa v podstate celá reálna hodnota nadobudnutých aktív (pred odpočítaním záväzkov) bude koncentrovať do jedného aktíva (alebo skupiny podobných aktív). Skupina v súvislosti s implementáciou týchto vylepšení neočakáva významný dopad na finančné výkazy Skupiny.</w:t>
      </w:r>
    </w:p>
    <w:p w14:paraId="4F6DEB6E" w14:textId="77777777" w:rsidR="00981EB6" w:rsidRPr="00226892" w:rsidRDefault="00981EB6" w:rsidP="00751223">
      <w:pPr>
        <w:jc w:val="both"/>
        <w:rPr>
          <w:rFonts w:ascii="Arial" w:hAnsi="Arial" w:cs="Arial"/>
          <w:lang w:val="sk-SK"/>
        </w:rPr>
      </w:pPr>
    </w:p>
    <w:p w14:paraId="186D90AB" w14:textId="1F4739CD" w:rsidR="00730E03" w:rsidRPr="00226892" w:rsidRDefault="00467854" w:rsidP="00751223">
      <w:pPr>
        <w:jc w:val="both"/>
        <w:rPr>
          <w:rFonts w:ascii="Arial" w:hAnsi="Arial" w:cs="Arial"/>
          <w:lang w:val="sk-SK"/>
        </w:rPr>
      </w:pPr>
      <w:r w:rsidRPr="00226892">
        <w:rPr>
          <w:rFonts w:ascii="Arial" w:hAnsi="Arial" w:cs="Arial"/>
          <w:b/>
          <w:i/>
          <w:lang w:val="sk-SK"/>
        </w:rPr>
        <w:t>Definícia významnosti – novela IAS 1 a IAS 8</w:t>
      </w:r>
      <w:r w:rsidRPr="00226892">
        <w:rPr>
          <w:rFonts w:ascii="Arial" w:hAnsi="Arial" w:cs="Arial"/>
          <w:i/>
          <w:lang w:val="sk-SK"/>
        </w:rPr>
        <w:t xml:space="preserve"> (vydaná 31. októbra 2018 a účinná pre ročné účtovné obdobia začínajúce 1. januára 2020 alebo neskôr).</w:t>
      </w:r>
      <w:r w:rsidRPr="00226892">
        <w:rPr>
          <w:rFonts w:ascii="Arial" w:hAnsi="Arial" w:cs="Arial"/>
          <w:lang w:val="sk-SK"/>
        </w:rPr>
        <w:t xml:space="preserve"> Novela objasňuje definíciu toho, čo je významné, a spôsob aplikovania významnosti tak, že do definície zahŕňa usmernenia, ktoré sa doposiaľ objavovali na iných miestach v IFRS. Okrem toho vylepšuje aj vysvetlenia, ktoré definíciu doplňujú. Novela tiež zabezpečuje, že definícia významnosti je konzistentná vo všetkých IFRS štandardoch. Informácia je významná vtedy, ak sa dá racionálne očakávať, že by sa jej vynechaním, nesprávnym alebo nejasným uvedením mohli ovplyvniť rozhodnutia, ktoré prijímajú primárni užívatelia na základe účtovnej závierky, ktorá bola zostavená na všeobecné účely tak, aby poskytla finančné informácie o konkrétnej účtovnej jednotke. EÚ dosiaľ túto novelu neschválila. </w:t>
      </w:r>
      <w:r w:rsidR="00582755" w:rsidRPr="00226892">
        <w:rPr>
          <w:rFonts w:ascii="Arial" w:hAnsi="Arial" w:cs="Arial"/>
          <w:lang w:val="sk-SK"/>
        </w:rPr>
        <w:t xml:space="preserve">Skupina v súvislosti s implementáciou týchto vylepšení </w:t>
      </w:r>
      <w:proofErr w:type="spellStart"/>
      <w:r w:rsidR="00582755" w:rsidRPr="00226892">
        <w:rPr>
          <w:rFonts w:ascii="Arial" w:hAnsi="Arial" w:cs="Arial"/>
          <w:lang w:val="sk-SK"/>
        </w:rPr>
        <w:t>neočkáva</w:t>
      </w:r>
      <w:proofErr w:type="spellEnd"/>
      <w:r w:rsidR="00582755" w:rsidRPr="00226892">
        <w:rPr>
          <w:rFonts w:ascii="Arial" w:hAnsi="Arial" w:cs="Arial"/>
          <w:lang w:val="sk-SK"/>
        </w:rPr>
        <w:t xml:space="preserve"> </w:t>
      </w:r>
      <w:proofErr w:type="spellStart"/>
      <w:r w:rsidR="00582755" w:rsidRPr="00226892">
        <w:rPr>
          <w:rFonts w:ascii="Arial" w:hAnsi="Arial" w:cs="Arial"/>
          <w:lang w:val="sk-SK"/>
        </w:rPr>
        <w:t>význmaný</w:t>
      </w:r>
      <w:proofErr w:type="spellEnd"/>
      <w:r w:rsidR="00582755" w:rsidRPr="00226892">
        <w:rPr>
          <w:rFonts w:ascii="Arial" w:hAnsi="Arial" w:cs="Arial"/>
          <w:lang w:val="sk-SK"/>
        </w:rPr>
        <w:t xml:space="preserve"> dopad na finančné výkazy Skupiny.</w:t>
      </w:r>
    </w:p>
    <w:p w14:paraId="0A8121B4" w14:textId="77777777" w:rsidR="00582755" w:rsidRPr="00226892" w:rsidRDefault="00582755" w:rsidP="00751223">
      <w:pPr>
        <w:jc w:val="both"/>
        <w:rPr>
          <w:rFonts w:ascii="Arial" w:hAnsi="Arial" w:cs="Arial"/>
          <w:lang w:val="sk-SK"/>
        </w:rPr>
      </w:pPr>
    </w:p>
    <w:p w14:paraId="78BA9EB1" w14:textId="77A5D3EF" w:rsidR="007F7972" w:rsidRPr="00226892" w:rsidRDefault="007F7972" w:rsidP="00751223">
      <w:pPr>
        <w:spacing w:after="240" w:line="220" w:lineRule="exact"/>
        <w:jc w:val="both"/>
        <w:rPr>
          <w:rFonts w:ascii="Arial" w:hAnsi="Arial" w:cs="Arial"/>
          <w:lang w:val="sk-SK"/>
        </w:rPr>
      </w:pPr>
      <w:proofErr w:type="spellStart"/>
      <w:r w:rsidRPr="00226892">
        <w:rPr>
          <w:rFonts w:ascii="Arial" w:hAnsi="Arial" w:cs="Arial"/>
          <w:b/>
          <w:bCs/>
          <w:i/>
          <w:iCs/>
          <w:lang w:val="sk-SK"/>
        </w:rPr>
        <w:t>Reklasifikácie</w:t>
      </w:r>
      <w:proofErr w:type="spellEnd"/>
      <w:r w:rsidRPr="00226892">
        <w:rPr>
          <w:rFonts w:ascii="Arial" w:hAnsi="Arial" w:cs="Arial"/>
          <w:b/>
          <w:bCs/>
          <w:i/>
          <w:iCs/>
          <w:lang w:val="sk-SK"/>
        </w:rPr>
        <w:t xml:space="preserve"> investičných nehnuteľností – novela IAS 40</w:t>
      </w:r>
      <w:r w:rsidR="00CB239D" w:rsidRPr="00226892">
        <w:rPr>
          <w:rFonts w:ascii="Arial" w:hAnsi="Arial" w:cs="Arial"/>
          <w:b/>
          <w:bCs/>
          <w:i/>
          <w:iCs/>
          <w:lang w:val="sk-SK"/>
        </w:rPr>
        <w:t>*</w:t>
      </w:r>
      <w:r w:rsidRPr="00226892">
        <w:rPr>
          <w:rFonts w:ascii="Arial" w:hAnsi="Arial" w:cs="Arial"/>
          <w:lang w:val="sk-SK"/>
        </w:rPr>
        <w:t xml:space="preserve"> (vydaná 8. decembra 2016 a účinná pre ročné účtovné obdobia začínajúca dňa 1. januára 2018 alebo neskôr). </w:t>
      </w:r>
    </w:p>
    <w:p w14:paraId="2B6A0639" w14:textId="6C335F2D" w:rsidR="00143C6F" w:rsidRPr="00226892" w:rsidRDefault="00143C6F" w:rsidP="00751223">
      <w:pPr>
        <w:spacing w:after="240" w:line="220" w:lineRule="exact"/>
        <w:jc w:val="both"/>
        <w:rPr>
          <w:rFonts w:ascii="Arial" w:hAnsi="Arial" w:cs="Arial"/>
          <w:lang w:val="sk-SK"/>
        </w:rPr>
      </w:pPr>
      <w:r w:rsidRPr="00226892">
        <w:rPr>
          <w:rFonts w:ascii="Arial" w:hAnsi="Arial" w:cs="Arial"/>
          <w:b/>
          <w:i/>
          <w:lang w:val="sk-SK"/>
        </w:rPr>
        <w:t xml:space="preserve">IFRS 16, Lízingy (vydaný v januári 2016 a účinný pre ročné účtovné obdobia začínajúca dňa 1. januára 2019 alebo neskôr). </w:t>
      </w:r>
      <w:r w:rsidRPr="00226892">
        <w:rPr>
          <w:rFonts w:ascii="Arial" w:hAnsi="Arial" w:cs="Arial"/>
          <w:iCs/>
          <w:lang w:val="sk-SK" w:eastAsia="ru-RU"/>
        </w:rPr>
        <w:t xml:space="preserve">Tento nový štandard zavádza nové princípy pre vykazovanie, oceňovanie, prezentáciu a zverejňovanie lízingu. IFRS 16 eliminuje klasifikáciu operatívneho a finančného lízingu, tak ako to definuje IAS 17, a namiesto toho zavádza jednotný model účtovania pre nájomcu. Nájomcovia budú povinní vykázať: (a) aktíva a záväzky pre všetky lízingy dlhšie ako 12 mesiacov pokiaľ nepôjde o aktíva malej hodnoty a (b) odpisovanie prenajatých aktív oddelene od úroku zo záväzkov z lízingu vo výkaze ziskov a strát. Z hľadiska prenajímateľa preberá IFRS 16 väčšinu účtovných zásad zo súčasného štandardu IAS 17. Prenajímateľ pokračuje v klasifikácií operatívneho a finančného lízingu a v rozdielnom účtovaní týchto dvoch typov lízingu. </w:t>
      </w:r>
      <w:r w:rsidRPr="00226892">
        <w:rPr>
          <w:rFonts w:ascii="Arial" w:hAnsi="Arial" w:cs="Arial"/>
          <w:lang w:val="sk-SK"/>
        </w:rPr>
        <w:t>Skupina očakáva, že tento štandard bude mať významný dopad na jej účtovnú závierku. Odhadovaná hodnota majetku aktivovaného na súvahu a súčasnej hodnoty záväzkov z finančného lízingu predstavuje k 1. januáru 2019 1 262 tis. EUR.</w:t>
      </w:r>
    </w:p>
    <w:p w14:paraId="2D9A0B23" w14:textId="77777777" w:rsidR="00582755" w:rsidRPr="00226892" w:rsidRDefault="00582755" w:rsidP="00751223">
      <w:pPr>
        <w:spacing w:after="240" w:line="220" w:lineRule="exact"/>
        <w:jc w:val="both"/>
        <w:rPr>
          <w:rFonts w:ascii="Arial" w:hAnsi="Arial" w:cs="Arial"/>
          <w:b/>
          <w:i/>
          <w:lang w:val="sk-SK"/>
        </w:rPr>
      </w:pPr>
    </w:p>
    <w:p w14:paraId="585A2DAD" w14:textId="77777777" w:rsidR="00582755" w:rsidRPr="00226892" w:rsidRDefault="00582755" w:rsidP="00751223">
      <w:pPr>
        <w:spacing w:after="240" w:line="220" w:lineRule="exact"/>
        <w:jc w:val="both"/>
        <w:rPr>
          <w:rFonts w:ascii="Arial" w:hAnsi="Arial" w:cs="Arial"/>
          <w:b/>
          <w:i/>
          <w:lang w:val="sk-SK"/>
        </w:rPr>
      </w:pPr>
    </w:p>
    <w:p w14:paraId="3C263B11" w14:textId="09A9F64A" w:rsidR="0083212C" w:rsidRPr="00226892" w:rsidRDefault="0083212C" w:rsidP="00751223">
      <w:pPr>
        <w:spacing w:after="240" w:line="220" w:lineRule="exact"/>
        <w:jc w:val="both"/>
        <w:rPr>
          <w:rFonts w:ascii="Arial" w:hAnsi="Arial" w:cs="Arial"/>
          <w:bCs/>
          <w:iCs/>
          <w:lang w:val="sk-SK"/>
        </w:rPr>
      </w:pPr>
      <w:r w:rsidRPr="00226892">
        <w:rPr>
          <w:rFonts w:ascii="Arial" w:hAnsi="Arial" w:cs="Arial"/>
          <w:b/>
          <w:i/>
          <w:lang w:val="sk-SK"/>
        </w:rPr>
        <w:lastRenderedPageBreak/>
        <w:t xml:space="preserve">Novelizácia IFRS 9: </w:t>
      </w:r>
      <w:r w:rsidR="007F7972" w:rsidRPr="00226892">
        <w:rPr>
          <w:rFonts w:ascii="Arial" w:hAnsi="Arial" w:cs="Arial"/>
          <w:b/>
          <w:i/>
          <w:lang w:val="sk-SK"/>
        </w:rPr>
        <w:t xml:space="preserve">Zmluvné ustanovenia o predčasnom splatení s negatívnou odmenou </w:t>
      </w:r>
      <w:r w:rsidR="007F7972" w:rsidRPr="00226892">
        <w:rPr>
          <w:rFonts w:ascii="Arial" w:hAnsi="Arial" w:cs="Arial"/>
          <w:bCs/>
          <w:iCs/>
          <w:lang w:val="sk-SK"/>
        </w:rPr>
        <w:t xml:space="preserve">(vydaná 12. októbra </w:t>
      </w:r>
      <w:r w:rsidR="00FD3AC5" w:rsidRPr="00226892">
        <w:rPr>
          <w:rFonts w:ascii="Arial" w:hAnsi="Arial" w:cs="Arial"/>
          <w:bCs/>
          <w:iCs/>
          <w:lang w:val="sk-SK"/>
        </w:rPr>
        <w:t>201</w:t>
      </w:r>
      <w:r w:rsidR="000F7C15" w:rsidRPr="00226892">
        <w:rPr>
          <w:rFonts w:ascii="Arial" w:hAnsi="Arial" w:cs="Arial"/>
          <w:bCs/>
          <w:iCs/>
          <w:lang w:val="sk-SK"/>
        </w:rPr>
        <w:t>7</w:t>
      </w:r>
      <w:r w:rsidR="007F7972" w:rsidRPr="00226892">
        <w:rPr>
          <w:rFonts w:ascii="Arial" w:hAnsi="Arial" w:cs="Arial"/>
          <w:bCs/>
          <w:iCs/>
          <w:lang w:val="sk-SK"/>
        </w:rPr>
        <w:t xml:space="preserve"> a účinná pre ročné účtovné obdobia začínajúca dňa 1. januára 2019 alebo neskôr).</w:t>
      </w:r>
      <w:r w:rsidRPr="00226892">
        <w:rPr>
          <w:rFonts w:ascii="Arial" w:hAnsi="Arial" w:cs="Arial"/>
          <w:bCs/>
          <w:iCs/>
          <w:lang w:val="sk-SK"/>
        </w:rPr>
        <w:t xml:space="preserve"> Novela umožňuje oceňovať v amortizovanej hodnote určité pôžičky a dlhové cenné papiere, ktoré môžu byť predčasne splatené vo výške nižšej než je amortizovaná hodnota, napr. v reálnej hodnote alebo v čiastke, ktorá zahŕňa primeranú kompenzáciu pre príjemcu pôžičky vo výške súčasnej hodnoty vplyvu zvýšenia trhovej úrokovej sadzby počas zostávajúcej životnosti nástroja. Okrem toho, text doplnený do štandardu v časti Východisko pre záver opätovne potvrdzuje jestvujúce usmernenia v IFRS 9 týkajúce sa toho, že zmluvné modifikácie určitých finančných záväzkov oceňovaných v amortizovanej hodnote, ktoré nevedú k odúčtovaniu, budú mať za následok vykázanie zisku alebo straty vo výkaze zisku a strát. Vo väčšine prípadov teda </w:t>
      </w:r>
      <w:proofErr w:type="spellStart"/>
      <w:r w:rsidRPr="00226892">
        <w:rPr>
          <w:rFonts w:ascii="Arial" w:hAnsi="Arial" w:cs="Arial"/>
          <w:bCs/>
          <w:iCs/>
          <w:lang w:val="sk-SK"/>
        </w:rPr>
        <w:t>účtpvné</w:t>
      </w:r>
      <w:proofErr w:type="spellEnd"/>
      <w:r w:rsidRPr="00226892">
        <w:rPr>
          <w:rFonts w:ascii="Arial" w:hAnsi="Arial" w:cs="Arial"/>
          <w:bCs/>
          <w:iCs/>
          <w:lang w:val="sk-SK"/>
        </w:rPr>
        <w:t xml:space="preserve"> jednotky nebudú môcť revidovať efektívnu úrokovú sadzbu pre </w:t>
      </w:r>
      <w:proofErr w:type="spellStart"/>
      <w:r w:rsidRPr="00226892">
        <w:rPr>
          <w:rFonts w:ascii="Arial" w:hAnsi="Arial" w:cs="Arial"/>
          <w:bCs/>
          <w:iCs/>
          <w:lang w:val="sk-SK"/>
        </w:rPr>
        <w:t>zostatkovúä</w:t>
      </w:r>
      <w:proofErr w:type="spellEnd"/>
      <w:r w:rsidRPr="00226892">
        <w:rPr>
          <w:rFonts w:ascii="Arial" w:hAnsi="Arial" w:cs="Arial"/>
          <w:bCs/>
          <w:iCs/>
          <w:lang w:val="sk-SK"/>
        </w:rPr>
        <w:t xml:space="preserve"> dobu trvania úveru, aby sa vyhli dopadu na zisk alebo stratu pri modifikovaní úveru. Skupina v súvislosti s implementáciou týchto vylepšení neočakáva významný dopad na finančné výkazy Skupiny.</w:t>
      </w:r>
    </w:p>
    <w:p w14:paraId="70DBE689" w14:textId="0A438746" w:rsidR="008029FB" w:rsidRPr="00226892" w:rsidRDefault="00CB239D" w:rsidP="00751223">
      <w:pPr>
        <w:pStyle w:val="ABC-paragrahinNotes"/>
        <w:spacing w:after="120"/>
        <w:rPr>
          <w:rFonts w:eastAsia="Times New Roman" w:cs="Arial"/>
          <w:sz w:val="20"/>
          <w:lang w:val="sk-SK"/>
        </w:rPr>
      </w:pPr>
      <w:r w:rsidRPr="00226892">
        <w:rPr>
          <w:rFonts w:eastAsia="Times New Roman" w:cs="Arial"/>
          <w:b/>
          <w:bCs/>
          <w:i/>
          <w:iCs/>
          <w:sz w:val="20"/>
          <w:lang w:val="sk-SK"/>
        </w:rPr>
        <w:t xml:space="preserve">Novelizácia IAS 28: </w:t>
      </w:r>
      <w:r w:rsidR="008029FB" w:rsidRPr="00226892">
        <w:rPr>
          <w:rFonts w:eastAsia="Times New Roman" w:cs="Arial"/>
          <w:b/>
          <w:bCs/>
          <w:i/>
          <w:iCs/>
          <w:sz w:val="20"/>
          <w:lang w:val="sk-SK"/>
        </w:rPr>
        <w:t xml:space="preserve">Dlhodobé účasti v pridružených spoločnostiach a spoločných podnikoch </w:t>
      </w:r>
      <w:r w:rsidR="008029FB" w:rsidRPr="00226892">
        <w:rPr>
          <w:rFonts w:eastAsia="Times New Roman" w:cs="Arial"/>
          <w:i/>
          <w:sz w:val="20"/>
          <w:lang w:val="sk-SK"/>
        </w:rPr>
        <w:t xml:space="preserve">(vydaná 12. októbra </w:t>
      </w:r>
      <w:r w:rsidR="00FD3AC5" w:rsidRPr="00226892">
        <w:rPr>
          <w:rFonts w:eastAsia="Times New Roman" w:cs="Arial"/>
          <w:i/>
          <w:sz w:val="20"/>
          <w:lang w:val="sk-SK"/>
        </w:rPr>
        <w:t>2018</w:t>
      </w:r>
      <w:r w:rsidR="008029FB" w:rsidRPr="00226892">
        <w:rPr>
          <w:rFonts w:eastAsia="Times New Roman" w:cs="Arial"/>
          <w:i/>
          <w:sz w:val="20"/>
          <w:lang w:val="sk-SK"/>
        </w:rPr>
        <w:t xml:space="preserve"> a </w:t>
      </w:r>
      <w:r w:rsidR="008029FB" w:rsidRPr="00226892">
        <w:rPr>
          <w:rFonts w:cs="Arial"/>
          <w:i/>
          <w:sz w:val="20"/>
          <w:lang w:val="sk-SK"/>
        </w:rPr>
        <w:t>účinná pre ročné účtovné obdobia začínajúca dňa 1. januára 2019 alebo neskôr</w:t>
      </w:r>
      <w:r w:rsidR="008029FB" w:rsidRPr="00226892">
        <w:rPr>
          <w:rFonts w:eastAsia="Times New Roman" w:cs="Arial"/>
          <w:i/>
          <w:sz w:val="20"/>
          <w:lang w:val="sk-SK"/>
        </w:rPr>
        <w:t>).</w:t>
      </w:r>
      <w:r w:rsidRPr="00226892">
        <w:rPr>
          <w:rFonts w:eastAsia="Times New Roman" w:cs="Arial"/>
          <w:sz w:val="20"/>
          <w:lang w:val="sk-SK"/>
        </w:rPr>
        <w:t xml:space="preserve"> Novela objasňuje, že účtovné jednotky by mali aplikovať IFRS 9 na dlhodobé pôžičky, prior</w:t>
      </w:r>
      <w:r w:rsidR="000F7C15" w:rsidRPr="00226892">
        <w:rPr>
          <w:rFonts w:eastAsia="Times New Roman" w:cs="Arial"/>
          <w:sz w:val="20"/>
          <w:lang w:val="sk-SK"/>
        </w:rPr>
        <w:t>i</w:t>
      </w:r>
      <w:r w:rsidRPr="00226892">
        <w:rPr>
          <w:rFonts w:eastAsia="Times New Roman" w:cs="Arial"/>
          <w:sz w:val="20"/>
          <w:lang w:val="sk-SK"/>
        </w:rPr>
        <w:t xml:space="preserve">tné akcie a podobné nástroje, ktoré tvoria súčasť čistej investície do spoločnosti ocenenej metódou podielu na vlastnom imaní predtým, než môžu znížiť túto účtovnú hodnotu o podiel na strate, ktorý prevyšuje výšku podielu investora na kmeňových akciách. Skupina v súvislosti s implementáciou týchto vylepšení neočakáva významný </w:t>
      </w:r>
      <w:proofErr w:type="spellStart"/>
      <w:r w:rsidRPr="00226892">
        <w:rPr>
          <w:rFonts w:eastAsia="Times New Roman" w:cs="Arial"/>
          <w:sz w:val="20"/>
          <w:lang w:val="sk-SK"/>
        </w:rPr>
        <w:t>doapd</w:t>
      </w:r>
      <w:proofErr w:type="spellEnd"/>
      <w:r w:rsidRPr="00226892">
        <w:rPr>
          <w:rFonts w:eastAsia="Times New Roman" w:cs="Arial"/>
          <w:sz w:val="20"/>
          <w:lang w:val="sk-SK"/>
        </w:rPr>
        <w:t xml:space="preserve"> na finančné výkazy Skupiny.</w:t>
      </w:r>
    </w:p>
    <w:p w14:paraId="0680240D" w14:textId="77777777" w:rsidR="00365D5E" w:rsidRPr="00226892" w:rsidRDefault="00365D5E" w:rsidP="009303FB">
      <w:pPr>
        <w:pStyle w:val="ABC-paragrahinNotes"/>
        <w:spacing w:after="120"/>
        <w:rPr>
          <w:rFonts w:eastAsia="Times New Roman" w:cs="Arial"/>
          <w:sz w:val="20"/>
          <w:lang w:val="sk-SK"/>
        </w:rPr>
      </w:pPr>
      <w:r w:rsidRPr="00226892">
        <w:rPr>
          <w:rFonts w:eastAsia="Times New Roman" w:cs="Arial"/>
          <w:b/>
          <w:bCs/>
          <w:i/>
          <w:iCs/>
          <w:sz w:val="20"/>
          <w:lang w:val="sk-SK"/>
        </w:rPr>
        <w:t>Ročný projekt zlepšení IFRS 2015 - 2017, cyklus – novely IFRS 3, IFRS 11, IAS 12 a IAS 23</w:t>
      </w:r>
      <w:r w:rsidRPr="00226892">
        <w:rPr>
          <w:rFonts w:cs="Arial"/>
          <w:b/>
          <w:bCs/>
          <w:i/>
          <w:sz w:val="20"/>
          <w:lang w:val="sk-SK"/>
        </w:rPr>
        <w:t>*</w:t>
      </w:r>
      <w:r w:rsidRPr="00226892">
        <w:rPr>
          <w:rFonts w:eastAsia="Times New Roman" w:cs="Arial"/>
          <w:sz w:val="20"/>
          <w:lang w:val="sk-SK"/>
        </w:rPr>
        <w:t xml:space="preserve">(vydaná 12. decembra 2017 </w:t>
      </w:r>
      <w:r w:rsidRPr="00226892">
        <w:rPr>
          <w:rFonts w:cs="Arial"/>
          <w:sz w:val="20"/>
          <w:lang w:val="sk-SK"/>
        </w:rPr>
        <w:t>účinná pre ročné účtovné obdobia začínajúca dňa 1. januára 2019 alebo neskôr</w:t>
      </w:r>
      <w:r w:rsidRPr="00226892">
        <w:rPr>
          <w:rFonts w:eastAsia="Times New Roman" w:cs="Arial"/>
          <w:sz w:val="20"/>
          <w:lang w:val="sk-SK"/>
        </w:rPr>
        <w:t>). Skupina v súvislosti s implementáciou týchto vylepšení neočakáva významný dopad na finančné výkazy Skupiny.</w:t>
      </w:r>
    </w:p>
    <w:p w14:paraId="7CF3C343" w14:textId="77777777" w:rsidR="00365D5E" w:rsidRPr="00226892" w:rsidRDefault="00365D5E" w:rsidP="009303FB">
      <w:pPr>
        <w:pStyle w:val="ABC-paragrahinNotes"/>
        <w:spacing w:after="120"/>
        <w:rPr>
          <w:rFonts w:eastAsia="Times New Roman" w:cs="Arial"/>
          <w:sz w:val="20"/>
          <w:lang w:val="sk-SK"/>
        </w:rPr>
      </w:pPr>
      <w:r w:rsidRPr="00226892">
        <w:rPr>
          <w:rFonts w:eastAsia="Times New Roman" w:cs="Arial"/>
          <w:b/>
          <w:bCs/>
          <w:i/>
          <w:iCs/>
          <w:sz w:val="20"/>
          <w:lang w:val="sk-SK"/>
        </w:rPr>
        <w:t xml:space="preserve">IFRS 14*, Regulačné účty časového rozlíšenia </w:t>
      </w:r>
      <w:r w:rsidRPr="00226892">
        <w:rPr>
          <w:rFonts w:eastAsia="Times New Roman" w:cs="Arial"/>
          <w:bCs/>
          <w:i/>
          <w:iCs/>
          <w:sz w:val="20"/>
          <w:lang w:val="sk-SK"/>
        </w:rPr>
        <w:t>(</w:t>
      </w:r>
      <w:r w:rsidRPr="00226892">
        <w:rPr>
          <w:rFonts w:eastAsia="Times New Roman" w:cs="Arial"/>
          <w:bCs/>
          <w:iCs/>
          <w:sz w:val="20"/>
          <w:lang w:val="sk-SK"/>
        </w:rPr>
        <w:t xml:space="preserve">vydaný v januári 2014 a účinný mimo Európsku úniu pre ročné účtovné obdobia začínajúca dňa 1. januára 2016 alebo neskôr). Tento štandard nebude schválený Európskou úniou. </w:t>
      </w:r>
    </w:p>
    <w:p w14:paraId="2E96D88D" w14:textId="77777777" w:rsidR="00365D5E" w:rsidRPr="00226892" w:rsidRDefault="00365D5E" w:rsidP="009303FB">
      <w:pPr>
        <w:pStyle w:val="ABC-paragrahinNotes"/>
        <w:spacing w:after="120"/>
        <w:rPr>
          <w:rFonts w:eastAsia="Times New Roman" w:cs="Arial"/>
          <w:sz w:val="20"/>
          <w:lang w:val="sk-SK"/>
        </w:rPr>
      </w:pPr>
      <w:r w:rsidRPr="00226892">
        <w:rPr>
          <w:rFonts w:eastAsia="Times New Roman" w:cs="Arial"/>
          <w:b/>
          <w:i/>
          <w:sz w:val="20"/>
          <w:lang w:val="sk-SK"/>
        </w:rPr>
        <w:t>Predaj alebo vklad majetku uskutočnený medzi investorom a jeho pridruženou spoločnosťou alebo spoločným podnikom – Novelizácia IFRS 10 a IAS 28</w:t>
      </w:r>
      <w:r w:rsidRPr="00226892">
        <w:rPr>
          <w:rFonts w:eastAsia="Times New Roman" w:cs="Arial"/>
          <w:sz w:val="20"/>
          <w:lang w:val="sk-SK"/>
        </w:rPr>
        <w:t xml:space="preserve">*(novela vydaná 11. septembra 2014 a účinná pre ročné obdobia začínajúce dátumom, ktorý stanoví IASB)*. </w:t>
      </w:r>
    </w:p>
    <w:p w14:paraId="6B660D05" w14:textId="77777777" w:rsidR="00365D5E" w:rsidRPr="00226892" w:rsidRDefault="00365D5E" w:rsidP="009303FB">
      <w:pPr>
        <w:pStyle w:val="ABC-paragrahinNotes"/>
        <w:spacing w:after="120"/>
        <w:rPr>
          <w:rFonts w:eastAsia="Times New Roman" w:cs="Arial"/>
          <w:sz w:val="20"/>
          <w:lang w:val="sk-SK"/>
        </w:rPr>
      </w:pPr>
      <w:proofErr w:type="spellStart"/>
      <w:r w:rsidRPr="00226892">
        <w:rPr>
          <w:rFonts w:cs="Arial"/>
          <w:b/>
          <w:i/>
          <w:sz w:val="20"/>
          <w:shd w:val="clear" w:color="auto" w:fill="FFFFFF"/>
        </w:rPr>
        <w:t>Novelizácia</w:t>
      </w:r>
      <w:proofErr w:type="spellEnd"/>
      <w:r w:rsidRPr="00226892">
        <w:rPr>
          <w:rFonts w:cs="Arial"/>
          <w:b/>
          <w:i/>
          <w:sz w:val="20"/>
          <w:shd w:val="clear" w:color="auto" w:fill="FFFFFF"/>
        </w:rPr>
        <w:t xml:space="preserve"> </w:t>
      </w:r>
      <w:proofErr w:type="spellStart"/>
      <w:r w:rsidRPr="00226892">
        <w:rPr>
          <w:rFonts w:cs="Arial"/>
          <w:b/>
          <w:i/>
          <w:sz w:val="20"/>
          <w:shd w:val="clear" w:color="auto" w:fill="FFFFFF"/>
        </w:rPr>
        <w:t>Koncepčného</w:t>
      </w:r>
      <w:proofErr w:type="spellEnd"/>
      <w:r w:rsidRPr="00226892">
        <w:rPr>
          <w:rFonts w:cs="Arial"/>
          <w:b/>
          <w:i/>
          <w:sz w:val="20"/>
          <w:shd w:val="clear" w:color="auto" w:fill="FFFFFF"/>
        </w:rPr>
        <w:t xml:space="preserve"> </w:t>
      </w:r>
      <w:proofErr w:type="spellStart"/>
      <w:r w:rsidRPr="00226892">
        <w:rPr>
          <w:rFonts w:cs="Arial"/>
          <w:b/>
          <w:i/>
          <w:sz w:val="20"/>
          <w:shd w:val="clear" w:color="auto" w:fill="FFFFFF"/>
        </w:rPr>
        <w:t>rámca</w:t>
      </w:r>
      <w:proofErr w:type="spellEnd"/>
      <w:r w:rsidRPr="00226892">
        <w:rPr>
          <w:rFonts w:cs="Arial"/>
          <w:b/>
          <w:i/>
          <w:sz w:val="20"/>
          <w:shd w:val="clear" w:color="auto" w:fill="FFFFFF"/>
        </w:rPr>
        <w:t xml:space="preserve"> pre </w:t>
      </w:r>
      <w:proofErr w:type="spellStart"/>
      <w:r w:rsidRPr="00226892">
        <w:rPr>
          <w:rFonts w:cs="Arial"/>
          <w:b/>
          <w:i/>
          <w:sz w:val="20"/>
          <w:shd w:val="clear" w:color="auto" w:fill="FFFFFF"/>
        </w:rPr>
        <w:t>finančné</w:t>
      </w:r>
      <w:proofErr w:type="spellEnd"/>
      <w:r w:rsidRPr="00226892">
        <w:rPr>
          <w:rFonts w:cs="Arial"/>
          <w:b/>
          <w:i/>
          <w:sz w:val="20"/>
          <w:shd w:val="clear" w:color="auto" w:fill="FFFFFF"/>
        </w:rPr>
        <w:t xml:space="preserve"> </w:t>
      </w:r>
      <w:proofErr w:type="spellStart"/>
      <w:r w:rsidRPr="00226892">
        <w:rPr>
          <w:rFonts w:cs="Arial"/>
          <w:b/>
          <w:i/>
          <w:sz w:val="20"/>
          <w:shd w:val="clear" w:color="auto" w:fill="FFFFFF"/>
        </w:rPr>
        <w:t>vykazovanie</w:t>
      </w:r>
      <w:proofErr w:type="spellEnd"/>
      <w:r w:rsidRPr="00226892">
        <w:rPr>
          <w:rFonts w:cs="Arial"/>
          <w:sz w:val="20"/>
          <w:shd w:val="clear" w:color="auto" w:fill="FFFFFF"/>
        </w:rPr>
        <w:t>* (</w:t>
      </w:r>
      <w:proofErr w:type="spellStart"/>
      <w:r w:rsidRPr="00226892">
        <w:rPr>
          <w:rFonts w:cs="Arial"/>
          <w:sz w:val="20"/>
          <w:shd w:val="clear" w:color="auto" w:fill="FFFFFF"/>
        </w:rPr>
        <w:t>novela</w:t>
      </w:r>
      <w:proofErr w:type="spellEnd"/>
      <w:r w:rsidRPr="00226892">
        <w:rPr>
          <w:rFonts w:cs="Arial"/>
          <w:sz w:val="20"/>
          <w:shd w:val="clear" w:color="auto" w:fill="FFFFFF"/>
        </w:rPr>
        <w:t xml:space="preserve"> </w:t>
      </w:r>
      <w:proofErr w:type="spellStart"/>
      <w:r w:rsidRPr="00226892">
        <w:rPr>
          <w:rFonts w:cs="Arial"/>
          <w:sz w:val="20"/>
          <w:shd w:val="clear" w:color="auto" w:fill="FFFFFF"/>
        </w:rPr>
        <w:t>vydaná</w:t>
      </w:r>
      <w:proofErr w:type="spellEnd"/>
      <w:r w:rsidRPr="00226892">
        <w:rPr>
          <w:rFonts w:cs="Arial"/>
          <w:sz w:val="20"/>
          <w:shd w:val="clear" w:color="auto" w:fill="FFFFFF"/>
        </w:rPr>
        <w:t xml:space="preserve"> 29. </w:t>
      </w:r>
      <w:proofErr w:type="spellStart"/>
      <w:r w:rsidRPr="00226892">
        <w:rPr>
          <w:rFonts w:cs="Arial"/>
          <w:sz w:val="20"/>
          <w:shd w:val="clear" w:color="auto" w:fill="FFFFFF"/>
        </w:rPr>
        <w:t>marca</w:t>
      </w:r>
      <w:proofErr w:type="spellEnd"/>
      <w:r w:rsidRPr="00226892">
        <w:rPr>
          <w:rFonts w:cs="Arial"/>
          <w:sz w:val="20"/>
          <w:shd w:val="clear" w:color="auto" w:fill="FFFFFF"/>
        </w:rPr>
        <w:t xml:space="preserve"> 2018 a </w:t>
      </w:r>
      <w:proofErr w:type="spellStart"/>
      <w:r w:rsidRPr="00226892">
        <w:rPr>
          <w:rFonts w:cs="Arial"/>
          <w:sz w:val="20"/>
          <w:shd w:val="clear" w:color="auto" w:fill="FFFFFF"/>
        </w:rPr>
        <w:t>účinná</w:t>
      </w:r>
      <w:proofErr w:type="spellEnd"/>
      <w:r w:rsidRPr="00226892">
        <w:rPr>
          <w:rFonts w:cs="Arial"/>
          <w:sz w:val="20"/>
          <w:shd w:val="clear" w:color="auto" w:fill="FFFFFF"/>
        </w:rPr>
        <w:t xml:space="preserve"> pre </w:t>
      </w:r>
      <w:proofErr w:type="spellStart"/>
      <w:r w:rsidRPr="00226892">
        <w:rPr>
          <w:rFonts w:cs="Arial"/>
          <w:sz w:val="20"/>
          <w:shd w:val="clear" w:color="auto" w:fill="FFFFFF"/>
        </w:rPr>
        <w:t>ročné</w:t>
      </w:r>
      <w:proofErr w:type="spellEnd"/>
      <w:r w:rsidRPr="00226892">
        <w:rPr>
          <w:rFonts w:cs="Arial"/>
          <w:sz w:val="20"/>
          <w:shd w:val="clear" w:color="auto" w:fill="FFFFFF"/>
        </w:rPr>
        <w:t xml:space="preserve"> </w:t>
      </w:r>
      <w:proofErr w:type="spellStart"/>
      <w:r w:rsidRPr="00226892">
        <w:rPr>
          <w:rFonts w:cs="Arial"/>
          <w:sz w:val="20"/>
          <w:shd w:val="clear" w:color="auto" w:fill="FFFFFF"/>
        </w:rPr>
        <w:t>účtovné</w:t>
      </w:r>
      <w:proofErr w:type="spellEnd"/>
      <w:r w:rsidRPr="00226892">
        <w:rPr>
          <w:rFonts w:cs="Arial"/>
          <w:sz w:val="20"/>
          <w:shd w:val="clear" w:color="auto" w:fill="FFFFFF"/>
        </w:rPr>
        <w:t xml:space="preserve"> </w:t>
      </w:r>
      <w:proofErr w:type="spellStart"/>
      <w:r w:rsidRPr="00226892">
        <w:rPr>
          <w:rFonts w:cs="Arial"/>
          <w:sz w:val="20"/>
          <w:shd w:val="clear" w:color="auto" w:fill="FFFFFF"/>
        </w:rPr>
        <w:t>obdobia</w:t>
      </w:r>
      <w:proofErr w:type="spellEnd"/>
      <w:r w:rsidRPr="00226892">
        <w:rPr>
          <w:rFonts w:cs="Arial"/>
          <w:sz w:val="20"/>
          <w:shd w:val="clear" w:color="auto" w:fill="FFFFFF"/>
        </w:rPr>
        <w:t xml:space="preserve"> </w:t>
      </w:r>
      <w:proofErr w:type="spellStart"/>
      <w:r w:rsidRPr="00226892">
        <w:rPr>
          <w:rFonts w:cs="Arial"/>
          <w:sz w:val="20"/>
          <w:shd w:val="clear" w:color="auto" w:fill="FFFFFF"/>
        </w:rPr>
        <w:t>začínajúce</w:t>
      </w:r>
      <w:proofErr w:type="spellEnd"/>
      <w:r w:rsidRPr="00226892">
        <w:rPr>
          <w:rFonts w:cs="Arial"/>
          <w:sz w:val="20"/>
          <w:shd w:val="clear" w:color="auto" w:fill="FFFFFF"/>
        </w:rPr>
        <w:t xml:space="preserve"> 1. </w:t>
      </w:r>
      <w:proofErr w:type="spellStart"/>
      <w:r w:rsidRPr="00226892">
        <w:rPr>
          <w:rFonts w:cs="Arial"/>
          <w:sz w:val="20"/>
          <w:shd w:val="clear" w:color="auto" w:fill="FFFFFF"/>
        </w:rPr>
        <w:t>januára</w:t>
      </w:r>
      <w:proofErr w:type="spellEnd"/>
      <w:r w:rsidRPr="00226892">
        <w:rPr>
          <w:rFonts w:cs="Arial"/>
          <w:sz w:val="20"/>
          <w:shd w:val="clear" w:color="auto" w:fill="FFFFFF"/>
        </w:rPr>
        <w:t xml:space="preserve"> 2020 </w:t>
      </w:r>
      <w:proofErr w:type="spellStart"/>
      <w:r w:rsidRPr="00226892">
        <w:rPr>
          <w:rFonts w:cs="Arial"/>
          <w:sz w:val="20"/>
          <w:shd w:val="clear" w:color="auto" w:fill="FFFFFF"/>
        </w:rPr>
        <w:t>alebo</w:t>
      </w:r>
      <w:proofErr w:type="spellEnd"/>
      <w:r w:rsidRPr="00226892">
        <w:rPr>
          <w:rFonts w:cs="Arial"/>
          <w:sz w:val="20"/>
          <w:shd w:val="clear" w:color="auto" w:fill="FFFFFF"/>
        </w:rPr>
        <w:t xml:space="preserve"> </w:t>
      </w:r>
      <w:proofErr w:type="spellStart"/>
      <w:r w:rsidRPr="00226892">
        <w:rPr>
          <w:rFonts w:cs="Arial"/>
          <w:sz w:val="20"/>
          <w:shd w:val="clear" w:color="auto" w:fill="FFFFFF"/>
        </w:rPr>
        <w:t>neskôr</w:t>
      </w:r>
      <w:proofErr w:type="spellEnd"/>
      <w:r w:rsidRPr="00226892">
        <w:rPr>
          <w:rFonts w:cs="Arial"/>
          <w:sz w:val="20"/>
          <w:shd w:val="clear" w:color="auto" w:fill="FFFFFF"/>
        </w:rPr>
        <w:t xml:space="preserve">). </w:t>
      </w:r>
      <w:r w:rsidRPr="00226892">
        <w:rPr>
          <w:rFonts w:eastAsia="Times New Roman" w:cs="Arial"/>
          <w:sz w:val="20"/>
          <w:lang w:val="sk-SK"/>
        </w:rPr>
        <w:t>Skupina v súvislosti s implementáciou týchto vylepšení neočakáva významný dopad na finančné výkazy Skupiny.</w:t>
      </w:r>
    </w:p>
    <w:p w14:paraId="5BA93C6E" w14:textId="450E79D8" w:rsidR="00365D5E" w:rsidRPr="00226892" w:rsidRDefault="00365D5E" w:rsidP="00365D5E">
      <w:pPr>
        <w:pStyle w:val="ABC-paragrahinNotes"/>
        <w:spacing w:after="120"/>
        <w:rPr>
          <w:rFonts w:eastAsia="Times New Roman" w:cs="Arial"/>
          <w:sz w:val="20"/>
          <w:lang w:val="sk-SK"/>
        </w:rPr>
      </w:pPr>
      <w:r w:rsidRPr="00226892">
        <w:rPr>
          <w:rFonts w:eastAsia="Times New Roman" w:cs="Arial"/>
          <w:b/>
          <w:i/>
          <w:sz w:val="20"/>
          <w:lang w:val="sk-SK"/>
        </w:rPr>
        <w:t>Reforma základných úrokových mier – novela IFRS 9, IAS 39 a IFRS 7*</w:t>
      </w:r>
      <w:r w:rsidRPr="00226892">
        <w:rPr>
          <w:rFonts w:eastAsia="Times New Roman" w:cs="Arial"/>
          <w:sz w:val="20"/>
          <w:lang w:val="sk-SK"/>
        </w:rPr>
        <w:t xml:space="preserve"> (vydaná 26. septembra 2019 a účinná pre ročné účtovné obdobia začínajúce 1. januára 2020 alebo neskôr)*. Skupina v súvislosti s implementáciou týchto vylepšení neočakáva významný dopad na finančné výkazy Skupiny.</w:t>
      </w:r>
    </w:p>
    <w:p w14:paraId="556B8DA5" w14:textId="60A10105" w:rsidR="007D7798" w:rsidRPr="00226892" w:rsidRDefault="007D7798" w:rsidP="00751223">
      <w:pPr>
        <w:pStyle w:val="ABC-paragrahinNotes"/>
        <w:spacing w:after="120"/>
        <w:rPr>
          <w:rFonts w:eastAsia="Times New Roman" w:cs="Arial"/>
          <w:sz w:val="20"/>
          <w:lang w:val="sk-SK"/>
        </w:rPr>
      </w:pPr>
      <w:r w:rsidRPr="00226892">
        <w:rPr>
          <w:rFonts w:eastAsia="Times New Roman" w:cs="Arial"/>
          <w:b/>
          <w:bCs/>
          <w:i/>
          <w:iCs/>
          <w:sz w:val="20"/>
          <w:lang w:val="sk-SK"/>
        </w:rPr>
        <w:t>IFRS 17: Poistné zmluvy</w:t>
      </w:r>
      <w:r w:rsidR="00365D5E" w:rsidRPr="00226892">
        <w:rPr>
          <w:rFonts w:eastAsia="Times New Roman" w:cs="Arial"/>
          <w:b/>
          <w:bCs/>
          <w:i/>
          <w:iCs/>
          <w:sz w:val="20"/>
          <w:lang w:val="sk-SK"/>
        </w:rPr>
        <w:t>*</w:t>
      </w:r>
      <w:r w:rsidRPr="00226892">
        <w:rPr>
          <w:rFonts w:eastAsia="Times New Roman" w:cs="Arial"/>
          <w:b/>
          <w:bCs/>
          <w:sz w:val="20"/>
          <w:lang w:val="sk-SK"/>
        </w:rPr>
        <w:t xml:space="preserve"> </w:t>
      </w:r>
      <w:r w:rsidRPr="00226892">
        <w:rPr>
          <w:rFonts w:eastAsia="Times New Roman" w:cs="Arial"/>
          <w:i/>
          <w:sz w:val="20"/>
          <w:lang w:val="sk-SK"/>
        </w:rPr>
        <w:t>(vydaný 18. mája 2017 a účinný pre ročné účtovné obdobia začínajúce 1. januára 2021 alebo neskôr).</w:t>
      </w:r>
      <w:r w:rsidRPr="00226892">
        <w:rPr>
          <w:rFonts w:eastAsia="Times New Roman" w:cs="Arial"/>
          <w:sz w:val="20"/>
          <w:lang w:val="sk-SK"/>
        </w:rPr>
        <w:t xml:space="preserve"> IFRS 17 nahrádza štandard IFRS 4, na základe ktorého mali spoločnosti povinnosť účtovať o poistných zmluvách podľa existujúcich postupov. V dôsledku toho bolo pre investorov ťažké porovnávať a posudzovať finančné výsledky inak podobných poisťovní. IFRS 17 je štandardom založeným na jednom princípe, ktorý zohľadňuje všetky typy poistných zmlúv, vrátane zaistných zmlúv, ktoré poisťovňa vlastní. Štandard vyžaduje, aby sa skupiny poistných zmlúv vykazovali a oceňovali: (i) v súčasnej hodnote budúcich peňažných tokov (peňažných tokov z plnení) upravenej o existujúce riziká, ktorá zohľadňuje všetky dostupné informácie o peňažných tokoch z plnení spôsobom konzistentným so zistiteľnými trhovými informáciami, zvýšenej (ak táto hodnota predstavuje záväzok) alebo zníženej (ak táto hodnota predstavuje aktívum) (ii) o čiastku reprezentujúcu nezaslúžený zisk v skupine poistných zmlúv (zmluvná marža za poskytovanú službu). Poisťovne budú vykazovať zisk zo skupiny poistných zmlúv počas celého obdobia poskytovania poistného krytia postupne tak, ako bude existujúce riziko </w:t>
      </w:r>
      <w:proofErr w:type="spellStart"/>
      <w:r w:rsidRPr="00226892">
        <w:rPr>
          <w:rFonts w:eastAsia="Times New Roman" w:cs="Arial"/>
          <w:sz w:val="20"/>
          <w:lang w:val="sk-SK"/>
        </w:rPr>
        <w:t>expirovať</w:t>
      </w:r>
      <w:proofErr w:type="spellEnd"/>
      <w:r w:rsidRPr="00226892">
        <w:rPr>
          <w:rFonts w:eastAsia="Times New Roman" w:cs="Arial"/>
          <w:sz w:val="20"/>
          <w:lang w:val="sk-SK"/>
        </w:rPr>
        <w:t>. Ak je skupina poistných zmlúv stratová, alebo sa takou stane, vykáže účtovná jednotka stratu okamžite. Skupina neočakáva, že vplyv tohto štandardu na jej finančné výkazy bude významný.</w:t>
      </w:r>
    </w:p>
    <w:p w14:paraId="2C2F74AF" w14:textId="4DA20ADB" w:rsidR="00730E03" w:rsidRPr="00226892" w:rsidRDefault="00365D5E" w:rsidP="00751223">
      <w:pPr>
        <w:rPr>
          <w:rFonts w:ascii="Arial" w:hAnsi="Arial" w:cs="Arial"/>
        </w:rPr>
      </w:pPr>
      <w:r w:rsidRPr="00226892">
        <w:rPr>
          <w:rFonts w:ascii="Arial" w:hAnsi="Arial" w:cs="Arial"/>
          <w:b/>
          <w:bCs/>
          <w:i/>
          <w:lang w:val="sk-SK"/>
        </w:rPr>
        <w:t>* Tieto nové štandardy, interpretácie a ich novely zatiaľ neboli schválené Európskou úniou</w:t>
      </w:r>
      <w:r w:rsidR="007D7798" w:rsidRPr="00226892">
        <w:rPr>
          <w:rFonts w:ascii="Arial" w:hAnsi="Arial" w:cs="Arial"/>
        </w:rPr>
        <w:t>.</w:t>
      </w:r>
    </w:p>
    <w:p w14:paraId="6C76DFE5" w14:textId="79F4C6B5" w:rsidR="00411C90" w:rsidRPr="00226892" w:rsidRDefault="00411C90" w:rsidP="009B79FC">
      <w:pPr>
        <w:rPr>
          <w:rFonts w:ascii="Arial" w:hAnsi="Arial" w:cs="Arial"/>
          <w:bCs/>
          <w:lang w:val="sk-SK"/>
        </w:rPr>
      </w:pPr>
    </w:p>
    <w:p w14:paraId="3E78003F" w14:textId="621B5230" w:rsidR="00365D5E" w:rsidRPr="00226892" w:rsidRDefault="00365D5E" w:rsidP="009B79FC">
      <w:pPr>
        <w:rPr>
          <w:rFonts w:ascii="Arial" w:hAnsi="Arial" w:cs="Arial"/>
          <w:bCs/>
          <w:lang w:val="sk-SK"/>
        </w:rPr>
      </w:pPr>
    </w:p>
    <w:p w14:paraId="4D2CF8F1" w14:textId="732E724D" w:rsidR="00365D5E" w:rsidRPr="00226892" w:rsidRDefault="00365D5E" w:rsidP="009B79FC">
      <w:pPr>
        <w:rPr>
          <w:rFonts w:ascii="Arial" w:hAnsi="Arial" w:cs="Arial"/>
          <w:bCs/>
          <w:lang w:val="sk-SK"/>
        </w:rPr>
      </w:pPr>
    </w:p>
    <w:p w14:paraId="57E3F333" w14:textId="009F31E5" w:rsidR="009303FB" w:rsidRDefault="009303FB">
      <w:pPr>
        <w:rPr>
          <w:rFonts w:ascii="Arial" w:hAnsi="Arial" w:cs="Arial"/>
          <w:bCs/>
          <w:lang w:val="sk-SK"/>
        </w:rPr>
      </w:pPr>
      <w:r>
        <w:rPr>
          <w:rFonts w:ascii="Arial" w:hAnsi="Arial" w:cs="Arial"/>
          <w:bCs/>
          <w:lang w:val="sk-SK"/>
        </w:rPr>
        <w:br w:type="page"/>
      </w:r>
    </w:p>
    <w:p w14:paraId="2C977AC6" w14:textId="2F324335" w:rsidR="00A25607" w:rsidRPr="00226892" w:rsidRDefault="00452CE9" w:rsidP="001C5911">
      <w:pPr>
        <w:pStyle w:val="Nadpis1"/>
      </w:pPr>
      <w:bookmarkStart w:id="53" w:name="_Toc12284679"/>
      <w:bookmarkStart w:id="54" w:name="_Toc12284681"/>
      <w:bookmarkStart w:id="55" w:name="_Toc12284684"/>
      <w:bookmarkStart w:id="56" w:name="_Toc12284685"/>
      <w:bookmarkStart w:id="57" w:name="_Toc12284688"/>
      <w:bookmarkStart w:id="58" w:name="_Toc12284689"/>
      <w:bookmarkStart w:id="59" w:name="_Toc12284690"/>
      <w:bookmarkStart w:id="60" w:name="_Toc325985766"/>
      <w:bookmarkStart w:id="61" w:name="_Toc387812470"/>
      <w:bookmarkStart w:id="62" w:name="_Toc27409969"/>
      <w:bookmarkStart w:id="63" w:name="_Ref528665856"/>
      <w:bookmarkEnd w:id="25"/>
      <w:bookmarkEnd w:id="26"/>
      <w:bookmarkEnd w:id="27"/>
      <w:bookmarkEnd w:id="53"/>
      <w:bookmarkEnd w:id="54"/>
      <w:bookmarkEnd w:id="55"/>
      <w:bookmarkEnd w:id="56"/>
      <w:bookmarkEnd w:id="57"/>
      <w:bookmarkEnd w:id="58"/>
      <w:bookmarkEnd w:id="59"/>
      <w:r w:rsidRPr="00226892">
        <w:lastRenderedPageBreak/>
        <w:t>Konsolidácia</w:t>
      </w:r>
      <w:bookmarkEnd w:id="60"/>
      <w:bookmarkEnd w:id="61"/>
      <w:bookmarkEnd w:id="62"/>
    </w:p>
    <w:p w14:paraId="4A4DC33D" w14:textId="77777777" w:rsidR="00A25607" w:rsidRPr="00226892" w:rsidRDefault="00A25607" w:rsidP="009B79FC">
      <w:pPr>
        <w:suppressAutoHyphens/>
        <w:jc w:val="both"/>
        <w:rPr>
          <w:rFonts w:ascii="Arial" w:hAnsi="Arial" w:cs="Arial"/>
          <w:b/>
          <w:i/>
          <w:lang w:val="sk-SK"/>
        </w:rPr>
      </w:pPr>
      <w:r w:rsidRPr="00226892">
        <w:rPr>
          <w:rFonts w:ascii="Arial" w:hAnsi="Arial" w:cs="Arial"/>
          <w:b/>
          <w:i/>
          <w:lang w:val="sk-SK"/>
        </w:rPr>
        <w:t xml:space="preserve">Dcérske spoločnosti </w:t>
      </w:r>
    </w:p>
    <w:p w14:paraId="2447D5AD" w14:textId="77777777" w:rsidR="00A25607" w:rsidRPr="00226892" w:rsidRDefault="00A25607" w:rsidP="009B79FC">
      <w:pPr>
        <w:suppressAutoHyphens/>
        <w:jc w:val="both"/>
        <w:rPr>
          <w:rFonts w:ascii="Arial" w:hAnsi="Arial" w:cs="Arial"/>
          <w:color w:val="000000"/>
          <w:highlight w:val="yellow"/>
          <w:lang w:val="sk-SK"/>
        </w:rPr>
      </w:pPr>
    </w:p>
    <w:p w14:paraId="490D52B4" w14:textId="14F81CA9" w:rsidR="00F5736D" w:rsidRPr="00226892" w:rsidRDefault="00F5736D" w:rsidP="009B79FC">
      <w:pPr>
        <w:suppressAutoHyphens/>
        <w:jc w:val="both"/>
        <w:rPr>
          <w:rFonts w:ascii="Arial" w:hAnsi="Arial" w:cs="Arial"/>
          <w:color w:val="000000"/>
          <w:lang w:val="sk-SK"/>
        </w:rPr>
      </w:pPr>
      <w:r w:rsidRPr="00226892">
        <w:rPr>
          <w:rFonts w:ascii="Arial" w:hAnsi="Arial" w:cs="Arial"/>
          <w:color w:val="000000"/>
          <w:lang w:val="sk-SK"/>
        </w:rPr>
        <w:t xml:space="preserve">Dcérskymi spoločnosťami sú tie účtovné jednotky, vrátane štruktúrovaných subjektov, ktoré Skupina ovláda, pretože (i) má právomoc riadiť tie ich relevantné činnosti, ktoré významným spôsobom ovplyvňujú ich výnosy, (ii) má nárok, či práva, podieľať sa na variabilných výnosoch zo svojej účasti v týchto účtovných jednotkách, a (iii) má schopnosť využiť svoj vplyv v uvedených účtovných jednotkách na to, aby ovplyvnila výšku výnosov investora. Pri posudzovaní toho, či Skupina ovláda inú účtovnú jednotku, sa berie do úvahy existencia a vplyv materiálnych práv, vrátane materiálnych potenciálnych hlasovacích práv. Aby bolo právo materiálne, musí mať jeho držiteľ praktickú schopnosť uplatňovať ho vtedy, keď vznikne potreba prijať rozhodnutia o smerovaní relevantných činností ovládanej účtovnej jednotky. Skupina môže ovládať účtovnú jednotku dokonca aj vtedy, keď v nej nevlastní väčšinu hlasovacích práv. V takom prípade posudzuje Skupina výšku svojich hlasovacích práv porovnaním s veľkosťou a rozptýlením podielov ostatných držiteľov hlasovacích práv, aby zistila, či má de </w:t>
      </w:r>
      <w:proofErr w:type="spellStart"/>
      <w:r w:rsidRPr="00226892">
        <w:rPr>
          <w:rFonts w:ascii="Arial" w:hAnsi="Arial" w:cs="Arial"/>
          <w:color w:val="000000"/>
          <w:lang w:val="sk-SK"/>
        </w:rPr>
        <w:t>facto</w:t>
      </w:r>
      <w:proofErr w:type="spellEnd"/>
      <w:r w:rsidRPr="00226892">
        <w:rPr>
          <w:rFonts w:ascii="Arial" w:hAnsi="Arial" w:cs="Arial"/>
          <w:color w:val="000000"/>
          <w:lang w:val="sk-SK"/>
        </w:rPr>
        <w:t xml:space="preserve"> kontrolu nad daným subjektom. Ochranné práva iných investorov, napr. také, ktoré sa týkajú zásadných zmien činnosti danej účtovnej jednotky alebo ktoré sa uplatňujú iba za výnimočných okolností, nebránia Skupine, aby v tejto účtovnej jednotke uplatňovala kontrolný vplyv. Dcérske podniky sú konsolidované odo dňa, kedy je kontrolný vplyv prevedený na Skupinu (dátum akvizície) a sú vyňaté z konsolidácie odo dňa, od ktorého prestane Skupina účtovnú jednotku ovládať.</w:t>
      </w:r>
    </w:p>
    <w:p w14:paraId="1F2A954A" w14:textId="77777777" w:rsidR="00F5736D" w:rsidRPr="00226892" w:rsidRDefault="00F5736D" w:rsidP="009B79FC">
      <w:pPr>
        <w:suppressAutoHyphens/>
        <w:jc w:val="both"/>
        <w:rPr>
          <w:rFonts w:ascii="Arial" w:hAnsi="Arial" w:cs="Arial"/>
          <w:color w:val="000000"/>
          <w:lang w:val="sk-SK"/>
        </w:rPr>
      </w:pPr>
    </w:p>
    <w:p w14:paraId="3FADFFD0" w14:textId="77777777" w:rsidR="00F5736D" w:rsidRPr="00226892" w:rsidRDefault="00F5736D" w:rsidP="009B79FC">
      <w:pPr>
        <w:suppressAutoHyphens/>
        <w:jc w:val="both"/>
        <w:rPr>
          <w:rFonts w:ascii="Arial" w:hAnsi="Arial" w:cs="Arial"/>
          <w:color w:val="000000"/>
          <w:lang w:val="sk-SK"/>
        </w:rPr>
      </w:pPr>
      <w:r w:rsidRPr="00226892">
        <w:rPr>
          <w:rFonts w:ascii="Arial" w:hAnsi="Arial" w:cs="Arial"/>
          <w:color w:val="000000"/>
          <w:lang w:val="sk-SK"/>
        </w:rPr>
        <w:t xml:space="preserve">Skupina používa pri účtovaní obstaraní dcérskych spoločností akvizičnú metódu. Nadobudnutý identifikovateľný majetok a záväzky a podmienené záväzky prevzaté v rámci podnikovej kombinácie sa prvotne oceňujú ich reálnou hodnotou k dátumu akvizície, bez ohľadu na výšku podielu ostatných akcionárov dcérskej spoločnosti. </w:t>
      </w:r>
    </w:p>
    <w:p w14:paraId="113BB6CA" w14:textId="77777777" w:rsidR="00F5736D" w:rsidRPr="00226892" w:rsidRDefault="00F5736D" w:rsidP="009B79FC">
      <w:pPr>
        <w:suppressAutoHyphens/>
        <w:jc w:val="both"/>
        <w:rPr>
          <w:rFonts w:ascii="Arial" w:hAnsi="Arial" w:cs="Arial"/>
          <w:color w:val="000000"/>
          <w:lang w:val="sk-SK"/>
        </w:rPr>
      </w:pPr>
    </w:p>
    <w:p w14:paraId="3AE03043" w14:textId="32156E2D" w:rsidR="009C7B35" w:rsidRPr="00226892" w:rsidRDefault="00F5736D" w:rsidP="009B79FC">
      <w:pPr>
        <w:suppressAutoHyphens/>
        <w:jc w:val="both"/>
        <w:rPr>
          <w:rFonts w:ascii="Arial" w:hAnsi="Arial" w:cs="Arial"/>
          <w:color w:val="000000"/>
          <w:lang w:val="sk-SK"/>
        </w:rPr>
      </w:pPr>
      <w:r w:rsidRPr="00226892">
        <w:rPr>
          <w:rFonts w:ascii="Arial" w:hAnsi="Arial" w:cs="Arial"/>
          <w:color w:val="000000"/>
          <w:lang w:val="sk-SK"/>
        </w:rPr>
        <w:t xml:space="preserve">Obstarávacie náklady vzťahujúce sa k akvizícii sa účtujú do nákladov. Akékoľvek podmienené plnenia, ktoré majú byť uhradené Skupinou, sa k dátumu akvizície ocenia v reálnej hodnote. </w:t>
      </w:r>
    </w:p>
    <w:p w14:paraId="2E0FA4B7" w14:textId="1DD59870" w:rsidR="009C7B35" w:rsidRPr="00226892" w:rsidRDefault="009C7B35" w:rsidP="009B79FC">
      <w:pPr>
        <w:rPr>
          <w:rFonts w:ascii="Arial" w:hAnsi="Arial" w:cs="Arial"/>
          <w:color w:val="000000"/>
          <w:lang w:val="sk-SK"/>
        </w:rPr>
      </w:pPr>
    </w:p>
    <w:p w14:paraId="6209248B" w14:textId="77777777" w:rsidR="00F5736D" w:rsidRPr="00226892" w:rsidRDefault="00F5736D" w:rsidP="009B79FC">
      <w:pPr>
        <w:suppressAutoHyphens/>
        <w:jc w:val="both"/>
        <w:rPr>
          <w:rFonts w:ascii="Arial" w:hAnsi="Arial" w:cs="Arial"/>
          <w:color w:val="000000"/>
          <w:lang w:val="sk-SK"/>
        </w:rPr>
      </w:pPr>
      <w:r w:rsidRPr="00226892">
        <w:rPr>
          <w:rFonts w:ascii="Arial" w:hAnsi="Arial" w:cs="Arial"/>
          <w:color w:val="000000"/>
          <w:lang w:val="sk-SK"/>
        </w:rPr>
        <w:t>Skupina v čase akvizície oceňuje výšku podielu ostatných podielnikov bez kontrolného vplyvu v dcérskej spoločnosti buď jeho reálnou hodnotou alebo ako podiel na reálnej hodnote majetku, záväzkoch a podmienených záväzkoch. Rozhodnutie o metóde ocenenia je uskutočnené samostatne pre každú podnikovú kombináciu.</w:t>
      </w:r>
    </w:p>
    <w:p w14:paraId="13CBC2A3" w14:textId="77777777" w:rsidR="00F5736D" w:rsidRPr="00226892" w:rsidRDefault="00F5736D" w:rsidP="009B79FC">
      <w:pPr>
        <w:suppressAutoHyphens/>
        <w:jc w:val="both"/>
        <w:rPr>
          <w:rFonts w:ascii="Arial" w:hAnsi="Arial" w:cs="Arial"/>
          <w:color w:val="000000"/>
          <w:lang w:val="sk-SK"/>
        </w:rPr>
      </w:pPr>
    </w:p>
    <w:p w14:paraId="0AF6AE66" w14:textId="77777777" w:rsidR="00F5736D" w:rsidRPr="00226892" w:rsidRDefault="00F5736D" w:rsidP="009B79FC">
      <w:pPr>
        <w:suppressAutoHyphens/>
        <w:jc w:val="both"/>
        <w:rPr>
          <w:rFonts w:ascii="Arial" w:hAnsi="Arial" w:cs="Arial"/>
          <w:color w:val="000000"/>
          <w:lang w:val="sk-SK"/>
        </w:rPr>
      </w:pPr>
      <w:proofErr w:type="spellStart"/>
      <w:r w:rsidRPr="00226892">
        <w:rPr>
          <w:rFonts w:ascii="Arial" w:hAnsi="Arial" w:cs="Arial"/>
          <w:color w:val="000000"/>
          <w:lang w:val="sk-SK"/>
        </w:rPr>
        <w:t>Goodwill</w:t>
      </w:r>
      <w:proofErr w:type="spellEnd"/>
      <w:r w:rsidRPr="00226892">
        <w:rPr>
          <w:rFonts w:ascii="Arial" w:hAnsi="Arial" w:cs="Arial"/>
          <w:color w:val="000000"/>
          <w:lang w:val="sk-SK"/>
        </w:rPr>
        <w:t xml:space="preserve"> sa stanoví odpočítaním netto hodnoty majetku, záväzkov a podmienených záväzkov od súčtu kúpnej ceny za nadobúdaný podiel na dcérskej spoločnosti, výšky podielu ostatných podielnikov bez kontrolného vplyvu a reálnej hodnoty predchádzajúcej investície v spoločnosti pred nadobudnutím kontroly. Negatívny rozdiel sa vykazuje priamo v  hospodárskom výsledku.</w:t>
      </w:r>
    </w:p>
    <w:p w14:paraId="348D47F6" w14:textId="77777777" w:rsidR="00F5736D" w:rsidRPr="00226892" w:rsidRDefault="00F5736D" w:rsidP="009B79FC">
      <w:pPr>
        <w:suppressAutoHyphens/>
        <w:jc w:val="both"/>
        <w:rPr>
          <w:rFonts w:ascii="Arial" w:hAnsi="Arial" w:cs="Arial"/>
          <w:color w:val="000000"/>
          <w:lang w:val="sk-SK"/>
        </w:rPr>
      </w:pPr>
    </w:p>
    <w:p w14:paraId="173A370C" w14:textId="5F560184" w:rsidR="00A25607" w:rsidRPr="00226892" w:rsidRDefault="00F5736D" w:rsidP="009B79FC">
      <w:pPr>
        <w:suppressAutoHyphens/>
        <w:jc w:val="both"/>
        <w:rPr>
          <w:rFonts w:ascii="Arial" w:hAnsi="Arial" w:cs="Arial"/>
          <w:lang w:val="sk-SK"/>
        </w:rPr>
      </w:pPr>
      <w:proofErr w:type="spellStart"/>
      <w:r w:rsidRPr="00226892">
        <w:rPr>
          <w:rFonts w:ascii="Arial" w:hAnsi="Arial" w:cs="Arial"/>
          <w:color w:val="000000"/>
          <w:lang w:val="sk-SK"/>
        </w:rPr>
        <w:t>Vnútroskupinové</w:t>
      </w:r>
      <w:proofErr w:type="spellEnd"/>
      <w:r w:rsidRPr="00226892">
        <w:rPr>
          <w:rFonts w:ascii="Arial" w:hAnsi="Arial" w:cs="Arial"/>
          <w:color w:val="000000"/>
          <w:lang w:val="sk-SK"/>
        </w:rPr>
        <w:t xml:space="preserve"> transakcie, zostatky, výnosy a náklady z transakcií medzi spoločnosťami v Skupine sa eliminujú pri konsolidácii. Medzivýsledok vyplývajúci z </w:t>
      </w:r>
      <w:proofErr w:type="spellStart"/>
      <w:r w:rsidRPr="00226892">
        <w:rPr>
          <w:rFonts w:ascii="Arial" w:hAnsi="Arial" w:cs="Arial"/>
          <w:color w:val="000000"/>
          <w:lang w:val="sk-SK"/>
        </w:rPr>
        <w:t>vnútroskupinových</w:t>
      </w:r>
      <w:proofErr w:type="spellEnd"/>
      <w:r w:rsidRPr="00226892">
        <w:rPr>
          <w:rFonts w:ascii="Arial" w:hAnsi="Arial" w:cs="Arial"/>
          <w:color w:val="000000"/>
          <w:lang w:val="sk-SK"/>
        </w:rPr>
        <w:t xml:space="preserve"> transakcií, ktorý je súčasťou ocenenia aktív, sa pri konsolidácii eliminuje. Účtovné zásady a metódy dcérskych spoločností boli v prípade potreby pozmenené tak, aby sa zabezpečila konzistentnosť s účtovnými zásadami a metódami aplikovanými Skupinou.</w:t>
      </w:r>
      <w:r w:rsidR="00A25607" w:rsidRPr="00226892">
        <w:rPr>
          <w:rFonts w:ascii="Arial" w:hAnsi="Arial" w:cs="Arial"/>
          <w:lang w:val="sk-SK"/>
        </w:rPr>
        <w:t xml:space="preserve"> </w:t>
      </w:r>
    </w:p>
    <w:p w14:paraId="2F5E74EB" w14:textId="77777777" w:rsidR="00A25607" w:rsidRPr="00226892" w:rsidRDefault="00A25607" w:rsidP="00751708">
      <w:pPr>
        <w:suppressAutoHyphens/>
        <w:ind w:left="364"/>
        <w:rPr>
          <w:rFonts w:ascii="Arial" w:hAnsi="Arial" w:cs="Arial"/>
          <w:lang w:val="sk-SK"/>
        </w:rPr>
      </w:pPr>
    </w:p>
    <w:p w14:paraId="6DA19AF0" w14:textId="4118C17D" w:rsidR="00A25607" w:rsidRPr="00226892" w:rsidRDefault="00A25607" w:rsidP="009B79FC">
      <w:pPr>
        <w:pStyle w:val="ABC-paragrahinNotes"/>
        <w:suppressAutoHyphens/>
        <w:spacing w:before="240"/>
        <w:rPr>
          <w:rFonts w:cs="Arial"/>
          <w:b/>
          <w:i/>
          <w:sz w:val="20"/>
          <w:lang w:val="sk-SK"/>
        </w:rPr>
      </w:pPr>
      <w:r w:rsidRPr="00226892">
        <w:rPr>
          <w:rFonts w:cs="Arial"/>
          <w:b/>
          <w:i/>
          <w:sz w:val="20"/>
          <w:lang w:val="sk-SK"/>
        </w:rPr>
        <w:t>Finančné investície v pridružených a</w:t>
      </w:r>
      <w:r w:rsidR="00AA32CB" w:rsidRPr="00226892">
        <w:rPr>
          <w:rFonts w:cs="Arial"/>
          <w:b/>
          <w:i/>
          <w:sz w:val="20"/>
          <w:lang w:val="sk-SK"/>
        </w:rPr>
        <w:t> </w:t>
      </w:r>
      <w:r w:rsidRPr="00226892">
        <w:rPr>
          <w:rFonts w:cs="Arial"/>
          <w:b/>
          <w:i/>
          <w:sz w:val="20"/>
          <w:lang w:val="sk-SK"/>
        </w:rPr>
        <w:t>spoločných podnikoch</w:t>
      </w:r>
    </w:p>
    <w:p w14:paraId="6BC1EE08" w14:textId="77777777" w:rsidR="00A25607" w:rsidRPr="00226892" w:rsidRDefault="00A25607" w:rsidP="009B79FC">
      <w:pPr>
        <w:pStyle w:val="ABC-paragrahinNotes"/>
        <w:suppressAutoHyphens/>
        <w:spacing w:before="120"/>
        <w:rPr>
          <w:rFonts w:cs="Arial"/>
          <w:sz w:val="20"/>
          <w:lang w:val="sk-SK"/>
        </w:rPr>
      </w:pPr>
      <w:r w:rsidRPr="00226892">
        <w:rPr>
          <w:rFonts w:cs="Arial"/>
          <w:sz w:val="20"/>
          <w:lang w:val="sk-SK"/>
        </w:rPr>
        <w:t>Pridružené spoločnosti sú všetky subjekty, v ktorých má Skupina podstatný (priamo alebo nepriamo), no nie rozhodujúci vplyv, s čím je vo všeobecnosti spojené vlastníctvo 20% až 50% hlasovacích práv. Spoločne kontrolované podniky („spoločné podniky“) sú tie, v ktorých sa Skupina podieľa na kontrole činnosti spoločne so svojimi partnermi v podnikaní.</w:t>
      </w:r>
    </w:p>
    <w:p w14:paraId="09D5AB0F" w14:textId="6CEB5999" w:rsidR="00C9773F" w:rsidRDefault="00A25607" w:rsidP="009B79FC">
      <w:pPr>
        <w:pStyle w:val="ABC-paragrahinNotes"/>
        <w:suppressAutoHyphens/>
        <w:spacing w:before="120" w:after="200"/>
        <w:rPr>
          <w:rFonts w:cs="Arial"/>
          <w:sz w:val="20"/>
          <w:lang w:val="sk-SK"/>
        </w:rPr>
      </w:pPr>
      <w:r w:rsidRPr="00226892">
        <w:rPr>
          <w:rFonts w:cs="Arial"/>
          <w:sz w:val="20"/>
          <w:lang w:val="sk-SK"/>
        </w:rPr>
        <w:t xml:space="preserve">Investície do pridružených spoločností a spoločných podnikov sa účtujú metódou vlastného imania a sú prvotne vykázané v obstarávacej cene. Účtovná hodnota pridružených a spoločných podnikov zahŕňa prípadný </w:t>
      </w:r>
      <w:proofErr w:type="spellStart"/>
      <w:r w:rsidRPr="00226892">
        <w:rPr>
          <w:rFonts w:cs="Arial"/>
          <w:sz w:val="20"/>
          <w:lang w:val="sk-SK"/>
        </w:rPr>
        <w:t>goodwill</w:t>
      </w:r>
      <w:proofErr w:type="spellEnd"/>
      <w:r w:rsidRPr="00226892">
        <w:rPr>
          <w:rFonts w:cs="Arial"/>
          <w:sz w:val="20"/>
          <w:lang w:val="sk-SK"/>
        </w:rPr>
        <w:t xml:space="preserve"> (znížený o akumulované straty zo zníženia hodnoty), ktorý bol identifikovaný pri akvizícii. Dividendy prijaté od pridružených a spoločných podnikov znižujú účtovnú hodnotu investície.</w:t>
      </w:r>
    </w:p>
    <w:p w14:paraId="1BD93D3E" w14:textId="77777777" w:rsidR="00C9773F" w:rsidRDefault="00C9773F">
      <w:pPr>
        <w:rPr>
          <w:rFonts w:ascii="Arial" w:hAnsi="Arial" w:cs="Arial"/>
          <w:lang w:val="sk-SK"/>
        </w:rPr>
      </w:pPr>
      <w:r>
        <w:rPr>
          <w:rFonts w:cs="Arial"/>
          <w:lang w:val="sk-SK"/>
        </w:rPr>
        <w:br w:type="page"/>
      </w:r>
    </w:p>
    <w:p w14:paraId="6510258E" w14:textId="2546828C" w:rsidR="00A25607" w:rsidRPr="00226892" w:rsidRDefault="00A25607" w:rsidP="009B79FC">
      <w:pPr>
        <w:pStyle w:val="ABC-paragrahinNotes"/>
        <w:suppressAutoHyphens/>
        <w:spacing w:after="200"/>
        <w:rPr>
          <w:rFonts w:cs="Arial"/>
          <w:sz w:val="20"/>
          <w:lang w:val="sk-SK"/>
        </w:rPr>
      </w:pPr>
      <w:r w:rsidRPr="00226892">
        <w:rPr>
          <w:rFonts w:cs="Arial"/>
          <w:sz w:val="20"/>
          <w:lang w:val="sk-SK"/>
        </w:rPr>
        <w:lastRenderedPageBreak/>
        <w:t xml:space="preserve">Ďalšie zmeny hodnoty investície vygenerované po akvizícii sú vykázané nasledovne: </w:t>
      </w:r>
    </w:p>
    <w:p w14:paraId="377DA0E3" w14:textId="56405B00" w:rsidR="00A25607" w:rsidRPr="00226892" w:rsidRDefault="00A25607" w:rsidP="009B79FC">
      <w:pPr>
        <w:pStyle w:val="ABC-paragrahinNotes"/>
        <w:numPr>
          <w:ilvl w:val="0"/>
          <w:numId w:val="35"/>
        </w:numPr>
        <w:suppressAutoHyphens/>
        <w:spacing w:after="0"/>
        <w:ind w:left="284" w:hanging="222"/>
        <w:rPr>
          <w:rFonts w:cs="Arial"/>
          <w:sz w:val="20"/>
          <w:lang w:val="sk-SK"/>
        </w:rPr>
      </w:pPr>
      <w:r w:rsidRPr="00226892">
        <w:rPr>
          <w:rFonts w:cs="Arial"/>
          <w:sz w:val="20"/>
          <w:lang w:val="sk-SK"/>
        </w:rPr>
        <w:t>podiel Skupiny na ziskoch či stratách pridružených a spoločných podnikov je vykázaný v</w:t>
      </w:r>
      <w:r w:rsidR="00256ADC" w:rsidRPr="00226892">
        <w:rPr>
          <w:rFonts w:cs="Arial"/>
          <w:sz w:val="20"/>
          <w:lang w:val="sk-SK"/>
        </w:rPr>
        <w:t> konsolidovanom výkaze ziskov a strát a ostatného súhrnného zisku alebo strát</w:t>
      </w:r>
      <w:r w:rsidRPr="00226892">
        <w:rPr>
          <w:rFonts w:cs="Arial"/>
          <w:sz w:val="20"/>
          <w:lang w:val="sk-SK"/>
        </w:rPr>
        <w:t xml:space="preserve">, </w:t>
      </w:r>
    </w:p>
    <w:p w14:paraId="6991F84F" w14:textId="77777777" w:rsidR="00A25607" w:rsidRPr="00226892" w:rsidRDefault="00A25607" w:rsidP="009B79FC">
      <w:pPr>
        <w:pStyle w:val="ABC-paragrahinNotes"/>
        <w:numPr>
          <w:ilvl w:val="0"/>
          <w:numId w:val="35"/>
        </w:numPr>
        <w:suppressAutoHyphens/>
        <w:spacing w:after="0"/>
        <w:ind w:left="284" w:hanging="222"/>
        <w:rPr>
          <w:rFonts w:cs="Arial"/>
          <w:sz w:val="20"/>
          <w:lang w:val="sk-SK"/>
        </w:rPr>
      </w:pPr>
      <w:r w:rsidRPr="00226892">
        <w:rPr>
          <w:rFonts w:cs="Arial"/>
          <w:sz w:val="20"/>
          <w:lang w:val="sk-SK"/>
        </w:rPr>
        <w:t>podiel Skupiny na zmenách ostatných súhrnných ziskov je vykázaný samostatne v ostatných súhrnných ziskoch a stratách,</w:t>
      </w:r>
    </w:p>
    <w:p w14:paraId="1FEFD25B" w14:textId="4CEB7137" w:rsidR="00A25607" w:rsidRPr="00226892" w:rsidRDefault="00A25607" w:rsidP="009B79FC">
      <w:pPr>
        <w:pStyle w:val="ABC-paragrahinNotes"/>
        <w:numPr>
          <w:ilvl w:val="0"/>
          <w:numId w:val="35"/>
        </w:numPr>
        <w:suppressAutoHyphens/>
        <w:spacing w:after="200"/>
        <w:ind w:left="284" w:hanging="221"/>
        <w:rPr>
          <w:rFonts w:cs="Arial"/>
          <w:sz w:val="20"/>
          <w:lang w:val="sk-SK"/>
        </w:rPr>
      </w:pPr>
      <w:r w:rsidRPr="00226892">
        <w:rPr>
          <w:rFonts w:cs="Arial"/>
          <w:sz w:val="20"/>
          <w:lang w:val="sk-SK"/>
        </w:rPr>
        <w:t xml:space="preserve">všetky ostatné zmeny podielu Skupiny na účtovnej hodnote pridružených a spoločných podnikov sú vykázané v </w:t>
      </w:r>
      <w:r w:rsidR="00256ADC" w:rsidRPr="00226892">
        <w:rPr>
          <w:rFonts w:cs="Arial"/>
          <w:sz w:val="20"/>
          <w:lang w:val="sk-SK"/>
        </w:rPr>
        <w:t>konsolidovanom výkaze ziskov a strát a ostatného súhrnného zisku alebo strát</w:t>
      </w:r>
      <w:r w:rsidR="00256ADC" w:rsidRPr="00226892" w:rsidDel="00256ADC">
        <w:rPr>
          <w:rFonts w:cs="Arial"/>
          <w:sz w:val="20"/>
          <w:lang w:val="sk-SK"/>
        </w:rPr>
        <w:t xml:space="preserve"> </w:t>
      </w:r>
      <w:r w:rsidRPr="00226892">
        <w:rPr>
          <w:rFonts w:cs="Arial"/>
          <w:sz w:val="20"/>
          <w:lang w:val="sk-SK"/>
        </w:rPr>
        <w:t>ako podiel na zisku/strate pridružených a spoločných podnikov.</w:t>
      </w:r>
    </w:p>
    <w:p w14:paraId="4E65B6DD" w14:textId="77777777" w:rsidR="00A25607" w:rsidRPr="00226892" w:rsidRDefault="00A25607" w:rsidP="001C5911">
      <w:pPr>
        <w:pStyle w:val="ABC-paragrahinNotes"/>
        <w:suppressAutoHyphens/>
        <w:spacing w:before="120" w:after="200"/>
        <w:rPr>
          <w:rFonts w:cs="Arial"/>
          <w:sz w:val="20"/>
          <w:lang w:val="sk-SK"/>
        </w:rPr>
      </w:pPr>
      <w:r w:rsidRPr="00226892">
        <w:rPr>
          <w:rFonts w:cs="Arial"/>
          <w:sz w:val="20"/>
          <w:lang w:val="sk-SK"/>
        </w:rPr>
        <w:t>Ak sa podiel Skupiny na stratách pridruženej spoločnosti alebo spoločného podniku rovná alebo prevyšuje jej podiel na vlastnom imaní v danej spoločnosti, vrátane všetkých ostatných nezabezpečených pohľadávok, Skupina nevykazuje ďalšie straty, pokiaľ jej v mene pridruženej spoločnosti alebo spoločného podniku nevznikli iné záväzky alebo v ich mene nerealizovala platby.</w:t>
      </w:r>
    </w:p>
    <w:p w14:paraId="6CC19E73" w14:textId="2C054ADE" w:rsidR="005B7F67" w:rsidRDefault="00A25607" w:rsidP="0039695F">
      <w:pPr>
        <w:pStyle w:val="ABC-paragrahinNotes"/>
        <w:suppressAutoHyphens/>
        <w:spacing w:after="0"/>
        <w:rPr>
          <w:rFonts w:cs="Arial"/>
          <w:sz w:val="20"/>
          <w:lang w:val="sk-SK"/>
        </w:rPr>
      </w:pPr>
      <w:r w:rsidRPr="00226892">
        <w:rPr>
          <w:rFonts w:cs="Arial"/>
          <w:sz w:val="20"/>
          <w:lang w:val="sk-SK"/>
        </w:rPr>
        <w:t>Nerealizované zisky z transakcií medzi Skupinou a jej pridruženými spoločnosťami a spoločnými podnikmi sú eliminované v miere zodpovedajúcej majetkovej účasti Skupiny v týchto subjektoch. Nerealizované straty sa tiež eliminujú, s výnimkou prípadov, keď transakcia poskytuje dôkaz o znížení hodnoty prevádzaného aktíva.</w:t>
      </w:r>
    </w:p>
    <w:p w14:paraId="6215ED4E" w14:textId="77777777" w:rsidR="0039695F" w:rsidRPr="00226892" w:rsidRDefault="0039695F" w:rsidP="0039695F">
      <w:pPr>
        <w:pStyle w:val="ABC-paragrahinNotes"/>
        <w:suppressAutoHyphens/>
        <w:spacing w:after="0"/>
        <w:rPr>
          <w:rFonts w:cs="Arial"/>
          <w:sz w:val="20"/>
          <w:lang w:val="sk-SK"/>
        </w:rPr>
      </w:pPr>
    </w:p>
    <w:p w14:paraId="3C5300DC" w14:textId="77777777" w:rsidR="00A25607" w:rsidRPr="00226892" w:rsidRDefault="00A25607" w:rsidP="001C5911">
      <w:pPr>
        <w:pStyle w:val="Nadpis1"/>
      </w:pPr>
      <w:bookmarkStart w:id="64" w:name="_Toc516654778"/>
      <w:bookmarkStart w:id="65" w:name="_Toc325985768"/>
      <w:bookmarkStart w:id="66" w:name="_Toc387812471"/>
      <w:bookmarkStart w:id="67" w:name="_Toc27409970"/>
      <w:bookmarkEnd w:id="64"/>
      <w:r w:rsidRPr="00226892">
        <w:t>Prepočet cudzích mien</w:t>
      </w:r>
      <w:bookmarkEnd w:id="65"/>
      <w:bookmarkEnd w:id="66"/>
      <w:bookmarkEnd w:id="67"/>
    </w:p>
    <w:p w14:paraId="5754C2B3" w14:textId="6EE82899" w:rsidR="00A25607" w:rsidRPr="00226892" w:rsidRDefault="00A25607" w:rsidP="001C5911">
      <w:pPr>
        <w:suppressAutoHyphens/>
        <w:rPr>
          <w:rFonts w:ascii="Arial" w:hAnsi="Arial" w:cs="Arial"/>
          <w:bCs/>
          <w:i/>
          <w:lang w:val="sk-SK"/>
        </w:rPr>
      </w:pPr>
      <w:r w:rsidRPr="00226892">
        <w:rPr>
          <w:rFonts w:ascii="Arial" w:hAnsi="Arial" w:cs="Arial"/>
          <w:bCs/>
          <w:i/>
          <w:sz w:val="18"/>
          <w:szCs w:val="18"/>
          <w:lang w:val="sk-SK"/>
        </w:rPr>
        <w:t>(i)</w:t>
      </w:r>
      <w:r w:rsidR="009F27E9">
        <w:rPr>
          <w:rFonts w:ascii="Arial" w:hAnsi="Arial" w:cs="Arial"/>
          <w:bCs/>
          <w:i/>
          <w:sz w:val="18"/>
          <w:szCs w:val="18"/>
          <w:lang w:val="sk-SK"/>
        </w:rPr>
        <w:t xml:space="preserve"> </w:t>
      </w:r>
      <w:r w:rsidRPr="00226892">
        <w:rPr>
          <w:rFonts w:ascii="Arial" w:hAnsi="Arial" w:cs="Arial"/>
          <w:bCs/>
          <w:i/>
          <w:lang w:val="sk-SK"/>
        </w:rPr>
        <w:t>Funkčná mena a mena prezentácie účtovnej závierky</w:t>
      </w:r>
    </w:p>
    <w:p w14:paraId="69BE3181" w14:textId="77777777" w:rsidR="00A25607" w:rsidRPr="00226892" w:rsidRDefault="00A25607" w:rsidP="00235CDF">
      <w:pPr>
        <w:pStyle w:val="odst"/>
      </w:pPr>
    </w:p>
    <w:p w14:paraId="407E11F5" w14:textId="20B46605" w:rsidR="00A25607" w:rsidRPr="00226892" w:rsidRDefault="00A25607" w:rsidP="001C5911">
      <w:pPr>
        <w:pStyle w:val="ABC-paragrahinNotes"/>
        <w:suppressAutoHyphens/>
        <w:spacing w:after="0"/>
        <w:rPr>
          <w:rFonts w:cs="Arial"/>
          <w:color w:val="000000"/>
          <w:sz w:val="20"/>
          <w:lang w:val="sk-SK" w:eastAsia="sk-SK"/>
        </w:rPr>
      </w:pPr>
      <w:r w:rsidRPr="00226892">
        <w:rPr>
          <w:rFonts w:cs="Arial"/>
          <w:sz w:val="20"/>
          <w:lang w:val="sk-SK"/>
        </w:rPr>
        <w:t>Položky zahrnuté do konsolidovanej účtovnej závierky Skupiny sú ocenené v mene primárneho ekonomického prostredia, v</w:t>
      </w:r>
      <w:r w:rsidR="003D4FE3" w:rsidRPr="00226892">
        <w:rPr>
          <w:rFonts w:cs="Arial"/>
          <w:sz w:val="20"/>
          <w:lang w:val="sk-SK"/>
        </w:rPr>
        <w:t> </w:t>
      </w:r>
      <w:r w:rsidRPr="00226892">
        <w:rPr>
          <w:rFonts w:cs="Arial"/>
          <w:sz w:val="20"/>
          <w:lang w:val="sk-SK"/>
        </w:rPr>
        <w:t>ktoro</w:t>
      </w:r>
      <w:r w:rsidR="003D4FE3" w:rsidRPr="00226892">
        <w:rPr>
          <w:rFonts w:cs="Arial"/>
          <w:sz w:val="20"/>
          <w:lang w:val="sk-SK"/>
        </w:rPr>
        <w:t xml:space="preserve">m každá konsolidovaná </w:t>
      </w:r>
      <w:r w:rsidRPr="00226892">
        <w:rPr>
          <w:rFonts w:cs="Arial"/>
          <w:sz w:val="20"/>
          <w:lang w:val="sk-SK"/>
        </w:rPr>
        <w:t xml:space="preserve">účtovná jednotka pôsobí („funkčná mena“). Konsolidovaná účtovná závierka k 31. decembru </w:t>
      </w:r>
      <w:r w:rsidR="00FD3AC5" w:rsidRPr="00226892">
        <w:rPr>
          <w:rFonts w:cs="Arial"/>
          <w:sz w:val="20"/>
          <w:lang w:val="sk-SK"/>
        </w:rPr>
        <w:t>2018</w:t>
      </w:r>
      <w:r w:rsidR="007F6B6F" w:rsidRPr="00226892">
        <w:rPr>
          <w:rFonts w:cs="Arial"/>
          <w:sz w:val="20"/>
          <w:lang w:val="sk-SK"/>
        </w:rPr>
        <w:t xml:space="preserve"> </w:t>
      </w:r>
      <w:r w:rsidRPr="00226892">
        <w:rPr>
          <w:rFonts w:cs="Arial"/>
          <w:sz w:val="20"/>
          <w:lang w:val="sk-SK"/>
        </w:rPr>
        <w:t xml:space="preserve">je prezentovaná v eurách (EUR), ktoré sú funkčnou menou a menou vykazovania materskej spoločnosti. </w:t>
      </w:r>
    </w:p>
    <w:p w14:paraId="3F83B3A7" w14:textId="77777777" w:rsidR="00A25607" w:rsidRPr="009F27E9" w:rsidRDefault="00A25607" w:rsidP="001C5911">
      <w:pPr>
        <w:suppressAutoHyphens/>
        <w:autoSpaceDE w:val="0"/>
        <w:autoSpaceDN w:val="0"/>
        <w:adjustRightInd w:val="0"/>
        <w:rPr>
          <w:rFonts w:ascii="Arial" w:hAnsi="Arial" w:cs="Arial"/>
          <w:color w:val="000000"/>
          <w:lang w:val="sk-SK" w:eastAsia="sk-SK"/>
        </w:rPr>
      </w:pPr>
    </w:p>
    <w:p w14:paraId="3A8FEABB" w14:textId="5B85586D" w:rsidR="00A25607" w:rsidRPr="009F27E9" w:rsidRDefault="00A25607" w:rsidP="009F27E9">
      <w:pPr>
        <w:suppressAutoHyphens/>
        <w:rPr>
          <w:rFonts w:ascii="Arial" w:hAnsi="Arial" w:cs="Arial"/>
          <w:bCs/>
          <w:i/>
          <w:lang w:val="sk-SK"/>
        </w:rPr>
      </w:pPr>
      <w:r w:rsidRPr="009F27E9">
        <w:rPr>
          <w:rFonts w:ascii="Arial" w:hAnsi="Arial" w:cs="Arial"/>
          <w:bCs/>
          <w:i/>
          <w:lang w:val="sk-SK"/>
        </w:rPr>
        <w:t>(ii)</w:t>
      </w:r>
      <w:r w:rsidR="009F27E9">
        <w:rPr>
          <w:rFonts w:ascii="Arial" w:hAnsi="Arial" w:cs="Arial"/>
          <w:bCs/>
          <w:i/>
          <w:lang w:val="sk-SK"/>
        </w:rPr>
        <w:t xml:space="preserve"> </w:t>
      </w:r>
      <w:r w:rsidRPr="009F27E9">
        <w:rPr>
          <w:rFonts w:ascii="Arial" w:hAnsi="Arial" w:cs="Arial"/>
          <w:bCs/>
          <w:i/>
          <w:lang w:val="sk-SK"/>
        </w:rPr>
        <w:t>Transakcie a súvahové zostatky</w:t>
      </w:r>
    </w:p>
    <w:p w14:paraId="3E2CD256" w14:textId="77777777" w:rsidR="00A25607" w:rsidRPr="00226892" w:rsidRDefault="00A25607" w:rsidP="00235CDF">
      <w:pPr>
        <w:pStyle w:val="odst"/>
      </w:pPr>
    </w:p>
    <w:p w14:paraId="588E153E" w14:textId="4333AE5C" w:rsidR="00A25607" w:rsidRPr="00226892" w:rsidRDefault="00A25607" w:rsidP="001C5911">
      <w:pPr>
        <w:pStyle w:val="ABC-paragrahinNotes"/>
        <w:suppressAutoHyphens/>
        <w:rPr>
          <w:rFonts w:cs="Arial"/>
          <w:sz w:val="20"/>
          <w:lang w:val="sk-SK"/>
        </w:rPr>
      </w:pPr>
      <w:r w:rsidRPr="00226892">
        <w:rPr>
          <w:rFonts w:cs="Arial"/>
          <w:sz w:val="20"/>
          <w:lang w:val="sk-SK"/>
        </w:rPr>
        <w:t xml:space="preserve">Transakcie v cudzej mene sa prepočítavajú na funkčnú menu výmenným kurzom platným v deň transakcie. Kurzové zisky a straty z vyrovnania týchto transakcií a z prepočtu monetárneho majetku a záväzkov v cudzej mene výmenným kurzom ku koncu roka sa účtujú </w:t>
      </w:r>
      <w:r w:rsidR="003D4FE3" w:rsidRPr="00226892">
        <w:rPr>
          <w:rFonts w:cs="Arial"/>
          <w:sz w:val="20"/>
          <w:lang w:val="sk-SK"/>
        </w:rPr>
        <w:t>s vplyvom na hospodársky výsledok.</w:t>
      </w:r>
    </w:p>
    <w:p w14:paraId="5DD1C9DB" w14:textId="43B7132E" w:rsidR="00A25607" w:rsidRPr="00226892" w:rsidRDefault="00A25607" w:rsidP="001C5911">
      <w:pPr>
        <w:suppressAutoHyphens/>
        <w:jc w:val="both"/>
        <w:rPr>
          <w:rFonts w:ascii="Arial" w:hAnsi="Arial" w:cs="Arial"/>
          <w:bCs/>
          <w:i/>
          <w:lang w:val="sk-SK"/>
        </w:rPr>
      </w:pPr>
      <w:r w:rsidRPr="00226892">
        <w:rPr>
          <w:rFonts w:ascii="Arial" w:hAnsi="Arial" w:cs="Arial"/>
          <w:bCs/>
          <w:i/>
          <w:lang w:val="sk-SK"/>
        </w:rPr>
        <w:t>(iii)</w:t>
      </w:r>
      <w:r w:rsidR="009F27E9">
        <w:rPr>
          <w:rFonts w:ascii="Arial" w:hAnsi="Arial" w:cs="Arial"/>
          <w:bCs/>
          <w:i/>
          <w:lang w:val="sk-SK"/>
        </w:rPr>
        <w:t xml:space="preserve"> </w:t>
      </w:r>
      <w:r w:rsidRPr="00226892">
        <w:rPr>
          <w:rFonts w:ascii="Arial" w:hAnsi="Arial" w:cs="Arial"/>
          <w:bCs/>
          <w:i/>
          <w:lang w:val="sk-SK"/>
        </w:rPr>
        <w:t xml:space="preserve">Spoločnosti v Skupine </w:t>
      </w:r>
    </w:p>
    <w:p w14:paraId="5439CAB2" w14:textId="77777777" w:rsidR="00A25607" w:rsidRPr="00226892" w:rsidRDefault="00A25607" w:rsidP="001C5911">
      <w:pPr>
        <w:suppressAutoHyphens/>
        <w:jc w:val="both"/>
        <w:rPr>
          <w:rFonts w:ascii="Arial" w:hAnsi="Arial" w:cs="Arial"/>
          <w:bCs/>
          <w:lang w:val="sk-SK"/>
        </w:rPr>
      </w:pPr>
    </w:p>
    <w:p w14:paraId="4821FD55" w14:textId="1A855295" w:rsidR="00A25607" w:rsidRPr="00226892" w:rsidRDefault="00256ADC" w:rsidP="001C5911">
      <w:pPr>
        <w:pStyle w:val="ABC-paragrahinNotes"/>
        <w:suppressAutoHyphens/>
        <w:rPr>
          <w:rFonts w:cs="Arial"/>
          <w:sz w:val="20"/>
          <w:lang w:val="sk-SK"/>
        </w:rPr>
      </w:pPr>
      <w:r w:rsidRPr="00226892">
        <w:rPr>
          <w:rFonts w:cs="Arial"/>
          <w:sz w:val="20"/>
          <w:lang w:val="sk-SK"/>
        </w:rPr>
        <w:t>Konsolidovaný výkaz ziskov a strát a ostatného súhrnného zisku alebo strát</w:t>
      </w:r>
      <w:r w:rsidRPr="00226892" w:rsidDel="00256ADC">
        <w:rPr>
          <w:rFonts w:cs="Arial"/>
          <w:sz w:val="20"/>
          <w:lang w:val="sk-SK"/>
        </w:rPr>
        <w:t xml:space="preserve"> </w:t>
      </w:r>
      <w:r w:rsidR="00A25607" w:rsidRPr="00226892">
        <w:rPr>
          <w:rFonts w:cs="Arial"/>
          <w:sz w:val="20"/>
          <w:lang w:val="sk-SK"/>
        </w:rPr>
        <w:t>a</w:t>
      </w:r>
      <w:r w:rsidRPr="00226892">
        <w:rPr>
          <w:rFonts w:cs="Arial"/>
          <w:sz w:val="20"/>
          <w:lang w:val="sk-SK"/>
        </w:rPr>
        <w:t xml:space="preserve"> konsolidovaný</w:t>
      </w:r>
      <w:r w:rsidR="00A25607" w:rsidRPr="00226892">
        <w:rPr>
          <w:rFonts w:cs="Arial"/>
          <w:sz w:val="20"/>
          <w:lang w:val="sk-SK"/>
        </w:rPr>
        <w:t xml:space="preserve"> výkaz o finančnej situácii všetkých spoločností v Skupine (z ktorých žiadna nemá funkčnú menu </w:t>
      </w:r>
      <w:proofErr w:type="spellStart"/>
      <w:r w:rsidR="00A25607" w:rsidRPr="00226892">
        <w:rPr>
          <w:rFonts w:cs="Arial"/>
          <w:sz w:val="20"/>
          <w:lang w:val="sk-SK"/>
        </w:rPr>
        <w:t>hyperinflačnej</w:t>
      </w:r>
      <w:proofErr w:type="spellEnd"/>
      <w:r w:rsidR="00A25607" w:rsidRPr="00226892">
        <w:rPr>
          <w:rFonts w:cs="Arial"/>
          <w:sz w:val="20"/>
          <w:lang w:val="sk-SK"/>
        </w:rPr>
        <w:t xml:space="preserve"> ekonomiky), ktorých funkčná mena nie je identická s menou, v ktorej je prezentovaná táto účtovná závierka, sú prepočítané nasledovne:</w:t>
      </w:r>
    </w:p>
    <w:p w14:paraId="5B008A95" w14:textId="6068A51D" w:rsidR="00A25607" w:rsidRPr="00226892" w:rsidRDefault="00A25607" w:rsidP="001C5911">
      <w:pPr>
        <w:pStyle w:val="a-Right-Col-Reg"/>
        <w:suppressAutoHyphens/>
        <w:spacing w:after="0" w:line="240" w:lineRule="auto"/>
        <w:ind w:left="374" w:hanging="360"/>
        <w:jc w:val="both"/>
        <w:rPr>
          <w:rFonts w:cs="Arial"/>
          <w:sz w:val="20"/>
          <w:szCs w:val="20"/>
          <w:lang w:val="sk-SK"/>
        </w:rPr>
      </w:pPr>
      <w:r w:rsidRPr="00226892">
        <w:rPr>
          <w:rFonts w:cs="Arial"/>
          <w:spacing w:val="-18"/>
          <w:sz w:val="20"/>
          <w:szCs w:val="20"/>
          <w:lang w:val="sk-SK"/>
        </w:rPr>
        <w:t xml:space="preserve">a)   </w:t>
      </w:r>
      <w:r w:rsidRPr="00226892">
        <w:rPr>
          <w:rFonts w:cs="Arial"/>
          <w:spacing w:val="-18"/>
          <w:sz w:val="20"/>
          <w:szCs w:val="20"/>
          <w:lang w:val="sk-SK"/>
        </w:rPr>
        <w:tab/>
      </w:r>
      <w:r w:rsidRPr="00226892">
        <w:rPr>
          <w:rFonts w:cs="Arial"/>
          <w:spacing w:val="-2"/>
          <w:sz w:val="20"/>
          <w:szCs w:val="20"/>
          <w:lang w:val="sk-SK"/>
        </w:rPr>
        <w:t xml:space="preserve">aktíva a pasíva sú prepočítané kurzom ku dňu, ku ktorému sa zostavuje </w:t>
      </w:r>
      <w:r w:rsidR="00BF13D5" w:rsidRPr="00226892">
        <w:rPr>
          <w:rFonts w:cs="Arial"/>
          <w:spacing w:val="-2"/>
          <w:sz w:val="20"/>
          <w:szCs w:val="20"/>
          <w:lang w:val="sk-SK"/>
        </w:rPr>
        <w:t>účtovná závierka</w:t>
      </w:r>
      <w:r w:rsidRPr="00226892">
        <w:rPr>
          <w:rFonts w:cs="Arial"/>
          <w:sz w:val="20"/>
          <w:szCs w:val="20"/>
          <w:lang w:val="sk-SK"/>
        </w:rPr>
        <w:t>;</w:t>
      </w:r>
    </w:p>
    <w:p w14:paraId="3ED154C4" w14:textId="30B4E8C6" w:rsidR="00A25607" w:rsidRPr="00226892" w:rsidRDefault="00A25607" w:rsidP="001C5911">
      <w:pPr>
        <w:pStyle w:val="a-Right-Col-Reg"/>
        <w:suppressAutoHyphens/>
        <w:spacing w:after="0" w:line="240" w:lineRule="auto"/>
        <w:ind w:left="374" w:hanging="360"/>
        <w:jc w:val="both"/>
        <w:rPr>
          <w:rFonts w:cs="Arial"/>
          <w:sz w:val="20"/>
          <w:szCs w:val="20"/>
          <w:lang w:val="sk-SK"/>
        </w:rPr>
      </w:pPr>
      <w:r w:rsidRPr="00226892">
        <w:rPr>
          <w:rFonts w:cs="Arial"/>
          <w:spacing w:val="-1"/>
          <w:sz w:val="20"/>
          <w:szCs w:val="20"/>
          <w:lang w:val="sk-SK"/>
        </w:rPr>
        <w:t xml:space="preserve">b) </w:t>
      </w:r>
      <w:r w:rsidRPr="00226892">
        <w:rPr>
          <w:rFonts w:cs="Arial"/>
          <w:spacing w:val="-1"/>
          <w:sz w:val="20"/>
          <w:szCs w:val="20"/>
          <w:lang w:val="sk-SK"/>
        </w:rPr>
        <w:tab/>
        <w:t xml:space="preserve">výnosy a náklady </w:t>
      </w:r>
      <w:r w:rsidR="00375087" w:rsidRPr="00226892">
        <w:rPr>
          <w:rFonts w:cs="Arial"/>
          <w:spacing w:val="-1"/>
          <w:sz w:val="20"/>
          <w:szCs w:val="20"/>
          <w:lang w:val="sk-SK"/>
        </w:rPr>
        <w:t xml:space="preserve">sú </w:t>
      </w:r>
      <w:r w:rsidRPr="00226892">
        <w:rPr>
          <w:rFonts w:cs="Arial"/>
          <w:spacing w:val="-1"/>
          <w:sz w:val="20"/>
          <w:szCs w:val="20"/>
          <w:lang w:val="sk-SK"/>
        </w:rPr>
        <w:t>prepočítané priemerným výmenným kurzom za dané obdobie (ak však tento priemer nie je dostatočnou aproximáciou kumulatívneho efektu kurzov platných v deň jednotlivých transakcií, vtedy sú prepočítané kurzami ku dňu jednotlivých transakcií</w:t>
      </w:r>
      <w:r w:rsidRPr="00226892">
        <w:rPr>
          <w:rFonts w:cs="Arial"/>
          <w:sz w:val="20"/>
          <w:szCs w:val="20"/>
          <w:lang w:val="sk-SK"/>
        </w:rPr>
        <w:t xml:space="preserve">); a </w:t>
      </w:r>
    </w:p>
    <w:p w14:paraId="7FADA67C" w14:textId="3649052C" w:rsidR="00A25607" w:rsidRPr="00226892" w:rsidRDefault="00A25607" w:rsidP="001C5911">
      <w:pPr>
        <w:pStyle w:val="a-Right-Col-Reg"/>
        <w:suppressAutoHyphens/>
        <w:spacing w:after="0" w:line="240" w:lineRule="auto"/>
        <w:ind w:left="374" w:hanging="360"/>
        <w:jc w:val="both"/>
        <w:rPr>
          <w:rFonts w:cs="Arial"/>
          <w:spacing w:val="-1"/>
          <w:sz w:val="20"/>
          <w:szCs w:val="20"/>
          <w:lang w:val="sk-SK"/>
        </w:rPr>
      </w:pPr>
      <w:r w:rsidRPr="00226892">
        <w:rPr>
          <w:rFonts w:cs="Arial"/>
          <w:spacing w:val="-1"/>
          <w:sz w:val="20"/>
          <w:szCs w:val="20"/>
          <w:lang w:val="sk-SK"/>
        </w:rPr>
        <w:t xml:space="preserve">c) </w:t>
      </w:r>
      <w:r w:rsidRPr="00226892">
        <w:rPr>
          <w:rFonts w:cs="Arial"/>
          <w:spacing w:val="-1"/>
          <w:sz w:val="20"/>
          <w:szCs w:val="20"/>
          <w:lang w:val="sk-SK"/>
        </w:rPr>
        <w:tab/>
        <w:t xml:space="preserve">všetky vyplývajúce kurzové rozdiely sú vykázané ako </w:t>
      </w:r>
      <w:r w:rsidR="00690FBB" w:rsidRPr="00226892">
        <w:rPr>
          <w:rFonts w:cs="Arial"/>
          <w:spacing w:val="-1"/>
          <w:sz w:val="20"/>
          <w:szCs w:val="20"/>
          <w:lang w:val="sk-SK"/>
        </w:rPr>
        <w:t>Ostatný súhrnný</w:t>
      </w:r>
      <w:r w:rsidRPr="00226892">
        <w:rPr>
          <w:rFonts w:cs="Arial"/>
          <w:spacing w:val="-1"/>
          <w:sz w:val="20"/>
          <w:szCs w:val="20"/>
          <w:lang w:val="sk-SK"/>
        </w:rPr>
        <w:t xml:space="preserve"> zisk/strata.</w:t>
      </w:r>
    </w:p>
    <w:p w14:paraId="43D8E798" w14:textId="77777777" w:rsidR="00A25607" w:rsidRPr="00226892" w:rsidRDefault="00A25607" w:rsidP="001C5911">
      <w:pPr>
        <w:suppressAutoHyphens/>
        <w:ind w:left="374"/>
        <w:jc w:val="both"/>
        <w:rPr>
          <w:rFonts w:ascii="Arial" w:hAnsi="Arial" w:cs="Arial"/>
          <w:lang w:val="sk-SK"/>
        </w:rPr>
      </w:pPr>
    </w:p>
    <w:p w14:paraId="16444181" w14:textId="5B2CB865" w:rsidR="00A25607" w:rsidRPr="00226892" w:rsidRDefault="00A25607" w:rsidP="001C5911">
      <w:pPr>
        <w:pStyle w:val="Obyajntext"/>
        <w:suppressAutoHyphens/>
        <w:ind w:right="-9"/>
        <w:jc w:val="both"/>
        <w:rPr>
          <w:rFonts w:ascii="Arial" w:hAnsi="Arial" w:cs="Arial"/>
          <w:noProof/>
        </w:rPr>
      </w:pPr>
      <w:r w:rsidRPr="00226892">
        <w:rPr>
          <w:rFonts w:ascii="Arial" w:hAnsi="Arial" w:cs="Arial"/>
          <w:noProof/>
        </w:rPr>
        <w:t xml:space="preserve">Vplyv zmeny kurzov cudzích mien na reálnu hodnotu </w:t>
      </w:r>
      <w:r w:rsidR="006035F0" w:rsidRPr="00226892">
        <w:rPr>
          <w:rFonts w:ascii="Arial" w:hAnsi="Arial" w:cs="Arial"/>
          <w:noProof/>
        </w:rPr>
        <w:t>nemonetárnych</w:t>
      </w:r>
      <w:r w:rsidRPr="00226892">
        <w:rPr>
          <w:rFonts w:ascii="Arial" w:hAnsi="Arial" w:cs="Arial"/>
          <w:noProof/>
        </w:rPr>
        <w:t xml:space="preserve"> finančných aktív a pasív je vykázaný ako časť zisku alebo straty z precenenia na reálnu hodnotu. Vplyv zmeny kurzov na reálnu hodnotu </w:t>
      </w:r>
      <w:r w:rsidR="00981AF1" w:rsidRPr="00226892">
        <w:rPr>
          <w:rFonts w:ascii="Arial" w:hAnsi="Arial" w:cs="Arial"/>
          <w:noProof/>
        </w:rPr>
        <w:t xml:space="preserve">nemonetárnych </w:t>
      </w:r>
      <w:r w:rsidRPr="00226892">
        <w:rPr>
          <w:rFonts w:ascii="Arial" w:hAnsi="Arial" w:cs="Arial"/>
          <w:noProof/>
        </w:rPr>
        <w:t>finančných aktív a pasív klasifikovaných ako finančné nástroje</w:t>
      </w:r>
      <w:r w:rsidR="00115BCC" w:rsidRPr="00226892">
        <w:rPr>
          <w:rFonts w:ascii="Arial" w:hAnsi="Arial" w:cs="Arial"/>
          <w:noProof/>
        </w:rPr>
        <w:t xml:space="preserve"> </w:t>
      </w:r>
      <w:r w:rsidRPr="00226892">
        <w:rPr>
          <w:rFonts w:ascii="Arial" w:hAnsi="Arial" w:cs="Arial"/>
          <w:noProof/>
        </w:rPr>
        <w:t>oceneňovan</w:t>
      </w:r>
      <w:r w:rsidR="00115BCC" w:rsidRPr="00226892">
        <w:rPr>
          <w:rFonts w:ascii="Arial" w:hAnsi="Arial" w:cs="Arial"/>
          <w:noProof/>
        </w:rPr>
        <w:t>é</w:t>
      </w:r>
      <w:r w:rsidRPr="00226892">
        <w:rPr>
          <w:rFonts w:ascii="Arial" w:hAnsi="Arial" w:cs="Arial"/>
          <w:noProof/>
        </w:rPr>
        <w:t xml:space="preserve"> v reálnej hodnote</w:t>
      </w:r>
      <w:r w:rsidR="006035F0" w:rsidRPr="00226892">
        <w:rPr>
          <w:rFonts w:ascii="Arial" w:hAnsi="Arial" w:cs="Arial"/>
          <w:noProof/>
        </w:rPr>
        <w:t xml:space="preserve"> </w:t>
      </w:r>
      <w:r w:rsidR="00115BCC" w:rsidRPr="00226892">
        <w:rPr>
          <w:rFonts w:ascii="Arial" w:hAnsi="Arial" w:cs="Arial"/>
          <w:noProof/>
        </w:rPr>
        <w:t xml:space="preserve">je vykázaný </w:t>
      </w:r>
      <w:r w:rsidR="006035F0" w:rsidRPr="00226892">
        <w:rPr>
          <w:rFonts w:ascii="Arial" w:hAnsi="Arial" w:cs="Arial"/>
          <w:noProof/>
        </w:rPr>
        <w:t>cez hospodársky výsledok.</w:t>
      </w:r>
    </w:p>
    <w:p w14:paraId="43CFA785" w14:textId="28E8B3F3" w:rsidR="009C7B35" w:rsidRPr="00226892" w:rsidRDefault="009C7B35">
      <w:pPr>
        <w:rPr>
          <w:rFonts w:ascii="Arial" w:hAnsi="Arial" w:cs="Arial"/>
          <w:b/>
          <w:snapToGrid w:val="0"/>
          <w:lang w:val="sk-SK" w:eastAsia="ru-RU"/>
        </w:rPr>
      </w:pPr>
      <w:bookmarkStart w:id="68" w:name="_Toc326330661"/>
      <w:bookmarkStart w:id="69" w:name="_Toc327260882"/>
      <w:bookmarkStart w:id="70" w:name="_Toc327263357"/>
      <w:bookmarkStart w:id="71" w:name="_Toc325985769"/>
      <w:bookmarkStart w:id="72" w:name="_Toc387812472"/>
      <w:bookmarkEnd w:id="68"/>
      <w:bookmarkEnd w:id="69"/>
      <w:bookmarkEnd w:id="70"/>
    </w:p>
    <w:p w14:paraId="357D7F5A" w14:textId="7F5D92A4" w:rsidR="00A25607" w:rsidRPr="00226892" w:rsidRDefault="00A25607" w:rsidP="001C5911">
      <w:pPr>
        <w:pStyle w:val="Nadpis1"/>
      </w:pPr>
      <w:bookmarkStart w:id="73" w:name="_Toc27409971"/>
      <w:r w:rsidRPr="00226892">
        <w:t>Nehmotný majetok</w:t>
      </w:r>
      <w:bookmarkEnd w:id="71"/>
      <w:bookmarkEnd w:id="72"/>
      <w:bookmarkEnd w:id="73"/>
    </w:p>
    <w:p w14:paraId="678A792F" w14:textId="2C957887" w:rsidR="00A25607" w:rsidRPr="00226892" w:rsidRDefault="00A25607" w:rsidP="001C5911">
      <w:pPr>
        <w:pStyle w:val="ABC-paragrahinNotes"/>
        <w:suppressAutoHyphens/>
        <w:spacing w:after="120"/>
        <w:rPr>
          <w:rFonts w:cs="Arial"/>
          <w:bCs/>
          <w:i/>
          <w:iCs/>
          <w:sz w:val="20"/>
          <w:lang w:val="sk-SK"/>
        </w:rPr>
      </w:pPr>
      <w:r w:rsidRPr="00226892">
        <w:rPr>
          <w:rFonts w:cs="Arial"/>
          <w:bCs/>
          <w:i/>
          <w:iCs/>
          <w:sz w:val="20"/>
          <w:lang w:val="sk-SK"/>
        </w:rPr>
        <w:t>(i)</w:t>
      </w:r>
      <w:r w:rsidR="000D4C29">
        <w:rPr>
          <w:rFonts w:cs="Arial"/>
          <w:bCs/>
          <w:i/>
          <w:iCs/>
          <w:sz w:val="20"/>
          <w:lang w:val="sk-SK"/>
        </w:rPr>
        <w:t xml:space="preserve"> </w:t>
      </w:r>
      <w:r w:rsidRPr="00226892">
        <w:rPr>
          <w:rFonts w:cs="Arial"/>
          <w:bCs/>
          <w:i/>
          <w:iCs/>
          <w:sz w:val="20"/>
          <w:lang w:val="sk-SK"/>
        </w:rPr>
        <w:t>Softvér a oceniteľné práva</w:t>
      </w:r>
    </w:p>
    <w:p w14:paraId="4657E9A6" w14:textId="34CE6C31" w:rsidR="00A25607" w:rsidRPr="00226892" w:rsidRDefault="00B27DE7" w:rsidP="001C5911">
      <w:pPr>
        <w:pStyle w:val="ABC-paragrahinNotes"/>
        <w:suppressAutoHyphens/>
        <w:spacing w:after="120"/>
        <w:rPr>
          <w:rFonts w:cs="Arial"/>
          <w:sz w:val="20"/>
          <w:lang w:val="sk-SK"/>
        </w:rPr>
      </w:pPr>
      <w:r w:rsidRPr="00226892">
        <w:rPr>
          <w:rFonts w:cs="Arial"/>
          <w:sz w:val="20"/>
          <w:lang w:val="sk-SK"/>
        </w:rPr>
        <w:t>N</w:t>
      </w:r>
      <w:r w:rsidR="00A25607" w:rsidRPr="00226892">
        <w:rPr>
          <w:rFonts w:cs="Arial"/>
          <w:sz w:val="20"/>
          <w:lang w:val="sk-SK"/>
        </w:rPr>
        <w:t xml:space="preserve">ehmotný majetok Skupiny má </w:t>
      </w:r>
      <w:r w:rsidR="006035F0" w:rsidRPr="00226892">
        <w:rPr>
          <w:rFonts w:cs="Arial"/>
          <w:sz w:val="20"/>
          <w:lang w:val="sk-SK"/>
        </w:rPr>
        <w:t>konečnú</w:t>
      </w:r>
      <w:r w:rsidR="00A25607" w:rsidRPr="00226892">
        <w:rPr>
          <w:rFonts w:cs="Arial"/>
          <w:sz w:val="20"/>
          <w:lang w:val="sk-SK"/>
        </w:rPr>
        <w:t xml:space="preserve"> životnosť a obsahuje najmä softvér a oceniteľné práva. </w:t>
      </w:r>
    </w:p>
    <w:p w14:paraId="35AB5C86" w14:textId="77777777" w:rsidR="00A25607" w:rsidRPr="00226892" w:rsidRDefault="00A25607" w:rsidP="001C5911">
      <w:pPr>
        <w:pStyle w:val="ABC-paragrahinNotes"/>
        <w:suppressAutoHyphens/>
        <w:ind w:left="1"/>
        <w:rPr>
          <w:rFonts w:cs="Arial"/>
          <w:sz w:val="20"/>
          <w:lang w:val="sk-SK"/>
        </w:rPr>
      </w:pPr>
      <w:r w:rsidRPr="00226892">
        <w:rPr>
          <w:rFonts w:cs="Arial"/>
          <w:sz w:val="20"/>
          <w:lang w:val="sk-SK"/>
        </w:rPr>
        <w:t>Obstarávané softvérové licencie a oceniteľné práva sa aktivujú v hodnote nákladov vynaložených na ich obstaranie a uvedenie do používania.  Softvér a oceniteľné práva sú oceňované obstarávacou cenou zníženou o oprávky.</w:t>
      </w:r>
    </w:p>
    <w:p w14:paraId="209B17C1" w14:textId="77777777" w:rsidR="00A25607" w:rsidRPr="00226892" w:rsidRDefault="00A25607" w:rsidP="001C5911">
      <w:pPr>
        <w:pStyle w:val="ABC-paragrahinNotes"/>
        <w:suppressAutoHyphens/>
        <w:ind w:left="1"/>
        <w:rPr>
          <w:rFonts w:cs="Arial"/>
          <w:sz w:val="20"/>
          <w:lang w:val="sk-SK"/>
        </w:rPr>
      </w:pPr>
      <w:r w:rsidRPr="00226892">
        <w:rPr>
          <w:rFonts w:cs="Arial"/>
          <w:sz w:val="20"/>
          <w:lang w:val="sk-SK"/>
        </w:rPr>
        <w:lastRenderedPageBreak/>
        <w:t>Nehmotný majetok je amortizovaný rovnomerne počas predpokladanej doby životnosti:</w:t>
      </w:r>
    </w:p>
    <w:tbl>
      <w:tblPr>
        <w:tblW w:w="5000" w:type="pct"/>
        <w:tblCellMar>
          <w:left w:w="107" w:type="dxa"/>
          <w:right w:w="107" w:type="dxa"/>
        </w:tblCellMar>
        <w:tblLook w:val="0000" w:firstRow="0" w:lastRow="0" w:firstColumn="0" w:lastColumn="0" w:noHBand="0" w:noVBand="0"/>
      </w:tblPr>
      <w:tblGrid>
        <w:gridCol w:w="6331"/>
        <w:gridCol w:w="3308"/>
      </w:tblGrid>
      <w:tr w:rsidR="00A25607" w:rsidRPr="00226892" w14:paraId="110D1089" w14:textId="77777777" w:rsidTr="001C5911">
        <w:trPr>
          <w:trHeight w:val="227"/>
        </w:trPr>
        <w:tc>
          <w:tcPr>
            <w:tcW w:w="3284" w:type="pct"/>
            <w:tcBorders>
              <w:bottom w:val="single" w:sz="4" w:space="0" w:color="auto"/>
            </w:tcBorders>
            <w:vAlign w:val="bottom"/>
          </w:tcPr>
          <w:p w14:paraId="78EB0839" w14:textId="77777777" w:rsidR="00A25607" w:rsidRPr="00226892" w:rsidRDefault="00A25607">
            <w:pPr>
              <w:suppressAutoHyphens/>
              <w:ind w:left="-107"/>
              <w:rPr>
                <w:rFonts w:ascii="Arial" w:hAnsi="Arial" w:cs="Arial"/>
                <w:sz w:val="18"/>
                <w:szCs w:val="18"/>
                <w:lang w:val="sk-SK"/>
              </w:rPr>
            </w:pPr>
          </w:p>
        </w:tc>
        <w:tc>
          <w:tcPr>
            <w:tcW w:w="1716" w:type="pct"/>
            <w:tcBorders>
              <w:bottom w:val="single" w:sz="4" w:space="0" w:color="auto"/>
            </w:tcBorders>
            <w:vAlign w:val="bottom"/>
          </w:tcPr>
          <w:p w14:paraId="6BA76CFD" w14:textId="77777777" w:rsidR="00A25607" w:rsidRPr="00226892" w:rsidRDefault="00A25607" w:rsidP="000D75E7">
            <w:pPr>
              <w:suppressAutoHyphens/>
              <w:jc w:val="center"/>
              <w:rPr>
                <w:rFonts w:ascii="Arial" w:hAnsi="Arial" w:cs="Arial"/>
                <w:b/>
                <w:sz w:val="18"/>
                <w:szCs w:val="18"/>
                <w:lang w:val="sk-SK"/>
              </w:rPr>
            </w:pPr>
            <w:r w:rsidRPr="00226892">
              <w:rPr>
                <w:rFonts w:ascii="Arial" w:hAnsi="Arial" w:cs="Arial"/>
                <w:b/>
                <w:sz w:val="18"/>
                <w:szCs w:val="18"/>
                <w:lang w:val="sk-SK"/>
              </w:rPr>
              <w:t>Doba životnosti v rokoch</w:t>
            </w:r>
          </w:p>
        </w:tc>
      </w:tr>
      <w:tr w:rsidR="00A25607" w:rsidRPr="00226892" w14:paraId="3F326793" w14:textId="77777777" w:rsidTr="001C5911">
        <w:trPr>
          <w:trHeight w:val="227"/>
        </w:trPr>
        <w:tc>
          <w:tcPr>
            <w:tcW w:w="3284" w:type="pct"/>
            <w:tcBorders>
              <w:top w:val="single" w:sz="4" w:space="0" w:color="auto"/>
            </w:tcBorders>
            <w:vAlign w:val="bottom"/>
          </w:tcPr>
          <w:p w14:paraId="6EE01D4E" w14:textId="77777777" w:rsidR="00A25607" w:rsidRPr="00226892" w:rsidRDefault="00A25607">
            <w:pPr>
              <w:suppressAutoHyphens/>
              <w:ind w:left="-107"/>
              <w:rPr>
                <w:rFonts w:ascii="Arial" w:hAnsi="Arial" w:cs="Arial"/>
                <w:sz w:val="18"/>
                <w:szCs w:val="18"/>
                <w:lang w:val="sk-SK"/>
              </w:rPr>
            </w:pPr>
            <w:r w:rsidRPr="00226892">
              <w:rPr>
                <w:rFonts w:ascii="Arial" w:hAnsi="Arial" w:cs="Arial"/>
                <w:sz w:val="18"/>
                <w:szCs w:val="18"/>
                <w:lang w:val="sk-SK"/>
              </w:rPr>
              <w:t>Softvér</w:t>
            </w:r>
          </w:p>
        </w:tc>
        <w:tc>
          <w:tcPr>
            <w:tcW w:w="1716" w:type="pct"/>
            <w:tcBorders>
              <w:top w:val="single" w:sz="4" w:space="0" w:color="auto"/>
            </w:tcBorders>
            <w:vAlign w:val="bottom"/>
          </w:tcPr>
          <w:p w14:paraId="26D11C2B" w14:textId="77777777" w:rsidR="00A25607" w:rsidRPr="00226892" w:rsidRDefault="00A25607">
            <w:pPr>
              <w:suppressAutoHyphens/>
              <w:jc w:val="right"/>
              <w:rPr>
                <w:rFonts w:ascii="Arial" w:hAnsi="Arial" w:cs="Arial"/>
                <w:sz w:val="18"/>
                <w:szCs w:val="18"/>
                <w:lang w:val="sk-SK"/>
              </w:rPr>
            </w:pPr>
            <w:r w:rsidRPr="00226892">
              <w:rPr>
                <w:rFonts w:ascii="Arial" w:hAnsi="Arial" w:cs="Arial"/>
                <w:sz w:val="18"/>
                <w:szCs w:val="18"/>
                <w:lang w:val="sk-SK"/>
              </w:rPr>
              <w:t>4</w:t>
            </w:r>
          </w:p>
        </w:tc>
      </w:tr>
      <w:tr w:rsidR="00A25607" w:rsidRPr="00226892" w14:paraId="428D55EB" w14:textId="77777777" w:rsidTr="001C5911">
        <w:trPr>
          <w:trHeight w:val="227"/>
        </w:trPr>
        <w:tc>
          <w:tcPr>
            <w:tcW w:w="3284" w:type="pct"/>
            <w:vAlign w:val="bottom"/>
          </w:tcPr>
          <w:p w14:paraId="0BBC56F6" w14:textId="77777777" w:rsidR="00A25607" w:rsidRPr="00226892" w:rsidRDefault="00A25607">
            <w:pPr>
              <w:suppressAutoHyphens/>
              <w:ind w:left="-107"/>
              <w:rPr>
                <w:rFonts w:ascii="Arial" w:hAnsi="Arial" w:cs="Arial"/>
                <w:sz w:val="18"/>
                <w:szCs w:val="18"/>
                <w:lang w:val="sk-SK"/>
              </w:rPr>
            </w:pPr>
            <w:r w:rsidRPr="00226892">
              <w:rPr>
                <w:rFonts w:ascii="Arial" w:hAnsi="Arial" w:cs="Arial"/>
                <w:sz w:val="18"/>
                <w:szCs w:val="18"/>
                <w:lang w:val="sk-SK"/>
              </w:rPr>
              <w:t>Oceniteľné práva</w:t>
            </w:r>
          </w:p>
        </w:tc>
        <w:tc>
          <w:tcPr>
            <w:tcW w:w="1716" w:type="pct"/>
            <w:vAlign w:val="bottom"/>
          </w:tcPr>
          <w:p w14:paraId="5360C5B3" w14:textId="4A5B4F0A" w:rsidR="00A25607" w:rsidRPr="00226892" w:rsidRDefault="00A25607" w:rsidP="005443B2">
            <w:pPr>
              <w:suppressAutoHyphens/>
              <w:jc w:val="right"/>
              <w:rPr>
                <w:rFonts w:ascii="Arial" w:hAnsi="Arial" w:cs="Arial"/>
                <w:sz w:val="18"/>
                <w:szCs w:val="18"/>
                <w:lang w:val="sk-SK"/>
              </w:rPr>
            </w:pPr>
            <w:r w:rsidRPr="00226892">
              <w:rPr>
                <w:rFonts w:ascii="Arial" w:hAnsi="Arial" w:cs="Arial"/>
                <w:sz w:val="18"/>
                <w:szCs w:val="18"/>
                <w:lang w:val="sk-SK"/>
              </w:rPr>
              <w:t>4</w:t>
            </w:r>
            <w:r w:rsidR="00B232ED" w:rsidRPr="00226892">
              <w:rPr>
                <w:rFonts w:ascii="Arial" w:hAnsi="Arial" w:cs="Arial"/>
                <w:sz w:val="18"/>
                <w:szCs w:val="18"/>
                <w:lang w:val="sk-SK"/>
              </w:rPr>
              <w:t xml:space="preserve"> </w:t>
            </w:r>
          </w:p>
        </w:tc>
      </w:tr>
    </w:tbl>
    <w:p w14:paraId="4325F5CF" w14:textId="77777777" w:rsidR="00A25607" w:rsidRPr="00226892" w:rsidRDefault="00A25607" w:rsidP="00A25607">
      <w:pPr>
        <w:pStyle w:val="ABC-paragrahinNotes"/>
        <w:suppressAutoHyphens/>
        <w:spacing w:after="0"/>
        <w:rPr>
          <w:rFonts w:cs="Arial"/>
          <w:sz w:val="20"/>
          <w:lang w:val="sk-SK"/>
        </w:rPr>
      </w:pPr>
    </w:p>
    <w:p w14:paraId="03EF7207" w14:textId="18139B37" w:rsidR="00A25607" w:rsidRPr="00226892" w:rsidRDefault="00A25607" w:rsidP="001C5911">
      <w:pPr>
        <w:pStyle w:val="ABC-paragrahinNotes"/>
        <w:suppressAutoHyphens/>
        <w:spacing w:after="0"/>
        <w:rPr>
          <w:rFonts w:cs="Arial"/>
          <w:sz w:val="20"/>
          <w:lang w:val="sk-SK"/>
        </w:rPr>
      </w:pPr>
      <w:r w:rsidRPr="00226892">
        <w:rPr>
          <w:rFonts w:cs="Arial"/>
          <w:sz w:val="20"/>
          <w:lang w:val="sk-SK"/>
        </w:rPr>
        <w:t xml:space="preserve">Ak dôjde k poklesu hodnoty, účtovná hodnota softvéru a oceniteľné práva sa znížia na úžitkovú hodnotu alebo reálnu </w:t>
      </w:r>
      <w:proofErr w:type="spellStart"/>
      <w:r w:rsidRPr="00226892">
        <w:rPr>
          <w:rFonts w:cs="Arial"/>
          <w:sz w:val="20"/>
          <w:lang w:val="sk-SK"/>
        </w:rPr>
        <w:t>hodotu</w:t>
      </w:r>
      <w:proofErr w:type="spellEnd"/>
      <w:r w:rsidRPr="00226892">
        <w:rPr>
          <w:rFonts w:cs="Arial"/>
          <w:sz w:val="20"/>
          <w:lang w:val="sk-SK"/>
        </w:rPr>
        <w:t xml:space="preserve"> zníženú o náklady na predaj podľa toho, ktorá je vyššia.</w:t>
      </w:r>
    </w:p>
    <w:p w14:paraId="5D0BFB02" w14:textId="77777777" w:rsidR="009C7B35" w:rsidRPr="00226892" w:rsidRDefault="009C7B35" w:rsidP="001C5911">
      <w:pPr>
        <w:pStyle w:val="ABC-paragrahinNotes"/>
        <w:suppressAutoHyphens/>
        <w:spacing w:after="0"/>
        <w:rPr>
          <w:rFonts w:cs="Arial"/>
          <w:sz w:val="20"/>
          <w:lang w:val="sk-SK"/>
        </w:rPr>
      </w:pPr>
    </w:p>
    <w:p w14:paraId="13F63064" w14:textId="77777777" w:rsidR="00A25607" w:rsidRPr="00226892" w:rsidRDefault="00A25607" w:rsidP="001C5911">
      <w:pPr>
        <w:pStyle w:val="Nadpis1"/>
      </w:pPr>
      <w:bookmarkStart w:id="74" w:name="_Toc298394529"/>
      <w:bookmarkStart w:id="75" w:name="_Toc298395009"/>
      <w:bookmarkStart w:id="76" w:name="_Toc267905545"/>
      <w:bookmarkStart w:id="77" w:name="_Toc267905615"/>
      <w:bookmarkStart w:id="78" w:name="_Toc267905681"/>
      <w:bookmarkStart w:id="79" w:name="_Toc325985770"/>
      <w:bookmarkStart w:id="80" w:name="_Toc387812473"/>
      <w:bookmarkStart w:id="81" w:name="_Toc27409972"/>
      <w:bookmarkEnd w:id="74"/>
      <w:bookmarkEnd w:id="75"/>
      <w:bookmarkEnd w:id="76"/>
      <w:bookmarkEnd w:id="77"/>
      <w:bookmarkEnd w:id="78"/>
      <w:r w:rsidRPr="00226892">
        <w:t>Dlhodobý hmotný majetok</w:t>
      </w:r>
      <w:bookmarkEnd w:id="79"/>
      <w:bookmarkEnd w:id="80"/>
      <w:bookmarkEnd w:id="81"/>
    </w:p>
    <w:p w14:paraId="66AB287E" w14:textId="79A557FA" w:rsidR="005B7F67" w:rsidRPr="00226892" w:rsidRDefault="00A25607" w:rsidP="001C5911">
      <w:pPr>
        <w:pStyle w:val="ABC-paragrahinNotes"/>
        <w:suppressAutoHyphens/>
        <w:rPr>
          <w:rFonts w:cs="Arial"/>
          <w:sz w:val="20"/>
          <w:lang w:val="sk-SK"/>
        </w:rPr>
      </w:pPr>
      <w:r w:rsidRPr="00226892">
        <w:rPr>
          <w:rFonts w:cs="Arial"/>
          <w:sz w:val="20"/>
          <w:lang w:val="sk-SK"/>
        </w:rPr>
        <w:t xml:space="preserve">Dlhodobý hmotný majetok sa vykazuje v historickej cene zníženej o oprávky a prípadne o zníženie hodnoty majetku. Historické ceny zahŕňajú náklady, ktoré sa dajú priamo priradiť obstaraniu danej položky majetku. </w:t>
      </w:r>
    </w:p>
    <w:p w14:paraId="4F3D6481" w14:textId="62F8297B" w:rsidR="00A25607" w:rsidRPr="00226892" w:rsidRDefault="00A25607" w:rsidP="001C5911">
      <w:pPr>
        <w:pStyle w:val="ABC-paragrahinNotes"/>
        <w:suppressAutoHyphens/>
        <w:rPr>
          <w:rFonts w:cs="Arial"/>
          <w:sz w:val="20"/>
          <w:lang w:val="sk-SK"/>
        </w:rPr>
      </w:pPr>
      <w:r w:rsidRPr="00226892">
        <w:rPr>
          <w:rFonts w:cs="Arial"/>
          <w:sz w:val="20"/>
          <w:lang w:val="sk-SK"/>
        </w:rPr>
        <w:t>Výdavky vynaložené na obstaranie po zaradení majetku do užívania sú kapitalizované len v prípade, ak je pravdepodobné, že Skupine budú v súvislosti s danou položkou majetku plynúť dodatočné budúce ekonomické úžitky a tieto výdavky možno spoľahlivo oceniť. Ostatné náklady na opravy a údržbu sa účtujú ako náklad v účtovnom období, v ktorom boli príslušné práce vykonané. Náklady, vynaložené za účelom nahradenia väčšej časti alebo komponentov dlhodobého hmotného majetku sú aktivované a nahradená časť je vyradená.</w:t>
      </w:r>
    </w:p>
    <w:p w14:paraId="014596F0" w14:textId="0FD434F1" w:rsidR="009C7B35" w:rsidRPr="00226892" w:rsidRDefault="00A25607" w:rsidP="001C5911">
      <w:pPr>
        <w:pStyle w:val="ABC-paragrahinNotes"/>
        <w:suppressAutoHyphens/>
        <w:spacing w:after="0"/>
        <w:rPr>
          <w:rFonts w:cs="Arial"/>
          <w:sz w:val="20"/>
          <w:lang w:val="sk-SK"/>
        </w:rPr>
      </w:pPr>
      <w:r w:rsidRPr="00226892">
        <w:rPr>
          <w:rFonts w:cs="Arial"/>
          <w:sz w:val="20"/>
          <w:lang w:val="sk-SK"/>
        </w:rPr>
        <w:t xml:space="preserve">Pozemky a obstarávaný dlhodobý hmotný majetok sa neodpisujú. Odpisy ostatného dlhodobého hmotného majetku sa počítajú lineárne z rozdielu medzi jeho obstarávacou cenou a konečnou </w:t>
      </w:r>
      <w:r w:rsidR="006035F0" w:rsidRPr="00226892">
        <w:rPr>
          <w:rFonts w:cs="Arial"/>
          <w:sz w:val="20"/>
          <w:lang w:val="sk-SK"/>
        </w:rPr>
        <w:t>reziduálnou</w:t>
      </w:r>
      <w:r w:rsidRPr="00226892">
        <w:rPr>
          <w:rFonts w:cs="Arial"/>
          <w:sz w:val="20"/>
          <w:lang w:val="sk-SK"/>
        </w:rPr>
        <w:t xml:space="preserve"> hodnotou počas doby predpokladanej ekonomickej životnosti. </w:t>
      </w:r>
    </w:p>
    <w:p w14:paraId="5AFFB1A7" w14:textId="024C449A" w:rsidR="009C7B35" w:rsidRPr="00226892" w:rsidRDefault="009C7B35" w:rsidP="001C5911">
      <w:pPr>
        <w:rPr>
          <w:rFonts w:ascii="Arial" w:hAnsi="Arial" w:cs="Arial"/>
          <w:lang w:val="sk-SK"/>
        </w:rPr>
      </w:pPr>
    </w:p>
    <w:p w14:paraId="7D76BEAE" w14:textId="77777777" w:rsidR="00A25607" w:rsidRPr="00226892" w:rsidRDefault="00A25607" w:rsidP="001C5911">
      <w:pPr>
        <w:pStyle w:val="ABC-paragrahinNotes"/>
        <w:suppressAutoHyphens/>
        <w:spacing w:after="0"/>
        <w:rPr>
          <w:rFonts w:cs="Arial"/>
          <w:sz w:val="20"/>
          <w:lang w:val="sk-SK"/>
        </w:rPr>
      </w:pPr>
      <w:r w:rsidRPr="00226892">
        <w:rPr>
          <w:rFonts w:cs="Arial"/>
          <w:sz w:val="20"/>
          <w:lang w:val="sk-SK"/>
        </w:rPr>
        <w:t>Predpokladaná doba životnosti jednotlivých skupín majetku je nasledovná:</w:t>
      </w:r>
    </w:p>
    <w:p w14:paraId="4F7E0B53" w14:textId="77777777" w:rsidR="00A25607" w:rsidRPr="00226892" w:rsidRDefault="00A25607" w:rsidP="00A25607">
      <w:pPr>
        <w:pStyle w:val="ABC-paragrahinNotes"/>
        <w:suppressAutoHyphens/>
        <w:spacing w:after="0"/>
        <w:rPr>
          <w:rFonts w:cs="Arial"/>
          <w:sz w:val="20"/>
          <w:szCs w:val="18"/>
          <w:lang w:val="sk-SK"/>
        </w:rPr>
      </w:pPr>
    </w:p>
    <w:tbl>
      <w:tblPr>
        <w:tblW w:w="5000" w:type="pct"/>
        <w:tblCellMar>
          <w:left w:w="107" w:type="dxa"/>
          <w:right w:w="107" w:type="dxa"/>
        </w:tblCellMar>
        <w:tblLook w:val="0000" w:firstRow="0" w:lastRow="0" w:firstColumn="0" w:lastColumn="0" w:noHBand="0" w:noVBand="0"/>
      </w:tblPr>
      <w:tblGrid>
        <w:gridCol w:w="6341"/>
        <w:gridCol w:w="3298"/>
      </w:tblGrid>
      <w:tr w:rsidR="00A25607" w:rsidRPr="00226892" w14:paraId="54180E71" w14:textId="77777777" w:rsidTr="001C5911">
        <w:trPr>
          <w:trHeight w:val="227"/>
        </w:trPr>
        <w:tc>
          <w:tcPr>
            <w:tcW w:w="3289" w:type="pct"/>
            <w:tcBorders>
              <w:bottom w:val="single" w:sz="4" w:space="0" w:color="auto"/>
            </w:tcBorders>
          </w:tcPr>
          <w:p w14:paraId="31856192" w14:textId="77777777" w:rsidR="00A25607" w:rsidRPr="00226892" w:rsidRDefault="00A25607" w:rsidP="003140CA">
            <w:pPr>
              <w:suppressAutoHyphens/>
              <w:ind w:left="-107" w:firstLine="14"/>
              <w:rPr>
                <w:rFonts w:ascii="Arial" w:hAnsi="Arial" w:cs="Arial"/>
                <w:sz w:val="18"/>
                <w:szCs w:val="18"/>
                <w:lang w:val="sk-SK"/>
              </w:rPr>
            </w:pPr>
          </w:p>
        </w:tc>
        <w:tc>
          <w:tcPr>
            <w:tcW w:w="1711" w:type="pct"/>
            <w:tcBorders>
              <w:bottom w:val="single" w:sz="4" w:space="0" w:color="auto"/>
            </w:tcBorders>
            <w:vAlign w:val="bottom"/>
          </w:tcPr>
          <w:p w14:paraId="64FCDF86" w14:textId="77777777" w:rsidR="00A25607" w:rsidRPr="00226892" w:rsidRDefault="00A25607" w:rsidP="000D75E7">
            <w:pPr>
              <w:suppressAutoHyphens/>
              <w:jc w:val="center"/>
              <w:rPr>
                <w:rFonts w:ascii="Arial" w:hAnsi="Arial" w:cs="Arial"/>
                <w:b/>
                <w:sz w:val="18"/>
                <w:szCs w:val="18"/>
                <w:lang w:val="sk-SK"/>
              </w:rPr>
            </w:pPr>
            <w:r w:rsidRPr="00226892">
              <w:rPr>
                <w:rFonts w:ascii="Arial" w:hAnsi="Arial" w:cs="Arial"/>
                <w:b/>
                <w:sz w:val="18"/>
                <w:szCs w:val="18"/>
                <w:lang w:val="sk-SK"/>
              </w:rPr>
              <w:t>Doba životnosti v rokoch</w:t>
            </w:r>
          </w:p>
        </w:tc>
      </w:tr>
      <w:tr w:rsidR="00A25607" w:rsidRPr="00226892" w14:paraId="61CB49B9" w14:textId="77777777" w:rsidTr="001C5911">
        <w:trPr>
          <w:trHeight w:val="227"/>
        </w:trPr>
        <w:tc>
          <w:tcPr>
            <w:tcW w:w="3289" w:type="pct"/>
            <w:tcBorders>
              <w:top w:val="single" w:sz="4" w:space="0" w:color="auto"/>
            </w:tcBorders>
            <w:vAlign w:val="bottom"/>
          </w:tcPr>
          <w:p w14:paraId="53B1BBB6" w14:textId="77777777" w:rsidR="00A25607" w:rsidRPr="00226892" w:rsidRDefault="00A25607">
            <w:pPr>
              <w:suppressAutoHyphens/>
              <w:ind w:left="-107" w:firstLine="14"/>
              <w:rPr>
                <w:rFonts w:ascii="Arial" w:hAnsi="Arial" w:cs="Arial"/>
                <w:sz w:val="18"/>
                <w:szCs w:val="18"/>
                <w:lang w:val="sk-SK"/>
              </w:rPr>
            </w:pPr>
            <w:r w:rsidRPr="00226892">
              <w:rPr>
                <w:rFonts w:ascii="Arial" w:hAnsi="Arial" w:cs="Arial"/>
                <w:sz w:val="18"/>
                <w:szCs w:val="18"/>
                <w:lang w:val="sk-SK"/>
              </w:rPr>
              <w:t>Budovy, haly a stavby</w:t>
            </w:r>
          </w:p>
        </w:tc>
        <w:tc>
          <w:tcPr>
            <w:tcW w:w="1711" w:type="pct"/>
            <w:tcBorders>
              <w:top w:val="single" w:sz="4" w:space="0" w:color="auto"/>
            </w:tcBorders>
            <w:vAlign w:val="bottom"/>
          </w:tcPr>
          <w:p w14:paraId="647B1B18" w14:textId="1CB1DF1C" w:rsidR="00A25607" w:rsidRPr="00226892" w:rsidRDefault="00A25607" w:rsidP="005443B2">
            <w:pPr>
              <w:suppressAutoHyphens/>
              <w:jc w:val="right"/>
              <w:rPr>
                <w:rFonts w:ascii="Arial" w:hAnsi="Arial" w:cs="Arial"/>
                <w:sz w:val="18"/>
                <w:szCs w:val="18"/>
                <w:lang w:val="sk-SK"/>
              </w:rPr>
            </w:pPr>
            <w:r w:rsidRPr="00226892">
              <w:rPr>
                <w:rFonts w:ascii="Arial" w:hAnsi="Arial" w:cs="Arial"/>
                <w:sz w:val="18"/>
                <w:szCs w:val="18"/>
                <w:lang w:val="sk-SK"/>
              </w:rPr>
              <w:t>20 –</w:t>
            </w:r>
            <w:r w:rsidR="005443B2" w:rsidRPr="00226892">
              <w:rPr>
                <w:rFonts w:ascii="Arial" w:hAnsi="Arial" w:cs="Arial"/>
                <w:sz w:val="18"/>
                <w:szCs w:val="18"/>
                <w:lang w:val="sk-SK"/>
              </w:rPr>
              <w:t xml:space="preserve"> 40</w:t>
            </w:r>
            <w:r w:rsidRPr="00226892">
              <w:rPr>
                <w:rFonts w:ascii="Arial" w:hAnsi="Arial" w:cs="Arial"/>
                <w:sz w:val="18"/>
                <w:szCs w:val="18"/>
                <w:lang w:val="sk-SK"/>
              </w:rPr>
              <w:t xml:space="preserve"> </w:t>
            </w:r>
          </w:p>
        </w:tc>
      </w:tr>
      <w:tr w:rsidR="00A25607" w:rsidRPr="00226892" w14:paraId="2EB8617F" w14:textId="77777777" w:rsidTr="001C5911">
        <w:trPr>
          <w:trHeight w:val="227"/>
        </w:trPr>
        <w:tc>
          <w:tcPr>
            <w:tcW w:w="3289" w:type="pct"/>
            <w:vAlign w:val="bottom"/>
          </w:tcPr>
          <w:p w14:paraId="4ED82E86" w14:textId="77777777" w:rsidR="00A25607" w:rsidRPr="00226892" w:rsidRDefault="00A25607">
            <w:pPr>
              <w:suppressAutoHyphens/>
              <w:ind w:left="-107" w:firstLine="14"/>
              <w:rPr>
                <w:rFonts w:ascii="Arial" w:hAnsi="Arial" w:cs="Arial"/>
                <w:sz w:val="18"/>
                <w:szCs w:val="18"/>
                <w:lang w:val="sk-SK"/>
              </w:rPr>
            </w:pPr>
            <w:r w:rsidRPr="00226892">
              <w:rPr>
                <w:rFonts w:ascii="Arial" w:hAnsi="Arial" w:cs="Arial"/>
                <w:sz w:val="18"/>
                <w:szCs w:val="18"/>
                <w:lang w:val="sk-SK"/>
              </w:rPr>
              <w:t>Stroje a zariadenia</w:t>
            </w:r>
          </w:p>
        </w:tc>
        <w:tc>
          <w:tcPr>
            <w:tcW w:w="1711" w:type="pct"/>
            <w:vAlign w:val="bottom"/>
          </w:tcPr>
          <w:p w14:paraId="567DAF3B" w14:textId="733AD4EC" w:rsidR="00A25607" w:rsidRPr="00226892" w:rsidRDefault="00A25607" w:rsidP="00687FE9">
            <w:pPr>
              <w:suppressAutoHyphens/>
              <w:jc w:val="right"/>
              <w:rPr>
                <w:rFonts w:ascii="Arial" w:hAnsi="Arial" w:cs="Arial"/>
                <w:sz w:val="18"/>
                <w:szCs w:val="18"/>
                <w:lang w:val="sk-SK"/>
              </w:rPr>
            </w:pPr>
            <w:r w:rsidRPr="00226892">
              <w:rPr>
                <w:rFonts w:ascii="Arial" w:hAnsi="Arial" w:cs="Arial"/>
                <w:sz w:val="18"/>
                <w:szCs w:val="18"/>
                <w:lang w:val="sk-SK"/>
              </w:rPr>
              <w:t xml:space="preserve">4 – </w:t>
            </w:r>
            <w:r w:rsidR="00687FE9" w:rsidRPr="00226892">
              <w:rPr>
                <w:rFonts w:ascii="Arial" w:hAnsi="Arial" w:cs="Arial"/>
                <w:sz w:val="18"/>
                <w:szCs w:val="18"/>
                <w:lang w:val="sk-SK"/>
              </w:rPr>
              <w:t>20</w:t>
            </w:r>
            <w:r w:rsidRPr="00226892">
              <w:rPr>
                <w:rFonts w:ascii="Arial" w:hAnsi="Arial" w:cs="Arial"/>
                <w:sz w:val="18"/>
                <w:szCs w:val="18"/>
                <w:lang w:val="sk-SK"/>
              </w:rPr>
              <w:t xml:space="preserve"> </w:t>
            </w:r>
          </w:p>
        </w:tc>
      </w:tr>
      <w:tr w:rsidR="00A25607" w:rsidRPr="00226892" w14:paraId="4911701F" w14:textId="77777777" w:rsidTr="001C5911">
        <w:trPr>
          <w:trHeight w:val="227"/>
        </w:trPr>
        <w:tc>
          <w:tcPr>
            <w:tcW w:w="3289" w:type="pct"/>
            <w:vAlign w:val="bottom"/>
          </w:tcPr>
          <w:p w14:paraId="728110A9" w14:textId="77777777" w:rsidR="00A25607" w:rsidRPr="00226892" w:rsidRDefault="00A25607">
            <w:pPr>
              <w:suppressAutoHyphens/>
              <w:ind w:left="-107" w:firstLine="14"/>
              <w:rPr>
                <w:rFonts w:ascii="Arial" w:hAnsi="Arial" w:cs="Arial"/>
                <w:sz w:val="18"/>
                <w:szCs w:val="18"/>
                <w:lang w:val="sk-SK"/>
              </w:rPr>
            </w:pPr>
            <w:r w:rsidRPr="00226892">
              <w:rPr>
                <w:rFonts w:ascii="Arial" w:hAnsi="Arial" w:cs="Arial"/>
                <w:sz w:val="18"/>
                <w:szCs w:val="18"/>
                <w:lang w:val="sk-SK"/>
              </w:rPr>
              <w:t>Motorové vozidlá a ostatný hmotný majetok</w:t>
            </w:r>
          </w:p>
        </w:tc>
        <w:tc>
          <w:tcPr>
            <w:tcW w:w="1711" w:type="pct"/>
            <w:vAlign w:val="bottom"/>
          </w:tcPr>
          <w:p w14:paraId="5C692731" w14:textId="77777777" w:rsidR="00A25607" w:rsidRPr="00226892" w:rsidRDefault="00A25607">
            <w:pPr>
              <w:suppressAutoHyphens/>
              <w:jc w:val="right"/>
              <w:rPr>
                <w:rFonts w:ascii="Arial" w:hAnsi="Arial" w:cs="Arial"/>
                <w:sz w:val="18"/>
                <w:szCs w:val="18"/>
                <w:lang w:val="sk-SK"/>
              </w:rPr>
            </w:pPr>
            <w:r w:rsidRPr="00226892">
              <w:rPr>
                <w:rFonts w:ascii="Arial" w:hAnsi="Arial" w:cs="Arial"/>
                <w:sz w:val="18"/>
                <w:szCs w:val="18"/>
                <w:lang w:val="sk-SK"/>
              </w:rPr>
              <w:t xml:space="preserve">4 – 10 </w:t>
            </w:r>
          </w:p>
        </w:tc>
      </w:tr>
    </w:tbl>
    <w:p w14:paraId="3D072FA0" w14:textId="77777777" w:rsidR="00A25607" w:rsidRPr="00226892" w:rsidRDefault="00A25607" w:rsidP="00A25607">
      <w:pPr>
        <w:pStyle w:val="ABC-paragrahinNotes"/>
        <w:suppressAutoHyphens/>
        <w:spacing w:after="0"/>
        <w:rPr>
          <w:rFonts w:cs="Arial"/>
          <w:sz w:val="20"/>
          <w:szCs w:val="16"/>
          <w:lang w:val="sk-SK"/>
        </w:rPr>
      </w:pPr>
    </w:p>
    <w:p w14:paraId="3C117C6C" w14:textId="3ED4F7AE" w:rsidR="00A25607" w:rsidRPr="00226892" w:rsidRDefault="00A25607" w:rsidP="001C5911">
      <w:pPr>
        <w:pStyle w:val="ABC-paragrahinNotes"/>
        <w:suppressAutoHyphens/>
        <w:spacing w:after="180"/>
        <w:rPr>
          <w:rFonts w:cs="Arial"/>
          <w:sz w:val="20"/>
          <w:lang w:val="sk-SK"/>
        </w:rPr>
      </w:pPr>
      <w:r w:rsidRPr="00226892">
        <w:rPr>
          <w:rFonts w:cs="Arial"/>
          <w:sz w:val="20"/>
          <w:lang w:val="sk-SK"/>
        </w:rPr>
        <w:t>Konečná</w:t>
      </w:r>
      <w:r w:rsidR="006035F0" w:rsidRPr="00226892">
        <w:rPr>
          <w:rFonts w:cs="Arial"/>
          <w:sz w:val="20"/>
          <w:lang w:val="sk-SK"/>
        </w:rPr>
        <w:t xml:space="preserve"> reziduálna</w:t>
      </w:r>
      <w:r w:rsidRPr="00226892">
        <w:rPr>
          <w:rFonts w:cs="Arial"/>
          <w:sz w:val="20"/>
          <w:lang w:val="sk-SK"/>
        </w:rPr>
        <w:t xml:space="preserve"> hodnota majetku predstavuje predpokladanú sumu, ktorú by Skupina </w:t>
      </w:r>
      <w:r w:rsidR="006035F0" w:rsidRPr="00226892">
        <w:rPr>
          <w:rFonts w:cs="Arial"/>
          <w:sz w:val="20"/>
          <w:lang w:val="sk-SK"/>
        </w:rPr>
        <w:t xml:space="preserve">v súčasnosti </w:t>
      </w:r>
      <w:r w:rsidRPr="00226892">
        <w:rPr>
          <w:rFonts w:cs="Arial"/>
          <w:sz w:val="20"/>
          <w:lang w:val="sk-SK"/>
        </w:rPr>
        <w:t xml:space="preserve">získala pri predaji majetku, očistenú o náklady na predaj majetku za predpokladu a podmienok, že by bol tento majetok na konci svojej životnosti. Konečná </w:t>
      </w:r>
      <w:r w:rsidR="006035F0" w:rsidRPr="00226892">
        <w:rPr>
          <w:rFonts w:cs="Arial"/>
          <w:sz w:val="20"/>
          <w:lang w:val="sk-SK"/>
        </w:rPr>
        <w:t>reziduálna</w:t>
      </w:r>
      <w:r w:rsidRPr="00226892">
        <w:rPr>
          <w:rFonts w:cs="Arial"/>
          <w:sz w:val="20"/>
          <w:lang w:val="sk-SK"/>
        </w:rPr>
        <w:t xml:space="preserve"> hodnota majetku je nula, ak Skupina očakáva využívanie majetku do konca jeho predpokladanej životnosti. K súvahovému dňu sa </w:t>
      </w:r>
      <w:r w:rsidR="006035F0" w:rsidRPr="00226892">
        <w:rPr>
          <w:rFonts w:cs="Arial"/>
          <w:sz w:val="20"/>
          <w:lang w:val="sk-SK"/>
        </w:rPr>
        <w:t xml:space="preserve">reziduálna </w:t>
      </w:r>
      <w:r w:rsidRPr="00226892">
        <w:rPr>
          <w:rFonts w:cs="Arial"/>
          <w:sz w:val="20"/>
          <w:lang w:val="sk-SK"/>
        </w:rPr>
        <w:t>hodnota a predpokladaná doba životnosti dlhodobého majetku prehodnocuje a ak je to potrebné, upravuje.</w:t>
      </w:r>
    </w:p>
    <w:p w14:paraId="05DF02DF" w14:textId="15F5034A" w:rsidR="00A25607" w:rsidRPr="00226892" w:rsidRDefault="00A25607" w:rsidP="001C5911">
      <w:pPr>
        <w:pStyle w:val="ABC-paragrahinNotes"/>
        <w:suppressAutoHyphens/>
        <w:spacing w:after="180"/>
        <w:rPr>
          <w:rFonts w:cs="Arial"/>
          <w:sz w:val="20"/>
          <w:lang w:val="sk-SK"/>
        </w:rPr>
      </w:pPr>
      <w:r w:rsidRPr="00226892">
        <w:rPr>
          <w:rFonts w:cs="Arial"/>
          <w:sz w:val="20"/>
          <w:lang w:val="sk-SK"/>
        </w:rPr>
        <w:t>Ku dňu, ku ktorému sa zostavuje účtovná závierka,</w:t>
      </w:r>
      <w:r w:rsidRPr="00226892">
        <w:rPr>
          <w:rFonts w:cs="Arial"/>
          <w:color w:val="FF0000"/>
          <w:sz w:val="20"/>
          <w:lang w:val="sk-SK"/>
        </w:rPr>
        <w:t xml:space="preserve"> </w:t>
      </w:r>
      <w:r w:rsidRPr="00226892">
        <w:rPr>
          <w:rFonts w:cs="Arial"/>
          <w:sz w:val="20"/>
          <w:lang w:val="sk-SK"/>
        </w:rPr>
        <w:t>vedenie prehodnocuje, či nastali skutočnosti spôsobujúce zníženie hodnoty dlhodobého hmotného majetku. Ak taká skutočnosť existuje, vedenie odhadne realizovateľnú hodnotu majetku, ktorá sa určí ako reálna hodnota znížená o náklady na predaj alebo úžitková hodnota majetku, podľa toho, ktorá je vyššia. Účtovná hodnota sa zníži na realizovateľnú hodnotu a zníženie hodnoty sa vykazuje</w:t>
      </w:r>
      <w:r w:rsidR="006035F0" w:rsidRPr="00226892">
        <w:rPr>
          <w:rFonts w:cs="Arial"/>
          <w:sz w:val="20"/>
          <w:lang w:val="sk-SK"/>
        </w:rPr>
        <w:t xml:space="preserve"> ako náklad</w:t>
      </w:r>
      <w:r w:rsidRPr="00226892">
        <w:rPr>
          <w:rFonts w:cs="Arial"/>
          <w:sz w:val="20"/>
          <w:lang w:val="sk-SK"/>
        </w:rPr>
        <w:t xml:space="preserve">. Zníženie hodnoty majetku vykázané v minulých obdobiach sa rozpustí, ak dôjde k zmene odhadu použitého pri určení úžitkovej hodnoty alebo reálnej hodnoty majetku zníženej o náklady na predaj. </w:t>
      </w:r>
    </w:p>
    <w:p w14:paraId="577DCB00" w14:textId="5B52AE21" w:rsidR="00A25607" w:rsidRPr="00226892" w:rsidRDefault="00A25607" w:rsidP="001C5911">
      <w:pPr>
        <w:pStyle w:val="ABC-paragrahinNotes"/>
        <w:suppressAutoHyphens/>
        <w:spacing w:after="0"/>
        <w:rPr>
          <w:rFonts w:cs="Arial"/>
          <w:color w:val="FF0000"/>
          <w:sz w:val="20"/>
          <w:lang w:val="sk-SK"/>
        </w:rPr>
      </w:pPr>
      <w:r w:rsidRPr="00226892">
        <w:rPr>
          <w:rFonts w:cs="Arial"/>
          <w:sz w:val="20"/>
          <w:lang w:val="sk-SK"/>
        </w:rPr>
        <w:t xml:space="preserve">Zisky alebo straty plynúce z vyradenia alebo likvidácie položky majetku sa určia ako rozdiel medzi výnosom a účtovnou hodnotou majetku a sú zahrnuté do </w:t>
      </w:r>
      <w:r w:rsidR="008330A5" w:rsidRPr="00226892">
        <w:rPr>
          <w:rFonts w:cs="Arial"/>
          <w:sz w:val="20"/>
          <w:lang w:val="sk-SK"/>
        </w:rPr>
        <w:t>konsolidovaného výkazu ziskov a strát a ostatného súhrnného zisku alebo strát</w:t>
      </w:r>
      <w:r w:rsidRPr="00226892">
        <w:rPr>
          <w:rFonts w:cs="Arial"/>
          <w:sz w:val="20"/>
          <w:lang w:val="sk-SK"/>
        </w:rPr>
        <w:t>.</w:t>
      </w:r>
      <w:r w:rsidRPr="00226892">
        <w:rPr>
          <w:rFonts w:cs="Arial"/>
          <w:color w:val="FF0000"/>
          <w:sz w:val="20"/>
          <w:lang w:val="sk-SK"/>
        </w:rPr>
        <w:t xml:space="preserve"> </w:t>
      </w:r>
    </w:p>
    <w:p w14:paraId="0A514B85" w14:textId="2BA8B526" w:rsidR="00AB0BBD" w:rsidRPr="00226892" w:rsidRDefault="00AB0BBD" w:rsidP="00FD21B8">
      <w:pPr>
        <w:pStyle w:val="ABC-paragrahinNotes"/>
        <w:suppressAutoHyphens/>
        <w:spacing w:after="0"/>
        <w:ind w:left="425"/>
        <w:rPr>
          <w:rFonts w:cs="Arial"/>
          <w:color w:val="FF0000"/>
          <w:sz w:val="20"/>
          <w:lang w:val="sk-SK"/>
        </w:rPr>
      </w:pPr>
    </w:p>
    <w:p w14:paraId="5D385BB3" w14:textId="77777777" w:rsidR="00A25607" w:rsidRPr="00226892" w:rsidRDefault="00A25607" w:rsidP="001C5911">
      <w:pPr>
        <w:pStyle w:val="Nadpis1"/>
      </w:pPr>
      <w:bookmarkStart w:id="82" w:name="_Toc422150994"/>
      <w:bookmarkStart w:id="83" w:name="_Toc326330664"/>
      <w:bookmarkStart w:id="84" w:name="_Toc327260885"/>
      <w:bookmarkStart w:id="85" w:name="_Toc327263360"/>
      <w:bookmarkStart w:id="86" w:name="_Toc325985771"/>
      <w:bookmarkStart w:id="87" w:name="_Toc387812474"/>
      <w:bookmarkStart w:id="88" w:name="_Toc27409973"/>
      <w:bookmarkEnd w:id="82"/>
      <w:bookmarkEnd w:id="83"/>
      <w:bookmarkEnd w:id="84"/>
      <w:bookmarkEnd w:id="85"/>
      <w:r w:rsidRPr="00226892">
        <w:t>Leasing</w:t>
      </w:r>
      <w:bookmarkEnd w:id="86"/>
      <w:bookmarkEnd w:id="87"/>
      <w:bookmarkEnd w:id="88"/>
    </w:p>
    <w:p w14:paraId="5622B98B" w14:textId="77777777" w:rsidR="00A25607" w:rsidRPr="00226892" w:rsidRDefault="00A25607" w:rsidP="001C5911">
      <w:pPr>
        <w:pStyle w:val="ABC-paragrahinNotes"/>
        <w:suppressAutoHyphens/>
        <w:spacing w:after="180"/>
        <w:rPr>
          <w:rFonts w:cs="Arial"/>
          <w:sz w:val="20"/>
        </w:rPr>
      </w:pPr>
      <w:r w:rsidRPr="00226892">
        <w:rPr>
          <w:rFonts w:cs="Arial"/>
          <w:sz w:val="20"/>
          <w:lang w:val="sk-SK"/>
        </w:rPr>
        <w:t>Skupina je nájomcom.</w:t>
      </w:r>
    </w:p>
    <w:p w14:paraId="0D34E955" w14:textId="77777777" w:rsidR="00A25607" w:rsidRPr="00226892" w:rsidRDefault="00A25607" w:rsidP="001C5911">
      <w:pPr>
        <w:pStyle w:val="ABC-paragrahinNotes"/>
        <w:suppressAutoHyphens/>
        <w:spacing w:after="180"/>
        <w:rPr>
          <w:rFonts w:cs="Arial"/>
          <w:bCs/>
          <w:i/>
          <w:iCs/>
          <w:sz w:val="20"/>
          <w:lang w:val="sk-SK"/>
        </w:rPr>
      </w:pPr>
      <w:r w:rsidRPr="00226892">
        <w:rPr>
          <w:rFonts w:cs="Arial"/>
          <w:bCs/>
          <w:i/>
          <w:iCs/>
          <w:sz w:val="20"/>
          <w:lang w:val="sk-SK"/>
        </w:rPr>
        <w:t xml:space="preserve">(i) </w:t>
      </w:r>
      <w:r w:rsidRPr="00226892">
        <w:rPr>
          <w:rFonts w:cs="Arial"/>
          <w:bCs/>
          <w:i/>
          <w:iCs/>
          <w:sz w:val="20"/>
          <w:lang w:val="sk-SK"/>
        </w:rPr>
        <w:tab/>
        <w:t xml:space="preserve">Operatívny leasing </w:t>
      </w:r>
    </w:p>
    <w:p w14:paraId="41E82191" w14:textId="2EC8D852" w:rsidR="008B7E95" w:rsidRDefault="00A25607" w:rsidP="001C5911">
      <w:pPr>
        <w:pStyle w:val="ABC-paragrahinNotes"/>
        <w:suppressAutoHyphens/>
        <w:spacing w:after="180"/>
        <w:rPr>
          <w:rFonts w:cs="Arial"/>
          <w:sz w:val="20"/>
          <w:lang w:val="sk-SK"/>
        </w:rPr>
      </w:pPr>
      <w:r w:rsidRPr="00226892">
        <w:rPr>
          <w:rFonts w:cs="Arial"/>
          <w:sz w:val="20"/>
          <w:lang w:val="sk-SK"/>
        </w:rPr>
        <w:t>Leasing majetku, pri ktorom prenajímateľ nesie významnú časť rizík a potenciálnych ziskov spojených s vlastníctvom, sa klasifikuje ako operatívny leasing. Splátky realizované v rámci operatívneho leasingu sú vykazované rovnomerne vo výkaze súhrnných ziskov a strát  počas doby trvania leasingu.</w:t>
      </w:r>
    </w:p>
    <w:p w14:paraId="6A1F7C61" w14:textId="77777777" w:rsidR="008B7E95" w:rsidRDefault="008B7E95">
      <w:pPr>
        <w:rPr>
          <w:rFonts w:ascii="Arial" w:hAnsi="Arial" w:cs="Arial"/>
          <w:lang w:val="sk-SK"/>
        </w:rPr>
      </w:pPr>
      <w:r>
        <w:rPr>
          <w:rFonts w:cs="Arial"/>
          <w:lang w:val="sk-SK"/>
        </w:rPr>
        <w:br w:type="page"/>
      </w:r>
    </w:p>
    <w:p w14:paraId="015CA0A8" w14:textId="77777777" w:rsidR="00A25607" w:rsidRPr="00226892" w:rsidRDefault="00A25607" w:rsidP="001C5911">
      <w:pPr>
        <w:pStyle w:val="ABC-paragrahinNotes"/>
        <w:suppressAutoHyphens/>
        <w:spacing w:after="180"/>
        <w:rPr>
          <w:rFonts w:cs="Arial"/>
          <w:bCs/>
          <w:i/>
          <w:iCs/>
          <w:color w:val="FF0000"/>
          <w:sz w:val="20"/>
          <w:lang w:val="sk-SK"/>
        </w:rPr>
      </w:pPr>
      <w:r w:rsidRPr="00226892">
        <w:rPr>
          <w:rFonts w:cs="Arial"/>
          <w:bCs/>
          <w:i/>
          <w:iCs/>
          <w:sz w:val="20"/>
          <w:lang w:val="sk-SK"/>
        </w:rPr>
        <w:lastRenderedPageBreak/>
        <w:t xml:space="preserve">(ii) </w:t>
      </w:r>
      <w:r w:rsidRPr="00226892">
        <w:rPr>
          <w:rFonts w:cs="Arial"/>
          <w:bCs/>
          <w:i/>
          <w:iCs/>
          <w:sz w:val="20"/>
          <w:lang w:val="sk-SK"/>
        </w:rPr>
        <w:tab/>
        <w:t>Finančný leasing</w:t>
      </w:r>
      <w:r w:rsidRPr="00226892">
        <w:rPr>
          <w:rFonts w:cs="Arial"/>
          <w:bCs/>
          <w:i/>
          <w:iCs/>
          <w:color w:val="FF0000"/>
          <w:sz w:val="20"/>
          <w:lang w:val="sk-SK"/>
        </w:rPr>
        <w:t xml:space="preserve">   </w:t>
      </w:r>
    </w:p>
    <w:p w14:paraId="598BEC80" w14:textId="77777777" w:rsidR="00A25607" w:rsidRPr="00226892" w:rsidRDefault="00A25607" w:rsidP="001C5911">
      <w:pPr>
        <w:pStyle w:val="ABC-paragrahinNotes"/>
        <w:suppressAutoHyphens/>
        <w:spacing w:after="180"/>
        <w:rPr>
          <w:rFonts w:cs="Arial"/>
          <w:sz w:val="20"/>
          <w:lang w:val="sk-SK"/>
        </w:rPr>
      </w:pPr>
      <w:r w:rsidRPr="00226892">
        <w:rPr>
          <w:rFonts w:cs="Arial"/>
          <w:sz w:val="20"/>
          <w:lang w:val="sk-SK"/>
        </w:rPr>
        <w:t xml:space="preserve">Dlhodobý hmotný majetok, pri ktorom znáša Skupina v podstate všetky riziká a výhody spojené s jeho vlastníctvom, sa klasifikuje ako finančný leasing. Majetok obstaraný formou finančného leasingu je na začiatku nájomného vzťahu aktivovaný buď v jeho reálnej hodnote alebo v súčasnej hodnote minimálnych leasingových splátok podľa toho, ktorá z nich je nižšia. </w:t>
      </w:r>
    </w:p>
    <w:p w14:paraId="0F69B095" w14:textId="54F39717" w:rsidR="00A25607" w:rsidRDefault="00A25607" w:rsidP="001C5911">
      <w:pPr>
        <w:pStyle w:val="ABC-paragrahinNotes"/>
        <w:suppressAutoHyphens/>
        <w:spacing w:after="0"/>
        <w:rPr>
          <w:rFonts w:cs="Arial"/>
          <w:sz w:val="20"/>
          <w:lang w:val="sk-SK"/>
        </w:rPr>
      </w:pPr>
      <w:r w:rsidRPr="00226892">
        <w:rPr>
          <w:rFonts w:cs="Arial"/>
          <w:sz w:val="20"/>
          <w:lang w:val="sk-SK"/>
        </w:rPr>
        <w:t>Každá leasingová splátka sa rozdeľuje medzi záväzok a finančné náklady tak, aby sa dosiahla konštantná miera uplatnená na neuhradený finančný zostatok. Zodpovedajúce záväzky z prenájmu, bez finančných nákladov, sú súčasťou úverov. Úrokové náklady sa účtujú do výkazu súhrnných ziskov a strát počas doby trvania leasingu tak, aby sa dosiahla efektívna úroková miera uplatnená na zostatok záväzku z leasingu za každé obdobie. Dlhodobý hmotný majetok obstaraný prostredníctvom finančného leasingu sa odpisuje buď počas doby životnosti majetku, alebo počas doby trvania leasingu ak je kratšia, za predpokladu, že Skupina nevie s určitosťou povedať, či získa po skončení leasingu vlastníctvo k prenajímanému majetku.</w:t>
      </w:r>
    </w:p>
    <w:p w14:paraId="1FF81EE1" w14:textId="77777777" w:rsidR="008B7E95" w:rsidRPr="00226892" w:rsidRDefault="008B7E95" w:rsidP="001C5911">
      <w:pPr>
        <w:pStyle w:val="ABC-paragrahinNotes"/>
        <w:suppressAutoHyphens/>
        <w:spacing w:after="0"/>
        <w:rPr>
          <w:rFonts w:cs="Arial"/>
          <w:sz w:val="20"/>
          <w:lang w:val="sk-SK"/>
        </w:rPr>
      </w:pPr>
    </w:p>
    <w:p w14:paraId="0F079842" w14:textId="6AB167AC" w:rsidR="00A25607" w:rsidRPr="00226892" w:rsidRDefault="00A25607" w:rsidP="001C5911">
      <w:pPr>
        <w:pStyle w:val="Nadpis1"/>
      </w:pPr>
      <w:bookmarkStart w:id="89" w:name="_Toc516654785"/>
      <w:bookmarkStart w:id="90" w:name="_Toc325985774"/>
      <w:bookmarkStart w:id="91" w:name="_Toc387812477"/>
      <w:bookmarkStart w:id="92" w:name="_Toc27409974"/>
      <w:bookmarkEnd w:id="89"/>
      <w:r w:rsidRPr="00226892">
        <w:t>Pokles hodnoty dlhodobého majetku</w:t>
      </w:r>
      <w:bookmarkEnd w:id="90"/>
      <w:bookmarkEnd w:id="91"/>
      <w:bookmarkEnd w:id="92"/>
    </w:p>
    <w:p w14:paraId="3168C81C" w14:textId="77777777" w:rsidR="00A25607" w:rsidRPr="00226892" w:rsidRDefault="00A25607" w:rsidP="001C5911">
      <w:pPr>
        <w:pStyle w:val="ABC-paragrahinNotes"/>
        <w:suppressAutoHyphens/>
        <w:spacing w:after="200"/>
        <w:rPr>
          <w:rFonts w:cs="Arial"/>
          <w:sz w:val="20"/>
          <w:lang w:val="sk-SK"/>
        </w:rPr>
      </w:pPr>
      <w:bookmarkStart w:id="93" w:name="_Toc97508375"/>
      <w:r w:rsidRPr="00226892">
        <w:rPr>
          <w:rFonts w:cs="Arial"/>
          <w:sz w:val="20"/>
          <w:lang w:val="sk-SK"/>
        </w:rPr>
        <w:t xml:space="preserve">Majetok s neurčitou dobou životnosti nie je odpisovaný, avšak je každoročne testovaný na pokles hodnoty. Test na pokles hodnoty odpisovaného majetku sa vykonáva vtedy, keď okolnosti naznačujú, že účtovná hodnota nebude realizovateľná. Strata zo zníženia hodnoty sa vykazuje v sume, o ktorú účtovná hodnota majetku prevyšuje jeho realizovateľnú hodnotu. </w:t>
      </w:r>
    </w:p>
    <w:p w14:paraId="0125DA34" w14:textId="33FF97C6" w:rsidR="003842D1" w:rsidRPr="00226892" w:rsidRDefault="00A25607" w:rsidP="001C5911">
      <w:pPr>
        <w:pStyle w:val="ABC-paragrahinNotes"/>
        <w:suppressAutoHyphens/>
        <w:spacing w:after="0"/>
        <w:ind w:left="1"/>
        <w:rPr>
          <w:rFonts w:cs="Arial"/>
          <w:sz w:val="20"/>
          <w:lang w:val="sk-SK"/>
        </w:rPr>
      </w:pPr>
      <w:r w:rsidRPr="00226892">
        <w:rPr>
          <w:rFonts w:cs="Arial"/>
          <w:sz w:val="20"/>
          <w:lang w:val="sk-SK"/>
        </w:rPr>
        <w:t>Realizovateľná hodnota predstavuje buď reálnu hodnotu zníženú o náklady na prípadný predaj alebo úžitkovú hodnotu, podľa toho, ktorá je vyššia. Pre účely stanovenia zníženia hodnoty sa majetok zaradí do skupín podľa najnižších úrovní, pre ktoré existujú samostatné peňažné toky (jednotky generujúce peňažné prostriedky). U dlhodobého majetku, u ktorého došlo k zníženiu hodnoty, sa pravidelne, ku každému dátumu súvahy posudzuje, či nie je možné pokles hodnoty prehodnotiť.</w:t>
      </w:r>
    </w:p>
    <w:p w14:paraId="6F6E536E" w14:textId="77777777" w:rsidR="00181BF2" w:rsidRPr="00226892" w:rsidRDefault="00181BF2" w:rsidP="001C5911">
      <w:pPr>
        <w:pStyle w:val="ABC-paragrahinNotes"/>
        <w:suppressAutoHyphens/>
        <w:spacing w:after="0"/>
        <w:ind w:left="1"/>
        <w:rPr>
          <w:rFonts w:cs="Arial"/>
          <w:lang w:val="sk-SK"/>
        </w:rPr>
      </w:pPr>
    </w:p>
    <w:p w14:paraId="47C32431" w14:textId="0C628EC0" w:rsidR="00A25607" w:rsidRPr="00226892" w:rsidRDefault="00A25607" w:rsidP="001C5911">
      <w:pPr>
        <w:pStyle w:val="Nadpis1"/>
      </w:pPr>
      <w:bookmarkStart w:id="94" w:name="_Toc516654787"/>
      <w:bookmarkStart w:id="95" w:name="_Toc516654788"/>
      <w:bookmarkStart w:id="96" w:name="_Toc325985775"/>
      <w:bookmarkStart w:id="97" w:name="_Toc387812478"/>
      <w:bookmarkStart w:id="98" w:name="_Toc27409975"/>
      <w:bookmarkEnd w:id="93"/>
      <w:bookmarkEnd w:id="94"/>
      <w:bookmarkEnd w:id="95"/>
      <w:r w:rsidRPr="00226892">
        <w:t>Zásoby</w:t>
      </w:r>
      <w:bookmarkEnd w:id="96"/>
      <w:bookmarkEnd w:id="97"/>
      <w:bookmarkEnd w:id="98"/>
    </w:p>
    <w:p w14:paraId="245039BA" w14:textId="50E0EB59" w:rsidR="00A25607" w:rsidRPr="00226892" w:rsidRDefault="00A25607" w:rsidP="001C5911">
      <w:pPr>
        <w:pStyle w:val="Textkomentra"/>
        <w:suppressAutoHyphens/>
        <w:jc w:val="both"/>
        <w:rPr>
          <w:rFonts w:ascii="Arial" w:hAnsi="Arial" w:cs="Arial"/>
          <w:lang w:val="sk-SK"/>
        </w:rPr>
      </w:pPr>
      <w:r w:rsidRPr="00226892">
        <w:rPr>
          <w:rFonts w:ascii="Arial" w:hAnsi="Arial" w:cs="Arial"/>
          <w:lang w:val="sk-SK"/>
        </w:rPr>
        <w:t xml:space="preserve">Zásoby sa vykazujú buď v obstarávacej cene alebo v čistej realizovateľnej hodnote, podľa toho, ktorá je nižšia. Úbytok zásob sa účtuje v cene zistenej metódou váženého aritmetického priemeru. </w:t>
      </w:r>
      <w:proofErr w:type="spellStart"/>
      <w:r w:rsidRPr="00226892">
        <w:rPr>
          <w:rFonts w:ascii="Arial" w:hAnsi="Arial" w:cs="Arial"/>
          <w:lang w:val="sk-SK"/>
        </w:rPr>
        <w:t>Obstáravacia</w:t>
      </w:r>
      <w:proofErr w:type="spellEnd"/>
      <w:r w:rsidRPr="00226892">
        <w:rPr>
          <w:rFonts w:ascii="Arial" w:hAnsi="Arial" w:cs="Arial"/>
          <w:lang w:val="sk-SK"/>
        </w:rPr>
        <w:t xml:space="preserve"> cena materiálu zahŕňa nákupnú cenu a iné priame náklady. Obstarávacie ceny hotových výrobkov a nedokončenej výroby zahŕňajú náklady na suroviny, priame mzdové a iné priame náklady a príslušnú výrobnú réžiu (na základe normálneho využitia prevádzkovej kapacity). Nezahŕňajú úrokové náklady. Čistá realizovateľná hodnota predstavuje odhad predajnej ceny za bežných obchodných podmienok, zníženej o náklady na dokončenie a predaj.</w:t>
      </w:r>
    </w:p>
    <w:p w14:paraId="3DB8A846" w14:textId="77777777" w:rsidR="00001924" w:rsidRPr="00226892" w:rsidRDefault="00001924" w:rsidP="001C5911">
      <w:pPr>
        <w:pStyle w:val="Textkomentra"/>
        <w:suppressAutoHyphens/>
        <w:jc w:val="both"/>
        <w:rPr>
          <w:rFonts w:ascii="Arial" w:hAnsi="Arial" w:cs="Arial"/>
          <w:lang w:val="sk-SK"/>
        </w:rPr>
      </w:pPr>
    </w:p>
    <w:p w14:paraId="4A2122A9" w14:textId="4CBA665E" w:rsidR="00001924" w:rsidRPr="00226892" w:rsidRDefault="00001924" w:rsidP="001C5911">
      <w:pPr>
        <w:pStyle w:val="Textkomentra"/>
        <w:suppressAutoHyphens/>
        <w:jc w:val="both"/>
        <w:rPr>
          <w:rFonts w:ascii="Arial" w:hAnsi="Arial" w:cs="Arial"/>
          <w:lang w:val="sk-SK"/>
        </w:rPr>
      </w:pPr>
      <w:r w:rsidRPr="00226892">
        <w:rPr>
          <w:rFonts w:ascii="Arial" w:hAnsi="Arial" w:cs="Arial"/>
          <w:lang w:val="sk-SK"/>
        </w:rPr>
        <w:t>Skupina na základe dohody s jednotlivými zákazníkmi pre nich obstaráva výrobu nástrojov, na ktorých následne realizuje výrobu hotových výrobkov pre týchto zákazníkov. Výrobu nástrojov zabezpečuje prostredníctvom externých dodávateľov. Po dokončení a podpísaní akceptačného protokolu prechádza významná časť rizík a potenciálnych ziskov spojených s vlastníctvom na zákazníka a Skupina na nich môže vyrábať výhradne výrobky pre zákazníkov, pre ktorých boli vyrobené.</w:t>
      </w:r>
    </w:p>
    <w:p w14:paraId="743B8163" w14:textId="77777777" w:rsidR="00001924" w:rsidRPr="00226892" w:rsidRDefault="00001924" w:rsidP="001C5911">
      <w:pPr>
        <w:pStyle w:val="Textkomentra"/>
        <w:suppressAutoHyphens/>
        <w:jc w:val="both"/>
        <w:rPr>
          <w:rFonts w:ascii="Arial" w:hAnsi="Arial" w:cs="Arial"/>
          <w:lang w:val="sk-SK"/>
        </w:rPr>
      </w:pPr>
    </w:p>
    <w:p w14:paraId="701C5A2C" w14:textId="01F262D9" w:rsidR="00001924" w:rsidRPr="00226892" w:rsidRDefault="00001924" w:rsidP="001C5911">
      <w:pPr>
        <w:pStyle w:val="Textkomentra"/>
        <w:suppressAutoHyphens/>
        <w:jc w:val="both"/>
        <w:rPr>
          <w:rFonts w:ascii="Arial" w:hAnsi="Arial" w:cs="Arial"/>
          <w:lang w:val="sk-SK"/>
        </w:rPr>
      </w:pPr>
      <w:r w:rsidRPr="00226892">
        <w:rPr>
          <w:rFonts w:ascii="Arial" w:hAnsi="Arial" w:cs="Arial"/>
          <w:lang w:val="sk-SK"/>
        </w:rPr>
        <w:t>O obstarávaní nástrojov Skupina účtuje ako o tovare. Skupina časť ceny za obstarávanie nástroja podľa dohody so zákazníkom priebežne fakturuje zákazníkom a účtuje na účet výnosov budúcich období, nakoľko k vykázaniu výnosov z predaja nástrojov dochádza až podpísaním akceptačného protokolu.</w:t>
      </w:r>
      <w:r w:rsidR="00722589" w:rsidRPr="00226892">
        <w:rPr>
          <w:rFonts w:ascii="Arial" w:hAnsi="Arial" w:cs="Arial"/>
          <w:lang w:val="sk-SK"/>
        </w:rPr>
        <w:t xml:space="preserve"> Úbytok nástrojov sa účtuje v cene zistenej metódou špecifickej identifikácie. </w:t>
      </w:r>
    </w:p>
    <w:p w14:paraId="47E58A06" w14:textId="2D9598B8" w:rsidR="0050339E" w:rsidRPr="00226892" w:rsidRDefault="00A25607" w:rsidP="001C5911">
      <w:pPr>
        <w:suppressAutoHyphens/>
        <w:jc w:val="both"/>
        <w:rPr>
          <w:rFonts w:ascii="Arial" w:hAnsi="Arial" w:cs="Arial"/>
          <w:lang w:val="sk-SK"/>
        </w:rPr>
      </w:pPr>
      <w:r w:rsidRPr="00226892">
        <w:rPr>
          <w:rFonts w:ascii="Arial" w:hAnsi="Arial" w:cs="Arial"/>
          <w:lang w:val="sk-SK"/>
        </w:rPr>
        <w:t>Ak je obstarávacia cena</w:t>
      </w:r>
      <w:r w:rsidR="001563A8" w:rsidRPr="00226892">
        <w:rPr>
          <w:rFonts w:ascii="Arial" w:hAnsi="Arial" w:cs="Arial"/>
          <w:lang w:val="sk-SK"/>
        </w:rPr>
        <w:t>,</w:t>
      </w:r>
      <w:r w:rsidRPr="00226892">
        <w:rPr>
          <w:rFonts w:ascii="Arial" w:hAnsi="Arial" w:cs="Arial"/>
          <w:lang w:val="sk-SK"/>
        </w:rPr>
        <w:t xml:space="preserve"> resp. ak sú vlastné náklady zásob vyššie než ich čistá realizovateľná hodnota ku dňu, ku ktorému sa zostavuje účtovná závierka, vytvára sa opravná položka k zásobám vo výške rozdielu medzi ich ocenením v účtovníctve a ich čistou realizovateľnou hodnotou.</w:t>
      </w:r>
    </w:p>
    <w:p w14:paraId="444FA909" w14:textId="77777777" w:rsidR="007D7798" w:rsidRPr="00226892" w:rsidRDefault="007D7798" w:rsidP="007D7798">
      <w:pPr>
        <w:suppressAutoHyphens/>
        <w:ind w:left="426"/>
        <w:jc w:val="both"/>
        <w:rPr>
          <w:rFonts w:ascii="Arial" w:hAnsi="Arial" w:cs="Arial"/>
        </w:rPr>
      </w:pPr>
    </w:p>
    <w:p w14:paraId="3F14896C" w14:textId="77777777" w:rsidR="007D7798" w:rsidRPr="00226892" w:rsidRDefault="007D7798" w:rsidP="001C5911">
      <w:pPr>
        <w:pStyle w:val="Nadpis1"/>
      </w:pPr>
      <w:bookmarkStart w:id="99" w:name="_Toc19722456"/>
      <w:bookmarkStart w:id="100" w:name="_Toc27409976"/>
      <w:r w:rsidRPr="00226892">
        <w:t>Ostatný dlhodobý a krátkodobý majetok</w:t>
      </w:r>
      <w:bookmarkEnd w:id="99"/>
      <w:bookmarkEnd w:id="100"/>
    </w:p>
    <w:p w14:paraId="11E8D532" w14:textId="34A1D80E" w:rsidR="00452618" w:rsidRDefault="007D7798" w:rsidP="007D7798">
      <w:pPr>
        <w:suppressAutoHyphens/>
        <w:jc w:val="both"/>
        <w:rPr>
          <w:rFonts w:ascii="Arial" w:hAnsi="Arial" w:cs="Arial"/>
        </w:rPr>
      </w:pPr>
      <w:proofErr w:type="spellStart"/>
      <w:r w:rsidRPr="00226892">
        <w:rPr>
          <w:rFonts w:ascii="Arial" w:hAnsi="Arial" w:cs="Arial"/>
        </w:rPr>
        <w:t>Skupina</w:t>
      </w:r>
      <w:proofErr w:type="spellEnd"/>
      <w:r w:rsidRPr="00226892">
        <w:rPr>
          <w:rFonts w:ascii="Arial" w:hAnsi="Arial" w:cs="Arial"/>
        </w:rPr>
        <w:t xml:space="preserve"> </w:t>
      </w:r>
      <w:proofErr w:type="spellStart"/>
      <w:r w:rsidRPr="00226892">
        <w:rPr>
          <w:rFonts w:ascii="Arial" w:hAnsi="Arial" w:cs="Arial"/>
        </w:rPr>
        <w:t>pri</w:t>
      </w:r>
      <w:proofErr w:type="spellEnd"/>
      <w:r w:rsidRPr="00226892">
        <w:rPr>
          <w:rFonts w:ascii="Arial" w:hAnsi="Arial" w:cs="Arial"/>
        </w:rPr>
        <w:t xml:space="preserve"> </w:t>
      </w:r>
      <w:proofErr w:type="spellStart"/>
      <w:r w:rsidRPr="00226892">
        <w:rPr>
          <w:rFonts w:ascii="Arial" w:hAnsi="Arial" w:cs="Arial"/>
        </w:rPr>
        <w:t>získaní</w:t>
      </w:r>
      <w:proofErr w:type="spellEnd"/>
      <w:r w:rsidRPr="00226892">
        <w:rPr>
          <w:rFonts w:ascii="Arial" w:hAnsi="Arial" w:cs="Arial"/>
        </w:rPr>
        <w:t xml:space="preserve"> </w:t>
      </w:r>
      <w:proofErr w:type="spellStart"/>
      <w:r w:rsidRPr="00226892">
        <w:rPr>
          <w:rFonts w:ascii="Arial" w:hAnsi="Arial" w:cs="Arial"/>
        </w:rPr>
        <w:t>nového</w:t>
      </w:r>
      <w:proofErr w:type="spellEnd"/>
      <w:r w:rsidRPr="00226892">
        <w:rPr>
          <w:rFonts w:ascii="Arial" w:hAnsi="Arial" w:cs="Arial"/>
        </w:rPr>
        <w:t xml:space="preserve"> </w:t>
      </w:r>
      <w:proofErr w:type="spellStart"/>
      <w:r w:rsidRPr="00226892">
        <w:rPr>
          <w:rFonts w:ascii="Arial" w:hAnsi="Arial" w:cs="Arial"/>
        </w:rPr>
        <w:t>projektu</w:t>
      </w:r>
      <w:proofErr w:type="spellEnd"/>
      <w:r w:rsidRPr="00226892">
        <w:rPr>
          <w:rFonts w:ascii="Arial" w:hAnsi="Arial" w:cs="Arial"/>
        </w:rPr>
        <w:t xml:space="preserve"> </w:t>
      </w:r>
      <w:proofErr w:type="spellStart"/>
      <w:r w:rsidRPr="00226892">
        <w:rPr>
          <w:rFonts w:ascii="Arial" w:hAnsi="Arial" w:cs="Arial"/>
        </w:rPr>
        <w:t>na</w:t>
      </w:r>
      <w:proofErr w:type="spellEnd"/>
      <w:r w:rsidRPr="00226892">
        <w:rPr>
          <w:rFonts w:ascii="Arial" w:hAnsi="Arial" w:cs="Arial"/>
        </w:rPr>
        <w:t xml:space="preserve"> </w:t>
      </w:r>
      <w:proofErr w:type="spellStart"/>
      <w:r w:rsidRPr="00226892">
        <w:rPr>
          <w:rFonts w:ascii="Arial" w:hAnsi="Arial" w:cs="Arial"/>
        </w:rPr>
        <w:t>dodávky</w:t>
      </w:r>
      <w:proofErr w:type="spellEnd"/>
      <w:r w:rsidRPr="00226892">
        <w:rPr>
          <w:rFonts w:ascii="Arial" w:hAnsi="Arial" w:cs="Arial"/>
        </w:rPr>
        <w:t xml:space="preserve"> </w:t>
      </w:r>
      <w:proofErr w:type="spellStart"/>
      <w:r w:rsidRPr="00226892">
        <w:rPr>
          <w:rFonts w:ascii="Arial" w:hAnsi="Arial" w:cs="Arial"/>
        </w:rPr>
        <w:t>dielov</w:t>
      </w:r>
      <w:proofErr w:type="spellEnd"/>
      <w:r w:rsidRPr="00226892">
        <w:rPr>
          <w:rFonts w:ascii="Arial" w:hAnsi="Arial" w:cs="Arial"/>
        </w:rPr>
        <w:t xml:space="preserve"> </w:t>
      </w:r>
      <w:proofErr w:type="spellStart"/>
      <w:r w:rsidRPr="00226892">
        <w:rPr>
          <w:rFonts w:ascii="Arial" w:hAnsi="Arial" w:cs="Arial"/>
        </w:rPr>
        <w:t>účtuje</w:t>
      </w:r>
      <w:proofErr w:type="spellEnd"/>
      <w:r w:rsidRPr="00226892">
        <w:rPr>
          <w:rFonts w:ascii="Arial" w:hAnsi="Arial" w:cs="Arial"/>
        </w:rPr>
        <w:t xml:space="preserve"> </w:t>
      </w:r>
      <w:proofErr w:type="spellStart"/>
      <w:r w:rsidRPr="00226892">
        <w:rPr>
          <w:rFonts w:ascii="Arial" w:hAnsi="Arial" w:cs="Arial"/>
        </w:rPr>
        <w:t>nominačný</w:t>
      </w:r>
      <w:proofErr w:type="spellEnd"/>
      <w:r w:rsidRPr="00226892">
        <w:rPr>
          <w:rFonts w:ascii="Arial" w:hAnsi="Arial" w:cs="Arial"/>
        </w:rPr>
        <w:t xml:space="preserve"> </w:t>
      </w:r>
      <w:proofErr w:type="spellStart"/>
      <w:r w:rsidRPr="00226892">
        <w:rPr>
          <w:rFonts w:ascii="Arial" w:hAnsi="Arial" w:cs="Arial"/>
        </w:rPr>
        <w:t>poplatok</w:t>
      </w:r>
      <w:proofErr w:type="spellEnd"/>
      <w:r w:rsidRPr="00226892">
        <w:rPr>
          <w:rFonts w:ascii="Arial" w:hAnsi="Arial" w:cs="Arial"/>
        </w:rPr>
        <w:t xml:space="preserve"> </w:t>
      </w:r>
      <w:proofErr w:type="spellStart"/>
      <w:r w:rsidRPr="00226892">
        <w:rPr>
          <w:rFonts w:ascii="Arial" w:hAnsi="Arial" w:cs="Arial"/>
        </w:rPr>
        <w:t>fakturovaný</w:t>
      </w:r>
      <w:proofErr w:type="spellEnd"/>
      <w:r w:rsidRPr="00226892">
        <w:rPr>
          <w:rFonts w:ascii="Arial" w:hAnsi="Arial" w:cs="Arial"/>
        </w:rPr>
        <w:t xml:space="preserve"> </w:t>
      </w:r>
      <w:proofErr w:type="spellStart"/>
      <w:r w:rsidRPr="00226892">
        <w:rPr>
          <w:rFonts w:ascii="Arial" w:hAnsi="Arial" w:cs="Arial"/>
        </w:rPr>
        <w:t>dodávateľom</w:t>
      </w:r>
      <w:proofErr w:type="spellEnd"/>
      <w:r w:rsidRPr="00226892">
        <w:rPr>
          <w:rFonts w:ascii="Arial" w:hAnsi="Arial" w:cs="Arial"/>
        </w:rPr>
        <w:t xml:space="preserve"> </w:t>
      </w:r>
      <w:proofErr w:type="spellStart"/>
      <w:r w:rsidRPr="00226892">
        <w:rPr>
          <w:rFonts w:ascii="Arial" w:hAnsi="Arial" w:cs="Arial"/>
        </w:rPr>
        <w:t>na</w:t>
      </w:r>
      <w:proofErr w:type="spellEnd"/>
      <w:r w:rsidRPr="00226892">
        <w:rPr>
          <w:rFonts w:ascii="Arial" w:hAnsi="Arial" w:cs="Arial"/>
        </w:rPr>
        <w:t xml:space="preserve"> </w:t>
      </w:r>
      <w:proofErr w:type="spellStart"/>
      <w:r w:rsidRPr="00226892">
        <w:rPr>
          <w:rFonts w:ascii="Arial" w:hAnsi="Arial" w:cs="Arial"/>
        </w:rPr>
        <w:t>začiatku</w:t>
      </w:r>
      <w:proofErr w:type="spellEnd"/>
      <w:r w:rsidRPr="00226892">
        <w:rPr>
          <w:rFonts w:ascii="Arial" w:hAnsi="Arial" w:cs="Arial"/>
        </w:rPr>
        <w:t xml:space="preserve"> </w:t>
      </w:r>
      <w:proofErr w:type="spellStart"/>
      <w:r w:rsidRPr="00226892">
        <w:rPr>
          <w:rFonts w:ascii="Arial" w:hAnsi="Arial" w:cs="Arial"/>
        </w:rPr>
        <w:t>projektu</w:t>
      </w:r>
      <w:proofErr w:type="spellEnd"/>
      <w:r w:rsidRPr="00226892">
        <w:rPr>
          <w:rFonts w:ascii="Arial" w:hAnsi="Arial" w:cs="Arial"/>
        </w:rPr>
        <w:t xml:space="preserve"> </w:t>
      </w:r>
      <w:proofErr w:type="spellStart"/>
      <w:r w:rsidRPr="00226892">
        <w:rPr>
          <w:rFonts w:ascii="Arial" w:hAnsi="Arial" w:cs="Arial"/>
        </w:rPr>
        <w:t>na</w:t>
      </w:r>
      <w:proofErr w:type="spellEnd"/>
      <w:r w:rsidRPr="00226892">
        <w:rPr>
          <w:rFonts w:ascii="Arial" w:hAnsi="Arial" w:cs="Arial"/>
        </w:rPr>
        <w:t xml:space="preserve"> </w:t>
      </w:r>
      <w:proofErr w:type="spellStart"/>
      <w:r w:rsidRPr="00226892">
        <w:rPr>
          <w:rFonts w:ascii="Arial" w:hAnsi="Arial" w:cs="Arial"/>
        </w:rPr>
        <w:t>náklady</w:t>
      </w:r>
      <w:proofErr w:type="spellEnd"/>
      <w:r w:rsidRPr="00226892">
        <w:rPr>
          <w:rFonts w:ascii="Arial" w:hAnsi="Arial" w:cs="Arial"/>
        </w:rPr>
        <w:t xml:space="preserve"> </w:t>
      </w:r>
      <w:proofErr w:type="spellStart"/>
      <w:r w:rsidRPr="00226892">
        <w:rPr>
          <w:rFonts w:ascii="Arial" w:hAnsi="Arial" w:cs="Arial"/>
        </w:rPr>
        <w:t>budúcich</w:t>
      </w:r>
      <w:proofErr w:type="spellEnd"/>
      <w:r w:rsidRPr="00226892">
        <w:rPr>
          <w:rFonts w:ascii="Arial" w:hAnsi="Arial" w:cs="Arial"/>
        </w:rPr>
        <w:t xml:space="preserve"> </w:t>
      </w:r>
      <w:proofErr w:type="spellStart"/>
      <w:r w:rsidRPr="00226892">
        <w:rPr>
          <w:rFonts w:ascii="Arial" w:hAnsi="Arial" w:cs="Arial"/>
        </w:rPr>
        <w:t>období</w:t>
      </w:r>
      <w:proofErr w:type="spellEnd"/>
      <w:r w:rsidRPr="00226892">
        <w:rPr>
          <w:rFonts w:ascii="Arial" w:hAnsi="Arial" w:cs="Arial"/>
        </w:rPr>
        <w:t xml:space="preserve"> a </w:t>
      </w:r>
      <w:proofErr w:type="spellStart"/>
      <w:r w:rsidRPr="00226892">
        <w:rPr>
          <w:rFonts w:ascii="Arial" w:hAnsi="Arial" w:cs="Arial"/>
        </w:rPr>
        <w:t>časovo</w:t>
      </w:r>
      <w:proofErr w:type="spellEnd"/>
      <w:r w:rsidRPr="00226892">
        <w:rPr>
          <w:rFonts w:ascii="Arial" w:hAnsi="Arial" w:cs="Arial"/>
        </w:rPr>
        <w:t xml:space="preserve"> ho </w:t>
      </w:r>
      <w:proofErr w:type="spellStart"/>
      <w:r w:rsidRPr="00226892">
        <w:rPr>
          <w:rFonts w:ascii="Arial" w:hAnsi="Arial" w:cs="Arial"/>
        </w:rPr>
        <w:t>rozlišuje</w:t>
      </w:r>
      <w:proofErr w:type="spellEnd"/>
      <w:r w:rsidRPr="00226892">
        <w:rPr>
          <w:rFonts w:ascii="Arial" w:hAnsi="Arial" w:cs="Arial"/>
        </w:rPr>
        <w:t xml:space="preserve"> </w:t>
      </w:r>
      <w:proofErr w:type="spellStart"/>
      <w:r w:rsidRPr="00226892">
        <w:rPr>
          <w:rFonts w:ascii="Arial" w:hAnsi="Arial" w:cs="Arial"/>
        </w:rPr>
        <w:t>počas</w:t>
      </w:r>
      <w:proofErr w:type="spellEnd"/>
      <w:r w:rsidRPr="00226892">
        <w:rPr>
          <w:rFonts w:ascii="Arial" w:hAnsi="Arial" w:cs="Arial"/>
        </w:rPr>
        <w:t xml:space="preserve"> </w:t>
      </w:r>
      <w:proofErr w:type="spellStart"/>
      <w:r w:rsidRPr="00226892">
        <w:rPr>
          <w:rFonts w:ascii="Arial" w:hAnsi="Arial" w:cs="Arial"/>
        </w:rPr>
        <w:t>životnosti</w:t>
      </w:r>
      <w:proofErr w:type="spellEnd"/>
      <w:r w:rsidRPr="00226892">
        <w:rPr>
          <w:rFonts w:ascii="Arial" w:hAnsi="Arial" w:cs="Arial"/>
        </w:rPr>
        <w:t xml:space="preserve"> </w:t>
      </w:r>
      <w:proofErr w:type="spellStart"/>
      <w:r w:rsidRPr="00226892">
        <w:rPr>
          <w:rFonts w:ascii="Arial" w:hAnsi="Arial" w:cs="Arial"/>
        </w:rPr>
        <w:t>projektu</w:t>
      </w:r>
      <w:proofErr w:type="spellEnd"/>
      <w:r w:rsidRPr="00226892">
        <w:rPr>
          <w:rFonts w:ascii="Arial" w:hAnsi="Arial" w:cs="Arial"/>
        </w:rPr>
        <w:t xml:space="preserve"> </w:t>
      </w:r>
      <w:proofErr w:type="spellStart"/>
      <w:r w:rsidRPr="00226892">
        <w:rPr>
          <w:rFonts w:ascii="Arial" w:hAnsi="Arial" w:cs="Arial"/>
        </w:rPr>
        <w:t>od</w:t>
      </w:r>
      <w:proofErr w:type="spellEnd"/>
      <w:r w:rsidRPr="00226892">
        <w:rPr>
          <w:rFonts w:ascii="Arial" w:hAnsi="Arial" w:cs="Arial"/>
        </w:rPr>
        <w:t xml:space="preserve"> </w:t>
      </w:r>
      <w:proofErr w:type="spellStart"/>
      <w:r w:rsidRPr="00226892">
        <w:rPr>
          <w:rFonts w:ascii="Arial" w:hAnsi="Arial" w:cs="Arial"/>
        </w:rPr>
        <w:t>začiatku</w:t>
      </w:r>
      <w:proofErr w:type="spellEnd"/>
      <w:r w:rsidRPr="00226892">
        <w:rPr>
          <w:rFonts w:ascii="Arial" w:hAnsi="Arial" w:cs="Arial"/>
        </w:rPr>
        <w:t xml:space="preserve"> </w:t>
      </w:r>
      <w:proofErr w:type="spellStart"/>
      <w:r w:rsidRPr="00226892">
        <w:rPr>
          <w:rFonts w:ascii="Arial" w:hAnsi="Arial" w:cs="Arial"/>
        </w:rPr>
        <w:t>až</w:t>
      </w:r>
      <w:proofErr w:type="spellEnd"/>
      <w:r w:rsidRPr="00226892">
        <w:rPr>
          <w:rFonts w:ascii="Arial" w:hAnsi="Arial" w:cs="Arial"/>
        </w:rPr>
        <w:t xml:space="preserve"> po </w:t>
      </w:r>
      <w:proofErr w:type="spellStart"/>
      <w:r w:rsidRPr="00226892">
        <w:rPr>
          <w:rFonts w:ascii="Arial" w:hAnsi="Arial" w:cs="Arial"/>
        </w:rPr>
        <w:t>skončenie</w:t>
      </w:r>
      <w:proofErr w:type="spellEnd"/>
      <w:r w:rsidRPr="00226892">
        <w:rPr>
          <w:rFonts w:ascii="Arial" w:hAnsi="Arial" w:cs="Arial"/>
        </w:rPr>
        <w:t xml:space="preserve"> </w:t>
      </w:r>
      <w:proofErr w:type="spellStart"/>
      <w:r w:rsidRPr="00226892">
        <w:rPr>
          <w:rFonts w:ascii="Arial" w:hAnsi="Arial" w:cs="Arial"/>
        </w:rPr>
        <w:t>produkcie</w:t>
      </w:r>
      <w:proofErr w:type="spellEnd"/>
      <w:r w:rsidRPr="00226892">
        <w:rPr>
          <w:rFonts w:ascii="Arial" w:hAnsi="Arial" w:cs="Arial"/>
        </w:rPr>
        <w:t xml:space="preserve">. </w:t>
      </w:r>
      <w:proofErr w:type="spellStart"/>
      <w:r w:rsidRPr="00226892">
        <w:rPr>
          <w:rFonts w:ascii="Arial" w:hAnsi="Arial" w:cs="Arial"/>
        </w:rPr>
        <w:t>Časové</w:t>
      </w:r>
      <w:proofErr w:type="spellEnd"/>
      <w:r w:rsidRPr="00226892">
        <w:rPr>
          <w:rFonts w:ascii="Arial" w:hAnsi="Arial" w:cs="Arial"/>
        </w:rPr>
        <w:t xml:space="preserve"> </w:t>
      </w:r>
      <w:proofErr w:type="spellStart"/>
      <w:r w:rsidRPr="00226892">
        <w:rPr>
          <w:rFonts w:ascii="Arial" w:hAnsi="Arial" w:cs="Arial"/>
        </w:rPr>
        <w:t>rozlíšenie</w:t>
      </w:r>
      <w:proofErr w:type="spellEnd"/>
      <w:r w:rsidRPr="00226892">
        <w:rPr>
          <w:rFonts w:ascii="Arial" w:hAnsi="Arial" w:cs="Arial"/>
        </w:rPr>
        <w:t xml:space="preserve"> </w:t>
      </w:r>
      <w:proofErr w:type="spellStart"/>
      <w:r w:rsidRPr="00226892">
        <w:rPr>
          <w:rFonts w:ascii="Arial" w:hAnsi="Arial" w:cs="Arial"/>
        </w:rPr>
        <w:t>sa</w:t>
      </w:r>
      <w:proofErr w:type="spellEnd"/>
      <w:r w:rsidRPr="00226892">
        <w:rPr>
          <w:rFonts w:ascii="Arial" w:hAnsi="Arial" w:cs="Arial"/>
        </w:rPr>
        <w:t xml:space="preserve"> v </w:t>
      </w:r>
      <w:proofErr w:type="spellStart"/>
      <w:r w:rsidRPr="00226892">
        <w:rPr>
          <w:rFonts w:ascii="Arial" w:hAnsi="Arial" w:cs="Arial"/>
        </w:rPr>
        <w:t>jednotlivých</w:t>
      </w:r>
      <w:proofErr w:type="spellEnd"/>
      <w:r w:rsidRPr="00226892">
        <w:rPr>
          <w:rFonts w:ascii="Arial" w:hAnsi="Arial" w:cs="Arial"/>
        </w:rPr>
        <w:t xml:space="preserve"> </w:t>
      </w:r>
      <w:proofErr w:type="spellStart"/>
      <w:r w:rsidRPr="00226892">
        <w:rPr>
          <w:rFonts w:ascii="Arial" w:hAnsi="Arial" w:cs="Arial"/>
        </w:rPr>
        <w:t>rokoch</w:t>
      </w:r>
      <w:proofErr w:type="spellEnd"/>
      <w:r w:rsidRPr="00226892">
        <w:rPr>
          <w:rFonts w:ascii="Arial" w:hAnsi="Arial" w:cs="Arial"/>
        </w:rPr>
        <w:t xml:space="preserve"> </w:t>
      </w:r>
      <w:proofErr w:type="spellStart"/>
      <w:r w:rsidRPr="00226892">
        <w:rPr>
          <w:rFonts w:ascii="Arial" w:hAnsi="Arial" w:cs="Arial"/>
        </w:rPr>
        <w:t>životnosti</w:t>
      </w:r>
      <w:proofErr w:type="spellEnd"/>
      <w:r w:rsidRPr="00226892">
        <w:rPr>
          <w:rFonts w:ascii="Arial" w:hAnsi="Arial" w:cs="Arial"/>
        </w:rPr>
        <w:t xml:space="preserve"> </w:t>
      </w:r>
      <w:proofErr w:type="spellStart"/>
      <w:r w:rsidRPr="00226892">
        <w:rPr>
          <w:rFonts w:ascii="Arial" w:hAnsi="Arial" w:cs="Arial"/>
        </w:rPr>
        <w:t>projektu</w:t>
      </w:r>
      <w:proofErr w:type="spellEnd"/>
      <w:r w:rsidRPr="00226892">
        <w:rPr>
          <w:rFonts w:ascii="Arial" w:hAnsi="Arial" w:cs="Arial"/>
        </w:rPr>
        <w:t xml:space="preserve"> </w:t>
      </w:r>
      <w:proofErr w:type="spellStart"/>
      <w:r w:rsidRPr="00226892">
        <w:rPr>
          <w:rFonts w:ascii="Arial" w:hAnsi="Arial" w:cs="Arial"/>
        </w:rPr>
        <w:t>postupne</w:t>
      </w:r>
      <w:proofErr w:type="spellEnd"/>
      <w:r w:rsidRPr="00226892">
        <w:rPr>
          <w:rFonts w:ascii="Arial" w:hAnsi="Arial" w:cs="Arial"/>
        </w:rPr>
        <w:t xml:space="preserve"> </w:t>
      </w:r>
      <w:proofErr w:type="spellStart"/>
      <w:r w:rsidRPr="00226892">
        <w:rPr>
          <w:rFonts w:ascii="Arial" w:hAnsi="Arial" w:cs="Arial"/>
        </w:rPr>
        <w:t>účtuje</w:t>
      </w:r>
      <w:proofErr w:type="spellEnd"/>
      <w:r w:rsidRPr="00226892">
        <w:rPr>
          <w:rFonts w:ascii="Arial" w:hAnsi="Arial" w:cs="Arial"/>
        </w:rPr>
        <w:t xml:space="preserve"> </w:t>
      </w:r>
      <w:proofErr w:type="spellStart"/>
      <w:r w:rsidRPr="00226892">
        <w:rPr>
          <w:rFonts w:ascii="Arial" w:hAnsi="Arial" w:cs="Arial"/>
        </w:rPr>
        <w:t>ako</w:t>
      </w:r>
      <w:proofErr w:type="spellEnd"/>
      <w:r w:rsidRPr="00226892">
        <w:rPr>
          <w:rFonts w:ascii="Arial" w:hAnsi="Arial" w:cs="Arial"/>
        </w:rPr>
        <w:t xml:space="preserve"> </w:t>
      </w:r>
      <w:proofErr w:type="spellStart"/>
      <w:r w:rsidRPr="00226892">
        <w:rPr>
          <w:rFonts w:ascii="Arial" w:hAnsi="Arial" w:cs="Arial"/>
        </w:rPr>
        <w:t>zníženie</w:t>
      </w:r>
      <w:proofErr w:type="spellEnd"/>
      <w:r w:rsidRPr="00226892">
        <w:rPr>
          <w:rFonts w:ascii="Arial" w:hAnsi="Arial" w:cs="Arial"/>
        </w:rPr>
        <w:t xml:space="preserve"> </w:t>
      </w:r>
      <w:proofErr w:type="spellStart"/>
      <w:r w:rsidRPr="00226892">
        <w:rPr>
          <w:rFonts w:ascii="Arial" w:hAnsi="Arial" w:cs="Arial"/>
        </w:rPr>
        <w:t>výnosov</w:t>
      </w:r>
      <w:proofErr w:type="spellEnd"/>
      <w:r w:rsidRPr="00226892">
        <w:rPr>
          <w:rFonts w:ascii="Arial" w:hAnsi="Arial" w:cs="Arial"/>
        </w:rPr>
        <w:t xml:space="preserve"> z </w:t>
      </w:r>
      <w:proofErr w:type="spellStart"/>
      <w:r w:rsidRPr="00226892">
        <w:rPr>
          <w:rFonts w:ascii="Arial" w:hAnsi="Arial" w:cs="Arial"/>
        </w:rPr>
        <w:t>predaja</w:t>
      </w:r>
      <w:proofErr w:type="spellEnd"/>
      <w:r w:rsidRPr="00226892">
        <w:rPr>
          <w:rFonts w:ascii="Arial" w:hAnsi="Arial" w:cs="Arial"/>
        </w:rPr>
        <w:t xml:space="preserve"> </w:t>
      </w:r>
      <w:proofErr w:type="spellStart"/>
      <w:r w:rsidRPr="00226892">
        <w:rPr>
          <w:rFonts w:ascii="Arial" w:hAnsi="Arial" w:cs="Arial"/>
        </w:rPr>
        <w:t>vlastných</w:t>
      </w:r>
      <w:proofErr w:type="spellEnd"/>
      <w:r w:rsidRPr="00226892">
        <w:rPr>
          <w:rFonts w:ascii="Arial" w:hAnsi="Arial" w:cs="Arial"/>
        </w:rPr>
        <w:t xml:space="preserve"> </w:t>
      </w:r>
      <w:proofErr w:type="spellStart"/>
      <w:r w:rsidRPr="00226892">
        <w:rPr>
          <w:rFonts w:ascii="Arial" w:hAnsi="Arial" w:cs="Arial"/>
        </w:rPr>
        <w:t>výrobkov</w:t>
      </w:r>
      <w:proofErr w:type="spellEnd"/>
      <w:r w:rsidRPr="00226892">
        <w:rPr>
          <w:rFonts w:ascii="Arial" w:hAnsi="Arial" w:cs="Arial"/>
        </w:rPr>
        <w:t>.</w:t>
      </w:r>
    </w:p>
    <w:p w14:paraId="3FEA6C6D" w14:textId="77777777" w:rsidR="00452618" w:rsidRDefault="00452618">
      <w:pPr>
        <w:rPr>
          <w:rFonts w:ascii="Arial" w:hAnsi="Arial" w:cs="Arial"/>
        </w:rPr>
      </w:pPr>
      <w:r>
        <w:rPr>
          <w:rFonts w:ascii="Arial" w:hAnsi="Arial" w:cs="Arial"/>
        </w:rPr>
        <w:br w:type="page"/>
      </w:r>
    </w:p>
    <w:p w14:paraId="5110AC67" w14:textId="77777777" w:rsidR="007D7798" w:rsidRPr="00226892" w:rsidRDefault="007D7798" w:rsidP="007D7798">
      <w:pPr>
        <w:suppressAutoHyphens/>
        <w:jc w:val="both"/>
        <w:rPr>
          <w:rFonts w:ascii="Arial" w:hAnsi="Arial" w:cs="Arial"/>
        </w:rPr>
      </w:pPr>
      <w:proofErr w:type="spellStart"/>
      <w:r w:rsidRPr="00226892">
        <w:rPr>
          <w:rFonts w:ascii="Arial" w:hAnsi="Arial" w:cs="Arial"/>
        </w:rPr>
        <w:lastRenderedPageBreak/>
        <w:t>Skupina</w:t>
      </w:r>
      <w:proofErr w:type="spellEnd"/>
      <w:r w:rsidRPr="00226892">
        <w:rPr>
          <w:rFonts w:ascii="Arial" w:hAnsi="Arial" w:cs="Arial"/>
        </w:rPr>
        <w:t xml:space="preserve"> </w:t>
      </w:r>
      <w:proofErr w:type="spellStart"/>
      <w:r w:rsidRPr="00226892">
        <w:rPr>
          <w:rFonts w:ascii="Arial" w:hAnsi="Arial" w:cs="Arial"/>
        </w:rPr>
        <w:t>pri</w:t>
      </w:r>
      <w:proofErr w:type="spellEnd"/>
      <w:r w:rsidRPr="00226892">
        <w:rPr>
          <w:rFonts w:ascii="Arial" w:hAnsi="Arial" w:cs="Arial"/>
        </w:rPr>
        <w:t xml:space="preserve"> </w:t>
      </w:r>
      <w:proofErr w:type="spellStart"/>
      <w:r w:rsidRPr="00226892">
        <w:rPr>
          <w:rFonts w:ascii="Arial" w:hAnsi="Arial" w:cs="Arial"/>
        </w:rPr>
        <w:t>niektorých</w:t>
      </w:r>
      <w:proofErr w:type="spellEnd"/>
      <w:r w:rsidRPr="00226892">
        <w:rPr>
          <w:rFonts w:ascii="Arial" w:hAnsi="Arial" w:cs="Arial"/>
        </w:rPr>
        <w:t xml:space="preserve"> </w:t>
      </w:r>
      <w:proofErr w:type="spellStart"/>
      <w:r w:rsidRPr="00226892">
        <w:rPr>
          <w:rFonts w:ascii="Arial" w:hAnsi="Arial" w:cs="Arial"/>
        </w:rPr>
        <w:t>projektoch</w:t>
      </w:r>
      <w:proofErr w:type="spellEnd"/>
      <w:r w:rsidRPr="00226892">
        <w:rPr>
          <w:rFonts w:ascii="Arial" w:hAnsi="Arial" w:cs="Arial"/>
        </w:rPr>
        <w:t xml:space="preserve"> </w:t>
      </w:r>
      <w:proofErr w:type="spellStart"/>
      <w:r w:rsidRPr="00226892">
        <w:rPr>
          <w:rFonts w:ascii="Arial" w:hAnsi="Arial" w:cs="Arial"/>
        </w:rPr>
        <w:t>získava</w:t>
      </w:r>
      <w:proofErr w:type="spellEnd"/>
      <w:r w:rsidRPr="00226892">
        <w:rPr>
          <w:rFonts w:ascii="Arial" w:hAnsi="Arial" w:cs="Arial"/>
        </w:rPr>
        <w:t xml:space="preserve"> </w:t>
      </w:r>
      <w:proofErr w:type="spellStart"/>
      <w:r w:rsidRPr="00226892">
        <w:rPr>
          <w:rFonts w:ascii="Arial" w:hAnsi="Arial" w:cs="Arial"/>
        </w:rPr>
        <w:t>tiež</w:t>
      </w:r>
      <w:proofErr w:type="spellEnd"/>
      <w:r w:rsidRPr="00226892">
        <w:rPr>
          <w:rFonts w:ascii="Arial" w:hAnsi="Arial" w:cs="Arial"/>
        </w:rPr>
        <w:t xml:space="preserve"> </w:t>
      </w:r>
      <w:proofErr w:type="spellStart"/>
      <w:r w:rsidRPr="00226892">
        <w:rPr>
          <w:rFonts w:ascii="Arial" w:hAnsi="Arial" w:cs="Arial"/>
        </w:rPr>
        <w:t>cenové</w:t>
      </w:r>
      <w:proofErr w:type="spellEnd"/>
      <w:r w:rsidRPr="00226892">
        <w:rPr>
          <w:rFonts w:ascii="Arial" w:hAnsi="Arial" w:cs="Arial"/>
        </w:rPr>
        <w:t xml:space="preserve"> </w:t>
      </w:r>
      <w:proofErr w:type="spellStart"/>
      <w:r w:rsidRPr="00226892">
        <w:rPr>
          <w:rFonts w:ascii="Arial" w:hAnsi="Arial" w:cs="Arial"/>
        </w:rPr>
        <w:t>kompenzácie</w:t>
      </w:r>
      <w:proofErr w:type="spellEnd"/>
      <w:r w:rsidRPr="00226892">
        <w:rPr>
          <w:rFonts w:ascii="Arial" w:hAnsi="Arial" w:cs="Arial"/>
        </w:rPr>
        <w:t xml:space="preserve">, </w:t>
      </w:r>
      <w:proofErr w:type="spellStart"/>
      <w:r w:rsidRPr="00226892">
        <w:rPr>
          <w:rFonts w:ascii="Arial" w:hAnsi="Arial" w:cs="Arial"/>
        </w:rPr>
        <w:t>napr</w:t>
      </w:r>
      <w:proofErr w:type="spellEnd"/>
      <w:r w:rsidRPr="00226892">
        <w:rPr>
          <w:rFonts w:ascii="Arial" w:hAnsi="Arial" w:cs="Arial"/>
        </w:rPr>
        <w:t xml:space="preserve">. za </w:t>
      </w:r>
      <w:proofErr w:type="spellStart"/>
      <w:r w:rsidRPr="00226892">
        <w:rPr>
          <w:rFonts w:ascii="Arial" w:hAnsi="Arial" w:cs="Arial"/>
        </w:rPr>
        <w:t>zrušenie</w:t>
      </w:r>
      <w:proofErr w:type="spellEnd"/>
      <w:r w:rsidRPr="00226892">
        <w:rPr>
          <w:rFonts w:ascii="Arial" w:hAnsi="Arial" w:cs="Arial"/>
        </w:rPr>
        <w:t xml:space="preserve"> </w:t>
      </w:r>
      <w:proofErr w:type="spellStart"/>
      <w:r w:rsidRPr="00226892">
        <w:rPr>
          <w:rFonts w:ascii="Arial" w:hAnsi="Arial" w:cs="Arial"/>
        </w:rPr>
        <w:t>časti</w:t>
      </w:r>
      <w:proofErr w:type="spellEnd"/>
      <w:r w:rsidRPr="00226892">
        <w:rPr>
          <w:rFonts w:ascii="Arial" w:hAnsi="Arial" w:cs="Arial"/>
        </w:rPr>
        <w:t xml:space="preserve"> </w:t>
      </w:r>
      <w:proofErr w:type="spellStart"/>
      <w:r w:rsidRPr="00226892">
        <w:rPr>
          <w:rFonts w:ascii="Arial" w:hAnsi="Arial" w:cs="Arial"/>
        </w:rPr>
        <w:t>plánovanej</w:t>
      </w:r>
      <w:proofErr w:type="spellEnd"/>
      <w:r w:rsidRPr="00226892">
        <w:rPr>
          <w:rFonts w:ascii="Arial" w:hAnsi="Arial" w:cs="Arial"/>
        </w:rPr>
        <w:t xml:space="preserve"> a </w:t>
      </w:r>
      <w:proofErr w:type="spellStart"/>
      <w:r w:rsidRPr="00226892">
        <w:rPr>
          <w:rFonts w:ascii="Arial" w:hAnsi="Arial" w:cs="Arial"/>
        </w:rPr>
        <w:t>dohodnutej</w:t>
      </w:r>
      <w:proofErr w:type="spellEnd"/>
      <w:r w:rsidRPr="00226892">
        <w:rPr>
          <w:rFonts w:ascii="Arial" w:hAnsi="Arial" w:cs="Arial"/>
        </w:rPr>
        <w:t xml:space="preserve"> </w:t>
      </w:r>
      <w:proofErr w:type="spellStart"/>
      <w:r w:rsidRPr="00226892">
        <w:rPr>
          <w:rFonts w:ascii="Arial" w:hAnsi="Arial" w:cs="Arial"/>
        </w:rPr>
        <w:t>produkcie</w:t>
      </w:r>
      <w:proofErr w:type="spellEnd"/>
      <w:r w:rsidRPr="00226892">
        <w:rPr>
          <w:rFonts w:ascii="Arial" w:hAnsi="Arial" w:cs="Arial"/>
        </w:rPr>
        <w:t xml:space="preserve"> </w:t>
      </w:r>
      <w:proofErr w:type="spellStart"/>
      <w:r w:rsidRPr="00226892">
        <w:rPr>
          <w:rFonts w:ascii="Arial" w:hAnsi="Arial" w:cs="Arial"/>
        </w:rPr>
        <w:t>alebo</w:t>
      </w:r>
      <w:proofErr w:type="spellEnd"/>
      <w:r w:rsidRPr="00226892">
        <w:rPr>
          <w:rFonts w:ascii="Arial" w:hAnsi="Arial" w:cs="Arial"/>
        </w:rPr>
        <w:t xml:space="preserve"> </w:t>
      </w:r>
      <w:proofErr w:type="spellStart"/>
      <w:r w:rsidRPr="00226892">
        <w:rPr>
          <w:rFonts w:ascii="Arial" w:hAnsi="Arial" w:cs="Arial"/>
        </w:rPr>
        <w:t>pri</w:t>
      </w:r>
      <w:proofErr w:type="spellEnd"/>
      <w:r w:rsidRPr="00226892">
        <w:rPr>
          <w:rFonts w:ascii="Arial" w:hAnsi="Arial" w:cs="Arial"/>
        </w:rPr>
        <w:t xml:space="preserve"> </w:t>
      </w:r>
      <w:proofErr w:type="spellStart"/>
      <w:r w:rsidRPr="00226892">
        <w:rPr>
          <w:rFonts w:ascii="Arial" w:hAnsi="Arial" w:cs="Arial"/>
        </w:rPr>
        <w:t>dodatočných</w:t>
      </w:r>
      <w:proofErr w:type="spellEnd"/>
      <w:r w:rsidRPr="00226892">
        <w:rPr>
          <w:rFonts w:ascii="Arial" w:hAnsi="Arial" w:cs="Arial"/>
        </w:rPr>
        <w:t xml:space="preserve"> </w:t>
      </w:r>
      <w:proofErr w:type="spellStart"/>
      <w:r w:rsidRPr="00226892">
        <w:rPr>
          <w:rFonts w:ascii="Arial" w:hAnsi="Arial" w:cs="Arial"/>
        </w:rPr>
        <w:t>cenových</w:t>
      </w:r>
      <w:proofErr w:type="spellEnd"/>
      <w:r w:rsidRPr="00226892">
        <w:rPr>
          <w:rFonts w:ascii="Arial" w:hAnsi="Arial" w:cs="Arial"/>
        </w:rPr>
        <w:t xml:space="preserve"> </w:t>
      </w:r>
      <w:proofErr w:type="spellStart"/>
      <w:r w:rsidRPr="00226892">
        <w:rPr>
          <w:rFonts w:ascii="Arial" w:hAnsi="Arial" w:cs="Arial"/>
        </w:rPr>
        <w:t>úpravách</w:t>
      </w:r>
      <w:proofErr w:type="spellEnd"/>
      <w:r w:rsidRPr="00226892">
        <w:rPr>
          <w:rFonts w:ascii="Arial" w:hAnsi="Arial" w:cs="Arial"/>
        </w:rPr>
        <w:t>, o </w:t>
      </w:r>
      <w:proofErr w:type="spellStart"/>
      <w:r w:rsidRPr="00226892">
        <w:rPr>
          <w:rFonts w:ascii="Arial" w:hAnsi="Arial" w:cs="Arial"/>
        </w:rPr>
        <w:t>ktorých</w:t>
      </w:r>
      <w:proofErr w:type="spellEnd"/>
      <w:r w:rsidRPr="00226892">
        <w:rPr>
          <w:rFonts w:ascii="Arial" w:hAnsi="Arial" w:cs="Arial"/>
        </w:rPr>
        <w:t xml:space="preserve"> </w:t>
      </w:r>
      <w:proofErr w:type="spellStart"/>
      <w:r w:rsidRPr="00226892">
        <w:rPr>
          <w:rFonts w:ascii="Arial" w:hAnsi="Arial" w:cs="Arial"/>
        </w:rPr>
        <w:t>účtuje</w:t>
      </w:r>
      <w:proofErr w:type="spellEnd"/>
      <w:r w:rsidRPr="00226892">
        <w:rPr>
          <w:rFonts w:ascii="Arial" w:hAnsi="Arial" w:cs="Arial"/>
        </w:rPr>
        <w:t xml:space="preserve"> </w:t>
      </w:r>
      <w:proofErr w:type="spellStart"/>
      <w:r w:rsidRPr="00226892">
        <w:rPr>
          <w:rFonts w:ascii="Arial" w:hAnsi="Arial" w:cs="Arial"/>
        </w:rPr>
        <w:t>ako</w:t>
      </w:r>
      <w:proofErr w:type="spellEnd"/>
      <w:r w:rsidRPr="00226892">
        <w:rPr>
          <w:rFonts w:ascii="Arial" w:hAnsi="Arial" w:cs="Arial"/>
        </w:rPr>
        <w:t xml:space="preserve"> o </w:t>
      </w:r>
      <w:proofErr w:type="spellStart"/>
      <w:r w:rsidRPr="00226892">
        <w:rPr>
          <w:rFonts w:ascii="Arial" w:hAnsi="Arial" w:cs="Arial"/>
        </w:rPr>
        <w:t>príjmoch</w:t>
      </w:r>
      <w:proofErr w:type="spellEnd"/>
      <w:r w:rsidRPr="00226892">
        <w:rPr>
          <w:rFonts w:ascii="Arial" w:hAnsi="Arial" w:cs="Arial"/>
        </w:rPr>
        <w:t xml:space="preserve"> </w:t>
      </w:r>
      <w:proofErr w:type="spellStart"/>
      <w:r w:rsidRPr="00226892">
        <w:rPr>
          <w:rFonts w:ascii="Arial" w:hAnsi="Arial" w:cs="Arial"/>
        </w:rPr>
        <w:t>budúcich</w:t>
      </w:r>
      <w:proofErr w:type="spellEnd"/>
      <w:r w:rsidRPr="00226892">
        <w:rPr>
          <w:rFonts w:ascii="Arial" w:hAnsi="Arial" w:cs="Arial"/>
        </w:rPr>
        <w:t xml:space="preserve"> </w:t>
      </w:r>
      <w:proofErr w:type="spellStart"/>
      <w:r w:rsidRPr="00226892">
        <w:rPr>
          <w:rFonts w:ascii="Arial" w:hAnsi="Arial" w:cs="Arial"/>
        </w:rPr>
        <w:t>období</w:t>
      </w:r>
      <w:proofErr w:type="spellEnd"/>
      <w:r w:rsidRPr="00226892">
        <w:rPr>
          <w:rFonts w:ascii="Arial" w:hAnsi="Arial" w:cs="Arial"/>
        </w:rPr>
        <w:t xml:space="preserve"> v </w:t>
      </w:r>
      <w:proofErr w:type="spellStart"/>
      <w:r w:rsidRPr="00226892">
        <w:rPr>
          <w:rFonts w:ascii="Arial" w:hAnsi="Arial" w:cs="Arial"/>
        </w:rPr>
        <w:t>prípadoch</w:t>
      </w:r>
      <w:proofErr w:type="spellEnd"/>
      <w:r w:rsidRPr="00226892">
        <w:rPr>
          <w:rFonts w:ascii="Arial" w:hAnsi="Arial" w:cs="Arial"/>
        </w:rPr>
        <w:t xml:space="preserve">, </w:t>
      </w:r>
      <w:proofErr w:type="spellStart"/>
      <w:r w:rsidRPr="00226892">
        <w:rPr>
          <w:rFonts w:ascii="Arial" w:hAnsi="Arial" w:cs="Arial"/>
        </w:rPr>
        <w:t>keď</w:t>
      </w:r>
      <w:proofErr w:type="spellEnd"/>
      <w:r w:rsidRPr="00226892">
        <w:rPr>
          <w:rFonts w:ascii="Arial" w:hAnsi="Arial" w:cs="Arial"/>
        </w:rPr>
        <w:t xml:space="preserve"> </w:t>
      </w:r>
      <w:proofErr w:type="spellStart"/>
      <w:r w:rsidRPr="00226892">
        <w:rPr>
          <w:rFonts w:ascii="Arial" w:hAnsi="Arial" w:cs="Arial"/>
        </w:rPr>
        <w:t>sú</w:t>
      </w:r>
      <w:proofErr w:type="spellEnd"/>
      <w:r w:rsidRPr="00226892">
        <w:rPr>
          <w:rFonts w:ascii="Arial" w:hAnsi="Arial" w:cs="Arial"/>
        </w:rPr>
        <w:t xml:space="preserve"> </w:t>
      </w:r>
      <w:proofErr w:type="spellStart"/>
      <w:r w:rsidRPr="00226892">
        <w:rPr>
          <w:rFonts w:ascii="Arial" w:hAnsi="Arial" w:cs="Arial"/>
        </w:rPr>
        <w:t>finančne</w:t>
      </w:r>
      <w:proofErr w:type="spellEnd"/>
      <w:r w:rsidRPr="00226892">
        <w:rPr>
          <w:rFonts w:ascii="Arial" w:hAnsi="Arial" w:cs="Arial"/>
        </w:rPr>
        <w:t xml:space="preserve"> </w:t>
      </w:r>
      <w:proofErr w:type="spellStart"/>
      <w:r w:rsidRPr="00226892">
        <w:rPr>
          <w:rFonts w:ascii="Arial" w:hAnsi="Arial" w:cs="Arial"/>
        </w:rPr>
        <w:t>vyrovnané</w:t>
      </w:r>
      <w:proofErr w:type="spellEnd"/>
      <w:r w:rsidRPr="00226892">
        <w:rPr>
          <w:rFonts w:ascii="Arial" w:hAnsi="Arial" w:cs="Arial"/>
        </w:rPr>
        <w:t xml:space="preserve"> v </w:t>
      </w:r>
      <w:proofErr w:type="spellStart"/>
      <w:r w:rsidRPr="00226892">
        <w:rPr>
          <w:rFonts w:ascii="Arial" w:hAnsi="Arial" w:cs="Arial"/>
        </w:rPr>
        <w:t>inom</w:t>
      </w:r>
      <w:proofErr w:type="spellEnd"/>
      <w:r w:rsidRPr="00226892">
        <w:rPr>
          <w:rFonts w:ascii="Arial" w:hAnsi="Arial" w:cs="Arial"/>
        </w:rPr>
        <w:t xml:space="preserve"> </w:t>
      </w:r>
      <w:proofErr w:type="spellStart"/>
      <w:r w:rsidRPr="00226892">
        <w:rPr>
          <w:rFonts w:ascii="Arial" w:hAnsi="Arial" w:cs="Arial"/>
        </w:rPr>
        <w:t>účtovnom</w:t>
      </w:r>
      <w:proofErr w:type="spellEnd"/>
      <w:r w:rsidRPr="00226892">
        <w:rPr>
          <w:rFonts w:ascii="Arial" w:hAnsi="Arial" w:cs="Arial"/>
        </w:rPr>
        <w:t xml:space="preserve"> </w:t>
      </w:r>
      <w:proofErr w:type="spellStart"/>
      <w:r w:rsidRPr="00226892">
        <w:rPr>
          <w:rFonts w:ascii="Arial" w:hAnsi="Arial" w:cs="Arial"/>
        </w:rPr>
        <w:t>období</w:t>
      </w:r>
      <w:proofErr w:type="spellEnd"/>
      <w:r w:rsidRPr="00226892">
        <w:rPr>
          <w:rFonts w:ascii="Arial" w:hAnsi="Arial" w:cs="Arial"/>
        </w:rPr>
        <w:t xml:space="preserve"> </w:t>
      </w:r>
      <w:proofErr w:type="spellStart"/>
      <w:r w:rsidRPr="00226892">
        <w:rPr>
          <w:rFonts w:ascii="Arial" w:hAnsi="Arial" w:cs="Arial"/>
        </w:rPr>
        <w:t>ako</w:t>
      </w:r>
      <w:proofErr w:type="spellEnd"/>
      <w:r w:rsidRPr="00226892">
        <w:rPr>
          <w:rFonts w:ascii="Arial" w:hAnsi="Arial" w:cs="Arial"/>
        </w:rPr>
        <w:t xml:space="preserve"> je </w:t>
      </w:r>
      <w:proofErr w:type="spellStart"/>
      <w:r w:rsidRPr="00226892">
        <w:rPr>
          <w:rFonts w:ascii="Arial" w:hAnsi="Arial" w:cs="Arial"/>
        </w:rPr>
        <w:t>účtovné</w:t>
      </w:r>
      <w:proofErr w:type="spellEnd"/>
      <w:r w:rsidRPr="00226892">
        <w:rPr>
          <w:rFonts w:ascii="Arial" w:hAnsi="Arial" w:cs="Arial"/>
        </w:rPr>
        <w:t xml:space="preserve"> </w:t>
      </w:r>
      <w:proofErr w:type="spellStart"/>
      <w:r w:rsidRPr="00226892">
        <w:rPr>
          <w:rFonts w:ascii="Arial" w:hAnsi="Arial" w:cs="Arial"/>
        </w:rPr>
        <w:t>obdobie</w:t>
      </w:r>
      <w:proofErr w:type="spellEnd"/>
      <w:r w:rsidRPr="00226892">
        <w:rPr>
          <w:rFonts w:ascii="Arial" w:hAnsi="Arial" w:cs="Arial"/>
        </w:rPr>
        <w:t>, v </w:t>
      </w:r>
      <w:proofErr w:type="spellStart"/>
      <w:r w:rsidRPr="00226892">
        <w:rPr>
          <w:rFonts w:ascii="Arial" w:hAnsi="Arial" w:cs="Arial"/>
        </w:rPr>
        <w:t>ktorom</w:t>
      </w:r>
      <w:proofErr w:type="spellEnd"/>
      <w:r w:rsidRPr="00226892">
        <w:rPr>
          <w:rFonts w:ascii="Arial" w:hAnsi="Arial" w:cs="Arial"/>
        </w:rPr>
        <w:t xml:space="preserve"> </w:t>
      </w:r>
      <w:proofErr w:type="spellStart"/>
      <w:r w:rsidRPr="00226892">
        <w:rPr>
          <w:rFonts w:ascii="Arial" w:hAnsi="Arial" w:cs="Arial"/>
        </w:rPr>
        <w:t>boli</w:t>
      </w:r>
      <w:proofErr w:type="spellEnd"/>
      <w:r w:rsidRPr="00226892">
        <w:rPr>
          <w:rFonts w:ascii="Arial" w:hAnsi="Arial" w:cs="Arial"/>
        </w:rPr>
        <w:t xml:space="preserve"> </w:t>
      </w:r>
      <w:proofErr w:type="spellStart"/>
      <w:r w:rsidRPr="00226892">
        <w:rPr>
          <w:rFonts w:ascii="Arial" w:hAnsi="Arial" w:cs="Arial"/>
        </w:rPr>
        <w:t>priznané</w:t>
      </w:r>
      <w:proofErr w:type="spellEnd"/>
      <w:r w:rsidRPr="00226892">
        <w:rPr>
          <w:rFonts w:ascii="Arial" w:hAnsi="Arial" w:cs="Arial"/>
        </w:rPr>
        <w:t>.</w:t>
      </w:r>
    </w:p>
    <w:p w14:paraId="077F93A4" w14:textId="77777777" w:rsidR="007D7798" w:rsidRPr="00226892" w:rsidRDefault="007D7798" w:rsidP="00FE291C">
      <w:pPr>
        <w:suppressAutoHyphens/>
        <w:ind w:left="426"/>
        <w:jc w:val="both"/>
        <w:rPr>
          <w:rFonts w:ascii="Arial" w:hAnsi="Arial" w:cs="Arial"/>
          <w:lang w:val="sk-SK"/>
        </w:rPr>
      </w:pPr>
    </w:p>
    <w:p w14:paraId="1A8EB401" w14:textId="1A8D3BDD" w:rsidR="00A25607" w:rsidRPr="00226892" w:rsidRDefault="00A25607" w:rsidP="001C5911">
      <w:pPr>
        <w:pStyle w:val="Nadpis1"/>
      </w:pPr>
      <w:bookmarkStart w:id="101" w:name="_Toc329090262"/>
      <w:bookmarkStart w:id="102" w:name="_Toc329090263"/>
      <w:bookmarkStart w:id="103" w:name="_Toc329090264"/>
      <w:bookmarkStart w:id="104" w:name="_Toc329090265"/>
      <w:bookmarkStart w:id="105" w:name="_Toc199072854"/>
      <w:bookmarkStart w:id="106" w:name="_Toc325985777"/>
      <w:bookmarkStart w:id="107" w:name="_Toc387812480"/>
      <w:bookmarkStart w:id="108" w:name="_Toc27409977"/>
      <w:bookmarkEnd w:id="101"/>
      <w:bookmarkEnd w:id="102"/>
      <w:bookmarkEnd w:id="103"/>
      <w:bookmarkEnd w:id="104"/>
      <w:r w:rsidRPr="00226892">
        <w:t>Finančný majetok</w:t>
      </w:r>
      <w:bookmarkEnd w:id="105"/>
      <w:bookmarkEnd w:id="106"/>
      <w:bookmarkEnd w:id="107"/>
      <w:bookmarkEnd w:id="108"/>
    </w:p>
    <w:p w14:paraId="720EDF6E" w14:textId="14240194" w:rsidR="005B7F67" w:rsidRPr="00226892" w:rsidRDefault="00BC58FD" w:rsidP="00BC58FD">
      <w:pPr>
        <w:pStyle w:val="ABC-paragrahinNotes"/>
        <w:suppressAutoHyphens/>
        <w:rPr>
          <w:rFonts w:cs="Arial"/>
          <w:sz w:val="20"/>
          <w:lang w:val="sk-SK"/>
        </w:rPr>
      </w:pPr>
      <w:r w:rsidRPr="00226892">
        <w:rPr>
          <w:rFonts w:cs="Arial"/>
          <w:sz w:val="20"/>
          <w:lang w:val="sk-SK"/>
        </w:rPr>
        <w:t>Reálna hodnota je cena, ktorá by bola prijatá pri predaji majetku alebo zaplatená za prevod záväzku v bežnej transakcii medzi účastníkmi trhu k dátumu ocenenia. Najlepším dôkazom reálnej hodnoty je cena na aktívnom trhu. Aktívny trh je trh, v ktorom transakcie týkajúce sa aktíva alebo záväzku sa uskutočňujú dostatočne často a v takom objeme, že môžu priebežne poskytovať informácie o cenách.</w:t>
      </w:r>
    </w:p>
    <w:p w14:paraId="3F9E835C" w14:textId="77777777" w:rsidR="00BC58FD" w:rsidRPr="00226892" w:rsidRDefault="00BC58FD" w:rsidP="00BC58FD">
      <w:pPr>
        <w:pStyle w:val="ABC-paragrahinNotes"/>
        <w:suppressAutoHyphens/>
        <w:rPr>
          <w:rFonts w:cs="Arial"/>
          <w:sz w:val="20"/>
          <w:lang w:val="sk-SK"/>
        </w:rPr>
      </w:pPr>
      <w:r w:rsidRPr="00226892">
        <w:rPr>
          <w:rFonts w:cs="Arial"/>
          <w:sz w:val="20"/>
          <w:lang w:val="sk-SK"/>
        </w:rPr>
        <w:t>Transakčné náklady sú dodatočné náklady, ktoré možno priamo pripísať akvizícii, emisii alebo vyradeniu finančného nástroja. Dodatočné náklady sú také, ktoré by nevznikli, keby sa transakcia neuskutočnila. Transakčné náklady zahŕňajú poplatky a provízie vyplácané obchodným zástupcom (vrátane zamestnancov, ktorí konajú ako predajcovia), poradcom, sprostredkovateľom a obchodníkom, odvody do regulačných agentúr a búrz cenných papierov a dané a poplatky z prevodu. Transakčné náklady nezahŕňajú prémie alebo diskonty dlhových nástrojov, náklady na financovanie alebo interné administratívne náklady alebo náklady na údržbu.</w:t>
      </w:r>
    </w:p>
    <w:p w14:paraId="1EE8709A" w14:textId="77777777" w:rsidR="00BC58FD" w:rsidRPr="00226892" w:rsidRDefault="00BC58FD" w:rsidP="00BC58FD">
      <w:pPr>
        <w:pStyle w:val="ABC-paragrahinNotes"/>
        <w:suppressAutoHyphens/>
        <w:rPr>
          <w:rFonts w:cs="Arial"/>
          <w:sz w:val="20"/>
          <w:lang w:val="sk-SK"/>
        </w:rPr>
      </w:pPr>
      <w:r w:rsidRPr="00226892">
        <w:rPr>
          <w:rFonts w:cs="Arial"/>
          <w:sz w:val="20"/>
          <w:lang w:val="sk-SK"/>
        </w:rPr>
        <w:t xml:space="preserve">Amortizovaná hodnota </w:t>
      </w:r>
      <w:r w:rsidRPr="00226892">
        <w:rPr>
          <w:rFonts w:cs="Arial"/>
          <w:b/>
          <w:sz w:val="20"/>
          <w:lang w:val="sk-SK"/>
        </w:rPr>
        <w:t>(„AH")</w:t>
      </w:r>
      <w:r w:rsidRPr="00226892">
        <w:rPr>
          <w:rFonts w:cs="Arial"/>
          <w:sz w:val="20"/>
          <w:lang w:val="sk-SK"/>
        </w:rPr>
        <w:t xml:space="preserve"> je hodnota, za ktorú bol finančný nástroj vykázaný pri prvotnom vykázaní znížený o splátky istiny plus kumulované úroky a pre finančné aktíva znížené o akékoľvek opravné položky na očakávané úverové straty </w:t>
      </w:r>
      <w:r w:rsidRPr="00226892">
        <w:rPr>
          <w:rFonts w:cs="Arial"/>
          <w:b/>
          <w:sz w:val="20"/>
          <w:lang w:val="sk-SK"/>
        </w:rPr>
        <w:t>(„ECL“)</w:t>
      </w:r>
      <w:r w:rsidRPr="00226892">
        <w:rPr>
          <w:rFonts w:cs="Arial"/>
          <w:sz w:val="20"/>
          <w:lang w:val="sk-SK"/>
        </w:rPr>
        <w:t>. Časovo rozlíšený úrok zahŕňa amortizáciu transakčných nákladov časovo rozlíšených pri prvotnom vykázaní a akúkoľvek prémiu alebo diskont dlhového nástroja do splatnej sumy použitím metódy efektívnej úrokovej miery. Časovo rozlíšené úrokové výnosy a časovo rozlíšené úrokové náklady vrátane časovo rozlíšeného kupónu a amortizovaného diskontu dlhového nástroja alebo prémie (vrátane prípadných časovo rozlíšených poplatkov) nie sú vykazované samostatne a sú zahrnuté do účtovných hodnôt súvisiacich položiek vo výkaze o finančnej situácii.</w:t>
      </w:r>
    </w:p>
    <w:p w14:paraId="369F72DB" w14:textId="77777777" w:rsidR="00BC58FD" w:rsidRPr="00226892" w:rsidRDefault="00BC58FD" w:rsidP="00BC58FD">
      <w:pPr>
        <w:pStyle w:val="ABC-paragrahinNotes"/>
        <w:suppressAutoHyphens/>
        <w:rPr>
          <w:rFonts w:cs="Arial"/>
          <w:sz w:val="20"/>
          <w:lang w:val="sk-SK"/>
        </w:rPr>
      </w:pPr>
      <w:r w:rsidRPr="00226892">
        <w:rPr>
          <w:rFonts w:cs="Arial"/>
          <w:i/>
          <w:sz w:val="20"/>
          <w:lang w:val="sk-SK"/>
        </w:rPr>
        <w:t>Metóda efektívnej úrokovej miery</w:t>
      </w:r>
      <w:r w:rsidRPr="00226892">
        <w:rPr>
          <w:rFonts w:cs="Arial"/>
          <w:sz w:val="20"/>
          <w:lang w:val="sk-SK"/>
        </w:rPr>
        <w:t xml:space="preserve"> je metóda rozloženia úrokových výnosov alebo úrokových nákladov počas príslušného obdobia tak, aby sa dosiahla konštantná pravidelná úroková miera (efektívna úroková miera) z účtovnej hodnoty. Efektívna úroková miera je sadzba, ktorá presne diskontuje odhadované budúce platby alebo príjmy (okrem budúcich úverových strát) počas očakávanej životnosti finančného nástroja alebo kratšieho obdobia, ak je to vhodné, na brutto účtovnú hodnotu finančného nástroja. Efektívna úroková sadzba diskontuje peňažné toky nástrojov s variabilným úrokom do nasledujúceho dátumu precenenia úrokovej sadzby okrem prémie alebo diskontu dlhového nástroja, ktoré odrážajú úverové rozpätie nad pohyblivou sadzbou špecifikovanou nástrojom alebo inými premennými, ktoré nie sú precenené, tak aby zohľadňovali trhové sadzby. Takéto prémie alebo diskonty dlhových nástrojov sa amortizujú počas celej predpokladanej doby životnosti nástroja. Výpočet súčasnej hodnoty zahŕňa všetky zaplatené alebo prijaté poplatky medzi zmluvnými stranami, ktoré sú neoddeliteľnou súčasťou efektívnej úrokovej miery.</w:t>
      </w:r>
    </w:p>
    <w:p w14:paraId="6761DEE7" w14:textId="77777777" w:rsidR="00BC58FD" w:rsidRPr="00226892" w:rsidRDefault="00BC58FD" w:rsidP="00BC58FD">
      <w:pPr>
        <w:pStyle w:val="ABC-paragrahinNotes"/>
        <w:suppressAutoHyphens/>
        <w:rPr>
          <w:rFonts w:cs="Arial"/>
          <w:sz w:val="20"/>
          <w:lang w:val="sk-SK"/>
        </w:rPr>
      </w:pPr>
      <w:r w:rsidRPr="00226892">
        <w:rPr>
          <w:rFonts w:cs="Arial"/>
          <w:b/>
          <w:i/>
          <w:sz w:val="20"/>
          <w:lang w:val="sk-SK"/>
        </w:rPr>
        <w:t>Finančné nástroje – prvotné vykazovanie.</w:t>
      </w:r>
      <w:r w:rsidRPr="00226892">
        <w:rPr>
          <w:rFonts w:cs="Arial"/>
          <w:sz w:val="20"/>
          <w:lang w:val="sk-SK"/>
        </w:rPr>
        <w:t xml:space="preserve"> Všetky finančné nástroje sa prvotne vykazujú v reálnej hodnote upravenej o transakčné náklady. Reálna hodnota pri prvotnom vykázaní sa najlepšie preukazuje transakčnou cenou. O zisku alebo strate pri prvotnom vykázaní sa účtuje iba vtedy, ak existuje rozdiel medzi reálnou hodnotou a transakčnou cenou, ktorý možno doložiť inými bežnými trhovými transakciami toho istého nástroja alebo technikou oceňovania, ktorej vstupy zahŕňajú iba údaje z pozorovateľných trhov. Po prvotnom vykázaní sa pre finančné aktíva oceňované amortizovanou hodnotu vykáže opravná položka, čo vedie k okamžitej účtovnej strate.</w:t>
      </w:r>
    </w:p>
    <w:p w14:paraId="17001F71" w14:textId="77777777" w:rsidR="00BC58FD" w:rsidRPr="00226892" w:rsidRDefault="00BC58FD" w:rsidP="00BC58FD">
      <w:pPr>
        <w:pStyle w:val="ABC-paragrahinNotes"/>
        <w:suppressAutoHyphens/>
        <w:rPr>
          <w:rFonts w:cs="Arial"/>
          <w:sz w:val="20"/>
          <w:lang w:val="sk-SK"/>
        </w:rPr>
      </w:pPr>
      <w:r w:rsidRPr="00226892">
        <w:rPr>
          <w:rFonts w:cs="Arial"/>
          <w:b/>
          <w:i/>
          <w:sz w:val="20"/>
          <w:lang w:val="sk-SK"/>
        </w:rPr>
        <w:t>Finančné aktíva – klasifikácia a následné oceňovanie – kategórie oceňovania.</w:t>
      </w:r>
      <w:r w:rsidRPr="00226892">
        <w:rPr>
          <w:rFonts w:cs="Arial"/>
          <w:sz w:val="20"/>
          <w:lang w:val="sk-SK"/>
        </w:rPr>
        <w:t xml:space="preserve"> Spoločnosť klasifikuje finančné aktíva len v kategórii amortizovaná hodnota. Klasifikácia a následné ocenenie finančných aktív závisí od: (i) obchodného modelu Spoločnosti na riadenie portfólia súvisiacich aktív a (ii) vlastností peňažných tokov majetku.</w:t>
      </w:r>
    </w:p>
    <w:p w14:paraId="256195E2" w14:textId="77777777" w:rsidR="00BC58FD" w:rsidRPr="00226892" w:rsidRDefault="00BC58FD" w:rsidP="00BC58FD">
      <w:pPr>
        <w:pStyle w:val="ABC-paragrahinNotes"/>
        <w:suppressAutoHyphens/>
        <w:rPr>
          <w:rFonts w:cs="Arial"/>
          <w:sz w:val="20"/>
          <w:lang w:val="sk-SK"/>
        </w:rPr>
      </w:pPr>
      <w:r w:rsidRPr="00226892">
        <w:rPr>
          <w:rFonts w:cs="Arial"/>
          <w:b/>
          <w:i/>
          <w:sz w:val="20"/>
          <w:lang w:val="sk-SK"/>
        </w:rPr>
        <w:t>Finančné aktíva – klasifikácia a následné oceňovanie – obchodný model.</w:t>
      </w:r>
      <w:r w:rsidRPr="00226892">
        <w:rPr>
          <w:rFonts w:cs="Arial"/>
          <w:sz w:val="20"/>
          <w:lang w:val="sk-SK"/>
        </w:rPr>
        <w:t xml:space="preserve"> Obchodný model odzrkadľuje, ako Spoločnosť spravuje aktíva za účelom vytvárania peňažných tokov, t. j. či je cieľom Spoločnosti: (i) výlučne zinkasovať zmluvné peňažné toky z aktív (držba na účely zinkasovania zmluvných peňažných tokov), alebo (ii ) zinkasovať zmluvné peňažné toky a peňažné toky vznikajúce z predaja aktív (držba na účely získavania zmluvných peňažných tokov a peňažných tokov z predaja), alebo ak nie je uplatniteľná ani jedna z položiek (i) a (ii), finančné aktíva sú klasifikované ako súčasť „iného“ obchodného modelu a ocenené pomocou reálnej hodnoty cez výkaz ziskov a strát </w:t>
      </w:r>
      <w:r w:rsidRPr="00226892">
        <w:rPr>
          <w:rFonts w:cs="Arial"/>
          <w:b/>
          <w:sz w:val="20"/>
          <w:lang w:val="sk-SK"/>
        </w:rPr>
        <w:t>(„FVTPL“).</w:t>
      </w:r>
    </w:p>
    <w:p w14:paraId="79686D6D" w14:textId="50A4DB91" w:rsidR="005B7F67" w:rsidRPr="00226892" w:rsidRDefault="00BC58FD" w:rsidP="00BC58FD">
      <w:pPr>
        <w:pStyle w:val="ABC-paragrahinNotes"/>
        <w:suppressAutoHyphens/>
        <w:rPr>
          <w:rFonts w:cs="Arial"/>
          <w:sz w:val="20"/>
          <w:lang w:val="sk-SK"/>
        </w:rPr>
      </w:pPr>
      <w:r w:rsidRPr="00226892">
        <w:rPr>
          <w:rFonts w:cs="Arial"/>
          <w:sz w:val="20"/>
          <w:lang w:val="sk-SK"/>
        </w:rPr>
        <w:lastRenderedPageBreak/>
        <w:t>Obchodný model je určený pre skupinu aktív (na úrovni portfólia) na základe všetkých relevantných dôkazov o činnostiach, ktoré Spoločnosť vykonáva za účelom dosiahnuť cieľ stanovený pre portfólio dostupné v deň hodnotenia. Faktory, ktoré Spoločnosť zvažuje pri určovaní obchodného modelu, zahŕňajú účel a zloženie portfólia a predchádzajúce skúsenosti s tým, ako boli peňažné toky za príslušné aktíva inkasované. Obchodný model, ktorý Spoločnosť používa, má za účel držať finančné aktíva do splatnosti a zinkasovať zmluvné peňažné toky.</w:t>
      </w:r>
    </w:p>
    <w:p w14:paraId="0EBCB6A7" w14:textId="77777777" w:rsidR="00BC58FD" w:rsidRPr="00226892" w:rsidRDefault="00BC58FD" w:rsidP="00BC58FD">
      <w:pPr>
        <w:pStyle w:val="ABC-paragrahinNotes"/>
        <w:suppressAutoHyphens/>
        <w:rPr>
          <w:rFonts w:cs="Arial"/>
          <w:sz w:val="20"/>
          <w:lang w:val="sk-SK"/>
        </w:rPr>
      </w:pPr>
      <w:r w:rsidRPr="00226892">
        <w:rPr>
          <w:rFonts w:cs="Arial"/>
          <w:b/>
          <w:i/>
          <w:sz w:val="20"/>
          <w:lang w:val="sk-SK"/>
        </w:rPr>
        <w:t>Finančné aktíva – klasifikácia a následné ocenenie – charakteristiky peňažného toku.</w:t>
      </w:r>
      <w:r w:rsidRPr="00226892">
        <w:rPr>
          <w:rFonts w:cs="Arial"/>
          <w:sz w:val="20"/>
          <w:lang w:val="sk-SK"/>
        </w:rPr>
        <w:t xml:space="preserve"> Ak je cieľom obchodného modelu držať aktíva na zinkasovanie zmluvných peňažných tokov alebo držať finančné aktíva za účelom zinkasovania peňažných tokov a predaja, tak Spoločnosť posudzuje, či peňažné toky predstavujú výlučne platby istiny a úrokov („</w:t>
      </w:r>
      <w:r w:rsidRPr="00226892">
        <w:rPr>
          <w:rFonts w:cs="Arial"/>
          <w:b/>
          <w:sz w:val="20"/>
          <w:lang w:val="sk-SK"/>
        </w:rPr>
        <w:t>SPPI</w:t>
      </w:r>
      <w:r w:rsidRPr="00226892">
        <w:rPr>
          <w:rFonts w:cs="Arial"/>
          <w:sz w:val="20"/>
          <w:lang w:val="sk-SK"/>
        </w:rPr>
        <w:t xml:space="preserve">“). Finančné aktíva s vnorenými derivátmi sa berú do úvahy ako celok pri určovaní, či sú ich peňažné toky v súlade s požiadavkou </w:t>
      </w:r>
      <w:r w:rsidRPr="00226892">
        <w:rPr>
          <w:rFonts w:cs="Arial"/>
          <w:b/>
          <w:sz w:val="20"/>
          <w:lang w:val="sk-SK"/>
        </w:rPr>
        <w:t>SPPI</w:t>
      </w:r>
      <w:r w:rsidRPr="00226892">
        <w:rPr>
          <w:rFonts w:cs="Arial"/>
          <w:sz w:val="20"/>
          <w:lang w:val="sk-SK"/>
        </w:rPr>
        <w:t>. Pri tomto posúdení Spoločnosť posudzuje, či sú zmluvné peňažné toky v súlade so základnými úverovými dojednaniami, t. j. úroky zahŕňajú iba zohľadnenie úverového rizika, časovú hodnotu peňazí, ostatné základné úverové riziká a ziskovú maržu.</w:t>
      </w:r>
    </w:p>
    <w:p w14:paraId="4130A680" w14:textId="77777777" w:rsidR="00BC58FD" w:rsidRPr="00226892" w:rsidRDefault="00BC58FD" w:rsidP="00BC58FD">
      <w:pPr>
        <w:pStyle w:val="ABC-paragrahinNotes"/>
        <w:suppressAutoHyphens/>
        <w:rPr>
          <w:rFonts w:cs="Arial"/>
          <w:sz w:val="20"/>
          <w:lang w:val="sk-SK"/>
        </w:rPr>
      </w:pPr>
      <w:r w:rsidRPr="00226892">
        <w:rPr>
          <w:rFonts w:cs="Arial"/>
          <w:sz w:val="20"/>
          <w:lang w:val="sk-SK"/>
        </w:rPr>
        <w:t>Ak zmluvné podmienky zavádzajú expozíciu voči riziku alebo volatilitu, ktorá je v rozpore so základnými úverovými dojednaniami poskytovania úverov, finančné aktívum sa klasifikuje a oceňuje na základe FVTPL. Posúdenie SPPI sa vykonáva pri prvotnom vykázaní majetku a následne sa neprehodnocuje. Spoločnosť vykonáva test SPPI pre svoje finančné aktíva.</w:t>
      </w:r>
    </w:p>
    <w:p w14:paraId="10C8227F" w14:textId="516156D8" w:rsidR="00BC58FD" w:rsidRPr="00226892" w:rsidRDefault="00BC58FD" w:rsidP="00BC58FD">
      <w:pPr>
        <w:pStyle w:val="ABC-paragrahinNotes"/>
        <w:suppressAutoHyphens/>
        <w:rPr>
          <w:rFonts w:cs="Arial"/>
          <w:sz w:val="20"/>
          <w:lang w:val="sk-SK"/>
        </w:rPr>
      </w:pPr>
      <w:r w:rsidRPr="00226892">
        <w:rPr>
          <w:rFonts w:cs="Arial"/>
          <w:sz w:val="20"/>
          <w:lang w:val="sk-SK"/>
        </w:rPr>
        <w:t>Spoločnosť má vo svojej držbe len pohľadávky z obchodného styku, zmluvné aktíva a peniaze a peňažné ekvivalenty. Charakteristika týchto finančných aktív je krátkodobá a zmluvné peňažné toky predstavujú splátku istiny a úroku, ktorý zohľadňuje časovú hodnotu peňazí a preto ich Spoločnosť oceňuje v amortizovanej hodnote.</w:t>
      </w:r>
    </w:p>
    <w:p w14:paraId="7ADA54FA" w14:textId="1E4D8ED0" w:rsidR="00BC58FD" w:rsidRPr="00226892" w:rsidRDefault="00BC58FD" w:rsidP="00BC58FD">
      <w:pPr>
        <w:pStyle w:val="ABC-paragrahinNotes"/>
        <w:suppressAutoHyphens/>
        <w:rPr>
          <w:rFonts w:cs="Arial"/>
          <w:sz w:val="20"/>
          <w:lang w:val="sk-SK"/>
        </w:rPr>
      </w:pPr>
      <w:r w:rsidRPr="00226892">
        <w:rPr>
          <w:rFonts w:cs="Arial"/>
          <w:b/>
          <w:i/>
          <w:sz w:val="20"/>
          <w:lang w:val="sk-SK"/>
        </w:rPr>
        <w:t xml:space="preserve">Finančné aktíva – </w:t>
      </w:r>
      <w:proofErr w:type="spellStart"/>
      <w:r w:rsidRPr="00226892">
        <w:rPr>
          <w:rFonts w:cs="Arial"/>
          <w:b/>
          <w:i/>
          <w:sz w:val="20"/>
          <w:lang w:val="sk-SK"/>
        </w:rPr>
        <w:t>reklasifikácia</w:t>
      </w:r>
      <w:proofErr w:type="spellEnd"/>
      <w:r w:rsidRPr="00226892">
        <w:rPr>
          <w:rFonts w:cs="Arial"/>
          <w:b/>
          <w:i/>
          <w:sz w:val="20"/>
          <w:lang w:val="sk-SK"/>
        </w:rPr>
        <w:t>.</w:t>
      </w:r>
      <w:r w:rsidRPr="00226892">
        <w:rPr>
          <w:rFonts w:cs="Arial"/>
          <w:sz w:val="20"/>
          <w:lang w:val="sk-SK"/>
        </w:rPr>
        <w:t xml:space="preserve"> Finančné nástroje sa </w:t>
      </w:r>
      <w:proofErr w:type="spellStart"/>
      <w:r w:rsidRPr="00226892">
        <w:rPr>
          <w:rFonts w:cs="Arial"/>
          <w:sz w:val="20"/>
          <w:lang w:val="sk-SK"/>
        </w:rPr>
        <w:t>reklasifikujú</w:t>
      </w:r>
      <w:proofErr w:type="spellEnd"/>
      <w:r w:rsidRPr="00226892">
        <w:rPr>
          <w:rFonts w:cs="Arial"/>
          <w:sz w:val="20"/>
          <w:lang w:val="sk-SK"/>
        </w:rPr>
        <w:t xml:space="preserve"> iba vtedy, keď sa zmení obchodný model na riadenie portfólia ako celku. Táto </w:t>
      </w:r>
      <w:proofErr w:type="spellStart"/>
      <w:r w:rsidRPr="00226892">
        <w:rPr>
          <w:rFonts w:cs="Arial"/>
          <w:sz w:val="20"/>
          <w:lang w:val="sk-SK"/>
        </w:rPr>
        <w:t>reklasifikácia</w:t>
      </w:r>
      <w:proofErr w:type="spellEnd"/>
      <w:r w:rsidRPr="00226892">
        <w:rPr>
          <w:rFonts w:cs="Arial"/>
          <w:sz w:val="20"/>
          <w:lang w:val="sk-SK"/>
        </w:rPr>
        <w:t xml:space="preserve"> má budúci účinok a prebieha od začiatku prvého obdobia vykazovania, ktoré nasleduje po zmene obchodného modelu. Spoločnosť nemenila svoj obchodný model počas súčasného obdobia a nevykonávala žiadne </w:t>
      </w:r>
      <w:proofErr w:type="spellStart"/>
      <w:r w:rsidRPr="00226892">
        <w:rPr>
          <w:rFonts w:cs="Arial"/>
          <w:sz w:val="20"/>
          <w:lang w:val="sk-SK"/>
        </w:rPr>
        <w:t>reklasifikácie</w:t>
      </w:r>
      <w:proofErr w:type="spellEnd"/>
      <w:r w:rsidRPr="00226892">
        <w:rPr>
          <w:rFonts w:cs="Arial"/>
          <w:sz w:val="20"/>
          <w:lang w:val="sk-SK"/>
        </w:rPr>
        <w:t>.</w:t>
      </w:r>
    </w:p>
    <w:p w14:paraId="24FAE718" w14:textId="77777777" w:rsidR="00BC58FD" w:rsidRPr="00226892" w:rsidRDefault="00BC58FD" w:rsidP="00BC58FD">
      <w:pPr>
        <w:pStyle w:val="ABC-paragrahinNotes"/>
        <w:suppressAutoHyphens/>
        <w:rPr>
          <w:rFonts w:cs="Arial"/>
          <w:sz w:val="20"/>
          <w:lang w:val="sk-SK"/>
        </w:rPr>
      </w:pPr>
      <w:r w:rsidRPr="00226892">
        <w:rPr>
          <w:rFonts w:cs="Arial"/>
          <w:b/>
          <w:i/>
          <w:sz w:val="20"/>
          <w:lang w:val="sk-SK"/>
        </w:rPr>
        <w:t>Zníženie hodnoty finančných aktív – opravná položka z očakávaných úverových strát („ECL“).</w:t>
      </w:r>
      <w:r w:rsidRPr="00226892">
        <w:rPr>
          <w:rFonts w:cs="Arial"/>
          <w:sz w:val="20"/>
          <w:lang w:val="sk-SK"/>
        </w:rPr>
        <w:t xml:space="preserve"> Spoločnosť určuje ECL, na základe predpokladaného budúceho vývoja, k pohľadávkam oceňovaným v amortizovanej hodnote a k zmluvným aktívam. Spoločnosť vypočítava ECL a vykazuje čisté straty zo zníženia hodnoty finančných a zmluvných aktív ku každému dátumu vykazovania. Výpočet ECL odzrkadľuje: (i) nezaujatú a pravdepodobnosťou váženú sumu, ktorá je určená vyhodnotením spektra možných výsledkov, (ii) časovú hodnotu peňazí a (iii) všetky dostupné a preukázateľné informácie, ktoré sú k dispozícii bez neprimeraných nákladov a úsilia na konci každého vykazovaného obdobia o minulých udalostiach, súčasných podmienkach a predpovediach budúcich podmienok.</w:t>
      </w:r>
    </w:p>
    <w:p w14:paraId="7C89EB89" w14:textId="77777777" w:rsidR="00BC58FD" w:rsidRPr="00226892" w:rsidRDefault="00BC58FD" w:rsidP="00BC58FD">
      <w:pPr>
        <w:pStyle w:val="ABC-paragrahinNotes"/>
        <w:suppressAutoHyphens/>
        <w:rPr>
          <w:rFonts w:cs="Arial"/>
          <w:sz w:val="20"/>
          <w:lang w:val="sk-SK"/>
        </w:rPr>
      </w:pPr>
      <w:r w:rsidRPr="00226892">
        <w:rPr>
          <w:rFonts w:cs="Arial"/>
          <w:sz w:val="20"/>
          <w:lang w:val="sk-SK"/>
        </w:rPr>
        <w:t>Pohľadávky oceňované v amortizovanej hodnote sú prezentované vo výkaze o finančnej situácii po odpočítaní opravnej položky ECL.</w:t>
      </w:r>
    </w:p>
    <w:p w14:paraId="5A84F3AF" w14:textId="206C9316" w:rsidR="00BC58FD" w:rsidRPr="00226892" w:rsidRDefault="00BC58FD" w:rsidP="00BC58FD">
      <w:pPr>
        <w:pStyle w:val="ABC-paragrahinNotes"/>
        <w:suppressAutoHyphens/>
        <w:rPr>
          <w:rFonts w:cs="Arial"/>
          <w:sz w:val="20"/>
          <w:lang w:val="sk-SK"/>
        </w:rPr>
      </w:pPr>
      <w:r w:rsidRPr="00226892">
        <w:rPr>
          <w:rFonts w:cs="Arial"/>
          <w:sz w:val="20"/>
          <w:lang w:val="sk-SK"/>
        </w:rPr>
        <w:t>Spoločnosť aplikuje na pohľadávky z obchodného styku zjednodušený prístup podľa IFRS 9, t. j. meria ECL pomocou celoživotných očakávaných strát. Spoločnosť na výpočet celoživotných očakávaných strát pre pohľadávky z obchodného styku používa maticu, ktorá zohľadňuje dobu obratu pohľadávok počas aktuálneho obdobia, výnosy za aktuálne obdobie a výšku odpísaných pohľadávok. Vzhľadom na to, že takmer všetky pohľadávky sú voči spoločnostiam v skupine, Spoločnosť zvážila predpokladaný vývoj HDP v Nemecku a očakávanú platobnú disciplínu na ďalších 12 mesiacov. Na základe týchto ukazovateľov sa rozhodla, že tvorba opravných položiek k pohľadávkam z obchodného styku na základe historických údajov je dostačujúca, keďže vývoj daných ukazovateľov zodpovedá vývoju z predošlých rokov. Pohľadávky voči tretím stranám sú nevýznamné.</w:t>
      </w:r>
    </w:p>
    <w:p w14:paraId="39856F8B" w14:textId="77777777" w:rsidR="00BC58FD" w:rsidRPr="00226892" w:rsidRDefault="00BC58FD" w:rsidP="00BC58FD">
      <w:pPr>
        <w:pStyle w:val="ABC-paragrahinNotes"/>
        <w:suppressAutoHyphens/>
        <w:rPr>
          <w:rFonts w:cs="Arial"/>
          <w:sz w:val="20"/>
          <w:lang w:val="sk-SK"/>
        </w:rPr>
      </w:pPr>
      <w:r w:rsidRPr="00226892">
        <w:rPr>
          <w:rFonts w:cs="Arial"/>
          <w:b/>
          <w:i/>
          <w:sz w:val="20"/>
          <w:lang w:val="sk-SK"/>
        </w:rPr>
        <w:t>Finančné aktíva – odpis.</w:t>
      </w:r>
      <w:r w:rsidRPr="00226892">
        <w:rPr>
          <w:rFonts w:cs="Arial"/>
          <w:sz w:val="20"/>
          <w:lang w:val="sk-SK"/>
        </w:rPr>
        <w:t xml:space="preserve"> Spoločnosť odpíše finančné aktíva, vcelku alebo ich časť, keď Spoločnosť vyčerpala všetky praktické možnosti spätného získania prostriedkov z týchto aktív a neexistuje žiadne rozumné očakávanie získania týchto prostriedkov späť.</w:t>
      </w:r>
    </w:p>
    <w:p w14:paraId="653CEC1E" w14:textId="05D2A49A" w:rsidR="003842D1" w:rsidRPr="00226892" w:rsidRDefault="00BC58FD" w:rsidP="0039118D">
      <w:pPr>
        <w:pStyle w:val="ABC-paragrahinNotes"/>
        <w:suppressAutoHyphens/>
        <w:rPr>
          <w:rFonts w:cs="Arial"/>
          <w:sz w:val="20"/>
          <w:lang w:val="sk-SK"/>
        </w:rPr>
      </w:pPr>
      <w:r w:rsidRPr="00226892">
        <w:rPr>
          <w:rFonts w:cs="Arial"/>
          <w:b/>
          <w:i/>
          <w:sz w:val="20"/>
          <w:lang w:val="sk-SK"/>
        </w:rPr>
        <w:t>Finančné aktíva – odúčtovanie.</w:t>
      </w:r>
      <w:r w:rsidRPr="00226892">
        <w:rPr>
          <w:rFonts w:cs="Arial"/>
          <w:sz w:val="20"/>
          <w:lang w:val="sk-SK"/>
        </w:rPr>
        <w:t xml:space="preserve"> Spoločnosť prestane vykazovať finančné aktíva, keď i) boli aktíva splatené alebo právo k peňažným tokom z týchto aktív uplynulo alebo ii) Spoločnosť presunula práva k peňažným tokom z finančným aktíva na inú osobu.</w:t>
      </w:r>
    </w:p>
    <w:p w14:paraId="7D015B58" w14:textId="77777777" w:rsidR="005B7F67" w:rsidRPr="00226892" w:rsidRDefault="005B7F67" w:rsidP="005B7F67">
      <w:pPr>
        <w:pStyle w:val="ABC-paragrahinNotes"/>
        <w:suppressAutoHyphens/>
        <w:spacing w:after="0"/>
        <w:rPr>
          <w:rFonts w:cs="Arial"/>
          <w:sz w:val="20"/>
          <w:lang w:val="sk-SK"/>
        </w:rPr>
      </w:pPr>
    </w:p>
    <w:p w14:paraId="00C2EC3D" w14:textId="4378CDFF" w:rsidR="00A25607" w:rsidRPr="00226892" w:rsidRDefault="00A25607" w:rsidP="001C5911">
      <w:pPr>
        <w:pStyle w:val="Nadpis1"/>
      </w:pPr>
      <w:bookmarkStart w:id="109" w:name="_Toc298394538"/>
      <w:bookmarkStart w:id="110" w:name="_Toc298395018"/>
      <w:bookmarkStart w:id="111" w:name="_Toc326330672"/>
      <w:bookmarkStart w:id="112" w:name="_Toc327260893"/>
      <w:bookmarkStart w:id="113" w:name="_Toc327263368"/>
      <w:bookmarkStart w:id="114" w:name="_Toc326330673"/>
      <w:bookmarkStart w:id="115" w:name="_Toc327260894"/>
      <w:bookmarkStart w:id="116" w:name="_Toc327263369"/>
      <w:bookmarkStart w:id="117" w:name="_Toc326330674"/>
      <w:bookmarkStart w:id="118" w:name="_Toc327260895"/>
      <w:bookmarkStart w:id="119" w:name="_Toc327263370"/>
      <w:bookmarkStart w:id="120" w:name="_Toc326330675"/>
      <w:bookmarkStart w:id="121" w:name="_Toc327260896"/>
      <w:bookmarkStart w:id="122" w:name="_Toc327263371"/>
      <w:bookmarkStart w:id="123" w:name="_Toc325985779"/>
      <w:bookmarkStart w:id="124" w:name="_Toc387812481"/>
      <w:bookmarkStart w:id="125" w:name="_Toc2740997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226892">
        <w:lastRenderedPageBreak/>
        <w:t>Pohľadávky z obchodného styku a iné pohľadávky</w:t>
      </w:r>
      <w:bookmarkEnd w:id="123"/>
      <w:bookmarkEnd w:id="124"/>
      <w:bookmarkEnd w:id="125"/>
    </w:p>
    <w:p w14:paraId="50ED9C07" w14:textId="37E7F8DC" w:rsidR="005B7F67" w:rsidRPr="00226892" w:rsidRDefault="00A25607" w:rsidP="001C5911">
      <w:pPr>
        <w:pStyle w:val="ABC-paragrahinNotes"/>
        <w:suppressAutoHyphens/>
        <w:rPr>
          <w:rFonts w:cs="Arial"/>
          <w:sz w:val="20"/>
          <w:lang w:val="sk-SK"/>
        </w:rPr>
      </w:pPr>
      <w:r w:rsidRPr="00226892">
        <w:rPr>
          <w:rFonts w:cs="Arial"/>
          <w:sz w:val="20"/>
          <w:lang w:val="sk-SK"/>
        </w:rPr>
        <w:t xml:space="preserve">Pohľadávky z obchodného styku sa prvotne oceňujú reálnou hodnotou a následne sú vykázané v účtovnej hodnote zistenej použitím metódy efektívnej úrokovej miery, pričom ich hodnota sa znižuje o opravnú položku. </w:t>
      </w:r>
    </w:p>
    <w:p w14:paraId="46879767" w14:textId="565B8B1A" w:rsidR="00A25607" w:rsidRPr="00226892" w:rsidRDefault="00A25607" w:rsidP="001C5911">
      <w:pPr>
        <w:pStyle w:val="ABC-paragrahinNotes"/>
        <w:suppressAutoHyphens/>
        <w:rPr>
          <w:rFonts w:cs="Arial"/>
          <w:sz w:val="20"/>
          <w:lang w:val="sk-SK"/>
        </w:rPr>
      </w:pPr>
      <w:r w:rsidRPr="00226892">
        <w:rPr>
          <w:rFonts w:cs="Arial"/>
          <w:sz w:val="20"/>
          <w:lang w:val="sk-SK"/>
        </w:rPr>
        <w:t>Opravná položka na pokles hodnoty pohľadávok sa vytvára vtedy, ak existuje objektívny dôkaz, že Skupina nebude schopná zinkasovať všetky dlžné čiastky podľa pôvodných podmienok vzniku pohľadávky. Významné finančné problémy dlžníka, pravdepodobnosť, že na dlžníka bude vyhlásené konkurzné konanie alebo finančná reorganizácia, platobná neschopnosť alebo omeškanie platieb sa považujú za indikátory toho, že došlo k poklesu hodnoty pohľadávky. Výška opravnej položky predstavuje rozdiel medzi účtovnou hodnotou aktíva a súčasnou hodnotou predpokladaných budúcich peňažných tokov diskontovaných efektívnou úrokovou sadzbou. Výška opravnej položky sa vykazuje v ostatných prevádzkových nákladoch (</w:t>
      </w:r>
      <w:r w:rsidR="00D13161" w:rsidRPr="00226892">
        <w:rPr>
          <w:rFonts w:cs="Arial"/>
          <w:sz w:val="20"/>
          <w:lang w:val="sk-SK"/>
        </w:rPr>
        <w:t>bod 2</w:t>
      </w:r>
      <w:r w:rsidR="00512880" w:rsidRPr="00226892">
        <w:rPr>
          <w:rFonts w:cs="Arial"/>
          <w:sz w:val="20"/>
          <w:lang w:val="sk-SK"/>
        </w:rPr>
        <w:t>1</w:t>
      </w:r>
      <w:r w:rsidR="00D13161" w:rsidRPr="00226892">
        <w:rPr>
          <w:rFonts w:cs="Arial"/>
          <w:sz w:val="20"/>
          <w:lang w:val="sk-SK"/>
        </w:rPr>
        <w:t xml:space="preserve"> poznámok</w:t>
      </w:r>
      <w:r w:rsidRPr="00226892">
        <w:rPr>
          <w:rFonts w:cs="Arial"/>
          <w:sz w:val="20"/>
          <w:lang w:val="sk-SK"/>
        </w:rPr>
        <w:t>).</w:t>
      </w:r>
    </w:p>
    <w:p w14:paraId="5AC82E12" w14:textId="45F77D2B" w:rsidR="00A25607" w:rsidRPr="00226892" w:rsidRDefault="00A25607" w:rsidP="001C5911">
      <w:pPr>
        <w:pStyle w:val="ABC-paragrahinNotes"/>
        <w:suppressAutoHyphens/>
        <w:spacing w:after="0"/>
        <w:rPr>
          <w:rFonts w:cs="Arial"/>
          <w:sz w:val="20"/>
          <w:lang w:val="sk-SK"/>
        </w:rPr>
      </w:pPr>
      <w:r w:rsidRPr="00226892">
        <w:rPr>
          <w:rFonts w:cs="Arial"/>
          <w:sz w:val="20"/>
          <w:lang w:val="sk-SK"/>
        </w:rPr>
        <w:t xml:space="preserve">V prípade, že sa pohľadávka stane nevymožiteľnou, odpíše sa voči účtu opravnej položky k pohľadávkam z obchodného styku. Sumy získané z pohľadávok, ktoré už boli odpísané, sa zaúčtujú ako </w:t>
      </w:r>
      <w:r w:rsidR="00E937A9" w:rsidRPr="00226892">
        <w:rPr>
          <w:rFonts w:cs="Arial"/>
          <w:sz w:val="20"/>
          <w:lang w:val="sk-SK"/>
        </w:rPr>
        <w:t xml:space="preserve">zníženie položky </w:t>
      </w:r>
      <w:r w:rsidRPr="00226892">
        <w:rPr>
          <w:rFonts w:cs="Arial"/>
          <w:sz w:val="20"/>
          <w:lang w:val="sk-SK"/>
        </w:rPr>
        <w:t>Ostatné prevádzkové náklady (</w:t>
      </w:r>
      <w:r w:rsidR="00D13161" w:rsidRPr="00226892">
        <w:rPr>
          <w:rFonts w:cs="Arial"/>
          <w:sz w:val="20"/>
          <w:lang w:val="sk-SK"/>
        </w:rPr>
        <w:t>bod 2</w:t>
      </w:r>
      <w:r w:rsidR="00512880" w:rsidRPr="00226892">
        <w:rPr>
          <w:rFonts w:cs="Arial"/>
          <w:sz w:val="20"/>
          <w:lang w:val="sk-SK"/>
        </w:rPr>
        <w:t>1</w:t>
      </w:r>
      <w:r w:rsidR="00D13161" w:rsidRPr="00226892">
        <w:rPr>
          <w:rFonts w:cs="Arial"/>
          <w:sz w:val="20"/>
          <w:lang w:val="sk-SK"/>
        </w:rPr>
        <w:t xml:space="preserve"> poznámok</w:t>
      </w:r>
      <w:r w:rsidRPr="00226892">
        <w:rPr>
          <w:rFonts w:cs="Arial"/>
          <w:sz w:val="20"/>
          <w:lang w:val="sk-SK"/>
        </w:rPr>
        <w:t>).</w:t>
      </w:r>
    </w:p>
    <w:p w14:paraId="4289BCDA" w14:textId="64EE304A" w:rsidR="00A571D8" w:rsidRPr="00226892" w:rsidRDefault="00A571D8" w:rsidP="001C5911">
      <w:pPr>
        <w:pStyle w:val="ABC-paragrahinNotes"/>
        <w:suppressAutoHyphens/>
        <w:spacing w:after="0"/>
        <w:rPr>
          <w:rFonts w:cs="Arial"/>
          <w:sz w:val="20"/>
          <w:lang w:val="sk-SK"/>
        </w:rPr>
      </w:pPr>
    </w:p>
    <w:p w14:paraId="01DEABEC" w14:textId="5AD3EAEB" w:rsidR="00A25607" w:rsidRPr="00226892" w:rsidRDefault="00A25607" w:rsidP="001C5911">
      <w:pPr>
        <w:pStyle w:val="Nadpis1"/>
      </w:pPr>
      <w:bookmarkStart w:id="126" w:name="_Toc422151003"/>
      <w:bookmarkStart w:id="127" w:name="_Toc422151004"/>
      <w:bookmarkStart w:id="128" w:name="_Toc422151005"/>
      <w:bookmarkStart w:id="129" w:name="_Toc325985780"/>
      <w:bookmarkStart w:id="130" w:name="_Toc387812482"/>
      <w:bookmarkStart w:id="131" w:name="_Toc27409979"/>
      <w:bookmarkEnd w:id="126"/>
      <w:bookmarkEnd w:id="127"/>
      <w:bookmarkEnd w:id="128"/>
      <w:r w:rsidRPr="00226892">
        <w:t>Peňažné prostriedky a peňažné ekvivalenty</w:t>
      </w:r>
      <w:bookmarkEnd w:id="129"/>
      <w:bookmarkEnd w:id="130"/>
      <w:bookmarkEnd w:id="131"/>
    </w:p>
    <w:p w14:paraId="56763AD9" w14:textId="2D5EDCC3" w:rsidR="00A25607" w:rsidRPr="00226892" w:rsidRDefault="00A25607" w:rsidP="001C5911">
      <w:pPr>
        <w:pStyle w:val="ABC-paragrahinNotes"/>
        <w:suppressAutoHyphens/>
        <w:spacing w:after="0"/>
        <w:rPr>
          <w:rFonts w:cs="Arial"/>
          <w:sz w:val="20"/>
          <w:lang w:val="sk-SK"/>
        </w:rPr>
      </w:pPr>
      <w:r w:rsidRPr="00226892">
        <w:rPr>
          <w:rFonts w:cs="Arial"/>
          <w:sz w:val="20"/>
          <w:lang w:val="sk-SK"/>
        </w:rPr>
        <w:t>Peňažné prostriedky a peňažné ekvivalenty zahŕňajú peňažnú hotovosť, vklady v bankách k dispozícii na požiadanie a kontokorentné úvery. V súvahe sú kontokorentné úvery vykázané v rámci úverov v krátkodobých záväzkoch.</w:t>
      </w:r>
      <w:r w:rsidR="00A47483" w:rsidRPr="00226892">
        <w:rPr>
          <w:rFonts w:cs="Arial"/>
          <w:sz w:val="20"/>
          <w:lang w:val="sk-SK"/>
        </w:rPr>
        <w:t xml:space="preserve"> Peniaze a peňažné ekvivalenty sú vedené v amortizovanej hodnote použitím metódy efektívnej úrokovej sadzby.</w:t>
      </w:r>
    </w:p>
    <w:p w14:paraId="4F9BDF95" w14:textId="77777777" w:rsidR="003842D1" w:rsidRPr="00226892" w:rsidRDefault="003842D1" w:rsidP="00A25607">
      <w:pPr>
        <w:pStyle w:val="ABC-paragrahinNotes"/>
        <w:suppressAutoHyphens/>
        <w:spacing w:after="0"/>
        <w:rPr>
          <w:rFonts w:cs="Arial"/>
          <w:sz w:val="20"/>
          <w:lang w:val="sk-SK"/>
        </w:rPr>
      </w:pPr>
    </w:p>
    <w:p w14:paraId="2B9118C0" w14:textId="0EE8329C" w:rsidR="00A25607" w:rsidRPr="00226892" w:rsidRDefault="00A25607" w:rsidP="001C5911">
      <w:pPr>
        <w:pStyle w:val="Nadpis1"/>
      </w:pPr>
      <w:bookmarkStart w:id="132" w:name="_Toc325985781"/>
      <w:bookmarkStart w:id="133" w:name="_Toc387812483"/>
      <w:bookmarkStart w:id="134" w:name="_Toc27409980"/>
      <w:r w:rsidRPr="00226892">
        <w:t>Základné imanie</w:t>
      </w:r>
      <w:bookmarkEnd w:id="132"/>
      <w:bookmarkEnd w:id="133"/>
      <w:bookmarkEnd w:id="134"/>
    </w:p>
    <w:p w14:paraId="786F51BE" w14:textId="40C3D076" w:rsidR="00A25607" w:rsidRPr="00226892" w:rsidRDefault="00A25607" w:rsidP="001C5911">
      <w:pPr>
        <w:pStyle w:val="ABC-paragrahinNotes"/>
        <w:suppressAutoHyphens/>
        <w:rPr>
          <w:rFonts w:cs="Arial"/>
          <w:sz w:val="20"/>
          <w:lang w:val="sk-SK"/>
        </w:rPr>
      </w:pPr>
      <w:r w:rsidRPr="00226892">
        <w:rPr>
          <w:rFonts w:cs="Arial"/>
          <w:sz w:val="20"/>
          <w:lang w:val="sk-SK"/>
        </w:rPr>
        <w:t xml:space="preserve">Kmeňové akcie sa klasifikujú ako vlastné imanie. Dodatočné náklady, ktoré sa priamo vzťahujú na emisiu nových akcií, sa po odpočítaní vplyvu dane z príjmov vykazujú vo vlastnom imaní ako pokles príjmov z emisie. Čiastka, o ktorú reálna hodnota </w:t>
      </w:r>
      <w:r w:rsidR="001B79C3" w:rsidRPr="00226892">
        <w:rPr>
          <w:rFonts w:cs="Arial"/>
          <w:sz w:val="20"/>
          <w:lang w:val="sk-SK"/>
        </w:rPr>
        <w:t xml:space="preserve">prijatej úhrady </w:t>
      </w:r>
      <w:r w:rsidRPr="00226892">
        <w:rPr>
          <w:rFonts w:cs="Arial"/>
          <w:sz w:val="20"/>
          <w:lang w:val="sk-SK"/>
        </w:rPr>
        <w:t xml:space="preserve">prevyšuje nominálnu hodnotu nových emitovaných akcií je vykázaná ako emisné ážio. </w:t>
      </w:r>
    </w:p>
    <w:p w14:paraId="619FD79D" w14:textId="4378E6D4" w:rsidR="00A25607" w:rsidRPr="00226892" w:rsidRDefault="00A25607" w:rsidP="001C5911">
      <w:pPr>
        <w:pStyle w:val="ABC-paragrahinNotes"/>
        <w:suppressAutoHyphens/>
        <w:spacing w:after="0"/>
        <w:rPr>
          <w:rFonts w:cs="Arial"/>
          <w:sz w:val="20"/>
          <w:lang w:val="sk-SK"/>
        </w:rPr>
      </w:pPr>
      <w:r w:rsidRPr="00226892">
        <w:rPr>
          <w:rFonts w:cs="Arial"/>
          <w:sz w:val="20"/>
          <w:lang w:val="sk-SK"/>
        </w:rPr>
        <w:t xml:space="preserve">V prípade obstarania vlastných kmeňových akcií Spoločnosťou (vlastné akcie) sa úhrada, vrátane akýchkoľvek priamo súvisiacich nákladov (po odpočítaní vplyvu dane z príjmov), odpočíta od vlastného imania Spoločnosti až do doby stiahnutia týchto akcií z obehu alebo ich opätovného upísania. Pri ich následnom upísaní </w:t>
      </w:r>
      <w:r w:rsidR="007D7798" w:rsidRPr="00226892">
        <w:rPr>
          <w:rFonts w:cs="Arial"/>
          <w:sz w:val="20"/>
          <w:lang w:val="sk-SK"/>
        </w:rPr>
        <w:t xml:space="preserve">alebo predaji </w:t>
      </w:r>
      <w:r w:rsidRPr="00226892">
        <w:rPr>
          <w:rFonts w:cs="Arial"/>
          <w:sz w:val="20"/>
          <w:lang w:val="sk-SK"/>
        </w:rPr>
        <w:t>je akákoľvek prijatá úhrada (po odpočítaní priamo súvisiacich transakčných nákladov a príslušného vplyvu dane z príjmov) zaúčtovaná ako zvýšenie vlastného imania.</w:t>
      </w:r>
    </w:p>
    <w:p w14:paraId="42F2C462" w14:textId="77777777" w:rsidR="00AA32CB" w:rsidRPr="00226892" w:rsidRDefault="00AA32CB" w:rsidP="00A25607">
      <w:pPr>
        <w:pStyle w:val="ABC-paragrahinNotes"/>
        <w:suppressAutoHyphens/>
        <w:spacing w:after="0"/>
        <w:rPr>
          <w:rFonts w:cs="Arial"/>
          <w:sz w:val="20"/>
          <w:lang w:val="sk-SK"/>
        </w:rPr>
      </w:pPr>
    </w:p>
    <w:p w14:paraId="70FC79BB" w14:textId="3321109D" w:rsidR="00A25607" w:rsidRPr="00226892" w:rsidRDefault="00A25607" w:rsidP="001C5911">
      <w:pPr>
        <w:pStyle w:val="Nadpis1"/>
      </w:pPr>
      <w:bookmarkStart w:id="135" w:name="_Toc325985782"/>
      <w:bookmarkStart w:id="136" w:name="_Toc387812484"/>
      <w:bookmarkStart w:id="137" w:name="_Toc27409981"/>
      <w:bookmarkStart w:id="138" w:name="_Toc97508378"/>
      <w:r w:rsidRPr="00226892">
        <w:t>Výplata dividend</w:t>
      </w:r>
      <w:bookmarkEnd w:id="135"/>
      <w:bookmarkEnd w:id="136"/>
      <w:bookmarkEnd w:id="137"/>
      <w:r w:rsidRPr="00226892">
        <w:t xml:space="preserve"> </w:t>
      </w:r>
    </w:p>
    <w:p w14:paraId="387C26DE" w14:textId="428AABE1" w:rsidR="003842D1" w:rsidRPr="00226892" w:rsidRDefault="00A25607" w:rsidP="001C5911">
      <w:pPr>
        <w:suppressAutoHyphens/>
        <w:jc w:val="both"/>
        <w:rPr>
          <w:rFonts w:ascii="Arial" w:hAnsi="Arial" w:cs="Arial"/>
          <w:lang w:val="sk-SK"/>
        </w:rPr>
      </w:pPr>
      <w:r w:rsidRPr="00226892">
        <w:rPr>
          <w:rFonts w:ascii="Arial" w:hAnsi="Arial" w:cs="Arial"/>
          <w:lang w:val="sk-SK"/>
        </w:rPr>
        <w:t>Dividendy sa vykazujú ako záväzok a sú odpočítané z vlastného imania, pokiaľ sú schválené pred alebo k dátumu, ku ktorému sa zostavuje konsolidovaná účtovná závierka. Dividendy sa uvádzajú v poznámkach, ak sú navrhnuté pred dátumom, ku ktorému sa zostavuje  konsolidovaná účtovná závierka, ale schválené po dátume, ku ktorému sa zostavuje konsolidovaná účtovná závierka avšak pred dátumom vydania účtovnej závierky. Dividendy sú prvotne ocenené v reálnej hodnote</w:t>
      </w:r>
      <w:r w:rsidR="00E937A9" w:rsidRPr="00226892">
        <w:rPr>
          <w:rFonts w:ascii="Arial" w:hAnsi="Arial" w:cs="Arial"/>
          <w:lang w:val="sk-SK"/>
        </w:rPr>
        <w:t xml:space="preserve"> záväzku</w:t>
      </w:r>
      <w:r w:rsidRPr="00226892">
        <w:rPr>
          <w:rFonts w:ascii="Arial" w:hAnsi="Arial" w:cs="Arial"/>
          <w:lang w:val="sk-SK"/>
        </w:rPr>
        <w:t xml:space="preserve"> a následne v amortizovaných nákladoch.</w:t>
      </w:r>
    </w:p>
    <w:p w14:paraId="5CF0BF7D" w14:textId="77777777" w:rsidR="002F35CB" w:rsidRPr="00226892" w:rsidRDefault="002F35CB" w:rsidP="001C5911">
      <w:pPr>
        <w:suppressAutoHyphens/>
        <w:jc w:val="both"/>
        <w:rPr>
          <w:rFonts w:ascii="Arial" w:hAnsi="Arial" w:cs="Arial"/>
          <w:lang w:val="sk-SK"/>
        </w:rPr>
      </w:pPr>
    </w:p>
    <w:p w14:paraId="3B0099D1" w14:textId="335EFA9A" w:rsidR="00A25607" w:rsidRPr="00226892" w:rsidRDefault="00B27DE7" w:rsidP="001C5911">
      <w:pPr>
        <w:pStyle w:val="Nadpis1"/>
      </w:pPr>
      <w:bookmarkStart w:id="139" w:name="_Toc516654796"/>
      <w:bookmarkStart w:id="140" w:name="_Toc516654797"/>
      <w:bookmarkStart w:id="141" w:name="_Toc268123017"/>
      <w:bookmarkStart w:id="142" w:name="_Toc268152467"/>
      <w:bookmarkStart w:id="143" w:name="_Toc325985783"/>
      <w:bookmarkStart w:id="144" w:name="_Toc387812485"/>
      <w:bookmarkStart w:id="145" w:name="_Toc27409982"/>
      <w:bookmarkEnd w:id="138"/>
      <w:bookmarkEnd w:id="139"/>
      <w:bookmarkEnd w:id="140"/>
      <w:bookmarkEnd w:id="141"/>
      <w:bookmarkEnd w:id="142"/>
      <w:r w:rsidRPr="00226892">
        <w:t>Úvery a p</w:t>
      </w:r>
      <w:r w:rsidR="00A25607" w:rsidRPr="00226892">
        <w:t>ôžičky</w:t>
      </w:r>
      <w:bookmarkEnd w:id="143"/>
      <w:bookmarkEnd w:id="144"/>
      <w:bookmarkEnd w:id="145"/>
    </w:p>
    <w:p w14:paraId="2119AFAF" w14:textId="261D493D" w:rsidR="00A25607" w:rsidRPr="00226892" w:rsidRDefault="00A25607" w:rsidP="001C5911">
      <w:pPr>
        <w:pStyle w:val="ABC-paragrahinNotes"/>
        <w:suppressAutoHyphens/>
        <w:spacing w:after="200" w:line="226" w:lineRule="auto"/>
        <w:rPr>
          <w:rFonts w:cs="Arial"/>
          <w:sz w:val="20"/>
          <w:lang w:val="sk-SK"/>
        </w:rPr>
      </w:pPr>
      <w:r w:rsidRPr="00226892">
        <w:rPr>
          <w:rFonts w:cs="Arial"/>
          <w:sz w:val="20"/>
          <w:lang w:val="sk-SK"/>
        </w:rPr>
        <w:t xml:space="preserve">Pôžičky vrátane úverov sa pri ich prvotnom zaúčtovaní ocenia ich reálnou hodnotou zníženou o vynaložené transakčné náklady. V nasledujúcich obdobiach sa pôžičky vykazujú v tejto hodnote upravenej o časové rozlíšenie rozdielu medzi hodnotou prostriedkov získaných čerpaním pôžičky a nominálnou hodnotou istiny použitím metódy efektívnej úrokovej miery. </w:t>
      </w:r>
      <w:r w:rsidR="005A2B3D" w:rsidRPr="00226892">
        <w:rPr>
          <w:rFonts w:cs="Arial"/>
          <w:sz w:val="20"/>
          <w:lang w:val="sk-SK"/>
        </w:rPr>
        <w:t>Č</w:t>
      </w:r>
      <w:r w:rsidRPr="00226892">
        <w:rPr>
          <w:rFonts w:cs="Arial"/>
          <w:sz w:val="20"/>
          <w:lang w:val="sk-SK"/>
        </w:rPr>
        <w:t xml:space="preserve">asové rozlíšenie je zaúčtované do </w:t>
      </w:r>
      <w:r w:rsidR="00E937A9" w:rsidRPr="00226892">
        <w:rPr>
          <w:rFonts w:cs="Arial"/>
          <w:sz w:val="20"/>
          <w:lang w:val="sk-SK"/>
        </w:rPr>
        <w:t>nákladov</w:t>
      </w:r>
      <w:r w:rsidRPr="00226892">
        <w:rPr>
          <w:rFonts w:cs="Arial"/>
          <w:sz w:val="20"/>
          <w:lang w:val="sk-SK"/>
        </w:rPr>
        <w:t xml:space="preserve"> počas doby trvania úverovej zmluvy.</w:t>
      </w:r>
    </w:p>
    <w:p w14:paraId="71758E5C" w14:textId="77777777" w:rsidR="00A25607" w:rsidRPr="00226892" w:rsidRDefault="00A25607" w:rsidP="001C5911">
      <w:pPr>
        <w:pStyle w:val="ABC-paragrahinNotes"/>
        <w:suppressAutoHyphens/>
        <w:spacing w:after="0"/>
        <w:rPr>
          <w:rFonts w:cs="Arial"/>
          <w:sz w:val="20"/>
          <w:lang w:val="sk-SK"/>
        </w:rPr>
      </w:pPr>
      <w:r w:rsidRPr="00226892">
        <w:rPr>
          <w:rFonts w:cs="Arial"/>
          <w:sz w:val="20"/>
          <w:lang w:val="sk-SK"/>
        </w:rPr>
        <w:t>Pôžičky sa klasifikujú ako krátkodobé záväzky, pokiaľ Skupina nemá bezpodmienečné právo odložiť vyrovnanie záväzku po dobu minimálne 12 mesiacov od dátumu, ku ktorému sa zostavuje účtovná závierka.</w:t>
      </w:r>
    </w:p>
    <w:p w14:paraId="0C284E39" w14:textId="77777777" w:rsidR="004D3005" w:rsidRPr="00226892" w:rsidRDefault="004D3005" w:rsidP="001C5911">
      <w:pPr>
        <w:pStyle w:val="ABC-paragrahinNotes"/>
        <w:suppressAutoHyphens/>
        <w:spacing w:after="0"/>
        <w:rPr>
          <w:rFonts w:cs="Arial"/>
          <w:sz w:val="20"/>
          <w:lang w:val="sk-SK"/>
        </w:rPr>
      </w:pPr>
    </w:p>
    <w:p w14:paraId="16ADF299" w14:textId="77777777" w:rsidR="004D3005" w:rsidRPr="00226892" w:rsidRDefault="004D3005" w:rsidP="001C5911">
      <w:pPr>
        <w:autoSpaceDE w:val="0"/>
        <w:autoSpaceDN w:val="0"/>
        <w:adjustRightInd w:val="0"/>
        <w:jc w:val="both"/>
        <w:rPr>
          <w:rFonts w:ascii="Arial" w:hAnsi="Arial" w:cs="Arial"/>
          <w:lang w:val="sk-SK"/>
        </w:rPr>
      </w:pPr>
      <w:r w:rsidRPr="00226892">
        <w:rPr>
          <w:rFonts w:ascii="Arial" w:hAnsi="Arial" w:cs="Arial"/>
          <w:lang w:val="sk-SK"/>
        </w:rPr>
        <w:t xml:space="preserve">Úrokové náklady na pôžičku, ktorá bola poskytnutá na účel obstarania kvalifikovaného neobežného majetku, sa počas procesu obstarávania aktivujú do obstarávacej ceny dlhodobého majetku, ktorý nevyhnutne vyžaduje dlhšie časové obdobie na prípravu na používanie alebo predaj. </w:t>
      </w:r>
    </w:p>
    <w:p w14:paraId="2A4083DE" w14:textId="77777777" w:rsidR="004D3005" w:rsidRPr="00226892" w:rsidRDefault="004D3005" w:rsidP="001C5911">
      <w:pPr>
        <w:autoSpaceDE w:val="0"/>
        <w:autoSpaceDN w:val="0"/>
        <w:adjustRightInd w:val="0"/>
        <w:spacing w:before="120" w:after="120"/>
        <w:jc w:val="both"/>
        <w:rPr>
          <w:rFonts w:ascii="Arial" w:eastAsia="Calibri" w:hAnsi="Arial" w:cs="Arial"/>
          <w:color w:val="000000"/>
          <w:lang w:val="sk-SK" w:eastAsia="sk-SK"/>
        </w:rPr>
      </w:pPr>
      <w:r w:rsidRPr="00226892">
        <w:rPr>
          <w:rFonts w:ascii="Arial" w:eastAsia="Calibri" w:hAnsi="Arial" w:cs="Arial"/>
          <w:color w:val="000000"/>
          <w:lang w:val="sk-SK" w:eastAsia="sk-SK"/>
        </w:rPr>
        <w:lastRenderedPageBreak/>
        <w:t>Výnos z dočasného investovania špecifických pôžičiek až do ich vynaloženia na výdavky na majetok spĺňajúci kritéria, je odpočítaný od nákladov na prijaté úvery a pôžičky oprávnených na kapitalizáciu.</w:t>
      </w:r>
    </w:p>
    <w:p w14:paraId="014D89D9" w14:textId="080FA80B" w:rsidR="004D3005" w:rsidRPr="00226892" w:rsidRDefault="004D3005" w:rsidP="001C5911">
      <w:pPr>
        <w:pStyle w:val="ABC-paragrahinNotes"/>
        <w:suppressAutoHyphens/>
        <w:spacing w:after="0"/>
        <w:rPr>
          <w:rFonts w:cs="Arial"/>
          <w:sz w:val="20"/>
          <w:lang w:val="sk-SK"/>
        </w:rPr>
      </w:pPr>
      <w:r w:rsidRPr="00226892">
        <w:rPr>
          <w:rFonts w:cs="Arial"/>
          <w:sz w:val="20"/>
          <w:lang w:val="sk-SK"/>
        </w:rPr>
        <w:t>Všetky ostatné úrokové náklady sú zaúčtované do nákladov bežného obdobia.</w:t>
      </w:r>
    </w:p>
    <w:p w14:paraId="79796FB7" w14:textId="77777777" w:rsidR="003842D1" w:rsidRPr="00226892" w:rsidRDefault="003842D1" w:rsidP="001C5911">
      <w:pPr>
        <w:rPr>
          <w:rFonts w:ascii="Arial" w:hAnsi="Arial" w:cs="Arial"/>
        </w:rPr>
      </w:pPr>
    </w:p>
    <w:p w14:paraId="3BDBB146" w14:textId="4C8F719E" w:rsidR="00A25607" w:rsidRPr="00226892" w:rsidRDefault="00A25607" w:rsidP="001C5911">
      <w:pPr>
        <w:pStyle w:val="Nadpis1"/>
      </w:pPr>
      <w:bookmarkStart w:id="146" w:name="_Toc268152469"/>
      <w:bookmarkStart w:id="147" w:name="_Toc325985784"/>
      <w:bookmarkStart w:id="148" w:name="_Toc387812486"/>
      <w:bookmarkStart w:id="149" w:name="_Toc27409983"/>
      <w:bookmarkEnd w:id="146"/>
      <w:r w:rsidRPr="00226892">
        <w:t>Záväzky z obchodného styku a ostatné záväzky</w:t>
      </w:r>
      <w:bookmarkEnd w:id="147"/>
      <w:bookmarkEnd w:id="148"/>
      <w:bookmarkEnd w:id="149"/>
    </w:p>
    <w:p w14:paraId="762C9A73" w14:textId="3A5A591D" w:rsidR="00A25607" w:rsidRPr="00226892" w:rsidRDefault="00A25607" w:rsidP="001C5911">
      <w:pPr>
        <w:pStyle w:val="ABC-paragrahinNotes"/>
        <w:suppressAutoHyphens/>
        <w:spacing w:after="0"/>
        <w:rPr>
          <w:rFonts w:cs="Arial"/>
          <w:sz w:val="20"/>
          <w:lang w:val="sk-SK"/>
        </w:rPr>
      </w:pPr>
      <w:bookmarkStart w:id="150" w:name="_Toc97508379"/>
      <w:r w:rsidRPr="00226892">
        <w:rPr>
          <w:rFonts w:cs="Arial"/>
          <w:sz w:val="20"/>
          <w:lang w:val="sk-SK"/>
        </w:rPr>
        <w:t>Záväzky z obchodného styku sú časovo rozlíšené, ak protistrana splnila svoje záväzky vyplývajúce zo zmluvy a účtujú sa v</w:t>
      </w:r>
      <w:r w:rsidR="00E937A9" w:rsidRPr="00226892">
        <w:rPr>
          <w:rFonts w:cs="Arial"/>
          <w:sz w:val="20"/>
          <w:lang w:val="sk-SK"/>
        </w:rPr>
        <w:t> </w:t>
      </w:r>
      <w:r w:rsidR="005A2B3D" w:rsidRPr="00226892">
        <w:rPr>
          <w:rFonts w:cs="Arial"/>
          <w:sz w:val="20"/>
          <w:lang w:val="sk-SK"/>
        </w:rPr>
        <w:t>u</w:t>
      </w:r>
      <w:r w:rsidR="00E937A9" w:rsidRPr="00226892">
        <w:rPr>
          <w:rFonts w:cs="Arial"/>
          <w:sz w:val="20"/>
          <w:lang w:val="sk-SK"/>
        </w:rPr>
        <w:t>morovanej hodnote</w:t>
      </w:r>
      <w:r w:rsidRPr="00226892">
        <w:rPr>
          <w:rFonts w:cs="Arial"/>
          <w:sz w:val="20"/>
          <w:lang w:val="sk-SK"/>
        </w:rPr>
        <w:t xml:space="preserve"> použitím metódy efektívnej úrokovej miery.</w:t>
      </w:r>
    </w:p>
    <w:p w14:paraId="2D526DC4" w14:textId="77777777" w:rsidR="003842D1" w:rsidRPr="00226892" w:rsidRDefault="003842D1" w:rsidP="004416B6">
      <w:pPr>
        <w:pStyle w:val="ABC-paragrahinNotes"/>
        <w:suppressAutoHyphens/>
        <w:spacing w:after="0"/>
        <w:ind w:left="426"/>
        <w:rPr>
          <w:rFonts w:cs="Arial"/>
          <w:sz w:val="20"/>
          <w:lang w:val="sk-SK"/>
        </w:rPr>
      </w:pPr>
    </w:p>
    <w:p w14:paraId="0E9B4873" w14:textId="0FBF99CA" w:rsidR="00A25607" w:rsidRPr="00226892" w:rsidRDefault="00A25607" w:rsidP="001C5911">
      <w:pPr>
        <w:pStyle w:val="Nadpis1"/>
      </w:pPr>
      <w:bookmarkStart w:id="151" w:name="_Toc326330682"/>
      <w:bookmarkStart w:id="152" w:name="_Toc327260903"/>
      <w:bookmarkStart w:id="153" w:name="_Toc327263378"/>
      <w:bookmarkStart w:id="154" w:name="_Toc325985785"/>
      <w:bookmarkStart w:id="155" w:name="_Toc387812487"/>
      <w:bookmarkStart w:id="156" w:name="_Toc27409984"/>
      <w:bookmarkEnd w:id="150"/>
      <w:bookmarkEnd w:id="151"/>
      <w:bookmarkEnd w:id="152"/>
      <w:bookmarkEnd w:id="153"/>
      <w:r w:rsidRPr="00226892">
        <w:t>Dane</w:t>
      </w:r>
      <w:bookmarkEnd w:id="154"/>
      <w:bookmarkEnd w:id="155"/>
      <w:bookmarkEnd w:id="156"/>
    </w:p>
    <w:p w14:paraId="76372E41" w14:textId="77777777" w:rsidR="00A25607" w:rsidRPr="00226892" w:rsidRDefault="00A25607" w:rsidP="001C5911">
      <w:pPr>
        <w:pStyle w:val="ABC-paragrahinNotes"/>
        <w:suppressAutoHyphens/>
        <w:spacing w:after="180"/>
        <w:rPr>
          <w:rFonts w:cs="Arial"/>
          <w:bCs/>
          <w:i/>
          <w:iCs/>
          <w:sz w:val="20"/>
          <w:lang w:val="sk-SK"/>
        </w:rPr>
      </w:pPr>
      <w:r w:rsidRPr="00226892">
        <w:rPr>
          <w:rFonts w:cs="Arial"/>
          <w:bCs/>
          <w:i/>
          <w:iCs/>
          <w:sz w:val="20"/>
          <w:lang w:val="sk-SK"/>
        </w:rPr>
        <w:t>(i)</w:t>
      </w:r>
      <w:r w:rsidRPr="00226892">
        <w:rPr>
          <w:rFonts w:cs="Arial"/>
          <w:bCs/>
          <w:i/>
          <w:iCs/>
          <w:sz w:val="20"/>
          <w:lang w:val="sk-SK"/>
        </w:rPr>
        <w:tab/>
        <w:t>Splatná daň z príjmov</w:t>
      </w:r>
    </w:p>
    <w:p w14:paraId="3DF66295" w14:textId="03550CEB" w:rsidR="00A25607" w:rsidRPr="00226892" w:rsidRDefault="00A25607" w:rsidP="001C5911">
      <w:pPr>
        <w:pStyle w:val="ABC-paragrahinNotes"/>
        <w:suppressAutoHyphens/>
        <w:spacing w:after="180" w:line="226" w:lineRule="auto"/>
        <w:rPr>
          <w:rFonts w:cs="Arial"/>
          <w:sz w:val="20"/>
          <w:lang w:val="sk-SK"/>
        </w:rPr>
      </w:pPr>
      <w:r w:rsidRPr="00226892">
        <w:rPr>
          <w:rFonts w:cs="Arial"/>
          <w:sz w:val="20"/>
          <w:lang w:val="sk-SK"/>
        </w:rPr>
        <w:t>Daň z príjmov je pre účely konsolidovanej účtovnej závierky vypočítaná v súlade s platnou legislatívou krajín, v ktorých sídli Spoločnosť a jej dcérsk</w:t>
      </w:r>
      <w:r w:rsidR="00FA0804" w:rsidRPr="00226892">
        <w:rPr>
          <w:rFonts w:cs="Arial"/>
          <w:sz w:val="20"/>
          <w:lang w:val="sk-SK"/>
        </w:rPr>
        <w:t>a</w:t>
      </w:r>
      <w:r w:rsidRPr="00226892">
        <w:rPr>
          <w:rFonts w:cs="Arial"/>
          <w:sz w:val="20"/>
          <w:lang w:val="sk-SK"/>
        </w:rPr>
        <w:t xml:space="preserve"> spoločnos</w:t>
      </w:r>
      <w:r w:rsidR="00FA0804" w:rsidRPr="00226892">
        <w:rPr>
          <w:rFonts w:cs="Arial"/>
          <w:sz w:val="20"/>
          <w:lang w:val="sk-SK"/>
        </w:rPr>
        <w:t>ť</w:t>
      </w:r>
      <w:r w:rsidRPr="00226892">
        <w:rPr>
          <w:rFonts w:cs="Arial"/>
          <w:sz w:val="20"/>
          <w:lang w:val="sk-SK"/>
        </w:rPr>
        <w:t xml:space="preserve">, resp. ak sa za platnú </w:t>
      </w:r>
      <w:proofErr w:type="spellStart"/>
      <w:r w:rsidRPr="00226892">
        <w:rPr>
          <w:rFonts w:cs="Arial"/>
          <w:sz w:val="20"/>
          <w:lang w:val="sk-SK"/>
        </w:rPr>
        <w:t>može</w:t>
      </w:r>
      <w:proofErr w:type="spellEnd"/>
      <w:r w:rsidRPr="00226892">
        <w:rPr>
          <w:rFonts w:cs="Arial"/>
          <w:sz w:val="20"/>
          <w:lang w:val="sk-SK"/>
        </w:rPr>
        <w:t xml:space="preserve"> považovať ku dňu, ku ktorému sa zostavuje účtovná závierka. Celková daň z príjmu zahŕňa bežnú daň z príjmov a odloženú daň</w:t>
      </w:r>
      <w:r w:rsidR="00131F89" w:rsidRPr="00226892">
        <w:rPr>
          <w:rFonts w:cs="Arial"/>
          <w:sz w:val="20"/>
          <w:lang w:val="sk-SK"/>
        </w:rPr>
        <w:t>.</w:t>
      </w:r>
    </w:p>
    <w:p w14:paraId="3030C86B" w14:textId="2E68D4C0" w:rsidR="00A25607" w:rsidRPr="00226892" w:rsidRDefault="00A25607" w:rsidP="001C5911">
      <w:pPr>
        <w:pStyle w:val="ABC-paragrahinNotes"/>
        <w:suppressAutoHyphens/>
        <w:spacing w:after="0" w:line="226" w:lineRule="auto"/>
        <w:rPr>
          <w:rFonts w:cs="Arial"/>
          <w:sz w:val="20"/>
          <w:lang w:val="sk-SK"/>
        </w:rPr>
      </w:pPr>
      <w:r w:rsidRPr="00226892">
        <w:rPr>
          <w:rFonts w:cs="Arial"/>
          <w:sz w:val="20"/>
          <w:lang w:val="sk-SK"/>
        </w:rPr>
        <w:t>Daň z príjmov je suma, ktorá sa očakáva, že bude zaplatená alebo vrátená od daňového úradu vzhľadom na daňové zisky alebo straty za bežné a predchádzajúce obdobia. Ostatné dane, iné ako daň z</w:t>
      </w:r>
      <w:r w:rsidR="001B79C3" w:rsidRPr="00226892">
        <w:rPr>
          <w:rFonts w:cs="Arial"/>
          <w:sz w:val="20"/>
          <w:lang w:val="sk-SK"/>
        </w:rPr>
        <w:t> </w:t>
      </w:r>
      <w:r w:rsidRPr="00226892">
        <w:rPr>
          <w:rFonts w:cs="Arial"/>
          <w:sz w:val="20"/>
          <w:lang w:val="sk-SK"/>
        </w:rPr>
        <w:t>príjmu</w:t>
      </w:r>
      <w:r w:rsidR="001B79C3" w:rsidRPr="00226892">
        <w:rPr>
          <w:rFonts w:cs="Arial"/>
          <w:sz w:val="20"/>
          <w:lang w:val="sk-SK"/>
        </w:rPr>
        <w:t xml:space="preserve"> a DPH</w:t>
      </w:r>
      <w:r w:rsidRPr="00226892">
        <w:rPr>
          <w:rFonts w:cs="Arial"/>
          <w:sz w:val="20"/>
          <w:lang w:val="sk-SK"/>
        </w:rPr>
        <w:t>, sú vykázané v prevádzkových nákladoch.</w:t>
      </w:r>
    </w:p>
    <w:p w14:paraId="5A8585FD" w14:textId="77777777" w:rsidR="00A25607" w:rsidRPr="00226892" w:rsidRDefault="00A25607" w:rsidP="001C5911">
      <w:pPr>
        <w:pStyle w:val="ABC-paragrahinNotes"/>
        <w:suppressAutoHyphens/>
        <w:spacing w:after="0" w:line="226" w:lineRule="auto"/>
        <w:rPr>
          <w:rFonts w:cs="Arial"/>
          <w:sz w:val="20"/>
          <w:lang w:val="sk-SK"/>
        </w:rPr>
      </w:pPr>
    </w:p>
    <w:p w14:paraId="4F7221F0" w14:textId="77777777" w:rsidR="00A25607" w:rsidRPr="00226892" w:rsidRDefault="00A25607" w:rsidP="001C5911">
      <w:pPr>
        <w:pStyle w:val="ABC-paragrahinNotes"/>
        <w:suppressAutoHyphens/>
        <w:spacing w:after="180" w:line="226" w:lineRule="auto"/>
        <w:rPr>
          <w:rFonts w:cs="Arial"/>
          <w:b/>
          <w:i/>
          <w:sz w:val="20"/>
          <w:lang w:val="sk-SK"/>
        </w:rPr>
      </w:pPr>
      <w:r w:rsidRPr="00226892">
        <w:rPr>
          <w:rFonts w:cs="Arial"/>
          <w:bCs/>
          <w:i/>
          <w:iCs/>
          <w:sz w:val="20"/>
          <w:lang w:val="sk-SK"/>
        </w:rPr>
        <w:t>ii)</w:t>
      </w:r>
      <w:r w:rsidRPr="00226892">
        <w:rPr>
          <w:rFonts w:cs="Arial"/>
          <w:bCs/>
          <w:i/>
          <w:iCs/>
          <w:sz w:val="20"/>
          <w:lang w:val="sk-SK"/>
        </w:rPr>
        <w:tab/>
        <w:t xml:space="preserve">Odložená daň z príjmov </w:t>
      </w:r>
    </w:p>
    <w:p w14:paraId="688CC4A9" w14:textId="484174B4" w:rsidR="00A25607" w:rsidRPr="00226892" w:rsidRDefault="00A25607" w:rsidP="001C5911">
      <w:pPr>
        <w:pStyle w:val="ABC-paragrahinNotes"/>
        <w:suppressAutoHyphens/>
        <w:spacing w:after="200" w:line="226" w:lineRule="auto"/>
        <w:rPr>
          <w:rFonts w:cs="Arial"/>
          <w:sz w:val="20"/>
          <w:lang w:val="sk-SK"/>
        </w:rPr>
      </w:pPr>
      <w:r w:rsidRPr="00226892">
        <w:rPr>
          <w:rFonts w:cs="Arial"/>
          <w:sz w:val="20"/>
          <w:lang w:val="sk-SK"/>
        </w:rPr>
        <w:t>Odložená daň z príjmov sa v konsolidovanej účtovnej závierke účtuje v súvahovou záväzkovou metódou, z umorovaných daňových strát a z dočasných rozdielov medzi daňovou hodnotou majetku a záväzkov a ich účtovnou hodnotou v konsolidovanej účtovnej závierke. O odloženej dani sa neúčtuje, ak sa týka prvotného účtovania o majetku alebo záväzku v súvislosti s transakciou, ktorá nie je obstaraním iného podniku, ak v čase transakcie nie je ovplyvnený účtovný ani daňový zisk alebo strata. Odložená daň sa vypočíta použitím sadzby a platných daňových zákonov, resp. zákonov ktoré sa považujú za platné k súvahovému dňu, a u ktorých sa očakáva, že budú platiť v čase realizácie dočasných rozdielov alebo umorenia daňovej straty.  Odložené daňové pohľadávky sa vykazujú v rozsahu, v akom je pravdepodobné, že bude v budúcnosti generovaný zdaniteľný zisk, voči ktorému sa budú môcť dočasné rozdiely zrealizovať.</w:t>
      </w:r>
    </w:p>
    <w:p w14:paraId="7B616461" w14:textId="77777777" w:rsidR="00A25607" w:rsidRPr="00226892" w:rsidRDefault="00A25607" w:rsidP="001C5911">
      <w:pPr>
        <w:pStyle w:val="ABC-paragrahinNotes"/>
        <w:suppressAutoHyphens/>
        <w:spacing w:after="0"/>
        <w:rPr>
          <w:rFonts w:cs="Arial"/>
          <w:sz w:val="20"/>
          <w:lang w:val="sk-SK"/>
        </w:rPr>
      </w:pPr>
      <w:r w:rsidRPr="00226892">
        <w:rPr>
          <w:rFonts w:cs="Arial"/>
          <w:sz w:val="20"/>
          <w:lang w:val="sk-SK"/>
        </w:rPr>
        <w:t>Odložená daň z príjmov sa účtuje pri dočasných rozdieloch vyplývajúcich z investícií do dcérskych, pridružených spoločností a spoločných podnikov s výnimkou prípadov, keď je načasovanie realizácie dočasných rozdielov kontrolované Skupinou a je pravdepodobné, že dočasné rozdiely nebudú realizované v dohľadnej budúcnosti.</w:t>
      </w:r>
    </w:p>
    <w:p w14:paraId="3634060F" w14:textId="77777777" w:rsidR="00045B7D" w:rsidRPr="00226892" w:rsidRDefault="00045B7D" w:rsidP="001C5911">
      <w:pPr>
        <w:pStyle w:val="ABC-paragrahinNotes"/>
        <w:suppressAutoHyphens/>
        <w:spacing w:after="0"/>
        <w:rPr>
          <w:rFonts w:cs="Arial"/>
          <w:sz w:val="20"/>
          <w:lang w:val="sk-SK"/>
        </w:rPr>
      </w:pPr>
    </w:p>
    <w:p w14:paraId="60B653A3" w14:textId="64786526" w:rsidR="003231BD" w:rsidRDefault="00045B7D" w:rsidP="001C5911">
      <w:pPr>
        <w:pStyle w:val="ABC-paragrahinNotes"/>
        <w:suppressAutoHyphens/>
        <w:spacing w:after="0"/>
        <w:rPr>
          <w:rFonts w:cs="Arial"/>
          <w:sz w:val="20"/>
          <w:lang w:val="sk-SK"/>
        </w:rPr>
      </w:pPr>
      <w:r w:rsidRPr="00226892">
        <w:rPr>
          <w:rFonts w:cs="Arial"/>
          <w:sz w:val="20"/>
          <w:lang w:val="sk-SK"/>
        </w:rPr>
        <w:t>Odložené daňové pohľadávky a záväzky sa vzájomne započítavajú v prípade, že Skupina má zo zákona vymáhateľné právo započítať krátkodobé daňové pohľadávky voči krátkodobým daňovým záväzkom a za predpokladu, že odloženú daň z príjmov vyberá rovnaký správca dane.</w:t>
      </w:r>
      <w:bookmarkStart w:id="157" w:name="_Toc267905562"/>
      <w:bookmarkStart w:id="158" w:name="_Toc267905632"/>
      <w:bookmarkStart w:id="159" w:name="_Toc267905698"/>
      <w:bookmarkStart w:id="160" w:name="_Toc325985786"/>
      <w:bookmarkStart w:id="161" w:name="_Toc387812488"/>
      <w:bookmarkEnd w:id="157"/>
      <w:bookmarkEnd w:id="158"/>
      <w:bookmarkEnd w:id="159"/>
    </w:p>
    <w:p w14:paraId="79CD56A4" w14:textId="77777777" w:rsidR="00244B53" w:rsidRPr="00226892" w:rsidRDefault="00244B53" w:rsidP="001C5911">
      <w:pPr>
        <w:pStyle w:val="ABC-paragrahinNotes"/>
        <w:suppressAutoHyphens/>
        <w:spacing w:after="0"/>
        <w:rPr>
          <w:rFonts w:cs="Arial"/>
          <w:b/>
          <w:snapToGrid w:val="0"/>
          <w:lang w:val="sk-SK" w:eastAsia="ru-RU"/>
        </w:rPr>
      </w:pPr>
    </w:p>
    <w:p w14:paraId="69649064" w14:textId="54D73FC5" w:rsidR="00A25607" w:rsidRPr="00226892" w:rsidRDefault="00A25607" w:rsidP="001C5911">
      <w:pPr>
        <w:pStyle w:val="Nadpis1"/>
      </w:pPr>
      <w:bookmarkStart w:id="162" w:name="_Toc27409985"/>
      <w:r w:rsidRPr="00226892">
        <w:t>Zamestnanecké požitky</w:t>
      </w:r>
      <w:bookmarkEnd w:id="160"/>
      <w:bookmarkEnd w:id="161"/>
      <w:bookmarkEnd w:id="162"/>
    </w:p>
    <w:p w14:paraId="52042A4A" w14:textId="77777777" w:rsidR="00A25607" w:rsidRPr="00226892" w:rsidRDefault="00A25607" w:rsidP="001C5911">
      <w:pPr>
        <w:pStyle w:val="ABC-paragrahinNotes"/>
        <w:suppressAutoHyphens/>
        <w:spacing w:line="228" w:lineRule="auto"/>
        <w:ind w:left="2"/>
        <w:rPr>
          <w:rFonts w:cs="Arial"/>
          <w:sz w:val="20"/>
          <w:lang w:val="sk-SK"/>
        </w:rPr>
      </w:pPr>
      <w:r w:rsidRPr="00226892">
        <w:rPr>
          <w:rFonts w:cs="Arial"/>
          <w:sz w:val="20"/>
          <w:lang w:val="sk-SK"/>
        </w:rPr>
        <w:t xml:space="preserve">Platy, mzdy, príspevky do štátnych dôchodkových a poistných fondov, platená ročná dovolenka a nemocenské, bonusy a ostatné nepeňažné požitky (napríklad zdravotná starostlivosť) sa účtujú v účtovnom období, s ktorým vecne a časovo súvisia. </w:t>
      </w:r>
    </w:p>
    <w:p w14:paraId="04D72A2F" w14:textId="77777777" w:rsidR="00A25607" w:rsidRPr="00226892" w:rsidRDefault="00A25607" w:rsidP="001C5911">
      <w:pPr>
        <w:tabs>
          <w:tab w:val="left" w:pos="851"/>
        </w:tabs>
        <w:suppressAutoHyphens/>
        <w:ind w:left="514" w:hanging="540"/>
        <w:rPr>
          <w:rFonts w:ascii="Arial" w:hAnsi="Arial" w:cs="Arial"/>
          <w:i/>
          <w:iCs/>
          <w:lang w:val="sk-SK"/>
        </w:rPr>
      </w:pPr>
      <w:r w:rsidRPr="00226892">
        <w:rPr>
          <w:rFonts w:ascii="Arial" w:hAnsi="Arial" w:cs="Arial"/>
          <w:i/>
          <w:iCs/>
          <w:lang w:val="sk-SK"/>
        </w:rPr>
        <w:t>(i)</w:t>
      </w:r>
      <w:r w:rsidRPr="00226892">
        <w:rPr>
          <w:rFonts w:ascii="Arial" w:hAnsi="Arial" w:cs="Arial"/>
          <w:i/>
          <w:iCs/>
          <w:lang w:val="sk-SK"/>
        </w:rPr>
        <w:tab/>
        <w:t>Dôchodkové fondy</w:t>
      </w:r>
    </w:p>
    <w:p w14:paraId="4D7A039F" w14:textId="77777777" w:rsidR="00A25607" w:rsidRPr="00226892" w:rsidRDefault="00A25607" w:rsidP="00235CDF">
      <w:pPr>
        <w:pStyle w:val="odst"/>
      </w:pPr>
    </w:p>
    <w:p w14:paraId="5CE9CD97" w14:textId="77777777" w:rsidR="00A25607" w:rsidRPr="00226892" w:rsidRDefault="00A25607" w:rsidP="001C5911">
      <w:pPr>
        <w:suppressAutoHyphens/>
        <w:ind w:left="2"/>
        <w:jc w:val="both"/>
        <w:rPr>
          <w:rFonts w:ascii="Arial" w:hAnsi="Arial" w:cs="Arial"/>
          <w:lang w:val="sk-SK"/>
        </w:rPr>
      </w:pPr>
      <w:r w:rsidRPr="00226892">
        <w:rPr>
          <w:rFonts w:ascii="Arial" w:hAnsi="Arial" w:cs="Arial"/>
          <w:lang w:val="sk-SK"/>
        </w:rPr>
        <w:t>Skupina prispieva do fondov s vopred určenou výškou dôchodkového plnenia a do fondov s vopred stanovenými príspevkami.</w:t>
      </w:r>
    </w:p>
    <w:p w14:paraId="10810A1A" w14:textId="77777777" w:rsidR="00A25607" w:rsidRPr="00226892" w:rsidRDefault="00A25607" w:rsidP="001C5911">
      <w:pPr>
        <w:suppressAutoHyphens/>
        <w:ind w:left="2"/>
        <w:jc w:val="both"/>
        <w:rPr>
          <w:rFonts w:ascii="Arial" w:hAnsi="Arial" w:cs="Arial"/>
          <w:lang w:val="sk-SK"/>
        </w:rPr>
      </w:pPr>
    </w:p>
    <w:p w14:paraId="416D3EAB" w14:textId="4B6F6584" w:rsidR="00125C74" w:rsidRPr="00226892" w:rsidRDefault="00A25607" w:rsidP="001C5911">
      <w:pPr>
        <w:suppressAutoHyphens/>
        <w:ind w:left="2"/>
        <w:jc w:val="both"/>
        <w:rPr>
          <w:rFonts w:ascii="Arial" w:hAnsi="Arial" w:cs="Arial"/>
          <w:lang w:val="sk-SK"/>
        </w:rPr>
      </w:pPr>
      <w:r w:rsidRPr="00226892">
        <w:rPr>
          <w:rFonts w:ascii="Arial" w:hAnsi="Arial" w:cs="Arial"/>
          <w:lang w:val="sk-SK"/>
        </w:rPr>
        <w:t>V prípade fondov s vopred stanoveným dôchodkovým plnením je stanovená výška plnenia, ktorú zamestnanec pri odchode do dôchodku dostane. Výška plnenia závisí od viacerých faktorov, akými sú napr. vek, počet odpracovaných rokov a mzda. Fond s vopred stanovenými príspevkami je dôchodkový fond, do ktorého Skupina prispieva pevne stanovenými príspevkami. Skupina nemá žiadnu zmluvnú alebo mimozmluvnú povinnosť prispieť do fondu ďalšími príspevkami, ak výška jeho aktív nie je dostačujúca na vyplatenie všetkých plnení zamestnancov, na ktoré majú nárok za bežné a minulé obdobia.</w:t>
      </w:r>
    </w:p>
    <w:p w14:paraId="0B964D53" w14:textId="77777777" w:rsidR="00125C74" w:rsidRPr="00226892" w:rsidRDefault="00125C74">
      <w:pPr>
        <w:rPr>
          <w:rFonts w:ascii="Arial" w:hAnsi="Arial" w:cs="Arial"/>
          <w:lang w:val="sk-SK"/>
        </w:rPr>
      </w:pPr>
      <w:r w:rsidRPr="00226892">
        <w:rPr>
          <w:rFonts w:ascii="Arial" w:hAnsi="Arial" w:cs="Arial"/>
          <w:lang w:val="sk-SK"/>
        </w:rPr>
        <w:br w:type="page"/>
      </w:r>
    </w:p>
    <w:p w14:paraId="74ECBAB3" w14:textId="550389FE" w:rsidR="00A25607" w:rsidRPr="00226892" w:rsidRDefault="00A25607" w:rsidP="001C5911">
      <w:pPr>
        <w:suppressAutoHyphens/>
        <w:ind w:left="514" w:hanging="540"/>
        <w:rPr>
          <w:rFonts w:ascii="Arial" w:hAnsi="Arial" w:cs="Arial"/>
          <w:iCs/>
          <w:lang w:val="sk-SK"/>
        </w:rPr>
      </w:pPr>
      <w:r w:rsidRPr="00226892">
        <w:rPr>
          <w:rFonts w:ascii="Arial" w:hAnsi="Arial" w:cs="Arial"/>
          <w:iCs/>
          <w:lang w:val="sk-SK"/>
        </w:rPr>
        <w:lastRenderedPageBreak/>
        <w:t>(a)</w:t>
      </w:r>
      <w:r w:rsidRPr="00226892">
        <w:rPr>
          <w:rFonts w:ascii="Arial" w:hAnsi="Arial" w:cs="Arial"/>
          <w:iCs/>
          <w:lang w:val="sk-SK"/>
        </w:rPr>
        <w:tab/>
      </w:r>
      <w:r w:rsidR="00403D17" w:rsidRPr="00226892">
        <w:rPr>
          <w:rFonts w:ascii="Arial" w:hAnsi="Arial" w:cs="Arial"/>
          <w:iCs/>
          <w:lang w:val="sk-SK"/>
        </w:rPr>
        <w:t>Odchodné</w:t>
      </w:r>
    </w:p>
    <w:p w14:paraId="38C36C59" w14:textId="77777777" w:rsidR="00A25607" w:rsidRPr="00226892" w:rsidRDefault="00A25607" w:rsidP="00235CDF">
      <w:pPr>
        <w:pStyle w:val="odst"/>
      </w:pPr>
    </w:p>
    <w:p w14:paraId="47868EFE" w14:textId="25520779" w:rsidR="00403D17" w:rsidRPr="00226892" w:rsidRDefault="00A25607" w:rsidP="001C5911">
      <w:pPr>
        <w:suppressAutoHyphens/>
        <w:ind w:left="2"/>
        <w:jc w:val="both"/>
        <w:rPr>
          <w:rFonts w:ascii="Arial" w:hAnsi="Arial" w:cs="Arial"/>
          <w:lang w:val="sk-SK"/>
        </w:rPr>
      </w:pPr>
      <w:r w:rsidRPr="00226892">
        <w:rPr>
          <w:rFonts w:ascii="Arial" w:hAnsi="Arial" w:cs="Arial"/>
          <w:lang w:val="sk-SK"/>
        </w:rPr>
        <w:t xml:space="preserve">Minimálna požiadavka Zákonníka práce na príspevok pri odchode do starobného dôchodku je vo výške jednej priemernej mesačnej mzdy. Naviac, na základe kolektívnej zmluvy s odbormi Skupina vypláca </w:t>
      </w:r>
      <w:r w:rsidR="00EB103F" w:rsidRPr="00226892">
        <w:rPr>
          <w:rFonts w:ascii="Arial" w:hAnsi="Arial" w:cs="Arial"/>
          <w:lang w:val="sk-SK"/>
        </w:rPr>
        <w:t xml:space="preserve">príspevok vo výške 33 EUR za každý odpracovaný rok v Skupine. </w:t>
      </w:r>
    </w:p>
    <w:p w14:paraId="56F57290" w14:textId="77777777" w:rsidR="00F501F7" w:rsidRPr="00226892" w:rsidRDefault="00F501F7" w:rsidP="001C5911">
      <w:pPr>
        <w:suppressAutoHyphens/>
        <w:ind w:left="2"/>
        <w:jc w:val="both"/>
        <w:rPr>
          <w:rFonts w:ascii="Arial" w:hAnsi="Arial" w:cs="Arial"/>
          <w:lang w:val="sk-SK"/>
        </w:rPr>
      </w:pPr>
    </w:p>
    <w:p w14:paraId="46F82196" w14:textId="77777777" w:rsidR="00403D17" w:rsidRPr="00226892" w:rsidRDefault="00403D17" w:rsidP="001C5911">
      <w:pPr>
        <w:suppressAutoHyphens/>
        <w:ind w:left="2"/>
        <w:jc w:val="both"/>
        <w:rPr>
          <w:rFonts w:ascii="Arial" w:hAnsi="Arial" w:cs="Arial"/>
          <w:lang w:val="sk-SK"/>
        </w:rPr>
      </w:pPr>
      <w:r w:rsidRPr="00226892">
        <w:rPr>
          <w:rFonts w:ascii="Arial" w:hAnsi="Arial" w:cs="Arial"/>
          <w:lang w:val="sk-SK"/>
        </w:rPr>
        <w:t>Zamestnanci očakávajú, že Skupina bude naďalej poskytovať tieto zamestnanecké požitky a vedenie je toho názoru, že nie je pravdepodobné, že ukončí ich poskytovanie.</w:t>
      </w:r>
    </w:p>
    <w:p w14:paraId="6F9E5423" w14:textId="77777777" w:rsidR="00403D17" w:rsidRPr="00226892" w:rsidRDefault="00403D17" w:rsidP="001C5911">
      <w:pPr>
        <w:suppressAutoHyphens/>
        <w:ind w:left="2"/>
        <w:jc w:val="both"/>
        <w:rPr>
          <w:rFonts w:ascii="Arial" w:hAnsi="Arial" w:cs="Arial"/>
          <w:lang w:val="sk-SK"/>
        </w:rPr>
      </w:pPr>
    </w:p>
    <w:p w14:paraId="382D433F" w14:textId="27A99882" w:rsidR="00403D17" w:rsidRPr="00226892" w:rsidRDefault="00403D17" w:rsidP="001C5911">
      <w:pPr>
        <w:suppressAutoHyphens/>
        <w:ind w:left="2"/>
        <w:jc w:val="both"/>
        <w:rPr>
          <w:rFonts w:ascii="Arial" w:hAnsi="Arial" w:cs="Arial"/>
          <w:lang w:val="sk-SK"/>
        </w:rPr>
      </w:pPr>
      <w:r w:rsidRPr="00226892">
        <w:rPr>
          <w:rFonts w:ascii="Arial" w:hAnsi="Arial" w:cs="Arial"/>
          <w:lang w:val="sk-SK"/>
        </w:rPr>
        <w:t xml:space="preserve">Záväzok vykázaný v súvahe k 31. decembru </w:t>
      </w:r>
      <w:r w:rsidR="00FD3AC5" w:rsidRPr="00226892">
        <w:rPr>
          <w:rFonts w:ascii="Arial" w:hAnsi="Arial" w:cs="Arial"/>
          <w:lang w:val="sk-SK"/>
        </w:rPr>
        <w:t>2018</w:t>
      </w:r>
      <w:r w:rsidR="006766F2" w:rsidRPr="00226892">
        <w:rPr>
          <w:rFonts w:ascii="Arial" w:hAnsi="Arial" w:cs="Arial"/>
          <w:lang w:val="sk-SK"/>
        </w:rPr>
        <w:t xml:space="preserve"> </w:t>
      </w:r>
      <w:r w:rsidRPr="00226892">
        <w:rPr>
          <w:rFonts w:ascii="Arial" w:hAnsi="Arial" w:cs="Arial"/>
          <w:lang w:val="sk-SK"/>
        </w:rPr>
        <w:t xml:space="preserve">vyplývajúci z dôchodkových programov s vopred stanoveným plnením predstavuje súčasnú hodnotu záväzku z definovaných požitkov k súvahovému dňu. Poistno-matematické zisky alebo straty sa účtujú pri vzniku do ostatného súhrnného výsledku hospodárenia. Súčasná hodnota záväzku z definovaných plnení je stanovená diskontovaním odhadovaných budúcich úbytkov peňažných tokov použitím úrokovej miery </w:t>
      </w:r>
      <w:r w:rsidR="006F64A9" w:rsidRPr="00226892">
        <w:rPr>
          <w:rFonts w:ascii="Arial" w:hAnsi="Arial" w:cs="Arial"/>
          <w:lang w:val="sk-SK"/>
        </w:rPr>
        <w:t>1,95</w:t>
      </w:r>
      <w:r w:rsidR="00102FC3" w:rsidRPr="00226892">
        <w:rPr>
          <w:rFonts w:ascii="Arial" w:hAnsi="Arial" w:cs="Arial"/>
          <w:lang w:val="sk-SK"/>
        </w:rPr>
        <w:t xml:space="preserve"> %</w:t>
      </w:r>
      <w:r w:rsidRPr="00226892">
        <w:rPr>
          <w:rFonts w:ascii="Arial" w:hAnsi="Arial" w:cs="Arial"/>
          <w:lang w:val="sk-SK"/>
        </w:rPr>
        <w:t xml:space="preserve"> (</w:t>
      </w:r>
      <w:r w:rsidR="00102FC3" w:rsidRPr="00226892">
        <w:rPr>
          <w:rFonts w:ascii="Arial" w:hAnsi="Arial" w:cs="Arial"/>
          <w:lang w:val="sk-SK"/>
        </w:rPr>
        <w:t>201</w:t>
      </w:r>
      <w:r w:rsidR="006F64A9" w:rsidRPr="00226892">
        <w:rPr>
          <w:rFonts w:ascii="Arial" w:hAnsi="Arial" w:cs="Arial"/>
          <w:lang w:val="sk-SK"/>
        </w:rPr>
        <w:t>7</w:t>
      </w:r>
      <w:r w:rsidR="00102FC3" w:rsidRPr="00226892">
        <w:rPr>
          <w:rFonts w:ascii="Arial" w:hAnsi="Arial" w:cs="Arial"/>
          <w:lang w:val="sk-SK"/>
        </w:rPr>
        <w:t xml:space="preserve">: </w:t>
      </w:r>
      <w:r w:rsidR="006F64A9" w:rsidRPr="00226892">
        <w:rPr>
          <w:rFonts w:ascii="Arial" w:hAnsi="Arial" w:cs="Arial"/>
          <w:lang w:val="sk-SK"/>
        </w:rPr>
        <w:t>2</w:t>
      </w:r>
      <w:r w:rsidR="00036F14" w:rsidRPr="00226892">
        <w:rPr>
          <w:rFonts w:ascii="Arial" w:hAnsi="Arial" w:cs="Arial"/>
          <w:lang w:val="sk-SK"/>
        </w:rPr>
        <w:t xml:space="preserve"> %</w:t>
      </w:r>
      <w:r w:rsidRPr="00226892">
        <w:rPr>
          <w:rFonts w:ascii="Arial" w:hAnsi="Arial" w:cs="Arial"/>
          <w:lang w:val="sk-SK"/>
        </w:rPr>
        <w:t xml:space="preserve">). </w:t>
      </w:r>
    </w:p>
    <w:p w14:paraId="422A662B" w14:textId="77777777" w:rsidR="00403D17" w:rsidRPr="00226892" w:rsidRDefault="00403D17" w:rsidP="001C5911">
      <w:pPr>
        <w:suppressAutoHyphens/>
        <w:ind w:left="2"/>
        <w:jc w:val="both"/>
        <w:rPr>
          <w:rFonts w:ascii="Arial" w:hAnsi="Arial" w:cs="Arial"/>
          <w:lang w:val="sk-SK"/>
        </w:rPr>
      </w:pPr>
    </w:p>
    <w:p w14:paraId="3C206DF8" w14:textId="1D716622" w:rsidR="00A25607" w:rsidRPr="00226892" w:rsidRDefault="00403D17" w:rsidP="001C5911">
      <w:pPr>
        <w:suppressAutoHyphens/>
        <w:ind w:left="2"/>
        <w:jc w:val="both"/>
        <w:rPr>
          <w:rFonts w:ascii="Arial" w:hAnsi="Arial" w:cs="Arial"/>
          <w:lang w:val="sk-SK"/>
        </w:rPr>
      </w:pPr>
      <w:r w:rsidRPr="00226892">
        <w:rPr>
          <w:rFonts w:ascii="Arial" w:hAnsi="Arial" w:cs="Arial"/>
          <w:lang w:val="sk-SK"/>
        </w:rPr>
        <w:t>Poistno-matematické zisky a straty vyplývajúce z úprav a zmien poistno-matematických predpokladov sa zaúčtujú do ostatného súhrnného zisku alebo straty pri ich vzniku.</w:t>
      </w:r>
      <w:r w:rsidR="00A25607" w:rsidRPr="00226892">
        <w:rPr>
          <w:rFonts w:ascii="Arial" w:hAnsi="Arial" w:cs="Arial"/>
          <w:lang w:val="sk-SK"/>
        </w:rPr>
        <w:t xml:space="preserve"> </w:t>
      </w:r>
      <w:r w:rsidR="004D796C" w:rsidRPr="00226892">
        <w:rPr>
          <w:rFonts w:ascii="Arial" w:hAnsi="Arial" w:cs="Arial"/>
          <w:lang w:val="sk-SK"/>
        </w:rPr>
        <w:t xml:space="preserve">Zmeny dôchodkových programov sa účtujú </w:t>
      </w:r>
      <w:r w:rsidR="00A978EC" w:rsidRPr="00226892">
        <w:rPr>
          <w:rFonts w:ascii="Arial" w:hAnsi="Arial" w:cs="Arial"/>
          <w:lang w:val="sk-SK"/>
        </w:rPr>
        <w:t>do nákladov</w:t>
      </w:r>
      <w:r w:rsidR="004D796C" w:rsidRPr="00226892">
        <w:rPr>
          <w:rFonts w:ascii="Arial" w:hAnsi="Arial" w:cs="Arial"/>
          <w:lang w:val="sk-SK"/>
        </w:rPr>
        <w:t xml:space="preserve"> alebo </w:t>
      </w:r>
      <w:r w:rsidR="00A978EC" w:rsidRPr="00226892">
        <w:rPr>
          <w:rFonts w:ascii="Arial" w:hAnsi="Arial" w:cs="Arial"/>
          <w:lang w:val="sk-SK"/>
        </w:rPr>
        <w:t>výnosov</w:t>
      </w:r>
      <w:r w:rsidR="004D796C" w:rsidRPr="00226892">
        <w:rPr>
          <w:rFonts w:ascii="Arial" w:hAnsi="Arial" w:cs="Arial"/>
          <w:lang w:val="sk-SK"/>
        </w:rPr>
        <w:t>.</w:t>
      </w:r>
    </w:p>
    <w:p w14:paraId="4327A28D" w14:textId="77777777" w:rsidR="00A25607" w:rsidRPr="00226892" w:rsidRDefault="00A25607" w:rsidP="001C5911">
      <w:pPr>
        <w:suppressAutoHyphens/>
        <w:ind w:left="2"/>
        <w:jc w:val="both"/>
        <w:rPr>
          <w:rFonts w:ascii="Arial" w:hAnsi="Arial" w:cs="Arial"/>
          <w:highlight w:val="yellow"/>
          <w:lang w:val="sk-SK"/>
        </w:rPr>
      </w:pPr>
    </w:p>
    <w:p w14:paraId="79539FC1" w14:textId="6C1A317C" w:rsidR="00403D17" w:rsidRPr="00226892" w:rsidRDefault="00403D17" w:rsidP="001C5911">
      <w:pPr>
        <w:suppressAutoHyphens/>
        <w:ind w:left="500" w:hanging="540"/>
        <w:rPr>
          <w:rFonts w:ascii="Arial" w:hAnsi="Arial" w:cs="Arial"/>
          <w:iCs/>
          <w:lang w:val="sk-SK"/>
        </w:rPr>
      </w:pPr>
      <w:bookmarkStart w:id="163" w:name="_Hlk516220978"/>
      <w:r w:rsidRPr="00226892">
        <w:rPr>
          <w:rFonts w:ascii="Arial" w:hAnsi="Arial" w:cs="Arial"/>
          <w:iCs/>
          <w:lang w:val="sk-SK"/>
        </w:rPr>
        <w:t>(b)</w:t>
      </w:r>
      <w:r w:rsidRPr="00226892">
        <w:rPr>
          <w:rFonts w:ascii="Arial" w:hAnsi="Arial" w:cs="Arial"/>
          <w:iCs/>
          <w:lang w:val="sk-SK"/>
        </w:rPr>
        <w:tab/>
        <w:t>Odmeny pri pracovných a životných jubileách</w:t>
      </w:r>
    </w:p>
    <w:p w14:paraId="280EBEB9" w14:textId="77963B73" w:rsidR="00403D17" w:rsidRPr="00226892" w:rsidRDefault="00403D17" w:rsidP="001C5911">
      <w:pPr>
        <w:suppressAutoHyphens/>
        <w:ind w:left="2"/>
        <w:jc w:val="both"/>
        <w:rPr>
          <w:rFonts w:ascii="Arial" w:hAnsi="Arial" w:cs="Arial"/>
          <w:highlight w:val="yellow"/>
          <w:lang w:val="sk-SK"/>
        </w:rPr>
      </w:pPr>
    </w:p>
    <w:p w14:paraId="6293E4CB" w14:textId="2267E931" w:rsidR="00A25607" w:rsidRPr="00226892" w:rsidRDefault="00A25607" w:rsidP="001C5911">
      <w:pPr>
        <w:suppressAutoHyphens/>
        <w:ind w:left="2"/>
        <w:jc w:val="both"/>
        <w:rPr>
          <w:rFonts w:ascii="Arial" w:hAnsi="Arial" w:cs="Arial"/>
          <w:lang w:val="sk-SK"/>
        </w:rPr>
      </w:pPr>
      <w:r w:rsidRPr="00226892">
        <w:rPr>
          <w:rFonts w:ascii="Arial" w:hAnsi="Arial" w:cs="Arial"/>
          <w:lang w:val="sk-SK"/>
        </w:rPr>
        <w:t>Skupina</w:t>
      </w:r>
      <w:r w:rsidR="00403D17" w:rsidRPr="00226892">
        <w:rPr>
          <w:rFonts w:ascii="Arial" w:hAnsi="Arial" w:cs="Arial"/>
          <w:lang w:val="sk-SK"/>
        </w:rPr>
        <w:t xml:space="preserve"> </w:t>
      </w:r>
      <w:r w:rsidRPr="00226892">
        <w:rPr>
          <w:rFonts w:ascii="Arial" w:hAnsi="Arial" w:cs="Arial"/>
          <w:lang w:val="sk-SK"/>
        </w:rPr>
        <w:t>vypláca odmeny pri pracovných a životných jubileách:</w:t>
      </w:r>
    </w:p>
    <w:p w14:paraId="5EBD3D53" w14:textId="6983CC2D" w:rsidR="00A25607" w:rsidRPr="00226892" w:rsidRDefault="00A25607" w:rsidP="001C5911">
      <w:pPr>
        <w:suppressAutoHyphens/>
        <w:ind w:left="2"/>
        <w:jc w:val="both"/>
        <w:rPr>
          <w:rFonts w:ascii="Arial" w:hAnsi="Arial" w:cs="Arial"/>
          <w:lang w:val="sk-SK"/>
        </w:rPr>
      </w:pPr>
      <w:r w:rsidRPr="00226892">
        <w:rPr>
          <w:rFonts w:ascii="Arial" w:hAnsi="Arial" w:cs="Arial"/>
          <w:lang w:val="sk-SK"/>
        </w:rPr>
        <w:t xml:space="preserve">(a1) Odmena pri pracovnom jubileu závisí od počtu odpracovaných rokov v Skupine a je vyplácaná v intervale od </w:t>
      </w:r>
      <w:r w:rsidR="00E349EF" w:rsidRPr="00226892">
        <w:rPr>
          <w:rFonts w:ascii="Arial" w:hAnsi="Arial" w:cs="Arial"/>
          <w:lang w:val="sk-SK"/>
        </w:rPr>
        <w:t> </w:t>
      </w:r>
      <w:r w:rsidR="00F501F7" w:rsidRPr="00226892">
        <w:rPr>
          <w:rFonts w:ascii="Arial" w:hAnsi="Arial" w:cs="Arial"/>
          <w:lang w:val="sk-SK"/>
        </w:rPr>
        <w:t xml:space="preserve">100 </w:t>
      </w:r>
      <w:r w:rsidRPr="00226892">
        <w:rPr>
          <w:rFonts w:ascii="Arial" w:hAnsi="Arial" w:cs="Arial"/>
          <w:lang w:val="sk-SK"/>
        </w:rPr>
        <w:t xml:space="preserve">EUR do </w:t>
      </w:r>
      <w:r w:rsidR="00F501F7" w:rsidRPr="00226892">
        <w:rPr>
          <w:rFonts w:ascii="Arial" w:hAnsi="Arial" w:cs="Arial"/>
          <w:lang w:val="sk-SK"/>
        </w:rPr>
        <w:t>400</w:t>
      </w:r>
      <w:r w:rsidR="00E349EF" w:rsidRPr="00226892">
        <w:rPr>
          <w:rFonts w:ascii="Arial" w:hAnsi="Arial" w:cs="Arial"/>
          <w:lang w:val="sk-SK"/>
        </w:rPr>
        <w:t xml:space="preserve"> </w:t>
      </w:r>
      <w:r w:rsidRPr="00226892">
        <w:rPr>
          <w:rFonts w:ascii="Arial" w:hAnsi="Arial" w:cs="Arial"/>
          <w:lang w:val="sk-SK"/>
        </w:rPr>
        <w:t>EUR;</w:t>
      </w:r>
    </w:p>
    <w:p w14:paraId="1CE6837A" w14:textId="77777777" w:rsidR="00A25607" w:rsidRPr="00226892" w:rsidRDefault="00A25607" w:rsidP="001C5911">
      <w:pPr>
        <w:suppressAutoHyphens/>
        <w:ind w:left="2"/>
        <w:jc w:val="both"/>
        <w:rPr>
          <w:rFonts w:ascii="Arial" w:hAnsi="Arial" w:cs="Arial"/>
          <w:lang w:val="sk-SK"/>
        </w:rPr>
      </w:pPr>
    </w:p>
    <w:p w14:paraId="524EAF7E" w14:textId="6D710ECF" w:rsidR="00A25607" w:rsidRPr="00226892" w:rsidRDefault="00A25607" w:rsidP="001C5911">
      <w:pPr>
        <w:suppressAutoHyphens/>
        <w:ind w:left="2"/>
        <w:jc w:val="both"/>
        <w:rPr>
          <w:rFonts w:ascii="Arial" w:hAnsi="Arial" w:cs="Arial"/>
          <w:lang w:val="sk-SK"/>
        </w:rPr>
      </w:pPr>
      <w:r w:rsidRPr="00226892">
        <w:rPr>
          <w:rFonts w:ascii="Arial" w:hAnsi="Arial" w:cs="Arial"/>
          <w:lang w:val="sk-SK"/>
        </w:rPr>
        <w:t xml:space="preserve">(a2) Odmena pri životnom jubileu, závisí od počtu odpracovaných rokov v Skupine a je vyplácaná v intervale od </w:t>
      </w:r>
      <w:r w:rsidR="00F501F7" w:rsidRPr="00226892">
        <w:rPr>
          <w:rFonts w:ascii="Arial" w:hAnsi="Arial" w:cs="Arial"/>
          <w:lang w:val="sk-SK"/>
        </w:rPr>
        <w:t xml:space="preserve">33 </w:t>
      </w:r>
      <w:r w:rsidR="00367115" w:rsidRPr="00226892">
        <w:rPr>
          <w:rFonts w:ascii="Arial" w:hAnsi="Arial" w:cs="Arial"/>
          <w:lang w:val="sk-SK"/>
        </w:rPr>
        <w:t xml:space="preserve">EUR do </w:t>
      </w:r>
      <w:r w:rsidR="00F501F7" w:rsidRPr="00226892">
        <w:rPr>
          <w:rFonts w:ascii="Arial" w:hAnsi="Arial" w:cs="Arial"/>
          <w:lang w:val="sk-SK"/>
        </w:rPr>
        <w:t>332</w:t>
      </w:r>
      <w:r w:rsidR="00367115" w:rsidRPr="00226892">
        <w:rPr>
          <w:rFonts w:ascii="Arial" w:hAnsi="Arial" w:cs="Arial"/>
          <w:lang w:val="sk-SK"/>
        </w:rPr>
        <w:t xml:space="preserve"> EUR</w:t>
      </w:r>
      <w:r w:rsidRPr="00226892">
        <w:rPr>
          <w:rFonts w:ascii="Arial" w:hAnsi="Arial" w:cs="Arial"/>
          <w:lang w:val="sk-SK"/>
        </w:rPr>
        <w:t>;</w:t>
      </w:r>
    </w:p>
    <w:p w14:paraId="2FAF5C40" w14:textId="77777777" w:rsidR="00A25607" w:rsidRPr="00226892" w:rsidRDefault="00A25607" w:rsidP="001C5911">
      <w:pPr>
        <w:suppressAutoHyphens/>
        <w:ind w:left="2"/>
        <w:jc w:val="both"/>
        <w:rPr>
          <w:rFonts w:ascii="Arial" w:hAnsi="Arial" w:cs="Arial"/>
          <w:lang w:val="sk-SK"/>
        </w:rPr>
      </w:pPr>
    </w:p>
    <w:bookmarkEnd w:id="163"/>
    <w:p w14:paraId="73130336" w14:textId="77777777" w:rsidR="00A25607" w:rsidRPr="00226892" w:rsidRDefault="00A25607" w:rsidP="001C5911">
      <w:pPr>
        <w:pStyle w:val="ABC-paragrahinNotes"/>
        <w:suppressAutoHyphens/>
        <w:spacing w:line="228" w:lineRule="auto"/>
        <w:ind w:left="2"/>
        <w:rPr>
          <w:rFonts w:cs="Arial"/>
          <w:sz w:val="20"/>
          <w:lang w:val="sk-SK"/>
        </w:rPr>
      </w:pPr>
      <w:r w:rsidRPr="00226892">
        <w:rPr>
          <w:rFonts w:cs="Arial"/>
          <w:sz w:val="20"/>
          <w:lang w:val="sk-SK"/>
        </w:rPr>
        <w:t>Zamestnanci očakávajú, že Skupina bude naďalej poskytovať tieto zamestnanecké požitky a vedenie je toho názoru, že nie je pravdepodobné, že ukončí ich poskytovanie.</w:t>
      </w:r>
    </w:p>
    <w:p w14:paraId="33D9DAA9" w14:textId="02C4FEE5" w:rsidR="00A25607" w:rsidRPr="00226892" w:rsidRDefault="00A25607" w:rsidP="001C5911">
      <w:pPr>
        <w:pStyle w:val="ABC-paragrahinNotes"/>
        <w:suppressAutoHyphens/>
        <w:spacing w:line="228" w:lineRule="auto"/>
        <w:ind w:left="2"/>
        <w:rPr>
          <w:rFonts w:cs="Arial"/>
          <w:sz w:val="20"/>
          <w:lang w:val="sk-SK"/>
        </w:rPr>
      </w:pPr>
      <w:r w:rsidRPr="00226892">
        <w:rPr>
          <w:rFonts w:cs="Arial"/>
          <w:sz w:val="20"/>
          <w:lang w:val="sk-SK"/>
        </w:rPr>
        <w:t xml:space="preserve">Poistno-matematické zisky a straty vyplývajúce z úprav a zmien poistno-matematických predpokladov sa zaúčtujú do </w:t>
      </w:r>
      <w:r w:rsidR="00A978EC" w:rsidRPr="00226892">
        <w:rPr>
          <w:rFonts w:cs="Arial"/>
          <w:sz w:val="20"/>
          <w:lang w:val="sk-SK"/>
        </w:rPr>
        <w:t>výsledku hospodárenia</w:t>
      </w:r>
      <w:r w:rsidRPr="00226892">
        <w:rPr>
          <w:rFonts w:cs="Arial"/>
          <w:sz w:val="20"/>
          <w:lang w:val="sk-SK"/>
        </w:rPr>
        <w:t xml:space="preserve"> pri ich vzniku.</w:t>
      </w:r>
      <w:r w:rsidR="004D796C" w:rsidRPr="00226892">
        <w:rPr>
          <w:rFonts w:cs="Arial"/>
          <w:sz w:val="20"/>
          <w:lang w:val="sk-SK"/>
        </w:rPr>
        <w:t xml:space="preserve"> Zmeny a úpravy programu odmien pri pracovných a životných jubileách sa účtujú v zisku alebo strate.</w:t>
      </w:r>
    </w:p>
    <w:p w14:paraId="47A64F46" w14:textId="5A734F3D" w:rsidR="00A25607" w:rsidRPr="00226892" w:rsidRDefault="00A25607" w:rsidP="001C5911">
      <w:pPr>
        <w:suppressAutoHyphens/>
        <w:ind w:left="514" w:hanging="540"/>
        <w:jc w:val="both"/>
        <w:rPr>
          <w:rFonts w:ascii="Arial" w:hAnsi="Arial" w:cs="Arial"/>
          <w:iCs/>
          <w:lang w:val="sk-SK"/>
        </w:rPr>
      </w:pPr>
      <w:r w:rsidRPr="00226892">
        <w:rPr>
          <w:rFonts w:ascii="Arial" w:hAnsi="Arial" w:cs="Arial"/>
          <w:iCs/>
          <w:lang w:val="sk-SK"/>
        </w:rPr>
        <w:t>(</w:t>
      </w:r>
      <w:r w:rsidR="00403D17" w:rsidRPr="00226892">
        <w:rPr>
          <w:rFonts w:ascii="Arial" w:hAnsi="Arial" w:cs="Arial"/>
          <w:iCs/>
          <w:lang w:val="sk-SK"/>
        </w:rPr>
        <w:t>c</w:t>
      </w:r>
      <w:r w:rsidRPr="00226892">
        <w:rPr>
          <w:rFonts w:ascii="Arial" w:hAnsi="Arial" w:cs="Arial"/>
          <w:iCs/>
          <w:lang w:val="sk-SK"/>
        </w:rPr>
        <w:t>)</w:t>
      </w:r>
      <w:r w:rsidRPr="00226892">
        <w:rPr>
          <w:rFonts w:ascii="Arial" w:hAnsi="Arial" w:cs="Arial"/>
          <w:iCs/>
          <w:lang w:val="sk-SK"/>
        </w:rPr>
        <w:tab/>
        <w:t>Dôchodkové fondy s vopred stanovenými príspevkami</w:t>
      </w:r>
    </w:p>
    <w:p w14:paraId="523C0E04" w14:textId="77777777" w:rsidR="00A25607" w:rsidRPr="00226892" w:rsidRDefault="00A25607" w:rsidP="00235CDF">
      <w:pPr>
        <w:pStyle w:val="odst"/>
      </w:pPr>
    </w:p>
    <w:p w14:paraId="0DDFC94B" w14:textId="74AE3565" w:rsidR="003231BD" w:rsidRPr="00226892" w:rsidRDefault="00A25607" w:rsidP="001C5911">
      <w:pPr>
        <w:pStyle w:val="ABC-paragrahinNotes"/>
        <w:suppressAutoHyphens/>
        <w:spacing w:line="228" w:lineRule="auto"/>
        <w:ind w:left="2"/>
        <w:rPr>
          <w:rFonts w:cs="Arial"/>
          <w:lang w:val="sk-SK"/>
        </w:rPr>
      </w:pPr>
      <w:r w:rsidRPr="00226892">
        <w:rPr>
          <w:rFonts w:cs="Arial"/>
          <w:sz w:val="20"/>
          <w:lang w:val="sk-SK"/>
        </w:rPr>
        <w:t xml:space="preserve">Skupina prispieva do štátnych a súkromných fondov dôchodkového pripoistenia na zákonnej, zmluvnej alebo dobrovoľnej báze. </w:t>
      </w:r>
    </w:p>
    <w:p w14:paraId="46C93C95" w14:textId="77777777" w:rsidR="00A25607" w:rsidRPr="00226892" w:rsidRDefault="00A25607" w:rsidP="001C5911">
      <w:pPr>
        <w:pStyle w:val="ABC-paragrahinNotes"/>
        <w:suppressAutoHyphens/>
        <w:spacing w:line="228" w:lineRule="auto"/>
        <w:ind w:left="2"/>
        <w:rPr>
          <w:rFonts w:cs="Arial"/>
          <w:sz w:val="20"/>
          <w:lang w:val="sk-SK"/>
        </w:rPr>
      </w:pPr>
      <w:r w:rsidRPr="00226892">
        <w:rPr>
          <w:rFonts w:cs="Arial"/>
          <w:sz w:val="20"/>
          <w:lang w:val="sk-SK"/>
        </w:rPr>
        <w:t xml:space="preserve">Skupina platí počas roka odvody na povinné zdravotné, nemocenské, dôchodkové, úrazové poistenie a tiež príspevok do garančného fondu a na poistenie v nezamestnanosti v zákonom stanovenej výške na základe hrubých miezd a iných príjmov, ktoré sú predmetom zdanenia. </w:t>
      </w:r>
    </w:p>
    <w:p w14:paraId="31260116" w14:textId="6DE867E1" w:rsidR="00A25607" w:rsidRPr="00226892" w:rsidRDefault="00A25607" w:rsidP="001C5911">
      <w:pPr>
        <w:pStyle w:val="ABC-paragrahinNotes"/>
        <w:suppressAutoHyphens/>
        <w:spacing w:line="228" w:lineRule="auto"/>
        <w:ind w:left="2"/>
        <w:rPr>
          <w:rFonts w:cs="Arial"/>
          <w:sz w:val="20"/>
          <w:lang w:val="sk-SK"/>
        </w:rPr>
      </w:pPr>
      <w:r w:rsidRPr="00226892">
        <w:rPr>
          <w:rFonts w:cs="Arial"/>
          <w:sz w:val="20"/>
          <w:lang w:val="sk-SK"/>
        </w:rPr>
        <w:t>Počas celého roka Skupina prispievala do týchto fondov vo výške 35,2% (</w:t>
      </w:r>
      <w:r w:rsidR="00D020B9" w:rsidRPr="00226892">
        <w:rPr>
          <w:rFonts w:cs="Arial"/>
          <w:sz w:val="20"/>
          <w:lang w:val="sk-SK"/>
        </w:rPr>
        <w:t>201</w:t>
      </w:r>
      <w:r w:rsidR="00EE5E42" w:rsidRPr="00226892">
        <w:rPr>
          <w:rFonts w:cs="Arial"/>
          <w:sz w:val="20"/>
          <w:lang w:val="sk-SK"/>
        </w:rPr>
        <w:t>6</w:t>
      </w:r>
      <w:r w:rsidRPr="00226892">
        <w:rPr>
          <w:rFonts w:cs="Arial"/>
          <w:sz w:val="20"/>
          <w:lang w:val="sk-SK"/>
        </w:rPr>
        <w:t>: 35,2%) hrubých miezd do výšky mesačnej mzdy, ktorá je stanovená príslušnými právnymi predpismi, pričom zamestnanec si na príslušné poistenia prispieval ďalšími 13,4% (</w:t>
      </w:r>
      <w:r w:rsidR="00D020B9" w:rsidRPr="00226892">
        <w:rPr>
          <w:rFonts w:cs="Arial"/>
          <w:sz w:val="20"/>
          <w:lang w:val="sk-SK"/>
        </w:rPr>
        <w:t>201</w:t>
      </w:r>
      <w:r w:rsidR="005D69B5" w:rsidRPr="00226892">
        <w:rPr>
          <w:rFonts w:cs="Arial"/>
          <w:sz w:val="20"/>
          <w:lang w:val="sk-SK"/>
        </w:rPr>
        <w:t>6</w:t>
      </w:r>
      <w:r w:rsidRPr="00226892">
        <w:rPr>
          <w:rFonts w:cs="Arial"/>
          <w:sz w:val="20"/>
          <w:lang w:val="sk-SK"/>
        </w:rPr>
        <w:t xml:space="preserve">: 13,4%). Náklady na tieto odvody sa účtujú </w:t>
      </w:r>
      <w:r w:rsidR="008E46DB" w:rsidRPr="00226892">
        <w:rPr>
          <w:rFonts w:cs="Arial"/>
          <w:sz w:val="20"/>
          <w:lang w:val="sk-SK"/>
        </w:rPr>
        <w:t>do zisku alebo straty</w:t>
      </w:r>
      <w:r w:rsidRPr="00226892">
        <w:rPr>
          <w:rFonts w:cs="Arial"/>
          <w:sz w:val="20"/>
          <w:lang w:val="sk-SK"/>
        </w:rPr>
        <w:t xml:space="preserve"> v tom istom období ako príslušné mzdové náklady.</w:t>
      </w:r>
    </w:p>
    <w:p w14:paraId="1A04847B" w14:textId="77777777" w:rsidR="00A25607" w:rsidRPr="00226892" w:rsidRDefault="00A25607" w:rsidP="001C5911">
      <w:pPr>
        <w:suppressAutoHyphens/>
        <w:ind w:left="514" w:hanging="540"/>
        <w:rPr>
          <w:rFonts w:ascii="Arial" w:hAnsi="Arial" w:cs="Arial"/>
          <w:i/>
          <w:iCs/>
          <w:lang w:val="sk-SK"/>
        </w:rPr>
      </w:pPr>
      <w:r w:rsidRPr="00226892">
        <w:rPr>
          <w:rFonts w:ascii="Arial" w:hAnsi="Arial" w:cs="Arial"/>
          <w:i/>
          <w:iCs/>
          <w:lang w:val="sk-SK"/>
        </w:rPr>
        <w:t>(ii)</w:t>
      </w:r>
      <w:r w:rsidRPr="00226892">
        <w:rPr>
          <w:rFonts w:ascii="Arial" w:hAnsi="Arial" w:cs="Arial"/>
          <w:i/>
          <w:iCs/>
          <w:lang w:val="sk-SK"/>
        </w:rPr>
        <w:tab/>
        <w:t xml:space="preserve">Odstupné </w:t>
      </w:r>
    </w:p>
    <w:p w14:paraId="3A5B3435" w14:textId="77777777" w:rsidR="00A25607" w:rsidRPr="00226892" w:rsidRDefault="00A25607" w:rsidP="001C5911">
      <w:pPr>
        <w:pStyle w:val="Textkomentra"/>
        <w:suppressAutoHyphens/>
        <w:ind w:left="2"/>
        <w:rPr>
          <w:rFonts w:ascii="Arial" w:hAnsi="Arial" w:cs="Arial"/>
          <w:i/>
          <w:iCs/>
          <w:lang w:val="sk-SK"/>
        </w:rPr>
      </w:pPr>
    </w:p>
    <w:p w14:paraId="57EEA0B5" w14:textId="77777777" w:rsidR="00A25607" w:rsidRPr="00226892" w:rsidRDefault="00A25607" w:rsidP="001C5911">
      <w:pPr>
        <w:pStyle w:val="ABC-paragrahinNotes"/>
        <w:suppressAutoHyphens/>
        <w:spacing w:line="228" w:lineRule="auto"/>
        <w:ind w:left="2"/>
        <w:rPr>
          <w:rFonts w:cs="Arial"/>
          <w:sz w:val="20"/>
          <w:lang w:val="sk-SK"/>
        </w:rPr>
      </w:pPr>
      <w:r w:rsidRPr="00226892">
        <w:rPr>
          <w:rFonts w:cs="Arial"/>
          <w:sz w:val="20"/>
          <w:lang w:val="sk-SK"/>
        </w:rPr>
        <w:t>Odstupné sa vypláca vždy, keď je so zamestnancom ukončený pracovný pomer pred jeho odchodom do dôchodku alebo ak sa zamestnanec rozhodne dobrovoľne ukončiť pracovný pomer z dôvodu nadbytočnosti výmenou za tento peňažný príspevok.</w:t>
      </w:r>
    </w:p>
    <w:p w14:paraId="7460297D" w14:textId="6C666704" w:rsidR="00125C74" w:rsidRPr="00226892" w:rsidRDefault="004D3005" w:rsidP="00125C74">
      <w:pPr>
        <w:pStyle w:val="ABC-paragrahinNotes"/>
        <w:suppressAutoHyphens/>
        <w:spacing w:after="0"/>
        <w:ind w:left="2"/>
        <w:rPr>
          <w:rFonts w:cs="Arial"/>
          <w:sz w:val="20"/>
          <w:lang w:val="sk-SK"/>
        </w:rPr>
      </w:pPr>
      <w:r w:rsidRPr="00226892">
        <w:rPr>
          <w:rFonts w:cs="Arial"/>
          <w:sz w:val="20"/>
          <w:lang w:val="sk-SK"/>
        </w:rPr>
        <w:t>Skupina vykazuje odstupné vtedy, keď sa preukázateľne zaviaže ukončiť pracovný pomer so svojimi zamestnancami v súlade s podrobným oficiálnym plánom znižovania ich stavu bez možnosti odvolania. Odstupné splatné viac než 12 mesiacov po súvahovom dni je diskontované na súčasnú hodnotu.</w:t>
      </w:r>
    </w:p>
    <w:p w14:paraId="2F8AFE70" w14:textId="77777777" w:rsidR="00125C74" w:rsidRPr="00226892" w:rsidRDefault="00125C74">
      <w:pPr>
        <w:rPr>
          <w:rFonts w:ascii="Arial" w:hAnsi="Arial" w:cs="Arial"/>
          <w:lang w:val="sk-SK"/>
        </w:rPr>
      </w:pPr>
      <w:r w:rsidRPr="00226892">
        <w:rPr>
          <w:rFonts w:ascii="Arial" w:hAnsi="Arial" w:cs="Arial"/>
          <w:lang w:val="sk-SK"/>
        </w:rPr>
        <w:br w:type="page"/>
      </w:r>
    </w:p>
    <w:p w14:paraId="7E2D4036" w14:textId="474E8305" w:rsidR="00A25607" w:rsidRPr="00226892" w:rsidRDefault="00A25607" w:rsidP="001C5911">
      <w:pPr>
        <w:pStyle w:val="Nadpis1"/>
      </w:pPr>
      <w:bookmarkStart w:id="164" w:name="_Toc329090276"/>
      <w:bookmarkStart w:id="165" w:name="_Toc329090277"/>
      <w:bookmarkStart w:id="166" w:name="_Toc329090278"/>
      <w:bookmarkStart w:id="167" w:name="_Toc329090279"/>
      <w:bookmarkStart w:id="168" w:name="_Toc329090280"/>
      <w:bookmarkStart w:id="169" w:name="_Toc326330685"/>
      <w:bookmarkStart w:id="170" w:name="_Toc327260906"/>
      <w:bookmarkStart w:id="171" w:name="_Toc327263381"/>
      <w:bookmarkStart w:id="172" w:name="_Toc325985787"/>
      <w:bookmarkStart w:id="173" w:name="_Toc387812489"/>
      <w:bookmarkStart w:id="174" w:name="_Toc27409986"/>
      <w:bookmarkEnd w:id="164"/>
      <w:bookmarkEnd w:id="165"/>
      <w:bookmarkEnd w:id="166"/>
      <w:bookmarkEnd w:id="167"/>
      <w:bookmarkEnd w:id="168"/>
      <w:bookmarkEnd w:id="169"/>
      <w:bookmarkEnd w:id="170"/>
      <w:bookmarkEnd w:id="171"/>
      <w:r w:rsidRPr="00226892">
        <w:lastRenderedPageBreak/>
        <w:t>Rezervy na ostatné záväzky a náklady</w:t>
      </w:r>
      <w:bookmarkEnd w:id="172"/>
      <w:bookmarkEnd w:id="173"/>
      <w:bookmarkEnd w:id="174"/>
    </w:p>
    <w:p w14:paraId="29054264" w14:textId="77777777" w:rsidR="00A25607" w:rsidRPr="00226892" w:rsidRDefault="00A25607" w:rsidP="001C5911">
      <w:pPr>
        <w:pStyle w:val="ABC-paragrahinNotes"/>
        <w:suppressAutoHyphens/>
        <w:spacing w:line="228" w:lineRule="auto"/>
        <w:rPr>
          <w:rFonts w:cs="Arial"/>
          <w:color w:val="FF0000"/>
          <w:sz w:val="20"/>
          <w:lang w:val="sk-SK"/>
        </w:rPr>
      </w:pPr>
      <w:bookmarkStart w:id="175" w:name="_Toc97508383"/>
      <w:r w:rsidRPr="00226892">
        <w:rPr>
          <w:rFonts w:cs="Arial"/>
          <w:sz w:val="20"/>
          <w:lang w:val="sk-SK"/>
        </w:rPr>
        <w:t>Rezervy na ostatné záväzky a náklady sa tvoria, ak má Skupina súčasné zmluvné alebo mimozmluvné záväzky v dôsledku minulých udalostí, je pravdepodobné, že k vyrovnaniu týchto záväzkov bude potrebné vynaloženie prostriedkov a zároveň je možné spoľahlivo odhadnúť sumu záväzkov. V prípade viacerých podobných záväzkov sa pravdepodobnosť, že bude potrebné vynaložiť prostriedky na vyrovnanie záväzku, stanoví na základe skupiny záväzkov ako celku. Rezerva sa tvorí aj v prípade, ak pravdepodobnosť vynaloženia prostriedkov na vyrovnanie jednotlivého záväzku zahrnutého v danej skupine záväzkov, je nízka.</w:t>
      </w:r>
    </w:p>
    <w:p w14:paraId="49D0CA06" w14:textId="77777777" w:rsidR="00A25607" w:rsidRPr="00226892" w:rsidRDefault="00A25607" w:rsidP="001C5911">
      <w:pPr>
        <w:pStyle w:val="ABC-paragrahinNotes"/>
        <w:suppressAutoHyphens/>
        <w:spacing w:line="228" w:lineRule="auto"/>
        <w:rPr>
          <w:rFonts w:cs="Arial"/>
          <w:sz w:val="20"/>
          <w:lang w:val="sk-SK"/>
        </w:rPr>
      </w:pPr>
      <w:r w:rsidRPr="00226892">
        <w:rPr>
          <w:rFonts w:cs="Arial"/>
          <w:sz w:val="20"/>
          <w:lang w:val="sk-SK"/>
        </w:rPr>
        <w:t>Ak Skupina očakáva, že náklady, na ktoré je rezerva tvorená, jej budú refundované, je táto refundácia zaúčtovaná ako samostatné aktívum za predpokladu, že je fakticky istá.</w:t>
      </w:r>
    </w:p>
    <w:p w14:paraId="69E31DE5" w14:textId="77777777" w:rsidR="00A25607" w:rsidRPr="00226892" w:rsidRDefault="00A25607" w:rsidP="001C5911">
      <w:pPr>
        <w:pStyle w:val="ABC-paragrahinNotes"/>
        <w:suppressAutoHyphens/>
        <w:spacing w:after="0"/>
        <w:rPr>
          <w:rFonts w:cs="Arial"/>
          <w:sz w:val="20"/>
          <w:lang w:val="sk-SK"/>
        </w:rPr>
      </w:pPr>
      <w:r w:rsidRPr="00226892">
        <w:rPr>
          <w:rFonts w:cs="Arial"/>
          <w:sz w:val="20"/>
          <w:lang w:val="sk-SK"/>
        </w:rPr>
        <w:t>Rezervy sa oceňujú v súčasnej hodnote nákladov, ktoré sa predpokladajú na vyrovnanie záväzku použitím sadzby pred zdanením, ktorá odráža trhové odhady hodnoty peňazí v danom čase a riziká, ktoré sú pre záväzok špecifické. Zvýšenie rezervy v dôsledku uplynutia času sa vykáže ako nákladový úrok.</w:t>
      </w:r>
    </w:p>
    <w:p w14:paraId="1123534A" w14:textId="77777777" w:rsidR="003231BD" w:rsidRPr="00226892" w:rsidRDefault="003231BD" w:rsidP="00A25607">
      <w:pPr>
        <w:pStyle w:val="ABC-paragrahinNotes"/>
        <w:suppressAutoHyphens/>
        <w:spacing w:after="0"/>
        <w:rPr>
          <w:rFonts w:cs="Arial"/>
          <w:sz w:val="20"/>
          <w:lang w:val="sk-SK"/>
        </w:rPr>
      </w:pPr>
    </w:p>
    <w:p w14:paraId="72E233CF" w14:textId="2A05330E" w:rsidR="00A25607" w:rsidRPr="00226892" w:rsidRDefault="00A25607" w:rsidP="001C5911">
      <w:pPr>
        <w:pStyle w:val="Nadpis1"/>
      </w:pPr>
      <w:bookmarkStart w:id="176" w:name="_Toc325985788"/>
      <w:bookmarkStart w:id="177" w:name="_Toc387812490"/>
      <w:bookmarkStart w:id="178" w:name="_Toc27409987"/>
      <w:r w:rsidRPr="00226892">
        <w:t>Štátne dotácie</w:t>
      </w:r>
      <w:bookmarkEnd w:id="176"/>
      <w:bookmarkEnd w:id="177"/>
      <w:bookmarkEnd w:id="178"/>
    </w:p>
    <w:p w14:paraId="6AEA928B" w14:textId="06AF0AC5" w:rsidR="00A25607" w:rsidRPr="00226892" w:rsidRDefault="00862916" w:rsidP="001C5911">
      <w:pPr>
        <w:pStyle w:val="ABC-paragrahinNotes"/>
        <w:suppressAutoHyphens/>
        <w:spacing w:after="0"/>
        <w:rPr>
          <w:rFonts w:cs="Arial"/>
          <w:sz w:val="20"/>
          <w:lang w:val="sk-SK"/>
        </w:rPr>
      </w:pPr>
      <w:r w:rsidRPr="00226892">
        <w:rPr>
          <w:rFonts w:cs="Arial"/>
          <w:sz w:val="20"/>
          <w:lang w:val="sk-SK"/>
        </w:rPr>
        <w:t xml:space="preserve">Štátne dotácie sú zaúčtované len vtedy, ak existuje primeraná istota, že Skupina splní podmienky ich pridelenia a dotácie budú prijaté. Sú časovo rozlíšené a systematicky zúčtované do výnosov počas doby životnosti odpisovaného majetku, čím sú kompenzované náklady na odpisy dlhodobého majetku obstaraného z týchto dotácií. Výnos vyplývajúci zo štátnej dotácie je vykázaný v položke ostatné prevádzkové výnosy. Zároveň boli Skupine poskytnuté daňové </w:t>
      </w:r>
      <w:proofErr w:type="spellStart"/>
      <w:r w:rsidRPr="00226892">
        <w:rPr>
          <w:rFonts w:cs="Arial"/>
          <w:sz w:val="20"/>
          <w:lang w:val="sk-SK"/>
        </w:rPr>
        <w:t>úlavy</w:t>
      </w:r>
      <w:proofErr w:type="spellEnd"/>
      <w:r w:rsidRPr="00226892">
        <w:rPr>
          <w:rFonts w:cs="Arial"/>
          <w:sz w:val="20"/>
          <w:lang w:val="sk-SK"/>
        </w:rPr>
        <w:t>, o ktorých sa účtuje ako zníženie dane z príjmu až v momente čerpania daňovej úľavy pri splnení zadefinovaných kritérií a dosiahnutí pozitívneho daňového základu (viď viac informácií v bode 19 poznámok).</w:t>
      </w:r>
    </w:p>
    <w:p w14:paraId="043CD1E8" w14:textId="77777777" w:rsidR="00667B49" w:rsidRPr="00226892" w:rsidRDefault="00667B49" w:rsidP="001C5911">
      <w:pPr>
        <w:pStyle w:val="ABC-paragrahinNotes"/>
        <w:suppressAutoHyphens/>
        <w:spacing w:after="0"/>
        <w:rPr>
          <w:rFonts w:cs="Arial"/>
          <w:sz w:val="20"/>
          <w:lang w:val="sk-SK"/>
        </w:rPr>
      </w:pPr>
    </w:p>
    <w:p w14:paraId="5853015D" w14:textId="71773EBF" w:rsidR="00667B49" w:rsidRPr="00226892" w:rsidRDefault="00667B49" w:rsidP="00667B49">
      <w:pPr>
        <w:pStyle w:val="Nadpis1"/>
      </w:pPr>
      <w:bookmarkStart w:id="179" w:name="_Toc27409988"/>
      <w:r w:rsidRPr="00226892">
        <w:t>Výdavky budúcich období a výnosy budúcich období</w:t>
      </w:r>
      <w:bookmarkEnd w:id="179"/>
    </w:p>
    <w:p w14:paraId="145F4BF6" w14:textId="1E763DFF" w:rsidR="003029F8" w:rsidRPr="00226892" w:rsidRDefault="003029F8" w:rsidP="003029F8">
      <w:pPr>
        <w:pStyle w:val="ABC-paragrahinNotes"/>
        <w:suppressAutoHyphens/>
        <w:spacing w:after="0"/>
        <w:rPr>
          <w:rFonts w:cs="Arial"/>
          <w:sz w:val="20"/>
          <w:lang w:val="sk-SK"/>
        </w:rPr>
      </w:pPr>
      <w:r w:rsidRPr="00226892">
        <w:rPr>
          <w:rFonts w:cs="Arial"/>
          <w:sz w:val="20"/>
          <w:lang w:val="sk-SK"/>
        </w:rPr>
        <w:t>Výdavky budúcich období a výnosy budúcich období sú vykázané vo výške, ktorá je potrebná na dodržanie zásady vecnej a časovej súvislosti s účtovným obdobím.</w:t>
      </w:r>
      <w:r w:rsidR="00F77733" w:rsidRPr="00226892">
        <w:rPr>
          <w:rFonts w:cs="Arial"/>
          <w:sz w:val="20"/>
          <w:lang w:val="sk-SK"/>
        </w:rPr>
        <w:t xml:space="preserve"> Vystavené faktúry za nástroje sú účtované na účty výnosov budúcich období až do momentu ich odovzdania a akceptovaniu zákazníkom.</w:t>
      </w:r>
    </w:p>
    <w:p w14:paraId="69BD8240" w14:textId="77777777" w:rsidR="003231BD" w:rsidRPr="00226892" w:rsidRDefault="003231BD" w:rsidP="005443B2">
      <w:pPr>
        <w:pStyle w:val="ABC-paragrahinNotes"/>
        <w:suppressAutoHyphens/>
        <w:spacing w:after="0"/>
        <w:rPr>
          <w:rFonts w:cs="Arial"/>
          <w:sz w:val="20"/>
          <w:lang w:val="sk-SK"/>
        </w:rPr>
      </w:pPr>
    </w:p>
    <w:p w14:paraId="080E9FBB" w14:textId="77E03453" w:rsidR="00A25607" w:rsidRPr="00226892" w:rsidRDefault="00A25607" w:rsidP="001C5911">
      <w:pPr>
        <w:pStyle w:val="Nadpis1"/>
      </w:pPr>
      <w:bookmarkStart w:id="180" w:name="_Toc325985789"/>
      <w:bookmarkStart w:id="181" w:name="_Toc387812491"/>
      <w:bookmarkStart w:id="182" w:name="_Toc27409989"/>
      <w:bookmarkEnd w:id="175"/>
      <w:r w:rsidRPr="00226892">
        <w:t>Vykazovanie výnosov</w:t>
      </w:r>
      <w:bookmarkEnd w:id="180"/>
      <w:bookmarkEnd w:id="181"/>
      <w:bookmarkEnd w:id="182"/>
      <w:r w:rsidRPr="00226892">
        <w:t xml:space="preserve"> </w:t>
      </w:r>
    </w:p>
    <w:p w14:paraId="34126C00" w14:textId="620980C9" w:rsidR="00A25607" w:rsidRPr="00226892" w:rsidRDefault="00A25607" w:rsidP="001C5911">
      <w:pPr>
        <w:pStyle w:val="ABC-paragrahinNotes"/>
        <w:suppressAutoHyphens/>
        <w:spacing w:line="228" w:lineRule="auto"/>
        <w:rPr>
          <w:rFonts w:cs="Arial"/>
          <w:sz w:val="20"/>
          <w:lang w:val="sk-SK"/>
        </w:rPr>
      </w:pPr>
      <w:r w:rsidRPr="00226892">
        <w:rPr>
          <w:rFonts w:cs="Arial"/>
          <w:sz w:val="20"/>
          <w:lang w:val="sk-SK"/>
        </w:rPr>
        <w:t>Výnosy z predaja výrobkov</w:t>
      </w:r>
      <w:r w:rsidR="009C43A8" w:rsidRPr="00226892">
        <w:rPr>
          <w:rFonts w:cs="Arial"/>
          <w:sz w:val="20"/>
          <w:lang w:val="sk-SK"/>
        </w:rPr>
        <w:t>,</w:t>
      </w:r>
      <w:r w:rsidR="00514D52" w:rsidRPr="00226892">
        <w:rPr>
          <w:rFonts w:cs="Arial"/>
          <w:sz w:val="20"/>
          <w:lang w:val="sk-SK"/>
        </w:rPr>
        <w:t> </w:t>
      </w:r>
      <w:r w:rsidRPr="00226892">
        <w:rPr>
          <w:rFonts w:cs="Arial"/>
          <w:sz w:val="20"/>
          <w:lang w:val="sk-SK"/>
        </w:rPr>
        <w:t>tovaru</w:t>
      </w:r>
      <w:r w:rsidR="00514D52" w:rsidRPr="00226892">
        <w:rPr>
          <w:rFonts w:cs="Arial"/>
          <w:sz w:val="20"/>
          <w:lang w:val="sk-SK"/>
        </w:rPr>
        <w:t xml:space="preserve"> alebo nástr</w:t>
      </w:r>
      <w:r w:rsidR="009C43A8" w:rsidRPr="00226892">
        <w:rPr>
          <w:rFonts w:cs="Arial"/>
          <w:sz w:val="20"/>
          <w:lang w:val="sk-SK"/>
        </w:rPr>
        <w:t>oj</w:t>
      </w:r>
      <w:r w:rsidR="00514D52" w:rsidRPr="00226892">
        <w:rPr>
          <w:rFonts w:cs="Arial"/>
          <w:sz w:val="20"/>
          <w:lang w:val="sk-SK"/>
        </w:rPr>
        <w:t>ov</w:t>
      </w:r>
      <w:r w:rsidR="009C43A8" w:rsidRPr="00226892">
        <w:rPr>
          <w:rFonts w:cs="Arial"/>
          <w:sz w:val="20"/>
          <w:lang w:val="sk-SK"/>
        </w:rPr>
        <w:t xml:space="preserve"> a odpadu</w:t>
      </w:r>
      <w:r w:rsidRPr="00226892">
        <w:rPr>
          <w:rFonts w:cs="Arial"/>
          <w:sz w:val="20"/>
          <w:lang w:val="sk-SK"/>
        </w:rPr>
        <w:t xml:space="preserve"> sa vykazujú v momente prenosu </w:t>
      </w:r>
      <w:r w:rsidR="00CD7541" w:rsidRPr="00226892">
        <w:rPr>
          <w:rFonts w:cs="Arial"/>
          <w:sz w:val="20"/>
          <w:lang w:val="sk-SK"/>
        </w:rPr>
        <w:t>kontroly</w:t>
      </w:r>
      <w:r w:rsidRPr="00226892">
        <w:rPr>
          <w:rFonts w:cs="Arial"/>
          <w:sz w:val="20"/>
          <w:lang w:val="sk-SK"/>
        </w:rPr>
        <w:t xml:space="preserve"> a vlastníctva výrobku</w:t>
      </w:r>
      <w:r w:rsidR="00CD7541" w:rsidRPr="00226892">
        <w:rPr>
          <w:rFonts w:cs="Arial"/>
          <w:sz w:val="20"/>
          <w:lang w:val="sk-SK"/>
        </w:rPr>
        <w:t>,</w:t>
      </w:r>
      <w:r w:rsidR="00F84C82" w:rsidRPr="00226892">
        <w:rPr>
          <w:rFonts w:cs="Arial"/>
          <w:sz w:val="20"/>
          <w:lang w:val="sk-SK"/>
        </w:rPr>
        <w:t xml:space="preserve"> </w:t>
      </w:r>
      <w:r w:rsidRPr="00226892">
        <w:rPr>
          <w:rFonts w:cs="Arial"/>
          <w:sz w:val="20"/>
          <w:lang w:val="sk-SK"/>
        </w:rPr>
        <w:t>tovaru</w:t>
      </w:r>
      <w:r w:rsidR="00CD7541" w:rsidRPr="00226892">
        <w:rPr>
          <w:rFonts w:cs="Arial"/>
          <w:sz w:val="20"/>
          <w:lang w:val="sk-SK"/>
        </w:rPr>
        <w:t xml:space="preserve"> alebo nástrojov</w:t>
      </w:r>
      <w:r w:rsidR="009C43A8" w:rsidRPr="00226892">
        <w:rPr>
          <w:rFonts w:cs="Arial"/>
          <w:sz w:val="20"/>
          <w:lang w:val="sk-SK"/>
        </w:rPr>
        <w:t xml:space="preserve"> a odpadu</w:t>
      </w:r>
      <w:r w:rsidRPr="00226892">
        <w:rPr>
          <w:rFonts w:cs="Arial"/>
          <w:sz w:val="20"/>
          <w:lang w:val="sk-SK"/>
        </w:rPr>
        <w:t>, obvykle po dodávke. Ak sa Skupina zaviaže dopraviť výrobky a tovar na určité miesto, výnosy sa vykazujú v momente doručenia výrobku a tovaru do cieľového miesta</w:t>
      </w:r>
      <w:r w:rsidRPr="00226892">
        <w:rPr>
          <w:rFonts w:cs="Arial"/>
          <w:color w:val="FF0000"/>
          <w:sz w:val="20"/>
          <w:lang w:val="sk-SK"/>
        </w:rPr>
        <w:t xml:space="preserve">. </w:t>
      </w:r>
    </w:p>
    <w:p w14:paraId="41C61624" w14:textId="77777777" w:rsidR="00A25607" w:rsidRPr="00226892" w:rsidRDefault="00A25607" w:rsidP="001C5911">
      <w:pPr>
        <w:pStyle w:val="ABC-paragrahinNotes"/>
        <w:suppressAutoHyphens/>
        <w:spacing w:line="228" w:lineRule="auto"/>
        <w:rPr>
          <w:rFonts w:cs="Arial"/>
          <w:sz w:val="20"/>
          <w:lang w:val="sk-SK"/>
        </w:rPr>
      </w:pPr>
      <w:r w:rsidRPr="00226892">
        <w:rPr>
          <w:rFonts w:cs="Arial"/>
          <w:sz w:val="20"/>
          <w:lang w:val="sk-SK"/>
        </w:rPr>
        <w:t>Výnosy z predaja služieb sa vykazujú v účtovnom období, v ktorom boli služby poskytnuté s ohľadom na stav rozpracovanosti danej služby. Tento je zistený na základe skutočne poskytnutých služieb ako pomernej časti k celkovému rozsahu dohodnutých služieb.</w:t>
      </w:r>
    </w:p>
    <w:p w14:paraId="755D710E" w14:textId="3B87AF02" w:rsidR="00001924" w:rsidRPr="00226892" w:rsidRDefault="00001924" w:rsidP="001C5911">
      <w:pPr>
        <w:pStyle w:val="ABC-paragrahinNotes"/>
        <w:suppressAutoHyphens/>
        <w:spacing w:line="228" w:lineRule="auto"/>
        <w:rPr>
          <w:rFonts w:cs="Arial"/>
          <w:sz w:val="20"/>
          <w:lang w:val="sk-SK"/>
        </w:rPr>
      </w:pPr>
      <w:r w:rsidRPr="00226892">
        <w:rPr>
          <w:rFonts w:cs="Arial"/>
          <w:sz w:val="20"/>
          <w:lang w:val="sk-SK"/>
        </w:rPr>
        <w:t>Výnosy z prenájmu sa vykazujú rovnomerne počas doby prenájmu.</w:t>
      </w:r>
    </w:p>
    <w:p w14:paraId="674C2A42" w14:textId="1A4C755F" w:rsidR="00A25607" w:rsidRPr="00226892" w:rsidRDefault="00A25607" w:rsidP="001C5911">
      <w:pPr>
        <w:pStyle w:val="ABC-paragrahinNotes"/>
        <w:suppressAutoHyphens/>
        <w:spacing w:line="228" w:lineRule="auto"/>
        <w:rPr>
          <w:rFonts w:cs="Arial"/>
          <w:sz w:val="20"/>
          <w:lang w:val="sk-SK"/>
        </w:rPr>
      </w:pPr>
      <w:r w:rsidRPr="00226892">
        <w:rPr>
          <w:rFonts w:cs="Arial"/>
          <w:sz w:val="20"/>
          <w:lang w:val="sk-SK"/>
        </w:rPr>
        <w:t>Výnosy sa vykazujú v reálnej hodnote prijatých úhrad alebo pohľadávok po odpočítaní dane z pridanej hodnoty, diskontov</w:t>
      </w:r>
      <w:r w:rsidR="00001924" w:rsidRPr="00226892">
        <w:rPr>
          <w:rFonts w:cs="Arial"/>
          <w:sz w:val="20"/>
          <w:lang w:val="sk-SK"/>
        </w:rPr>
        <w:t>, </w:t>
      </w:r>
      <w:r w:rsidRPr="00226892">
        <w:rPr>
          <w:rFonts w:cs="Arial"/>
          <w:sz w:val="20"/>
          <w:lang w:val="sk-SK"/>
        </w:rPr>
        <w:t>zliav</w:t>
      </w:r>
      <w:r w:rsidR="00001924" w:rsidRPr="00226892">
        <w:rPr>
          <w:rFonts w:cs="Arial"/>
          <w:sz w:val="20"/>
          <w:lang w:val="sk-SK"/>
        </w:rPr>
        <w:t xml:space="preserve"> a nominačných poplatkov</w:t>
      </w:r>
      <w:r w:rsidRPr="00226892">
        <w:rPr>
          <w:rFonts w:cs="Arial"/>
          <w:sz w:val="20"/>
          <w:lang w:val="sk-SK"/>
        </w:rPr>
        <w:t>. Výnosové úroky sa účtujú na základe časového rozlíšenia metódou efektívnej úrokovej miery. Hodnota pohľadávok Skupiny je znížená na realizovateľnú hodnotu, ktorá predstavuje súčasnú hodnotu očakávaných budúcich peňažných tokov diskontovaných pôvodnou efektívnou úrokovou sadzbou. Rozdiel medzi súčasnou hodnotou a nominálnou hodnotou očakávaného peňažného toku sa účtuje ako výnosový úrok. Výnosový úrok z nesplácaných poskytnutých pôžičiek sa účtuje použitím pôvodnej efektívnej úrokovej sadzby.</w:t>
      </w:r>
    </w:p>
    <w:p w14:paraId="6FFE153E" w14:textId="3401A8A5" w:rsidR="00A25607" w:rsidRDefault="00A25607" w:rsidP="001C5911">
      <w:pPr>
        <w:pStyle w:val="ABC-paragrahinNotes"/>
        <w:suppressAutoHyphens/>
        <w:spacing w:after="0"/>
        <w:rPr>
          <w:rFonts w:cs="Arial"/>
          <w:sz w:val="20"/>
          <w:lang w:val="sk-SK"/>
        </w:rPr>
      </w:pPr>
      <w:r w:rsidRPr="00226892">
        <w:rPr>
          <w:rFonts w:cs="Arial"/>
          <w:sz w:val="20"/>
          <w:lang w:val="sk-SK"/>
        </w:rPr>
        <w:t>Výnosy z dividend sa zaúčtujú v čase vzniku práva Skupiny na prijatie platby</w:t>
      </w:r>
      <w:r w:rsidR="00514D52" w:rsidRPr="00226892">
        <w:rPr>
          <w:rFonts w:cs="Arial"/>
          <w:sz w:val="20"/>
          <w:lang w:val="sk-SK"/>
        </w:rPr>
        <w:t>.</w:t>
      </w:r>
    </w:p>
    <w:p w14:paraId="3EAF9CC1" w14:textId="3207994B" w:rsidR="004207DC" w:rsidRDefault="004207DC">
      <w:pPr>
        <w:rPr>
          <w:rFonts w:ascii="Arial" w:hAnsi="Arial" w:cs="Arial"/>
          <w:lang w:val="sk-SK"/>
        </w:rPr>
      </w:pPr>
      <w:r>
        <w:rPr>
          <w:rFonts w:cs="Arial"/>
          <w:lang w:val="sk-SK"/>
        </w:rPr>
        <w:br w:type="page"/>
      </w:r>
    </w:p>
    <w:p w14:paraId="1FD447DF" w14:textId="7F3BEDD9" w:rsidR="00A25607" w:rsidRPr="00226892" w:rsidRDefault="00A25607" w:rsidP="003578C0">
      <w:pPr>
        <w:pStyle w:val="Nadpis3"/>
        <w:keepNext w:val="0"/>
        <w:widowControl/>
        <w:numPr>
          <w:ilvl w:val="0"/>
          <w:numId w:val="34"/>
        </w:numPr>
        <w:tabs>
          <w:tab w:val="clear" w:pos="1069"/>
          <w:tab w:val="num" w:pos="426"/>
        </w:tabs>
        <w:suppressAutoHyphens/>
        <w:ind w:left="1276" w:hanging="1276"/>
        <w:rPr>
          <w:rFonts w:ascii="Arial" w:hAnsi="Arial" w:cs="Arial"/>
          <w:sz w:val="20"/>
        </w:rPr>
      </w:pPr>
      <w:bookmarkStart w:id="183" w:name="_Toc325985790"/>
      <w:bookmarkStart w:id="184" w:name="_Toc387812492"/>
      <w:bookmarkStart w:id="185" w:name="_Toc27409990"/>
      <w:bookmarkStart w:id="186" w:name="OLE_LINK1"/>
      <w:bookmarkStart w:id="187" w:name="OLE_LINK2"/>
      <w:proofErr w:type="spellStart"/>
      <w:r w:rsidRPr="00226892">
        <w:rPr>
          <w:rFonts w:ascii="Arial" w:hAnsi="Arial" w:cs="Arial"/>
          <w:sz w:val="20"/>
        </w:rPr>
        <w:lastRenderedPageBreak/>
        <w:t>Riadenie</w:t>
      </w:r>
      <w:proofErr w:type="spellEnd"/>
      <w:r w:rsidRPr="00226892">
        <w:rPr>
          <w:rFonts w:ascii="Arial" w:hAnsi="Arial" w:cs="Arial"/>
          <w:sz w:val="20"/>
        </w:rPr>
        <w:t xml:space="preserve"> </w:t>
      </w:r>
      <w:proofErr w:type="spellStart"/>
      <w:r w:rsidRPr="00226892">
        <w:rPr>
          <w:rFonts w:ascii="Arial" w:hAnsi="Arial" w:cs="Arial"/>
          <w:sz w:val="20"/>
        </w:rPr>
        <w:t>finančného</w:t>
      </w:r>
      <w:proofErr w:type="spellEnd"/>
      <w:r w:rsidRPr="00226892">
        <w:rPr>
          <w:rFonts w:ascii="Arial" w:hAnsi="Arial" w:cs="Arial"/>
          <w:sz w:val="20"/>
        </w:rPr>
        <w:t xml:space="preserve"> </w:t>
      </w:r>
      <w:proofErr w:type="spellStart"/>
      <w:r w:rsidRPr="00226892">
        <w:rPr>
          <w:rFonts w:ascii="Arial" w:hAnsi="Arial" w:cs="Arial"/>
          <w:sz w:val="20"/>
        </w:rPr>
        <w:t>rizika</w:t>
      </w:r>
      <w:bookmarkEnd w:id="183"/>
      <w:bookmarkEnd w:id="184"/>
      <w:bookmarkEnd w:id="185"/>
      <w:proofErr w:type="spellEnd"/>
    </w:p>
    <w:p w14:paraId="2DD6054A" w14:textId="77777777" w:rsidR="00A25607" w:rsidRPr="00226892" w:rsidRDefault="00A25607" w:rsidP="000D75E7">
      <w:pPr>
        <w:suppressAutoHyphens/>
        <w:ind w:left="357"/>
        <w:rPr>
          <w:rFonts w:ascii="Arial" w:hAnsi="Arial" w:cs="Arial"/>
          <w:lang w:val="sk-SK"/>
        </w:rPr>
      </w:pPr>
    </w:p>
    <w:p w14:paraId="0695A21B" w14:textId="79882A74" w:rsidR="00A25607" w:rsidRPr="00226892" w:rsidRDefault="00A25607" w:rsidP="001C5911">
      <w:pPr>
        <w:pStyle w:val="Nadpis1"/>
      </w:pPr>
      <w:bookmarkStart w:id="188" w:name="_Toc325985791"/>
      <w:bookmarkStart w:id="189" w:name="_Toc387812493"/>
      <w:bookmarkStart w:id="190" w:name="_Toc27409991"/>
      <w:r w:rsidRPr="00226892">
        <w:t>Faktory finančného rizik</w:t>
      </w:r>
      <w:r w:rsidR="00233F19" w:rsidRPr="00226892">
        <w:t>a</w:t>
      </w:r>
      <w:bookmarkEnd w:id="188"/>
      <w:bookmarkEnd w:id="189"/>
      <w:bookmarkEnd w:id="190"/>
    </w:p>
    <w:p w14:paraId="54384A9B" w14:textId="336EF367" w:rsidR="004C42A0" w:rsidRPr="00226892" w:rsidRDefault="004C42A0" w:rsidP="001C5911">
      <w:pPr>
        <w:tabs>
          <w:tab w:val="left" w:pos="2955"/>
        </w:tabs>
        <w:suppressAutoHyphens/>
        <w:jc w:val="both"/>
        <w:rPr>
          <w:rFonts w:ascii="Arial" w:hAnsi="Arial" w:cs="Arial"/>
          <w:lang w:val="sk-SK"/>
        </w:rPr>
      </w:pPr>
      <w:r w:rsidRPr="00226892">
        <w:rPr>
          <w:rFonts w:ascii="Arial" w:hAnsi="Arial" w:cs="Arial"/>
          <w:lang w:val="sk-SK"/>
        </w:rPr>
        <w:t>V dôsledku svojich činností bola Skupina vystavená rozličným finančným rizikám vrátane úverových rizík a dopadov zmien výmenných kurzov a úrokových sadzieb. Hlavné finančné nástroje, ktoré Skupina využívala, zahŕňali bankové úvery, zmenky a krátkodobé vklady. Hlavným účelom týchto finančných nástrojov bolo zabezpečenie dostatočného objemu likvidity na investície a</w:t>
      </w:r>
      <w:r w:rsidR="002B7D00" w:rsidRPr="00226892">
        <w:rPr>
          <w:rFonts w:ascii="Arial" w:hAnsi="Arial" w:cs="Arial"/>
          <w:lang w:val="sk-SK"/>
        </w:rPr>
        <w:t xml:space="preserve"> </w:t>
      </w:r>
      <w:r w:rsidRPr="00226892">
        <w:rPr>
          <w:rFonts w:ascii="Arial" w:hAnsi="Arial" w:cs="Arial"/>
          <w:lang w:val="sk-SK"/>
        </w:rPr>
        <w:t>prevádzkové potreby Skupiny.</w:t>
      </w:r>
      <w:r w:rsidR="006F606A" w:rsidRPr="00226892">
        <w:rPr>
          <w:rFonts w:ascii="Arial" w:hAnsi="Arial" w:cs="Arial"/>
          <w:lang w:val="sk-SK"/>
        </w:rPr>
        <w:t xml:space="preserve"> </w:t>
      </w:r>
    </w:p>
    <w:p w14:paraId="6F63AE44" w14:textId="77777777" w:rsidR="00A25607" w:rsidRPr="00226892" w:rsidRDefault="00A25607" w:rsidP="001C5911">
      <w:pPr>
        <w:suppressAutoHyphens/>
        <w:jc w:val="both"/>
        <w:rPr>
          <w:rFonts w:ascii="Arial" w:hAnsi="Arial" w:cs="Arial"/>
          <w:lang w:val="sk-SK"/>
        </w:rPr>
      </w:pPr>
    </w:p>
    <w:p w14:paraId="58B05055" w14:textId="7F0646D7" w:rsidR="00B46B6C" w:rsidRPr="00226892" w:rsidRDefault="00B46B6C" w:rsidP="001C5911">
      <w:pPr>
        <w:suppressAutoHyphens/>
        <w:jc w:val="both"/>
        <w:rPr>
          <w:rFonts w:ascii="Arial" w:hAnsi="Arial" w:cs="Arial"/>
          <w:lang w:val="sk-SK"/>
        </w:rPr>
      </w:pPr>
      <w:r w:rsidRPr="00226892">
        <w:rPr>
          <w:rFonts w:ascii="Arial" w:hAnsi="Arial" w:cs="Arial"/>
          <w:lang w:val="sk-SK"/>
        </w:rPr>
        <w:t xml:space="preserve">Riadením rizika sa zaoberá finančné oddelenie </w:t>
      </w:r>
      <w:r w:rsidR="00BE6991" w:rsidRPr="00226892">
        <w:rPr>
          <w:rFonts w:ascii="Arial" w:hAnsi="Arial" w:cs="Arial"/>
          <w:lang w:val="sk-SK"/>
        </w:rPr>
        <w:t xml:space="preserve">najvyššej </w:t>
      </w:r>
      <w:r w:rsidRPr="00226892">
        <w:rPr>
          <w:rFonts w:ascii="Arial" w:hAnsi="Arial" w:cs="Arial"/>
          <w:lang w:val="sk-SK"/>
        </w:rPr>
        <w:t xml:space="preserve">materskej spoločnosti na základe postupov schválených predstavenstvom. </w:t>
      </w:r>
    </w:p>
    <w:p w14:paraId="4005E02B" w14:textId="77777777" w:rsidR="00A25607" w:rsidRPr="00226892" w:rsidRDefault="00A25607" w:rsidP="001C5911">
      <w:pPr>
        <w:suppressAutoHyphens/>
        <w:jc w:val="both"/>
        <w:rPr>
          <w:rFonts w:ascii="Arial" w:hAnsi="Arial" w:cs="Arial"/>
          <w:lang w:val="sk-SK"/>
        </w:rPr>
      </w:pPr>
    </w:p>
    <w:p w14:paraId="3C759E80" w14:textId="77777777" w:rsidR="00A25607" w:rsidRPr="00226892" w:rsidRDefault="00A25607" w:rsidP="001C5911">
      <w:pPr>
        <w:numPr>
          <w:ilvl w:val="0"/>
          <w:numId w:val="29"/>
        </w:numPr>
        <w:tabs>
          <w:tab w:val="clear" w:pos="1080"/>
        </w:tabs>
        <w:suppressAutoHyphens/>
        <w:ind w:left="0" w:firstLine="0"/>
        <w:rPr>
          <w:rFonts w:ascii="Arial" w:hAnsi="Arial" w:cs="Arial"/>
          <w:i/>
          <w:lang w:val="sk-SK"/>
        </w:rPr>
      </w:pPr>
      <w:r w:rsidRPr="00226892">
        <w:rPr>
          <w:rFonts w:ascii="Arial" w:hAnsi="Arial" w:cs="Arial"/>
          <w:i/>
          <w:lang w:val="sk-SK"/>
        </w:rPr>
        <w:t>Úverové/kreditné riziko</w:t>
      </w:r>
    </w:p>
    <w:p w14:paraId="074E55EB" w14:textId="77777777" w:rsidR="00A25607" w:rsidRPr="00226892" w:rsidRDefault="00A25607" w:rsidP="001C5911">
      <w:pPr>
        <w:suppressAutoHyphens/>
        <w:rPr>
          <w:rFonts w:ascii="Arial" w:hAnsi="Arial" w:cs="Arial"/>
          <w:lang w:val="sk-SK"/>
        </w:rPr>
      </w:pPr>
    </w:p>
    <w:p w14:paraId="6342BB70" w14:textId="5B996604" w:rsidR="00A25607" w:rsidRPr="00226892" w:rsidRDefault="00A25607" w:rsidP="001C5911">
      <w:pPr>
        <w:suppressAutoHyphens/>
        <w:jc w:val="both"/>
        <w:rPr>
          <w:rFonts w:ascii="Arial" w:hAnsi="Arial" w:cs="Arial"/>
          <w:lang w:val="sk-SK"/>
        </w:rPr>
      </w:pPr>
      <w:r w:rsidRPr="00226892">
        <w:rPr>
          <w:rFonts w:ascii="Arial" w:hAnsi="Arial" w:cs="Arial"/>
          <w:lang w:val="sk-SK"/>
        </w:rPr>
        <w:t>Úverové riziko vzniká v súvislosti s peňažnými prostriedkami a peňažnými ekvivalentmi a vkladmi v bankách a finančných inštitúciách, finančným majetkom držaným do splatnosti, pohľadávkami z obchodov s veľkoodberateľmi a maloodberateľmi.</w:t>
      </w:r>
    </w:p>
    <w:p w14:paraId="121D91D4" w14:textId="77777777" w:rsidR="00A25607" w:rsidRPr="00226892" w:rsidRDefault="00A25607" w:rsidP="001C5911">
      <w:pPr>
        <w:suppressAutoHyphens/>
        <w:jc w:val="both"/>
        <w:rPr>
          <w:rFonts w:ascii="Arial" w:hAnsi="Arial" w:cs="Arial"/>
          <w:lang w:val="sk-SK"/>
        </w:rPr>
      </w:pPr>
    </w:p>
    <w:p w14:paraId="13703933" w14:textId="32A00EBA" w:rsidR="00A25607" w:rsidRPr="00226892" w:rsidRDefault="00A25607" w:rsidP="001C5911">
      <w:pPr>
        <w:suppressAutoHyphens/>
        <w:jc w:val="both"/>
        <w:rPr>
          <w:rFonts w:ascii="Arial" w:hAnsi="Arial" w:cs="Arial"/>
          <w:lang w:val="sk-SK"/>
        </w:rPr>
      </w:pPr>
      <w:r w:rsidRPr="00226892">
        <w:rPr>
          <w:rFonts w:ascii="Arial" w:hAnsi="Arial" w:cs="Arial"/>
          <w:lang w:val="sk-SK"/>
        </w:rPr>
        <w:t xml:space="preserve">Finančný majetok, ktorý predstavuje potenciálne predmet úverového rizika, pozostáva najmä </w:t>
      </w:r>
      <w:r w:rsidR="00BE6991" w:rsidRPr="00226892">
        <w:rPr>
          <w:rFonts w:ascii="Arial" w:hAnsi="Arial" w:cs="Arial"/>
          <w:lang w:val="sk-SK"/>
        </w:rPr>
        <w:t>z</w:t>
      </w:r>
      <w:r w:rsidRPr="00226892">
        <w:rPr>
          <w:rFonts w:ascii="Arial" w:hAnsi="Arial" w:cs="Arial"/>
          <w:lang w:val="sk-SK"/>
        </w:rPr>
        <w:t xml:space="preserve"> finančného majetku držaného do splatnosti a pohľadávok z obchodného styku. Skupina má zavedené pravidlá </w:t>
      </w:r>
      <w:proofErr w:type="spellStart"/>
      <w:r w:rsidRPr="00226892">
        <w:rPr>
          <w:rFonts w:ascii="Arial" w:hAnsi="Arial" w:cs="Arial"/>
          <w:lang w:val="sk-SK"/>
        </w:rPr>
        <w:t>kreditmanažmentu</w:t>
      </w:r>
      <w:proofErr w:type="spellEnd"/>
      <w:r w:rsidRPr="00226892">
        <w:rPr>
          <w:rFonts w:ascii="Arial" w:hAnsi="Arial" w:cs="Arial"/>
          <w:lang w:val="sk-SK"/>
        </w:rPr>
        <w:t xml:space="preserve">, ktoré zabezpečujú minimalizáciu kreditného rizika. </w:t>
      </w:r>
    </w:p>
    <w:p w14:paraId="534F226F" w14:textId="77777777" w:rsidR="00A25607" w:rsidRPr="00226892" w:rsidRDefault="00A25607" w:rsidP="001C5911">
      <w:pPr>
        <w:suppressAutoHyphens/>
        <w:jc w:val="both"/>
        <w:rPr>
          <w:rFonts w:ascii="Arial" w:hAnsi="Arial" w:cs="Arial"/>
          <w:lang w:val="sk-SK"/>
        </w:rPr>
      </w:pPr>
    </w:p>
    <w:p w14:paraId="1DE8CC0D" w14:textId="1D9D62A4" w:rsidR="00A25607" w:rsidRPr="00226892" w:rsidRDefault="00A25607" w:rsidP="001C5911">
      <w:pPr>
        <w:suppressAutoHyphens/>
        <w:jc w:val="both"/>
        <w:rPr>
          <w:rFonts w:ascii="Arial" w:hAnsi="Arial" w:cs="Arial"/>
          <w:lang w:val="sk-SK"/>
        </w:rPr>
      </w:pPr>
      <w:r w:rsidRPr="00226892">
        <w:rPr>
          <w:rFonts w:ascii="Arial" w:hAnsi="Arial" w:cs="Arial"/>
          <w:lang w:val="sk-SK"/>
        </w:rPr>
        <w:t xml:space="preserve">Skupina aktívne využíva, hlavne v prípade predaja novým zákazníkom, zabezpečenie pohľadávok formou poistenia. Predaj výrobkov s neštandardnou dobou splatnosti sa realizuje iba zákazníkom s dobrou bonitou, ratingom alebo s primeranou históriou splácania ich záväzkov. Hoci by návratnosť pohľadávok mohla byť ovplyvnená ekonomickými faktormi, vedenie si nie je vedomé významného rizika, ktoré by mohlo spôsobiť stratu pre Skupinu mimo výšky </w:t>
      </w:r>
      <w:proofErr w:type="spellStart"/>
      <w:r w:rsidRPr="00226892">
        <w:rPr>
          <w:rFonts w:ascii="Arial" w:hAnsi="Arial" w:cs="Arial"/>
          <w:lang w:val="sk-SK"/>
        </w:rPr>
        <w:t>zaučtovaných</w:t>
      </w:r>
      <w:proofErr w:type="spellEnd"/>
      <w:r w:rsidRPr="00226892">
        <w:rPr>
          <w:rFonts w:ascii="Arial" w:hAnsi="Arial" w:cs="Arial"/>
          <w:lang w:val="sk-SK"/>
        </w:rPr>
        <w:t xml:space="preserve"> opravných položiek. </w:t>
      </w:r>
    </w:p>
    <w:p w14:paraId="06E8CC64" w14:textId="77777777" w:rsidR="00A25607" w:rsidRPr="00226892" w:rsidRDefault="00A25607" w:rsidP="001C5911">
      <w:pPr>
        <w:suppressAutoHyphens/>
        <w:jc w:val="both"/>
        <w:rPr>
          <w:rFonts w:ascii="Arial" w:hAnsi="Arial" w:cs="Arial"/>
          <w:lang w:val="sk-SK"/>
        </w:rPr>
      </w:pPr>
    </w:p>
    <w:p w14:paraId="2BF5DE9D" w14:textId="548B50D1" w:rsidR="00A25607" w:rsidRPr="00226892" w:rsidRDefault="00A25607" w:rsidP="001C5911">
      <w:pPr>
        <w:suppressAutoHyphens/>
        <w:jc w:val="both"/>
        <w:rPr>
          <w:rFonts w:ascii="Arial" w:hAnsi="Arial" w:cs="Arial"/>
          <w:lang w:val="sk-SK"/>
        </w:rPr>
      </w:pPr>
      <w:r w:rsidRPr="00226892">
        <w:rPr>
          <w:rFonts w:ascii="Arial" w:hAnsi="Arial" w:cs="Arial"/>
          <w:lang w:val="sk-SK"/>
        </w:rPr>
        <w:t xml:space="preserve">Hotovosť je umiestnená vo finančných inštitúciách, s ktorými je spojené v čase uloženia peňažných prostriedkov minimálne riziko nesolventnosti. </w:t>
      </w:r>
    </w:p>
    <w:p w14:paraId="05047A2D" w14:textId="0CF578B2" w:rsidR="00157C2B" w:rsidRPr="00226892" w:rsidRDefault="00157C2B" w:rsidP="001C5911">
      <w:pPr>
        <w:rPr>
          <w:rFonts w:ascii="Arial" w:hAnsi="Arial" w:cs="Arial"/>
          <w:lang w:val="sk-SK"/>
        </w:rPr>
      </w:pPr>
    </w:p>
    <w:p w14:paraId="596D9568" w14:textId="3D2F1644" w:rsidR="003231BD" w:rsidRPr="00226892" w:rsidRDefault="00A25607" w:rsidP="001C5911">
      <w:pPr>
        <w:pStyle w:val="ABC-paragrahinNotes"/>
        <w:suppressAutoHyphens/>
        <w:spacing w:after="0"/>
        <w:rPr>
          <w:rFonts w:cs="Arial"/>
          <w:szCs w:val="18"/>
          <w:lang w:val="sk-SK"/>
        </w:rPr>
      </w:pPr>
      <w:r w:rsidRPr="00226892">
        <w:rPr>
          <w:rFonts w:cs="Arial"/>
          <w:sz w:val="20"/>
          <w:lang w:val="sk-SK"/>
        </w:rPr>
        <w:t>Tabuľka nižšie ilustruje kreditný rating finančných aktív k súvahovému dňu:</w:t>
      </w:r>
      <w:bookmarkStart w:id="191" w:name="FWT_CreditRatingOfFinAss"/>
      <w:r w:rsidR="00947556" w:rsidRPr="00226892">
        <w:rPr>
          <w:rFonts w:cs="Arial"/>
          <w:szCs w:val="18"/>
          <w:lang w:val="sk-SK"/>
        </w:rPr>
        <w:t xml:space="preserve"> </w:t>
      </w:r>
      <w:bookmarkEnd w:id="191"/>
    </w:p>
    <w:p w14:paraId="5276113C" w14:textId="77777777" w:rsidR="00FD1397" w:rsidRPr="00226892" w:rsidRDefault="00FD1397" w:rsidP="001C5911">
      <w:pPr>
        <w:pStyle w:val="ABC-paragrahinNotes"/>
        <w:suppressAutoHyphens/>
        <w:spacing w:after="0"/>
        <w:rPr>
          <w:rFonts w:cs="Arial"/>
          <w:szCs w:val="18"/>
          <w:lang w:val="sk-SK"/>
        </w:rPr>
      </w:pPr>
    </w:p>
    <w:tbl>
      <w:tblPr>
        <w:tblW w:w="5000" w:type="pct"/>
        <w:tblCellMar>
          <w:left w:w="70" w:type="dxa"/>
          <w:right w:w="70" w:type="dxa"/>
        </w:tblCellMar>
        <w:tblLook w:val="04A0" w:firstRow="1" w:lastRow="0" w:firstColumn="1" w:lastColumn="0" w:noHBand="0" w:noVBand="1"/>
      </w:tblPr>
      <w:tblGrid>
        <w:gridCol w:w="4045"/>
        <w:gridCol w:w="1215"/>
        <w:gridCol w:w="245"/>
        <w:gridCol w:w="1880"/>
        <w:gridCol w:w="197"/>
        <w:gridCol w:w="2057"/>
      </w:tblGrid>
      <w:tr w:rsidR="009B1616" w:rsidRPr="00226892" w14:paraId="33FBEE33" w14:textId="77777777" w:rsidTr="001C5911">
        <w:trPr>
          <w:trHeight w:val="227"/>
        </w:trPr>
        <w:tc>
          <w:tcPr>
            <w:tcW w:w="2099" w:type="pct"/>
            <w:tcBorders>
              <w:top w:val="nil"/>
              <w:left w:val="nil"/>
              <w:bottom w:val="single" w:sz="4" w:space="0" w:color="auto"/>
              <w:right w:val="nil"/>
            </w:tcBorders>
            <w:shd w:val="clear" w:color="auto" w:fill="auto"/>
            <w:vAlign w:val="bottom"/>
            <w:hideMark/>
          </w:tcPr>
          <w:p w14:paraId="1BFE065B" w14:textId="77777777" w:rsidR="009B1616" w:rsidRPr="00226892" w:rsidRDefault="009B1616" w:rsidP="009B1616">
            <w:pPr>
              <w:rPr>
                <w:rFonts w:ascii="Arial" w:eastAsia="Times New Roman" w:hAnsi="Arial" w:cs="Arial"/>
                <w:b/>
                <w:bCs/>
                <w:color w:val="000000"/>
                <w:sz w:val="18"/>
                <w:szCs w:val="18"/>
                <w:lang w:val="sk-SK" w:eastAsia="sk-SK"/>
              </w:rPr>
            </w:pPr>
            <w:bookmarkStart w:id="192" w:name="RANGE!C6:H29"/>
            <w:r w:rsidRPr="00226892">
              <w:rPr>
                <w:rFonts w:ascii="Arial" w:eastAsia="Times New Roman" w:hAnsi="Arial" w:cs="Arial"/>
                <w:b/>
                <w:bCs/>
                <w:color w:val="000000"/>
                <w:sz w:val="18"/>
                <w:szCs w:val="18"/>
                <w:lang w:val="sk-SK" w:eastAsia="sk-SK"/>
              </w:rPr>
              <w:t> </w:t>
            </w:r>
            <w:bookmarkEnd w:id="192"/>
          </w:p>
        </w:tc>
        <w:tc>
          <w:tcPr>
            <w:tcW w:w="630" w:type="pct"/>
            <w:tcBorders>
              <w:top w:val="nil"/>
              <w:left w:val="nil"/>
              <w:bottom w:val="single" w:sz="4" w:space="0" w:color="auto"/>
              <w:right w:val="nil"/>
            </w:tcBorders>
            <w:shd w:val="clear" w:color="auto" w:fill="auto"/>
            <w:vAlign w:val="bottom"/>
            <w:hideMark/>
          </w:tcPr>
          <w:p w14:paraId="7B468535" w14:textId="6E68B317" w:rsidR="009B1616" w:rsidRPr="00226892" w:rsidRDefault="009B1616" w:rsidP="00636EBD">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Kreditný rating</w:t>
            </w:r>
          </w:p>
        </w:tc>
        <w:tc>
          <w:tcPr>
            <w:tcW w:w="127" w:type="pct"/>
            <w:tcBorders>
              <w:top w:val="nil"/>
              <w:left w:val="nil"/>
              <w:bottom w:val="single" w:sz="4" w:space="0" w:color="auto"/>
              <w:right w:val="nil"/>
            </w:tcBorders>
            <w:shd w:val="clear" w:color="auto" w:fill="auto"/>
            <w:vAlign w:val="bottom"/>
            <w:hideMark/>
          </w:tcPr>
          <w:p w14:paraId="5B712C47" w14:textId="77777777" w:rsidR="009B1616" w:rsidRPr="00226892" w:rsidRDefault="009B1616" w:rsidP="009B1616">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w:t>
            </w:r>
          </w:p>
        </w:tc>
        <w:tc>
          <w:tcPr>
            <w:tcW w:w="975" w:type="pct"/>
            <w:tcBorders>
              <w:top w:val="nil"/>
              <w:left w:val="nil"/>
              <w:bottom w:val="single" w:sz="4" w:space="0" w:color="auto"/>
              <w:right w:val="nil"/>
            </w:tcBorders>
            <w:shd w:val="clear" w:color="auto" w:fill="auto"/>
            <w:vAlign w:val="bottom"/>
            <w:hideMark/>
          </w:tcPr>
          <w:p w14:paraId="1FBC7A89" w14:textId="2ED8AB08" w:rsidR="009B1616" w:rsidRPr="00226892" w:rsidRDefault="009B1616" w:rsidP="009B1616">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D3AC5" w:rsidRPr="00226892">
              <w:rPr>
                <w:rFonts w:ascii="Arial" w:eastAsia="Times New Roman" w:hAnsi="Arial" w:cs="Arial"/>
                <w:b/>
                <w:bCs/>
                <w:color w:val="000000"/>
                <w:sz w:val="18"/>
                <w:szCs w:val="18"/>
                <w:lang w:val="sk-SK" w:eastAsia="sk-SK"/>
              </w:rPr>
              <w:t>2018</w:t>
            </w:r>
          </w:p>
        </w:tc>
        <w:tc>
          <w:tcPr>
            <w:tcW w:w="102" w:type="pct"/>
            <w:tcBorders>
              <w:top w:val="nil"/>
              <w:left w:val="nil"/>
              <w:bottom w:val="single" w:sz="4" w:space="0" w:color="auto"/>
              <w:right w:val="nil"/>
            </w:tcBorders>
            <w:shd w:val="clear" w:color="auto" w:fill="auto"/>
            <w:vAlign w:val="bottom"/>
            <w:hideMark/>
          </w:tcPr>
          <w:p w14:paraId="1CB58BF9" w14:textId="77777777" w:rsidR="009B1616" w:rsidRPr="00226892" w:rsidRDefault="009B1616" w:rsidP="009B1616">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w:t>
            </w:r>
          </w:p>
        </w:tc>
        <w:tc>
          <w:tcPr>
            <w:tcW w:w="1067" w:type="pct"/>
            <w:tcBorders>
              <w:top w:val="nil"/>
              <w:left w:val="nil"/>
              <w:bottom w:val="single" w:sz="4" w:space="0" w:color="auto"/>
              <w:right w:val="nil"/>
            </w:tcBorders>
            <w:shd w:val="clear" w:color="auto" w:fill="auto"/>
            <w:vAlign w:val="bottom"/>
            <w:hideMark/>
          </w:tcPr>
          <w:p w14:paraId="7BC79DC1" w14:textId="49260E60" w:rsidR="009B1616" w:rsidRPr="00226892" w:rsidRDefault="009B1616" w:rsidP="009B1616">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63A77" w:rsidRPr="00226892">
              <w:rPr>
                <w:rFonts w:ascii="Arial" w:eastAsia="Times New Roman" w:hAnsi="Arial" w:cs="Arial"/>
                <w:b/>
                <w:bCs/>
                <w:color w:val="000000"/>
                <w:sz w:val="18"/>
                <w:szCs w:val="18"/>
                <w:lang w:val="sk-SK" w:eastAsia="sk-SK"/>
              </w:rPr>
              <w:t>2017</w:t>
            </w:r>
          </w:p>
        </w:tc>
      </w:tr>
      <w:tr w:rsidR="009B1616" w:rsidRPr="00226892" w14:paraId="24FE2082" w14:textId="77777777" w:rsidTr="001C5911">
        <w:trPr>
          <w:trHeight w:val="227"/>
        </w:trPr>
        <w:tc>
          <w:tcPr>
            <w:tcW w:w="2099" w:type="pct"/>
            <w:tcBorders>
              <w:top w:val="nil"/>
              <w:left w:val="nil"/>
              <w:bottom w:val="nil"/>
              <w:right w:val="nil"/>
            </w:tcBorders>
            <w:shd w:val="clear" w:color="auto" w:fill="auto"/>
            <w:vAlign w:val="center"/>
            <w:hideMark/>
          </w:tcPr>
          <w:p w14:paraId="62EDE262" w14:textId="673AE52E" w:rsidR="009B1616" w:rsidRPr="00226892" w:rsidRDefault="009B1616" w:rsidP="00122BD0">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Peňažné prostriedky a </w:t>
            </w:r>
            <w:proofErr w:type="spellStart"/>
            <w:r w:rsidRPr="00226892">
              <w:rPr>
                <w:rFonts w:ascii="Arial" w:eastAsia="Times New Roman" w:hAnsi="Arial" w:cs="Arial"/>
                <w:color w:val="000000"/>
                <w:sz w:val="18"/>
                <w:szCs w:val="18"/>
                <w:lang w:val="sk-SK" w:eastAsia="sk-SK"/>
              </w:rPr>
              <w:t>peňazné</w:t>
            </w:r>
            <w:proofErr w:type="spellEnd"/>
            <w:r w:rsidRPr="00226892">
              <w:rPr>
                <w:rFonts w:ascii="Arial" w:eastAsia="Times New Roman" w:hAnsi="Arial" w:cs="Arial"/>
                <w:color w:val="000000"/>
                <w:sz w:val="18"/>
                <w:szCs w:val="18"/>
                <w:lang w:val="sk-SK" w:eastAsia="sk-SK"/>
              </w:rPr>
              <w:t xml:space="preserve"> ekvivalenty (</w:t>
            </w:r>
            <w:r w:rsidR="00D13161" w:rsidRPr="00226892">
              <w:rPr>
                <w:rFonts w:ascii="Arial" w:eastAsia="Times New Roman" w:hAnsi="Arial" w:cs="Arial"/>
                <w:color w:val="000000"/>
                <w:sz w:val="18"/>
                <w:szCs w:val="18"/>
                <w:lang w:val="sk-SK" w:eastAsia="sk-SK"/>
              </w:rPr>
              <w:t>Pozn. 1</w:t>
            </w:r>
            <w:r w:rsidR="00512880" w:rsidRPr="00226892">
              <w:rPr>
                <w:rFonts w:ascii="Arial" w:eastAsia="Times New Roman" w:hAnsi="Arial" w:cs="Arial"/>
                <w:color w:val="000000"/>
                <w:sz w:val="18"/>
                <w:szCs w:val="18"/>
                <w:lang w:val="sk-SK" w:eastAsia="sk-SK"/>
              </w:rPr>
              <w:t>3</w:t>
            </w:r>
            <w:r w:rsidRPr="00226892">
              <w:rPr>
                <w:rFonts w:ascii="Arial" w:eastAsia="Times New Roman" w:hAnsi="Arial" w:cs="Arial"/>
                <w:color w:val="000000"/>
                <w:sz w:val="18"/>
                <w:szCs w:val="18"/>
                <w:lang w:val="sk-SK" w:eastAsia="sk-SK"/>
              </w:rPr>
              <w:t>), z toho:</w:t>
            </w:r>
          </w:p>
        </w:tc>
        <w:tc>
          <w:tcPr>
            <w:tcW w:w="630" w:type="pct"/>
            <w:tcBorders>
              <w:top w:val="nil"/>
              <w:left w:val="nil"/>
              <w:bottom w:val="nil"/>
              <w:right w:val="nil"/>
            </w:tcBorders>
            <w:shd w:val="clear" w:color="auto" w:fill="auto"/>
            <w:vAlign w:val="bottom"/>
            <w:hideMark/>
          </w:tcPr>
          <w:p w14:paraId="5B12AADB" w14:textId="77777777" w:rsidR="009B1616" w:rsidRPr="00226892" w:rsidRDefault="009B1616" w:rsidP="00FD21B8">
            <w:pPr>
              <w:jc w:val="center"/>
              <w:rPr>
                <w:rFonts w:ascii="Arial" w:eastAsia="Times New Roman" w:hAnsi="Arial" w:cs="Arial"/>
                <w:color w:val="000000"/>
                <w:sz w:val="18"/>
                <w:szCs w:val="18"/>
                <w:lang w:val="sk-SK" w:eastAsia="sk-SK"/>
              </w:rPr>
            </w:pPr>
          </w:p>
        </w:tc>
        <w:tc>
          <w:tcPr>
            <w:tcW w:w="127" w:type="pct"/>
            <w:tcBorders>
              <w:top w:val="nil"/>
              <w:left w:val="nil"/>
              <w:bottom w:val="nil"/>
              <w:right w:val="nil"/>
            </w:tcBorders>
            <w:shd w:val="clear" w:color="auto" w:fill="auto"/>
            <w:vAlign w:val="bottom"/>
            <w:hideMark/>
          </w:tcPr>
          <w:p w14:paraId="76318AEB" w14:textId="77777777" w:rsidR="009B1616" w:rsidRPr="00226892" w:rsidRDefault="009B1616" w:rsidP="009B1616">
            <w:pPr>
              <w:rPr>
                <w:rFonts w:ascii="Arial" w:eastAsia="Times New Roman" w:hAnsi="Arial" w:cs="Arial"/>
                <w:sz w:val="18"/>
                <w:szCs w:val="18"/>
                <w:lang w:val="sk-SK" w:eastAsia="sk-SK"/>
              </w:rPr>
            </w:pPr>
          </w:p>
        </w:tc>
        <w:tc>
          <w:tcPr>
            <w:tcW w:w="975" w:type="pct"/>
            <w:tcBorders>
              <w:top w:val="nil"/>
              <w:left w:val="nil"/>
              <w:bottom w:val="nil"/>
              <w:right w:val="nil"/>
            </w:tcBorders>
            <w:shd w:val="clear" w:color="auto" w:fill="auto"/>
            <w:vAlign w:val="bottom"/>
            <w:hideMark/>
          </w:tcPr>
          <w:p w14:paraId="65AB40C5" w14:textId="77777777" w:rsidR="009B1616" w:rsidRPr="00226892" w:rsidRDefault="009B1616" w:rsidP="009B1616">
            <w:pPr>
              <w:rPr>
                <w:rFonts w:ascii="Arial" w:eastAsia="Times New Roman" w:hAnsi="Arial" w:cs="Arial"/>
                <w:sz w:val="18"/>
                <w:szCs w:val="18"/>
                <w:lang w:val="sk-SK" w:eastAsia="sk-SK"/>
              </w:rPr>
            </w:pPr>
          </w:p>
        </w:tc>
        <w:tc>
          <w:tcPr>
            <w:tcW w:w="102" w:type="pct"/>
            <w:tcBorders>
              <w:top w:val="nil"/>
              <w:left w:val="nil"/>
              <w:bottom w:val="nil"/>
              <w:right w:val="nil"/>
            </w:tcBorders>
            <w:shd w:val="clear" w:color="auto" w:fill="auto"/>
            <w:vAlign w:val="bottom"/>
            <w:hideMark/>
          </w:tcPr>
          <w:p w14:paraId="75E0B8E1" w14:textId="77777777" w:rsidR="009B1616" w:rsidRPr="00226892" w:rsidRDefault="009B1616" w:rsidP="009B1616">
            <w:pPr>
              <w:rPr>
                <w:rFonts w:ascii="Arial" w:eastAsia="Times New Roman" w:hAnsi="Arial" w:cs="Arial"/>
                <w:sz w:val="18"/>
                <w:szCs w:val="18"/>
                <w:lang w:val="sk-SK" w:eastAsia="sk-SK"/>
              </w:rPr>
            </w:pPr>
          </w:p>
        </w:tc>
        <w:tc>
          <w:tcPr>
            <w:tcW w:w="1067" w:type="pct"/>
            <w:tcBorders>
              <w:top w:val="nil"/>
              <w:left w:val="nil"/>
              <w:bottom w:val="nil"/>
              <w:right w:val="nil"/>
            </w:tcBorders>
            <w:shd w:val="clear" w:color="auto" w:fill="auto"/>
            <w:vAlign w:val="bottom"/>
            <w:hideMark/>
          </w:tcPr>
          <w:p w14:paraId="49217E7B" w14:textId="77777777" w:rsidR="009B1616" w:rsidRPr="00226892" w:rsidRDefault="009B1616" w:rsidP="009B1616">
            <w:pPr>
              <w:rPr>
                <w:rFonts w:ascii="Arial" w:eastAsia="Times New Roman" w:hAnsi="Arial" w:cs="Arial"/>
                <w:sz w:val="18"/>
                <w:szCs w:val="18"/>
                <w:lang w:val="sk-SK" w:eastAsia="sk-SK"/>
              </w:rPr>
            </w:pPr>
          </w:p>
        </w:tc>
      </w:tr>
      <w:tr w:rsidR="006F64A9" w:rsidRPr="00226892" w14:paraId="60F4D604" w14:textId="77777777" w:rsidTr="001C5911">
        <w:trPr>
          <w:trHeight w:val="227"/>
        </w:trPr>
        <w:tc>
          <w:tcPr>
            <w:tcW w:w="2099" w:type="pct"/>
            <w:tcBorders>
              <w:top w:val="nil"/>
              <w:left w:val="nil"/>
              <w:bottom w:val="nil"/>
              <w:right w:val="nil"/>
            </w:tcBorders>
            <w:shd w:val="clear" w:color="auto" w:fill="auto"/>
            <w:vAlign w:val="bottom"/>
            <w:hideMark/>
          </w:tcPr>
          <w:p w14:paraId="4431DD50" w14:textId="34A37199" w:rsidR="006F64A9" w:rsidRPr="00226892" w:rsidRDefault="006F64A9" w:rsidP="006F64A9">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Všeobecná úverová banka, </w:t>
            </w:r>
            <w:proofErr w:type="spellStart"/>
            <w:r w:rsidRPr="00226892">
              <w:rPr>
                <w:rFonts w:ascii="Arial" w:eastAsia="Times New Roman" w:hAnsi="Arial" w:cs="Arial"/>
                <w:color w:val="000000"/>
                <w:sz w:val="18"/>
                <w:szCs w:val="18"/>
                <w:lang w:val="sk-SK" w:eastAsia="sk-SK"/>
              </w:rPr>
              <w:t>a.s</w:t>
            </w:r>
            <w:proofErr w:type="spellEnd"/>
            <w:r w:rsidRPr="00226892">
              <w:rPr>
                <w:rFonts w:ascii="Arial" w:eastAsia="Times New Roman" w:hAnsi="Arial" w:cs="Arial"/>
                <w:color w:val="000000"/>
                <w:sz w:val="18"/>
                <w:szCs w:val="18"/>
                <w:lang w:val="sk-SK" w:eastAsia="sk-SK"/>
              </w:rPr>
              <w:t xml:space="preserve"> </w:t>
            </w:r>
          </w:p>
        </w:tc>
        <w:tc>
          <w:tcPr>
            <w:tcW w:w="630" w:type="pct"/>
            <w:tcBorders>
              <w:top w:val="nil"/>
              <w:left w:val="nil"/>
              <w:bottom w:val="nil"/>
              <w:right w:val="nil"/>
            </w:tcBorders>
            <w:shd w:val="clear" w:color="auto" w:fill="auto"/>
            <w:vAlign w:val="bottom"/>
            <w:hideMark/>
          </w:tcPr>
          <w:p w14:paraId="480427D8" w14:textId="65E5686D" w:rsidR="006F64A9" w:rsidRPr="00226892" w:rsidRDefault="006F64A9" w:rsidP="006F64A9">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A2</w:t>
            </w:r>
          </w:p>
        </w:tc>
        <w:tc>
          <w:tcPr>
            <w:tcW w:w="127" w:type="pct"/>
            <w:tcBorders>
              <w:top w:val="nil"/>
              <w:left w:val="nil"/>
              <w:bottom w:val="nil"/>
              <w:right w:val="nil"/>
            </w:tcBorders>
            <w:shd w:val="clear" w:color="auto" w:fill="auto"/>
            <w:vAlign w:val="bottom"/>
            <w:hideMark/>
          </w:tcPr>
          <w:p w14:paraId="627964E1" w14:textId="77777777" w:rsidR="006F64A9" w:rsidRPr="00226892" w:rsidRDefault="006F64A9" w:rsidP="006F64A9">
            <w:pPr>
              <w:rPr>
                <w:rFonts w:ascii="Arial" w:eastAsia="Times New Roman" w:hAnsi="Arial" w:cs="Arial"/>
                <w:color w:val="000000"/>
                <w:sz w:val="18"/>
                <w:szCs w:val="18"/>
                <w:lang w:val="sk-SK" w:eastAsia="sk-SK"/>
              </w:rPr>
            </w:pPr>
          </w:p>
        </w:tc>
        <w:tc>
          <w:tcPr>
            <w:tcW w:w="975" w:type="pct"/>
            <w:tcBorders>
              <w:top w:val="nil"/>
              <w:left w:val="nil"/>
              <w:bottom w:val="nil"/>
              <w:right w:val="nil"/>
            </w:tcBorders>
            <w:shd w:val="clear" w:color="auto" w:fill="auto"/>
            <w:vAlign w:val="bottom"/>
          </w:tcPr>
          <w:p w14:paraId="661FFCA7" w14:textId="540242C1" w:rsidR="006F64A9" w:rsidRPr="00226892" w:rsidRDefault="006F64A9" w:rsidP="006F64A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989</w:t>
            </w:r>
          </w:p>
        </w:tc>
        <w:tc>
          <w:tcPr>
            <w:tcW w:w="102" w:type="pct"/>
            <w:tcBorders>
              <w:top w:val="nil"/>
              <w:left w:val="nil"/>
              <w:bottom w:val="nil"/>
              <w:right w:val="nil"/>
            </w:tcBorders>
            <w:shd w:val="clear" w:color="auto" w:fill="auto"/>
            <w:vAlign w:val="bottom"/>
          </w:tcPr>
          <w:p w14:paraId="742C889A" w14:textId="737C6662" w:rsidR="006F64A9" w:rsidRPr="00226892" w:rsidRDefault="006F64A9" w:rsidP="006F64A9">
            <w:pPr>
              <w:jc w:val="right"/>
              <w:rPr>
                <w:rFonts w:ascii="Arial" w:eastAsia="Times New Roman" w:hAnsi="Arial" w:cs="Arial"/>
                <w:color w:val="000000"/>
                <w:sz w:val="18"/>
                <w:szCs w:val="18"/>
                <w:lang w:val="sk-SK" w:eastAsia="sk-SK"/>
              </w:rPr>
            </w:pPr>
          </w:p>
        </w:tc>
        <w:tc>
          <w:tcPr>
            <w:tcW w:w="1067" w:type="pct"/>
            <w:tcBorders>
              <w:top w:val="nil"/>
              <w:left w:val="nil"/>
              <w:bottom w:val="nil"/>
              <w:right w:val="nil"/>
            </w:tcBorders>
            <w:shd w:val="clear" w:color="auto" w:fill="auto"/>
            <w:vAlign w:val="bottom"/>
          </w:tcPr>
          <w:p w14:paraId="6B817866" w14:textId="75C7C3B2" w:rsidR="006F64A9" w:rsidRPr="00226892" w:rsidRDefault="006F64A9" w:rsidP="006F64A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5</w:t>
            </w:r>
          </w:p>
        </w:tc>
      </w:tr>
      <w:tr w:rsidR="006F64A9" w:rsidRPr="00226892" w14:paraId="16C3F0C4" w14:textId="77777777" w:rsidTr="001C5911">
        <w:trPr>
          <w:trHeight w:val="227"/>
        </w:trPr>
        <w:tc>
          <w:tcPr>
            <w:tcW w:w="2099" w:type="pct"/>
            <w:tcBorders>
              <w:top w:val="nil"/>
              <w:left w:val="nil"/>
              <w:bottom w:val="nil"/>
              <w:right w:val="nil"/>
            </w:tcBorders>
            <w:shd w:val="clear" w:color="auto" w:fill="auto"/>
            <w:vAlign w:val="bottom"/>
            <w:hideMark/>
          </w:tcPr>
          <w:p w14:paraId="5F52DD6B" w14:textId="1205A054" w:rsidR="006F64A9" w:rsidRPr="00226892" w:rsidRDefault="006F64A9" w:rsidP="006F64A9">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ČSOB, </w:t>
            </w:r>
            <w:proofErr w:type="spellStart"/>
            <w:r w:rsidRPr="00226892">
              <w:rPr>
                <w:rFonts w:ascii="Arial" w:eastAsia="Times New Roman" w:hAnsi="Arial" w:cs="Arial"/>
                <w:color w:val="000000"/>
                <w:sz w:val="18"/>
                <w:szCs w:val="18"/>
                <w:lang w:val="sk-SK" w:eastAsia="sk-SK"/>
              </w:rPr>
              <w:t>a.s</w:t>
            </w:r>
            <w:proofErr w:type="spellEnd"/>
            <w:r w:rsidRPr="00226892">
              <w:rPr>
                <w:rFonts w:ascii="Arial" w:eastAsia="Times New Roman" w:hAnsi="Arial" w:cs="Arial"/>
                <w:color w:val="000000"/>
                <w:sz w:val="18"/>
                <w:szCs w:val="18"/>
                <w:lang w:val="sk-SK" w:eastAsia="sk-SK"/>
              </w:rPr>
              <w:t xml:space="preserve">. </w:t>
            </w:r>
          </w:p>
        </w:tc>
        <w:tc>
          <w:tcPr>
            <w:tcW w:w="630" w:type="pct"/>
            <w:tcBorders>
              <w:top w:val="nil"/>
              <w:left w:val="nil"/>
              <w:bottom w:val="nil"/>
              <w:right w:val="nil"/>
            </w:tcBorders>
            <w:shd w:val="clear" w:color="auto" w:fill="auto"/>
            <w:vAlign w:val="bottom"/>
            <w:hideMark/>
          </w:tcPr>
          <w:p w14:paraId="09054530" w14:textId="6B6ACF2F" w:rsidR="006F64A9" w:rsidRPr="00226892" w:rsidRDefault="006F64A9" w:rsidP="006F64A9">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Baa1</w:t>
            </w:r>
          </w:p>
        </w:tc>
        <w:tc>
          <w:tcPr>
            <w:tcW w:w="127" w:type="pct"/>
            <w:tcBorders>
              <w:top w:val="nil"/>
              <w:left w:val="nil"/>
              <w:bottom w:val="nil"/>
              <w:right w:val="nil"/>
            </w:tcBorders>
            <w:shd w:val="clear" w:color="auto" w:fill="auto"/>
            <w:vAlign w:val="bottom"/>
            <w:hideMark/>
          </w:tcPr>
          <w:p w14:paraId="2A3C0AD2" w14:textId="77777777" w:rsidR="006F64A9" w:rsidRPr="00226892" w:rsidRDefault="006F64A9" w:rsidP="006F64A9">
            <w:pPr>
              <w:rPr>
                <w:rFonts w:ascii="Arial" w:eastAsia="Times New Roman" w:hAnsi="Arial" w:cs="Arial"/>
                <w:color w:val="000000"/>
                <w:sz w:val="18"/>
                <w:szCs w:val="18"/>
                <w:lang w:val="sk-SK" w:eastAsia="sk-SK"/>
              </w:rPr>
            </w:pPr>
          </w:p>
        </w:tc>
        <w:tc>
          <w:tcPr>
            <w:tcW w:w="975" w:type="pct"/>
            <w:tcBorders>
              <w:top w:val="nil"/>
              <w:left w:val="nil"/>
              <w:bottom w:val="nil"/>
              <w:right w:val="nil"/>
            </w:tcBorders>
            <w:shd w:val="clear" w:color="auto" w:fill="auto"/>
            <w:vAlign w:val="bottom"/>
          </w:tcPr>
          <w:p w14:paraId="5C77DF99" w14:textId="0BAB7EDA" w:rsidR="006F64A9" w:rsidRPr="00226892" w:rsidRDefault="006F64A9" w:rsidP="006F64A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1 318</w:t>
            </w:r>
          </w:p>
        </w:tc>
        <w:tc>
          <w:tcPr>
            <w:tcW w:w="102" w:type="pct"/>
            <w:tcBorders>
              <w:top w:val="nil"/>
              <w:left w:val="nil"/>
              <w:bottom w:val="nil"/>
              <w:right w:val="nil"/>
            </w:tcBorders>
            <w:shd w:val="clear" w:color="auto" w:fill="auto"/>
            <w:vAlign w:val="bottom"/>
          </w:tcPr>
          <w:p w14:paraId="7DC9CB18" w14:textId="77777777" w:rsidR="006F64A9" w:rsidRPr="00226892" w:rsidRDefault="006F64A9" w:rsidP="006F64A9">
            <w:pPr>
              <w:jc w:val="right"/>
              <w:rPr>
                <w:rFonts w:ascii="Arial" w:eastAsia="Times New Roman" w:hAnsi="Arial" w:cs="Arial"/>
                <w:color w:val="000000"/>
                <w:sz w:val="18"/>
                <w:szCs w:val="18"/>
                <w:lang w:val="sk-SK" w:eastAsia="sk-SK"/>
              </w:rPr>
            </w:pPr>
          </w:p>
        </w:tc>
        <w:tc>
          <w:tcPr>
            <w:tcW w:w="1067" w:type="pct"/>
            <w:tcBorders>
              <w:top w:val="nil"/>
              <w:left w:val="nil"/>
              <w:bottom w:val="nil"/>
              <w:right w:val="nil"/>
            </w:tcBorders>
            <w:shd w:val="clear" w:color="auto" w:fill="auto"/>
            <w:vAlign w:val="bottom"/>
          </w:tcPr>
          <w:p w14:paraId="418141BE" w14:textId="4D2E15FC" w:rsidR="006F64A9" w:rsidRPr="00226892" w:rsidRDefault="006F64A9" w:rsidP="006F64A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581</w:t>
            </w:r>
          </w:p>
        </w:tc>
      </w:tr>
      <w:tr w:rsidR="006F64A9" w:rsidRPr="00226892" w14:paraId="0DE7DFDB" w14:textId="77777777" w:rsidTr="001C5911">
        <w:trPr>
          <w:trHeight w:val="227"/>
        </w:trPr>
        <w:tc>
          <w:tcPr>
            <w:tcW w:w="2099" w:type="pct"/>
            <w:tcBorders>
              <w:top w:val="nil"/>
              <w:left w:val="nil"/>
              <w:bottom w:val="nil"/>
              <w:right w:val="nil"/>
            </w:tcBorders>
            <w:shd w:val="clear" w:color="auto" w:fill="auto"/>
            <w:vAlign w:val="bottom"/>
            <w:hideMark/>
          </w:tcPr>
          <w:p w14:paraId="75F84167" w14:textId="606A1676" w:rsidR="006F64A9" w:rsidRPr="00226892" w:rsidRDefault="006F64A9" w:rsidP="006F64A9">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Slovenská sporiteľňa, </w:t>
            </w:r>
            <w:proofErr w:type="spellStart"/>
            <w:r w:rsidRPr="00226892">
              <w:rPr>
                <w:rFonts w:ascii="Arial" w:eastAsia="Times New Roman" w:hAnsi="Arial" w:cs="Arial"/>
                <w:color w:val="000000"/>
                <w:sz w:val="18"/>
                <w:szCs w:val="18"/>
                <w:lang w:val="sk-SK" w:eastAsia="sk-SK"/>
              </w:rPr>
              <w:t>a.s</w:t>
            </w:r>
            <w:proofErr w:type="spellEnd"/>
            <w:r w:rsidRPr="00226892">
              <w:rPr>
                <w:rFonts w:ascii="Arial" w:eastAsia="Times New Roman" w:hAnsi="Arial" w:cs="Arial"/>
                <w:color w:val="000000"/>
                <w:sz w:val="18"/>
                <w:szCs w:val="18"/>
                <w:lang w:val="sk-SK" w:eastAsia="sk-SK"/>
              </w:rPr>
              <w:t xml:space="preserve">.,  </w:t>
            </w:r>
          </w:p>
        </w:tc>
        <w:tc>
          <w:tcPr>
            <w:tcW w:w="630" w:type="pct"/>
            <w:tcBorders>
              <w:top w:val="nil"/>
              <w:left w:val="nil"/>
              <w:bottom w:val="nil"/>
              <w:right w:val="nil"/>
            </w:tcBorders>
            <w:shd w:val="clear" w:color="auto" w:fill="auto"/>
            <w:vAlign w:val="bottom"/>
            <w:hideMark/>
          </w:tcPr>
          <w:p w14:paraId="4FF20115" w14:textId="089AD634" w:rsidR="006F64A9" w:rsidRPr="00226892" w:rsidRDefault="006F64A9" w:rsidP="006F64A9">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A2</w:t>
            </w:r>
          </w:p>
        </w:tc>
        <w:tc>
          <w:tcPr>
            <w:tcW w:w="127" w:type="pct"/>
            <w:tcBorders>
              <w:top w:val="nil"/>
              <w:left w:val="nil"/>
              <w:bottom w:val="nil"/>
              <w:right w:val="nil"/>
            </w:tcBorders>
            <w:shd w:val="clear" w:color="auto" w:fill="auto"/>
            <w:vAlign w:val="bottom"/>
            <w:hideMark/>
          </w:tcPr>
          <w:p w14:paraId="1220556E" w14:textId="77777777" w:rsidR="006F64A9" w:rsidRPr="00226892" w:rsidRDefault="006F64A9" w:rsidP="006F64A9">
            <w:pPr>
              <w:rPr>
                <w:rFonts w:ascii="Arial" w:eastAsia="Times New Roman" w:hAnsi="Arial" w:cs="Arial"/>
                <w:color w:val="000000"/>
                <w:sz w:val="18"/>
                <w:szCs w:val="18"/>
                <w:lang w:val="sk-SK" w:eastAsia="sk-SK"/>
              </w:rPr>
            </w:pPr>
          </w:p>
        </w:tc>
        <w:tc>
          <w:tcPr>
            <w:tcW w:w="975" w:type="pct"/>
            <w:tcBorders>
              <w:top w:val="nil"/>
              <w:left w:val="nil"/>
              <w:bottom w:val="nil"/>
              <w:right w:val="nil"/>
            </w:tcBorders>
            <w:shd w:val="clear" w:color="auto" w:fill="auto"/>
            <w:vAlign w:val="bottom"/>
          </w:tcPr>
          <w:p w14:paraId="7D7A056B" w14:textId="7C0E4580" w:rsidR="006F64A9" w:rsidRPr="00226892" w:rsidRDefault="008915C0" w:rsidP="006F64A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6 021</w:t>
            </w:r>
          </w:p>
        </w:tc>
        <w:tc>
          <w:tcPr>
            <w:tcW w:w="102" w:type="pct"/>
            <w:tcBorders>
              <w:top w:val="nil"/>
              <w:left w:val="nil"/>
              <w:bottom w:val="nil"/>
              <w:right w:val="nil"/>
            </w:tcBorders>
            <w:shd w:val="clear" w:color="auto" w:fill="auto"/>
            <w:vAlign w:val="bottom"/>
          </w:tcPr>
          <w:p w14:paraId="4D2EDD5F" w14:textId="77777777" w:rsidR="006F64A9" w:rsidRPr="00226892" w:rsidRDefault="006F64A9" w:rsidP="006F64A9">
            <w:pPr>
              <w:jc w:val="right"/>
              <w:rPr>
                <w:rFonts w:ascii="Arial" w:eastAsia="Times New Roman" w:hAnsi="Arial" w:cs="Arial"/>
                <w:color w:val="000000"/>
                <w:sz w:val="18"/>
                <w:szCs w:val="18"/>
                <w:lang w:val="sk-SK" w:eastAsia="sk-SK"/>
              </w:rPr>
            </w:pPr>
          </w:p>
        </w:tc>
        <w:tc>
          <w:tcPr>
            <w:tcW w:w="1067" w:type="pct"/>
            <w:tcBorders>
              <w:top w:val="nil"/>
              <w:left w:val="nil"/>
              <w:bottom w:val="nil"/>
              <w:right w:val="nil"/>
            </w:tcBorders>
            <w:shd w:val="clear" w:color="auto" w:fill="auto"/>
            <w:vAlign w:val="bottom"/>
          </w:tcPr>
          <w:p w14:paraId="19EF56F6" w14:textId="4A8D415A" w:rsidR="006F64A9" w:rsidRPr="00226892" w:rsidRDefault="006F64A9" w:rsidP="006F64A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1 904</w:t>
            </w:r>
          </w:p>
        </w:tc>
      </w:tr>
      <w:tr w:rsidR="006F64A9" w:rsidRPr="00226892" w14:paraId="6D63A2C4" w14:textId="77777777" w:rsidTr="001C5911">
        <w:trPr>
          <w:trHeight w:val="227"/>
        </w:trPr>
        <w:tc>
          <w:tcPr>
            <w:tcW w:w="2099" w:type="pct"/>
            <w:tcBorders>
              <w:top w:val="nil"/>
              <w:left w:val="nil"/>
              <w:bottom w:val="nil"/>
              <w:right w:val="nil"/>
            </w:tcBorders>
            <w:shd w:val="clear" w:color="auto" w:fill="auto"/>
            <w:vAlign w:val="bottom"/>
            <w:hideMark/>
          </w:tcPr>
          <w:p w14:paraId="777FB2F8" w14:textId="77777777" w:rsidR="006F64A9" w:rsidRPr="00226892" w:rsidRDefault="006F64A9" w:rsidP="006F64A9">
            <w:pPr>
              <w:rPr>
                <w:rFonts w:ascii="Arial" w:eastAsia="Times New Roman" w:hAnsi="Arial" w:cs="Arial"/>
                <w:color w:val="000000"/>
                <w:sz w:val="18"/>
                <w:szCs w:val="18"/>
                <w:lang w:val="sk-SK" w:eastAsia="sk-SK"/>
              </w:rPr>
            </w:pPr>
            <w:proofErr w:type="spellStart"/>
            <w:r w:rsidRPr="00226892">
              <w:rPr>
                <w:rFonts w:ascii="Arial" w:eastAsia="Times New Roman" w:hAnsi="Arial" w:cs="Arial"/>
                <w:color w:val="000000"/>
                <w:sz w:val="18"/>
                <w:szCs w:val="18"/>
                <w:lang w:val="sk-SK" w:eastAsia="sk-SK"/>
              </w:rPr>
              <w:t>Raiffeisenbank</w:t>
            </w:r>
            <w:proofErr w:type="spellEnd"/>
            <w:r w:rsidRPr="00226892">
              <w:rPr>
                <w:rFonts w:ascii="Arial" w:eastAsia="Times New Roman" w:hAnsi="Arial" w:cs="Arial"/>
                <w:color w:val="000000"/>
                <w:sz w:val="18"/>
                <w:szCs w:val="18"/>
                <w:lang w:val="sk-SK" w:eastAsia="sk-SK"/>
              </w:rPr>
              <w:t xml:space="preserve"> </w:t>
            </w:r>
            <w:proofErr w:type="spellStart"/>
            <w:r w:rsidRPr="00226892">
              <w:rPr>
                <w:rFonts w:ascii="Arial" w:eastAsia="Times New Roman" w:hAnsi="Arial" w:cs="Arial"/>
                <w:color w:val="000000"/>
                <w:sz w:val="18"/>
                <w:szCs w:val="18"/>
                <w:lang w:val="sk-SK" w:eastAsia="sk-SK"/>
              </w:rPr>
              <w:t>a.s</w:t>
            </w:r>
            <w:proofErr w:type="spellEnd"/>
            <w:r w:rsidRPr="00226892">
              <w:rPr>
                <w:rFonts w:ascii="Arial" w:eastAsia="Times New Roman" w:hAnsi="Arial" w:cs="Arial"/>
                <w:color w:val="000000"/>
                <w:sz w:val="18"/>
                <w:szCs w:val="18"/>
                <w:lang w:val="sk-SK" w:eastAsia="sk-SK"/>
              </w:rPr>
              <w:t xml:space="preserve">. </w:t>
            </w:r>
          </w:p>
        </w:tc>
        <w:tc>
          <w:tcPr>
            <w:tcW w:w="630" w:type="pct"/>
            <w:tcBorders>
              <w:top w:val="nil"/>
              <w:left w:val="nil"/>
              <w:bottom w:val="nil"/>
              <w:right w:val="nil"/>
            </w:tcBorders>
            <w:shd w:val="clear" w:color="auto" w:fill="auto"/>
            <w:vAlign w:val="bottom"/>
            <w:hideMark/>
          </w:tcPr>
          <w:p w14:paraId="7901D185" w14:textId="77777777" w:rsidR="006F64A9" w:rsidRPr="00226892" w:rsidRDefault="006F64A9" w:rsidP="006F64A9">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Baa2</w:t>
            </w:r>
          </w:p>
        </w:tc>
        <w:tc>
          <w:tcPr>
            <w:tcW w:w="127" w:type="pct"/>
            <w:tcBorders>
              <w:top w:val="nil"/>
              <w:left w:val="nil"/>
              <w:bottom w:val="nil"/>
              <w:right w:val="nil"/>
            </w:tcBorders>
            <w:shd w:val="clear" w:color="auto" w:fill="auto"/>
            <w:vAlign w:val="bottom"/>
            <w:hideMark/>
          </w:tcPr>
          <w:p w14:paraId="55CFDE37" w14:textId="77777777" w:rsidR="006F64A9" w:rsidRPr="00226892" w:rsidRDefault="006F64A9" w:rsidP="006F64A9">
            <w:pPr>
              <w:rPr>
                <w:rFonts w:ascii="Arial" w:eastAsia="Times New Roman" w:hAnsi="Arial" w:cs="Arial"/>
                <w:color w:val="000000"/>
                <w:sz w:val="18"/>
                <w:szCs w:val="18"/>
                <w:lang w:val="sk-SK" w:eastAsia="sk-SK"/>
              </w:rPr>
            </w:pPr>
          </w:p>
        </w:tc>
        <w:tc>
          <w:tcPr>
            <w:tcW w:w="975" w:type="pct"/>
            <w:tcBorders>
              <w:top w:val="nil"/>
              <w:left w:val="nil"/>
              <w:bottom w:val="nil"/>
              <w:right w:val="nil"/>
            </w:tcBorders>
            <w:shd w:val="clear" w:color="auto" w:fill="auto"/>
            <w:vAlign w:val="bottom"/>
          </w:tcPr>
          <w:p w14:paraId="228CCA69" w14:textId="2810EB4B" w:rsidR="006F64A9" w:rsidRPr="00226892" w:rsidRDefault="006F64A9" w:rsidP="006F64A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02" w:type="pct"/>
            <w:tcBorders>
              <w:top w:val="nil"/>
              <w:left w:val="nil"/>
              <w:bottom w:val="nil"/>
              <w:right w:val="nil"/>
            </w:tcBorders>
            <w:shd w:val="clear" w:color="auto" w:fill="auto"/>
            <w:vAlign w:val="bottom"/>
          </w:tcPr>
          <w:p w14:paraId="0E3DDD3D" w14:textId="77777777" w:rsidR="006F64A9" w:rsidRPr="00226892" w:rsidRDefault="006F64A9" w:rsidP="006F64A9">
            <w:pPr>
              <w:jc w:val="right"/>
              <w:rPr>
                <w:rFonts w:ascii="Arial" w:eastAsia="Times New Roman" w:hAnsi="Arial" w:cs="Arial"/>
                <w:color w:val="000000"/>
                <w:sz w:val="18"/>
                <w:szCs w:val="18"/>
                <w:lang w:val="sk-SK" w:eastAsia="sk-SK"/>
              </w:rPr>
            </w:pPr>
          </w:p>
        </w:tc>
        <w:tc>
          <w:tcPr>
            <w:tcW w:w="1067" w:type="pct"/>
            <w:tcBorders>
              <w:top w:val="nil"/>
              <w:left w:val="nil"/>
              <w:bottom w:val="nil"/>
              <w:right w:val="nil"/>
            </w:tcBorders>
            <w:shd w:val="clear" w:color="auto" w:fill="auto"/>
            <w:vAlign w:val="bottom"/>
          </w:tcPr>
          <w:p w14:paraId="765D1E63" w14:textId="2C1F6EAB" w:rsidR="006F64A9" w:rsidRPr="00226892" w:rsidRDefault="006F64A9" w:rsidP="006F64A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37</w:t>
            </w:r>
          </w:p>
        </w:tc>
      </w:tr>
      <w:tr w:rsidR="006F64A9" w:rsidRPr="00226892" w14:paraId="2D2840C2" w14:textId="77777777" w:rsidTr="001C5911">
        <w:trPr>
          <w:trHeight w:val="227"/>
        </w:trPr>
        <w:tc>
          <w:tcPr>
            <w:tcW w:w="2099" w:type="pct"/>
            <w:tcBorders>
              <w:top w:val="nil"/>
              <w:left w:val="nil"/>
              <w:bottom w:val="nil"/>
              <w:right w:val="nil"/>
            </w:tcBorders>
            <w:shd w:val="clear" w:color="auto" w:fill="auto"/>
            <w:vAlign w:val="bottom"/>
            <w:hideMark/>
          </w:tcPr>
          <w:p w14:paraId="3AB53ACE" w14:textId="12EE39CE" w:rsidR="006F64A9" w:rsidRPr="00226892" w:rsidRDefault="006F64A9" w:rsidP="008915C0">
            <w:pPr>
              <w:rPr>
                <w:rFonts w:ascii="Arial" w:eastAsia="Times New Roman" w:hAnsi="Arial" w:cs="Arial"/>
                <w:color w:val="000000"/>
                <w:sz w:val="18"/>
                <w:szCs w:val="18"/>
                <w:lang w:val="sk-SK" w:eastAsia="sk-SK"/>
              </w:rPr>
            </w:pPr>
            <w:proofErr w:type="spellStart"/>
            <w:r w:rsidRPr="00226892">
              <w:rPr>
                <w:rFonts w:ascii="Arial" w:eastAsia="Times New Roman" w:hAnsi="Arial" w:cs="Arial"/>
                <w:color w:val="000000"/>
                <w:sz w:val="18"/>
                <w:szCs w:val="18"/>
                <w:lang w:val="sk-SK" w:eastAsia="sk-SK"/>
              </w:rPr>
              <w:t>Unicreditbank</w:t>
            </w:r>
            <w:proofErr w:type="spellEnd"/>
            <w:r w:rsidRPr="00226892">
              <w:rPr>
                <w:rFonts w:ascii="Arial" w:eastAsia="Times New Roman" w:hAnsi="Arial" w:cs="Arial"/>
                <w:color w:val="000000"/>
                <w:sz w:val="18"/>
                <w:szCs w:val="18"/>
                <w:lang w:val="sk-SK" w:eastAsia="sk-SK"/>
              </w:rPr>
              <w:t xml:space="preserve">, </w:t>
            </w:r>
            <w:proofErr w:type="spellStart"/>
            <w:r w:rsidRPr="00226892">
              <w:rPr>
                <w:rFonts w:ascii="Arial" w:eastAsia="Times New Roman" w:hAnsi="Arial" w:cs="Arial"/>
                <w:color w:val="000000"/>
                <w:sz w:val="18"/>
                <w:szCs w:val="18"/>
                <w:lang w:val="sk-SK" w:eastAsia="sk-SK"/>
              </w:rPr>
              <w:t>a.s</w:t>
            </w:r>
            <w:proofErr w:type="spellEnd"/>
            <w:r w:rsidRPr="00226892">
              <w:rPr>
                <w:rFonts w:ascii="Arial" w:eastAsia="Times New Roman" w:hAnsi="Arial" w:cs="Arial"/>
                <w:color w:val="000000"/>
                <w:sz w:val="18"/>
                <w:szCs w:val="18"/>
                <w:lang w:val="sk-SK" w:eastAsia="sk-SK"/>
              </w:rPr>
              <w:t xml:space="preserve">. </w:t>
            </w:r>
          </w:p>
        </w:tc>
        <w:tc>
          <w:tcPr>
            <w:tcW w:w="630" w:type="pct"/>
            <w:tcBorders>
              <w:top w:val="nil"/>
              <w:left w:val="nil"/>
              <w:bottom w:val="nil"/>
              <w:right w:val="nil"/>
            </w:tcBorders>
            <w:shd w:val="clear" w:color="auto" w:fill="auto"/>
            <w:vAlign w:val="bottom"/>
          </w:tcPr>
          <w:p w14:paraId="559DC9A1" w14:textId="7D4807B6" w:rsidR="006F64A9" w:rsidRPr="00226892" w:rsidRDefault="00551537" w:rsidP="008915C0">
            <w:pPr>
              <w:jc w:val="center"/>
              <w:rPr>
                <w:rFonts w:ascii="Arial" w:eastAsia="Times New Roman" w:hAnsi="Arial" w:cs="Arial"/>
                <w:color w:val="000000"/>
                <w:sz w:val="18"/>
                <w:szCs w:val="18"/>
                <w:highlight w:val="yellow"/>
                <w:lang w:val="sk-SK" w:eastAsia="sk-SK"/>
              </w:rPr>
            </w:pPr>
            <w:r w:rsidRPr="00226892">
              <w:rPr>
                <w:rFonts w:ascii="Arial" w:eastAsia="Times New Roman" w:hAnsi="Arial" w:cs="Arial"/>
                <w:color w:val="000000"/>
                <w:sz w:val="18"/>
                <w:szCs w:val="18"/>
                <w:lang w:val="sk-SK" w:eastAsia="sk-SK"/>
              </w:rPr>
              <w:t>Baa1</w:t>
            </w:r>
          </w:p>
        </w:tc>
        <w:tc>
          <w:tcPr>
            <w:tcW w:w="127" w:type="pct"/>
            <w:tcBorders>
              <w:top w:val="nil"/>
              <w:left w:val="nil"/>
              <w:bottom w:val="nil"/>
              <w:right w:val="nil"/>
            </w:tcBorders>
            <w:shd w:val="clear" w:color="auto" w:fill="auto"/>
            <w:vAlign w:val="bottom"/>
            <w:hideMark/>
          </w:tcPr>
          <w:p w14:paraId="214CF956" w14:textId="77777777" w:rsidR="006F64A9" w:rsidRPr="00226892" w:rsidRDefault="006F64A9" w:rsidP="008915C0">
            <w:pPr>
              <w:rPr>
                <w:rFonts w:ascii="Arial" w:eastAsia="Times New Roman" w:hAnsi="Arial" w:cs="Arial"/>
                <w:color w:val="000000"/>
                <w:sz w:val="18"/>
                <w:szCs w:val="18"/>
                <w:lang w:val="sk-SK" w:eastAsia="sk-SK"/>
              </w:rPr>
            </w:pPr>
          </w:p>
        </w:tc>
        <w:tc>
          <w:tcPr>
            <w:tcW w:w="975" w:type="pct"/>
            <w:tcBorders>
              <w:top w:val="nil"/>
              <w:left w:val="nil"/>
              <w:bottom w:val="nil"/>
              <w:right w:val="nil"/>
            </w:tcBorders>
            <w:shd w:val="clear" w:color="auto" w:fill="auto"/>
            <w:vAlign w:val="bottom"/>
          </w:tcPr>
          <w:p w14:paraId="21061589" w14:textId="55EC0438" w:rsidR="006F64A9" w:rsidRPr="00226892" w:rsidRDefault="006F64A9" w:rsidP="008915C0">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472</w:t>
            </w:r>
          </w:p>
        </w:tc>
        <w:tc>
          <w:tcPr>
            <w:tcW w:w="102" w:type="pct"/>
            <w:tcBorders>
              <w:top w:val="nil"/>
              <w:left w:val="nil"/>
              <w:bottom w:val="nil"/>
              <w:right w:val="nil"/>
            </w:tcBorders>
            <w:shd w:val="clear" w:color="auto" w:fill="auto"/>
            <w:vAlign w:val="bottom"/>
          </w:tcPr>
          <w:p w14:paraId="0174F294" w14:textId="77777777" w:rsidR="006F64A9" w:rsidRPr="00226892" w:rsidRDefault="006F64A9" w:rsidP="008915C0">
            <w:pPr>
              <w:jc w:val="right"/>
              <w:rPr>
                <w:rFonts w:ascii="Arial" w:eastAsia="Times New Roman" w:hAnsi="Arial" w:cs="Arial"/>
                <w:color w:val="000000"/>
                <w:sz w:val="18"/>
                <w:szCs w:val="18"/>
                <w:lang w:val="sk-SK" w:eastAsia="sk-SK"/>
              </w:rPr>
            </w:pPr>
          </w:p>
        </w:tc>
        <w:tc>
          <w:tcPr>
            <w:tcW w:w="1067" w:type="pct"/>
            <w:tcBorders>
              <w:top w:val="nil"/>
              <w:left w:val="nil"/>
              <w:bottom w:val="nil"/>
              <w:right w:val="nil"/>
            </w:tcBorders>
            <w:shd w:val="clear" w:color="auto" w:fill="auto"/>
            <w:vAlign w:val="bottom"/>
          </w:tcPr>
          <w:p w14:paraId="7E8AC804" w14:textId="77777777" w:rsidR="006F64A9" w:rsidRPr="00226892" w:rsidRDefault="006F64A9" w:rsidP="008915C0">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r>
      <w:tr w:rsidR="006F64A9" w:rsidRPr="00226892" w14:paraId="7B7ECFC8" w14:textId="77777777" w:rsidTr="001C5911">
        <w:trPr>
          <w:trHeight w:val="227"/>
        </w:trPr>
        <w:tc>
          <w:tcPr>
            <w:tcW w:w="2099" w:type="pct"/>
            <w:tcBorders>
              <w:top w:val="nil"/>
              <w:left w:val="nil"/>
              <w:bottom w:val="nil"/>
              <w:right w:val="nil"/>
            </w:tcBorders>
            <w:shd w:val="clear" w:color="auto" w:fill="auto"/>
            <w:vAlign w:val="bottom"/>
            <w:hideMark/>
          </w:tcPr>
          <w:p w14:paraId="0ABF0BB3" w14:textId="17E58EF9" w:rsidR="006F64A9" w:rsidRPr="00226892" w:rsidRDefault="001B28BE" w:rsidP="006F64A9">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Komerční banka</w:t>
            </w:r>
            <w:r w:rsidR="006F64A9" w:rsidRPr="00226892">
              <w:rPr>
                <w:rFonts w:ascii="Arial" w:eastAsia="Times New Roman" w:hAnsi="Arial" w:cs="Arial"/>
                <w:color w:val="000000"/>
                <w:sz w:val="18"/>
                <w:szCs w:val="18"/>
                <w:lang w:val="sk-SK" w:eastAsia="sk-SK"/>
              </w:rPr>
              <w:t xml:space="preserve"> </w:t>
            </w:r>
            <w:proofErr w:type="spellStart"/>
            <w:r w:rsidR="006F64A9" w:rsidRPr="00226892">
              <w:rPr>
                <w:rFonts w:ascii="Arial" w:eastAsia="Times New Roman" w:hAnsi="Arial" w:cs="Arial"/>
                <w:color w:val="000000"/>
                <w:sz w:val="18"/>
                <w:szCs w:val="18"/>
                <w:lang w:val="sk-SK" w:eastAsia="sk-SK"/>
              </w:rPr>
              <w:t>a.s</w:t>
            </w:r>
            <w:proofErr w:type="spellEnd"/>
            <w:r w:rsidR="006F64A9" w:rsidRPr="00226892">
              <w:rPr>
                <w:rFonts w:ascii="Arial" w:eastAsia="Times New Roman" w:hAnsi="Arial" w:cs="Arial"/>
                <w:color w:val="000000"/>
                <w:sz w:val="18"/>
                <w:szCs w:val="18"/>
                <w:lang w:val="sk-SK" w:eastAsia="sk-SK"/>
              </w:rPr>
              <w:t xml:space="preserve">. </w:t>
            </w:r>
          </w:p>
        </w:tc>
        <w:tc>
          <w:tcPr>
            <w:tcW w:w="630" w:type="pct"/>
            <w:tcBorders>
              <w:top w:val="nil"/>
              <w:left w:val="nil"/>
              <w:bottom w:val="nil"/>
              <w:right w:val="nil"/>
            </w:tcBorders>
            <w:shd w:val="clear" w:color="auto" w:fill="auto"/>
            <w:vAlign w:val="bottom"/>
          </w:tcPr>
          <w:p w14:paraId="5E307877" w14:textId="1BB365C7" w:rsidR="006F64A9" w:rsidRPr="00226892" w:rsidRDefault="00551537" w:rsidP="006F64A9">
            <w:pPr>
              <w:jc w:val="center"/>
              <w:rPr>
                <w:rFonts w:ascii="Arial" w:eastAsia="Times New Roman" w:hAnsi="Arial" w:cs="Arial"/>
                <w:color w:val="000000"/>
                <w:sz w:val="18"/>
                <w:szCs w:val="18"/>
                <w:highlight w:val="yellow"/>
                <w:lang w:val="sk-SK" w:eastAsia="sk-SK"/>
              </w:rPr>
            </w:pPr>
            <w:r w:rsidRPr="00226892">
              <w:rPr>
                <w:rFonts w:ascii="Arial" w:eastAsia="Times New Roman" w:hAnsi="Arial" w:cs="Arial"/>
                <w:color w:val="000000"/>
                <w:sz w:val="18"/>
                <w:szCs w:val="18"/>
                <w:lang w:val="sk-SK" w:eastAsia="sk-SK"/>
              </w:rPr>
              <w:t>A</w:t>
            </w:r>
          </w:p>
        </w:tc>
        <w:tc>
          <w:tcPr>
            <w:tcW w:w="127" w:type="pct"/>
            <w:tcBorders>
              <w:top w:val="nil"/>
              <w:left w:val="nil"/>
              <w:bottom w:val="nil"/>
              <w:right w:val="nil"/>
            </w:tcBorders>
            <w:shd w:val="clear" w:color="auto" w:fill="auto"/>
            <w:vAlign w:val="bottom"/>
            <w:hideMark/>
          </w:tcPr>
          <w:p w14:paraId="048A4E0B" w14:textId="77777777" w:rsidR="006F64A9" w:rsidRPr="00226892" w:rsidRDefault="006F64A9" w:rsidP="006F64A9">
            <w:pPr>
              <w:rPr>
                <w:rFonts w:ascii="Arial" w:eastAsia="Times New Roman" w:hAnsi="Arial" w:cs="Arial"/>
                <w:color w:val="000000"/>
                <w:sz w:val="18"/>
                <w:szCs w:val="18"/>
                <w:lang w:val="sk-SK" w:eastAsia="sk-SK"/>
              </w:rPr>
            </w:pPr>
          </w:p>
        </w:tc>
        <w:tc>
          <w:tcPr>
            <w:tcW w:w="975" w:type="pct"/>
            <w:tcBorders>
              <w:top w:val="nil"/>
              <w:left w:val="nil"/>
              <w:bottom w:val="nil"/>
              <w:right w:val="nil"/>
            </w:tcBorders>
            <w:shd w:val="clear" w:color="auto" w:fill="auto"/>
            <w:vAlign w:val="bottom"/>
          </w:tcPr>
          <w:p w14:paraId="48E0A32F" w14:textId="2A9C8FA3" w:rsidR="006F64A9" w:rsidRPr="00226892" w:rsidRDefault="006F64A9" w:rsidP="006F64A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777</w:t>
            </w:r>
          </w:p>
        </w:tc>
        <w:tc>
          <w:tcPr>
            <w:tcW w:w="102" w:type="pct"/>
            <w:tcBorders>
              <w:top w:val="nil"/>
              <w:left w:val="nil"/>
              <w:bottom w:val="nil"/>
              <w:right w:val="nil"/>
            </w:tcBorders>
            <w:shd w:val="clear" w:color="auto" w:fill="auto"/>
            <w:vAlign w:val="bottom"/>
          </w:tcPr>
          <w:p w14:paraId="6CE11BD6" w14:textId="77777777" w:rsidR="006F64A9" w:rsidRPr="00226892" w:rsidRDefault="006F64A9" w:rsidP="006F64A9">
            <w:pPr>
              <w:jc w:val="right"/>
              <w:rPr>
                <w:rFonts w:ascii="Arial" w:eastAsia="Times New Roman" w:hAnsi="Arial" w:cs="Arial"/>
                <w:color w:val="000000"/>
                <w:sz w:val="18"/>
                <w:szCs w:val="18"/>
                <w:lang w:val="sk-SK" w:eastAsia="sk-SK"/>
              </w:rPr>
            </w:pPr>
          </w:p>
        </w:tc>
        <w:tc>
          <w:tcPr>
            <w:tcW w:w="1067" w:type="pct"/>
            <w:tcBorders>
              <w:top w:val="nil"/>
              <w:left w:val="nil"/>
              <w:bottom w:val="nil"/>
              <w:right w:val="nil"/>
            </w:tcBorders>
            <w:shd w:val="clear" w:color="auto" w:fill="auto"/>
            <w:vAlign w:val="bottom"/>
          </w:tcPr>
          <w:p w14:paraId="12F5D1D0" w14:textId="533F211A" w:rsidR="006F64A9" w:rsidRPr="00226892" w:rsidRDefault="006F64A9" w:rsidP="006F64A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r>
      <w:tr w:rsidR="006F64A9" w:rsidRPr="00226892" w14:paraId="49995B63" w14:textId="77777777" w:rsidTr="001C5911">
        <w:trPr>
          <w:trHeight w:val="227"/>
        </w:trPr>
        <w:tc>
          <w:tcPr>
            <w:tcW w:w="2099" w:type="pct"/>
            <w:tcBorders>
              <w:top w:val="nil"/>
              <w:left w:val="nil"/>
              <w:bottom w:val="nil"/>
              <w:right w:val="nil"/>
            </w:tcBorders>
            <w:shd w:val="clear" w:color="auto" w:fill="auto"/>
            <w:vAlign w:val="bottom"/>
            <w:hideMark/>
          </w:tcPr>
          <w:p w14:paraId="52438AA7" w14:textId="1ED08AA6" w:rsidR="006F64A9" w:rsidRPr="00226892" w:rsidRDefault="006F64A9" w:rsidP="006F64A9">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Peniaze </w:t>
            </w:r>
          </w:p>
        </w:tc>
        <w:tc>
          <w:tcPr>
            <w:tcW w:w="630" w:type="pct"/>
            <w:tcBorders>
              <w:top w:val="nil"/>
              <w:left w:val="nil"/>
              <w:bottom w:val="nil"/>
              <w:right w:val="nil"/>
            </w:tcBorders>
            <w:shd w:val="clear" w:color="auto" w:fill="auto"/>
            <w:vAlign w:val="bottom"/>
            <w:hideMark/>
          </w:tcPr>
          <w:p w14:paraId="042B1CD0" w14:textId="0CBD8121" w:rsidR="006F64A9" w:rsidRPr="00226892" w:rsidRDefault="006F64A9" w:rsidP="006F64A9">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n/a</w:t>
            </w:r>
          </w:p>
        </w:tc>
        <w:tc>
          <w:tcPr>
            <w:tcW w:w="127" w:type="pct"/>
            <w:tcBorders>
              <w:top w:val="nil"/>
              <w:left w:val="nil"/>
              <w:bottom w:val="nil"/>
              <w:right w:val="nil"/>
            </w:tcBorders>
            <w:shd w:val="clear" w:color="auto" w:fill="auto"/>
            <w:vAlign w:val="bottom"/>
            <w:hideMark/>
          </w:tcPr>
          <w:p w14:paraId="04FCF982" w14:textId="77777777" w:rsidR="006F64A9" w:rsidRPr="00226892" w:rsidRDefault="006F64A9" w:rsidP="006F64A9">
            <w:pPr>
              <w:rPr>
                <w:rFonts w:ascii="Arial" w:eastAsia="Times New Roman" w:hAnsi="Arial" w:cs="Arial"/>
                <w:color w:val="000000"/>
                <w:sz w:val="18"/>
                <w:szCs w:val="18"/>
                <w:lang w:val="sk-SK" w:eastAsia="sk-SK"/>
              </w:rPr>
            </w:pPr>
          </w:p>
        </w:tc>
        <w:tc>
          <w:tcPr>
            <w:tcW w:w="975" w:type="pct"/>
            <w:tcBorders>
              <w:top w:val="nil"/>
              <w:left w:val="nil"/>
              <w:bottom w:val="nil"/>
              <w:right w:val="nil"/>
            </w:tcBorders>
            <w:shd w:val="clear" w:color="auto" w:fill="auto"/>
            <w:vAlign w:val="bottom"/>
          </w:tcPr>
          <w:p w14:paraId="77FCAE90" w14:textId="37E5C7D3" w:rsidR="006F64A9" w:rsidRPr="00226892" w:rsidRDefault="008915C0" w:rsidP="006F64A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29</w:t>
            </w:r>
          </w:p>
        </w:tc>
        <w:tc>
          <w:tcPr>
            <w:tcW w:w="102" w:type="pct"/>
            <w:tcBorders>
              <w:top w:val="nil"/>
              <w:left w:val="nil"/>
              <w:bottom w:val="nil"/>
              <w:right w:val="nil"/>
            </w:tcBorders>
            <w:shd w:val="clear" w:color="auto" w:fill="auto"/>
            <w:vAlign w:val="bottom"/>
          </w:tcPr>
          <w:p w14:paraId="33C1CF50" w14:textId="77777777" w:rsidR="006F64A9" w:rsidRPr="00226892" w:rsidRDefault="006F64A9" w:rsidP="006F64A9">
            <w:pPr>
              <w:jc w:val="right"/>
              <w:rPr>
                <w:rFonts w:ascii="Arial" w:eastAsia="Times New Roman" w:hAnsi="Arial" w:cs="Arial"/>
                <w:color w:val="000000"/>
                <w:sz w:val="18"/>
                <w:szCs w:val="18"/>
                <w:lang w:val="sk-SK" w:eastAsia="sk-SK"/>
              </w:rPr>
            </w:pPr>
          </w:p>
        </w:tc>
        <w:tc>
          <w:tcPr>
            <w:tcW w:w="1067" w:type="pct"/>
            <w:tcBorders>
              <w:top w:val="nil"/>
              <w:left w:val="nil"/>
              <w:bottom w:val="nil"/>
              <w:right w:val="nil"/>
            </w:tcBorders>
            <w:shd w:val="clear" w:color="auto" w:fill="auto"/>
            <w:vAlign w:val="bottom"/>
          </w:tcPr>
          <w:p w14:paraId="2D3AF36D" w14:textId="052FBA47" w:rsidR="006F64A9" w:rsidRPr="00226892" w:rsidRDefault="006F64A9" w:rsidP="006F64A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475</w:t>
            </w:r>
          </w:p>
        </w:tc>
      </w:tr>
      <w:tr w:rsidR="006F64A9" w:rsidRPr="00226892" w14:paraId="067079AE" w14:textId="77777777" w:rsidTr="001C5911">
        <w:trPr>
          <w:trHeight w:val="227"/>
        </w:trPr>
        <w:tc>
          <w:tcPr>
            <w:tcW w:w="2099" w:type="pct"/>
            <w:tcBorders>
              <w:top w:val="nil"/>
              <w:left w:val="nil"/>
              <w:bottom w:val="nil"/>
              <w:right w:val="nil"/>
            </w:tcBorders>
            <w:shd w:val="clear" w:color="auto" w:fill="auto"/>
            <w:vAlign w:val="bottom"/>
            <w:hideMark/>
          </w:tcPr>
          <w:p w14:paraId="35FE9E5A" w14:textId="0DC4328F" w:rsidR="006F64A9" w:rsidRPr="00226892" w:rsidRDefault="006F64A9" w:rsidP="006F64A9">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Poskytnuté pôžičky (Pozn. 10)</w:t>
            </w:r>
          </w:p>
        </w:tc>
        <w:tc>
          <w:tcPr>
            <w:tcW w:w="630" w:type="pct"/>
            <w:tcBorders>
              <w:top w:val="nil"/>
              <w:left w:val="nil"/>
              <w:bottom w:val="nil"/>
              <w:right w:val="nil"/>
            </w:tcBorders>
            <w:shd w:val="clear" w:color="auto" w:fill="auto"/>
            <w:vAlign w:val="bottom"/>
            <w:hideMark/>
          </w:tcPr>
          <w:p w14:paraId="040DA3BD" w14:textId="2ADBBD60" w:rsidR="006F64A9" w:rsidRPr="00226892" w:rsidRDefault="006F64A9" w:rsidP="006F64A9">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bez ratingu</w:t>
            </w:r>
          </w:p>
        </w:tc>
        <w:tc>
          <w:tcPr>
            <w:tcW w:w="127" w:type="pct"/>
            <w:tcBorders>
              <w:top w:val="nil"/>
              <w:left w:val="nil"/>
              <w:bottom w:val="nil"/>
              <w:right w:val="nil"/>
            </w:tcBorders>
            <w:shd w:val="clear" w:color="auto" w:fill="auto"/>
            <w:vAlign w:val="bottom"/>
            <w:hideMark/>
          </w:tcPr>
          <w:p w14:paraId="1A4F3040" w14:textId="77777777" w:rsidR="006F64A9" w:rsidRPr="00226892" w:rsidRDefault="006F64A9" w:rsidP="006F64A9">
            <w:pPr>
              <w:rPr>
                <w:rFonts w:ascii="Arial" w:eastAsia="Times New Roman" w:hAnsi="Arial" w:cs="Arial"/>
                <w:color w:val="000000"/>
                <w:sz w:val="18"/>
                <w:szCs w:val="18"/>
                <w:lang w:val="sk-SK" w:eastAsia="sk-SK"/>
              </w:rPr>
            </w:pPr>
          </w:p>
        </w:tc>
        <w:tc>
          <w:tcPr>
            <w:tcW w:w="975" w:type="pct"/>
            <w:tcBorders>
              <w:top w:val="nil"/>
              <w:left w:val="nil"/>
              <w:bottom w:val="nil"/>
              <w:right w:val="nil"/>
            </w:tcBorders>
            <w:shd w:val="clear" w:color="auto" w:fill="auto"/>
            <w:vAlign w:val="bottom"/>
          </w:tcPr>
          <w:p w14:paraId="6AFACFA1" w14:textId="1309FA5B" w:rsidR="006F64A9" w:rsidRPr="00226892" w:rsidRDefault="008915C0" w:rsidP="006F64A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4</w:t>
            </w:r>
            <w:r w:rsidR="006F64A9" w:rsidRPr="00226892">
              <w:rPr>
                <w:rFonts w:ascii="Arial" w:eastAsia="Times New Roman" w:hAnsi="Arial" w:cs="Arial"/>
                <w:color w:val="000000"/>
                <w:sz w:val="18"/>
                <w:szCs w:val="18"/>
                <w:lang w:val="sk-SK" w:eastAsia="sk-SK"/>
              </w:rPr>
              <w:t>70</w:t>
            </w:r>
          </w:p>
        </w:tc>
        <w:tc>
          <w:tcPr>
            <w:tcW w:w="102" w:type="pct"/>
            <w:tcBorders>
              <w:top w:val="nil"/>
              <w:left w:val="nil"/>
              <w:bottom w:val="nil"/>
              <w:right w:val="nil"/>
            </w:tcBorders>
            <w:shd w:val="clear" w:color="auto" w:fill="auto"/>
            <w:vAlign w:val="bottom"/>
          </w:tcPr>
          <w:p w14:paraId="32FC3F29" w14:textId="77777777" w:rsidR="006F64A9" w:rsidRPr="00226892" w:rsidRDefault="006F64A9" w:rsidP="006F64A9">
            <w:pPr>
              <w:jc w:val="right"/>
              <w:rPr>
                <w:rFonts w:ascii="Arial" w:eastAsia="Times New Roman" w:hAnsi="Arial" w:cs="Arial"/>
                <w:color w:val="000000"/>
                <w:sz w:val="18"/>
                <w:szCs w:val="18"/>
                <w:lang w:val="sk-SK" w:eastAsia="sk-SK"/>
              </w:rPr>
            </w:pPr>
          </w:p>
        </w:tc>
        <w:tc>
          <w:tcPr>
            <w:tcW w:w="1067" w:type="pct"/>
            <w:tcBorders>
              <w:top w:val="nil"/>
              <w:left w:val="nil"/>
              <w:bottom w:val="nil"/>
              <w:right w:val="nil"/>
            </w:tcBorders>
            <w:shd w:val="clear" w:color="auto" w:fill="auto"/>
            <w:vAlign w:val="bottom"/>
          </w:tcPr>
          <w:p w14:paraId="120FE27C" w14:textId="00D63042" w:rsidR="006F64A9" w:rsidRPr="00226892" w:rsidRDefault="006F64A9" w:rsidP="006F64A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370</w:t>
            </w:r>
          </w:p>
        </w:tc>
      </w:tr>
      <w:tr w:rsidR="006F64A9" w:rsidRPr="00226892" w14:paraId="627B55A3" w14:textId="77777777" w:rsidTr="001C5911">
        <w:trPr>
          <w:trHeight w:val="227"/>
        </w:trPr>
        <w:tc>
          <w:tcPr>
            <w:tcW w:w="2099" w:type="pct"/>
            <w:tcBorders>
              <w:top w:val="nil"/>
              <w:left w:val="nil"/>
              <w:bottom w:val="nil"/>
              <w:right w:val="nil"/>
            </w:tcBorders>
            <w:shd w:val="clear" w:color="auto" w:fill="auto"/>
            <w:vAlign w:val="bottom"/>
            <w:hideMark/>
          </w:tcPr>
          <w:p w14:paraId="23F8B864" w14:textId="7CF40B0D" w:rsidR="006F64A9" w:rsidRPr="00226892" w:rsidRDefault="006F64A9" w:rsidP="006F64A9">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Pohľadávky z obchodného styku a iné pohľadávky (Pozn. 10) </w:t>
            </w:r>
          </w:p>
        </w:tc>
        <w:tc>
          <w:tcPr>
            <w:tcW w:w="630" w:type="pct"/>
            <w:tcBorders>
              <w:top w:val="nil"/>
              <w:left w:val="nil"/>
              <w:bottom w:val="nil"/>
              <w:right w:val="nil"/>
            </w:tcBorders>
            <w:shd w:val="clear" w:color="auto" w:fill="auto"/>
            <w:vAlign w:val="bottom"/>
            <w:hideMark/>
          </w:tcPr>
          <w:p w14:paraId="17C6A64D" w14:textId="537F3591" w:rsidR="006F64A9" w:rsidRPr="00226892" w:rsidRDefault="00862916" w:rsidP="006F64A9">
            <w:pPr>
              <w:jc w:val="cente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Pozn. 10</w:t>
            </w:r>
          </w:p>
        </w:tc>
        <w:tc>
          <w:tcPr>
            <w:tcW w:w="127" w:type="pct"/>
            <w:tcBorders>
              <w:top w:val="nil"/>
              <w:left w:val="nil"/>
              <w:bottom w:val="nil"/>
              <w:right w:val="nil"/>
            </w:tcBorders>
            <w:shd w:val="clear" w:color="auto" w:fill="auto"/>
            <w:vAlign w:val="bottom"/>
            <w:hideMark/>
          </w:tcPr>
          <w:p w14:paraId="3AE6A6DF" w14:textId="77777777" w:rsidR="006F64A9" w:rsidRPr="00226892" w:rsidRDefault="006F64A9" w:rsidP="006F64A9">
            <w:pPr>
              <w:rPr>
                <w:rFonts w:ascii="Arial" w:eastAsia="Times New Roman" w:hAnsi="Arial" w:cs="Arial"/>
                <w:color w:val="000000"/>
                <w:sz w:val="18"/>
                <w:szCs w:val="18"/>
                <w:lang w:val="sk-SK" w:eastAsia="sk-SK"/>
              </w:rPr>
            </w:pPr>
          </w:p>
        </w:tc>
        <w:tc>
          <w:tcPr>
            <w:tcW w:w="975" w:type="pct"/>
            <w:tcBorders>
              <w:top w:val="nil"/>
              <w:left w:val="nil"/>
              <w:bottom w:val="nil"/>
              <w:right w:val="nil"/>
            </w:tcBorders>
            <w:shd w:val="clear" w:color="auto" w:fill="auto"/>
            <w:vAlign w:val="bottom"/>
          </w:tcPr>
          <w:p w14:paraId="3D9C9D1E" w14:textId="7A9CA4AC" w:rsidR="006F64A9" w:rsidRPr="00226892" w:rsidRDefault="006F64A9" w:rsidP="006F64A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w:t>
            </w:r>
            <w:r w:rsidR="0057788C" w:rsidRPr="00226892">
              <w:rPr>
                <w:rFonts w:ascii="Arial" w:eastAsia="Times New Roman" w:hAnsi="Arial" w:cs="Arial"/>
                <w:color w:val="000000"/>
                <w:sz w:val="18"/>
                <w:szCs w:val="18"/>
                <w:lang w:val="sk-SK" w:eastAsia="sk-SK"/>
              </w:rPr>
              <w:t>5</w:t>
            </w:r>
            <w:r w:rsidR="00571169" w:rsidRPr="00226892">
              <w:rPr>
                <w:rFonts w:ascii="Arial" w:eastAsia="Times New Roman" w:hAnsi="Arial" w:cs="Arial"/>
                <w:color w:val="000000"/>
                <w:sz w:val="18"/>
                <w:szCs w:val="18"/>
                <w:lang w:val="sk-SK" w:eastAsia="sk-SK"/>
              </w:rPr>
              <w:t xml:space="preserve"> </w:t>
            </w:r>
            <w:r w:rsidR="0057788C" w:rsidRPr="00226892">
              <w:rPr>
                <w:rFonts w:ascii="Arial" w:eastAsia="Times New Roman" w:hAnsi="Arial" w:cs="Arial"/>
                <w:color w:val="000000"/>
                <w:sz w:val="18"/>
                <w:szCs w:val="18"/>
                <w:lang w:val="sk-SK" w:eastAsia="sk-SK"/>
              </w:rPr>
              <w:t>457</w:t>
            </w:r>
          </w:p>
        </w:tc>
        <w:tc>
          <w:tcPr>
            <w:tcW w:w="102" w:type="pct"/>
            <w:tcBorders>
              <w:top w:val="nil"/>
              <w:left w:val="nil"/>
              <w:bottom w:val="nil"/>
              <w:right w:val="nil"/>
            </w:tcBorders>
            <w:shd w:val="clear" w:color="auto" w:fill="auto"/>
            <w:vAlign w:val="bottom"/>
          </w:tcPr>
          <w:p w14:paraId="3C445526" w14:textId="77777777" w:rsidR="006F64A9" w:rsidRPr="00226892" w:rsidRDefault="006F64A9" w:rsidP="006F64A9">
            <w:pPr>
              <w:jc w:val="right"/>
              <w:rPr>
                <w:rFonts w:ascii="Arial" w:eastAsia="Times New Roman" w:hAnsi="Arial" w:cs="Arial"/>
                <w:color w:val="000000"/>
                <w:sz w:val="18"/>
                <w:szCs w:val="18"/>
                <w:lang w:val="sk-SK" w:eastAsia="sk-SK"/>
              </w:rPr>
            </w:pPr>
          </w:p>
        </w:tc>
        <w:tc>
          <w:tcPr>
            <w:tcW w:w="1067" w:type="pct"/>
            <w:tcBorders>
              <w:top w:val="nil"/>
              <w:left w:val="nil"/>
              <w:bottom w:val="nil"/>
              <w:right w:val="nil"/>
            </w:tcBorders>
            <w:shd w:val="clear" w:color="auto" w:fill="auto"/>
            <w:vAlign w:val="bottom"/>
          </w:tcPr>
          <w:p w14:paraId="24837710" w14:textId="1E65782D" w:rsidR="006F64A9" w:rsidRPr="00226892" w:rsidRDefault="00862916" w:rsidP="006F64A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27 477</w:t>
            </w:r>
          </w:p>
        </w:tc>
      </w:tr>
      <w:tr w:rsidR="006F64A9" w:rsidRPr="00226892" w14:paraId="432B1618" w14:textId="77777777" w:rsidTr="001C5911">
        <w:trPr>
          <w:trHeight w:val="227"/>
        </w:trPr>
        <w:tc>
          <w:tcPr>
            <w:tcW w:w="2099" w:type="pct"/>
            <w:tcBorders>
              <w:top w:val="nil"/>
              <w:left w:val="nil"/>
              <w:bottom w:val="nil"/>
              <w:right w:val="nil"/>
            </w:tcBorders>
            <w:shd w:val="clear" w:color="auto" w:fill="auto"/>
            <w:vAlign w:val="bottom"/>
            <w:hideMark/>
          </w:tcPr>
          <w:p w14:paraId="30912A3A" w14:textId="77777777" w:rsidR="006F64A9" w:rsidRPr="00226892" w:rsidRDefault="006F64A9" w:rsidP="006F64A9">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Spolu </w:t>
            </w:r>
          </w:p>
        </w:tc>
        <w:tc>
          <w:tcPr>
            <w:tcW w:w="630" w:type="pct"/>
            <w:tcBorders>
              <w:top w:val="nil"/>
              <w:left w:val="nil"/>
              <w:bottom w:val="nil"/>
              <w:right w:val="nil"/>
            </w:tcBorders>
            <w:shd w:val="clear" w:color="auto" w:fill="auto"/>
            <w:vAlign w:val="bottom"/>
            <w:hideMark/>
          </w:tcPr>
          <w:p w14:paraId="4C0DCF02" w14:textId="77777777" w:rsidR="006F64A9" w:rsidRPr="00226892" w:rsidRDefault="006F64A9" w:rsidP="006F64A9">
            <w:pPr>
              <w:jc w:val="center"/>
              <w:rPr>
                <w:rFonts w:ascii="Arial" w:eastAsia="Times New Roman" w:hAnsi="Arial" w:cs="Arial"/>
                <w:b/>
                <w:bCs/>
                <w:color w:val="000000"/>
                <w:sz w:val="18"/>
                <w:szCs w:val="18"/>
                <w:lang w:val="sk-SK" w:eastAsia="sk-SK"/>
              </w:rPr>
            </w:pPr>
          </w:p>
        </w:tc>
        <w:tc>
          <w:tcPr>
            <w:tcW w:w="127" w:type="pct"/>
            <w:tcBorders>
              <w:top w:val="nil"/>
              <w:left w:val="nil"/>
              <w:bottom w:val="nil"/>
              <w:right w:val="nil"/>
            </w:tcBorders>
            <w:shd w:val="clear" w:color="auto" w:fill="auto"/>
            <w:vAlign w:val="bottom"/>
            <w:hideMark/>
          </w:tcPr>
          <w:p w14:paraId="48CB54B2" w14:textId="77777777" w:rsidR="006F64A9" w:rsidRPr="00226892" w:rsidRDefault="006F64A9" w:rsidP="006F64A9">
            <w:pPr>
              <w:rPr>
                <w:rFonts w:ascii="Arial" w:eastAsia="Times New Roman" w:hAnsi="Arial" w:cs="Arial"/>
                <w:sz w:val="18"/>
                <w:szCs w:val="18"/>
                <w:lang w:val="sk-SK" w:eastAsia="sk-SK"/>
              </w:rPr>
            </w:pPr>
          </w:p>
        </w:tc>
        <w:tc>
          <w:tcPr>
            <w:tcW w:w="975" w:type="pct"/>
            <w:tcBorders>
              <w:top w:val="single" w:sz="4" w:space="0" w:color="auto"/>
              <w:left w:val="nil"/>
              <w:bottom w:val="double" w:sz="6" w:space="0" w:color="auto"/>
              <w:right w:val="nil"/>
            </w:tcBorders>
            <w:shd w:val="clear" w:color="auto" w:fill="auto"/>
            <w:vAlign w:val="bottom"/>
          </w:tcPr>
          <w:p w14:paraId="3B7D09C1" w14:textId="7CF2C40D" w:rsidR="006F64A9" w:rsidRPr="00226892" w:rsidRDefault="00571169" w:rsidP="006F64A9">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w:t>
            </w:r>
            <w:r w:rsidR="0057788C" w:rsidRPr="00226892">
              <w:rPr>
                <w:rFonts w:ascii="Arial" w:eastAsia="Times New Roman" w:hAnsi="Arial" w:cs="Arial"/>
                <w:b/>
                <w:bCs/>
                <w:color w:val="000000"/>
                <w:sz w:val="18"/>
                <w:szCs w:val="18"/>
                <w:lang w:val="sk-SK" w:eastAsia="sk-SK"/>
              </w:rPr>
              <w:t>5</w:t>
            </w:r>
            <w:r w:rsidRPr="00226892">
              <w:rPr>
                <w:rFonts w:ascii="Arial" w:eastAsia="Times New Roman" w:hAnsi="Arial" w:cs="Arial"/>
                <w:b/>
                <w:bCs/>
                <w:color w:val="000000"/>
                <w:sz w:val="18"/>
                <w:szCs w:val="18"/>
                <w:lang w:val="sk-SK" w:eastAsia="sk-SK"/>
              </w:rPr>
              <w:t xml:space="preserve"> </w:t>
            </w:r>
            <w:r w:rsidR="0057788C" w:rsidRPr="00226892">
              <w:rPr>
                <w:rFonts w:ascii="Arial" w:eastAsia="Times New Roman" w:hAnsi="Arial" w:cs="Arial"/>
                <w:b/>
                <w:bCs/>
                <w:color w:val="000000"/>
                <w:sz w:val="18"/>
                <w:szCs w:val="18"/>
                <w:lang w:val="sk-SK" w:eastAsia="sk-SK"/>
              </w:rPr>
              <w:t>533</w:t>
            </w:r>
          </w:p>
        </w:tc>
        <w:tc>
          <w:tcPr>
            <w:tcW w:w="102" w:type="pct"/>
            <w:tcBorders>
              <w:top w:val="nil"/>
              <w:left w:val="nil"/>
              <w:bottom w:val="nil"/>
              <w:right w:val="nil"/>
            </w:tcBorders>
            <w:shd w:val="clear" w:color="auto" w:fill="auto"/>
            <w:vAlign w:val="bottom"/>
          </w:tcPr>
          <w:p w14:paraId="46EC09D4" w14:textId="77777777" w:rsidR="006F64A9" w:rsidRPr="00226892" w:rsidRDefault="006F64A9" w:rsidP="006F64A9">
            <w:pPr>
              <w:jc w:val="right"/>
              <w:rPr>
                <w:rFonts w:ascii="Arial" w:eastAsia="Times New Roman" w:hAnsi="Arial" w:cs="Arial"/>
                <w:b/>
                <w:bCs/>
                <w:color w:val="000000"/>
                <w:sz w:val="18"/>
                <w:szCs w:val="18"/>
                <w:lang w:val="sk-SK" w:eastAsia="sk-SK"/>
              </w:rPr>
            </w:pPr>
          </w:p>
        </w:tc>
        <w:tc>
          <w:tcPr>
            <w:tcW w:w="1067" w:type="pct"/>
            <w:tcBorders>
              <w:top w:val="single" w:sz="4" w:space="0" w:color="auto"/>
              <w:left w:val="nil"/>
              <w:bottom w:val="double" w:sz="6" w:space="0" w:color="auto"/>
              <w:right w:val="nil"/>
            </w:tcBorders>
            <w:shd w:val="clear" w:color="auto" w:fill="auto"/>
            <w:vAlign w:val="bottom"/>
          </w:tcPr>
          <w:p w14:paraId="6841E640" w14:textId="47582940" w:rsidR="006F64A9" w:rsidRPr="00226892" w:rsidRDefault="00862916" w:rsidP="006F64A9">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30 84</w:t>
            </w:r>
            <w:r w:rsidR="00871046" w:rsidRPr="00226892">
              <w:rPr>
                <w:rFonts w:ascii="Arial" w:eastAsia="Times New Roman" w:hAnsi="Arial" w:cs="Arial"/>
                <w:b/>
                <w:bCs/>
                <w:color w:val="000000"/>
                <w:sz w:val="18"/>
                <w:szCs w:val="18"/>
                <w:lang w:val="sk-SK" w:eastAsia="sk-SK"/>
              </w:rPr>
              <w:t>8</w:t>
            </w:r>
          </w:p>
        </w:tc>
      </w:tr>
    </w:tbl>
    <w:p w14:paraId="5D875888" w14:textId="6981A6E3" w:rsidR="008E0218" w:rsidRPr="00226892" w:rsidRDefault="008E0218" w:rsidP="00FD21B8">
      <w:pPr>
        <w:pStyle w:val="ABC-paragrahinNotes"/>
        <w:suppressAutoHyphens/>
        <w:spacing w:after="0"/>
        <w:ind w:left="284"/>
        <w:rPr>
          <w:rFonts w:cs="Arial"/>
          <w:sz w:val="20"/>
          <w:szCs w:val="18"/>
        </w:rPr>
      </w:pPr>
    </w:p>
    <w:p w14:paraId="6B76C368" w14:textId="7967628D" w:rsidR="00A25607" w:rsidRPr="00226892" w:rsidRDefault="00A25607" w:rsidP="001C5911">
      <w:pPr>
        <w:suppressAutoHyphens/>
        <w:jc w:val="both"/>
        <w:rPr>
          <w:rFonts w:ascii="Arial" w:hAnsi="Arial" w:cs="Arial"/>
          <w:lang w:val="sk-SK"/>
        </w:rPr>
      </w:pPr>
      <w:r w:rsidRPr="00226892">
        <w:rPr>
          <w:rFonts w:ascii="Arial" w:hAnsi="Arial" w:cs="Arial"/>
          <w:lang w:val="sk-SK"/>
        </w:rPr>
        <w:t xml:space="preserve">Hodnota peňažných prostriedkov v bankách predstavovala k 31. decembru </w:t>
      </w:r>
      <w:r w:rsidR="00FD3AC5" w:rsidRPr="00226892">
        <w:rPr>
          <w:rFonts w:ascii="Arial" w:hAnsi="Arial" w:cs="Arial"/>
          <w:lang w:val="sk-SK"/>
        </w:rPr>
        <w:t>2018</w:t>
      </w:r>
      <w:r w:rsidR="004C42A0" w:rsidRPr="00226892">
        <w:rPr>
          <w:rFonts w:ascii="Arial" w:hAnsi="Arial" w:cs="Arial"/>
          <w:lang w:val="sk-SK"/>
        </w:rPr>
        <w:t xml:space="preserve"> </w:t>
      </w:r>
      <w:r w:rsidR="008915C0" w:rsidRPr="00226892">
        <w:rPr>
          <w:rFonts w:ascii="Arial" w:hAnsi="Arial" w:cs="Arial"/>
          <w:lang w:val="sk-SK"/>
        </w:rPr>
        <w:t>9 606</w:t>
      </w:r>
      <w:r w:rsidRPr="00226892">
        <w:rPr>
          <w:rFonts w:ascii="Arial" w:hAnsi="Arial" w:cs="Arial"/>
          <w:lang w:val="sk-SK"/>
        </w:rPr>
        <w:t xml:space="preserve"> tis. EUR (</w:t>
      </w:r>
      <w:r w:rsidR="00D020B9" w:rsidRPr="00226892">
        <w:rPr>
          <w:rFonts w:ascii="Arial" w:hAnsi="Arial" w:cs="Arial"/>
          <w:lang w:val="sk-SK"/>
        </w:rPr>
        <w:t xml:space="preserve">31. december </w:t>
      </w:r>
      <w:r w:rsidR="00F63A77" w:rsidRPr="00226892">
        <w:rPr>
          <w:rFonts w:ascii="Arial" w:hAnsi="Arial" w:cs="Arial"/>
          <w:lang w:val="sk-SK"/>
        </w:rPr>
        <w:t>2017</w:t>
      </w:r>
      <w:r w:rsidR="00D020B9" w:rsidRPr="00226892">
        <w:rPr>
          <w:rFonts w:ascii="Arial" w:hAnsi="Arial" w:cs="Arial"/>
          <w:lang w:val="sk-SK"/>
        </w:rPr>
        <w:t xml:space="preserve">: </w:t>
      </w:r>
      <w:r w:rsidR="008915C0" w:rsidRPr="00226892">
        <w:rPr>
          <w:rFonts w:ascii="Arial" w:hAnsi="Arial" w:cs="Arial"/>
          <w:lang w:val="sk-SK"/>
        </w:rPr>
        <w:t>3 002</w:t>
      </w:r>
      <w:r w:rsidR="00812B7A" w:rsidRPr="00226892">
        <w:rPr>
          <w:rFonts w:ascii="Arial" w:hAnsi="Arial" w:cs="Arial"/>
          <w:lang w:val="sk-SK"/>
        </w:rPr>
        <w:t xml:space="preserve"> </w:t>
      </w:r>
      <w:r w:rsidRPr="00226892">
        <w:rPr>
          <w:rFonts w:ascii="Arial" w:hAnsi="Arial" w:cs="Arial"/>
          <w:lang w:val="sk-SK"/>
        </w:rPr>
        <w:t>tis. EUR). Okrem toho sa Skupina dohodla s týmito bankami na úverových linkách na bežných účtoch (</w:t>
      </w:r>
      <w:r w:rsidR="00D13161" w:rsidRPr="00226892">
        <w:rPr>
          <w:rFonts w:ascii="Arial" w:hAnsi="Arial" w:cs="Arial"/>
          <w:lang w:val="sk-SK"/>
        </w:rPr>
        <w:t>v bode 1</w:t>
      </w:r>
      <w:r w:rsidR="00512880" w:rsidRPr="00226892">
        <w:rPr>
          <w:rFonts w:ascii="Arial" w:hAnsi="Arial" w:cs="Arial"/>
          <w:lang w:val="sk-SK"/>
        </w:rPr>
        <w:t xml:space="preserve">3 </w:t>
      </w:r>
      <w:r w:rsidR="00D13161" w:rsidRPr="00226892">
        <w:rPr>
          <w:rFonts w:ascii="Arial" w:hAnsi="Arial" w:cs="Arial"/>
          <w:lang w:val="sk-SK"/>
        </w:rPr>
        <w:t>poznámok</w:t>
      </w:r>
      <w:r w:rsidRPr="00226892">
        <w:rPr>
          <w:rFonts w:ascii="Arial" w:hAnsi="Arial" w:cs="Arial"/>
          <w:lang w:val="sk-SK"/>
        </w:rPr>
        <w:t>) v celkovej výške  </w:t>
      </w:r>
      <w:r w:rsidR="00206D7F" w:rsidRPr="00226892">
        <w:rPr>
          <w:rFonts w:ascii="Arial" w:hAnsi="Arial" w:cs="Arial"/>
          <w:lang w:val="sk-SK"/>
        </w:rPr>
        <w:t>6 921</w:t>
      </w:r>
      <w:r w:rsidRPr="00226892">
        <w:rPr>
          <w:rFonts w:ascii="Arial" w:hAnsi="Arial" w:cs="Arial"/>
          <w:lang w:val="sk-SK"/>
        </w:rPr>
        <w:t xml:space="preserve"> tis. EUR (31. december </w:t>
      </w:r>
      <w:r w:rsidR="00F63A77" w:rsidRPr="00226892">
        <w:rPr>
          <w:rFonts w:ascii="Arial" w:hAnsi="Arial" w:cs="Arial"/>
          <w:lang w:val="sk-SK"/>
        </w:rPr>
        <w:t>2017</w:t>
      </w:r>
      <w:r w:rsidRPr="00226892">
        <w:rPr>
          <w:rFonts w:ascii="Arial" w:hAnsi="Arial" w:cs="Arial"/>
          <w:lang w:val="sk-SK"/>
        </w:rPr>
        <w:t xml:space="preserve">: </w:t>
      </w:r>
      <w:r w:rsidR="008915C0" w:rsidRPr="00226892">
        <w:rPr>
          <w:rFonts w:ascii="Arial" w:hAnsi="Arial" w:cs="Arial"/>
          <w:lang w:val="sk-SK"/>
        </w:rPr>
        <w:t xml:space="preserve">27 920 </w:t>
      </w:r>
      <w:r w:rsidRPr="00226892">
        <w:rPr>
          <w:rFonts w:ascii="Arial" w:hAnsi="Arial" w:cs="Arial"/>
          <w:lang w:val="sk-SK"/>
        </w:rPr>
        <w:t>tis. EUR), ktoré k dátumu súvahy neboli využité. Bankové úvery, kontokorentné úvery, zmenky a leasingové záväzky Skupiny (</w:t>
      </w:r>
      <w:r w:rsidR="00D13161" w:rsidRPr="00226892">
        <w:rPr>
          <w:rFonts w:ascii="Arial" w:hAnsi="Arial" w:cs="Arial"/>
          <w:lang w:val="sk-SK"/>
        </w:rPr>
        <w:t>v bode 1</w:t>
      </w:r>
      <w:r w:rsidR="00512880" w:rsidRPr="00226892">
        <w:rPr>
          <w:rFonts w:ascii="Arial" w:hAnsi="Arial" w:cs="Arial"/>
          <w:lang w:val="sk-SK"/>
        </w:rPr>
        <w:t>5</w:t>
      </w:r>
      <w:r w:rsidR="00D13161" w:rsidRPr="00226892">
        <w:rPr>
          <w:rFonts w:ascii="Arial" w:hAnsi="Arial" w:cs="Arial"/>
          <w:lang w:val="sk-SK"/>
        </w:rPr>
        <w:t xml:space="preserve"> poznámok</w:t>
      </w:r>
      <w:r w:rsidRPr="00226892">
        <w:rPr>
          <w:rFonts w:ascii="Arial" w:hAnsi="Arial" w:cs="Arial"/>
          <w:lang w:val="sk-SK"/>
        </w:rPr>
        <w:t xml:space="preserve">) boli k 31. decembru </w:t>
      </w:r>
      <w:r w:rsidR="00FD3AC5" w:rsidRPr="00226892">
        <w:rPr>
          <w:rFonts w:ascii="Arial" w:hAnsi="Arial" w:cs="Arial"/>
          <w:lang w:val="sk-SK"/>
        </w:rPr>
        <w:t>2018</w:t>
      </w:r>
      <w:r w:rsidR="004C42A0" w:rsidRPr="00226892">
        <w:rPr>
          <w:rFonts w:ascii="Arial" w:hAnsi="Arial" w:cs="Arial"/>
          <w:lang w:val="sk-SK"/>
        </w:rPr>
        <w:t xml:space="preserve"> </w:t>
      </w:r>
      <w:r w:rsidRPr="00226892">
        <w:rPr>
          <w:rFonts w:ascii="Arial" w:hAnsi="Arial" w:cs="Arial"/>
          <w:lang w:val="sk-SK"/>
        </w:rPr>
        <w:t>na úrovni  </w:t>
      </w:r>
      <w:r w:rsidR="008915C0" w:rsidRPr="00226892">
        <w:rPr>
          <w:rFonts w:ascii="Arial" w:hAnsi="Arial" w:cs="Arial"/>
          <w:lang w:val="sk-SK"/>
        </w:rPr>
        <w:t>37 861</w:t>
      </w:r>
      <w:r w:rsidRPr="00226892">
        <w:rPr>
          <w:rFonts w:ascii="Arial" w:hAnsi="Arial" w:cs="Arial"/>
          <w:lang w:val="sk-SK"/>
        </w:rPr>
        <w:t xml:space="preserve"> tis. EUR (31. december </w:t>
      </w:r>
      <w:r w:rsidR="00F63A77" w:rsidRPr="00226892">
        <w:rPr>
          <w:rFonts w:ascii="Arial" w:hAnsi="Arial" w:cs="Arial"/>
          <w:lang w:val="sk-SK"/>
        </w:rPr>
        <w:t>2017</w:t>
      </w:r>
      <w:r w:rsidRPr="00226892">
        <w:rPr>
          <w:rFonts w:ascii="Arial" w:hAnsi="Arial" w:cs="Arial"/>
          <w:lang w:val="sk-SK"/>
        </w:rPr>
        <w:t xml:space="preserve">: </w:t>
      </w:r>
      <w:r w:rsidR="008915C0" w:rsidRPr="00226892">
        <w:rPr>
          <w:rFonts w:ascii="Arial" w:hAnsi="Arial" w:cs="Arial"/>
          <w:lang w:val="sk-SK"/>
        </w:rPr>
        <w:t xml:space="preserve">58 583 </w:t>
      </w:r>
      <w:r w:rsidRPr="00226892">
        <w:rPr>
          <w:rFonts w:ascii="Arial" w:hAnsi="Arial" w:cs="Arial"/>
          <w:lang w:val="sk-SK"/>
        </w:rPr>
        <w:t>tis. EUR).</w:t>
      </w:r>
    </w:p>
    <w:p w14:paraId="46335216" w14:textId="77777777" w:rsidR="00A25607" w:rsidRPr="00226892" w:rsidRDefault="00A25607" w:rsidP="001C5911">
      <w:pPr>
        <w:suppressAutoHyphens/>
        <w:jc w:val="both"/>
        <w:rPr>
          <w:rFonts w:ascii="Arial" w:hAnsi="Arial" w:cs="Arial"/>
          <w:lang w:val="sk-SK"/>
        </w:rPr>
      </w:pPr>
    </w:p>
    <w:p w14:paraId="02F0ABFD" w14:textId="51C007A7" w:rsidR="00A25607" w:rsidRPr="00226892" w:rsidRDefault="00A25607" w:rsidP="001C5911">
      <w:pPr>
        <w:suppressAutoHyphens/>
        <w:jc w:val="both"/>
        <w:rPr>
          <w:rFonts w:ascii="Arial" w:hAnsi="Arial" w:cs="Arial"/>
          <w:lang w:val="sk-SK"/>
        </w:rPr>
      </w:pPr>
      <w:r w:rsidRPr="00226892">
        <w:rPr>
          <w:rFonts w:ascii="Arial" w:hAnsi="Arial" w:cs="Arial"/>
          <w:lang w:val="sk-SK"/>
        </w:rPr>
        <w:t xml:space="preserve">Pre hodnotenie úverovej kvality Skupina využíva </w:t>
      </w:r>
      <w:r w:rsidR="0040787C" w:rsidRPr="00226892">
        <w:rPr>
          <w:rFonts w:ascii="Arial" w:hAnsi="Arial" w:cs="Arial"/>
          <w:lang w:val="sk-SK"/>
        </w:rPr>
        <w:t xml:space="preserve">dlhodobý </w:t>
      </w:r>
      <w:r w:rsidRPr="00226892">
        <w:rPr>
          <w:rFonts w:ascii="Arial" w:hAnsi="Arial" w:cs="Arial"/>
          <w:lang w:val="sk-SK"/>
        </w:rPr>
        <w:t xml:space="preserve">rating ratingovej agentúry </w:t>
      </w:r>
      <w:proofErr w:type="spellStart"/>
      <w:r w:rsidRPr="00226892">
        <w:rPr>
          <w:rFonts w:ascii="Arial" w:hAnsi="Arial" w:cs="Arial"/>
          <w:lang w:val="sk-SK"/>
        </w:rPr>
        <w:t>Moody´s</w:t>
      </w:r>
      <w:proofErr w:type="spellEnd"/>
      <w:r w:rsidRPr="00226892">
        <w:rPr>
          <w:rFonts w:ascii="Arial" w:hAnsi="Arial" w:cs="Arial"/>
          <w:lang w:val="sk-SK"/>
        </w:rPr>
        <w:t xml:space="preserve"> so stupnicou od </w:t>
      </w:r>
      <w:proofErr w:type="spellStart"/>
      <w:r w:rsidRPr="00226892">
        <w:rPr>
          <w:rFonts w:ascii="Arial" w:hAnsi="Arial" w:cs="Arial"/>
          <w:lang w:val="sk-SK"/>
        </w:rPr>
        <w:t>A</w:t>
      </w:r>
      <w:r w:rsidR="0040787C" w:rsidRPr="00226892">
        <w:rPr>
          <w:rFonts w:ascii="Arial" w:hAnsi="Arial" w:cs="Arial"/>
          <w:lang w:val="sk-SK"/>
        </w:rPr>
        <w:t>aa</w:t>
      </w:r>
      <w:proofErr w:type="spellEnd"/>
      <w:r w:rsidR="0040787C" w:rsidRPr="00226892">
        <w:rPr>
          <w:rFonts w:ascii="Arial" w:hAnsi="Arial" w:cs="Arial"/>
          <w:lang w:val="sk-SK"/>
        </w:rPr>
        <w:t> do C</w:t>
      </w:r>
      <w:r w:rsidRPr="00226892">
        <w:rPr>
          <w:rFonts w:ascii="Arial" w:hAnsi="Arial" w:cs="Arial"/>
          <w:lang w:val="sk-SK"/>
        </w:rPr>
        <w:t xml:space="preserve">. Rating </w:t>
      </w:r>
      <w:proofErr w:type="spellStart"/>
      <w:r w:rsidRPr="00226892">
        <w:rPr>
          <w:rFonts w:ascii="Arial" w:hAnsi="Arial" w:cs="Arial"/>
          <w:lang w:val="sk-SK"/>
        </w:rPr>
        <w:t>A</w:t>
      </w:r>
      <w:r w:rsidR="0040787C" w:rsidRPr="00226892">
        <w:rPr>
          <w:rFonts w:ascii="Arial" w:hAnsi="Arial" w:cs="Arial"/>
          <w:lang w:val="sk-SK"/>
        </w:rPr>
        <w:t>aa</w:t>
      </w:r>
      <w:proofErr w:type="spellEnd"/>
      <w:r w:rsidRPr="00226892">
        <w:rPr>
          <w:rFonts w:ascii="Arial" w:hAnsi="Arial" w:cs="Arial"/>
          <w:lang w:val="sk-SK"/>
        </w:rPr>
        <w:t xml:space="preserve"> predstavuje najvyšší rating. Definícia tohto ratingového hodnotenia je k dispozícii na web stránke agentúry </w:t>
      </w:r>
      <w:proofErr w:type="spellStart"/>
      <w:r w:rsidRPr="00226892">
        <w:rPr>
          <w:rFonts w:ascii="Arial" w:hAnsi="Arial" w:cs="Arial"/>
          <w:lang w:val="sk-SK"/>
        </w:rPr>
        <w:t>Moody´s</w:t>
      </w:r>
      <w:proofErr w:type="spellEnd"/>
      <w:r w:rsidRPr="00226892">
        <w:rPr>
          <w:rFonts w:ascii="Arial" w:hAnsi="Arial" w:cs="Arial"/>
          <w:lang w:val="sk-SK"/>
        </w:rPr>
        <w:t>.</w:t>
      </w:r>
    </w:p>
    <w:p w14:paraId="6602C3BA" w14:textId="079F9468" w:rsidR="00A25607" w:rsidRPr="00226892" w:rsidRDefault="00147809" w:rsidP="001C5911">
      <w:pPr>
        <w:jc w:val="both"/>
        <w:rPr>
          <w:rFonts w:ascii="Arial" w:eastAsia="Arial Unicode MS" w:hAnsi="Arial" w:cs="Arial"/>
          <w:color w:val="000000"/>
          <w:lang w:val="sk-SK" w:eastAsia="sk-SK"/>
        </w:rPr>
      </w:pPr>
      <w:r w:rsidRPr="00226892">
        <w:rPr>
          <w:rFonts w:ascii="Arial" w:eastAsia="Arial Unicode MS" w:hAnsi="Arial" w:cs="Arial"/>
          <w:color w:val="000000"/>
          <w:lang w:val="sk-SK" w:eastAsia="sk-SK"/>
        </w:rPr>
        <w:t xml:space="preserve">Pre banku Slovenská sporiteľňa, </w:t>
      </w:r>
      <w:proofErr w:type="spellStart"/>
      <w:r w:rsidRPr="00226892">
        <w:rPr>
          <w:rFonts w:ascii="Arial" w:eastAsia="Arial Unicode MS" w:hAnsi="Arial" w:cs="Arial"/>
          <w:color w:val="000000"/>
          <w:lang w:val="sk-SK" w:eastAsia="sk-SK"/>
        </w:rPr>
        <w:t>a.s</w:t>
      </w:r>
      <w:proofErr w:type="spellEnd"/>
      <w:r w:rsidRPr="00226892">
        <w:rPr>
          <w:rFonts w:ascii="Arial" w:eastAsia="Arial Unicode MS" w:hAnsi="Arial" w:cs="Arial"/>
          <w:color w:val="000000"/>
          <w:lang w:val="sk-SK" w:eastAsia="sk-SK"/>
        </w:rPr>
        <w:t>. využíva r</w:t>
      </w:r>
      <w:r w:rsidR="00A25607" w:rsidRPr="00226892">
        <w:rPr>
          <w:rFonts w:ascii="Arial" w:eastAsia="Arial Unicode MS" w:hAnsi="Arial" w:cs="Arial"/>
          <w:color w:val="000000"/>
          <w:lang w:val="sk-SK" w:eastAsia="sk-SK"/>
        </w:rPr>
        <w:t xml:space="preserve">ating pre </w:t>
      </w:r>
      <w:r w:rsidR="0040787C" w:rsidRPr="00226892">
        <w:rPr>
          <w:rFonts w:ascii="Arial" w:eastAsia="Arial Unicode MS" w:hAnsi="Arial" w:cs="Arial"/>
          <w:color w:val="000000"/>
          <w:lang w:val="sk-SK" w:eastAsia="sk-SK"/>
        </w:rPr>
        <w:t>materskú</w:t>
      </w:r>
      <w:r w:rsidRPr="00226892">
        <w:rPr>
          <w:rFonts w:ascii="Arial" w:eastAsia="Arial Unicode MS" w:hAnsi="Arial" w:cs="Arial"/>
          <w:color w:val="000000"/>
          <w:lang w:val="sk-SK" w:eastAsia="sk-SK"/>
        </w:rPr>
        <w:t xml:space="preserve"> banku</w:t>
      </w:r>
      <w:r w:rsidR="0040787C" w:rsidRPr="00226892">
        <w:rPr>
          <w:rFonts w:ascii="Arial" w:eastAsia="Arial Unicode MS" w:hAnsi="Arial" w:cs="Arial"/>
          <w:color w:val="000000"/>
          <w:lang w:val="sk-SK" w:eastAsia="sk-SK"/>
        </w:rPr>
        <w:t xml:space="preserve"> Erste Group Bank AG.</w:t>
      </w:r>
    </w:p>
    <w:p w14:paraId="5FEE31A4" w14:textId="77777777" w:rsidR="006F606A" w:rsidRPr="00226892" w:rsidRDefault="006F606A" w:rsidP="001C5911">
      <w:pPr>
        <w:jc w:val="both"/>
        <w:rPr>
          <w:rFonts w:ascii="Arial" w:eastAsia="Arial Unicode MS" w:hAnsi="Arial" w:cs="Arial"/>
          <w:color w:val="000000"/>
          <w:lang w:val="sk-SK" w:eastAsia="sk-SK"/>
        </w:rPr>
      </w:pPr>
    </w:p>
    <w:p w14:paraId="2F6AB355" w14:textId="4FF33ACB" w:rsidR="00A25607" w:rsidRPr="00226892" w:rsidRDefault="00A25607" w:rsidP="001C5911">
      <w:pPr>
        <w:suppressAutoHyphens/>
        <w:jc w:val="both"/>
        <w:rPr>
          <w:rFonts w:ascii="Arial" w:hAnsi="Arial" w:cs="Arial"/>
          <w:lang w:val="sk-SK"/>
        </w:rPr>
      </w:pPr>
      <w:r w:rsidRPr="00226892">
        <w:rPr>
          <w:rFonts w:ascii="Arial" w:hAnsi="Arial" w:cs="Arial"/>
          <w:lang w:val="sk-SK"/>
        </w:rPr>
        <w:lastRenderedPageBreak/>
        <w:t>Počas účtovného obdobia neboli prekročené žiadne úverové limity a vedenie nepredpokladá žiadne významné straty z nedodržania zmluvných podmienok protistranami.</w:t>
      </w:r>
    </w:p>
    <w:p w14:paraId="2B6E9D45" w14:textId="77777777" w:rsidR="00A25607" w:rsidRPr="00226892" w:rsidRDefault="00A25607" w:rsidP="001C5911">
      <w:pPr>
        <w:rPr>
          <w:rFonts w:ascii="Arial" w:hAnsi="Arial" w:cs="Arial"/>
          <w:lang w:val="sk-SK"/>
        </w:rPr>
      </w:pPr>
    </w:p>
    <w:p w14:paraId="6F3C214A" w14:textId="08DABB46" w:rsidR="00947556" w:rsidRPr="00226892" w:rsidRDefault="00A25607" w:rsidP="001C5911">
      <w:pPr>
        <w:pStyle w:val="ABC-paragrahinNotes"/>
        <w:suppressAutoHyphens/>
        <w:spacing w:after="0" w:line="228" w:lineRule="auto"/>
        <w:rPr>
          <w:rFonts w:cs="Arial"/>
          <w:sz w:val="20"/>
          <w:lang w:val="sk-SK"/>
        </w:rPr>
      </w:pPr>
      <w:r w:rsidRPr="00226892">
        <w:rPr>
          <w:rFonts w:cs="Arial"/>
          <w:sz w:val="20"/>
          <w:lang w:val="sk-SK"/>
        </w:rPr>
        <w:t>Analýza finančných aktív pred zohľadnením opravných položiek k pohľadávkam (v tis. EUR):</w:t>
      </w:r>
    </w:p>
    <w:p w14:paraId="4A4F1F61" w14:textId="77777777" w:rsidR="003231BD" w:rsidRPr="00226892" w:rsidRDefault="003231BD" w:rsidP="00FD21B8">
      <w:pPr>
        <w:pStyle w:val="ABC-paragrahinNotes"/>
        <w:suppressAutoHyphens/>
        <w:spacing w:after="0" w:line="228" w:lineRule="auto"/>
        <w:ind w:left="357"/>
        <w:rPr>
          <w:rFonts w:cs="Arial"/>
          <w:lang w:val="sk-SK"/>
        </w:rPr>
      </w:pPr>
    </w:p>
    <w:tbl>
      <w:tblPr>
        <w:tblW w:w="5000" w:type="pct"/>
        <w:tblCellMar>
          <w:left w:w="70" w:type="dxa"/>
          <w:right w:w="70" w:type="dxa"/>
        </w:tblCellMar>
        <w:tblLook w:val="04A0" w:firstRow="1" w:lastRow="0" w:firstColumn="1" w:lastColumn="0" w:noHBand="0" w:noVBand="1"/>
      </w:tblPr>
      <w:tblGrid>
        <w:gridCol w:w="4287"/>
        <w:gridCol w:w="1197"/>
        <w:gridCol w:w="202"/>
        <w:gridCol w:w="1319"/>
        <w:gridCol w:w="197"/>
        <w:gridCol w:w="1189"/>
        <w:gridCol w:w="197"/>
        <w:gridCol w:w="1051"/>
      </w:tblGrid>
      <w:tr w:rsidR="004B4E50" w:rsidRPr="0086157C" w14:paraId="1B63AD49" w14:textId="77777777" w:rsidTr="001C5911">
        <w:trPr>
          <w:trHeight w:val="227"/>
        </w:trPr>
        <w:tc>
          <w:tcPr>
            <w:tcW w:w="2224" w:type="pct"/>
            <w:tcBorders>
              <w:top w:val="nil"/>
              <w:left w:val="nil"/>
              <w:bottom w:val="single" w:sz="4" w:space="0" w:color="auto"/>
              <w:right w:val="nil"/>
            </w:tcBorders>
            <w:shd w:val="clear" w:color="auto" w:fill="auto"/>
            <w:vAlign w:val="bottom"/>
            <w:hideMark/>
          </w:tcPr>
          <w:p w14:paraId="4BF0AD65" w14:textId="27814F0C" w:rsidR="002E7456" w:rsidRPr="0086157C" w:rsidRDefault="002E7456" w:rsidP="002E7456">
            <w:pPr>
              <w:rPr>
                <w:rFonts w:ascii="Arial" w:eastAsia="Times New Roman" w:hAnsi="Arial" w:cs="Arial"/>
                <w:b/>
                <w:bCs/>
                <w:color w:val="000000"/>
                <w:sz w:val="18"/>
                <w:szCs w:val="18"/>
                <w:lang w:val="sk-SK" w:eastAsia="sk-SK"/>
              </w:rPr>
            </w:pPr>
            <w:bookmarkStart w:id="193" w:name="RANGE!C2:K9"/>
            <w:r w:rsidRPr="0086157C">
              <w:rPr>
                <w:rFonts w:ascii="Arial" w:eastAsia="Times New Roman" w:hAnsi="Arial" w:cs="Arial"/>
                <w:b/>
                <w:bCs/>
                <w:color w:val="000000"/>
                <w:sz w:val="18"/>
                <w:szCs w:val="18"/>
                <w:lang w:val="sk-SK" w:eastAsia="sk-SK"/>
              </w:rPr>
              <w:t xml:space="preserve">31. december </w:t>
            </w:r>
            <w:bookmarkEnd w:id="193"/>
            <w:r w:rsidR="00FD3AC5" w:rsidRPr="0086157C">
              <w:rPr>
                <w:rFonts w:ascii="Arial" w:eastAsia="Times New Roman" w:hAnsi="Arial" w:cs="Arial"/>
                <w:b/>
                <w:bCs/>
                <w:color w:val="000000"/>
                <w:sz w:val="18"/>
                <w:szCs w:val="18"/>
                <w:lang w:val="sk-SK" w:eastAsia="sk-SK"/>
              </w:rPr>
              <w:t>2018</w:t>
            </w:r>
          </w:p>
        </w:tc>
        <w:tc>
          <w:tcPr>
            <w:tcW w:w="621" w:type="pct"/>
            <w:tcBorders>
              <w:top w:val="nil"/>
              <w:left w:val="nil"/>
              <w:bottom w:val="single" w:sz="4" w:space="0" w:color="auto"/>
              <w:right w:val="nil"/>
            </w:tcBorders>
            <w:shd w:val="clear" w:color="auto" w:fill="auto"/>
            <w:vAlign w:val="bottom"/>
            <w:hideMark/>
          </w:tcPr>
          <w:p w14:paraId="7F504978" w14:textId="59D80CC0" w:rsidR="002E7456" w:rsidRPr="0086157C" w:rsidRDefault="002E7456" w:rsidP="002E7456">
            <w:pPr>
              <w:jc w:val="center"/>
              <w:rPr>
                <w:rFonts w:ascii="Arial" w:eastAsia="Times New Roman" w:hAnsi="Arial" w:cs="Arial"/>
                <w:b/>
                <w:bCs/>
                <w:color w:val="000000"/>
                <w:sz w:val="18"/>
                <w:szCs w:val="18"/>
                <w:lang w:val="sk-SK" w:eastAsia="sk-SK"/>
              </w:rPr>
            </w:pPr>
            <w:r w:rsidRPr="0086157C">
              <w:rPr>
                <w:rFonts w:ascii="Arial" w:eastAsia="Times New Roman" w:hAnsi="Arial" w:cs="Arial"/>
                <w:b/>
                <w:bCs/>
                <w:color w:val="000000"/>
                <w:sz w:val="18"/>
                <w:szCs w:val="18"/>
                <w:lang w:val="sk-SK" w:eastAsia="sk-SK"/>
              </w:rPr>
              <w:t xml:space="preserve">Finančné aktíva do splatnosti </w:t>
            </w:r>
          </w:p>
        </w:tc>
        <w:tc>
          <w:tcPr>
            <w:tcW w:w="105" w:type="pct"/>
            <w:tcBorders>
              <w:top w:val="nil"/>
              <w:left w:val="nil"/>
              <w:bottom w:val="single" w:sz="4" w:space="0" w:color="auto"/>
              <w:right w:val="nil"/>
            </w:tcBorders>
            <w:shd w:val="clear" w:color="auto" w:fill="auto"/>
            <w:vAlign w:val="bottom"/>
            <w:hideMark/>
          </w:tcPr>
          <w:p w14:paraId="461F87B0" w14:textId="77777777" w:rsidR="002E7456" w:rsidRPr="0086157C" w:rsidRDefault="002E7456" w:rsidP="002E7456">
            <w:pPr>
              <w:jc w:val="center"/>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 </w:t>
            </w:r>
          </w:p>
        </w:tc>
        <w:tc>
          <w:tcPr>
            <w:tcW w:w="684" w:type="pct"/>
            <w:tcBorders>
              <w:top w:val="nil"/>
              <w:left w:val="nil"/>
              <w:bottom w:val="single" w:sz="4" w:space="0" w:color="auto"/>
              <w:right w:val="nil"/>
            </w:tcBorders>
            <w:shd w:val="clear" w:color="auto" w:fill="auto"/>
            <w:vAlign w:val="bottom"/>
            <w:hideMark/>
          </w:tcPr>
          <w:p w14:paraId="42A557F5" w14:textId="506E0302" w:rsidR="002E7456" w:rsidRPr="0086157C" w:rsidRDefault="002E7456" w:rsidP="002E7456">
            <w:pPr>
              <w:jc w:val="center"/>
              <w:rPr>
                <w:rFonts w:ascii="Arial" w:eastAsia="Times New Roman" w:hAnsi="Arial" w:cs="Arial"/>
                <w:b/>
                <w:bCs/>
                <w:color w:val="000000"/>
                <w:sz w:val="18"/>
                <w:szCs w:val="18"/>
                <w:lang w:val="sk-SK" w:eastAsia="sk-SK"/>
              </w:rPr>
            </w:pPr>
            <w:r w:rsidRPr="0086157C">
              <w:rPr>
                <w:rFonts w:ascii="Arial" w:eastAsia="Times New Roman" w:hAnsi="Arial" w:cs="Arial"/>
                <w:b/>
                <w:bCs/>
                <w:color w:val="000000"/>
                <w:sz w:val="18"/>
                <w:szCs w:val="18"/>
                <w:lang w:val="sk-SK" w:eastAsia="sk-SK"/>
              </w:rPr>
              <w:t xml:space="preserve">Finančné aktíva po splatnosti bez zníženia hodnoty </w:t>
            </w:r>
          </w:p>
        </w:tc>
        <w:tc>
          <w:tcPr>
            <w:tcW w:w="102" w:type="pct"/>
            <w:tcBorders>
              <w:top w:val="nil"/>
              <w:left w:val="nil"/>
              <w:bottom w:val="single" w:sz="4" w:space="0" w:color="auto"/>
              <w:right w:val="nil"/>
            </w:tcBorders>
            <w:shd w:val="clear" w:color="auto" w:fill="auto"/>
            <w:vAlign w:val="bottom"/>
            <w:hideMark/>
          </w:tcPr>
          <w:p w14:paraId="5C2C36DB" w14:textId="77777777" w:rsidR="002E7456" w:rsidRPr="0086157C" w:rsidRDefault="002E7456" w:rsidP="002E7456">
            <w:pPr>
              <w:jc w:val="center"/>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 </w:t>
            </w:r>
          </w:p>
        </w:tc>
        <w:tc>
          <w:tcPr>
            <w:tcW w:w="617" w:type="pct"/>
            <w:tcBorders>
              <w:top w:val="nil"/>
              <w:left w:val="nil"/>
              <w:bottom w:val="single" w:sz="4" w:space="0" w:color="auto"/>
              <w:right w:val="nil"/>
            </w:tcBorders>
            <w:shd w:val="clear" w:color="auto" w:fill="auto"/>
            <w:vAlign w:val="bottom"/>
            <w:hideMark/>
          </w:tcPr>
          <w:p w14:paraId="27415C22" w14:textId="277634BA" w:rsidR="002E7456" w:rsidRPr="0086157C" w:rsidRDefault="002E7456" w:rsidP="002E7456">
            <w:pPr>
              <w:jc w:val="center"/>
              <w:rPr>
                <w:rFonts w:ascii="Arial" w:eastAsia="Times New Roman" w:hAnsi="Arial" w:cs="Arial"/>
                <w:b/>
                <w:bCs/>
                <w:color w:val="000000"/>
                <w:sz w:val="18"/>
                <w:szCs w:val="18"/>
                <w:lang w:val="sk-SK" w:eastAsia="sk-SK"/>
              </w:rPr>
            </w:pPr>
            <w:r w:rsidRPr="0086157C">
              <w:rPr>
                <w:rFonts w:ascii="Arial" w:eastAsia="Times New Roman" w:hAnsi="Arial" w:cs="Arial"/>
                <w:b/>
                <w:bCs/>
                <w:color w:val="000000"/>
                <w:sz w:val="18"/>
                <w:szCs w:val="18"/>
                <w:lang w:val="sk-SK" w:eastAsia="sk-SK"/>
              </w:rPr>
              <w:t xml:space="preserve">Finančné aktíva so znížením hodnoty </w:t>
            </w:r>
          </w:p>
        </w:tc>
        <w:tc>
          <w:tcPr>
            <w:tcW w:w="102" w:type="pct"/>
            <w:tcBorders>
              <w:top w:val="nil"/>
              <w:left w:val="nil"/>
              <w:bottom w:val="single" w:sz="4" w:space="0" w:color="auto"/>
              <w:right w:val="nil"/>
            </w:tcBorders>
            <w:shd w:val="clear" w:color="auto" w:fill="auto"/>
            <w:vAlign w:val="bottom"/>
            <w:hideMark/>
          </w:tcPr>
          <w:p w14:paraId="11783F66" w14:textId="77777777" w:rsidR="002E7456" w:rsidRPr="0086157C" w:rsidRDefault="002E7456" w:rsidP="002E7456">
            <w:pPr>
              <w:jc w:val="center"/>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 </w:t>
            </w:r>
          </w:p>
        </w:tc>
        <w:tc>
          <w:tcPr>
            <w:tcW w:w="545" w:type="pct"/>
            <w:tcBorders>
              <w:top w:val="nil"/>
              <w:left w:val="nil"/>
              <w:bottom w:val="single" w:sz="4" w:space="0" w:color="auto"/>
              <w:right w:val="nil"/>
            </w:tcBorders>
            <w:shd w:val="clear" w:color="auto" w:fill="auto"/>
            <w:vAlign w:val="bottom"/>
            <w:hideMark/>
          </w:tcPr>
          <w:p w14:paraId="4D24E4A0" w14:textId="7CD1849B" w:rsidR="002E7456" w:rsidRPr="0086157C" w:rsidRDefault="002E7456" w:rsidP="002E7456">
            <w:pPr>
              <w:jc w:val="center"/>
              <w:rPr>
                <w:rFonts w:ascii="Arial" w:eastAsia="Times New Roman" w:hAnsi="Arial" w:cs="Arial"/>
                <w:b/>
                <w:bCs/>
                <w:color w:val="000000"/>
                <w:sz w:val="18"/>
                <w:szCs w:val="18"/>
                <w:lang w:val="sk-SK" w:eastAsia="sk-SK"/>
              </w:rPr>
            </w:pPr>
            <w:r w:rsidRPr="0086157C">
              <w:rPr>
                <w:rFonts w:ascii="Arial" w:eastAsia="Times New Roman" w:hAnsi="Arial" w:cs="Arial"/>
                <w:b/>
                <w:bCs/>
                <w:color w:val="000000"/>
                <w:sz w:val="18"/>
                <w:szCs w:val="18"/>
                <w:lang w:val="sk-SK" w:eastAsia="sk-SK"/>
              </w:rPr>
              <w:t xml:space="preserve">Celkom </w:t>
            </w:r>
          </w:p>
        </w:tc>
      </w:tr>
      <w:tr w:rsidR="004B4E50" w:rsidRPr="0086157C" w14:paraId="5BD85394" w14:textId="77777777" w:rsidTr="001C5911">
        <w:trPr>
          <w:trHeight w:val="227"/>
        </w:trPr>
        <w:tc>
          <w:tcPr>
            <w:tcW w:w="2224" w:type="pct"/>
            <w:tcBorders>
              <w:top w:val="nil"/>
              <w:left w:val="nil"/>
              <w:bottom w:val="nil"/>
              <w:right w:val="nil"/>
            </w:tcBorders>
            <w:shd w:val="clear" w:color="auto" w:fill="auto"/>
            <w:vAlign w:val="bottom"/>
            <w:hideMark/>
          </w:tcPr>
          <w:p w14:paraId="02AEDF43" w14:textId="77777777" w:rsidR="004B4E50" w:rsidRPr="0086157C" w:rsidRDefault="002E7456" w:rsidP="002E7456">
            <w:pPr>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 xml:space="preserve">Pohľadávky z obchodného styku </w:t>
            </w:r>
          </w:p>
          <w:p w14:paraId="59FB9738" w14:textId="0B3B000D" w:rsidR="002E7456" w:rsidRPr="0086157C" w:rsidRDefault="002E7456" w:rsidP="002E7456">
            <w:pPr>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w:t>
            </w:r>
            <w:r w:rsidR="00122BD0" w:rsidRPr="0086157C">
              <w:rPr>
                <w:rFonts w:ascii="Arial" w:eastAsia="Times New Roman" w:hAnsi="Arial" w:cs="Arial"/>
                <w:color w:val="000000"/>
                <w:sz w:val="18"/>
                <w:szCs w:val="18"/>
                <w:lang w:val="sk-SK" w:eastAsia="sk-SK"/>
              </w:rPr>
              <w:t>krátkodobé a dlhodobé) (Pozn. 1</w:t>
            </w:r>
            <w:r w:rsidR="00BE6991" w:rsidRPr="0086157C">
              <w:rPr>
                <w:rFonts w:ascii="Arial" w:eastAsia="Times New Roman" w:hAnsi="Arial" w:cs="Arial"/>
                <w:color w:val="000000"/>
                <w:sz w:val="18"/>
                <w:szCs w:val="18"/>
                <w:lang w:val="sk-SK" w:eastAsia="sk-SK"/>
              </w:rPr>
              <w:t>0</w:t>
            </w:r>
            <w:r w:rsidRPr="0086157C">
              <w:rPr>
                <w:rFonts w:ascii="Arial" w:eastAsia="Times New Roman" w:hAnsi="Arial" w:cs="Arial"/>
                <w:color w:val="000000"/>
                <w:sz w:val="18"/>
                <w:szCs w:val="18"/>
                <w:lang w:val="sk-SK" w:eastAsia="sk-SK"/>
              </w:rPr>
              <w:t>)</w:t>
            </w:r>
          </w:p>
        </w:tc>
        <w:tc>
          <w:tcPr>
            <w:tcW w:w="621" w:type="pct"/>
            <w:tcBorders>
              <w:top w:val="nil"/>
              <w:left w:val="nil"/>
              <w:bottom w:val="nil"/>
              <w:right w:val="nil"/>
            </w:tcBorders>
            <w:shd w:val="clear" w:color="auto" w:fill="auto"/>
            <w:vAlign w:val="bottom"/>
          </w:tcPr>
          <w:p w14:paraId="2917B9D3" w14:textId="22B922B0" w:rsidR="002E7456" w:rsidRPr="0086157C" w:rsidRDefault="008915C0" w:rsidP="00FD21B8">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2</w:t>
            </w:r>
            <w:r w:rsidR="00FC74F8" w:rsidRPr="0086157C">
              <w:rPr>
                <w:rFonts w:ascii="Arial" w:eastAsia="Times New Roman" w:hAnsi="Arial" w:cs="Arial"/>
                <w:color w:val="000000"/>
                <w:sz w:val="18"/>
                <w:szCs w:val="18"/>
                <w:lang w:val="sk-SK" w:eastAsia="sk-SK"/>
              </w:rPr>
              <w:t>3</w:t>
            </w:r>
            <w:r w:rsidR="00571169" w:rsidRPr="0086157C">
              <w:rPr>
                <w:rFonts w:ascii="Arial" w:eastAsia="Times New Roman" w:hAnsi="Arial" w:cs="Arial"/>
                <w:color w:val="000000"/>
                <w:sz w:val="18"/>
                <w:szCs w:val="18"/>
                <w:lang w:val="sk-SK" w:eastAsia="sk-SK"/>
              </w:rPr>
              <w:t xml:space="preserve"> </w:t>
            </w:r>
            <w:r w:rsidR="00FC74F8" w:rsidRPr="0086157C">
              <w:rPr>
                <w:rFonts w:ascii="Arial" w:eastAsia="Times New Roman" w:hAnsi="Arial" w:cs="Arial"/>
                <w:color w:val="000000"/>
                <w:sz w:val="18"/>
                <w:szCs w:val="18"/>
                <w:lang w:val="sk-SK" w:eastAsia="sk-SK"/>
              </w:rPr>
              <w:t>136</w:t>
            </w:r>
          </w:p>
        </w:tc>
        <w:tc>
          <w:tcPr>
            <w:tcW w:w="105" w:type="pct"/>
            <w:tcBorders>
              <w:top w:val="nil"/>
              <w:left w:val="nil"/>
              <w:bottom w:val="nil"/>
              <w:right w:val="nil"/>
            </w:tcBorders>
            <w:shd w:val="clear" w:color="auto" w:fill="auto"/>
            <w:vAlign w:val="bottom"/>
          </w:tcPr>
          <w:p w14:paraId="0E408B8D" w14:textId="77777777" w:rsidR="002E7456" w:rsidRPr="0086157C" w:rsidRDefault="002E7456" w:rsidP="00FD21B8">
            <w:pPr>
              <w:jc w:val="right"/>
              <w:rPr>
                <w:rFonts w:ascii="Arial" w:eastAsia="Times New Roman" w:hAnsi="Arial" w:cs="Arial"/>
                <w:color w:val="000000"/>
                <w:sz w:val="18"/>
                <w:szCs w:val="18"/>
                <w:lang w:val="sk-SK" w:eastAsia="sk-SK"/>
              </w:rPr>
            </w:pPr>
          </w:p>
        </w:tc>
        <w:tc>
          <w:tcPr>
            <w:tcW w:w="684" w:type="pct"/>
            <w:tcBorders>
              <w:top w:val="nil"/>
              <w:left w:val="nil"/>
              <w:bottom w:val="nil"/>
              <w:right w:val="nil"/>
            </w:tcBorders>
            <w:shd w:val="clear" w:color="auto" w:fill="auto"/>
            <w:vAlign w:val="bottom"/>
          </w:tcPr>
          <w:p w14:paraId="5D366707" w14:textId="057532C7" w:rsidR="002E7456" w:rsidRPr="0086157C" w:rsidRDefault="008915C0" w:rsidP="00FD21B8">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1 586</w:t>
            </w:r>
          </w:p>
        </w:tc>
        <w:tc>
          <w:tcPr>
            <w:tcW w:w="102" w:type="pct"/>
            <w:tcBorders>
              <w:top w:val="nil"/>
              <w:left w:val="nil"/>
              <w:bottom w:val="nil"/>
              <w:right w:val="nil"/>
            </w:tcBorders>
            <w:shd w:val="clear" w:color="auto" w:fill="auto"/>
            <w:vAlign w:val="bottom"/>
          </w:tcPr>
          <w:p w14:paraId="0B1B6A56" w14:textId="77777777" w:rsidR="002E7456" w:rsidRPr="0086157C" w:rsidRDefault="002E7456" w:rsidP="00FD21B8">
            <w:pPr>
              <w:jc w:val="right"/>
              <w:rPr>
                <w:rFonts w:ascii="Arial" w:eastAsia="Times New Roman" w:hAnsi="Arial" w:cs="Arial"/>
                <w:color w:val="000000"/>
                <w:sz w:val="18"/>
                <w:szCs w:val="18"/>
                <w:lang w:val="sk-SK" w:eastAsia="sk-SK"/>
              </w:rPr>
            </w:pPr>
          </w:p>
        </w:tc>
        <w:tc>
          <w:tcPr>
            <w:tcW w:w="617" w:type="pct"/>
            <w:tcBorders>
              <w:top w:val="nil"/>
              <w:left w:val="nil"/>
              <w:bottom w:val="nil"/>
              <w:right w:val="nil"/>
            </w:tcBorders>
            <w:shd w:val="clear" w:color="auto" w:fill="auto"/>
            <w:vAlign w:val="bottom"/>
          </w:tcPr>
          <w:p w14:paraId="35CB2335" w14:textId="7C29AA5F" w:rsidR="002E7456" w:rsidRPr="0086157C" w:rsidRDefault="008915C0" w:rsidP="00FD21B8">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w:t>
            </w:r>
          </w:p>
        </w:tc>
        <w:tc>
          <w:tcPr>
            <w:tcW w:w="102" w:type="pct"/>
            <w:tcBorders>
              <w:top w:val="nil"/>
              <w:left w:val="nil"/>
              <w:bottom w:val="nil"/>
              <w:right w:val="nil"/>
            </w:tcBorders>
            <w:shd w:val="clear" w:color="auto" w:fill="auto"/>
            <w:vAlign w:val="bottom"/>
          </w:tcPr>
          <w:p w14:paraId="4D128A69" w14:textId="77777777" w:rsidR="002E7456" w:rsidRPr="0086157C" w:rsidRDefault="002E7456" w:rsidP="00FD21B8">
            <w:pPr>
              <w:jc w:val="right"/>
              <w:rPr>
                <w:rFonts w:ascii="Arial" w:eastAsia="Times New Roman" w:hAnsi="Arial" w:cs="Arial"/>
                <w:color w:val="000000"/>
                <w:sz w:val="18"/>
                <w:szCs w:val="18"/>
                <w:lang w:val="sk-SK" w:eastAsia="sk-SK"/>
              </w:rPr>
            </w:pPr>
          </w:p>
        </w:tc>
        <w:tc>
          <w:tcPr>
            <w:tcW w:w="545" w:type="pct"/>
            <w:tcBorders>
              <w:top w:val="nil"/>
              <w:left w:val="nil"/>
              <w:bottom w:val="nil"/>
              <w:right w:val="nil"/>
            </w:tcBorders>
            <w:shd w:val="clear" w:color="auto" w:fill="auto"/>
            <w:vAlign w:val="bottom"/>
          </w:tcPr>
          <w:p w14:paraId="5B54B609" w14:textId="14A02724" w:rsidR="002E7456" w:rsidRPr="0086157C" w:rsidRDefault="00571169" w:rsidP="00FD21B8">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 xml:space="preserve">24 </w:t>
            </w:r>
            <w:r w:rsidR="00FC74F8" w:rsidRPr="0086157C">
              <w:rPr>
                <w:rFonts w:ascii="Arial" w:eastAsia="Times New Roman" w:hAnsi="Arial" w:cs="Arial"/>
                <w:color w:val="000000"/>
                <w:sz w:val="18"/>
                <w:szCs w:val="18"/>
                <w:lang w:val="sk-SK" w:eastAsia="sk-SK"/>
              </w:rPr>
              <w:t>722</w:t>
            </w:r>
          </w:p>
        </w:tc>
      </w:tr>
      <w:tr w:rsidR="004B4E50" w:rsidRPr="0086157C" w14:paraId="12AD5CAE" w14:textId="77777777" w:rsidTr="001C5911">
        <w:trPr>
          <w:trHeight w:val="227"/>
        </w:trPr>
        <w:tc>
          <w:tcPr>
            <w:tcW w:w="2224" w:type="pct"/>
            <w:tcBorders>
              <w:top w:val="nil"/>
              <w:left w:val="nil"/>
              <w:bottom w:val="nil"/>
              <w:right w:val="nil"/>
            </w:tcBorders>
            <w:shd w:val="clear" w:color="auto" w:fill="auto"/>
            <w:vAlign w:val="bottom"/>
            <w:hideMark/>
          </w:tcPr>
          <w:p w14:paraId="150B4C94" w14:textId="7CBF7FCC" w:rsidR="002E7456" w:rsidRPr="0086157C" w:rsidRDefault="00122BD0" w:rsidP="002E7456">
            <w:pPr>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Iné pohľadávky (Pozn. 1</w:t>
            </w:r>
            <w:r w:rsidR="00BE6991" w:rsidRPr="0086157C">
              <w:rPr>
                <w:rFonts w:ascii="Arial" w:eastAsia="Times New Roman" w:hAnsi="Arial" w:cs="Arial"/>
                <w:color w:val="000000"/>
                <w:sz w:val="18"/>
                <w:szCs w:val="18"/>
                <w:lang w:val="sk-SK" w:eastAsia="sk-SK"/>
              </w:rPr>
              <w:t>0</w:t>
            </w:r>
            <w:r w:rsidR="002E7456" w:rsidRPr="0086157C">
              <w:rPr>
                <w:rFonts w:ascii="Arial" w:eastAsia="Times New Roman" w:hAnsi="Arial" w:cs="Arial"/>
                <w:color w:val="000000"/>
                <w:sz w:val="18"/>
                <w:szCs w:val="18"/>
                <w:lang w:val="sk-SK" w:eastAsia="sk-SK"/>
              </w:rPr>
              <w:t>)</w:t>
            </w:r>
          </w:p>
        </w:tc>
        <w:tc>
          <w:tcPr>
            <w:tcW w:w="621" w:type="pct"/>
            <w:tcBorders>
              <w:top w:val="nil"/>
              <w:left w:val="nil"/>
              <w:bottom w:val="nil"/>
              <w:right w:val="nil"/>
            </w:tcBorders>
            <w:shd w:val="clear" w:color="auto" w:fill="auto"/>
            <w:vAlign w:val="bottom"/>
          </w:tcPr>
          <w:p w14:paraId="37AF07D7" w14:textId="168552BF" w:rsidR="002E7456" w:rsidRPr="0086157C" w:rsidRDefault="008915C0" w:rsidP="00FD21B8">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39</w:t>
            </w:r>
          </w:p>
        </w:tc>
        <w:tc>
          <w:tcPr>
            <w:tcW w:w="105" w:type="pct"/>
            <w:tcBorders>
              <w:top w:val="nil"/>
              <w:left w:val="nil"/>
              <w:bottom w:val="nil"/>
              <w:right w:val="nil"/>
            </w:tcBorders>
            <w:shd w:val="clear" w:color="auto" w:fill="auto"/>
            <w:vAlign w:val="bottom"/>
          </w:tcPr>
          <w:p w14:paraId="50CC8DCF" w14:textId="77777777" w:rsidR="002E7456" w:rsidRPr="0086157C" w:rsidRDefault="002E7456" w:rsidP="00FD21B8">
            <w:pPr>
              <w:jc w:val="right"/>
              <w:rPr>
                <w:rFonts w:ascii="Arial" w:eastAsia="Times New Roman" w:hAnsi="Arial" w:cs="Arial"/>
                <w:color w:val="000000"/>
                <w:sz w:val="18"/>
                <w:szCs w:val="18"/>
                <w:lang w:val="sk-SK" w:eastAsia="sk-SK"/>
              </w:rPr>
            </w:pPr>
          </w:p>
        </w:tc>
        <w:tc>
          <w:tcPr>
            <w:tcW w:w="684" w:type="pct"/>
            <w:tcBorders>
              <w:top w:val="nil"/>
              <w:left w:val="nil"/>
              <w:bottom w:val="nil"/>
              <w:right w:val="nil"/>
            </w:tcBorders>
            <w:shd w:val="clear" w:color="auto" w:fill="auto"/>
            <w:vAlign w:val="bottom"/>
          </w:tcPr>
          <w:p w14:paraId="52691BB5" w14:textId="7E7AD7F5" w:rsidR="002E7456" w:rsidRPr="0086157C" w:rsidRDefault="00DD0DDE" w:rsidP="00FD21B8">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w:t>
            </w:r>
          </w:p>
        </w:tc>
        <w:tc>
          <w:tcPr>
            <w:tcW w:w="102" w:type="pct"/>
            <w:tcBorders>
              <w:top w:val="nil"/>
              <w:left w:val="nil"/>
              <w:bottom w:val="nil"/>
              <w:right w:val="nil"/>
            </w:tcBorders>
            <w:shd w:val="clear" w:color="auto" w:fill="auto"/>
            <w:vAlign w:val="bottom"/>
          </w:tcPr>
          <w:p w14:paraId="2558E2F8" w14:textId="77777777" w:rsidR="002E7456" w:rsidRPr="0086157C" w:rsidRDefault="002E7456" w:rsidP="00FD21B8">
            <w:pPr>
              <w:jc w:val="right"/>
              <w:rPr>
                <w:rFonts w:ascii="Arial" w:eastAsia="Times New Roman" w:hAnsi="Arial" w:cs="Arial"/>
                <w:color w:val="000000"/>
                <w:sz w:val="18"/>
                <w:szCs w:val="18"/>
                <w:lang w:val="sk-SK" w:eastAsia="sk-SK"/>
              </w:rPr>
            </w:pPr>
          </w:p>
        </w:tc>
        <w:tc>
          <w:tcPr>
            <w:tcW w:w="617" w:type="pct"/>
            <w:tcBorders>
              <w:top w:val="nil"/>
              <w:left w:val="nil"/>
              <w:bottom w:val="nil"/>
              <w:right w:val="nil"/>
            </w:tcBorders>
            <w:shd w:val="clear" w:color="auto" w:fill="auto"/>
            <w:vAlign w:val="bottom"/>
          </w:tcPr>
          <w:p w14:paraId="5E08135E" w14:textId="689FA0F4" w:rsidR="002E7456" w:rsidRPr="0086157C" w:rsidRDefault="00DD0DDE" w:rsidP="00FD21B8">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w:t>
            </w:r>
          </w:p>
        </w:tc>
        <w:tc>
          <w:tcPr>
            <w:tcW w:w="102" w:type="pct"/>
            <w:tcBorders>
              <w:top w:val="nil"/>
              <w:left w:val="nil"/>
              <w:bottom w:val="nil"/>
              <w:right w:val="nil"/>
            </w:tcBorders>
            <w:shd w:val="clear" w:color="auto" w:fill="auto"/>
            <w:vAlign w:val="bottom"/>
          </w:tcPr>
          <w:p w14:paraId="76DBDDBA" w14:textId="77777777" w:rsidR="002E7456" w:rsidRPr="0086157C" w:rsidRDefault="002E7456" w:rsidP="00FD21B8">
            <w:pPr>
              <w:jc w:val="right"/>
              <w:rPr>
                <w:rFonts w:ascii="Arial" w:eastAsia="Times New Roman" w:hAnsi="Arial" w:cs="Arial"/>
                <w:color w:val="000000"/>
                <w:sz w:val="18"/>
                <w:szCs w:val="18"/>
                <w:lang w:val="sk-SK" w:eastAsia="sk-SK"/>
              </w:rPr>
            </w:pPr>
          </w:p>
        </w:tc>
        <w:tc>
          <w:tcPr>
            <w:tcW w:w="545" w:type="pct"/>
            <w:tcBorders>
              <w:top w:val="nil"/>
              <w:left w:val="nil"/>
              <w:bottom w:val="nil"/>
              <w:right w:val="nil"/>
            </w:tcBorders>
            <w:shd w:val="clear" w:color="auto" w:fill="auto"/>
            <w:vAlign w:val="bottom"/>
          </w:tcPr>
          <w:p w14:paraId="6BD62DF1" w14:textId="6779FD1A" w:rsidR="002E7456" w:rsidRPr="0086157C" w:rsidRDefault="008915C0" w:rsidP="00FD21B8">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39</w:t>
            </w:r>
          </w:p>
        </w:tc>
      </w:tr>
      <w:tr w:rsidR="009D4714" w:rsidRPr="0086157C" w14:paraId="0AA47C35" w14:textId="77777777" w:rsidTr="001C5911">
        <w:trPr>
          <w:trHeight w:val="227"/>
        </w:trPr>
        <w:tc>
          <w:tcPr>
            <w:tcW w:w="2224" w:type="pct"/>
            <w:tcBorders>
              <w:top w:val="nil"/>
              <w:left w:val="nil"/>
              <w:bottom w:val="nil"/>
              <w:right w:val="nil"/>
            </w:tcBorders>
            <w:shd w:val="clear" w:color="auto" w:fill="auto"/>
            <w:vAlign w:val="bottom"/>
          </w:tcPr>
          <w:p w14:paraId="426DFFEC" w14:textId="5207D837" w:rsidR="009D4714" w:rsidRPr="0086157C" w:rsidRDefault="009D4714" w:rsidP="002E7456">
            <w:pPr>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Príjmy budúcich období (</w:t>
            </w:r>
            <w:proofErr w:type="spellStart"/>
            <w:r w:rsidRPr="0086157C">
              <w:rPr>
                <w:rFonts w:ascii="Arial" w:eastAsia="Times New Roman" w:hAnsi="Arial" w:cs="Arial"/>
                <w:color w:val="000000"/>
                <w:sz w:val="18"/>
                <w:szCs w:val="18"/>
                <w:lang w:val="sk-SK" w:eastAsia="sk-SK"/>
              </w:rPr>
              <w:t>Poz</w:t>
            </w:r>
            <w:proofErr w:type="spellEnd"/>
            <w:r w:rsidRPr="0086157C">
              <w:rPr>
                <w:rFonts w:ascii="Arial" w:eastAsia="Times New Roman" w:hAnsi="Arial" w:cs="Arial"/>
                <w:color w:val="000000"/>
                <w:sz w:val="18"/>
                <w:szCs w:val="18"/>
                <w:lang w:val="sk-SK" w:eastAsia="sk-SK"/>
              </w:rPr>
              <w:t>. 11)</w:t>
            </w:r>
          </w:p>
        </w:tc>
        <w:tc>
          <w:tcPr>
            <w:tcW w:w="621" w:type="pct"/>
            <w:tcBorders>
              <w:top w:val="nil"/>
              <w:left w:val="nil"/>
              <w:bottom w:val="nil"/>
              <w:right w:val="nil"/>
            </w:tcBorders>
            <w:shd w:val="clear" w:color="auto" w:fill="auto"/>
            <w:vAlign w:val="bottom"/>
          </w:tcPr>
          <w:p w14:paraId="10FFE285" w14:textId="0970F148" w:rsidR="009D4714" w:rsidRPr="0086157C" w:rsidRDefault="009D4714" w:rsidP="00FD21B8">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696</w:t>
            </w:r>
          </w:p>
        </w:tc>
        <w:tc>
          <w:tcPr>
            <w:tcW w:w="105" w:type="pct"/>
            <w:tcBorders>
              <w:top w:val="nil"/>
              <w:left w:val="nil"/>
              <w:bottom w:val="nil"/>
              <w:right w:val="nil"/>
            </w:tcBorders>
            <w:shd w:val="clear" w:color="auto" w:fill="auto"/>
            <w:vAlign w:val="bottom"/>
          </w:tcPr>
          <w:p w14:paraId="43A1BD5E" w14:textId="77777777" w:rsidR="009D4714" w:rsidRPr="0086157C" w:rsidRDefault="009D4714" w:rsidP="00FD21B8">
            <w:pPr>
              <w:jc w:val="right"/>
              <w:rPr>
                <w:rFonts w:ascii="Arial" w:eastAsia="Times New Roman" w:hAnsi="Arial" w:cs="Arial"/>
                <w:color w:val="000000"/>
                <w:sz w:val="18"/>
                <w:szCs w:val="18"/>
                <w:lang w:val="sk-SK" w:eastAsia="sk-SK"/>
              </w:rPr>
            </w:pPr>
          </w:p>
        </w:tc>
        <w:tc>
          <w:tcPr>
            <w:tcW w:w="684" w:type="pct"/>
            <w:tcBorders>
              <w:top w:val="nil"/>
              <w:left w:val="nil"/>
              <w:bottom w:val="nil"/>
              <w:right w:val="nil"/>
            </w:tcBorders>
            <w:shd w:val="clear" w:color="auto" w:fill="auto"/>
            <w:vAlign w:val="bottom"/>
          </w:tcPr>
          <w:p w14:paraId="2EEA89B4" w14:textId="54BF2460" w:rsidR="009D4714" w:rsidRPr="0086157C" w:rsidRDefault="009D4714" w:rsidP="00FD21B8">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w:t>
            </w:r>
          </w:p>
        </w:tc>
        <w:tc>
          <w:tcPr>
            <w:tcW w:w="102" w:type="pct"/>
            <w:tcBorders>
              <w:top w:val="nil"/>
              <w:left w:val="nil"/>
              <w:bottom w:val="nil"/>
              <w:right w:val="nil"/>
            </w:tcBorders>
            <w:shd w:val="clear" w:color="auto" w:fill="auto"/>
            <w:vAlign w:val="bottom"/>
          </w:tcPr>
          <w:p w14:paraId="76B18DF6" w14:textId="77777777" w:rsidR="009D4714" w:rsidRPr="0086157C" w:rsidRDefault="009D4714" w:rsidP="00FD21B8">
            <w:pPr>
              <w:jc w:val="right"/>
              <w:rPr>
                <w:rFonts w:ascii="Arial" w:eastAsia="Times New Roman" w:hAnsi="Arial" w:cs="Arial"/>
                <w:color w:val="000000"/>
                <w:sz w:val="18"/>
                <w:szCs w:val="18"/>
                <w:lang w:val="sk-SK" w:eastAsia="sk-SK"/>
              </w:rPr>
            </w:pPr>
          </w:p>
        </w:tc>
        <w:tc>
          <w:tcPr>
            <w:tcW w:w="617" w:type="pct"/>
            <w:tcBorders>
              <w:top w:val="nil"/>
              <w:left w:val="nil"/>
              <w:bottom w:val="nil"/>
              <w:right w:val="nil"/>
            </w:tcBorders>
            <w:shd w:val="clear" w:color="auto" w:fill="auto"/>
            <w:vAlign w:val="bottom"/>
          </w:tcPr>
          <w:p w14:paraId="14A012D3" w14:textId="43E3634C" w:rsidR="009D4714" w:rsidRPr="0086157C" w:rsidRDefault="009D4714" w:rsidP="00FD21B8">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w:t>
            </w:r>
          </w:p>
        </w:tc>
        <w:tc>
          <w:tcPr>
            <w:tcW w:w="102" w:type="pct"/>
            <w:tcBorders>
              <w:top w:val="nil"/>
              <w:left w:val="nil"/>
              <w:bottom w:val="nil"/>
              <w:right w:val="nil"/>
            </w:tcBorders>
            <w:shd w:val="clear" w:color="auto" w:fill="auto"/>
            <w:vAlign w:val="bottom"/>
          </w:tcPr>
          <w:p w14:paraId="5BFEF740" w14:textId="77777777" w:rsidR="009D4714" w:rsidRPr="0086157C" w:rsidRDefault="009D4714" w:rsidP="00FD21B8">
            <w:pPr>
              <w:jc w:val="right"/>
              <w:rPr>
                <w:rFonts w:ascii="Arial" w:eastAsia="Times New Roman" w:hAnsi="Arial" w:cs="Arial"/>
                <w:color w:val="000000"/>
                <w:sz w:val="18"/>
                <w:szCs w:val="18"/>
                <w:lang w:val="sk-SK" w:eastAsia="sk-SK"/>
              </w:rPr>
            </w:pPr>
          </w:p>
        </w:tc>
        <w:tc>
          <w:tcPr>
            <w:tcW w:w="545" w:type="pct"/>
            <w:tcBorders>
              <w:top w:val="nil"/>
              <w:left w:val="nil"/>
              <w:bottom w:val="nil"/>
              <w:right w:val="nil"/>
            </w:tcBorders>
            <w:shd w:val="clear" w:color="auto" w:fill="auto"/>
            <w:vAlign w:val="bottom"/>
          </w:tcPr>
          <w:p w14:paraId="5F6040D8" w14:textId="18DF9761" w:rsidR="009D4714" w:rsidRPr="0086157C" w:rsidRDefault="009D4714" w:rsidP="00FD21B8">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696</w:t>
            </w:r>
          </w:p>
        </w:tc>
      </w:tr>
      <w:tr w:rsidR="00F423B4" w:rsidRPr="0086157C" w14:paraId="3BD5188F" w14:textId="77777777" w:rsidTr="001C5911">
        <w:trPr>
          <w:trHeight w:val="227"/>
        </w:trPr>
        <w:tc>
          <w:tcPr>
            <w:tcW w:w="2224" w:type="pct"/>
            <w:tcBorders>
              <w:top w:val="nil"/>
              <w:left w:val="nil"/>
              <w:bottom w:val="nil"/>
              <w:right w:val="nil"/>
            </w:tcBorders>
            <w:shd w:val="clear" w:color="auto" w:fill="auto"/>
            <w:vAlign w:val="bottom"/>
            <w:hideMark/>
          </w:tcPr>
          <w:p w14:paraId="0472DDCC" w14:textId="605ACB40" w:rsidR="00F423B4" w:rsidRPr="0086157C" w:rsidRDefault="00BE6991" w:rsidP="00267C4C">
            <w:pPr>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Poskytnuté p</w:t>
            </w:r>
            <w:r w:rsidR="00F423B4" w:rsidRPr="0086157C">
              <w:rPr>
                <w:rFonts w:ascii="Arial" w:eastAsia="Times New Roman" w:hAnsi="Arial" w:cs="Arial"/>
                <w:color w:val="000000"/>
                <w:sz w:val="18"/>
                <w:szCs w:val="18"/>
                <w:lang w:val="sk-SK" w:eastAsia="sk-SK"/>
              </w:rPr>
              <w:t>ôžičky (Pozn. 1</w:t>
            </w:r>
            <w:r w:rsidRPr="0086157C">
              <w:rPr>
                <w:rFonts w:ascii="Arial" w:eastAsia="Times New Roman" w:hAnsi="Arial" w:cs="Arial"/>
                <w:color w:val="000000"/>
                <w:sz w:val="18"/>
                <w:szCs w:val="18"/>
                <w:lang w:val="sk-SK" w:eastAsia="sk-SK"/>
              </w:rPr>
              <w:t>0</w:t>
            </w:r>
            <w:r w:rsidR="00F423B4" w:rsidRPr="0086157C">
              <w:rPr>
                <w:rFonts w:ascii="Arial" w:eastAsia="Times New Roman" w:hAnsi="Arial" w:cs="Arial"/>
                <w:color w:val="000000"/>
                <w:sz w:val="18"/>
                <w:szCs w:val="18"/>
                <w:lang w:val="sk-SK" w:eastAsia="sk-SK"/>
              </w:rPr>
              <w:t>)</w:t>
            </w:r>
          </w:p>
        </w:tc>
        <w:tc>
          <w:tcPr>
            <w:tcW w:w="621" w:type="pct"/>
            <w:tcBorders>
              <w:top w:val="nil"/>
              <w:left w:val="nil"/>
              <w:bottom w:val="nil"/>
              <w:right w:val="nil"/>
            </w:tcBorders>
            <w:shd w:val="clear" w:color="auto" w:fill="auto"/>
            <w:vAlign w:val="bottom"/>
          </w:tcPr>
          <w:p w14:paraId="45B393AE" w14:textId="4DEFBF36" w:rsidR="00F423B4" w:rsidRPr="0086157C" w:rsidRDefault="008915C0" w:rsidP="00267C4C">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470</w:t>
            </w:r>
          </w:p>
        </w:tc>
        <w:tc>
          <w:tcPr>
            <w:tcW w:w="105" w:type="pct"/>
            <w:tcBorders>
              <w:top w:val="nil"/>
              <w:left w:val="nil"/>
              <w:bottom w:val="nil"/>
              <w:right w:val="nil"/>
            </w:tcBorders>
            <w:shd w:val="clear" w:color="auto" w:fill="auto"/>
            <w:vAlign w:val="bottom"/>
          </w:tcPr>
          <w:p w14:paraId="1535595F" w14:textId="77777777" w:rsidR="00F423B4" w:rsidRPr="0086157C" w:rsidRDefault="00F423B4" w:rsidP="00267C4C">
            <w:pPr>
              <w:jc w:val="right"/>
              <w:rPr>
                <w:rFonts w:ascii="Arial" w:eastAsia="Times New Roman" w:hAnsi="Arial" w:cs="Arial"/>
                <w:color w:val="000000"/>
                <w:sz w:val="18"/>
                <w:szCs w:val="18"/>
                <w:lang w:val="sk-SK" w:eastAsia="sk-SK"/>
              </w:rPr>
            </w:pPr>
          </w:p>
        </w:tc>
        <w:tc>
          <w:tcPr>
            <w:tcW w:w="684" w:type="pct"/>
            <w:tcBorders>
              <w:top w:val="nil"/>
              <w:left w:val="nil"/>
              <w:bottom w:val="nil"/>
              <w:right w:val="nil"/>
            </w:tcBorders>
            <w:shd w:val="clear" w:color="auto" w:fill="auto"/>
            <w:vAlign w:val="bottom"/>
          </w:tcPr>
          <w:p w14:paraId="3AB25F37" w14:textId="77777777" w:rsidR="00F423B4" w:rsidRPr="0086157C" w:rsidRDefault="00F423B4" w:rsidP="00267C4C">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w:t>
            </w:r>
          </w:p>
        </w:tc>
        <w:tc>
          <w:tcPr>
            <w:tcW w:w="102" w:type="pct"/>
            <w:tcBorders>
              <w:top w:val="nil"/>
              <w:left w:val="nil"/>
              <w:bottom w:val="nil"/>
              <w:right w:val="nil"/>
            </w:tcBorders>
            <w:shd w:val="clear" w:color="auto" w:fill="auto"/>
            <w:vAlign w:val="bottom"/>
          </w:tcPr>
          <w:p w14:paraId="67FB8251" w14:textId="77777777" w:rsidR="00F423B4" w:rsidRPr="0086157C" w:rsidRDefault="00F423B4" w:rsidP="00267C4C">
            <w:pPr>
              <w:jc w:val="right"/>
              <w:rPr>
                <w:rFonts w:ascii="Arial" w:eastAsia="Times New Roman" w:hAnsi="Arial" w:cs="Arial"/>
                <w:color w:val="000000"/>
                <w:sz w:val="18"/>
                <w:szCs w:val="18"/>
                <w:lang w:val="sk-SK" w:eastAsia="sk-SK"/>
              </w:rPr>
            </w:pPr>
          </w:p>
        </w:tc>
        <w:tc>
          <w:tcPr>
            <w:tcW w:w="617" w:type="pct"/>
            <w:tcBorders>
              <w:top w:val="nil"/>
              <w:left w:val="nil"/>
              <w:bottom w:val="nil"/>
              <w:right w:val="nil"/>
            </w:tcBorders>
            <w:shd w:val="clear" w:color="auto" w:fill="auto"/>
            <w:vAlign w:val="bottom"/>
          </w:tcPr>
          <w:p w14:paraId="36C34640" w14:textId="77777777" w:rsidR="00F423B4" w:rsidRPr="0086157C" w:rsidRDefault="00F423B4" w:rsidP="00267C4C">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w:t>
            </w:r>
          </w:p>
        </w:tc>
        <w:tc>
          <w:tcPr>
            <w:tcW w:w="102" w:type="pct"/>
            <w:tcBorders>
              <w:top w:val="nil"/>
              <w:left w:val="nil"/>
              <w:bottom w:val="nil"/>
              <w:right w:val="nil"/>
            </w:tcBorders>
            <w:shd w:val="clear" w:color="auto" w:fill="auto"/>
            <w:vAlign w:val="bottom"/>
          </w:tcPr>
          <w:p w14:paraId="7C6AE382" w14:textId="77777777" w:rsidR="00F423B4" w:rsidRPr="0086157C" w:rsidRDefault="00F423B4" w:rsidP="00267C4C">
            <w:pPr>
              <w:jc w:val="right"/>
              <w:rPr>
                <w:rFonts w:ascii="Arial" w:eastAsia="Times New Roman" w:hAnsi="Arial" w:cs="Arial"/>
                <w:color w:val="000000"/>
                <w:sz w:val="18"/>
                <w:szCs w:val="18"/>
                <w:lang w:val="sk-SK" w:eastAsia="sk-SK"/>
              </w:rPr>
            </w:pPr>
          </w:p>
        </w:tc>
        <w:tc>
          <w:tcPr>
            <w:tcW w:w="545" w:type="pct"/>
            <w:tcBorders>
              <w:top w:val="nil"/>
              <w:left w:val="nil"/>
              <w:bottom w:val="nil"/>
              <w:right w:val="nil"/>
            </w:tcBorders>
            <w:shd w:val="clear" w:color="auto" w:fill="auto"/>
            <w:vAlign w:val="bottom"/>
          </w:tcPr>
          <w:p w14:paraId="2BA6DF66" w14:textId="0187629F" w:rsidR="00F423B4" w:rsidRPr="0086157C" w:rsidRDefault="008915C0" w:rsidP="00267C4C">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470</w:t>
            </w:r>
          </w:p>
        </w:tc>
      </w:tr>
      <w:tr w:rsidR="004B4E50" w:rsidRPr="0086157C" w14:paraId="127676FF" w14:textId="77777777" w:rsidTr="001C5911">
        <w:trPr>
          <w:trHeight w:val="227"/>
        </w:trPr>
        <w:tc>
          <w:tcPr>
            <w:tcW w:w="2224" w:type="pct"/>
            <w:tcBorders>
              <w:top w:val="nil"/>
              <w:left w:val="nil"/>
              <w:bottom w:val="nil"/>
              <w:right w:val="nil"/>
            </w:tcBorders>
            <w:shd w:val="clear" w:color="auto" w:fill="auto"/>
            <w:vAlign w:val="bottom"/>
            <w:hideMark/>
          </w:tcPr>
          <w:p w14:paraId="69477353" w14:textId="5E8967E8" w:rsidR="002E7456" w:rsidRPr="0086157C" w:rsidRDefault="002E7456" w:rsidP="002E7456">
            <w:pPr>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Peniaze na bežných účtoch a peňažná hotovosť (Pozn. 1</w:t>
            </w:r>
            <w:r w:rsidR="00522218" w:rsidRPr="0086157C">
              <w:rPr>
                <w:rFonts w:ascii="Arial" w:eastAsia="Times New Roman" w:hAnsi="Arial" w:cs="Arial"/>
                <w:color w:val="000000"/>
                <w:sz w:val="18"/>
                <w:szCs w:val="18"/>
                <w:lang w:val="sk-SK" w:eastAsia="sk-SK"/>
              </w:rPr>
              <w:t>3</w:t>
            </w:r>
            <w:r w:rsidRPr="0086157C">
              <w:rPr>
                <w:rFonts w:ascii="Arial" w:eastAsia="Times New Roman" w:hAnsi="Arial" w:cs="Arial"/>
                <w:color w:val="000000"/>
                <w:sz w:val="18"/>
                <w:szCs w:val="18"/>
                <w:lang w:val="sk-SK" w:eastAsia="sk-SK"/>
              </w:rPr>
              <w:t>)</w:t>
            </w:r>
          </w:p>
        </w:tc>
        <w:tc>
          <w:tcPr>
            <w:tcW w:w="621" w:type="pct"/>
            <w:tcBorders>
              <w:top w:val="nil"/>
              <w:left w:val="nil"/>
              <w:bottom w:val="nil"/>
              <w:right w:val="nil"/>
            </w:tcBorders>
            <w:shd w:val="clear" w:color="auto" w:fill="auto"/>
            <w:vAlign w:val="bottom"/>
          </w:tcPr>
          <w:p w14:paraId="6CC254B7" w14:textId="41DF25BC" w:rsidR="002E7456" w:rsidRPr="0086157C" w:rsidRDefault="008915C0" w:rsidP="00FD21B8">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9 606</w:t>
            </w:r>
          </w:p>
        </w:tc>
        <w:tc>
          <w:tcPr>
            <w:tcW w:w="105" w:type="pct"/>
            <w:tcBorders>
              <w:top w:val="nil"/>
              <w:left w:val="nil"/>
              <w:bottom w:val="nil"/>
              <w:right w:val="nil"/>
            </w:tcBorders>
            <w:shd w:val="clear" w:color="auto" w:fill="auto"/>
            <w:vAlign w:val="bottom"/>
          </w:tcPr>
          <w:p w14:paraId="7638E597" w14:textId="77777777" w:rsidR="002E7456" w:rsidRPr="0086157C" w:rsidRDefault="002E7456" w:rsidP="00FD21B8">
            <w:pPr>
              <w:jc w:val="right"/>
              <w:rPr>
                <w:rFonts w:ascii="Arial" w:eastAsia="Times New Roman" w:hAnsi="Arial" w:cs="Arial"/>
                <w:color w:val="000000"/>
                <w:sz w:val="18"/>
                <w:szCs w:val="18"/>
                <w:lang w:val="sk-SK" w:eastAsia="sk-SK"/>
              </w:rPr>
            </w:pPr>
          </w:p>
        </w:tc>
        <w:tc>
          <w:tcPr>
            <w:tcW w:w="684" w:type="pct"/>
            <w:tcBorders>
              <w:top w:val="nil"/>
              <w:left w:val="nil"/>
              <w:bottom w:val="nil"/>
              <w:right w:val="nil"/>
            </w:tcBorders>
            <w:shd w:val="clear" w:color="auto" w:fill="auto"/>
            <w:vAlign w:val="bottom"/>
          </w:tcPr>
          <w:p w14:paraId="7FCCCE75" w14:textId="49BBD068" w:rsidR="002E7456" w:rsidRPr="0086157C" w:rsidRDefault="00DD0DDE" w:rsidP="00FD21B8">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w:t>
            </w:r>
          </w:p>
        </w:tc>
        <w:tc>
          <w:tcPr>
            <w:tcW w:w="102" w:type="pct"/>
            <w:tcBorders>
              <w:top w:val="nil"/>
              <w:left w:val="nil"/>
              <w:bottom w:val="nil"/>
              <w:right w:val="nil"/>
            </w:tcBorders>
            <w:shd w:val="clear" w:color="auto" w:fill="auto"/>
            <w:vAlign w:val="bottom"/>
          </w:tcPr>
          <w:p w14:paraId="6F196167" w14:textId="77777777" w:rsidR="002E7456" w:rsidRPr="0086157C" w:rsidRDefault="002E7456" w:rsidP="00FD21B8">
            <w:pPr>
              <w:jc w:val="right"/>
              <w:rPr>
                <w:rFonts w:ascii="Arial" w:eastAsia="Times New Roman" w:hAnsi="Arial" w:cs="Arial"/>
                <w:color w:val="000000"/>
                <w:sz w:val="18"/>
                <w:szCs w:val="18"/>
                <w:lang w:val="sk-SK" w:eastAsia="sk-SK"/>
              </w:rPr>
            </w:pPr>
          </w:p>
        </w:tc>
        <w:tc>
          <w:tcPr>
            <w:tcW w:w="617" w:type="pct"/>
            <w:tcBorders>
              <w:top w:val="nil"/>
              <w:left w:val="nil"/>
              <w:bottom w:val="nil"/>
              <w:right w:val="nil"/>
            </w:tcBorders>
            <w:shd w:val="clear" w:color="auto" w:fill="auto"/>
            <w:vAlign w:val="bottom"/>
          </w:tcPr>
          <w:p w14:paraId="3BBA92D8" w14:textId="4EEEA8E6" w:rsidR="002E7456" w:rsidRPr="0086157C" w:rsidRDefault="00DD0DDE" w:rsidP="00FD21B8">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w:t>
            </w:r>
          </w:p>
        </w:tc>
        <w:tc>
          <w:tcPr>
            <w:tcW w:w="102" w:type="pct"/>
            <w:tcBorders>
              <w:top w:val="nil"/>
              <w:left w:val="nil"/>
              <w:bottom w:val="nil"/>
              <w:right w:val="nil"/>
            </w:tcBorders>
            <w:shd w:val="clear" w:color="auto" w:fill="auto"/>
            <w:vAlign w:val="bottom"/>
          </w:tcPr>
          <w:p w14:paraId="7FA04DFE" w14:textId="77777777" w:rsidR="002E7456" w:rsidRPr="0086157C" w:rsidRDefault="002E7456" w:rsidP="00FD21B8">
            <w:pPr>
              <w:jc w:val="right"/>
              <w:rPr>
                <w:rFonts w:ascii="Arial" w:eastAsia="Times New Roman" w:hAnsi="Arial" w:cs="Arial"/>
                <w:color w:val="000000"/>
                <w:sz w:val="18"/>
                <w:szCs w:val="18"/>
                <w:lang w:val="sk-SK" w:eastAsia="sk-SK"/>
              </w:rPr>
            </w:pPr>
          </w:p>
        </w:tc>
        <w:tc>
          <w:tcPr>
            <w:tcW w:w="545" w:type="pct"/>
            <w:tcBorders>
              <w:top w:val="nil"/>
              <w:left w:val="nil"/>
              <w:bottom w:val="nil"/>
              <w:right w:val="nil"/>
            </w:tcBorders>
            <w:shd w:val="clear" w:color="auto" w:fill="auto"/>
            <w:vAlign w:val="bottom"/>
          </w:tcPr>
          <w:p w14:paraId="43DD0E32" w14:textId="28B76B13" w:rsidR="002E7456" w:rsidRPr="0086157C" w:rsidRDefault="008915C0" w:rsidP="00FD21B8">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9 606</w:t>
            </w:r>
          </w:p>
        </w:tc>
      </w:tr>
      <w:tr w:rsidR="004B4E50" w:rsidRPr="0086157C" w14:paraId="09B157E5" w14:textId="77777777" w:rsidTr="001C5911">
        <w:trPr>
          <w:trHeight w:val="227"/>
        </w:trPr>
        <w:tc>
          <w:tcPr>
            <w:tcW w:w="2224" w:type="pct"/>
            <w:tcBorders>
              <w:top w:val="nil"/>
              <w:left w:val="nil"/>
              <w:bottom w:val="nil"/>
              <w:right w:val="nil"/>
            </w:tcBorders>
            <w:shd w:val="clear" w:color="auto" w:fill="auto"/>
            <w:vAlign w:val="bottom"/>
            <w:hideMark/>
          </w:tcPr>
          <w:p w14:paraId="65BFDE84" w14:textId="77777777" w:rsidR="002E7456" w:rsidRPr="0086157C" w:rsidRDefault="002E7456" w:rsidP="002E7456">
            <w:pPr>
              <w:rPr>
                <w:rFonts w:ascii="Arial" w:eastAsia="Times New Roman" w:hAnsi="Arial" w:cs="Arial"/>
                <w:b/>
                <w:bCs/>
                <w:color w:val="000000"/>
                <w:sz w:val="18"/>
                <w:szCs w:val="18"/>
                <w:lang w:val="sk-SK" w:eastAsia="sk-SK"/>
              </w:rPr>
            </w:pPr>
            <w:r w:rsidRPr="0086157C">
              <w:rPr>
                <w:rFonts w:ascii="Arial" w:eastAsia="Times New Roman" w:hAnsi="Arial" w:cs="Arial"/>
                <w:b/>
                <w:bCs/>
                <w:color w:val="000000"/>
                <w:sz w:val="18"/>
                <w:szCs w:val="18"/>
                <w:lang w:val="sk-SK" w:eastAsia="sk-SK"/>
              </w:rPr>
              <w:t>Celkom</w:t>
            </w:r>
          </w:p>
        </w:tc>
        <w:tc>
          <w:tcPr>
            <w:tcW w:w="621" w:type="pct"/>
            <w:tcBorders>
              <w:top w:val="single" w:sz="4" w:space="0" w:color="auto"/>
              <w:left w:val="nil"/>
              <w:bottom w:val="double" w:sz="6" w:space="0" w:color="auto"/>
              <w:right w:val="nil"/>
            </w:tcBorders>
            <w:shd w:val="clear" w:color="auto" w:fill="auto"/>
            <w:vAlign w:val="bottom"/>
          </w:tcPr>
          <w:p w14:paraId="7B06C1F3" w14:textId="7DC7C06B" w:rsidR="002E7456" w:rsidRPr="0086157C" w:rsidRDefault="008915C0" w:rsidP="00FD21B8">
            <w:pPr>
              <w:jc w:val="right"/>
              <w:rPr>
                <w:rFonts w:ascii="Arial" w:eastAsia="Times New Roman" w:hAnsi="Arial" w:cs="Arial"/>
                <w:b/>
                <w:bCs/>
                <w:color w:val="000000"/>
                <w:sz w:val="18"/>
                <w:szCs w:val="18"/>
                <w:lang w:val="sk-SK" w:eastAsia="sk-SK"/>
              </w:rPr>
            </w:pPr>
            <w:r w:rsidRPr="0086157C">
              <w:rPr>
                <w:rFonts w:ascii="Arial" w:eastAsia="Times New Roman" w:hAnsi="Arial" w:cs="Arial"/>
                <w:b/>
                <w:bCs/>
                <w:color w:val="000000"/>
                <w:sz w:val="18"/>
                <w:szCs w:val="18"/>
                <w:lang w:val="sk-SK" w:eastAsia="sk-SK"/>
              </w:rPr>
              <w:t>3</w:t>
            </w:r>
            <w:r w:rsidR="00FC74F8" w:rsidRPr="0086157C">
              <w:rPr>
                <w:rFonts w:ascii="Arial" w:eastAsia="Times New Roman" w:hAnsi="Arial" w:cs="Arial"/>
                <w:b/>
                <w:bCs/>
                <w:color w:val="000000"/>
                <w:sz w:val="18"/>
                <w:szCs w:val="18"/>
                <w:lang w:val="sk-SK" w:eastAsia="sk-SK"/>
              </w:rPr>
              <w:t>3</w:t>
            </w:r>
            <w:r w:rsidR="00571169" w:rsidRPr="0086157C">
              <w:rPr>
                <w:rFonts w:ascii="Arial" w:eastAsia="Times New Roman" w:hAnsi="Arial" w:cs="Arial"/>
                <w:b/>
                <w:bCs/>
                <w:color w:val="000000"/>
                <w:sz w:val="18"/>
                <w:szCs w:val="18"/>
                <w:lang w:val="sk-SK" w:eastAsia="sk-SK"/>
              </w:rPr>
              <w:t xml:space="preserve"> </w:t>
            </w:r>
            <w:r w:rsidR="009D4714" w:rsidRPr="0086157C">
              <w:rPr>
                <w:rFonts w:ascii="Arial" w:eastAsia="Times New Roman" w:hAnsi="Arial" w:cs="Arial"/>
                <w:b/>
                <w:bCs/>
                <w:color w:val="000000"/>
                <w:sz w:val="18"/>
                <w:szCs w:val="18"/>
                <w:lang w:val="sk-SK" w:eastAsia="sk-SK"/>
              </w:rPr>
              <w:t>947</w:t>
            </w:r>
          </w:p>
        </w:tc>
        <w:tc>
          <w:tcPr>
            <w:tcW w:w="105" w:type="pct"/>
            <w:tcBorders>
              <w:top w:val="nil"/>
              <w:left w:val="nil"/>
              <w:bottom w:val="nil"/>
              <w:right w:val="nil"/>
            </w:tcBorders>
            <w:shd w:val="clear" w:color="auto" w:fill="auto"/>
            <w:vAlign w:val="bottom"/>
          </w:tcPr>
          <w:p w14:paraId="4D4B78CB" w14:textId="77777777" w:rsidR="002E7456" w:rsidRPr="0086157C" w:rsidRDefault="002E7456" w:rsidP="00FD21B8">
            <w:pPr>
              <w:jc w:val="right"/>
              <w:rPr>
                <w:rFonts w:ascii="Arial" w:eastAsia="Times New Roman" w:hAnsi="Arial" w:cs="Arial"/>
                <w:b/>
                <w:bCs/>
                <w:color w:val="000000"/>
                <w:sz w:val="18"/>
                <w:szCs w:val="18"/>
                <w:lang w:val="sk-SK" w:eastAsia="sk-SK"/>
              </w:rPr>
            </w:pPr>
          </w:p>
        </w:tc>
        <w:tc>
          <w:tcPr>
            <w:tcW w:w="684" w:type="pct"/>
            <w:tcBorders>
              <w:top w:val="single" w:sz="4" w:space="0" w:color="auto"/>
              <w:left w:val="nil"/>
              <w:bottom w:val="double" w:sz="6" w:space="0" w:color="auto"/>
              <w:right w:val="nil"/>
            </w:tcBorders>
            <w:shd w:val="clear" w:color="auto" w:fill="auto"/>
            <w:vAlign w:val="bottom"/>
          </w:tcPr>
          <w:p w14:paraId="6365E4C7" w14:textId="21C5BFE9" w:rsidR="002E7456" w:rsidRPr="0086157C" w:rsidRDefault="008915C0" w:rsidP="00FD21B8">
            <w:pPr>
              <w:jc w:val="right"/>
              <w:rPr>
                <w:rFonts w:ascii="Arial" w:eastAsia="Times New Roman" w:hAnsi="Arial" w:cs="Arial"/>
                <w:b/>
                <w:bCs/>
                <w:color w:val="000000"/>
                <w:sz w:val="18"/>
                <w:szCs w:val="18"/>
                <w:lang w:val="sk-SK" w:eastAsia="sk-SK"/>
              </w:rPr>
            </w:pPr>
            <w:r w:rsidRPr="0086157C">
              <w:rPr>
                <w:rFonts w:ascii="Arial" w:eastAsia="Times New Roman" w:hAnsi="Arial" w:cs="Arial"/>
                <w:b/>
                <w:bCs/>
                <w:color w:val="000000"/>
                <w:sz w:val="18"/>
                <w:szCs w:val="18"/>
                <w:lang w:val="sk-SK" w:eastAsia="sk-SK"/>
              </w:rPr>
              <w:t>1 586</w:t>
            </w:r>
          </w:p>
        </w:tc>
        <w:tc>
          <w:tcPr>
            <w:tcW w:w="102" w:type="pct"/>
            <w:tcBorders>
              <w:top w:val="nil"/>
              <w:left w:val="nil"/>
              <w:bottom w:val="nil"/>
              <w:right w:val="nil"/>
            </w:tcBorders>
            <w:shd w:val="clear" w:color="auto" w:fill="auto"/>
            <w:vAlign w:val="bottom"/>
          </w:tcPr>
          <w:p w14:paraId="570688BF" w14:textId="77777777" w:rsidR="002E7456" w:rsidRPr="0086157C" w:rsidRDefault="002E7456" w:rsidP="00FD21B8">
            <w:pPr>
              <w:jc w:val="right"/>
              <w:rPr>
                <w:rFonts w:ascii="Arial" w:eastAsia="Times New Roman" w:hAnsi="Arial" w:cs="Arial"/>
                <w:b/>
                <w:bCs/>
                <w:color w:val="000000"/>
                <w:sz w:val="18"/>
                <w:szCs w:val="18"/>
                <w:lang w:val="sk-SK" w:eastAsia="sk-SK"/>
              </w:rPr>
            </w:pPr>
          </w:p>
        </w:tc>
        <w:tc>
          <w:tcPr>
            <w:tcW w:w="617" w:type="pct"/>
            <w:tcBorders>
              <w:top w:val="single" w:sz="4" w:space="0" w:color="auto"/>
              <w:left w:val="nil"/>
              <w:bottom w:val="double" w:sz="6" w:space="0" w:color="auto"/>
              <w:right w:val="nil"/>
            </w:tcBorders>
            <w:shd w:val="clear" w:color="auto" w:fill="auto"/>
            <w:vAlign w:val="bottom"/>
          </w:tcPr>
          <w:p w14:paraId="30B8FB27" w14:textId="3A6023E3" w:rsidR="002E7456" w:rsidRPr="0086157C" w:rsidRDefault="008915C0" w:rsidP="00FD21B8">
            <w:pPr>
              <w:jc w:val="right"/>
              <w:rPr>
                <w:rFonts w:ascii="Arial" w:eastAsia="Times New Roman" w:hAnsi="Arial" w:cs="Arial"/>
                <w:b/>
                <w:bCs/>
                <w:color w:val="000000"/>
                <w:sz w:val="18"/>
                <w:szCs w:val="18"/>
                <w:lang w:val="sk-SK" w:eastAsia="sk-SK"/>
              </w:rPr>
            </w:pPr>
            <w:r w:rsidRPr="0086157C">
              <w:rPr>
                <w:rFonts w:ascii="Arial" w:eastAsia="Times New Roman" w:hAnsi="Arial" w:cs="Arial"/>
                <w:b/>
                <w:bCs/>
                <w:color w:val="000000"/>
                <w:sz w:val="18"/>
                <w:szCs w:val="18"/>
                <w:lang w:val="sk-SK" w:eastAsia="sk-SK"/>
              </w:rPr>
              <w:t>-</w:t>
            </w:r>
          </w:p>
        </w:tc>
        <w:tc>
          <w:tcPr>
            <w:tcW w:w="102" w:type="pct"/>
            <w:tcBorders>
              <w:top w:val="nil"/>
              <w:left w:val="nil"/>
              <w:bottom w:val="nil"/>
              <w:right w:val="nil"/>
            </w:tcBorders>
            <w:shd w:val="clear" w:color="auto" w:fill="auto"/>
            <w:vAlign w:val="bottom"/>
          </w:tcPr>
          <w:p w14:paraId="4387D2FF" w14:textId="77777777" w:rsidR="002E7456" w:rsidRPr="0086157C" w:rsidRDefault="002E7456" w:rsidP="00FD21B8">
            <w:pPr>
              <w:jc w:val="right"/>
              <w:rPr>
                <w:rFonts w:ascii="Arial" w:eastAsia="Times New Roman" w:hAnsi="Arial" w:cs="Arial"/>
                <w:b/>
                <w:bCs/>
                <w:color w:val="000000"/>
                <w:sz w:val="18"/>
                <w:szCs w:val="18"/>
                <w:lang w:val="sk-SK" w:eastAsia="sk-SK"/>
              </w:rPr>
            </w:pPr>
          </w:p>
        </w:tc>
        <w:tc>
          <w:tcPr>
            <w:tcW w:w="545" w:type="pct"/>
            <w:tcBorders>
              <w:top w:val="single" w:sz="4" w:space="0" w:color="auto"/>
              <w:left w:val="nil"/>
              <w:bottom w:val="double" w:sz="6" w:space="0" w:color="auto"/>
              <w:right w:val="nil"/>
            </w:tcBorders>
            <w:shd w:val="clear" w:color="auto" w:fill="auto"/>
            <w:vAlign w:val="bottom"/>
          </w:tcPr>
          <w:p w14:paraId="4CB65395" w14:textId="46AF47A3" w:rsidR="002E7456" w:rsidRPr="0086157C" w:rsidRDefault="008915C0" w:rsidP="00FD21B8">
            <w:pPr>
              <w:jc w:val="right"/>
              <w:rPr>
                <w:rFonts w:ascii="Arial" w:eastAsia="Times New Roman" w:hAnsi="Arial" w:cs="Arial"/>
                <w:b/>
                <w:bCs/>
                <w:color w:val="000000"/>
                <w:sz w:val="18"/>
                <w:szCs w:val="18"/>
                <w:lang w:val="sk-SK" w:eastAsia="sk-SK"/>
              </w:rPr>
            </w:pPr>
            <w:r w:rsidRPr="0086157C">
              <w:rPr>
                <w:rFonts w:ascii="Arial" w:eastAsia="Times New Roman" w:hAnsi="Arial" w:cs="Arial"/>
                <w:b/>
                <w:bCs/>
                <w:color w:val="000000"/>
                <w:sz w:val="18"/>
                <w:szCs w:val="18"/>
                <w:lang w:val="sk-SK" w:eastAsia="sk-SK"/>
              </w:rPr>
              <w:t>3</w:t>
            </w:r>
            <w:r w:rsidR="009D4714" w:rsidRPr="0086157C">
              <w:rPr>
                <w:rFonts w:ascii="Arial" w:eastAsia="Times New Roman" w:hAnsi="Arial" w:cs="Arial"/>
                <w:b/>
                <w:bCs/>
                <w:color w:val="000000"/>
                <w:sz w:val="18"/>
                <w:szCs w:val="18"/>
                <w:lang w:val="sk-SK" w:eastAsia="sk-SK"/>
              </w:rPr>
              <w:t>5</w:t>
            </w:r>
            <w:r w:rsidR="00571169" w:rsidRPr="0086157C">
              <w:rPr>
                <w:rFonts w:ascii="Arial" w:eastAsia="Times New Roman" w:hAnsi="Arial" w:cs="Arial"/>
                <w:b/>
                <w:bCs/>
                <w:color w:val="000000"/>
                <w:sz w:val="18"/>
                <w:szCs w:val="18"/>
                <w:lang w:val="sk-SK" w:eastAsia="sk-SK"/>
              </w:rPr>
              <w:t xml:space="preserve"> </w:t>
            </w:r>
            <w:r w:rsidR="009D4714" w:rsidRPr="0086157C">
              <w:rPr>
                <w:rFonts w:ascii="Arial" w:eastAsia="Times New Roman" w:hAnsi="Arial" w:cs="Arial"/>
                <w:b/>
                <w:bCs/>
                <w:color w:val="000000"/>
                <w:sz w:val="18"/>
                <w:szCs w:val="18"/>
                <w:lang w:val="sk-SK" w:eastAsia="sk-SK"/>
              </w:rPr>
              <w:t>533</w:t>
            </w:r>
          </w:p>
        </w:tc>
      </w:tr>
    </w:tbl>
    <w:p w14:paraId="5CF9D329" w14:textId="22563820" w:rsidR="004B4E50" w:rsidRPr="00226892" w:rsidRDefault="004B4E50">
      <w:pPr>
        <w:rPr>
          <w:rFonts w:ascii="Arial" w:hAnsi="Arial" w:cs="Arial"/>
        </w:rPr>
      </w:pPr>
      <w:bookmarkStart w:id="194" w:name="FWT_AnalysisOfFinAssCY"/>
    </w:p>
    <w:p w14:paraId="60B3F67E" w14:textId="77777777" w:rsidR="00A378A3" w:rsidRPr="00226892" w:rsidRDefault="00A378A3">
      <w:pPr>
        <w:rPr>
          <w:rFonts w:ascii="Arial" w:hAnsi="Arial" w:cs="Arial"/>
        </w:rPr>
      </w:pPr>
    </w:p>
    <w:tbl>
      <w:tblPr>
        <w:tblW w:w="5000" w:type="pct"/>
        <w:tblCellMar>
          <w:left w:w="70" w:type="dxa"/>
          <w:right w:w="70" w:type="dxa"/>
        </w:tblCellMar>
        <w:tblLook w:val="04A0" w:firstRow="1" w:lastRow="0" w:firstColumn="1" w:lastColumn="0" w:noHBand="0" w:noVBand="1"/>
      </w:tblPr>
      <w:tblGrid>
        <w:gridCol w:w="4294"/>
        <w:gridCol w:w="1170"/>
        <w:gridCol w:w="202"/>
        <w:gridCol w:w="1330"/>
        <w:gridCol w:w="202"/>
        <w:gridCol w:w="1215"/>
        <w:gridCol w:w="202"/>
        <w:gridCol w:w="1024"/>
      </w:tblGrid>
      <w:tr w:rsidR="004B4E50" w:rsidRPr="0086157C" w14:paraId="29296FE7" w14:textId="77777777" w:rsidTr="001C5911">
        <w:trPr>
          <w:trHeight w:val="217"/>
        </w:trPr>
        <w:tc>
          <w:tcPr>
            <w:tcW w:w="2227" w:type="pct"/>
            <w:tcBorders>
              <w:top w:val="nil"/>
              <w:left w:val="nil"/>
              <w:bottom w:val="single" w:sz="4" w:space="0" w:color="auto"/>
              <w:right w:val="nil"/>
            </w:tcBorders>
            <w:shd w:val="clear" w:color="auto" w:fill="auto"/>
            <w:vAlign w:val="bottom"/>
            <w:hideMark/>
          </w:tcPr>
          <w:p w14:paraId="4BD931C0" w14:textId="447B074B" w:rsidR="004B4E50" w:rsidRPr="0086157C" w:rsidRDefault="004B4E50" w:rsidP="002E7456">
            <w:pPr>
              <w:rPr>
                <w:rFonts w:ascii="Arial" w:eastAsia="Times New Roman" w:hAnsi="Arial" w:cs="Arial"/>
                <w:b/>
                <w:bCs/>
                <w:color w:val="000000"/>
                <w:sz w:val="18"/>
                <w:szCs w:val="18"/>
                <w:lang w:val="sk-SK" w:eastAsia="sk-SK"/>
              </w:rPr>
            </w:pPr>
            <w:bookmarkStart w:id="195" w:name="OLE_LINK3"/>
            <w:r w:rsidRPr="0086157C">
              <w:rPr>
                <w:rFonts w:ascii="Arial" w:hAnsi="Arial" w:cs="Arial"/>
                <w:spacing w:val="4"/>
                <w:sz w:val="18"/>
                <w:szCs w:val="18"/>
                <w:lang w:val="sk-SK"/>
              </w:rPr>
              <w:t xml:space="preserve"> </w:t>
            </w:r>
            <w:r w:rsidRPr="0086157C">
              <w:rPr>
                <w:rFonts w:ascii="Arial" w:eastAsia="Times New Roman" w:hAnsi="Arial" w:cs="Arial"/>
                <w:b/>
                <w:bCs/>
                <w:color w:val="000000"/>
                <w:sz w:val="18"/>
                <w:szCs w:val="18"/>
                <w:lang w:val="sk-SK" w:eastAsia="sk-SK"/>
              </w:rPr>
              <w:t xml:space="preserve">31. december </w:t>
            </w:r>
            <w:r w:rsidR="00F63A77" w:rsidRPr="0086157C">
              <w:rPr>
                <w:rFonts w:ascii="Arial" w:eastAsia="Times New Roman" w:hAnsi="Arial" w:cs="Arial"/>
                <w:b/>
                <w:bCs/>
                <w:color w:val="000000"/>
                <w:sz w:val="18"/>
                <w:szCs w:val="18"/>
                <w:lang w:val="sk-SK" w:eastAsia="sk-SK"/>
              </w:rPr>
              <w:t>2017</w:t>
            </w:r>
          </w:p>
        </w:tc>
        <w:tc>
          <w:tcPr>
            <w:tcW w:w="607" w:type="pct"/>
            <w:tcBorders>
              <w:top w:val="nil"/>
              <w:left w:val="nil"/>
              <w:bottom w:val="single" w:sz="4" w:space="0" w:color="auto"/>
              <w:right w:val="nil"/>
            </w:tcBorders>
            <w:shd w:val="clear" w:color="auto" w:fill="auto"/>
            <w:vAlign w:val="bottom"/>
            <w:hideMark/>
          </w:tcPr>
          <w:p w14:paraId="1F17716E" w14:textId="3CCAFC5F" w:rsidR="004B4E50" w:rsidRPr="0086157C" w:rsidRDefault="004B4E50" w:rsidP="002E7456">
            <w:pPr>
              <w:jc w:val="center"/>
              <w:rPr>
                <w:rFonts w:ascii="Arial" w:eastAsia="Times New Roman" w:hAnsi="Arial" w:cs="Arial"/>
                <w:b/>
                <w:bCs/>
                <w:color w:val="000000"/>
                <w:sz w:val="18"/>
                <w:szCs w:val="18"/>
                <w:lang w:val="sk-SK" w:eastAsia="sk-SK"/>
              </w:rPr>
            </w:pPr>
            <w:r w:rsidRPr="0086157C">
              <w:rPr>
                <w:rFonts w:ascii="Arial" w:eastAsia="Times New Roman" w:hAnsi="Arial" w:cs="Arial"/>
                <w:b/>
                <w:bCs/>
                <w:color w:val="000000"/>
                <w:sz w:val="18"/>
                <w:szCs w:val="18"/>
                <w:lang w:val="sk-SK" w:eastAsia="sk-SK"/>
              </w:rPr>
              <w:t xml:space="preserve">Finančné aktíva do splatnosti </w:t>
            </w:r>
          </w:p>
        </w:tc>
        <w:tc>
          <w:tcPr>
            <w:tcW w:w="105" w:type="pct"/>
            <w:tcBorders>
              <w:top w:val="nil"/>
              <w:left w:val="nil"/>
              <w:bottom w:val="single" w:sz="4" w:space="0" w:color="auto"/>
              <w:right w:val="nil"/>
            </w:tcBorders>
            <w:shd w:val="clear" w:color="auto" w:fill="auto"/>
            <w:vAlign w:val="bottom"/>
            <w:hideMark/>
          </w:tcPr>
          <w:p w14:paraId="61675BD4" w14:textId="77777777" w:rsidR="004B4E50" w:rsidRPr="0086157C" w:rsidRDefault="004B4E50" w:rsidP="002E7456">
            <w:pPr>
              <w:jc w:val="center"/>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 </w:t>
            </w:r>
          </w:p>
        </w:tc>
        <w:tc>
          <w:tcPr>
            <w:tcW w:w="690" w:type="pct"/>
            <w:tcBorders>
              <w:top w:val="nil"/>
              <w:left w:val="nil"/>
              <w:bottom w:val="single" w:sz="4" w:space="0" w:color="auto"/>
              <w:right w:val="nil"/>
            </w:tcBorders>
            <w:shd w:val="clear" w:color="auto" w:fill="auto"/>
            <w:vAlign w:val="bottom"/>
            <w:hideMark/>
          </w:tcPr>
          <w:p w14:paraId="553AD02C" w14:textId="5240AA24" w:rsidR="004B4E50" w:rsidRPr="0086157C" w:rsidRDefault="004B4E50" w:rsidP="002E7456">
            <w:pPr>
              <w:jc w:val="center"/>
              <w:rPr>
                <w:rFonts w:ascii="Arial" w:eastAsia="Times New Roman" w:hAnsi="Arial" w:cs="Arial"/>
                <w:b/>
                <w:bCs/>
                <w:color w:val="000000"/>
                <w:sz w:val="18"/>
                <w:szCs w:val="18"/>
                <w:lang w:val="sk-SK" w:eastAsia="sk-SK"/>
              </w:rPr>
            </w:pPr>
            <w:r w:rsidRPr="0086157C">
              <w:rPr>
                <w:rFonts w:ascii="Arial" w:eastAsia="Times New Roman" w:hAnsi="Arial" w:cs="Arial"/>
                <w:b/>
                <w:bCs/>
                <w:color w:val="000000"/>
                <w:sz w:val="18"/>
                <w:szCs w:val="18"/>
                <w:lang w:val="sk-SK" w:eastAsia="sk-SK"/>
              </w:rPr>
              <w:t xml:space="preserve">Finančné aktíva po splatnosti bez zníženia hodnoty </w:t>
            </w:r>
          </w:p>
        </w:tc>
        <w:tc>
          <w:tcPr>
            <w:tcW w:w="105" w:type="pct"/>
            <w:tcBorders>
              <w:top w:val="nil"/>
              <w:left w:val="nil"/>
              <w:bottom w:val="single" w:sz="4" w:space="0" w:color="auto"/>
              <w:right w:val="nil"/>
            </w:tcBorders>
            <w:shd w:val="clear" w:color="auto" w:fill="auto"/>
            <w:vAlign w:val="bottom"/>
            <w:hideMark/>
          </w:tcPr>
          <w:p w14:paraId="4C510100" w14:textId="77777777" w:rsidR="004B4E50" w:rsidRPr="0086157C" w:rsidRDefault="004B4E50" w:rsidP="002E7456">
            <w:pPr>
              <w:jc w:val="center"/>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 </w:t>
            </w:r>
          </w:p>
        </w:tc>
        <w:tc>
          <w:tcPr>
            <w:tcW w:w="630" w:type="pct"/>
            <w:tcBorders>
              <w:top w:val="nil"/>
              <w:left w:val="nil"/>
              <w:bottom w:val="single" w:sz="4" w:space="0" w:color="auto"/>
              <w:right w:val="nil"/>
            </w:tcBorders>
            <w:shd w:val="clear" w:color="auto" w:fill="auto"/>
            <w:vAlign w:val="bottom"/>
            <w:hideMark/>
          </w:tcPr>
          <w:p w14:paraId="5AA02EBF" w14:textId="15CC1AEC" w:rsidR="004B4E50" w:rsidRPr="0086157C" w:rsidRDefault="004B4E50" w:rsidP="002E7456">
            <w:pPr>
              <w:jc w:val="center"/>
              <w:rPr>
                <w:rFonts w:ascii="Arial" w:eastAsia="Times New Roman" w:hAnsi="Arial" w:cs="Arial"/>
                <w:b/>
                <w:bCs/>
                <w:color w:val="000000"/>
                <w:sz w:val="18"/>
                <w:szCs w:val="18"/>
                <w:lang w:val="sk-SK" w:eastAsia="sk-SK"/>
              </w:rPr>
            </w:pPr>
            <w:r w:rsidRPr="0086157C">
              <w:rPr>
                <w:rFonts w:ascii="Arial" w:eastAsia="Times New Roman" w:hAnsi="Arial" w:cs="Arial"/>
                <w:b/>
                <w:bCs/>
                <w:color w:val="000000"/>
                <w:sz w:val="18"/>
                <w:szCs w:val="18"/>
                <w:lang w:val="sk-SK" w:eastAsia="sk-SK"/>
              </w:rPr>
              <w:t xml:space="preserve">Finančné aktíva so znížením hodnoty </w:t>
            </w:r>
          </w:p>
        </w:tc>
        <w:tc>
          <w:tcPr>
            <w:tcW w:w="105" w:type="pct"/>
            <w:tcBorders>
              <w:top w:val="nil"/>
              <w:left w:val="nil"/>
              <w:bottom w:val="single" w:sz="4" w:space="0" w:color="auto"/>
              <w:right w:val="nil"/>
            </w:tcBorders>
            <w:shd w:val="clear" w:color="auto" w:fill="auto"/>
            <w:vAlign w:val="bottom"/>
            <w:hideMark/>
          </w:tcPr>
          <w:p w14:paraId="4E2E35BE" w14:textId="77777777" w:rsidR="004B4E50" w:rsidRPr="0086157C" w:rsidRDefault="004B4E50" w:rsidP="002E7456">
            <w:pPr>
              <w:jc w:val="center"/>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 </w:t>
            </w:r>
          </w:p>
        </w:tc>
        <w:tc>
          <w:tcPr>
            <w:tcW w:w="532" w:type="pct"/>
            <w:tcBorders>
              <w:top w:val="nil"/>
              <w:left w:val="nil"/>
              <w:bottom w:val="single" w:sz="4" w:space="0" w:color="auto"/>
              <w:right w:val="nil"/>
            </w:tcBorders>
            <w:shd w:val="clear" w:color="auto" w:fill="auto"/>
            <w:vAlign w:val="bottom"/>
            <w:hideMark/>
          </w:tcPr>
          <w:p w14:paraId="5DD0AA7D" w14:textId="52317C2B" w:rsidR="004B4E50" w:rsidRPr="0086157C" w:rsidRDefault="004B4E50" w:rsidP="002E7456">
            <w:pPr>
              <w:jc w:val="center"/>
              <w:rPr>
                <w:rFonts w:ascii="Arial" w:eastAsia="Times New Roman" w:hAnsi="Arial" w:cs="Arial"/>
                <w:b/>
                <w:bCs/>
                <w:color w:val="000000"/>
                <w:sz w:val="18"/>
                <w:szCs w:val="18"/>
                <w:lang w:val="sk-SK" w:eastAsia="sk-SK"/>
              </w:rPr>
            </w:pPr>
            <w:r w:rsidRPr="0086157C">
              <w:rPr>
                <w:rFonts w:ascii="Arial" w:eastAsia="Times New Roman" w:hAnsi="Arial" w:cs="Arial"/>
                <w:b/>
                <w:bCs/>
                <w:color w:val="000000"/>
                <w:sz w:val="18"/>
                <w:szCs w:val="18"/>
                <w:lang w:val="sk-SK" w:eastAsia="sk-SK"/>
              </w:rPr>
              <w:t xml:space="preserve">Celkom </w:t>
            </w:r>
          </w:p>
        </w:tc>
      </w:tr>
      <w:tr w:rsidR="008915C0" w:rsidRPr="0086157C" w14:paraId="71FFD783" w14:textId="77777777" w:rsidTr="001C5911">
        <w:trPr>
          <w:trHeight w:val="217"/>
        </w:trPr>
        <w:tc>
          <w:tcPr>
            <w:tcW w:w="2227" w:type="pct"/>
            <w:tcBorders>
              <w:top w:val="nil"/>
              <w:left w:val="nil"/>
              <w:bottom w:val="nil"/>
              <w:right w:val="nil"/>
            </w:tcBorders>
            <w:shd w:val="clear" w:color="auto" w:fill="auto"/>
            <w:vAlign w:val="bottom"/>
            <w:hideMark/>
          </w:tcPr>
          <w:p w14:paraId="35B6B960" w14:textId="07785593" w:rsidR="008915C0" w:rsidRPr="0086157C" w:rsidRDefault="008915C0" w:rsidP="008915C0">
            <w:pPr>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Pohľadávky z obchodného styku (krátkodobé a dlhodobé) (Pozn. 10)</w:t>
            </w:r>
          </w:p>
        </w:tc>
        <w:tc>
          <w:tcPr>
            <w:tcW w:w="607" w:type="pct"/>
            <w:tcBorders>
              <w:top w:val="nil"/>
              <w:left w:val="nil"/>
              <w:bottom w:val="nil"/>
              <w:right w:val="nil"/>
            </w:tcBorders>
            <w:shd w:val="clear" w:color="auto" w:fill="auto"/>
            <w:vAlign w:val="bottom"/>
          </w:tcPr>
          <w:p w14:paraId="16F90290" w14:textId="33A9E24B" w:rsidR="008915C0" w:rsidRPr="0086157C" w:rsidRDefault="008915C0" w:rsidP="008915C0">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 xml:space="preserve">12 </w:t>
            </w:r>
            <w:r w:rsidR="00862916" w:rsidRPr="0086157C">
              <w:rPr>
                <w:rFonts w:ascii="Arial" w:eastAsia="Times New Roman" w:hAnsi="Arial" w:cs="Arial"/>
                <w:color w:val="000000"/>
                <w:sz w:val="18"/>
                <w:szCs w:val="18"/>
                <w:lang w:val="sk-SK" w:eastAsia="sk-SK"/>
              </w:rPr>
              <w:t>80</w:t>
            </w:r>
            <w:r w:rsidR="003A59DD">
              <w:rPr>
                <w:rFonts w:ascii="Arial" w:eastAsia="Times New Roman" w:hAnsi="Arial" w:cs="Arial"/>
                <w:color w:val="000000"/>
                <w:sz w:val="18"/>
                <w:szCs w:val="18"/>
                <w:lang w:val="sk-SK" w:eastAsia="sk-SK"/>
              </w:rPr>
              <w:t>8</w:t>
            </w:r>
          </w:p>
        </w:tc>
        <w:tc>
          <w:tcPr>
            <w:tcW w:w="105" w:type="pct"/>
            <w:tcBorders>
              <w:top w:val="nil"/>
              <w:left w:val="nil"/>
              <w:bottom w:val="nil"/>
              <w:right w:val="nil"/>
            </w:tcBorders>
            <w:shd w:val="clear" w:color="auto" w:fill="auto"/>
            <w:vAlign w:val="bottom"/>
          </w:tcPr>
          <w:p w14:paraId="69E41258" w14:textId="77777777" w:rsidR="008915C0" w:rsidRPr="0086157C" w:rsidRDefault="008915C0" w:rsidP="008915C0">
            <w:pPr>
              <w:jc w:val="right"/>
              <w:rPr>
                <w:rFonts w:ascii="Arial" w:eastAsia="Times New Roman" w:hAnsi="Arial" w:cs="Arial"/>
                <w:color w:val="000000"/>
                <w:sz w:val="18"/>
                <w:szCs w:val="18"/>
                <w:lang w:val="sk-SK" w:eastAsia="sk-SK"/>
              </w:rPr>
            </w:pPr>
          </w:p>
        </w:tc>
        <w:tc>
          <w:tcPr>
            <w:tcW w:w="690" w:type="pct"/>
            <w:tcBorders>
              <w:top w:val="nil"/>
              <w:left w:val="nil"/>
              <w:bottom w:val="nil"/>
              <w:right w:val="nil"/>
            </w:tcBorders>
            <w:shd w:val="clear" w:color="auto" w:fill="auto"/>
            <w:vAlign w:val="bottom"/>
          </w:tcPr>
          <w:p w14:paraId="6DA0B779" w14:textId="78A0E566" w:rsidR="008915C0" w:rsidRPr="0086157C" w:rsidRDefault="008915C0" w:rsidP="008915C0">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6 356</w:t>
            </w:r>
          </w:p>
        </w:tc>
        <w:tc>
          <w:tcPr>
            <w:tcW w:w="105" w:type="pct"/>
            <w:tcBorders>
              <w:top w:val="nil"/>
              <w:left w:val="nil"/>
              <w:bottom w:val="nil"/>
              <w:right w:val="nil"/>
            </w:tcBorders>
            <w:shd w:val="clear" w:color="auto" w:fill="auto"/>
            <w:vAlign w:val="bottom"/>
          </w:tcPr>
          <w:p w14:paraId="49AB8050" w14:textId="77777777" w:rsidR="008915C0" w:rsidRPr="0086157C" w:rsidRDefault="008915C0" w:rsidP="008915C0">
            <w:pPr>
              <w:jc w:val="right"/>
              <w:rPr>
                <w:rFonts w:ascii="Arial" w:eastAsia="Times New Roman" w:hAnsi="Arial" w:cs="Arial"/>
                <w:color w:val="000000"/>
                <w:sz w:val="18"/>
                <w:szCs w:val="18"/>
                <w:lang w:val="sk-SK" w:eastAsia="sk-SK"/>
              </w:rPr>
            </w:pPr>
          </w:p>
        </w:tc>
        <w:tc>
          <w:tcPr>
            <w:tcW w:w="630" w:type="pct"/>
            <w:tcBorders>
              <w:top w:val="nil"/>
              <w:left w:val="nil"/>
              <w:bottom w:val="nil"/>
              <w:right w:val="nil"/>
            </w:tcBorders>
            <w:shd w:val="clear" w:color="auto" w:fill="auto"/>
            <w:vAlign w:val="bottom"/>
          </w:tcPr>
          <w:p w14:paraId="53665181" w14:textId="4F8D808D" w:rsidR="008915C0" w:rsidRPr="0086157C" w:rsidRDefault="008915C0" w:rsidP="008915C0">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1</w:t>
            </w:r>
          </w:p>
        </w:tc>
        <w:tc>
          <w:tcPr>
            <w:tcW w:w="105" w:type="pct"/>
            <w:tcBorders>
              <w:top w:val="nil"/>
              <w:left w:val="nil"/>
              <w:bottom w:val="nil"/>
              <w:right w:val="nil"/>
            </w:tcBorders>
            <w:shd w:val="clear" w:color="auto" w:fill="auto"/>
            <w:vAlign w:val="bottom"/>
          </w:tcPr>
          <w:p w14:paraId="1751B6E7" w14:textId="77777777" w:rsidR="008915C0" w:rsidRPr="0086157C" w:rsidRDefault="008915C0" w:rsidP="008915C0">
            <w:pPr>
              <w:jc w:val="right"/>
              <w:rPr>
                <w:rFonts w:ascii="Arial" w:eastAsia="Times New Roman" w:hAnsi="Arial" w:cs="Arial"/>
                <w:color w:val="000000"/>
                <w:sz w:val="18"/>
                <w:szCs w:val="18"/>
                <w:lang w:val="sk-SK" w:eastAsia="sk-SK"/>
              </w:rPr>
            </w:pPr>
          </w:p>
        </w:tc>
        <w:tc>
          <w:tcPr>
            <w:tcW w:w="532" w:type="pct"/>
            <w:tcBorders>
              <w:top w:val="nil"/>
              <w:left w:val="nil"/>
              <w:bottom w:val="nil"/>
              <w:right w:val="nil"/>
            </w:tcBorders>
            <w:shd w:val="clear" w:color="auto" w:fill="auto"/>
            <w:vAlign w:val="bottom"/>
          </w:tcPr>
          <w:p w14:paraId="34E28B1E" w14:textId="0AD4ECCD" w:rsidR="008915C0" w:rsidRPr="0086157C" w:rsidRDefault="008915C0" w:rsidP="008915C0">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1</w:t>
            </w:r>
            <w:r w:rsidR="00FC74F8" w:rsidRPr="0086157C">
              <w:rPr>
                <w:rFonts w:ascii="Arial" w:eastAsia="Times New Roman" w:hAnsi="Arial" w:cs="Arial"/>
                <w:color w:val="000000"/>
                <w:sz w:val="18"/>
                <w:szCs w:val="18"/>
                <w:lang w:val="sk-SK" w:eastAsia="sk-SK"/>
              </w:rPr>
              <w:t>9</w:t>
            </w:r>
            <w:r w:rsidRPr="0086157C">
              <w:rPr>
                <w:rFonts w:ascii="Arial" w:eastAsia="Times New Roman" w:hAnsi="Arial" w:cs="Arial"/>
                <w:color w:val="000000"/>
                <w:sz w:val="18"/>
                <w:szCs w:val="18"/>
                <w:lang w:val="sk-SK" w:eastAsia="sk-SK"/>
              </w:rPr>
              <w:t xml:space="preserve"> </w:t>
            </w:r>
            <w:r w:rsidR="00FC74F8" w:rsidRPr="0086157C">
              <w:rPr>
                <w:rFonts w:ascii="Arial" w:eastAsia="Times New Roman" w:hAnsi="Arial" w:cs="Arial"/>
                <w:color w:val="000000"/>
                <w:sz w:val="18"/>
                <w:szCs w:val="18"/>
                <w:lang w:val="sk-SK" w:eastAsia="sk-SK"/>
              </w:rPr>
              <w:t>16</w:t>
            </w:r>
            <w:r w:rsidR="003A59DD">
              <w:rPr>
                <w:rFonts w:ascii="Arial" w:eastAsia="Times New Roman" w:hAnsi="Arial" w:cs="Arial"/>
                <w:color w:val="000000"/>
                <w:sz w:val="18"/>
                <w:szCs w:val="18"/>
                <w:lang w:val="sk-SK" w:eastAsia="sk-SK"/>
              </w:rPr>
              <w:t>5</w:t>
            </w:r>
          </w:p>
        </w:tc>
      </w:tr>
      <w:tr w:rsidR="008915C0" w:rsidRPr="0086157C" w14:paraId="5E07D31C" w14:textId="77777777" w:rsidTr="001C5911">
        <w:trPr>
          <w:trHeight w:val="217"/>
        </w:trPr>
        <w:tc>
          <w:tcPr>
            <w:tcW w:w="2227" w:type="pct"/>
            <w:tcBorders>
              <w:top w:val="nil"/>
              <w:left w:val="nil"/>
              <w:bottom w:val="nil"/>
              <w:right w:val="nil"/>
            </w:tcBorders>
            <w:shd w:val="clear" w:color="auto" w:fill="auto"/>
            <w:vAlign w:val="bottom"/>
            <w:hideMark/>
          </w:tcPr>
          <w:p w14:paraId="7EFB9FB7" w14:textId="3C3C8894" w:rsidR="008915C0" w:rsidRPr="0086157C" w:rsidRDefault="008915C0" w:rsidP="008915C0">
            <w:pPr>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Iné pohľadávky (Pozn. 10)</w:t>
            </w:r>
          </w:p>
        </w:tc>
        <w:tc>
          <w:tcPr>
            <w:tcW w:w="607" w:type="pct"/>
            <w:tcBorders>
              <w:top w:val="nil"/>
              <w:left w:val="nil"/>
              <w:bottom w:val="nil"/>
              <w:right w:val="nil"/>
            </w:tcBorders>
            <w:shd w:val="clear" w:color="auto" w:fill="auto"/>
            <w:vAlign w:val="bottom"/>
          </w:tcPr>
          <w:p w14:paraId="139D09A2" w14:textId="4B2AE9D0" w:rsidR="008915C0" w:rsidRPr="0086157C" w:rsidRDefault="008915C0" w:rsidP="008915C0">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45</w:t>
            </w:r>
          </w:p>
        </w:tc>
        <w:tc>
          <w:tcPr>
            <w:tcW w:w="105" w:type="pct"/>
            <w:tcBorders>
              <w:top w:val="nil"/>
              <w:left w:val="nil"/>
              <w:bottom w:val="nil"/>
              <w:right w:val="nil"/>
            </w:tcBorders>
            <w:shd w:val="clear" w:color="auto" w:fill="auto"/>
            <w:vAlign w:val="bottom"/>
          </w:tcPr>
          <w:p w14:paraId="0A873EA8" w14:textId="77777777" w:rsidR="008915C0" w:rsidRPr="0086157C" w:rsidRDefault="008915C0" w:rsidP="008915C0">
            <w:pPr>
              <w:jc w:val="right"/>
              <w:rPr>
                <w:rFonts w:ascii="Arial" w:eastAsia="Times New Roman" w:hAnsi="Arial" w:cs="Arial"/>
                <w:color w:val="000000"/>
                <w:sz w:val="18"/>
                <w:szCs w:val="18"/>
                <w:lang w:val="sk-SK" w:eastAsia="sk-SK"/>
              </w:rPr>
            </w:pPr>
          </w:p>
        </w:tc>
        <w:tc>
          <w:tcPr>
            <w:tcW w:w="690" w:type="pct"/>
            <w:tcBorders>
              <w:top w:val="nil"/>
              <w:left w:val="nil"/>
              <w:bottom w:val="nil"/>
              <w:right w:val="nil"/>
            </w:tcBorders>
            <w:shd w:val="clear" w:color="auto" w:fill="auto"/>
            <w:vAlign w:val="bottom"/>
          </w:tcPr>
          <w:p w14:paraId="017B6C5B" w14:textId="4858BEC8" w:rsidR="008915C0" w:rsidRPr="0086157C" w:rsidRDefault="008915C0" w:rsidP="008915C0">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w:t>
            </w:r>
          </w:p>
        </w:tc>
        <w:tc>
          <w:tcPr>
            <w:tcW w:w="105" w:type="pct"/>
            <w:tcBorders>
              <w:top w:val="nil"/>
              <w:left w:val="nil"/>
              <w:bottom w:val="nil"/>
              <w:right w:val="nil"/>
            </w:tcBorders>
            <w:shd w:val="clear" w:color="auto" w:fill="auto"/>
            <w:vAlign w:val="bottom"/>
          </w:tcPr>
          <w:p w14:paraId="76F890CF" w14:textId="77777777" w:rsidR="008915C0" w:rsidRPr="0086157C" w:rsidRDefault="008915C0" w:rsidP="008915C0">
            <w:pPr>
              <w:jc w:val="right"/>
              <w:rPr>
                <w:rFonts w:ascii="Arial" w:eastAsia="Times New Roman" w:hAnsi="Arial" w:cs="Arial"/>
                <w:color w:val="000000"/>
                <w:sz w:val="18"/>
                <w:szCs w:val="18"/>
                <w:lang w:val="sk-SK" w:eastAsia="sk-SK"/>
              </w:rPr>
            </w:pPr>
          </w:p>
        </w:tc>
        <w:tc>
          <w:tcPr>
            <w:tcW w:w="630" w:type="pct"/>
            <w:tcBorders>
              <w:top w:val="nil"/>
              <w:left w:val="nil"/>
              <w:bottom w:val="nil"/>
              <w:right w:val="nil"/>
            </w:tcBorders>
            <w:shd w:val="clear" w:color="auto" w:fill="auto"/>
            <w:vAlign w:val="bottom"/>
          </w:tcPr>
          <w:p w14:paraId="38D8466B" w14:textId="0F9BDFEB" w:rsidR="008915C0" w:rsidRPr="0086157C" w:rsidRDefault="008915C0" w:rsidP="008915C0">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w:t>
            </w:r>
          </w:p>
        </w:tc>
        <w:tc>
          <w:tcPr>
            <w:tcW w:w="105" w:type="pct"/>
            <w:tcBorders>
              <w:top w:val="nil"/>
              <w:left w:val="nil"/>
              <w:bottom w:val="nil"/>
              <w:right w:val="nil"/>
            </w:tcBorders>
            <w:shd w:val="clear" w:color="auto" w:fill="auto"/>
            <w:vAlign w:val="bottom"/>
          </w:tcPr>
          <w:p w14:paraId="5C124791" w14:textId="77777777" w:rsidR="008915C0" w:rsidRPr="0086157C" w:rsidRDefault="008915C0" w:rsidP="008915C0">
            <w:pPr>
              <w:jc w:val="right"/>
              <w:rPr>
                <w:rFonts w:ascii="Arial" w:eastAsia="Times New Roman" w:hAnsi="Arial" w:cs="Arial"/>
                <w:color w:val="000000"/>
                <w:sz w:val="18"/>
                <w:szCs w:val="18"/>
                <w:lang w:val="sk-SK" w:eastAsia="sk-SK"/>
              </w:rPr>
            </w:pPr>
          </w:p>
        </w:tc>
        <w:tc>
          <w:tcPr>
            <w:tcW w:w="532" w:type="pct"/>
            <w:tcBorders>
              <w:top w:val="nil"/>
              <w:left w:val="nil"/>
              <w:bottom w:val="nil"/>
              <w:right w:val="nil"/>
            </w:tcBorders>
            <w:shd w:val="clear" w:color="auto" w:fill="auto"/>
            <w:vAlign w:val="bottom"/>
          </w:tcPr>
          <w:p w14:paraId="44507791" w14:textId="69E9E501" w:rsidR="008915C0" w:rsidRPr="0086157C" w:rsidRDefault="008915C0" w:rsidP="008915C0">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45</w:t>
            </w:r>
          </w:p>
        </w:tc>
      </w:tr>
      <w:tr w:rsidR="00862916" w:rsidRPr="0086157C" w14:paraId="14DDBFEE" w14:textId="77777777" w:rsidTr="001C5911">
        <w:trPr>
          <w:trHeight w:val="217"/>
        </w:trPr>
        <w:tc>
          <w:tcPr>
            <w:tcW w:w="2227" w:type="pct"/>
            <w:tcBorders>
              <w:top w:val="nil"/>
              <w:left w:val="nil"/>
              <w:bottom w:val="nil"/>
              <w:right w:val="nil"/>
            </w:tcBorders>
            <w:shd w:val="clear" w:color="auto" w:fill="auto"/>
            <w:vAlign w:val="bottom"/>
          </w:tcPr>
          <w:p w14:paraId="7AA56A73" w14:textId="22F58476" w:rsidR="00862916" w:rsidRPr="0086157C" w:rsidRDefault="00862916" w:rsidP="005020AA">
            <w:pPr>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Príjmy budúcich období (</w:t>
            </w:r>
            <w:proofErr w:type="spellStart"/>
            <w:r w:rsidRPr="0086157C">
              <w:rPr>
                <w:rFonts w:ascii="Arial" w:eastAsia="Times New Roman" w:hAnsi="Arial" w:cs="Arial"/>
                <w:color w:val="000000"/>
                <w:sz w:val="18"/>
                <w:szCs w:val="18"/>
                <w:lang w:val="sk-SK" w:eastAsia="sk-SK"/>
              </w:rPr>
              <w:t>Poz</w:t>
            </w:r>
            <w:proofErr w:type="spellEnd"/>
            <w:r w:rsidRPr="0086157C">
              <w:rPr>
                <w:rFonts w:ascii="Arial" w:eastAsia="Times New Roman" w:hAnsi="Arial" w:cs="Arial"/>
                <w:color w:val="000000"/>
                <w:sz w:val="18"/>
                <w:szCs w:val="18"/>
                <w:lang w:val="sk-SK" w:eastAsia="sk-SK"/>
              </w:rPr>
              <w:t>. 11)</w:t>
            </w:r>
          </w:p>
        </w:tc>
        <w:tc>
          <w:tcPr>
            <w:tcW w:w="607" w:type="pct"/>
            <w:tcBorders>
              <w:top w:val="nil"/>
              <w:left w:val="nil"/>
              <w:bottom w:val="nil"/>
              <w:right w:val="nil"/>
            </w:tcBorders>
            <w:shd w:val="clear" w:color="auto" w:fill="auto"/>
            <w:vAlign w:val="bottom"/>
          </w:tcPr>
          <w:p w14:paraId="36F1B571" w14:textId="721BC31E" w:rsidR="00862916" w:rsidRPr="0086157C" w:rsidRDefault="00862916" w:rsidP="005020AA">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8 267</w:t>
            </w:r>
          </w:p>
        </w:tc>
        <w:tc>
          <w:tcPr>
            <w:tcW w:w="105" w:type="pct"/>
            <w:tcBorders>
              <w:top w:val="nil"/>
              <w:left w:val="nil"/>
              <w:bottom w:val="nil"/>
              <w:right w:val="nil"/>
            </w:tcBorders>
            <w:shd w:val="clear" w:color="auto" w:fill="auto"/>
            <w:vAlign w:val="bottom"/>
          </w:tcPr>
          <w:p w14:paraId="71CA7D99" w14:textId="77777777" w:rsidR="00862916" w:rsidRPr="0086157C" w:rsidRDefault="00862916" w:rsidP="005020AA">
            <w:pPr>
              <w:jc w:val="right"/>
              <w:rPr>
                <w:rFonts w:ascii="Arial" w:eastAsia="Times New Roman" w:hAnsi="Arial" w:cs="Arial"/>
                <w:color w:val="000000"/>
                <w:sz w:val="18"/>
                <w:szCs w:val="18"/>
                <w:lang w:val="sk-SK" w:eastAsia="sk-SK"/>
              </w:rPr>
            </w:pPr>
          </w:p>
        </w:tc>
        <w:tc>
          <w:tcPr>
            <w:tcW w:w="690" w:type="pct"/>
            <w:tcBorders>
              <w:top w:val="nil"/>
              <w:left w:val="nil"/>
              <w:bottom w:val="nil"/>
              <w:right w:val="nil"/>
            </w:tcBorders>
            <w:shd w:val="clear" w:color="auto" w:fill="auto"/>
            <w:vAlign w:val="bottom"/>
          </w:tcPr>
          <w:p w14:paraId="004156B7" w14:textId="2E194CF6" w:rsidR="00862916" w:rsidRPr="0086157C" w:rsidRDefault="00862916" w:rsidP="005020AA">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w:t>
            </w:r>
          </w:p>
        </w:tc>
        <w:tc>
          <w:tcPr>
            <w:tcW w:w="105" w:type="pct"/>
            <w:tcBorders>
              <w:top w:val="nil"/>
              <w:left w:val="nil"/>
              <w:bottom w:val="nil"/>
              <w:right w:val="nil"/>
            </w:tcBorders>
            <w:shd w:val="clear" w:color="auto" w:fill="auto"/>
            <w:vAlign w:val="bottom"/>
          </w:tcPr>
          <w:p w14:paraId="65A84EF8" w14:textId="77777777" w:rsidR="00862916" w:rsidRPr="0086157C" w:rsidRDefault="00862916" w:rsidP="005020AA">
            <w:pPr>
              <w:jc w:val="right"/>
              <w:rPr>
                <w:rFonts w:ascii="Arial" w:eastAsia="Times New Roman" w:hAnsi="Arial" w:cs="Arial"/>
                <w:color w:val="000000"/>
                <w:sz w:val="18"/>
                <w:szCs w:val="18"/>
                <w:lang w:val="sk-SK" w:eastAsia="sk-SK"/>
              </w:rPr>
            </w:pPr>
          </w:p>
        </w:tc>
        <w:tc>
          <w:tcPr>
            <w:tcW w:w="630" w:type="pct"/>
            <w:tcBorders>
              <w:top w:val="nil"/>
              <w:left w:val="nil"/>
              <w:bottom w:val="nil"/>
              <w:right w:val="nil"/>
            </w:tcBorders>
            <w:shd w:val="clear" w:color="auto" w:fill="auto"/>
            <w:vAlign w:val="bottom"/>
          </w:tcPr>
          <w:p w14:paraId="04EA6B8C" w14:textId="1BAA44F9" w:rsidR="00862916" w:rsidRPr="0086157C" w:rsidRDefault="00862916" w:rsidP="005020AA">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w:t>
            </w:r>
          </w:p>
        </w:tc>
        <w:tc>
          <w:tcPr>
            <w:tcW w:w="105" w:type="pct"/>
            <w:tcBorders>
              <w:top w:val="nil"/>
              <w:left w:val="nil"/>
              <w:bottom w:val="nil"/>
              <w:right w:val="nil"/>
            </w:tcBorders>
            <w:shd w:val="clear" w:color="auto" w:fill="auto"/>
            <w:vAlign w:val="bottom"/>
          </w:tcPr>
          <w:p w14:paraId="302C877E" w14:textId="77777777" w:rsidR="00862916" w:rsidRPr="0086157C" w:rsidRDefault="00862916" w:rsidP="005020AA">
            <w:pPr>
              <w:jc w:val="right"/>
              <w:rPr>
                <w:rFonts w:ascii="Arial" w:eastAsia="Times New Roman" w:hAnsi="Arial" w:cs="Arial"/>
                <w:color w:val="000000"/>
                <w:sz w:val="18"/>
                <w:szCs w:val="18"/>
                <w:lang w:val="sk-SK" w:eastAsia="sk-SK"/>
              </w:rPr>
            </w:pPr>
          </w:p>
        </w:tc>
        <w:tc>
          <w:tcPr>
            <w:tcW w:w="532" w:type="pct"/>
            <w:tcBorders>
              <w:top w:val="nil"/>
              <w:left w:val="nil"/>
              <w:bottom w:val="nil"/>
              <w:right w:val="nil"/>
            </w:tcBorders>
            <w:shd w:val="clear" w:color="auto" w:fill="auto"/>
            <w:vAlign w:val="bottom"/>
          </w:tcPr>
          <w:p w14:paraId="3756B801" w14:textId="448CAABD" w:rsidR="00862916" w:rsidRPr="0086157C" w:rsidRDefault="00862916" w:rsidP="005020AA">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8 267</w:t>
            </w:r>
          </w:p>
        </w:tc>
      </w:tr>
      <w:tr w:rsidR="008915C0" w:rsidRPr="0086157C" w14:paraId="164C211E" w14:textId="77777777" w:rsidTr="001C5911">
        <w:trPr>
          <w:trHeight w:val="217"/>
        </w:trPr>
        <w:tc>
          <w:tcPr>
            <w:tcW w:w="2227" w:type="pct"/>
            <w:tcBorders>
              <w:top w:val="nil"/>
              <w:left w:val="nil"/>
              <w:bottom w:val="nil"/>
              <w:right w:val="nil"/>
            </w:tcBorders>
            <w:shd w:val="clear" w:color="auto" w:fill="auto"/>
            <w:vAlign w:val="bottom"/>
          </w:tcPr>
          <w:p w14:paraId="53AF75CC" w14:textId="4C80548A" w:rsidR="008915C0" w:rsidRPr="0086157C" w:rsidRDefault="008915C0" w:rsidP="008915C0">
            <w:pPr>
              <w:rPr>
                <w:rFonts w:ascii="Arial" w:eastAsia="Times New Roman" w:hAnsi="Arial" w:cs="Arial"/>
                <w:color w:val="000000"/>
                <w:sz w:val="18"/>
                <w:szCs w:val="18"/>
                <w:lang w:val="sk-SK" w:eastAsia="sk-SK"/>
              </w:rPr>
            </w:pPr>
            <w:proofErr w:type="spellStart"/>
            <w:r w:rsidRPr="0086157C">
              <w:rPr>
                <w:rFonts w:ascii="Arial" w:eastAsia="Times New Roman" w:hAnsi="Arial" w:cs="Arial"/>
                <w:color w:val="000000"/>
                <w:sz w:val="18"/>
                <w:szCs w:val="18"/>
                <w:lang w:val="sk-SK" w:eastAsia="sk-SK"/>
              </w:rPr>
              <w:t>Poskytnutné</w:t>
            </w:r>
            <w:proofErr w:type="spellEnd"/>
            <w:r w:rsidRPr="0086157C">
              <w:rPr>
                <w:rFonts w:ascii="Arial" w:eastAsia="Times New Roman" w:hAnsi="Arial" w:cs="Arial"/>
                <w:color w:val="000000"/>
                <w:sz w:val="18"/>
                <w:szCs w:val="18"/>
                <w:lang w:val="sk-SK" w:eastAsia="sk-SK"/>
              </w:rPr>
              <w:t xml:space="preserve"> pôžičky (Pozn. 10)</w:t>
            </w:r>
          </w:p>
        </w:tc>
        <w:tc>
          <w:tcPr>
            <w:tcW w:w="607" w:type="pct"/>
            <w:tcBorders>
              <w:top w:val="nil"/>
              <w:left w:val="nil"/>
              <w:bottom w:val="nil"/>
              <w:right w:val="nil"/>
            </w:tcBorders>
            <w:shd w:val="clear" w:color="auto" w:fill="auto"/>
            <w:vAlign w:val="bottom"/>
          </w:tcPr>
          <w:p w14:paraId="0D46FCC3" w14:textId="4D033EC4" w:rsidR="008915C0" w:rsidRPr="0086157C" w:rsidRDefault="008915C0" w:rsidP="008915C0">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370</w:t>
            </w:r>
          </w:p>
        </w:tc>
        <w:tc>
          <w:tcPr>
            <w:tcW w:w="105" w:type="pct"/>
            <w:tcBorders>
              <w:top w:val="nil"/>
              <w:left w:val="nil"/>
              <w:bottom w:val="nil"/>
              <w:right w:val="nil"/>
            </w:tcBorders>
            <w:shd w:val="clear" w:color="auto" w:fill="auto"/>
            <w:vAlign w:val="bottom"/>
          </w:tcPr>
          <w:p w14:paraId="775B7CA9" w14:textId="77777777" w:rsidR="008915C0" w:rsidRPr="0086157C" w:rsidRDefault="008915C0" w:rsidP="008915C0">
            <w:pPr>
              <w:jc w:val="right"/>
              <w:rPr>
                <w:rFonts w:ascii="Arial" w:eastAsia="Times New Roman" w:hAnsi="Arial" w:cs="Arial"/>
                <w:color w:val="000000"/>
                <w:sz w:val="18"/>
                <w:szCs w:val="18"/>
                <w:lang w:val="sk-SK" w:eastAsia="sk-SK"/>
              </w:rPr>
            </w:pPr>
          </w:p>
        </w:tc>
        <w:tc>
          <w:tcPr>
            <w:tcW w:w="690" w:type="pct"/>
            <w:tcBorders>
              <w:top w:val="nil"/>
              <w:left w:val="nil"/>
              <w:bottom w:val="nil"/>
              <w:right w:val="nil"/>
            </w:tcBorders>
            <w:shd w:val="clear" w:color="auto" w:fill="auto"/>
            <w:vAlign w:val="bottom"/>
          </w:tcPr>
          <w:p w14:paraId="0BCA459A" w14:textId="3AB9C0E5" w:rsidR="008915C0" w:rsidRPr="0086157C" w:rsidRDefault="008915C0" w:rsidP="008915C0">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w:t>
            </w:r>
          </w:p>
        </w:tc>
        <w:tc>
          <w:tcPr>
            <w:tcW w:w="105" w:type="pct"/>
            <w:tcBorders>
              <w:top w:val="nil"/>
              <w:left w:val="nil"/>
              <w:bottom w:val="nil"/>
              <w:right w:val="nil"/>
            </w:tcBorders>
            <w:shd w:val="clear" w:color="auto" w:fill="auto"/>
            <w:vAlign w:val="bottom"/>
          </w:tcPr>
          <w:p w14:paraId="69DCCF21" w14:textId="77777777" w:rsidR="008915C0" w:rsidRPr="0086157C" w:rsidRDefault="008915C0" w:rsidP="008915C0">
            <w:pPr>
              <w:jc w:val="right"/>
              <w:rPr>
                <w:rFonts w:ascii="Arial" w:eastAsia="Times New Roman" w:hAnsi="Arial" w:cs="Arial"/>
                <w:color w:val="000000"/>
                <w:sz w:val="18"/>
                <w:szCs w:val="18"/>
                <w:lang w:val="sk-SK" w:eastAsia="sk-SK"/>
              </w:rPr>
            </w:pPr>
          </w:p>
        </w:tc>
        <w:tc>
          <w:tcPr>
            <w:tcW w:w="630" w:type="pct"/>
            <w:tcBorders>
              <w:top w:val="nil"/>
              <w:left w:val="nil"/>
              <w:bottom w:val="nil"/>
              <w:right w:val="nil"/>
            </w:tcBorders>
            <w:shd w:val="clear" w:color="auto" w:fill="auto"/>
            <w:vAlign w:val="bottom"/>
          </w:tcPr>
          <w:p w14:paraId="570308F1" w14:textId="0329D947" w:rsidR="008915C0" w:rsidRPr="0086157C" w:rsidRDefault="008915C0" w:rsidP="008915C0">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w:t>
            </w:r>
          </w:p>
        </w:tc>
        <w:tc>
          <w:tcPr>
            <w:tcW w:w="105" w:type="pct"/>
            <w:tcBorders>
              <w:top w:val="nil"/>
              <w:left w:val="nil"/>
              <w:bottom w:val="nil"/>
              <w:right w:val="nil"/>
            </w:tcBorders>
            <w:shd w:val="clear" w:color="auto" w:fill="auto"/>
            <w:vAlign w:val="bottom"/>
          </w:tcPr>
          <w:p w14:paraId="2A7AEB3B" w14:textId="77777777" w:rsidR="008915C0" w:rsidRPr="0086157C" w:rsidRDefault="008915C0" w:rsidP="008915C0">
            <w:pPr>
              <w:jc w:val="right"/>
              <w:rPr>
                <w:rFonts w:ascii="Arial" w:eastAsia="Times New Roman" w:hAnsi="Arial" w:cs="Arial"/>
                <w:color w:val="000000"/>
                <w:sz w:val="18"/>
                <w:szCs w:val="18"/>
                <w:lang w:val="sk-SK" w:eastAsia="sk-SK"/>
              </w:rPr>
            </w:pPr>
          </w:p>
        </w:tc>
        <w:tc>
          <w:tcPr>
            <w:tcW w:w="532" w:type="pct"/>
            <w:tcBorders>
              <w:top w:val="nil"/>
              <w:left w:val="nil"/>
              <w:bottom w:val="nil"/>
              <w:right w:val="nil"/>
            </w:tcBorders>
            <w:shd w:val="clear" w:color="auto" w:fill="auto"/>
            <w:vAlign w:val="bottom"/>
          </w:tcPr>
          <w:p w14:paraId="489EFC91" w14:textId="108BB228" w:rsidR="008915C0" w:rsidRPr="0086157C" w:rsidRDefault="008915C0" w:rsidP="008915C0">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370</w:t>
            </w:r>
          </w:p>
        </w:tc>
      </w:tr>
      <w:tr w:rsidR="008915C0" w:rsidRPr="0086157C" w14:paraId="2BE5B840" w14:textId="77777777" w:rsidTr="001C5911">
        <w:trPr>
          <w:trHeight w:val="217"/>
        </w:trPr>
        <w:tc>
          <w:tcPr>
            <w:tcW w:w="2227" w:type="pct"/>
            <w:tcBorders>
              <w:top w:val="nil"/>
              <w:left w:val="nil"/>
              <w:bottom w:val="nil"/>
              <w:right w:val="nil"/>
            </w:tcBorders>
            <w:shd w:val="clear" w:color="auto" w:fill="auto"/>
            <w:vAlign w:val="bottom"/>
            <w:hideMark/>
          </w:tcPr>
          <w:p w14:paraId="1DE11A68" w14:textId="1595A432" w:rsidR="008915C0" w:rsidRPr="0086157C" w:rsidRDefault="008915C0" w:rsidP="008915C0">
            <w:pPr>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Peniaze na bežných účtoch a peňažná hotovosť (Pozn. 1</w:t>
            </w:r>
            <w:r w:rsidR="00522218" w:rsidRPr="0086157C">
              <w:rPr>
                <w:rFonts w:ascii="Arial" w:eastAsia="Times New Roman" w:hAnsi="Arial" w:cs="Arial"/>
                <w:color w:val="000000"/>
                <w:sz w:val="18"/>
                <w:szCs w:val="18"/>
                <w:lang w:val="sk-SK" w:eastAsia="sk-SK"/>
              </w:rPr>
              <w:t>3</w:t>
            </w:r>
            <w:r w:rsidRPr="0086157C">
              <w:rPr>
                <w:rFonts w:ascii="Arial" w:eastAsia="Times New Roman" w:hAnsi="Arial" w:cs="Arial"/>
                <w:color w:val="000000"/>
                <w:sz w:val="18"/>
                <w:szCs w:val="18"/>
                <w:lang w:val="sk-SK" w:eastAsia="sk-SK"/>
              </w:rPr>
              <w:t>)</w:t>
            </w:r>
          </w:p>
        </w:tc>
        <w:tc>
          <w:tcPr>
            <w:tcW w:w="607" w:type="pct"/>
            <w:tcBorders>
              <w:top w:val="nil"/>
              <w:left w:val="nil"/>
              <w:bottom w:val="nil"/>
              <w:right w:val="nil"/>
            </w:tcBorders>
            <w:shd w:val="clear" w:color="auto" w:fill="auto"/>
            <w:vAlign w:val="bottom"/>
          </w:tcPr>
          <w:p w14:paraId="360E0306" w14:textId="5A3E70E9" w:rsidR="008915C0" w:rsidRPr="0086157C" w:rsidRDefault="008915C0" w:rsidP="008915C0">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3 002</w:t>
            </w:r>
          </w:p>
        </w:tc>
        <w:tc>
          <w:tcPr>
            <w:tcW w:w="105" w:type="pct"/>
            <w:tcBorders>
              <w:top w:val="nil"/>
              <w:left w:val="nil"/>
              <w:bottom w:val="nil"/>
              <w:right w:val="nil"/>
            </w:tcBorders>
            <w:shd w:val="clear" w:color="auto" w:fill="auto"/>
            <w:vAlign w:val="bottom"/>
          </w:tcPr>
          <w:p w14:paraId="5296D944" w14:textId="77777777" w:rsidR="008915C0" w:rsidRPr="0086157C" w:rsidRDefault="008915C0" w:rsidP="008915C0">
            <w:pPr>
              <w:jc w:val="right"/>
              <w:rPr>
                <w:rFonts w:ascii="Arial" w:eastAsia="Times New Roman" w:hAnsi="Arial" w:cs="Arial"/>
                <w:color w:val="000000"/>
                <w:sz w:val="18"/>
                <w:szCs w:val="18"/>
                <w:lang w:val="sk-SK" w:eastAsia="sk-SK"/>
              </w:rPr>
            </w:pPr>
          </w:p>
        </w:tc>
        <w:tc>
          <w:tcPr>
            <w:tcW w:w="690" w:type="pct"/>
            <w:tcBorders>
              <w:top w:val="nil"/>
              <w:left w:val="nil"/>
              <w:bottom w:val="nil"/>
              <w:right w:val="nil"/>
            </w:tcBorders>
            <w:shd w:val="clear" w:color="auto" w:fill="auto"/>
            <w:vAlign w:val="bottom"/>
          </w:tcPr>
          <w:p w14:paraId="0019E89D" w14:textId="287E8651" w:rsidR="008915C0" w:rsidRPr="0086157C" w:rsidRDefault="008915C0" w:rsidP="008915C0">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w:t>
            </w:r>
          </w:p>
        </w:tc>
        <w:tc>
          <w:tcPr>
            <w:tcW w:w="105" w:type="pct"/>
            <w:tcBorders>
              <w:top w:val="nil"/>
              <w:left w:val="nil"/>
              <w:bottom w:val="nil"/>
              <w:right w:val="nil"/>
            </w:tcBorders>
            <w:shd w:val="clear" w:color="auto" w:fill="auto"/>
            <w:vAlign w:val="bottom"/>
          </w:tcPr>
          <w:p w14:paraId="7CFD7984" w14:textId="77777777" w:rsidR="008915C0" w:rsidRPr="0086157C" w:rsidRDefault="008915C0" w:rsidP="008915C0">
            <w:pPr>
              <w:jc w:val="right"/>
              <w:rPr>
                <w:rFonts w:ascii="Arial" w:eastAsia="Times New Roman" w:hAnsi="Arial" w:cs="Arial"/>
                <w:color w:val="000000"/>
                <w:sz w:val="18"/>
                <w:szCs w:val="18"/>
                <w:lang w:val="sk-SK" w:eastAsia="sk-SK"/>
              </w:rPr>
            </w:pPr>
          </w:p>
        </w:tc>
        <w:tc>
          <w:tcPr>
            <w:tcW w:w="630" w:type="pct"/>
            <w:tcBorders>
              <w:top w:val="nil"/>
              <w:left w:val="nil"/>
              <w:bottom w:val="nil"/>
              <w:right w:val="nil"/>
            </w:tcBorders>
            <w:shd w:val="clear" w:color="auto" w:fill="auto"/>
            <w:vAlign w:val="bottom"/>
          </w:tcPr>
          <w:p w14:paraId="232BBCC9" w14:textId="18F3ABF1" w:rsidR="008915C0" w:rsidRPr="0086157C" w:rsidRDefault="008915C0" w:rsidP="008915C0">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w:t>
            </w:r>
          </w:p>
        </w:tc>
        <w:tc>
          <w:tcPr>
            <w:tcW w:w="105" w:type="pct"/>
            <w:tcBorders>
              <w:top w:val="nil"/>
              <w:left w:val="nil"/>
              <w:bottom w:val="nil"/>
              <w:right w:val="nil"/>
            </w:tcBorders>
            <w:shd w:val="clear" w:color="auto" w:fill="auto"/>
            <w:vAlign w:val="bottom"/>
          </w:tcPr>
          <w:p w14:paraId="5FF627A3" w14:textId="77777777" w:rsidR="008915C0" w:rsidRPr="0086157C" w:rsidRDefault="008915C0" w:rsidP="008915C0">
            <w:pPr>
              <w:jc w:val="right"/>
              <w:rPr>
                <w:rFonts w:ascii="Arial" w:eastAsia="Times New Roman" w:hAnsi="Arial" w:cs="Arial"/>
                <w:color w:val="000000"/>
                <w:sz w:val="18"/>
                <w:szCs w:val="18"/>
                <w:lang w:val="sk-SK" w:eastAsia="sk-SK"/>
              </w:rPr>
            </w:pPr>
          </w:p>
        </w:tc>
        <w:tc>
          <w:tcPr>
            <w:tcW w:w="532" w:type="pct"/>
            <w:tcBorders>
              <w:top w:val="nil"/>
              <w:left w:val="nil"/>
              <w:bottom w:val="nil"/>
              <w:right w:val="nil"/>
            </w:tcBorders>
            <w:shd w:val="clear" w:color="auto" w:fill="auto"/>
            <w:vAlign w:val="bottom"/>
          </w:tcPr>
          <w:p w14:paraId="015B7009" w14:textId="57180036" w:rsidR="008915C0" w:rsidRPr="0086157C" w:rsidRDefault="008915C0" w:rsidP="008915C0">
            <w:pPr>
              <w:jc w:val="right"/>
              <w:rPr>
                <w:rFonts w:ascii="Arial" w:eastAsia="Times New Roman" w:hAnsi="Arial" w:cs="Arial"/>
                <w:color w:val="000000"/>
                <w:sz w:val="18"/>
                <w:szCs w:val="18"/>
                <w:lang w:val="sk-SK" w:eastAsia="sk-SK"/>
              </w:rPr>
            </w:pPr>
            <w:r w:rsidRPr="0086157C">
              <w:rPr>
                <w:rFonts w:ascii="Arial" w:eastAsia="Times New Roman" w:hAnsi="Arial" w:cs="Arial"/>
                <w:color w:val="000000"/>
                <w:sz w:val="18"/>
                <w:szCs w:val="18"/>
                <w:lang w:val="sk-SK" w:eastAsia="sk-SK"/>
              </w:rPr>
              <w:t>3 002</w:t>
            </w:r>
          </w:p>
        </w:tc>
      </w:tr>
      <w:tr w:rsidR="008915C0" w:rsidRPr="0086157C" w14:paraId="6625CC94" w14:textId="77777777" w:rsidTr="001C5911">
        <w:trPr>
          <w:trHeight w:val="217"/>
        </w:trPr>
        <w:tc>
          <w:tcPr>
            <w:tcW w:w="2227" w:type="pct"/>
            <w:tcBorders>
              <w:top w:val="nil"/>
              <w:left w:val="nil"/>
              <w:bottom w:val="nil"/>
              <w:right w:val="nil"/>
            </w:tcBorders>
            <w:shd w:val="clear" w:color="auto" w:fill="auto"/>
            <w:vAlign w:val="bottom"/>
            <w:hideMark/>
          </w:tcPr>
          <w:p w14:paraId="26DA44D2" w14:textId="77777777" w:rsidR="008915C0" w:rsidRPr="0086157C" w:rsidRDefault="008915C0" w:rsidP="008915C0">
            <w:pPr>
              <w:rPr>
                <w:rFonts w:ascii="Arial" w:eastAsia="Times New Roman" w:hAnsi="Arial" w:cs="Arial"/>
                <w:b/>
                <w:bCs/>
                <w:color w:val="000000"/>
                <w:sz w:val="18"/>
                <w:szCs w:val="18"/>
                <w:lang w:val="sk-SK" w:eastAsia="sk-SK"/>
              </w:rPr>
            </w:pPr>
            <w:r w:rsidRPr="0086157C">
              <w:rPr>
                <w:rFonts w:ascii="Arial" w:eastAsia="Times New Roman" w:hAnsi="Arial" w:cs="Arial"/>
                <w:b/>
                <w:bCs/>
                <w:color w:val="000000"/>
                <w:sz w:val="18"/>
                <w:szCs w:val="18"/>
                <w:lang w:val="sk-SK" w:eastAsia="sk-SK"/>
              </w:rPr>
              <w:t>Celkom</w:t>
            </w:r>
          </w:p>
        </w:tc>
        <w:tc>
          <w:tcPr>
            <w:tcW w:w="607" w:type="pct"/>
            <w:tcBorders>
              <w:top w:val="single" w:sz="4" w:space="0" w:color="auto"/>
              <w:left w:val="nil"/>
              <w:bottom w:val="double" w:sz="6" w:space="0" w:color="auto"/>
              <w:right w:val="nil"/>
            </w:tcBorders>
            <w:shd w:val="clear" w:color="auto" w:fill="auto"/>
            <w:vAlign w:val="bottom"/>
          </w:tcPr>
          <w:p w14:paraId="6E629350" w14:textId="41040C1B" w:rsidR="008915C0" w:rsidRPr="0086157C" w:rsidRDefault="00862916" w:rsidP="008915C0">
            <w:pPr>
              <w:jc w:val="right"/>
              <w:rPr>
                <w:rFonts w:ascii="Arial" w:eastAsia="Times New Roman" w:hAnsi="Arial" w:cs="Arial"/>
                <w:b/>
                <w:bCs/>
                <w:color w:val="000000"/>
                <w:sz w:val="18"/>
                <w:szCs w:val="18"/>
                <w:lang w:val="sk-SK" w:eastAsia="sk-SK"/>
              </w:rPr>
            </w:pPr>
            <w:r w:rsidRPr="0086157C">
              <w:rPr>
                <w:rFonts w:ascii="Arial" w:eastAsia="Times New Roman" w:hAnsi="Arial" w:cs="Arial"/>
                <w:b/>
                <w:bCs/>
                <w:color w:val="000000"/>
                <w:sz w:val="18"/>
                <w:szCs w:val="18"/>
                <w:lang w:val="sk-SK" w:eastAsia="sk-SK"/>
              </w:rPr>
              <w:t>24 492</w:t>
            </w:r>
          </w:p>
        </w:tc>
        <w:tc>
          <w:tcPr>
            <w:tcW w:w="105" w:type="pct"/>
            <w:tcBorders>
              <w:top w:val="nil"/>
              <w:left w:val="nil"/>
              <w:bottom w:val="nil"/>
              <w:right w:val="nil"/>
            </w:tcBorders>
            <w:shd w:val="clear" w:color="auto" w:fill="auto"/>
            <w:vAlign w:val="bottom"/>
          </w:tcPr>
          <w:p w14:paraId="56BA43B5" w14:textId="77777777" w:rsidR="008915C0" w:rsidRPr="0086157C" w:rsidRDefault="008915C0" w:rsidP="008915C0">
            <w:pPr>
              <w:jc w:val="right"/>
              <w:rPr>
                <w:rFonts w:ascii="Arial" w:eastAsia="Times New Roman" w:hAnsi="Arial" w:cs="Arial"/>
                <w:b/>
                <w:bCs/>
                <w:color w:val="000000"/>
                <w:sz w:val="18"/>
                <w:szCs w:val="18"/>
                <w:lang w:val="sk-SK" w:eastAsia="sk-SK"/>
              </w:rPr>
            </w:pPr>
          </w:p>
        </w:tc>
        <w:tc>
          <w:tcPr>
            <w:tcW w:w="690" w:type="pct"/>
            <w:tcBorders>
              <w:top w:val="single" w:sz="4" w:space="0" w:color="auto"/>
              <w:left w:val="nil"/>
              <w:bottom w:val="double" w:sz="6" w:space="0" w:color="auto"/>
              <w:right w:val="nil"/>
            </w:tcBorders>
            <w:shd w:val="clear" w:color="auto" w:fill="auto"/>
            <w:vAlign w:val="bottom"/>
          </w:tcPr>
          <w:p w14:paraId="42C45EAE" w14:textId="2087CD1E" w:rsidR="008915C0" w:rsidRPr="0086157C" w:rsidRDefault="008915C0" w:rsidP="008915C0">
            <w:pPr>
              <w:jc w:val="right"/>
              <w:rPr>
                <w:rFonts w:ascii="Arial" w:eastAsia="Times New Roman" w:hAnsi="Arial" w:cs="Arial"/>
                <w:b/>
                <w:bCs/>
                <w:color w:val="000000"/>
                <w:sz w:val="18"/>
                <w:szCs w:val="18"/>
                <w:lang w:val="sk-SK" w:eastAsia="sk-SK"/>
              </w:rPr>
            </w:pPr>
            <w:r w:rsidRPr="0086157C">
              <w:rPr>
                <w:rFonts w:ascii="Arial" w:eastAsia="Times New Roman" w:hAnsi="Arial" w:cs="Arial"/>
                <w:b/>
                <w:bCs/>
                <w:color w:val="000000"/>
                <w:sz w:val="18"/>
                <w:szCs w:val="18"/>
                <w:lang w:val="sk-SK" w:eastAsia="sk-SK"/>
              </w:rPr>
              <w:t>6 356</w:t>
            </w:r>
          </w:p>
        </w:tc>
        <w:tc>
          <w:tcPr>
            <w:tcW w:w="105" w:type="pct"/>
            <w:tcBorders>
              <w:top w:val="nil"/>
              <w:left w:val="nil"/>
              <w:bottom w:val="nil"/>
              <w:right w:val="nil"/>
            </w:tcBorders>
            <w:shd w:val="clear" w:color="auto" w:fill="auto"/>
            <w:vAlign w:val="bottom"/>
          </w:tcPr>
          <w:p w14:paraId="02711095" w14:textId="77777777" w:rsidR="008915C0" w:rsidRPr="0086157C" w:rsidRDefault="008915C0" w:rsidP="008915C0">
            <w:pPr>
              <w:jc w:val="right"/>
              <w:rPr>
                <w:rFonts w:ascii="Arial" w:eastAsia="Times New Roman" w:hAnsi="Arial" w:cs="Arial"/>
                <w:b/>
                <w:bCs/>
                <w:color w:val="000000"/>
                <w:sz w:val="18"/>
                <w:szCs w:val="18"/>
                <w:lang w:val="sk-SK" w:eastAsia="sk-SK"/>
              </w:rPr>
            </w:pPr>
          </w:p>
        </w:tc>
        <w:tc>
          <w:tcPr>
            <w:tcW w:w="630" w:type="pct"/>
            <w:tcBorders>
              <w:top w:val="single" w:sz="4" w:space="0" w:color="auto"/>
              <w:left w:val="nil"/>
              <w:bottom w:val="double" w:sz="6" w:space="0" w:color="auto"/>
              <w:right w:val="nil"/>
            </w:tcBorders>
            <w:shd w:val="clear" w:color="auto" w:fill="auto"/>
            <w:vAlign w:val="bottom"/>
          </w:tcPr>
          <w:p w14:paraId="4695CFAA" w14:textId="14D4C347" w:rsidR="008915C0" w:rsidRPr="0086157C" w:rsidRDefault="008915C0" w:rsidP="008915C0">
            <w:pPr>
              <w:jc w:val="right"/>
              <w:rPr>
                <w:rFonts w:ascii="Arial" w:eastAsia="Times New Roman" w:hAnsi="Arial" w:cs="Arial"/>
                <w:b/>
                <w:bCs/>
                <w:color w:val="000000"/>
                <w:sz w:val="18"/>
                <w:szCs w:val="18"/>
                <w:lang w:val="sk-SK" w:eastAsia="sk-SK"/>
              </w:rPr>
            </w:pPr>
            <w:r w:rsidRPr="0086157C">
              <w:rPr>
                <w:rFonts w:ascii="Arial" w:eastAsia="Times New Roman" w:hAnsi="Arial" w:cs="Arial"/>
                <w:b/>
                <w:bCs/>
                <w:color w:val="000000"/>
                <w:sz w:val="18"/>
                <w:szCs w:val="18"/>
                <w:lang w:val="sk-SK" w:eastAsia="sk-SK"/>
              </w:rPr>
              <w:t>1</w:t>
            </w:r>
          </w:p>
        </w:tc>
        <w:tc>
          <w:tcPr>
            <w:tcW w:w="105" w:type="pct"/>
            <w:tcBorders>
              <w:top w:val="nil"/>
              <w:left w:val="nil"/>
              <w:bottom w:val="nil"/>
              <w:right w:val="nil"/>
            </w:tcBorders>
            <w:shd w:val="clear" w:color="auto" w:fill="auto"/>
            <w:vAlign w:val="bottom"/>
          </w:tcPr>
          <w:p w14:paraId="7C4C74B0" w14:textId="77777777" w:rsidR="008915C0" w:rsidRPr="0086157C" w:rsidRDefault="008915C0" w:rsidP="008915C0">
            <w:pPr>
              <w:jc w:val="right"/>
              <w:rPr>
                <w:rFonts w:ascii="Arial" w:eastAsia="Times New Roman" w:hAnsi="Arial" w:cs="Arial"/>
                <w:b/>
                <w:bCs/>
                <w:color w:val="000000"/>
                <w:sz w:val="18"/>
                <w:szCs w:val="18"/>
                <w:lang w:val="sk-SK" w:eastAsia="sk-SK"/>
              </w:rPr>
            </w:pPr>
          </w:p>
        </w:tc>
        <w:tc>
          <w:tcPr>
            <w:tcW w:w="532" w:type="pct"/>
            <w:tcBorders>
              <w:top w:val="single" w:sz="4" w:space="0" w:color="auto"/>
              <w:left w:val="nil"/>
              <w:bottom w:val="double" w:sz="6" w:space="0" w:color="auto"/>
              <w:right w:val="nil"/>
            </w:tcBorders>
            <w:shd w:val="clear" w:color="auto" w:fill="auto"/>
            <w:vAlign w:val="bottom"/>
          </w:tcPr>
          <w:p w14:paraId="1C25832B" w14:textId="275CDF85" w:rsidR="008915C0" w:rsidRPr="0086157C" w:rsidRDefault="00862916" w:rsidP="008915C0">
            <w:pPr>
              <w:jc w:val="right"/>
              <w:rPr>
                <w:rFonts w:ascii="Arial" w:eastAsia="Times New Roman" w:hAnsi="Arial" w:cs="Arial"/>
                <w:b/>
                <w:bCs/>
                <w:color w:val="000000"/>
                <w:sz w:val="18"/>
                <w:szCs w:val="18"/>
                <w:lang w:val="sk-SK" w:eastAsia="sk-SK"/>
              </w:rPr>
            </w:pPr>
            <w:r w:rsidRPr="0086157C">
              <w:rPr>
                <w:rFonts w:ascii="Arial" w:eastAsia="Times New Roman" w:hAnsi="Arial" w:cs="Arial"/>
                <w:b/>
                <w:bCs/>
                <w:color w:val="000000"/>
                <w:sz w:val="18"/>
                <w:szCs w:val="18"/>
                <w:lang w:val="sk-SK" w:eastAsia="sk-SK"/>
              </w:rPr>
              <w:t>30 84</w:t>
            </w:r>
            <w:r w:rsidR="002252EB">
              <w:rPr>
                <w:rFonts w:ascii="Arial" w:eastAsia="Times New Roman" w:hAnsi="Arial" w:cs="Arial"/>
                <w:b/>
                <w:bCs/>
                <w:color w:val="000000"/>
                <w:sz w:val="18"/>
                <w:szCs w:val="18"/>
                <w:lang w:val="sk-SK" w:eastAsia="sk-SK"/>
              </w:rPr>
              <w:t>9</w:t>
            </w:r>
          </w:p>
        </w:tc>
      </w:tr>
    </w:tbl>
    <w:bookmarkEnd w:id="195"/>
    <w:p w14:paraId="56F41E91" w14:textId="77777777" w:rsidR="00EE5896" w:rsidRDefault="00947556" w:rsidP="002E7456">
      <w:pPr>
        <w:suppressAutoHyphens/>
        <w:ind w:left="360"/>
        <w:rPr>
          <w:rFonts w:ascii="Arial" w:hAnsi="Arial" w:cs="Arial"/>
          <w:spacing w:val="4"/>
        </w:rPr>
      </w:pPr>
      <w:r w:rsidRPr="00226892">
        <w:rPr>
          <w:rFonts w:ascii="Arial" w:hAnsi="Arial" w:cs="Arial"/>
          <w:spacing w:val="4"/>
        </w:rPr>
        <w:t xml:space="preserve"> </w:t>
      </w:r>
      <w:bookmarkEnd w:id="194"/>
      <w:r w:rsidRPr="00226892">
        <w:rPr>
          <w:rFonts w:ascii="Arial" w:hAnsi="Arial" w:cs="Arial"/>
          <w:spacing w:val="4"/>
        </w:rPr>
        <w:t xml:space="preserve"> </w:t>
      </w:r>
    </w:p>
    <w:p w14:paraId="6AE1B484" w14:textId="3549454B" w:rsidR="002E7456" w:rsidRPr="00226892" w:rsidRDefault="00947556" w:rsidP="002E7456">
      <w:pPr>
        <w:suppressAutoHyphens/>
        <w:ind w:left="360"/>
        <w:rPr>
          <w:rFonts w:ascii="Arial" w:hAnsi="Arial" w:cs="Arial"/>
          <w:sz w:val="18"/>
          <w:szCs w:val="18"/>
        </w:rPr>
      </w:pPr>
      <w:r w:rsidRPr="00226892" w:rsidDel="00947556">
        <w:rPr>
          <w:rFonts w:ascii="Arial" w:hAnsi="Arial" w:cs="Arial"/>
          <w:spacing w:val="4"/>
        </w:rPr>
        <w:t xml:space="preserve"> </w:t>
      </w:r>
      <w:bookmarkStart w:id="196" w:name="FWT_AnalysisOfFinAssPY"/>
      <w:r w:rsidRPr="00226892">
        <w:rPr>
          <w:rFonts w:ascii="Arial" w:hAnsi="Arial" w:cs="Arial"/>
          <w:sz w:val="18"/>
          <w:szCs w:val="18"/>
        </w:rPr>
        <w:t xml:space="preserve"> </w:t>
      </w:r>
    </w:p>
    <w:bookmarkEnd w:id="196"/>
    <w:p w14:paraId="3C939D39" w14:textId="0C3E2B72" w:rsidR="00862916" w:rsidRDefault="00862916" w:rsidP="00862916">
      <w:pPr>
        <w:suppressAutoHyphens/>
        <w:jc w:val="both"/>
        <w:rPr>
          <w:rFonts w:ascii="Arial" w:hAnsi="Arial" w:cs="Arial"/>
        </w:rPr>
      </w:pPr>
      <w:proofErr w:type="spellStart"/>
      <w:r w:rsidRPr="00226892">
        <w:rPr>
          <w:rFonts w:ascii="Arial" w:hAnsi="Arial" w:cs="Arial"/>
        </w:rPr>
        <w:t>Tabuľka</w:t>
      </w:r>
      <w:proofErr w:type="spellEnd"/>
      <w:r w:rsidRPr="00226892">
        <w:rPr>
          <w:rFonts w:ascii="Arial" w:hAnsi="Arial" w:cs="Arial"/>
        </w:rPr>
        <w:t xml:space="preserve"> </w:t>
      </w:r>
      <w:proofErr w:type="spellStart"/>
      <w:r w:rsidRPr="00226892">
        <w:rPr>
          <w:rFonts w:ascii="Arial" w:hAnsi="Arial" w:cs="Arial"/>
        </w:rPr>
        <w:t>nižšie</w:t>
      </w:r>
      <w:proofErr w:type="spellEnd"/>
      <w:r w:rsidRPr="00226892">
        <w:rPr>
          <w:rFonts w:ascii="Arial" w:hAnsi="Arial" w:cs="Arial"/>
        </w:rPr>
        <w:t xml:space="preserve"> </w:t>
      </w:r>
      <w:proofErr w:type="spellStart"/>
      <w:r w:rsidRPr="00226892">
        <w:rPr>
          <w:rFonts w:ascii="Arial" w:hAnsi="Arial" w:cs="Arial"/>
        </w:rPr>
        <w:t>analyzuje</w:t>
      </w:r>
      <w:proofErr w:type="spellEnd"/>
      <w:r w:rsidRPr="00226892">
        <w:rPr>
          <w:rFonts w:ascii="Arial" w:hAnsi="Arial" w:cs="Arial"/>
        </w:rPr>
        <w:t xml:space="preserve"> </w:t>
      </w:r>
      <w:proofErr w:type="spellStart"/>
      <w:r w:rsidRPr="00226892">
        <w:rPr>
          <w:rFonts w:ascii="Arial" w:hAnsi="Arial" w:cs="Arial"/>
        </w:rPr>
        <w:t>zabezpečenie</w:t>
      </w:r>
      <w:proofErr w:type="spellEnd"/>
      <w:r w:rsidRPr="00226892">
        <w:rPr>
          <w:rFonts w:ascii="Arial" w:hAnsi="Arial" w:cs="Arial"/>
        </w:rPr>
        <w:t xml:space="preserve"> </w:t>
      </w:r>
      <w:proofErr w:type="spellStart"/>
      <w:r w:rsidRPr="00226892">
        <w:rPr>
          <w:rFonts w:ascii="Arial" w:hAnsi="Arial" w:cs="Arial"/>
        </w:rPr>
        <w:t>pohľadávok</w:t>
      </w:r>
      <w:proofErr w:type="spellEnd"/>
      <w:r w:rsidRPr="00226892">
        <w:rPr>
          <w:rFonts w:ascii="Arial" w:hAnsi="Arial" w:cs="Arial"/>
        </w:rPr>
        <w:t xml:space="preserve"> z </w:t>
      </w:r>
      <w:proofErr w:type="spellStart"/>
      <w:r w:rsidRPr="00226892">
        <w:rPr>
          <w:rFonts w:ascii="Arial" w:hAnsi="Arial" w:cs="Arial"/>
        </w:rPr>
        <w:t>obchodného</w:t>
      </w:r>
      <w:proofErr w:type="spellEnd"/>
      <w:r w:rsidRPr="00226892">
        <w:rPr>
          <w:rFonts w:ascii="Arial" w:hAnsi="Arial" w:cs="Arial"/>
        </w:rPr>
        <w:t xml:space="preserve"> </w:t>
      </w:r>
      <w:proofErr w:type="spellStart"/>
      <w:r w:rsidRPr="00226892">
        <w:rPr>
          <w:rFonts w:ascii="Arial" w:hAnsi="Arial" w:cs="Arial"/>
        </w:rPr>
        <w:t>styku</w:t>
      </w:r>
      <w:proofErr w:type="spellEnd"/>
      <w:r w:rsidRPr="00226892">
        <w:rPr>
          <w:rFonts w:ascii="Arial" w:hAnsi="Arial" w:cs="Arial"/>
        </w:rPr>
        <w:t>, </w:t>
      </w:r>
      <w:proofErr w:type="spellStart"/>
      <w:r w:rsidRPr="00226892">
        <w:rPr>
          <w:rFonts w:ascii="Arial" w:hAnsi="Arial" w:cs="Arial"/>
        </w:rPr>
        <w:t>iných</w:t>
      </w:r>
      <w:proofErr w:type="spellEnd"/>
      <w:r w:rsidRPr="00226892">
        <w:rPr>
          <w:rFonts w:ascii="Arial" w:hAnsi="Arial" w:cs="Arial"/>
        </w:rPr>
        <w:t xml:space="preserve"> </w:t>
      </w:r>
      <w:proofErr w:type="spellStart"/>
      <w:r w:rsidRPr="00226892">
        <w:rPr>
          <w:rFonts w:ascii="Arial" w:hAnsi="Arial" w:cs="Arial"/>
        </w:rPr>
        <w:t>pohľadávok</w:t>
      </w:r>
      <w:proofErr w:type="spellEnd"/>
      <w:r w:rsidRPr="00226892">
        <w:rPr>
          <w:rFonts w:ascii="Arial" w:hAnsi="Arial" w:cs="Arial"/>
        </w:rPr>
        <w:t xml:space="preserve"> a </w:t>
      </w:r>
      <w:proofErr w:type="spellStart"/>
      <w:r w:rsidRPr="00226892">
        <w:rPr>
          <w:rFonts w:ascii="Arial" w:hAnsi="Arial" w:cs="Arial"/>
        </w:rPr>
        <w:t>pôžičiek</w:t>
      </w:r>
      <w:proofErr w:type="spellEnd"/>
      <w:r w:rsidRPr="00226892">
        <w:rPr>
          <w:rFonts w:ascii="Arial" w:hAnsi="Arial" w:cs="Arial"/>
        </w:rPr>
        <w:t xml:space="preserve"> </w:t>
      </w:r>
      <w:proofErr w:type="spellStart"/>
      <w:r w:rsidRPr="00226892">
        <w:rPr>
          <w:rFonts w:ascii="Arial" w:hAnsi="Arial" w:cs="Arial"/>
        </w:rPr>
        <w:t>podľa</w:t>
      </w:r>
      <w:proofErr w:type="spellEnd"/>
      <w:r w:rsidRPr="00226892">
        <w:rPr>
          <w:rFonts w:ascii="Arial" w:hAnsi="Arial" w:cs="Arial"/>
        </w:rPr>
        <w:t xml:space="preserve"> </w:t>
      </w:r>
      <w:proofErr w:type="spellStart"/>
      <w:r w:rsidRPr="00226892">
        <w:rPr>
          <w:rFonts w:ascii="Arial" w:hAnsi="Arial" w:cs="Arial"/>
        </w:rPr>
        <w:t>typu</w:t>
      </w:r>
      <w:proofErr w:type="spellEnd"/>
      <w:r w:rsidRPr="00226892">
        <w:rPr>
          <w:rFonts w:ascii="Arial" w:hAnsi="Arial" w:cs="Arial"/>
        </w:rPr>
        <w:t xml:space="preserve"> </w:t>
      </w:r>
      <w:proofErr w:type="spellStart"/>
      <w:r w:rsidRPr="00226892">
        <w:rPr>
          <w:rFonts w:ascii="Arial" w:hAnsi="Arial" w:cs="Arial"/>
        </w:rPr>
        <w:t>zabezpečenia</w:t>
      </w:r>
      <w:proofErr w:type="spellEnd"/>
      <w:r w:rsidRPr="00226892">
        <w:rPr>
          <w:rFonts w:ascii="Arial" w:hAnsi="Arial" w:cs="Arial"/>
        </w:rPr>
        <w:t>:</w:t>
      </w:r>
    </w:p>
    <w:p w14:paraId="48155A1A" w14:textId="77777777" w:rsidR="008C40B4" w:rsidRPr="00226892" w:rsidRDefault="008C40B4" w:rsidP="00862916">
      <w:pPr>
        <w:suppressAutoHyphens/>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4098"/>
        <w:gridCol w:w="1403"/>
        <w:gridCol w:w="202"/>
        <w:gridCol w:w="1319"/>
        <w:gridCol w:w="202"/>
        <w:gridCol w:w="1209"/>
        <w:gridCol w:w="202"/>
        <w:gridCol w:w="1004"/>
      </w:tblGrid>
      <w:tr w:rsidR="00862916" w:rsidRPr="00226892" w14:paraId="4C52551F" w14:textId="77777777" w:rsidTr="001C5911">
        <w:trPr>
          <w:trHeight w:val="217"/>
        </w:trPr>
        <w:tc>
          <w:tcPr>
            <w:tcW w:w="2125" w:type="pct"/>
            <w:tcBorders>
              <w:top w:val="nil"/>
              <w:left w:val="nil"/>
              <w:bottom w:val="single" w:sz="4" w:space="0" w:color="auto"/>
              <w:right w:val="nil"/>
            </w:tcBorders>
            <w:shd w:val="clear" w:color="auto" w:fill="auto"/>
            <w:vAlign w:val="bottom"/>
            <w:hideMark/>
          </w:tcPr>
          <w:p w14:paraId="74EE8C4C" w14:textId="76A5DBA1" w:rsidR="00862916" w:rsidRPr="00226892" w:rsidRDefault="00862916" w:rsidP="005020AA">
            <w:pPr>
              <w:pStyle w:val="Odsekzoznamu"/>
              <w:ind w:left="0"/>
              <w:rPr>
                <w:rFonts w:ascii="Arial" w:hAnsi="Arial" w:cs="Arial"/>
                <w:b/>
                <w:bCs/>
                <w:color w:val="000000"/>
                <w:sz w:val="18"/>
                <w:szCs w:val="18"/>
                <w:lang w:eastAsia="sk-SK"/>
              </w:rPr>
            </w:pPr>
            <w:r w:rsidRPr="00226892">
              <w:rPr>
                <w:rFonts w:ascii="Arial" w:hAnsi="Arial" w:cs="Arial"/>
                <w:b/>
                <w:bCs/>
                <w:color w:val="000000"/>
                <w:sz w:val="18"/>
                <w:szCs w:val="18"/>
                <w:lang w:eastAsia="sk-SK"/>
              </w:rPr>
              <w:t xml:space="preserve">31. </w:t>
            </w:r>
            <w:proofErr w:type="spellStart"/>
            <w:r w:rsidRPr="00226892">
              <w:rPr>
                <w:rFonts w:ascii="Arial" w:hAnsi="Arial" w:cs="Arial"/>
                <w:b/>
                <w:bCs/>
                <w:color w:val="000000"/>
                <w:sz w:val="18"/>
                <w:szCs w:val="18"/>
                <w:lang w:eastAsia="sk-SK"/>
              </w:rPr>
              <w:t>december</w:t>
            </w:r>
            <w:proofErr w:type="spellEnd"/>
            <w:r w:rsidRPr="00226892">
              <w:rPr>
                <w:rFonts w:ascii="Arial" w:hAnsi="Arial" w:cs="Arial"/>
                <w:b/>
                <w:bCs/>
                <w:color w:val="000000"/>
                <w:sz w:val="18"/>
                <w:szCs w:val="18"/>
                <w:lang w:eastAsia="sk-SK"/>
              </w:rPr>
              <w:t xml:space="preserve"> 2018</w:t>
            </w:r>
          </w:p>
        </w:tc>
        <w:tc>
          <w:tcPr>
            <w:tcW w:w="728" w:type="pct"/>
            <w:tcBorders>
              <w:top w:val="nil"/>
              <w:left w:val="nil"/>
              <w:bottom w:val="single" w:sz="4" w:space="0" w:color="auto"/>
              <w:right w:val="nil"/>
            </w:tcBorders>
            <w:shd w:val="clear" w:color="auto" w:fill="auto"/>
            <w:vAlign w:val="bottom"/>
            <w:hideMark/>
          </w:tcPr>
          <w:p w14:paraId="7E892549" w14:textId="77777777" w:rsidR="00862916" w:rsidRPr="00226892" w:rsidRDefault="00862916" w:rsidP="005020AA">
            <w:pPr>
              <w:jc w:val="center"/>
              <w:rPr>
                <w:rFonts w:ascii="Arial" w:eastAsia="Times New Roman" w:hAnsi="Arial" w:cs="Arial"/>
                <w:b/>
                <w:bCs/>
                <w:color w:val="000000"/>
                <w:sz w:val="18"/>
                <w:szCs w:val="18"/>
                <w:lang w:eastAsia="sk-SK"/>
              </w:rPr>
            </w:pPr>
            <w:proofErr w:type="spellStart"/>
            <w:r w:rsidRPr="00226892">
              <w:rPr>
                <w:rFonts w:ascii="Arial" w:eastAsia="Times New Roman" w:hAnsi="Arial" w:cs="Arial"/>
                <w:b/>
                <w:bCs/>
                <w:color w:val="000000"/>
                <w:sz w:val="18"/>
                <w:szCs w:val="18"/>
                <w:lang w:eastAsia="sk-SK"/>
              </w:rPr>
              <w:t>Pohľadávky</w:t>
            </w:r>
            <w:proofErr w:type="spellEnd"/>
            <w:r w:rsidRPr="00226892">
              <w:rPr>
                <w:rFonts w:ascii="Arial" w:eastAsia="Times New Roman" w:hAnsi="Arial" w:cs="Arial"/>
                <w:b/>
                <w:bCs/>
                <w:color w:val="000000"/>
                <w:sz w:val="18"/>
                <w:szCs w:val="18"/>
                <w:lang w:eastAsia="sk-SK"/>
              </w:rPr>
              <w:t xml:space="preserve"> z </w:t>
            </w:r>
            <w:proofErr w:type="spellStart"/>
            <w:r w:rsidRPr="00226892">
              <w:rPr>
                <w:rFonts w:ascii="Arial" w:eastAsia="Times New Roman" w:hAnsi="Arial" w:cs="Arial"/>
                <w:b/>
                <w:bCs/>
                <w:color w:val="000000"/>
                <w:sz w:val="18"/>
                <w:szCs w:val="18"/>
                <w:lang w:eastAsia="sk-SK"/>
              </w:rPr>
              <w:t>obchodného</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styku</w:t>
            </w:r>
            <w:proofErr w:type="spellEnd"/>
          </w:p>
        </w:tc>
        <w:tc>
          <w:tcPr>
            <w:tcW w:w="105" w:type="pct"/>
            <w:tcBorders>
              <w:top w:val="nil"/>
              <w:left w:val="nil"/>
              <w:bottom w:val="single" w:sz="4" w:space="0" w:color="auto"/>
              <w:right w:val="nil"/>
            </w:tcBorders>
            <w:shd w:val="clear" w:color="auto" w:fill="auto"/>
            <w:vAlign w:val="bottom"/>
            <w:hideMark/>
          </w:tcPr>
          <w:p w14:paraId="6E684E17" w14:textId="77777777" w:rsidR="00862916" w:rsidRPr="00226892" w:rsidRDefault="00862916" w:rsidP="005020AA">
            <w:pPr>
              <w:jc w:val="center"/>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 </w:t>
            </w:r>
          </w:p>
        </w:tc>
        <w:tc>
          <w:tcPr>
            <w:tcW w:w="684" w:type="pct"/>
            <w:tcBorders>
              <w:top w:val="nil"/>
              <w:left w:val="nil"/>
              <w:bottom w:val="single" w:sz="4" w:space="0" w:color="auto"/>
              <w:right w:val="nil"/>
            </w:tcBorders>
            <w:shd w:val="clear" w:color="auto" w:fill="auto"/>
            <w:vAlign w:val="bottom"/>
            <w:hideMark/>
          </w:tcPr>
          <w:p w14:paraId="3288A9D7" w14:textId="77777777" w:rsidR="00862916" w:rsidRPr="00226892" w:rsidRDefault="00862916" w:rsidP="005020AA">
            <w:pPr>
              <w:jc w:val="center"/>
              <w:rPr>
                <w:rFonts w:ascii="Arial" w:eastAsia="Times New Roman" w:hAnsi="Arial" w:cs="Arial"/>
                <w:b/>
                <w:bCs/>
                <w:color w:val="000000"/>
                <w:sz w:val="18"/>
                <w:szCs w:val="18"/>
                <w:lang w:eastAsia="sk-SK"/>
              </w:rPr>
            </w:pPr>
            <w:proofErr w:type="spellStart"/>
            <w:r w:rsidRPr="00226892">
              <w:rPr>
                <w:rFonts w:ascii="Arial" w:eastAsia="Times New Roman" w:hAnsi="Arial" w:cs="Arial"/>
                <w:b/>
                <w:bCs/>
                <w:color w:val="000000"/>
                <w:sz w:val="18"/>
                <w:szCs w:val="18"/>
                <w:lang w:eastAsia="sk-SK"/>
              </w:rPr>
              <w:t>Iné</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pohľadávky</w:t>
            </w:r>
            <w:proofErr w:type="spellEnd"/>
            <w:r w:rsidRPr="00226892">
              <w:rPr>
                <w:rFonts w:ascii="Arial" w:eastAsia="Times New Roman" w:hAnsi="Arial" w:cs="Arial"/>
                <w:b/>
                <w:bCs/>
                <w:color w:val="000000"/>
                <w:sz w:val="18"/>
                <w:szCs w:val="18"/>
                <w:lang w:eastAsia="sk-SK"/>
              </w:rPr>
              <w:t xml:space="preserve"> </w:t>
            </w:r>
          </w:p>
        </w:tc>
        <w:tc>
          <w:tcPr>
            <w:tcW w:w="105" w:type="pct"/>
            <w:tcBorders>
              <w:top w:val="nil"/>
              <w:left w:val="nil"/>
              <w:bottom w:val="single" w:sz="4" w:space="0" w:color="auto"/>
              <w:right w:val="nil"/>
            </w:tcBorders>
            <w:shd w:val="clear" w:color="auto" w:fill="auto"/>
            <w:vAlign w:val="bottom"/>
            <w:hideMark/>
          </w:tcPr>
          <w:p w14:paraId="3FE85CB8" w14:textId="77777777" w:rsidR="00862916" w:rsidRPr="00226892" w:rsidRDefault="00862916" w:rsidP="005020AA">
            <w:pPr>
              <w:jc w:val="center"/>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 </w:t>
            </w:r>
          </w:p>
        </w:tc>
        <w:tc>
          <w:tcPr>
            <w:tcW w:w="627" w:type="pct"/>
            <w:tcBorders>
              <w:top w:val="nil"/>
              <w:left w:val="nil"/>
              <w:bottom w:val="single" w:sz="4" w:space="0" w:color="auto"/>
              <w:right w:val="nil"/>
            </w:tcBorders>
            <w:shd w:val="clear" w:color="auto" w:fill="auto"/>
            <w:vAlign w:val="bottom"/>
            <w:hideMark/>
          </w:tcPr>
          <w:p w14:paraId="5039E0D9" w14:textId="77777777" w:rsidR="00862916" w:rsidRPr="00226892" w:rsidRDefault="00862916" w:rsidP="005020AA">
            <w:pPr>
              <w:jc w:val="center"/>
              <w:rPr>
                <w:rFonts w:ascii="Arial" w:eastAsia="Times New Roman" w:hAnsi="Arial" w:cs="Arial"/>
                <w:b/>
                <w:bCs/>
                <w:color w:val="000000"/>
                <w:sz w:val="18"/>
                <w:szCs w:val="18"/>
                <w:lang w:eastAsia="sk-SK"/>
              </w:rPr>
            </w:pPr>
            <w:proofErr w:type="spellStart"/>
            <w:r w:rsidRPr="00226892">
              <w:rPr>
                <w:rFonts w:ascii="Arial" w:eastAsia="Times New Roman" w:hAnsi="Arial" w:cs="Arial"/>
                <w:b/>
                <w:bCs/>
                <w:color w:val="000000"/>
                <w:sz w:val="18"/>
                <w:szCs w:val="18"/>
                <w:lang w:eastAsia="sk-SK"/>
              </w:rPr>
              <w:t>Poskytnuté</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pôžičky</w:t>
            </w:r>
            <w:proofErr w:type="spellEnd"/>
            <w:r w:rsidRPr="00226892">
              <w:rPr>
                <w:rFonts w:ascii="Arial" w:eastAsia="Times New Roman" w:hAnsi="Arial" w:cs="Arial"/>
                <w:b/>
                <w:bCs/>
                <w:color w:val="000000"/>
                <w:sz w:val="18"/>
                <w:szCs w:val="18"/>
                <w:lang w:eastAsia="sk-SK"/>
              </w:rPr>
              <w:t xml:space="preserve"> </w:t>
            </w:r>
          </w:p>
        </w:tc>
        <w:tc>
          <w:tcPr>
            <w:tcW w:w="105" w:type="pct"/>
            <w:tcBorders>
              <w:top w:val="nil"/>
              <w:left w:val="nil"/>
              <w:bottom w:val="single" w:sz="4" w:space="0" w:color="auto"/>
              <w:right w:val="nil"/>
            </w:tcBorders>
            <w:shd w:val="clear" w:color="auto" w:fill="auto"/>
            <w:vAlign w:val="bottom"/>
            <w:hideMark/>
          </w:tcPr>
          <w:p w14:paraId="5773D526" w14:textId="77777777" w:rsidR="00862916" w:rsidRPr="00226892" w:rsidRDefault="00862916" w:rsidP="005020AA">
            <w:pPr>
              <w:jc w:val="center"/>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 </w:t>
            </w:r>
          </w:p>
        </w:tc>
        <w:tc>
          <w:tcPr>
            <w:tcW w:w="522" w:type="pct"/>
            <w:tcBorders>
              <w:top w:val="nil"/>
              <w:left w:val="nil"/>
              <w:bottom w:val="single" w:sz="4" w:space="0" w:color="auto"/>
              <w:right w:val="nil"/>
            </w:tcBorders>
            <w:shd w:val="clear" w:color="auto" w:fill="auto"/>
            <w:vAlign w:val="bottom"/>
            <w:hideMark/>
          </w:tcPr>
          <w:p w14:paraId="11C4F75D" w14:textId="77777777" w:rsidR="00862916" w:rsidRPr="00226892" w:rsidRDefault="00862916" w:rsidP="005020AA">
            <w:pPr>
              <w:jc w:val="center"/>
              <w:rPr>
                <w:rFonts w:ascii="Arial" w:eastAsia="Times New Roman" w:hAnsi="Arial" w:cs="Arial"/>
                <w:b/>
                <w:bCs/>
                <w:color w:val="000000"/>
                <w:sz w:val="18"/>
                <w:szCs w:val="18"/>
                <w:lang w:eastAsia="sk-SK"/>
              </w:rPr>
            </w:pPr>
            <w:proofErr w:type="spellStart"/>
            <w:r w:rsidRPr="00226892">
              <w:rPr>
                <w:rFonts w:ascii="Arial" w:eastAsia="Times New Roman" w:hAnsi="Arial" w:cs="Arial"/>
                <w:b/>
                <w:bCs/>
                <w:color w:val="000000"/>
                <w:sz w:val="18"/>
                <w:szCs w:val="18"/>
                <w:lang w:eastAsia="sk-SK"/>
              </w:rPr>
              <w:t>Celkom</w:t>
            </w:r>
            <w:proofErr w:type="spellEnd"/>
            <w:r w:rsidRPr="00226892">
              <w:rPr>
                <w:rFonts w:ascii="Arial" w:eastAsia="Times New Roman" w:hAnsi="Arial" w:cs="Arial"/>
                <w:b/>
                <w:bCs/>
                <w:color w:val="000000"/>
                <w:sz w:val="18"/>
                <w:szCs w:val="18"/>
                <w:lang w:eastAsia="sk-SK"/>
              </w:rPr>
              <w:t xml:space="preserve"> </w:t>
            </w:r>
          </w:p>
        </w:tc>
      </w:tr>
      <w:tr w:rsidR="00862916" w:rsidRPr="00226892" w14:paraId="745088C2" w14:textId="77777777" w:rsidTr="001C5911">
        <w:trPr>
          <w:trHeight w:val="217"/>
        </w:trPr>
        <w:tc>
          <w:tcPr>
            <w:tcW w:w="2125" w:type="pct"/>
            <w:tcBorders>
              <w:top w:val="nil"/>
              <w:left w:val="nil"/>
              <w:bottom w:val="nil"/>
              <w:right w:val="nil"/>
            </w:tcBorders>
            <w:shd w:val="clear" w:color="auto" w:fill="auto"/>
            <w:vAlign w:val="bottom"/>
            <w:hideMark/>
          </w:tcPr>
          <w:p w14:paraId="0D9851CB" w14:textId="77777777" w:rsidR="00862916" w:rsidRPr="00226892" w:rsidRDefault="00862916" w:rsidP="005020AA">
            <w:pPr>
              <w:rPr>
                <w:rFonts w:ascii="Arial" w:eastAsia="Times New Roman" w:hAnsi="Arial" w:cs="Arial"/>
                <w:i/>
                <w:iCs/>
                <w:color w:val="000000"/>
                <w:sz w:val="18"/>
                <w:szCs w:val="18"/>
                <w:lang w:eastAsia="sk-SK"/>
              </w:rPr>
            </w:pPr>
            <w:r w:rsidRPr="00226892">
              <w:rPr>
                <w:rFonts w:ascii="Arial" w:eastAsia="Times New Roman" w:hAnsi="Arial" w:cs="Arial"/>
                <w:i/>
                <w:iCs/>
                <w:color w:val="000000"/>
                <w:sz w:val="18"/>
                <w:szCs w:val="18"/>
                <w:lang w:eastAsia="sk-SK"/>
              </w:rPr>
              <w:t xml:space="preserve">Forma </w:t>
            </w:r>
            <w:proofErr w:type="spellStart"/>
            <w:r w:rsidRPr="00226892">
              <w:rPr>
                <w:rFonts w:ascii="Arial" w:eastAsia="Times New Roman" w:hAnsi="Arial" w:cs="Arial"/>
                <w:i/>
                <w:iCs/>
                <w:color w:val="000000"/>
                <w:sz w:val="18"/>
                <w:szCs w:val="18"/>
                <w:lang w:eastAsia="sk-SK"/>
              </w:rPr>
              <w:t>zabezpečenia</w:t>
            </w:r>
            <w:proofErr w:type="spellEnd"/>
            <w:r w:rsidRPr="00226892">
              <w:rPr>
                <w:rFonts w:ascii="Arial" w:eastAsia="Times New Roman" w:hAnsi="Arial" w:cs="Arial"/>
                <w:i/>
                <w:iCs/>
                <w:color w:val="000000"/>
                <w:sz w:val="18"/>
                <w:szCs w:val="18"/>
                <w:lang w:eastAsia="sk-SK"/>
              </w:rPr>
              <w:t>:</w:t>
            </w:r>
          </w:p>
        </w:tc>
        <w:tc>
          <w:tcPr>
            <w:tcW w:w="728" w:type="pct"/>
            <w:tcBorders>
              <w:top w:val="nil"/>
              <w:left w:val="nil"/>
              <w:bottom w:val="nil"/>
              <w:right w:val="nil"/>
            </w:tcBorders>
            <w:shd w:val="clear" w:color="auto" w:fill="auto"/>
            <w:vAlign w:val="bottom"/>
          </w:tcPr>
          <w:p w14:paraId="27868FD2" w14:textId="77777777" w:rsidR="00862916" w:rsidRPr="00226892" w:rsidRDefault="00862916" w:rsidP="005020AA">
            <w:pPr>
              <w:jc w:val="right"/>
              <w:rPr>
                <w:rFonts w:ascii="Arial" w:eastAsia="Times New Roman" w:hAnsi="Arial" w:cs="Arial"/>
                <w:i/>
                <w:iCs/>
                <w:color w:val="000000"/>
                <w:sz w:val="18"/>
                <w:szCs w:val="18"/>
                <w:lang w:eastAsia="sk-SK"/>
              </w:rPr>
            </w:pPr>
          </w:p>
        </w:tc>
        <w:tc>
          <w:tcPr>
            <w:tcW w:w="105" w:type="pct"/>
            <w:tcBorders>
              <w:top w:val="nil"/>
              <w:left w:val="nil"/>
              <w:bottom w:val="nil"/>
              <w:right w:val="nil"/>
            </w:tcBorders>
            <w:shd w:val="clear" w:color="auto" w:fill="auto"/>
            <w:vAlign w:val="bottom"/>
          </w:tcPr>
          <w:p w14:paraId="7048322B" w14:textId="77777777" w:rsidR="00862916" w:rsidRPr="00226892" w:rsidRDefault="00862916" w:rsidP="005020AA">
            <w:pPr>
              <w:jc w:val="right"/>
              <w:rPr>
                <w:rFonts w:ascii="Arial" w:eastAsia="Times New Roman" w:hAnsi="Arial" w:cs="Arial"/>
                <w:i/>
                <w:iCs/>
                <w:color w:val="000000"/>
                <w:sz w:val="18"/>
                <w:szCs w:val="18"/>
                <w:lang w:eastAsia="sk-SK"/>
              </w:rPr>
            </w:pPr>
          </w:p>
        </w:tc>
        <w:tc>
          <w:tcPr>
            <w:tcW w:w="684" w:type="pct"/>
            <w:tcBorders>
              <w:top w:val="nil"/>
              <w:left w:val="nil"/>
              <w:bottom w:val="nil"/>
              <w:right w:val="nil"/>
            </w:tcBorders>
            <w:shd w:val="clear" w:color="auto" w:fill="auto"/>
            <w:vAlign w:val="bottom"/>
          </w:tcPr>
          <w:p w14:paraId="1CB99562" w14:textId="77777777" w:rsidR="00862916" w:rsidRPr="00226892" w:rsidRDefault="00862916" w:rsidP="005020AA">
            <w:pPr>
              <w:jc w:val="right"/>
              <w:rPr>
                <w:rFonts w:ascii="Arial" w:eastAsia="Times New Roman" w:hAnsi="Arial" w:cs="Arial"/>
                <w:i/>
                <w:iCs/>
                <w:color w:val="000000"/>
                <w:sz w:val="18"/>
                <w:szCs w:val="18"/>
                <w:lang w:eastAsia="sk-SK"/>
              </w:rPr>
            </w:pPr>
          </w:p>
        </w:tc>
        <w:tc>
          <w:tcPr>
            <w:tcW w:w="105" w:type="pct"/>
            <w:tcBorders>
              <w:top w:val="nil"/>
              <w:left w:val="nil"/>
              <w:bottom w:val="nil"/>
              <w:right w:val="nil"/>
            </w:tcBorders>
            <w:shd w:val="clear" w:color="auto" w:fill="auto"/>
            <w:vAlign w:val="bottom"/>
          </w:tcPr>
          <w:p w14:paraId="16A48A86" w14:textId="77777777" w:rsidR="00862916" w:rsidRPr="00226892" w:rsidRDefault="00862916" w:rsidP="005020AA">
            <w:pPr>
              <w:jc w:val="right"/>
              <w:rPr>
                <w:rFonts w:ascii="Arial" w:eastAsia="Times New Roman" w:hAnsi="Arial" w:cs="Arial"/>
                <w:i/>
                <w:iCs/>
                <w:color w:val="000000"/>
                <w:sz w:val="18"/>
                <w:szCs w:val="18"/>
                <w:lang w:eastAsia="sk-SK"/>
              </w:rPr>
            </w:pPr>
          </w:p>
        </w:tc>
        <w:tc>
          <w:tcPr>
            <w:tcW w:w="627" w:type="pct"/>
            <w:tcBorders>
              <w:top w:val="nil"/>
              <w:left w:val="nil"/>
              <w:bottom w:val="nil"/>
              <w:right w:val="nil"/>
            </w:tcBorders>
            <w:shd w:val="clear" w:color="auto" w:fill="auto"/>
            <w:vAlign w:val="bottom"/>
          </w:tcPr>
          <w:p w14:paraId="4162F9D1" w14:textId="77777777" w:rsidR="00862916" w:rsidRPr="00226892" w:rsidRDefault="00862916" w:rsidP="005020AA">
            <w:pPr>
              <w:jc w:val="right"/>
              <w:rPr>
                <w:rFonts w:ascii="Arial" w:eastAsia="Times New Roman" w:hAnsi="Arial" w:cs="Arial"/>
                <w:i/>
                <w:iCs/>
                <w:color w:val="000000"/>
                <w:sz w:val="18"/>
                <w:szCs w:val="18"/>
                <w:lang w:eastAsia="sk-SK"/>
              </w:rPr>
            </w:pPr>
          </w:p>
        </w:tc>
        <w:tc>
          <w:tcPr>
            <w:tcW w:w="105" w:type="pct"/>
            <w:tcBorders>
              <w:top w:val="nil"/>
              <w:left w:val="nil"/>
              <w:bottom w:val="nil"/>
              <w:right w:val="nil"/>
            </w:tcBorders>
            <w:shd w:val="clear" w:color="auto" w:fill="auto"/>
            <w:vAlign w:val="bottom"/>
          </w:tcPr>
          <w:p w14:paraId="0D16972D" w14:textId="77777777" w:rsidR="00862916" w:rsidRPr="00226892" w:rsidRDefault="00862916" w:rsidP="005020AA">
            <w:pPr>
              <w:jc w:val="right"/>
              <w:rPr>
                <w:rFonts w:ascii="Arial" w:eastAsia="Times New Roman" w:hAnsi="Arial" w:cs="Arial"/>
                <w:i/>
                <w:iCs/>
                <w:color w:val="000000"/>
                <w:sz w:val="18"/>
                <w:szCs w:val="18"/>
                <w:lang w:eastAsia="sk-SK"/>
              </w:rPr>
            </w:pPr>
          </w:p>
        </w:tc>
        <w:tc>
          <w:tcPr>
            <w:tcW w:w="522" w:type="pct"/>
            <w:tcBorders>
              <w:top w:val="nil"/>
              <w:left w:val="nil"/>
              <w:bottom w:val="nil"/>
              <w:right w:val="nil"/>
            </w:tcBorders>
            <w:shd w:val="clear" w:color="auto" w:fill="auto"/>
            <w:vAlign w:val="bottom"/>
          </w:tcPr>
          <w:p w14:paraId="36B2616E" w14:textId="77777777" w:rsidR="00862916" w:rsidRPr="00226892" w:rsidRDefault="00862916" w:rsidP="005020AA">
            <w:pPr>
              <w:jc w:val="right"/>
              <w:rPr>
                <w:rFonts w:ascii="Arial" w:eastAsia="Times New Roman" w:hAnsi="Arial" w:cs="Arial"/>
                <w:i/>
                <w:iCs/>
                <w:color w:val="000000"/>
                <w:sz w:val="18"/>
                <w:szCs w:val="18"/>
                <w:lang w:eastAsia="sk-SK"/>
              </w:rPr>
            </w:pPr>
          </w:p>
        </w:tc>
      </w:tr>
      <w:tr w:rsidR="00862916" w:rsidRPr="00226892" w14:paraId="4FC78E77" w14:textId="77777777" w:rsidTr="001C5911">
        <w:trPr>
          <w:trHeight w:val="217"/>
        </w:trPr>
        <w:tc>
          <w:tcPr>
            <w:tcW w:w="2125" w:type="pct"/>
            <w:tcBorders>
              <w:top w:val="nil"/>
              <w:left w:val="nil"/>
              <w:bottom w:val="nil"/>
              <w:right w:val="nil"/>
            </w:tcBorders>
            <w:shd w:val="clear" w:color="auto" w:fill="auto"/>
            <w:vAlign w:val="bottom"/>
            <w:hideMark/>
          </w:tcPr>
          <w:p w14:paraId="509B6579" w14:textId="77777777" w:rsidR="00862916" w:rsidRPr="00226892" w:rsidRDefault="00862916" w:rsidP="005020AA">
            <w:pPr>
              <w:rPr>
                <w:rFonts w:ascii="Arial" w:eastAsia="Times New Roman" w:hAnsi="Arial" w:cs="Arial"/>
                <w:color w:val="000000"/>
                <w:sz w:val="18"/>
                <w:szCs w:val="18"/>
                <w:lang w:eastAsia="sk-SK"/>
              </w:rPr>
            </w:pPr>
            <w:proofErr w:type="spellStart"/>
            <w:r w:rsidRPr="00226892">
              <w:rPr>
                <w:rFonts w:ascii="Arial" w:eastAsia="Times New Roman" w:hAnsi="Arial" w:cs="Arial"/>
                <w:color w:val="000000"/>
                <w:sz w:val="18"/>
                <w:szCs w:val="18"/>
                <w:lang w:eastAsia="sk-SK"/>
              </w:rPr>
              <w:t>Poistenie</w:t>
            </w:r>
            <w:proofErr w:type="spellEnd"/>
          </w:p>
        </w:tc>
        <w:tc>
          <w:tcPr>
            <w:tcW w:w="728" w:type="pct"/>
            <w:tcBorders>
              <w:top w:val="nil"/>
              <w:left w:val="nil"/>
              <w:bottom w:val="nil"/>
              <w:right w:val="nil"/>
            </w:tcBorders>
            <w:shd w:val="clear" w:color="auto" w:fill="auto"/>
            <w:vAlign w:val="bottom"/>
          </w:tcPr>
          <w:p w14:paraId="7490BB7B" w14:textId="492545CC" w:rsidR="00862916" w:rsidRPr="00226892" w:rsidRDefault="00571169"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5 306</w:t>
            </w:r>
          </w:p>
        </w:tc>
        <w:tc>
          <w:tcPr>
            <w:tcW w:w="105" w:type="pct"/>
            <w:tcBorders>
              <w:top w:val="nil"/>
              <w:left w:val="nil"/>
              <w:bottom w:val="nil"/>
              <w:right w:val="nil"/>
            </w:tcBorders>
            <w:shd w:val="clear" w:color="auto" w:fill="auto"/>
            <w:vAlign w:val="bottom"/>
          </w:tcPr>
          <w:p w14:paraId="6F75466E" w14:textId="77777777" w:rsidR="00862916" w:rsidRPr="00226892" w:rsidRDefault="00862916" w:rsidP="005020AA">
            <w:pPr>
              <w:jc w:val="right"/>
              <w:rPr>
                <w:rFonts w:ascii="Arial" w:eastAsia="Times New Roman" w:hAnsi="Arial" w:cs="Arial"/>
                <w:color w:val="000000"/>
                <w:sz w:val="18"/>
                <w:szCs w:val="18"/>
                <w:lang w:eastAsia="sk-SK"/>
              </w:rPr>
            </w:pPr>
          </w:p>
        </w:tc>
        <w:tc>
          <w:tcPr>
            <w:tcW w:w="684" w:type="pct"/>
            <w:tcBorders>
              <w:top w:val="nil"/>
              <w:left w:val="nil"/>
              <w:bottom w:val="nil"/>
              <w:right w:val="nil"/>
            </w:tcBorders>
            <w:shd w:val="clear" w:color="auto" w:fill="auto"/>
            <w:vAlign w:val="bottom"/>
          </w:tcPr>
          <w:p w14:paraId="011BE7C5" w14:textId="7261B9AF" w:rsidR="00862916" w:rsidRPr="00226892" w:rsidRDefault="00571169"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w:t>
            </w:r>
          </w:p>
        </w:tc>
        <w:tc>
          <w:tcPr>
            <w:tcW w:w="105" w:type="pct"/>
            <w:tcBorders>
              <w:top w:val="nil"/>
              <w:left w:val="nil"/>
              <w:bottom w:val="nil"/>
              <w:right w:val="nil"/>
            </w:tcBorders>
            <w:shd w:val="clear" w:color="auto" w:fill="auto"/>
            <w:vAlign w:val="bottom"/>
          </w:tcPr>
          <w:p w14:paraId="26972325" w14:textId="77777777" w:rsidR="00862916" w:rsidRPr="00226892" w:rsidRDefault="00862916" w:rsidP="005020AA">
            <w:pPr>
              <w:jc w:val="right"/>
              <w:rPr>
                <w:rFonts w:ascii="Arial" w:eastAsia="Times New Roman" w:hAnsi="Arial" w:cs="Arial"/>
                <w:color w:val="000000"/>
                <w:sz w:val="18"/>
                <w:szCs w:val="18"/>
                <w:lang w:eastAsia="sk-SK"/>
              </w:rPr>
            </w:pPr>
          </w:p>
        </w:tc>
        <w:tc>
          <w:tcPr>
            <w:tcW w:w="627" w:type="pct"/>
            <w:tcBorders>
              <w:top w:val="nil"/>
              <w:left w:val="nil"/>
              <w:bottom w:val="nil"/>
              <w:right w:val="nil"/>
            </w:tcBorders>
            <w:shd w:val="clear" w:color="auto" w:fill="auto"/>
            <w:vAlign w:val="bottom"/>
          </w:tcPr>
          <w:p w14:paraId="0F2C0D39" w14:textId="22C02CE2" w:rsidR="00862916" w:rsidRPr="00226892" w:rsidRDefault="00571169"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w:t>
            </w:r>
          </w:p>
        </w:tc>
        <w:tc>
          <w:tcPr>
            <w:tcW w:w="105" w:type="pct"/>
            <w:tcBorders>
              <w:top w:val="nil"/>
              <w:left w:val="nil"/>
              <w:bottom w:val="nil"/>
              <w:right w:val="nil"/>
            </w:tcBorders>
            <w:shd w:val="clear" w:color="auto" w:fill="auto"/>
            <w:vAlign w:val="bottom"/>
          </w:tcPr>
          <w:p w14:paraId="28040D53" w14:textId="77777777" w:rsidR="00862916" w:rsidRPr="00226892" w:rsidRDefault="00862916" w:rsidP="005020AA">
            <w:pPr>
              <w:jc w:val="right"/>
              <w:rPr>
                <w:rFonts w:ascii="Arial" w:eastAsia="Times New Roman" w:hAnsi="Arial" w:cs="Arial"/>
                <w:color w:val="000000"/>
                <w:sz w:val="18"/>
                <w:szCs w:val="18"/>
                <w:lang w:eastAsia="sk-SK"/>
              </w:rPr>
            </w:pPr>
          </w:p>
        </w:tc>
        <w:tc>
          <w:tcPr>
            <w:tcW w:w="522" w:type="pct"/>
            <w:tcBorders>
              <w:top w:val="nil"/>
              <w:left w:val="nil"/>
              <w:bottom w:val="nil"/>
              <w:right w:val="nil"/>
            </w:tcBorders>
            <w:shd w:val="clear" w:color="auto" w:fill="auto"/>
            <w:vAlign w:val="bottom"/>
          </w:tcPr>
          <w:p w14:paraId="3E800188" w14:textId="46FE3D29" w:rsidR="00862916" w:rsidRPr="00226892" w:rsidRDefault="00571169"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5 306</w:t>
            </w:r>
          </w:p>
        </w:tc>
      </w:tr>
      <w:tr w:rsidR="00862916" w:rsidRPr="00226892" w14:paraId="52A61391" w14:textId="77777777" w:rsidTr="001C5911">
        <w:trPr>
          <w:trHeight w:val="217"/>
        </w:trPr>
        <w:tc>
          <w:tcPr>
            <w:tcW w:w="2125" w:type="pct"/>
            <w:tcBorders>
              <w:top w:val="nil"/>
              <w:left w:val="nil"/>
              <w:bottom w:val="nil"/>
              <w:right w:val="nil"/>
            </w:tcBorders>
            <w:shd w:val="clear" w:color="auto" w:fill="auto"/>
            <w:vAlign w:val="bottom"/>
          </w:tcPr>
          <w:p w14:paraId="35B15B79" w14:textId="77777777" w:rsidR="00862916" w:rsidRPr="00226892" w:rsidRDefault="00862916" w:rsidP="005020AA">
            <w:pPr>
              <w:rPr>
                <w:rFonts w:ascii="Arial" w:eastAsia="Times New Roman" w:hAnsi="Arial" w:cs="Arial"/>
                <w:color w:val="000000"/>
                <w:sz w:val="18"/>
                <w:szCs w:val="18"/>
                <w:lang w:eastAsia="sk-SK"/>
              </w:rPr>
            </w:pPr>
            <w:proofErr w:type="spellStart"/>
            <w:r w:rsidRPr="00226892">
              <w:rPr>
                <w:rFonts w:ascii="Arial" w:eastAsia="Times New Roman" w:hAnsi="Arial" w:cs="Arial"/>
                <w:color w:val="000000"/>
                <w:sz w:val="18"/>
                <w:szCs w:val="18"/>
                <w:lang w:eastAsia="sk-SK"/>
              </w:rPr>
              <w:t>Prijaté</w:t>
            </w:r>
            <w:proofErr w:type="spellEnd"/>
            <w:r w:rsidRPr="00226892">
              <w:rPr>
                <w:rFonts w:ascii="Arial" w:eastAsia="Times New Roman" w:hAnsi="Arial" w:cs="Arial"/>
                <w:color w:val="000000"/>
                <w:sz w:val="18"/>
                <w:szCs w:val="18"/>
                <w:lang w:eastAsia="sk-SK"/>
              </w:rPr>
              <w:t xml:space="preserve"> </w:t>
            </w:r>
            <w:proofErr w:type="spellStart"/>
            <w:r w:rsidRPr="00226892">
              <w:rPr>
                <w:rFonts w:ascii="Arial" w:eastAsia="Times New Roman" w:hAnsi="Arial" w:cs="Arial"/>
                <w:color w:val="000000"/>
                <w:sz w:val="18"/>
                <w:szCs w:val="18"/>
                <w:lang w:eastAsia="sk-SK"/>
              </w:rPr>
              <w:t>ručenia</w:t>
            </w:r>
            <w:proofErr w:type="spellEnd"/>
            <w:r w:rsidRPr="00226892">
              <w:rPr>
                <w:rFonts w:ascii="Arial" w:eastAsia="Times New Roman" w:hAnsi="Arial" w:cs="Arial"/>
                <w:color w:val="000000"/>
                <w:sz w:val="18"/>
                <w:szCs w:val="18"/>
                <w:lang w:eastAsia="sk-SK"/>
              </w:rPr>
              <w:t xml:space="preserve"> od </w:t>
            </w:r>
            <w:proofErr w:type="spellStart"/>
            <w:r w:rsidRPr="00226892">
              <w:rPr>
                <w:rFonts w:ascii="Arial" w:eastAsia="Times New Roman" w:hAnsi="Arial" w:cs="Arial"/>
                <w:color w:val="000000"/>
                <w:sz w:val="18"/>
                <w:szCs w:val="18"/>
                <w:lang w:eastAsia="sk-SK"/>
              </w:rPr>
              <w:t>bánk</w:t>
            </w:r>
            <w:proofErr w:type="spellEnd"/>
          </w:p>
        </w:tc>
        <w:tc>
          <w:tcPr>
            <w:tcW w:w="728" w:type="pct"/>
            <w:tcBorders>
              <w:top w:val="nil"/>
              <w:left w:val="nil"/>
              <w:bottom w:val="nil"/>
              <w:right w:val="nil"/>
            </w:tcBorders>
            <w:shd w:val="clear" w:color="auto" w:fill="auto"/>
            <w:vAlign w:val="bottom"/>
          </w:tcPr>
          <w:p w14:paraId="700F0E8A" w14:textId="63E20ED8" w:rsidR="00862916" w:rsidRPr="00226892" w:rsidRDefault="00571169"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3 214</w:t>
            </w:r>
          </w:p>
        </w:tc>
        <w:tc>
          <w:tcPr>
            <w:tcW w:w="105" w:type="pct"/>
            <w:tcBorders>
              <w:top w:val="nil"/>
              <w:left w:val="nil"/>
              <w:bottom w:val="nil"/>
              <w:right w:val="nil"/>
            </w:tcBorders>
            <w:shd w:val="clear" w:color="auto" w:fill="auto"/>
            <w:vAlign w:val="bottom"/>
          </w:tcPr>
          <w:p w14:paraId="0CADBF52" w14:textId="77777777" w:rsidR="00862916" w:rsidRPr="00226892" w:rsidRDefault="00862916" w:rsidP="005020AA">
            <w:pPr>
              <w:jc w:val="right"/>
              <w:rPr>
                <w:rFonts w:ascii="Arial" w:eastAsia="Times New Roman" w:hAnsi="Arial" w:cs="Arial"/>
                <w:color w:val="000000"/>
                <w:sz w:val="18"/>
                <w:szCs w:val="18"/>
                <w:lang w:eastAsia="sk-SK"/>
              </w:rPr>
            </w:pPr>
          </w:p>
        </w:tc>
        <w:tc>
          <w:tcPr>
            <w:tcW w:w="684" w:type="pct"/>
            <w:tcBorders>
              <w:top w:val="nil"/>
              <w:left w:val="nil"/>
              <w:bottom w:val="nil"/>
              <w:right w:val="nil"/>
            </w:tcBorders>
            <w:shd w:val="clear" w:color="auto" w:fill="auto"/>
            <w:vAlign w:val="bottom"/>
          </w:tcPr>
          <w:p w14:paraId="00915195" w14:textId="2A1D66FC" w:rsidR="00862916" w:rsidRPr="00226892" w:rsidRDefault="00571169"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w:t>
            </w:r>
          </w:p>
        </w:tc>
        <w:tc>
          <w:tcPr>
            <w:tcW w:w="105" w:type="pct"/>
            <w:tcBorders>
              <w:top w:val="nil"/>
              <w:left w:val="nil"/>
              <w:bottom w:val="nil"/>
              <w:right w:val="nil"/>
            </w:tcBorders>
            <w:shd w:val="clear" w:color="auto" w:fill="auto"/>
            <w:vAlign w:val="bottom"/>
          </w:tcPr>
          <w:p w14:paraId="61F37BB9" w14:textId="77777777" w:rsidR="00862916" w:rsidRPr="00226892" w:rsidRDefault="00862916" w:rsidP="005020AA">
            <w:pPr>
              <w:jc w:val="right"/>
              <w:rPr>
                <w:rFonts w:ascii="Arial" w:eastAsia="Times New Roman" w:hAnsi="Arial" w:cs="Arial"/>
                <w:color w:val="000000"/>
                <w:sz w:val="18"/>
                <w:szCs w:val="18"/>
                <w:lang w:eastAsia="sk-SK"/>
              </w:rPr>
            </w:pPr>
          </w:p>
        </w:tc>
        <w:tc>
          <w:tcPr>
            <w:tcW w:w="627" w:type="pct"/>
            <w:tcBorders>
              <w:top w:val="nil"/>
              <w:left w:val="nil"/>
              <w:bottom w:val="nil"/>
              <w:right w:val="nil"/>
            </w:tcBorders>
            <w:shd w:val="clear" w:color="auto" w:fill="auto"/>
            <w:vAlign w:val="bottom"/>
          </w:tcPr>
          <w:p w14:paraId="54DE43B2" w14:textId="1C0FBC86" w:rsidR="00862916" w:rsidRPr="00226892" w:rsidRDefault="00571169"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w:t>
            </w:r>
          </w:p>
        </w:tc>
        <w:tc>
          <w:tcPr>
            <w:tcW w:w="105" w:type="pct"/>
            <w:tcBorders>
              <w:top w:val="nil"/>
              <w:left w:val="nil"/>
              <w:bottom w:val="nil"/>
              <w:right w:val="nil"/>
            </w:tcBorders>
            <w:shd w:val="clear" w:color="auto" w:fill="auto"/>
            <w:vAlign w:val="bottom"/>
          </w:tcPr>
          <w:p w14:paraId="6DD7E0A6" w14:textId="77777777" w:rsidR="00862916" w:rsidRPr="00226892" w:rsidRDefault="00862916" w:rsidP="005020AA">
            <w:pPr>
              <w:jc w:val="right"/>
              <w:rPr>
                <w:rFonts w:ascii="Arial" w:eastAsia="Times New Roman" w:hAnsi="Arial" w:cs="Arial"/>
                <w:color w:val="000000"/>
                <w:sz w:val="18"/>
                <w:szCs w:val="18"/>
                <w:lang w:eastAsia="sk-SK"/>
              </w:rPr>
            </w:pPr>
          </w:p>
        </w:tc>
        <w:tc>
          <w:tcPr>
            <w:tcW w:w="522" w:type="pct"/>
            <w:tcBorders>
              <w:top w:val="nil"/>
              <w:left w:val="nil"/>
              <w:bottom w:val="nil"/>
              <w:right w:val="nil"/>
            </w:tcBorders>
            <w:shd w:val="clear" w:color="auto" w:fill="auto"/>
            <w:vAlign w:val="bottom"/>
          </w:tcPr>
          <w:p w14:paraId="0DD22A1B" w14:textId="087E4346" w:rsidR="00862916" w:rsidRPr="00226892" w:rsidRDefault="00571169"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3 214</w:t>
            </w:r>
          </w:p>
        </w:tc>
      </w:tr>
      <w:tr w:rsidR="00862916" w:rsidRPr="00226892" w14:paraId="0D523153" w14:textId="77777777" w:rsidTr="001C5911">
        <w:trPr>
          <w:trHeight w:val="217"/>
        </w:trPr>
        <w:tc>
          <w:tcPr>
            <w:tcW w:w="2125" w:type="pct"/>
            <w:tcBorders>
              <w:top w:val="nil"/>
              <w:left w:val="nil"/>
              <w:bottom w:val="nil"/>
              <w:right w:val="nil"/>
            </w:tcBorders>
            <w:shd w:val="clear" w:color="auto" w:fill="auto"/>
            <w:vAlign w:val="bottom"/>
          </w:tcPr>
          <w:p w14:paraId="48497FA3" w14:textId="77777777" w:rsidR="00862916" w:rsidRPr="00226892" w:rsidRDefault="00862916" w:rsidP="005020AA">
            <w:pPr>
              <w:rPr>
                <w:rFonts w:ascii="Arial" w:eastAsia="Times New Roman" w:hAnsi="Arial" w:cs="Arial"/>
                <w:color w:val="000000"/>
                <w:sz w:val="18"/>
                <w:szCs w:val="18"/>
                <w:lang w:eastAsia="sk-SK"/>
              </w:rPr>
            </w:pPr>
            <w:proofErr w:type="spellStart"/>
            <w:r w:rsidRPr="00226892">
              <w:rPr>
                <w:rFonts w:ascii="Arial" w:eastAsia="Times New Roman" w:hAnsi="Arial" w:cs="Arial"/>
                <w:color w:val="000000"/>
                <w:sz w:val="18"/>
                <w:szCs w:val="18"/>
                <w:lang w:eastAsia="sk-SK"/>
              </w:rPr>
              <w:t>Nezabezpečené</w:t>
            </w:r>
            <w:proofErr w:type="spellEnd"/>
          </w:p>
        </w:tc>
        <w:tc>
          <w:tcPr>
            <w:tcW w:w="728" w:type="pct"/>
            <w:tcBorders>
              <w:top w:val="nil"/>
              <w:left w:val="nil"/>
              <w:bottom w:val="nil"/>
              <w:right w:val="nil"/>
            </w:tcBorders>
            <w:shd w:val="clear" w:color="auto" w:fill="auto"/>
            <w:vAlign w:val="bottom"/>
          </w:tcPr>
          <w:p w14:paraId="46B26183" w14:textId="333289CA" w:rsidR="00862916" w:rsidRPr="00226892" w:rsidRDefault="00571169"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25 764</w:t>
            </w:r>
          </w:p>
        </w:tc>
        <w:tc>
          <w:tcPr>
            <w:tcW w:w="105" w:type="pct"/>
            <w:tcBorders>
              <w:top w:val="nil"/>
              <w:left w:val="nil"/>
              <w:bottom w:val="nil"/>
              <w:right w:val="nil"/>
            </w:tcBorders>
            <w:shd w:val="clear" w:color="auto" w:fill="auto"/>
            <w:vAlign w:val="bottom"/>
          </w:tcPr>
          <w:p w14:paraId="4453BB80" w14:textId="77777777" w:rsidR="00862916" w:rsidRPr="00226892" w:rsidRDefault="00862916" w:rsidP="005020AA">
            <w:pPr>
              <w:jc w:val="right"/>
              <w:rPr>
                <w:rFonts w:ascii="Arial" w:eastAsia="Times New Roman" w:hAnsi="Arial" w:cs="Arial"/>
                <w:color w:val="000000"/>
                <w:sz w:val="18"/>
                <w:szCs w:val="18"/>
                <w:lang w:eastAsia="sk-SK"/>
              </w:rPr>
            </w:pPr>
          </w:p>
        </w:tc>
        <w:tc>
          <w:tcPr>
            <w:tcW w:w="684" w:type="pct"/>
            <w:tcBorders>
              <w:top w:val="nil"/>
              <w:left w:val="nil"/>
              <w:bottom w:val="nil"/>
              <w:right w:val="nil"/>
            </w:tcBorders>
            <w:shd w:val="clear" w:color="auto" w:fill="auto"/>
            <w:vAlign w:val="bottom"/>
          </w:tcPr>
          <w:p w14:paraId="5B4D0054" w14:textId="198B0C1D" w:rsidR="00862916" w:rsidRPr="00226892" w:rsidRDefault="00571169"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39</w:t>
            </w:r>
          </w:p>
        </w:tc>
        <w:tc>
          <w:tcPr>
            <w:tcW w:w="105" w:type="pct"/>
            <w:tcBorders>
              <w:top w:val="nil"/>
              <w:left w:val="nil"/>
              <w:bottom w:val="nil"/>
              <w:right w:val="nil"/>
            </w:tcBorders>
            <w:shd w:val="clear" w:color="auto" w:fill="auto"/>
            <w:vAlign w:val="bottom"/>
          </w:tcPr>
          <w:p w14:paraId="341286C2" w14:textId="77777777" w:rsidR="00862916" w:rsidRPr="00226892" w:rsidRDefault="00862916" w:rsidP="005020AA">
            <w:pPr>
              <w:jc w:val="right"/>
              <w:rPr>
                <w:rFonts w:ascii="Arial" w:eastAsia="Times New Roman" w:hAnsi="Arial" w:cs="Arial"/>
                <w:color w:val="000000"/>
                <w:sz w:val="18"/>
                <w:szCs w:val="18"/>
                <w:lang w:eastAsia="sk-SK"/>
              </w:rPr>
            </w:pPr>
          </w:p>
        </w:tc>
        <w:tc>
          <w:tcPr>
            <w:tcW w:w="627" w:type="pct"/>
            <w:tcBorders>
              <w:top w:val="nil"/>
              <w:left w:val="nil"/>
              <w:bottom w:val="nil"/>
              <w:right w:val="nil"/>
            </w:tcBorders>
            <w:shd w:val="clear" w:color="auto" w:fill="auto"/>
            <w:vAlign w:val="bottom"/>
          </w:tcPr>
          <w:p w14:paraId="45C89E10" w14:textId="7ED95368" w:rsidR="00862916" w:rsidRPr="00226892" w:rsidRDefault="00571169"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470</w:t>
            </w:r>
          </w:p>
        </w:tc>
        <w:tc>
          <w:tcPr>
            <w:tcW w:w="105" w:type="pct"/>
            <w:tcBorders>
              <w:top w:val="nil"/>
              <w:left w:val="nil"/>
              <w:bottom w:val="nil"/>
              <w:right w:val="nil"/>
            </w:tcBorders>
            <w:shd w:val="clear" w:color="auto" w:fill="auto"/>
            <w:vAlign w:val="bottom"/>
          </w:tcPr>
          <w:p w14:paraId="3C64A0A2" w14:textId="77777777" w:rsidR="00862916" w:rsidRPr="00226892" w:rsidRDefault="00862916" w:rsidP="005020AA">
            <w:pPr>
              <w:jc w:val="right"/>
              <w:rPr>
                <w:rFonts w:ascii="Arial" w:eastAsia="Times New Roman" w:hAnsi="Arial" w:cs="Arial"/>
                <w:color w:val="000000"/>
                <w:sz w:val="18"/>
                <w:szCs w:val="18"/>
                <w:lang w:eastAsia="sk-SK"/>
              </w:rPr>
            </w:pPr>
          </w:p>
        </w:tc>
        <w:tc>
          <w:tcPr>
            <w:tcW w:w="522" w:type="pct"/>
            <w:tcBorders>
              <w:top w:val="nil"/>
              <w:left w:val="nil"/>
              <w:bottom w:val="nil"/>
              <w:right w:val="nil"/>
            </w:tcBorders>
            <w:shd w:val="clear" w:color="auto" w:fill="auto"/>
            <w:vAlign w:val="bottom"/>
          </w:tcPr>
          <w:p w14:paraId="7B733200" w14:textId="14193416" w:rsidR="00862916" w:rsidRPr="00226892" w:rsidRDefault="00571169"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26 273</w:t>
            </w:r>
          </w:p>
        </w:tc>
      </w:tr>
      <w:tr w:rsidR="00862916" w:rsidRPr="00226892" w14:paraId="02D27CD5" w14:textId="77777777" w:rsidTr="001C5911">
        <w:trPr>
          <w:trHeight w:val="217"/>
        </w:trPr>
        <w:tc>
          <w:tcPr>
            <w:tcW w:w="2125" w:type="pct"/>
            <w:tcBorders>
              <w:top w:val="nil"/>
              <w:left w:val="nil"/>
              <w:bottom w:val="nil"/>
              <w:right w:val="nil"/>
            </w:tcBorders>
            <w:shd w:val="clear" w:color="auto" w:fill="auto"/>
            <w:vAlign w:val="bottom"/>
            <w:hideMark/>
          </w:tcPr>
          <w:p w14:paraId="253AF26E" w14:textId="77777777" w:rsidR="00862916" w:rsidRPr="00226892" w:rsidRDefault="00862916" w:rsidP="005020AA">
            <w:pPr>
              <w:rPr>
                <w:rFonts w:ascii="Arial" w:eastAsia="Times New Roman" w:hAnsi="Arial" w:cs="Arial"/>
                <w:b/>
                <w:bCs/>
                <w:color w:val="000000"/>
                <w:sz w:val="18"/>
                <w:szCs w:val="18"/>
                <w:lang w:eastAsia="sk-SK"/>
              </w:rPr>
            </w:pPr>
            <w:proofErr w:type="spellStart"/>
            <w:r w:rsidRPr="00226892">
              <w:rPr>
                <w:rFonts w:ascii="Arial" w:eastAsia="Times New Roman" w:hAnsi="Arial" w:cs="Arial"/>
                <w:b/>
                <w:bCs/>
                <w:color w:val="000000"/>
                <w:sz w:val="18"/>
                <w:szCs w:val="18"/>
                <w:lang w:eastAsia="sk-SK"/>
              </w:rPr>
              <w:t>Celkom</w:t>
            </w:r>
            <w:proofErr w:type="spellEnd"/>
          </w:p>
        </w:tc>
        <w:tc>
          <w:tcPr>
            <w:tcW w:w="728" w:type="pct"/>
            <w:tcBorders>
              <w:top w:val="single" w:sz="4" w:space="0" w:color="auto"/>
              <w:left w:val="nil"/>
              <w:bottom w:val="double" w:sz="6" w:space="0" w:color="auto"/>
              <w:right w:val="nil"/>
            </w:tcBorders>
            <w:shd w:val="clear" w:color="auto" w:fill="auto"/>
            <w:vAlign w:val="bottom"/>
          </w:tcPr>
          <w:p w14:paraId="61731F0E" w14:textId="72EA5ABE" w:rsidR="00862916" w:rsidRPr="00226892" w:rsidRDefault="00571169" w:rsidP="005020AA">
            <w:pPr>
              <w:jc w:val="right"/>
              <w:rPr>
                <w:rFonts w:ascii="Arial" w:eastAsia="Times New Roman" w:hAnsi="Arial" w:cs="Arial"/>
                <w:b/>
                <w:bCs/>
                <w:color w:val="000000"/>
                <w:sz w:val="18"/>
                <w:szCs w:val="18"/>
                <w:lang w:eastAsia="sk-SK"/>
              </w:rPr>
            </w:pPr>
            <w:r w:rsidRPr="00226892">
              <w:rPr>
                <w:rFonts w:ascii="Arial" w:eastAsia="Times New Roman" w:hAnsi="Arial" w:cs="Arial"/>
                <w:b/>
                <w:bCs/>
                <w:color w:val="000000"/>
                <w:sz w:val="18"/>
                <w:szCs w:val="18"/>
                <w:lang w:eastAsia="sk-SK"/>
              </w:rPr>
              <w:t>34 284</w:t>
            </w:r>
          </w:p>
        </w:tc>
        <w:tc>
          <w:tcPr>
            <w:tcW w:w="105" w:type="pct"/>
            <w:tcBorders>
              <w:top w:val="nil"/>
              <w:left w:val="nil"/>
              <w:bottom w:val="nil"/>
              <w:right w:val="nil"/>
            </w:tcBorders>
            <w:shd w:val="clear" w:color="auto" w:fill="auto"/>
            <w:vAlign w:val="bottom"/>
          </w:tcPr>
          <w:p w14:paraId="187B45AA" w14:textId="77777777" w:rsidR="00862916" w:rsidRPr="00226892" w:rsidRDefault="00862916" w:rsidP="005020AA">
            <w:pPr>
              <w:jc w:val="right"/>
              <w:rPr>
                <w:rFonts w:ascii="Arial" w:eastAsia="Times New Roman" w:hAnsi="Arial" w:cs="Arial"/>
                <w:b/>
                <w:bCs/>
                <w:color w:val="000000"/>
                <w:sz w:val="18"/>
                <w:szCs w:val="18"/>
                <w:lang w:eastAsia="sk-SK"/>
              </w:rPr>
            </w:pPr>
          </w:p>
        </w:tc>
        <w:tc>
          <w:tcPr>
            <w:tcW w:w="684" w:type="pct"/>
            <w:tcBorders>
              <w:top w:val="single" w:sz="4" w:space="0" w:color="auto"/>
              <w:left w:val="nil"/>
              <w:bottom w:val="double" w:sz="6" w:space="0" w:color="auto"/>
              <w:right w:val="nil"/>
            </w:tcBorders>
            <w:shd w:val="clear" w:color="auto" w:fill="auto"/>
            <w:vAlign w:val="bottom"/>
          </w:tcPr>
          <w:p w14:paraId="4C2C3B9C" w14:textId="5E9A4D5C" w:rsidR="00862916" w:rsidRPr="00226892" w:rsidRDefault="00571169" w:rsidP="005020AA">
            <w:pPr>
              <w:jc w:val="right"/>
              <w:rPr>
                <w:rFonts w:ascii="Arial" w:eastAsia="Times New Roman" w:hAnsi="Arial" w:cs="Arial"/>
                <w:b/>
                <w:bCs/>
                <w:color w:val="000000"/>
                <w:sz w:val="18"/>
                <w:szCs w:val="18"/>
                <w:lang w:eastAsia="sk-SK"/>
              </w:rPr>
            </w:pPr>
            <w:r w:rsidRPr="00226892">
              <w:rPr>
                <w:rFonts w:ascii="Arial" w:eastAsia="Times New Roman" w:hAnsi="Arial" w:cs="Arial"/>
                <w:b/>
                <w:bCs/>
                <w:color w:val="000000"/>
                <w:sz w:val="18"/>
                <w:szCs w:val="18"/>
                <w:lang w:eastAsia="sk-SK"/>
              </w:rPr>
              <w:t>39</w:t>
            </w:r>
          </w:p>
        </w:tc>
        <w:tc>
          <w:tcPr>
            <w:tcW w:w="105" w:type="pct"/>
            <w:tcBorders>
              <w:top w:val="nil"/>
              <w:left w:val="nil"/>
              <w:bottom w:val="nil"/>
              <w:right w:val="nil"/>
            </w:tcBorders>
            <w:shd w:val="clear" w:color="auto" w:fill="auto"/>
            <w:vAlign w:val="bottom"/>
          </w:tcPr>
          <w:p w14:paraId="57F7B9FE" w14:textId="77777777" w:rsidR="00862916" w:rsidRPr="00226892" w:rsidRDefault="00862916" w:rsidP="005020AA">
            <w:pPr>
              <w:jc w:val="right"/>
              <w:rPr>
                <w:rFonts w:ascii="Arial" w:eastAsia="Times New Roman" w:hAnsi="Arial" w:cs="Arial"/>
                <w:b/>
                <w:bCs/>
                <w:color w:val="000000"/>
                <w:sz w:val="18"/>
                <w:szCs w:val="18"/>
                <w:lang w:eastAsia="sk-SK"/>
              </w:rPr>
            </w:pPr>
          </w:p>
        </w:tc>
        <w:tc>
          <w:tcPr>
            <w:tcW w:w="627" w:type="pct"/>
            <w:tcBorders>
              <w:top w:val="single" w:sz="4" w:space="0" w:color="auto"/>
              <w:left w:val="nil"/>
              <w:bottom w:val="double" w:sz="6" w:space="0" w:color="auto"/>
              <w:right w:val="nil"/>
            </w:tcBorders>
            <w:shd w:val="clear" w:color="auto" w:fill="auto"/>
            <w:vAlign w:val="bottom"/>
          </w:tcPr>
          <w:p w14:paraId="55A73BCF" w14:textId="674D5055" w:rsidR="00862916" w:rsidRPr="00226892" w:rsidRDefault="00571169" w:rsidP="005020AA">
            <w:pPr>
              <w:jc w:val="right"/>
              <w:rPr>
                <w:rFonts w:ascii="Arial" w:eastAsia="Times New Roman" w:hAnsi="Arial" w:cs="Arial"/>
                <w:b/>
                <w:bCs/>
                <w:color w:val="000000"/>
                <w:sz w:val="18"/>
                <w:szCs w:val="18"/>
                <w:lang w:eastAsia="sk-SK"/>
              </w:rPr>
            </w:pPr>
            <w:r w:rsidRPr="00226892">
              <w:rPr>
                <w:rFonts w:ascii="Arial" w:eastAsia="Times New Roman" w:hAnsi="Arial" w:cs="Arial"/>
                <w:b/>
                <w:bCs/>
                <w:color w:val="000000"/>
                <w:sz w:val="18"/>
                <w:szCs w:val="18"/>
                <w:lang w:eastAsia="sk-SK"/>
              </w:rPr>
              <w:t>470</w:t>
            </w:r>
          </w:p>
        </w:tc>
        <w:tc>
          <w:tcPr>
            <w:tcW w:w="105" w:type="pct"/>
            <w:tcBorders>
              <w:top w:val="nil"/>
              <w:left w:val="nil"/>
              <w:bottom w:val="nil"/>
              <w:right w:val="nil"/>
            </w:tcBorders>
            <w:shd w:val="clear" w:color="auto" w:fill="auto"/>
            <w:vAlign w:val="bottom"/>
          </w:tcPr>
          <w:p w14:paraId="0BAE5BAE" w14:textId="77777777" w:rsidR="00862916" w:rsidRPr="00226892" w:rsidRDefault="00862916" w:rsidP="005020AA">
            <w:pPr>
              <w:jc w:val="right"/>
              <w:rPr>
                <w:rFonts w:ascii="Arial" w:eastAsia="Times New Roman" w:hAnsi="Arial" w:cs="Arial"/>
                <w:b/>
                <w:bCs/>
                <w:color w:val="000000"/>
                <w:sz w:val="18"/>
                <w:szCs w:val="18"/>
                <w:lang w:eastAsia="sk-SK"/>
              </w:rPr>
            </w:pPr>
          </w:p>
        </w:tc>
        <w:tc>
          <w:tcPr>
            <w:tcW w:w="522" w:type="pct"/>
            <w:tcBorders>
              <w:top w:val="single" w:sz="4" w:space="0" w:color="auto"/>
              <w:left w:val="nil"/>
              <w:bottom w:val="double" w:sz="6" w:space="0" w:color="auto"/>
              <w:right w:val="nil"/>
            </w:tcBorders>
            <w:shd w:val="clear" w:color="auto" w:fill="auto"/>
            <w:vAlign w:val="bottom"/>
          </w:tcPr>
          <w:p w14:paraId="3AFFCFC5" w14:textId="2217C838" w:rsidR="00862916" w:rsidRPr="00226892" w:rsidRDefault="00571169" w:rsidP="005020AA">
            <w:pPr>
              <w:jc w:val="right"/>
              <w:rPr>
                <w:rFonts w:ascii="Arial" w:eastAsia="Times New Roman" w:hAnsi="Arial" w:cs="Arial"/>
                <w:b/>
                <w:bCs/>
                <w:color w:val="000000"/>
                <w:sz w:val="18"/>
                <w:szCs w:val="18"/>
                <w:lang w:eastAsia="sk-SK"/>
              </w:rPr>
            </w:pPr>
            <w:r w:rsidRPr="00226892">
              <w:rPr>
                <w:rFonts w:ascii="Arial" w:eastAsia="Times New Roman" w:hAnsi="Arial" w:cs="Arial"/>
                <w:b/>
                <w:bCs/>
                <w:color w:val="000000"/>
                <w:sz w:val="18"/>
                <w:szCs w:val="18"/>
                <w:lang w:eastAsia="sk-SK"/>
              </w:rPr>
              <w:t>34 793</w:t>
            </w:r>
          </w:p>
        </w:tc>
      </w:tr>
    </w:tbl>
    <w:p w14:paraId="50A21438" w14:textId="73043BED" w:rsidR="00862916" w:rsidRPr="00226892" w:rsidRDefault="00862916" w:rsidP="00862916">
      <w:pPr>
        <w:suppressAutoHyphens/>
        <w:jc w:val="both"/>
        <w:rPr>
          <w:rFonts w:ascii="Arial" w:hAnsi="Arial" w:cs="Arial"/>
        </w:rPr>
      </w:pPr>
    </w:p>
    <w:p w14:paraId="047BF27B" w14:textId="77777777" w:rsidR="00A378A3" w:rsidRPr="00226892" w:rsidRDefault="00A378A3" w:rsidP="00862916">
      <w:pPr>
        <w:suppressAutoHyphens/>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4098"/>
        <w:gridCol w:w="1403"/>
        <w:gridCol w:w="202"/>
        <w:gridCol w:w="1319"/>
        <w:gridCol w:w="202"/>
        <w:gridCol w:w="1209"/>
        <w:gridCol w:w="202"/>
        <w:gridCol w:w="1004"/>
      </w:tblGrid>
      <w:tr w:rsidR="00862916" w:rsidRPr="00226892" w14:paraId="40312690" w14:textId="77777777" w:rsidTr="001C0A76">
        <w:trPr>
          <w:trHeight w:val="217"/>
        </w:trPr>
        <w:tc>
          <w:tcPr>
            <w:tcW w:w="2125" w:type="pct"/>
            <w:tcBorders>
              <w:top w:val="nil"/>
              <w:left w:val="nil"/>
              <w:bottom w:val="single" w:sz="4" w:space="0" w:color="auto"/>
              <w:right w:val="nil"/>
            </w:tcBorders>
            <w:shd w:val="clear" w:color="auto" w:fill="auto"/>
            <w:vAlign w:val="bottom"/>
            <w:hideMark/>
          </w:tcPr>
          <w:p w14:paraId="06037844" w14:textId="77777777" w:rsidR="00862916" w:rsidRPr="00226892" w:rsidRDefault="00862916" w:rsidP="005020AA">
            <w:pPr>
              <w:pStyle w:val="Odsekzoznamu"/>
              <w:ind w:left="0"/>
              <w:rPr>
                <w:rFonts w:ascii="Arial" w:hAnsi="Arial" w:cs="Arial"/>
                <w:b/>
                <w:bCs/>
                <w:color w:val="000000"/>
                <w:sz w:val="18"/>
                <w:szCs w:val="18"/>
                <w:lang w:eastAsia="sk-SK"/>
              </w:rPr>
            </w:pPr>
            <w:r w:rsidRPr="00226892">
              <w:rPr>
                <w:rFonts w:ascii="Arial" w:hAnsi="Arial" w:cs="Arial"/>
                <w:b/>
                <w:bCs/>
                <w:color w:val="000000"/>
                <w:sz w:val="18"/>
                <w:szCs w:val="18"/>
                <w:lang w:eastAsia="sk-SK"/>
              </w:rPr>
              <w:t xml:space="preserve">31. </w:t>
            </w:r>
            <w:proofErr w:type="spellStart"/>
            <w:r w:rsidRPr="00226892">
              <w:rPr>
                <w:rFonts w:ascii="Arial" w:hAnsi="Arial" w:cs="Arial"/>
                <w:b/>
                <w:bCs/>
                <w:color w:val="000000"/>
                <w:sz w:val="18"/>
                <w:szCs w:val="18"/>
                <w:lang w:eastAsia="sk-SK"/>
              </w:rPr>
              <w:t>december</w:t>
            </w:r>
            <w:proofErr w:type="spellEnd"/>
            <w:r w:rsidRPr="00226892">
              <w:rPr>
                <w:rFonts w:ascii="Arial" w:hAnsi="Arial" w:cs="Arial"/>
                <w:b/>
                <w:bCs/>
                <w:color w:val="000000"/>
                <w:sz w:val="18"/>
                <w:szCs w:val="18"/>
                <w:lang w:eastAsia="sk-SK"/>
              </w:rPr>
              <w:t xml:space="preserve"> 2017</w:t>
            </w:r>
          </w:p>
        </w:tc>
        <w:tc>
          <w:tcPr>
            <w:tcW w:w="728" w:type="pct"/>
            <w:tcBorders>
              <w:top w:val="nil"/>
              <w:left w:val="nil"/>
              <w:bottom w:val="single" w:sz="4" w:space="0" w:color="auto"/>
              <w:right w:val="nil"/>
            </w:tcBorders>
            <w:shd w:val="clear" w:color="auto" w:fill="auto"/>
            <w:vAlign w:val="bottom"/>
            <w:hideMark/>
          </w:tcPr>
          <w:p w14:paraId="4E297309" w14:textId="77777777" w:rsidR="00862916" w:rsidRPr="00226892" w:rsidRDefault="00862916" w:rsidP="005020AA">
            <w:pPr>
              <w:jc w:val="center"/>
              <w:rPr>
                <w:rFonts w:ascii="Arial" w:eastAsia="Times New Roman" w:hAnsi="Arial" w:cs="Arial"/>
                <w:b/>
                <w:bCs/>
                <w:color w:val="000000"/>
                <w:sz w:val="18"/>
                <w:szCs w:val="18"/>
                <w:lang w:eastAsia="sk-SK"/>
              </w:rPr>
            </w:pPr>
            <w:proofErr w:type="spellStart"/>
            <w:r w:rsidRPr="00226892">
              <w:rPr>
                <w:rFonts w:ascii="Arial" w:eastAsia="Times New Roman" w:hAnsi="Arial" w:cs="Arial"/>
                <w:b/>
                <w:bCs/>
                <w:color w:val="000000"/>
                <w:sz w:val="18"/>
                <w:szCs w:val="18"/>
                <w:lang w:eastAsia="sk-SK"/>
              </w:rPr>
              <w:t>Pohľadávky</w:t>
            </w:r>
            <w:proofErr w:type="spellEnd"/>
            <w:r w:rsidRPr="00226892">
              <w:rPr>
                <w:rFonts w:ascii="Arial" w:eastAsia="Times New Roman" w:hAnsi="Arial" w:cs="Arial"/>
                <w:b/>
                <w:bCs/>
                <w:color w:val="000000"/>
                <w:sz w:val="18"/>
                <w:szCs w:val="18"/>
                <w:lang w:eastAsia="sk-SK"/>
              </w:rPr>
              <w:t xml:space="preserve"> z </w:t>
            </w:r>
            <w:proofErr w:type="spellStart"/>
            <w:r w:rsidRPr="00226892">
              <w:rPr>
                <w:rFonts w:ascii="Arial" w:eastAsia="Times New Roman" w:hAnsi="Arial" w:cs="Arial"/>
                <w:b/>
                <w:bCs/>
                <w:color w:val="000000"/>
                <w:sz w:val="18"/>
                <w:szCs w:val="18"/>
                <w:lang w:eastAsia="sk-SK"/>
              </w:rPr>
              <w:t>obchodného</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styku</w:t>
            </w:r>
            <w:proofErr w:type="spellEnd"/>
          </w:p>
        </w:tc>
        <w:tc>
          <w:tcPr>
            <w:tcW w:w="105" w:type="pct"/>
            <w:tcBorders>
              <w:top w:val="nil"/>
              <w:left w:val="nil"/>
              <w:bottom w:val="single" w:sz="4" w:space="0" w:color="auto"/>
              <w:right w:val="nil"/>
            </w:tcBorders>
            <w:shd w:val="clear" w:color="auto" w:fill="auto"/>
            <w:vAlign w:val="bottom"/>
            <w:hideMark/>
          </w:tcPr>
          <w:p w14:paraId="272F122A" w14:textId="77777777" w:rsidR="00862916" w:rsidRPr="00226892" w:rsidRDefault="00862916" w:rsidP="005020AA">
            <w:pPr>
              <w:jc w:val="center"/>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 </w:t>
            </w:r>
          </w:p>
        </w:tc>
        <w:tc>
          <w:tcPr>
            <w:tcW w:w="684" w:type="pct"/>
            <w:tcBorders>
              <w:top w:val="nil"/>
              <w:left w:val="nil"/>
              <w:bottom w:val="single" w:sz="4" w:space="0" w:color="auto"/>
              <w:right w:val="nil"/>
            </w:tcBorders>
            <w:shd w:val="clear" w:color="auto" w:fill="auto"/>
            <w:vAlign w:val="bottom"/>
            <w:hideMark/>
          </w:tcPr>
          <w:p w14:paraId="53D88C54" w14:textId="77777777" w:rsidR="00862916" w:rsidRPr="00226892" w:rsidRDefault="00862916" w:rsidP="005020AA">
            <w:pPr>
              <w:jc w:val="center"/>
              <w:rPr>
                <w:rFonts w:ascii="Arial" w:eastAsia="Times New Roman" w:hAnsi="Arial" w:cs="Arial"/>
                <w:b/>
                <w:bCs/>
                <w:color w:val="000000"/>
                <w:sz w:val="18"/>
                <w:szCs w:val="18"/>
                <w:lang w:eastAsia="sk-SK"/>
              </w:rPr>
            </w:pPr>
            <w:proofErr w:type="spellStart"/>
            <w:r w:rsidRPr="00226892">
              <w:rPr>
                <w:rFonts w:ascii="Arial" w:eastAsia="Times New Roman" w:hAnsi="Arial" w:cs="Arial"/>
                <w:b/>
                <w:bCs/>
                <w:color w:val="000000"/>
                <w:sz w:val="18"/>
                <w:szCs w:val="18"/>
                <w:lang w:eastAsia="sk-SK"/>
              </w:rPr>
              <w:t>Iné</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pohľadávky</w:t>
            </w:r>
            <w:proofErr w:type="spellEnd"/>
            <w:r w:rsidRPr="00226892">
              <w:rPr>
                <w:rFonts w:ascii="Arial" w:eastAsia="Times New Roman" w:hAnsi="Arial" w:cs="Arial"/>
                <w:b/>
                <w:bCs/>
                <w:color w:val="000000"/>
                <w:sz w:val="18"/>
                <w:szCs w:val="18"/>
                <w:lang w:eastAsia="sk-SK"/>
              </w:rPr>
              <w:t xml:space="preserve"> </w:t>
            </w:r>
          </w:p>
        </w:tc>
        <w:tc>
          <w:tcPr>
            <w:tcW w:w="105" w:type="pct"/>
            <w:tcBorders>
              <w:top w:val="nil"/>
              <w:left w:val="nil"/>
              <w:bottom w:val="single" w:sz="4" w:space="0" w:color="auto"/>
              <w:right w:val="nil"/>
            </w:tcBorders>
            <w:shd w:val="clear" w:color="auto" w:fill="auto"/>
            <w:vAlign w:val="bottom"/>
            <w:hideMark/>
          </w:tcPr>
          <w:p w14:paraId="358C5FC3" w14:textId="77777777" w:rsidR="00862916" w:rsidRPr="00226892" w:rsidRDefault="00862916" w:rsidP="005020AA">
            <w:pPr>
              <w:jc w:val="center"/>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 </w:t>
            </w:r>
          </w:p>
        </w:tc>
        <w:tc>
          <w:tcPr>
            <w:tcW w:w="627" w:type="pct"/>
            <w:tcBorders>
              <w:top w:val="nil"/>
              <w:left w:val="nil"/>
              <w:bottom w:val="single" w:sz="4" w:space="0" w:color="auto"/>
              <w:right w:val="nil"/>
            </w:tcBorders>
            <w:shd w:val="clear" w:color="auto" w:fill="auto"/>
            <w:vAlign w:val="bottom"/>
            <w:hideMark/>
          </w:tcPr>
          <w:p w14:paraId="65428F3C" w14:textId="77777777" w:rsidR="00862916" w:rsidRPr="00226892" w:rsidRDefault="00862916" w:rsidP="005020AA">
            <w:pPr>
              <w:jc w:val="center"/>
              <w:rPr>
                <w:rFonts w:ascii="Arial" w:eastAsia="Times New Roman" w:hAnsi="Arial" w:cs="Arial"/>
                <w:b/>
                <w:bCs/>
                <w:color w:val="000000"/>
                <w:sz w:val="18"/>
                <w:szCs w:val="18"/>
                <w:lang w:eastAsia="sk-SK"/>
              </w:rPr>
            </w:pPr>
            <w:proofErr w:type="spellStart"/>
            <w:r w:rsidRPr="00226892">
              <w:rPr>
                <w:rFonts w:ascii="Arial" w:eastAsia="Times New Roman" w:hAnsi="Arial" w:cs="Arial"/>
                <w:b/>
                <w:bCs/>
                <w:color w:val="000000"/>
                <w:sz w:val="18"/>
                <w:szCs w:val="18"/>
                <w:lang w:eastAsia="sk-SK"/>
              </w:rPr>
              <w:t>Poskytnuté</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pôžičky</w:t>
            </w:r>
            <w:proofErr w:type="spellEnd"/>
            <w:r w:rsidRPr="00226892">
              <w:rPr>
                <w:rFonts w:ascii="Arial" w:eastAsia="Times New Roman" w:hAnsi="Arial" w:cs="Arial"/>
                <w:b/>
                <w:bCs/>
                <w:color w:val="000000"/>
                <w:sz w:val="18"/>
                <w:szCs w:val="18"/>
                <w:lang w:eastAsia="sk-SK"/>
              </w:rPr>
              <w:t xml:space="preserve"> </w:t>
            </w:r>
          </w:p>
        </w:tc>
        <w:tc>
          <w:tcPr>
            <w:tcW w:w="105" w:type="pct"/>
            <w:tcBorders>
              <w:top w:val="nil"/>
              <w:left w:val="nil"/>
              <w:bottom w:val="single" w:sz="4" w:space="0" w:color="auto"/>
              <w:right w:val="nil"/>
            </w:tcBorders>
            <w:shd w:val="clear" w:color="auto" w:fill="auto"/>
            <w:vAlign w:val="bottom"/>
            <w:hideMark/>
          </w:tcPr>
          <w:p w14:paraId="457DD101" w14:textId="77777777" w:rsidR="00862916" w:rsidRPr="00226892" w:rsidRDefault="00862916" w:rsidP="005020AA">
            <w:pPr>
              <w:jc w:val="center"/>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 </w:t>
            </w:r>
          </w:p>
        </w:tc>
        <w:tc>
          <w:tcPr>
            <w:tcW w:w="522" w:type="pct"/>
            <w:tcBorders>
              <w:top w:val="nil"/>
              <w:left w:val="nil"/>
              <w:bottom w:val="single" w:sz="4" w:space="0" w:color="auto"/>
              <w:right w:val="nil"/>
            </w:tcBorders>
            <w:shd w:val="clear" w:color="auto" w:fill="auto"/>
            <w:vAlign w:val="bottom"/>
            <w:hideMark/>
          </w:tcPr>
          <w:p w14:paraId="06C7F5E6" w14:textId="77777777" w:rsidR="00862916" w:rsidRPr="00226892" w:rsidRDefault="00862916" w:rsidP="005020AA">
            <w:pPr>
              <w:jc w:val="center"/>
              <w:rPr>
                <w:rFonts w:ascii="Arial" w:eastAsia="Times New Roman" w:hAnsi="Arial" w:cs="Arial"/>
                <w:b/>
                <w:bCs/>
                <w:color w:val="000000"/>
                <w:sz w:val="18"/>
                <w:szCs w:val="18"/>
                <w:lang w:eastAsia="sk-SK"/>
              </w:rPr>
            </w:pPr>
            <w:proofErr w:type="spellStart"/>
            <w:r w:rsidRPr="00226892">
              <w:rPr>
                <w:rFonts w:ascii="Arial" w:eastAsia="Times New Roman" w:hAnsi="Arial" w:cs="Arial"/>
                <w:b/>
                <w:bCs/>
                <w:color w:val="000000"/>
                <w:sz w:val="18"/>
                <w:szCs w:val="18"/>
                <w:lang w:eastAsia="sk-SK"/>
              </w:rPr>
              <w:t>Celkom</w:t>
            </w:r>
            <w:proofErr w:type="spellEnd"/>
            <w:r w:rsidRPr="00226892">
              <w:rPr>
                <w:rFonts w:ascii="Arial" w:eastAsia="Times New Roman" w:hAnsi="Arial" w:cs="Arial"/>
                <w:b/>
                <w:bCs/>
                <w:color w:val="000000"/>
                <w:sz w:val="18"/>
                <w:szCs w:val="18"/>
                <w:lang w:eastAsia="sk-SK"/>
              </w:rPr>
              <w:t xml:space="preserve"> </w:t>
            </w:r>
          </w:p>
        </w:tc>
      </w:tr>
      <w:tr w:rsidR="00862916" w:rsidRPr="00226892" w14:paraId="30F045E1" w14:textId="77777777" w:rsidTr="001C0A76">
        <w:trPr>
          <w:trHeight w:val="217"/>
        </w:trPr>
        <w:tc>
          <w:tcPr>
            <w:tcW w:w="2125" w:type="pct"/>
            <w:tcBorders>
              <w:top w:val="nil"/>
              <w:left w:val="nil"/>
              <w:bottom w:val="nil"/>
              <w:right w:val="nil"/>
            </w:tcBorders>
            <w:shd w:val="clear" w:color="auto" w:fill="auto"/>
            <w:vAlign w:val="bottom"/>
            <w:hideMark/>
          </w:tcPr>
          <w:p w14:paraId="38A12A05" w14:textId="77777777" w:rsidR="00862916" w:rsidRPr="00226892" w:rsidRDefault="00862916" w:rsidP="005020AA">
            <w:pPr>
              <w:rPr>
                <w:rFonts w:ascii="Arial" w:eastAsia="Times New Roman" w:hAnsi="Arial" w:cs="Arial"/>
                <w:i/>
                <w:iCs/>
                <w:color w:val="000000"/>
                <w:sz w:val="18"/>
                <w:szCs w:val="18"/>
                <w:lang w:eastAsia="sk-SK"/>
              </w:rPr>
            </w:pPr>
            <w:r w:rsidRPr="00226892">
              <w:rPr>
                <w:rFonts w:ascii="Arial" w:eastAsia="Times New Roman" w:hAnsi="Arial" w:cs="Arial"/>
                <w:i/>
                <w:iCs/>
                <w:color w:val="000000"/>
                <w:sz w:val="18"/>
                <w:szCs w:val="18"/>
                <w:lang w:eastAsia="sk-SK"/>
              </w:rPr>
              <w:t xml:space="preserve">Forma </w:t>
            </w:r>
            <w:proofErr w:type="spellStart"/>
            <w:r w:rsidRPr="00226892">
              <w:rPr>
                <w:rFonts w:ascii="Arial" w:eastAsia="Times New Roman" w:hAnsi="Arial" w:cs="Arial"/>
                <w:i/>
                <w:iCs/>
                <w:color w:val="000000"/>
                <w:sz w:val="18"/>
                <w:szCs w:val="18"/>
                <w:lang w:eastAsia="sk-SK"/>
              </w:rPr>
              <w:t>zabezpečenia</w:t>
            </w:r>
            <w:proofErr w:type="spellEnd"/>
            <w:r w:rsidRPr="00226892">
              <w:rPr>
                <w:rFonts w:ascii="Arial" w:eastAsia="Times New Roman" w:hAnsi="Arial" w:cs="Arial"/>
                <w:i/>
                <w:iCs/>
                <w:color w:val="000000"/>
                <w:sz w:val="18"/>
                <w:szCs w:val="18"/>
                <w:lang w:eastAsia="sk-SK"/>
              </w:rPr>
              <w:t>:</w:t>
            </w:r>
          </w:p>
        </w:tc>
        <w:tc>
          <w:tcPr>
            <w:tcW w:w="728" w:type="pct"/>
            <w:tcBorders>
              <w:top w:val="nil"/>
              <w:left w:val="nil"/>
              <w:bottom w:val="nil"/>
              <w:right w:val="nil"/>
            </w:tcBorders>
            <w:shd w:val="clear" w:color="auto" w:fill="auto"/>
            <w:vAlign w:val="bottom"/>
          </w:tcPr>
          <w:p w14:paraId="19D5D524" w14:textId="77777777" w:rsidR="00862916" w:rsidRPr="00226892" w:rsidRDefault="00862916" w:rsidP="005020AA">
            <w:pPr>
              <w:jc w:val="right"/>
              <w:rPr>
                <w:rFonts w:ascii="Arial" w:eastAsia="Times New Roman" w:hAnsi="Arial" w:cs="Arial"/>
                <w:i/>
                <w:iCs/>
                <w:color w:val="000000"/>
                <w:sz w:val="18"/>
                <w:szCs w:val="18"/>
                <w:lang w:eastAsia="sk-SK"/>
              </w:rPr>
            </w:pPr>
          </w:p>
        </w:tc>
        <w:tc>
          <w:tcPr>
            <w:tcW w:w="105" w:type="pct"/>
            <w:tcBorders>
              <w:top w:val="nil"/>
              <w:left w:val="nil"/>
              <w:bottom w:val="nil"/>
              <w:right w:val="nil"/>
            </w:tcBorders>
            <w:shd w:val="clear" w:color="auto" w:fill="auto"/>
            <w:vAlign w:val="bottom"/>
          </w:tcPr>
          <w:p w14:paraId="3B5E78F4" w14:textId="77777777" w:rsidR="00862916" w:rsidRPr="00226892" w:rsidRDefault="00862916" w:rsidP="005020AA">
            <w:pPr>
              <w:jc w:val="right"/>
              <w:rPr>
                <w:rFonts w:ascii="Arial" w:eastAsia="Times New Roman" w:hAnsi="Arial" w:cs="Arial"/>
                <w:i/>
                <w:iCs/>
                <w:color w:val="000000"/>
                <w:sz w:val="18"/>
                <w:szCs w:val="18"/>
                <w:lang w:eastAsia="sk-SK"/>
              </w:rPr>
            </w:pPr>
          </w:p>
        </w:tc>
        <w:tc>
          <w:tcPr>
            <w:tcW w:w="684" w:type="pct"/>
            <w:tcBorders>
              <w:top w:val="nil"/>
              <w:left w:val="nil"/>
              <w:bottom w:val="nil"/>
              <w:right w:val="nil"/>
            </w:tcBorders>
            <w:shd w:val="clear" w:color="auto" w:fill="auto"/>
            <w:vAlign w:val="bottom"/>
          </w:tcPr>
          <w:p w14:paraId="32530F4B" w14:textId="77777777" w:rsidR="00862916" w:rsidRPr="00226892" w:rsidRDefault="00862916" w:rsidP="005020AA">
            <w:pPr>
              <w:jc w:val="right"/>
              <w:rPr>
                <w:rFonts w:ascii="Arial" w:eastAsia="Times New Roman" w:hAnsi="Arial" w:cs="Arial"/>
                <w:i/>
                <w:iCs/>
                <w:color w:val="000000"/>
                <w:sz w:val="18"/>
                <w:szCs w:val="18"/>
                <w:lang w:eastAsia="sk-SK"/>
              </w:rPr>
            </w:pPr>
          </w:p>
        </w:tc>
        <w:tc>
          <w:tcPr>
            <w:tcW w:w="105" w:type="pct"/>
            <w:tcBorders>
              <w:top w:val="nil"/>
              <w:left w:val="nil"/>
              <w:bottom w:val="nil"/>
              <w:right w:val="nil"/>
            </w:tcBorders>
            <w:shd w:val="clear" w:color="auto" w:fill="auto"/>
            <w:vAlign w:val="bottom"/>
          </w:tcPr>
          <w:p w14:paraId="377E843E" w14:textId="77777777" w:rsidR="00862916" w:rsidRPr="00226892" w:rsidRDefault="00862916" w:rsidP="005020AA">
            <w:pPr>
              <w:jc w:val="right"/>
              <w:rPr>
                <w:rFonts w:ascii="Arial" w:eastAsia="Times New Roman" w:hAnsi="Arial" w:cs="Arial"/>
                <w:i/>
                <w:iCs/>
                <w:color w:val="000000"/>
                <w:sz w:val="18"/>
                <w:szCs w:val="18"/>
                <w:lang w:eastAsia="sk-SK"/>
              </w:rPr>
            </w:pPr>
          </w:p>
        </w:tc>
        <w:tc>
          <w:tcPr>
            <w:tcW w:w="627" w:type="pct"/>
            <w:tcBorders>
              <w:top w:val="nil"/>
              <w:left w:val="nil"/>
              <w:bottom w:val="nil"/>
              <w:right w:val="nil"/>
            </w:tcBorders>
            <w:shd w:val="clear" w:color="auto" w:fill="auto"/>
            <w:vAlign w:val="bottom"/>
          </w:tcPr>
          <w:p w14:paraId="0BA409C1" w14:textId="77777777" w:rsidR="00862916" w:rsidRPr="00226892" w:rsidRDefault="00862916" w:rsidP="005020AA">
            <w:pPr>
              <w:jc w:val="right"/>
              <w:rPr>
                <w:rFonts w:ascii="Arial" w:eastAsia="Times New Roman" w:hAnsi="Arial" w:cs="Arial"/>
                <w:i/>
                <w:iCs/>
                <w:color w:val="000000"/>
                <w:sz w:val="18"/>
                <w:szCs w:val="18"/>
                <w:lang w:eastAsia="sk-SK"/>
              </w:rPr>
            </w:pPr>
          </w:p>
        </w:tc>
        <w:tc>
          <w:tcPr>
            <w:tcW w:w="105" w:type="pct"/>
            <w:tcBorders>
              <w:top w:val="nil"/>
              <w:left w:val="nil"/>
              <w:bottom w:val="nil"/>
              <w:right w:val="nil"/>
            </w:tcBorders>
            <w:shd w:val="clear" w:color="auto" w:fill="auto"/>
            <w:vAlign w:val="bottom"/>
          </w:tcPr>
          <w:p w14:paraId="2F16F2AD" w14:textId="77777777" w:rsidR="00862916" w:rsidRPr="00226892" w:rsidRDefault="00862916" w:rsidP="005020AA">
            <w:pPr>
              <w:jc w:val="right"/>
              <w:rPr>
                <w:rFonts w:ascii="Arial" w:eastAsia="Times New Roman" w:hAnsi="Arial" w:cs="Arial"/>
                <w:i/>
                <w:iCs/>
                <w:color w:val="000000"/>
                <w:sz w:val="18"/>
                <w:szCs w:val="18"/>
                <w:lang w:eastAsia="sk-SK"/>
              </w:rPr>
            </w:pPr>
          </w:p>
        </w:tc>
        <w:tc>
          <w:tcPr>
            <w:tcW w:w="522" w:type="pct"/>
            <w:tcBorders>
              <w:top w:val="nil"/>
              <w:left w:val="nil"/>
              <w:bottom w:val="nil"/>
              <w:right w:val="nil"/>
            </w:tcBorders>
            <w:shd w:val="clear" w:color="auto" w:fill="auto"/>
            <w:vAlign w:val="bottom"/>
          </w:tcPr>
          <w:p w14:paraId="1E68AE37" w14:textId="77777777" w:rsidR="00862916" w:rsidRPr="00226892" w:rsidRDefault="00862916" w:rsidP="005020AA">
            <w:pPr>
              <w:jc w:val="right"/>
              <w:rPr>
                <w:rFonts w:ascii="Arial" w:eastAsia="Times New Roman" w:hAnsi="Arial" w:cs="Arial"/>
                <w:i/>
                <w:iCs/>
                <w:color w:val="000000"/>
                <w:sz w:val="18"/>
                <w:szCs w:val="18"/>
                <w:lang w:eastAsia="sk-SK"/>
              </w:rPr>
            </w:pPr>
          </w:p>
        </w:tc>
      </w:tr>
      <w:tr w:rsidR="00862916" w:rsidRPr="00226892" w14:paraId="602C70D3" w14:textId="77777777" w:rsidTr="001C0A76">
        <w:trPr>
          <w:trHeight w:val="217"/>
        </w:trPr>
        <w:tc>
          <w:tcPr>
            <w:tcW w:w="2125" w:type="pct"/>
            <w:tcBorders>
              <w:top w:val="nil"/>
              <w:left w:val="nil"/>
              <w:bottom w:val="nil"/>
              <w:right w:val="nil"/>
            </w:tcBorders>
            <w:shd w:val="clear" w:color="auto" w:fill="auto"/>
            <w:vAlign w:val="bottom"/>
            <w:hideMark/>
          </w:tcPr>
          <w:p w14:paraId="0CB590AC" w14:textId="77777777" w:rsidR="00862916" w:rsidRPr="00226892" w:rsidRDefault="00862916" w:rsidP="005020AA">
            <w:pPr>
              <w:rPr>
                <w:rFonts w:ascii="Arial" w:eastAsia="Times New Roman" w:hAnsi="Arial" w:cs="Arial"/>
                <w:color w:val="000000"/>
                <w:sz w:val="18"/>
                <w:szCs w:val="18"/>
                <w:lang w:eastAsia="sk-SK"/>
              </w:rPr>
            </w:pPr>
            <w:proofErr w:type="spellStart"/>
            <w:r w:rsidRPr="00226892">
              <w:rPr>
                <w:rFonts w:ascii="Arial" w:eastAsia="Times New Roman" w:hAnsi="Arial" w:cs="Arial"/>
                <w:color w:val="000000"/>
                <w:sz w:val="18"/>
                <w:szCs w:val="18"/>
                <w:lang w:eastAsia="sk-SK"/>
              </w:rPr>
              <w:t>Poistenie</w:t>
            </w:r>
            <w:proofErr w:type="spellEnd"/>
          </w:p>
        </w:tc>
        <w:tc>
          <w:tcPr>
            <w:tcW w:w="728" w:type="pct"/>
            <w:tcBorders>
              <w:top w:val="nil"/>
              <w:left w:val="nil"/>
              <w:bottom w:val="nil"/>
              <w:right w:val="nil"/>
            </w:tcBorders>
            <w:shd w:val="clear" w:color="auto" w:fill="auto"/>
            <w:vAlign w:val="bottom"/>
          </w:tcPr>
          <w:p w14:paraId="2C7BD859" w14:textId="2ABE4BC9" w:rsidR="00862916" w:rsidRPr="00226892" w:rsidRDefault="00862916"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4 50</w:t>
            </w:r>
            <w:r w:rsidR="002252EB">
              <w:rPr>
                <w:rFonts w:ascii="Arial" w:eastAsia="Times New Roman" w:hAnsi="Arial" w:cs="Arial"/>
                <w:color w:val="000000"/>
                <w:sz w:val="18"/>
                <w:szCs w:val="18"/>
                <w:lang w:eastAsia="sk-SK"/>
              </w:rPr>
              <w:t>9</w:t>
            </w:r>
          </w:p>
        </w:tc>
        <w:tc>
          <w:tcPr>
            <w:tcW w:w="105" w:type="pct"/>
            <w:tcBorders>
              <w:top w:val="nil"/>
              <w:left w:val="nil"/>
              <w:bottom w:val="nil"/>
              <w:right w:val="nil"/>
            </w:tcBorders>
            <w:shd w:val="clear" w:color="auto" w:fill="auto"/>
            <w:vAlign w:val="bottom"/>
          </w:tcPr>
          <w:p w14:paraId="26279B36" w14:textId="77777777" w:rsidR="00862916" w:rsidRPr="00226892" w:rsidRDefault="00862916" w:rsidP="005020AA">
            <w:pPr>
              <w:jc w:val="right"/>
              <w:rPr>
                <w:rFonts w:ascii="Arial" w:eastAsia="Times New Roman" w:hAnsi="Arial" w:cs="Arial"/>
                <w:color w:val="000000"/>
                <w:sz w:val="18"/>
                <w:szCs w:val="18"/>
                <w:lang w:eastAsia="sk-SK"/>
              </w:rPr>
            </w:pPr>
          </w:p>
        </w:tc>
        <w:tc>
          <w:tcPr>
            <w:tcW w:w="684" w:type="pct"/>
            <w:tcBorders>
              <w:top w:val="nil"/>
              <w:left w:val="nil"/>
              <w:bottom w:val="nil"/>
              <w:right w:val="nil"/>
            </w:tcBorders>
            <w:shd w:val="clear" w:color="auto" w:fill="auto"/>
            <w:vAlign w:val="bottom"/>
          </w:tcPr>
          <w:p w14:paraId="587A2807" w14:textId="77777777" w:rsidR="00862916" w:rsidRPr="00226892" w:rsidRDefault="00862916"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w:t>
            </w:r>
          </w:p>
        </w:tc>
        <w:tc>
          <w:tcPr>
            <w:tcW w:w="105" w:type="pct"/>
            <w:tcBorders>
              <w:top w:val="nil"/>
              <w:left w:val="nil"/>
              <w:bottom w:val="nil"/>
              <w:right w:val="nil"/>
            </w:tcBorders>
            <w:shd w:val="clear" w:color="auto" w:fill="auto"/>
            <w:vAlign w:val="bottom"/>
          </w:tcPr>
          <w:p w14:paraId="615E8456" w14:textId="77777777" w:rsidR="00862916" w:rsidRPr="00226892" w:rsidRDefault="00862916" w:rsidP="005020AA">
            <w:pPr>
              <w:jc w:val="right"/>
              <w:rPr>
                <w:rFonts w:ascii="Arial" w:eastAsia="Times New Roman" w:hAnsi="Arial" w:cs="Arial"/>
                <w:color w:val="000000"/>
                <w:sz w:val="18"/>
                <w:szCs w:val="18"/>
                <w:lang w:eastAsia="sk-SK"/>
              </w:rPr>
            </w:pPr>
          </w:p>
        </w:tc>
        <w:tc>
          <w:tcPr>
            <w:tcW w:w="627" w:type="pct"/>
            <w:tcBorders>
              <w:top w:val="nil"/>
              <w:left w:val="nil"/>
              <w:bottom w:val="nil"/>
              <w:right w:val="nil"/>
            </w:tcBorders>
            <w:shd w:val="clear" w:color="auto" w:fill="auto"/>
            <w:vAlign w:val="bottom"/>
          </w:tcPr>
          <w:p w14:paraId="0207B163" w14:textId="77777777" w:rsidR="00862916" w:rsidRPr="00226892" w:rsidRDefault="00862916"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w:t>
            </w:r>
          </w:p>
        </w:tc>
        <w:tc>
          <w:tcPr>
            <w:tcW w:w="105" w:type="pct"/>
            <w:tcBorders>
              <w:top w:val="nil"/>
              <w:left w:val="nil"/>
              <w:bottom w:val="nil"/>
              <w:right w:val="nil"/>
            </w:tcBorders>
            <w:shd w:val="clear" w:color="auto" w:fill="auto"/>
            <w:vAlign w:val="bottom"/>
          </w:tcPr>
          <w:p w14:paraId="7C2CC3C8" w14:textId="77777777" w:rsidR="00862916" w:rsidRPr="00226892" w:rsidRDefault="00862916" w:rsidP="005020AA">
            <w:pPr>
              <w:jc w:val="right"/>
              <w:rPr>
                <w:rFonts w:ascii="Arial" w:eastAsia="Times New Roman" w:hAnsi="Arial" w:cs="Arial"/>
                <w:color w:val="000000"/>
                <w:sz w:val="18"/>
                <w:szCs w:val="18"/>
                <w:lang w:eastAsia="sk-SK"/>
              </w:rPr>
            </w:pPr>
          </w:p>
        </w:tc>
        <w:tc>
          <w:tcPr>
            <w:tcW w:w="522" w:type="pct"/>
            <w:tcBorders>
              <w:top w:val="nil"/>
              <w:left w:val="nil"/>
              <w:bottom w:val="nil"/>
              <w:right w:val="nil"/>
            </w:tcBorders>
            <w:shd w:val="clear" w:color="auto" w:fill="auto"/>
            <w:vAlign w:val="bottom"/>
          </w:tcPr>
          <w:p w14:paraId="5C5FBEED" w14:textId="5AD23692" w:rsidR="00862916" w:rsidRPr="00226892" w:rsidRDefault="00862916"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4 50</w:t>
            </w:r>
            <w:r w:rsidR="002252EB">
              <w:rPr>
                <w:rFonts w:ascii="Arial" w:eastAsia="Times New Roman" w:hAnsi="Arial" w:cs="Arial"/>
                <w:color w:val="000000"/>
                <w:sz w:val="18"/>
                <w:szCs w:val="18"/>
                <w:lang w:eastAsia="sk-SK"/>
              </w:rPr>
              <w:t>9</w:t>
            </w:r>
          </w:p>
        </w:tc>
      </w:tr>
      <w:tr w:rsidR="00862916" w:rsidRPr="00226892" w14:paraId="502CFB35" w14:textId="77777777" w:rsidTr="001C0A76">
        <w:trPr>
          <w:trHeight w:val="217"/>
        </w:trPr>
        <w:tc>
          <w:tcPr>
            <w:tcW w:w="2125" w:type="pct"/>
            <w:tcBorders>
              <w:top w:val="nil"/>
              <w:left w:val="nil"/>
              <w:bottom w:val="nil"/>
              <w:right w:val="nil"/>
            </w:tcBorders>
            <w:shd w:val="clear" w:color="auto" w:fill="auto"/>
            <w:vAlign w:val="bottom"/>
          </w:tcPr>
          <w:p w14:paraId="23F1299E" w14:textId="77777777" w:rsidR="00862916" w:rsidRPr="00226892" w:rsidRDefault="00862916" w:rsidP="005020AA">
            <w:pPr>
              <w:rPr>
                <w:rFonts w:ascii="Arial" w:eastAsia="Times New Roman" w:hAnsi="Arial" w:cs="Arial"/>
                <w:color w:val="000000"/>
                <w:sz w:val="18"/>
                <w:szCs w:val="18"/>
                <w:lang w:eastAsia="sk-SK"/>
              </w:rPr>
            </w:pPr>
            <w:proofErr w:type="spellStart"/>
            <w:r w:rsidRPr="00226892">
              <w:rPr>
                <w:rFonts w:ascii="Arial" w:eastAsia="Times New Roman" w:hAnsi="Arial" w:cs="Arial"/>
                <w:color w:val="000000"/>
                <w:sz w:val="18"/>
                <w:szCs w:val="18"/>
                <w:lang w:eastAsia="sk-SK"/>
              </w:rPr>
              <w:t>Prijaté</w:t>
            </w:r>
            <w:proofErr w:type="spellEnd"/>
            <w:r w:rsidRPr="00226892">
              <w:rPr>
                <w:rFonts w:ascii="Arial" w:eastAsia="Times New Roman" w:hAnsi="Arial" w:cs="Arial"/>
                <w:color w:val="000000"/>
                <w:sz w:val="18"/>
                <w:szCs w:val="18"/>
                <w:lang w:eastAsia="sk-SK"/>
              </w:rPr>
              <w:t xml:space="preserve"> </w:t>
            </w:r>
            <w:proofErr w:type="spellStart"/>
            <w:r w:rsidRPr="00226892">
              <w:rPr>
                <w:rFonts w:ascii="Arial" w:eastAsia="Times New Roman" w:hAnsi="Arial" w:cs="Arial"/>
                <w:color w:val="000000"/>
                <w:sz w:val="18"/>
                <w:szCs w:val="18"/>
                <w:lang w:eastAsia="sk-SK"/>
              </w:rPr>
              <w:t>ručenia</w:t>
            </w:r>
            <w:proofErr w:type="spellEnd"/>
            <w:r w:rsidRPr="00226892">
              <w:rPr>
                <w:rFonts w:ascii="Arial" w:eastAsia="Times New Roman" w:hAnsi="Arial" w:cs="Arial"/>
                <w:color w:val="000000"/>
                <w:sz w:val="18"/>
                <w:szCs w:val="18"/>
                <w:lang w:eastAsia="sk-SK"/>
              </w:rPr>
              <w:t xml:space="preserve"> od </w:t>
            </w:r>
            <w:proofErr w:type="spellStart"/>
            <w:r w:rsidRPr="00226892">
              <w:rPr>
                <w:rFonts w:ascii="Arial" w:eastAsia="Times New Roman" w:hAnsi="Arial" w:cs="Arial"/>
                <w:color w:val="000000"/>
                <w:sz w:val="18"/>
                <w:szCs w:val="18"/>
                <w:lang w:eastAsia="sk-SK"/>
              </w:rPr>
              <w:t>bánk</w:t>
            </w:r>
            <w:proofErr w:type="spellEnd"/>
          </w:p>
        </w:tc>
        <w:tc>
          <w:tcPr>
            <w:tcW w:w="728" w:type="pct"/>
            <w:tcBorders>
              <w:top w:val="nil"/>
              <w:left w:val="nil"/>
              <w:bottom w:val="nil"/>
              <w:right w:val="nil"/>
            </w:tcBorders>
            <w:shd w:val="clear" w:color="auto" w:fill="auto"/>
            <w:vAlign w:val="bottom"/>
          </w:tcPr>
          <w:p w14:paraId="75D65981" w14:textId="77777777" w:rsidR="00862916" w:rsidRPr="00226892" w:rsidRDefault="00862916"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2 310</w:t>
            </w:r>
          </w:p>
        </w:tc>
        <w:tc>
          <w:tcPr>
            <w:tcW w:w="105" w:type="pct"/>
            <w:tcBorders>
              <w:top w:val="nil"/>
              <w:left w:val="nil"/>
              <w:bottom w:val="nil"/>
              <w:right w:val="nil"/>
            </w:tcBorders>
            <w:shd w:val="clear" w:color="auto" w:fill="auto"/>
            <w:vAlign w:val="bottom"/>
          </w:tcPr>
          <w:p w14:paraId="3B34922A" w14:textId="77777777" w:rsidR="00862916" w:rsidRPr="00226892" w:rsidRDefault="00862916" w:rsidP="005020AA">
            <w:pPr>
              <w:jc w:val="right"/>
              <w:rPr>
                <w:rFonts w:ascii="Arial" w:eastAsia="Times New Roman" w:hAnsi="Arial" w:cs="Arial"/>
                <w:color w:val="000000"/>
                <w:sz w:val="18"/>
                <w:szCs w:val="18"/>
                <w:lang w:eastAsia="sk-SK"/>
              </w:rPr>
            </w:pPr>
          </w:p>
        </w:tc>
        <w:tc>
          <w:tcPr>
            <w:tcW w:w="684" w:type="pct"/>
            <w:tcBorders>
              <w:top w:val="nil"/>
              <w:left w:val="nil"/>
              <w:bottom w:val="nil"/>
              <w:right w:val="nil"/>
            </w:tcBorders>
            <w:shd w:val="clear" w:color="auto" w:fill="auto"/>
            <w:vAlign w:val="bottom"/>
          </w:tcPr>
          <w:p w14:paraId="6AD8291A" w14:textId="77777777" w:rsidR="00862916" w:rsidRPr="00226892" w:rsidRDefault="00862916"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w:t>
            </w:r>
          </w:p>
        </w:tc>
        <w:tc>
          <w:tcPr>
            <w:tcW w:w="105" w:type="pct"/>
            <w:tcBorders>
              <w:top w:val="nil"/>
              <w:left w:val="nil"/>
              <w:bottom w:val="nil"/>
              <w:right w:val="nil"/>
            </w:tcBorders>
            <w:shd w:val="clear" w:color="auto" w:fill="auto"/>
            <w:vAlign w:val="bottom"/>
          </w:tcPr>
          <w:p w14:paraId="01ADAE1B" w14:textId="77777777" w:rsidR="00862916" w:rsidRPr="00226892" w:rsidRDefault="00862916" w:rsidP="005020AA">
            <w:pPr>
              <w:jc w:val="right"/>
              <w:rPr>
                <w:rFonts w:ascii="Arial" w:eastAsia="Times New Roman" w:hAnsi="Arial" w:cs="Arial"/>
                <w:color w:val="000000"/>
                <w:sz w:val="18"/>
                <w:szCs w:val="18"/>
                <w:lang w:eastAsia="sk-SK"/>
              </w:rPr>
            </w:pPr>
          </w:p>
        </w:tc>
        <w:tc>
          <w:tcPr>
            <w:tcW w:w="627" w:type="pct"/>
            <w:tcBorders>
              <w:top w:val="nil"/>
              <w:left w:val="nil"/>
              <w:bottom w:val="nil"/>
              <w:right w:val="nil"/>
            </w:tcBorders>
            <w:shd w:val="clear" w:color="auto" w:fill="auto"/>
            <w:vAlign w:val="bottom"/>
          </w:tcPr>
          <w:p w14:paraId="7EFCE565" w14:textId="77777777" w:rsidR="00862916" w:rsidRPr="00226892" w:rsidRDefault="00862916"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w:t>
            </w:r>
          </w:p>
        </w:tc>
        <w:tc>
          <w:tcPr>
            <w:tcW w:w="105" w:type="pct"/>
            <w:tcBorders>
              <w:top w:val="nil"/>
              <w:left w:val="nil"/>
              <w:bottom w:val="nil"/>
              <w:right w:val="nil"/>
            </w:tcBorders>
            <w:shd w:val="clear" w:color="auto" w:fill="auto"/>
            <w:vAlign w:val="bottom"/>
          </w:tcPr>
          <w:p w14:paraId="46F95E9C" w14:textId="77777777" w:rsidR="00862916" w:rsidRPr="00226892" w:rsidRDefault="00862916" w:rsidP="005020AA">
            <w:pPr>
              <w:jc w:val="right"/>
              <w:rPr>
                <w:rFonts w:ascii="Arial" w:eastAsia="Times New Roman" w:hAnsi="Arial" w:cs="Arial"/>
                <w:color w:val="000000"/>
                <w:sz w:val="18"/>
                <w:szCs w:val="18"/>
                <w:lang w:eastAsia="sk-SK"/>
              </w:rPr>
            </w:pPr>
          </w:p>
        </w:tc>
        <w:tc>
          <w:tcPr>
            <w:tcW w:w="522" w:type="pct"/>
            <w:tcBorders>
              <w:top w:val="nil"/>
              <w:left w:val="nil"/>
              <w:bottom w:val="nil"/>
              <w:right w:val="nil"/>
            </w:tcBorders>
            <w:shd w:val="clear" w:color="auto" w:fill="auto"/>
            <w:vAlign w:val="bottom"/>
          </w:tcPr>
          <w:p w14:paraId="67AF6E72" w14:textId="77777777" w:rsidR="00862916" w:rsidRPr="00226892" w:rsidRDefault="00862916"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2 310</w:t>
            </w:r>
          </w:p>
        </w:tc>
      </w:tr>
      <w:tr w:rsidR="00862916" w:rsidRPr="00226892" w14:paraId="12AB279E" w14:textId="77777777" w:rsidTr="001C0A76">
        <w:trPr>
          <w:trHeight w:val="217"/>
        </w:trPr>
        <w:tc>
          <w:tcPr>
            <w:tcW w:w="2125" w:type="pct"/>
            <w:tcBorders>
              <w:top w:val="nil"/>
              <w:left w:val="nil"/>
              <w:bottom w:val="nil"/>
              <w:right w:val="nil"/>
            </w:tcBorders>
            <w:shd w:val="clear" w:color="auto" w:fill="auto"/>
            <w:vAlign w:val="bottom"/>
          </w:tcPr>
          <w:p w14:paraId="68ADFA64" w14:textId="77777777" w:rsidR="00862916" w:rsidRPr="00226892" w:rsidRDefault="00862916" w:rsidP="005020AA">
            <w:pPr>
              <w:rPr>
                <w:rFonts w:ascii="Arial" w:eastAsia="Times New Roman" w:hAnsi="Arial" w:cs="Arial"/>
                <w:color w:val="000000"/>
                <w:sz w:val="18"/>
                <w:szCs w:val="18"/>
                <w:lang w:eastAsia="sk-SK"/>
              </w:rPr>
            </w:pPr>
            <w:proofErr w:type="spellStart"/>
            <w:r w:rsidRPr="00226892">
              <w:rPr>
                <w:rFonts w:ascii="Arial" w:eastAsia="Times New Roman" w:hAnsi="Arial" w:cs="Arial"/>
                <w:color w:val="000000"/>
                <w:sz w:val="18"/>
                <w:szCs w:val="18"/>
                <w:lang w:eastAsia="sk-SK"/>
              </w:rPr>
              <w:t>Nezabezpečené</w:t>
            </w:r>
            <w:proofErr w:type="spellEnd"/>
          </w:p>
        </w:tc>
        <w:tc>
          <w:tcPr>
            <w:tcW w:w="728" w:type="pct"/>
            <w:tcBorders>
              <w:top w:val="nil"/>
              <w:left w:val="nil"/>
              <w:bottom w:val="nil"/>
              <w:right w:val="nil"/>
            </w:tcBorders>
            <w:shd w:val="clear" w:color="auto" w:fill="auto"/>
            <w:vAlign w:val="bottom"/>
          </w:tcPr>
          <w:p w14:paraId="756BBBDF" w14:textId="77777777" w:rsidR="00862916" w:rsidRPr="00226892" w:rsidRDefault="00862916"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15 348</w:t>
            </w:r>
          </w:p>
        </w:tc>
        <w:tc>
          <w:tcPr>
            <w:tcW w:w="105" w:type="pct"/>
            <w:tcBorders>
              <w:top w:val="nil"/>
              <w:left w:val="nil"/>
              <w:bottom w:val="nil"/>
              <w:right w:val="nil"/>
            </w:tcBorders>
            <w:shd w:val="clear" w:color="auto" w:fill="auto"/>
            <w:vAlign w:val="bottom"/>
          </w:tcPr>
          <w:p w14:paraId="41134948" w14:textId="77777777" w:rsidR="00862916" w:rsidRPr="00226892" w:rsidRDefault="00862916" w:rsidP="005020AA">
            <w:pPr>
              <w:jc w:val="right"/>
              <w:rPr>
                <w:rFonts w:ascii="Arial" w:eastAsia="Times New Roman" w:hAnsi="Arial" w:cs="Arial"/>
                <w:color w:val="000000"/>
                <w:sz w:val="18"/>
                <w:szCs w:val="18"/>
                <w:lang w:eastAsia="sk-SK"/>
              </w:rPr>
            </w:pPr>
          </w:p>
        </w:tc>
        <w:tc>
          <w:tcPr>
            <w:tcW w:w="684" w:type="pct"/>
            <w:tcBorders>
              <w:top w:val="nil"/>
              <w:left w:val="nil"/>
              <w:bottom w:val="nil"/>
              <w:right w:val="nil"/>
            </w:tcBorders>
            <w:shd w:val="clear" w:color="auto" w:fill="auto"/>
            <w:vAlign w:val="bottom"/>
          </w:tcPr>
          <w:p w14:paraId="1BEF1EF5" w14:textId="77777777" w:rsidR="00862916" w:rsidRPr="00226892" w:rsidRDefault="00862916"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8 312</w:t>
            </w:r>
          </w:p>
        </w:tc>
        <w:tc>
          <w:tcPr>
            <w:tcW w:w="105" w:type="pct"/>
            <w:tcBorders>
              <w:top w:val="nil"/>
              <w:left w:val="nil"/>
              <w:bottom w:val="nil"/>
              <w:right w:val="nil"/>
            </w:tcBorders>
            <w:shd w:val="clear" w:color="auto" w:fill="auto"/>
            <w:vAlign w:val="bottom"/>
          </w:tcPr>
          <w:p w14:paraId="3F8361A3" w14:textId="77777777" w:rsidR="00862916" w:rsidRPr="00226892" w:rsidRDefault="00862916" w:rsidP="005020AA">
            <w:pPr>
              <w:jc w:val="right"/>
              <w:rPr>
                <w:rFonts w:ascii="Arial" w:eastAsia="Times New Roman" w:hAnsi="Arial" w:cs="Arial"/>
                <w:color w:val="000000"/>
                <w:sz w:val="18"/>
                <w:szCs w:val="18"/>
                <w:lang w:eastAsia="sk-SK"/>
              </w:rPr>
            </w:pPr>
          </w:p>
        </w:tc>
        <w:tc>
          <w:tcPr>
            <w:tcW w:w="627" w:type="pct"/>
            <w:tcBorders>
              <w:top w:val="nil"/>
              <w:left w:val="nil"/>
              <w:bottom w:val="nil"/>
              <w:right w:val="nil"/>
            </w:tcBorders>
            <w:shd w:val="clear" w:color="auto" w:fill="auto"/>
            <w:vAlign w:val="bottom"/>
          </w:tcPr>
          <w:p w14:paraId="2E4592BE" w14:textId="77777777" w:rsidR="00862916" w:rsidRPr="00226892" w:rsidRDefault="00862916"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370</w:t>
            </w:r>
          </w:p>
        </w:tc>
        <w:tc>
          <w:tcPr>
            <w:tcW w:w="105" w:type="pct"/>
            <w:tcBorders>
              <w:top w:val="nil"/>
              <w:left w:val="nil"/>
              <w:bottom w:val="nil"/>
              <w:right w:val="nil"/>
            </w:tcBorders>
            <w:shd w:val="clear" w:color="auto" w:fill="auto"/>
            <w:vAlign w:val="bottom"/>
          </w:tcPr>
          <w:p w14:paraId="3E1B4569" w14:textId="77777777" w:rsidR="00862916" w:rsidRPr="00226892" w:rsidRDefault="00862916" w:rsidP="005020AA">
            <w:pPr>
              <w:jc w:val="right"/>
              <w:rPr>
                <w:rFonts w:ascii="Arial" w:eastAsia="Times New Roman" w:hAnsi="Arial" w:cs="Arial"/>
                <w:color w:val="000000"/>
                <w:sz w:val="18"/>
                <w:szCs w:val="18"/>
                <w:lang w:eastAsia="sk-SK"/>
              </w:rPr>
            </w:pPr>
          </w:p>
        </w:tc>
        <w:tc>
          <w:tcPr>
            <w:tcW w:w="522" w:type="pct"/>
            <w:tcBorders>
              <w:top w:val="nil"/>
              <w:left w:val="nil"/>
              <w:bottom w:val="nil"/>
              <w:right w:val="nil"/>
            </w:tcBorders>
            <w:shd w:val="clear" w:color="auto" w:fill="auto"/>
            <w:vAlign w:val="bottom"/>
          </w:tcPr>
          <w:p w14:paraId="3742A470" w14:textId="77777777" w:rsidR="00862916" w:rsidRPr="00226892" w:rsidRDefault="00862916"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24 030</w:t>
            </w:r>
          </w:p>
        </w:tc>
      </w:tr>
      <w:tr w:rsidR="00862916" w:rsidRPr="00226892" w14:paraId="16F5D6C9" w14:textId="77777777" w:rsidTr="001C0A76">
        <w:trPr>
          <w:trHeight w:val="217"/>
        </w:trPr>
        <w:tc>
          <w:tcPr>
            <w:tcW w:w="2125" w:type="pct"/>
            <w:tcBorders>
              <w:top w:val="nil"/>
              <w:left w:val="nil"/>
              <w:bottom w:val="nil"/>
              <w:right w:val="nil"/>
            </w:tcBorders>
            <w:shd w:val="clear" w:color="auto" w:fill="auto"/>
            <w:vAlign w:val="bottom"/>
            <w:hideMark/>
          </w:tcPr>
          <w:p w14:paraId="4B1BA473" w14:textId="77777777" w:rsidR="00862916" w:rsidRPr="00226892" w:rsidRDefault="00862916" w:rsidP="005020AA">
            <w:pPr>
              <w:rPr>
                <w:rFonts w:ascii="Arial" w:eastAsia="Times New Roman" w:hAnsi="Arial" w:cs="Arial"/>
                <w:b/>
                <w:bCs/>
                <w:color w:val="000000"/>
                <w:sz w:val="18"/>
                <w:szCs w:val="18"/>
                <w:lang w:eastAsia="sk-SK"/>
              </w:rPr>
            </w:pPr>
            <w:proofErr w:type="spellStart"/>
            <w:r w:rsidRPr="00226892">
              <w:rPr>
                <w:rFonts w:ascii="Arial" w:eastAsia="Times New Roman" w:hAnsi="Arial" w:cs="Arial"/>
                <w:b/>
                <w:bCs/>
                <w:color w:val="000000"/>
                <w:sz w:val="18"/>
                <w:szCs w:val="18"/>
                <w:lang w:eastAsia="sk-SK"/>
              </w:rPr>
              <w:t>Celkom</w:t>
            </w:r>
            <w:proofErr w:type="spellEnd"/>
          </w:p>
        </w:tc>
        <w:tc>
          <w:tcPr>
            <w:tcW w:w="728" w:type="pct"/>
            <w:tcBorders>
              <w:top w:val="single" w:sz="4" w:space="0" w:color="auto"/>
              <w:left w:val="nil"/>
              <w:bottom w:val="double" w:sz="6" w:space="0" w:color="auto"/>
              <w:right w:val="nil"/>
            </w:tcBorders>
            <w:shd w:val="clear" w:color="auto" w:fill="auto"/>
            <w:vAlign w:val="bottom"/>
          </w:tcPr>
          <w:p w14:paraId="7E80B7A0" w14:textId="77777777" w:rsidR="00862916" w:rsidRPr="00226892" w:rsidRDefault="00862916" w:rsidP="005020AA">
            <w:pPr>
              <w:jc w:val="right"/>
              <w:rPr>
                <w:rFonts w:ascii="Arial" w:eastAsia="Times New Roman" w:hAnsi="Arial" w:cs="Arial"/>
                <w:b/>
                <w:bCs/>
                <w:color w:val="000000"/>
                <w:sz w:val="18"/>
                <w:szCs w:val="18"/>
                <w:lang w:eastAsia="sk-SK"/>
              </w:rPr>
            </w:pPr>
            <w:r w:rsidRPr="00226892">
              <w:rPr>
                <w:rFonts w:ascii="Arial" w:eastAsia="Times New Roman" w:hAnsi="Arial" w:cs="Arial"/>
                <w:b/>
                <w:bCs/>
                <w:color w:val="000000"/>
                <w:sz w:val="18"/>
                <w:szCs w:val="18"/>
                <w:lang w:eastAsia="sk-SK"/>
              </w:rPr>
              <w:t>22 167</w:t>
            </w:r>
          </w:p>
        </w:tc>
        <w:tc>
          <w:tcPr>
            <w:tcW w:w="105" w:type="pct"/>
            <w:tcBorders>
              <w:top w:val="nil"/>
              <w:left w:val="nil"/>
              <w:bottom w:val="nil"/>
              <w:right w:val="nil"/>
            </w:tcBorders>
            <w:shd w:val="clear" w:color="auto" w:fill="auto"/>
            <w:vAlign w:val="bottom"/>
          </w:tcPr>
          <w:p w14:paraId="2B116BE3" w14:textId="77777777" w:rsidR="00862916" w:rsidRPr="00226892" w:rsidRDefault="00862916" w:rsidP="005020AA">
            <w:pPr>
              <w:jc w:val="right"/>
              <w:rPr>
                <w:rFonts w:ascii="Arial" w:eastAsia="Times New Roman" w:hAnsi="Arial" w:cs="Arial"/>
                <w:b/>
                <w:bCs/>
                <w:color w:val="000000"/>
                <w:sz w:val="18"/>
                <w:szCs w:val="18"/>
                <w:lang w:eastAsia="sk-SK"/>
              </w:rPr>
            </w:pPr>
          </w:p>
        </w:tc>
        <w:tc>
          <w:tcPr>
            <w:tcW w:w="684" w:type="pct"/>
            <w:tcBorders>
              <w:top w:val="single" w:sz="4" w:space="0" w:color="auto"/>
              <w:left w:val="nil"/>
              <w:bottom w:val="double" w:sz="6" w:space="0" w:color="auto"/>
              <w:right w:val="nil"/>
            </w:tcBorders>
            <w:shd w:val="clear" w:color="auto" w:fill="auto"/>
            <w:vAlign w:val="bottom"/>
          </w:tcPr>
          <w:p w14:paraId="5664B98E" w14:textId="77777777" w:rsidR="00862916" w:rsidRPr="00226892" w:rsidRDefault="00862916" w:rsidP="005020AA">
            <w:pPr>
              <w:jc w:val="right"/>
              <w:rPr>
                <w:rFonts w:ascii="Arial" w:eastAsia="Times New Roman" w:hAnsi="Arial" w:cs="Arial"/>
                <w:b/>
                <w:bCs/>
                <w:color w:val="000000"/>
                <w:sz w:val="18"/>
                <w:szCs w:val="18"/>
                <w:lang w:eastAsia="sk-SK"/>
              </w:rPr>
            </w:pPr>
            <w:r w:rsidRPr="00226892">
              <w:rPr>
                <w:rFonts w:ascii="Arial" w:eastAsia="Times New Roman" w:hAnsi="Arial" w:cs="Arial"/>
                <w:b/>
                <w:bCs/>
                <w:color w:val="000000"/>
                <w:sz w:val="18"/>
                <w:szCs w:val="18"/>
                <w:lang w:eastAsia="sk-SK"/>
              </w:rPr>
              <w:t>8 312</w:t>
            </w:r>
          </w:p>
        </w:tc>
        <w:tc>
          <w:tcPr>
            <w:tcW w:w="105" w:type="pct"/>
            <w:tcBorders>
              <w:top w:val="nil"/>
              <w:left w:val="nil"/>
              <w:bottom w:val="nil"/>
              <w:right w:val="nil"/>
            </w:tcBorders>
            <w:shd w:val="clear" w:color="auto" w:fill="auto"/>
            <w:vAlign w:val="bottom"/>
          </w:tcPr>
          <w:p w14:paraId="712F7179" w14:textId="77777777" w:rsidR="00862916" w:rsidRPr="00226892" w:rsidRDefault="00862916" w:rsidP="005020AA">
            <w:pPr>
              <w:jc w:val="right"/>
              <w:rPr>
                <w:rFonts w:ascii="Arial" w:eastAsia="Times New Roman" w:hAnsi="Arial" w:cs="Arial"/>
                <w:b/>
                <w:bCs/>
                <w:color w:val="000000"/>
                <w:sz w:val="18"/>
                <w:szCs w:val="18"/>
                <w:lang w:eastAsia="sk-SK"/>
              </w:rPr>
            </w:pPr>
          </w:p>
        </w:tc>
        <w:tc>
          <w:tcPr>
            <w:tcW w:w="627" w:type="pct"/>
            <w:tcBorders>
              <w:top w:val="single" w:sz="4" w:space="0" w:color="auto"/>
              <w:left w:val="nil"/>
              <w:bottom w:val="double" w:sz="6" w:space="0" w:color="auto"/>
              <w:right w:val="nil"/>
            </w:tcBorders>
            <w:shd w:val="clear" w:color="auto" w:fill="auto"/>
            <w:vAlign w:val="bottom"/>
          </w:tcPr>
          <w:p w14:paraId="44211695" w14:textId="77777777" w:rsidR="00862916" w:rsidRPr="00226892" w:rsidRDefault="00862916" w:rsidP="005020AA">
            <w:pPr>
              <w:jc w:val="right"/>
              <w:rPr>
                <w:rFonts w:ascii="Arial" w:eastAsia="Times New Roman" w:hAnsi="Arial" w:cs="Arial"/>
                <w:b/>
                <w:bCs/>
                <w:color w:val="000000"/>
                <w:sz w:val="18"/>
                <w:szCs w:val="18"/>
                <w:lang w:eastAsia="sk-SK"/>
              </w:rPr>
            </w:pPr>
            <w:r w:rsidRPr="00226892">
              <w:rPr>
                <w:rFonts w:ascii="Arial" w:eastAsia="Times New Roman" w:hAnsi="Arial" w:cs="Arial"/>
                <w:b/>
                <w:bCs/>
                <w:color w:val="000000"/>
                <w:sz w:val="18"/>
                <w:szCs w:val="18"/>
                <w:lang w:eastAsia="sk-SK"/>
              </w:rPr>
              <w:t>370</w:t>
            </w:r>
          </w:p>
        </w:tc>
        <w:tc>
          <w:tcPr>
            <w:tcW w:w="105" w:type="pct"/>
            <w:tcBorders>
              <w:top w:val="nil"/>
              <w:left w:val="nil"/>
              <w:bottom w:val="nil"/>
              <w:right w:val="nil"/>
            </w:tcBorders>
            <w:shd w:val="clear" w:color="auto" w:fill="auto"/>
            <w:vAlign w:val="bottom"/>
          </w:tcPr>
          <w:p w14:paraId="446C340F" w14:textId="77777777" w:rsidR="00862916" w:rsidRPr="00226892" w:rsidRDefault="00862916" w:rsidP="005020AA">
            <w:pPr>
              <w:jc w:val="right"/>
              <w:rPr>
                <w:rFonts w:ascii="Arial" w:eastAsia="Times New Roman" w:hAnsi="Arial" w:cs="Arial"/>
                <w:b/>
                <w:bCs/>
                <w:color w:val="000000"/>
                <w:sz w:val="18"/>
                <w:szCs w:val="18"/>
                <w:lang w:eastAsia="sk-SK"/>
              </w:rPr>
            </w:pPr>
          </w:p>
        </w:tc>
        <w:tc>
          <w:tcPr>
            <w:tcW w:w="522" w:type="pct"/>
            <w:tcBorders>
              <w:top w:val="single" w:sz="4" w:space="0" w:color="auto"/>
              <w:left w:val="nil"/>
              <w:bottom w:val="double" w:sz="6" w:space="0" w:color="auto"/>
              <w:right w:val="nil"/>
            </w:tcBorders>
            <w:shd w:val="clear" w:color="auto" w:fill="auto"/>
            <w:vAlign w:val="bottom"/>
          </w:tcPr>
          <w:p w14:paraId="06160CCD" w14:textId="68DCA6B6" w:rsidR="00862916" w:rsidRPr="00226892" w:rsidRDefault="00862916" w:rsidP="005020AA">
            <w:pPr>
              <w:jc w:val="right"/>
              <w:rPr>
                <w:rFonts w:ascii="Arial" w:eastAsia="Times New Roman" w:hAnsi="Arial" w:cs="Arial"/>
                <w:b/>
                <w:bCs/>
                <w:color w:val="000000"/>
                <w:sz w:val="18"/>
                <w:szCs w:val="18"/>
                <w:lang w:eastAsia="sk-SK"/>
              </w:rPr>
            </w:pPr>
            <w:r w:rsidRPr="00226892">
              <w:rPr>
                <w:rFonts w:ascii="Arial" w:eastAsia="Times New Roman" w:hAnsi="Arial" w:cs="Arial"/>
                <w:b/>
                <w:bCs/>
                <w:color w:val="000000"/>
                <w:sz w:val="18"/>
                <w:szCs w:val="18"/>
                <w:lang w:eastAsia="sk-SK"/>
              </w:rPr>
              <w:t>30 84</w:t>
            </w:r>
            <w:r w:rsidR="002252EB">
              <w:rPr>
                <w:rFonts w:ascii="Arial" w:eastAsia="Times New Roman" w:hAnsi="Arial" w:cs="Arial"/>
                <w:b/>
                <w:bCs/>
                <w:color w:val="000000"/>
                <w:sz w:val="18"/>
                <w:szCs w:val="18"/>
                <w:lang w:eastAsia="sk-SK"/>
              </w:rPr>
              <w:t>9</w:t>
            </w:r>
          </w:p>
        </w:tc>
      </w:tr>
    </w:tbl>
    <w:p w14:paraId="703DAD57" w14:textId="77777777" w:rsidR="00862916" w:rsidRPr="00226892" w:rsidRDefault="00862916" w:rsidP="00862916">
      <w:pPr>
        <w:suppressAutoHyphens/>
        <w:ind w:left="357"/>
        <w:rPr>
          <w:rFonts w:ascii="Arial" w:hAnsi="Arial" w:cs="Arial"/>
        </w:rPr>
      </w:pPr>
    </w:p>
    <w:p w14:paraId="387FBB08" w14:textId="77777777" w:rsidR="00862916" w:rsidRPr="00226892" w:rsidRDefault="00862916" w:rsidP="00862916">
      <w:pPr>
        <w:suppressAutoHyphens/>
        <w:jc w:val="both"/>
        <w:rPr>
          <w:rFonts w:ascii="Arial" w:hAnsi="Arial" w:cs="Arial"/>
        </w:rPr>
      </w:pPr>
      <w:proofErr w:type="spellStart"/>
      <w:r w:rsidRPr="00226892">
        <w:rPr>
          <w:rFonts w:ascii="Arial" w:hAnsi="Arial" w:cs="Arial"/>
        </w:rPr>
        <w:t>Nezabezpečené</w:t>
      </w:r>
      <w:proofErr w:type="spellEnd"/>
      <w:r w:rsidRPr="00226892">
        <w:rPr>
          <w:rFonts w:ascii="Arial" w:hAnsi="Arial" w:cs="Arial"/>
        </w:rPr>
        <w:t xml:space="preserve"> </w:t>
      </w:r>
      <w:proofErr w:type="spellStart"/>
      <w:r w:rsidRPr="00226892">
        <w:rPr>
          <w:rFonts w:ascii="Arial" w:hAnsi="Arial" w:cs="Arial"/>
        </w:rPr>
        <w:t>finančné</w:t>
      </w:r>
      <w:proofErr w:type="spellEnd"/>
      <w:r w:rsidRPr="00226892">
        <w:rPr>
          <w:rFonts w:ascii="Arial" w:hAnsi="Arial" w:cs="Arial"/>
        </w:rPr>
        <w:t xml:space="preserve"> </w:t>
      </w:r>
      <w:proofErr w:type="spellStart"/>
      <w:r w:rsidRPr="00226892">
        <w:rPr>
          <w:rFonts w:ascii="Arial" w:hAnsi="Arial" w:cs="Arial"/>
        </w:rPr>
        <w:t>aktíva</w:t>
      </w:r>
      <w:proofErr w:type="spellEnd"/>
      <w:r w:rsidRPr="00226892">
        <w:rPr>
          <w:rFonts w:ascii="Arial" w:hAnsi="Arial" w:cs="Arial"/>
        </w:rPr>
        <w:t xml:space="preserve"> </w:t>
      </w:r>
      <w:proofErr w:type="spellStart"/>
      <w:r w:rsidRPr="00226892">
        <w:rPr>
          <w:rFonts w:ascii="Arial" w:hAnsi="Arial" w:cs="Arial"/>
        </w:rPr>
        <w:t>predstavujú</w:t>
      </w:r>
      <w:proofErr w:type="spellEnd"/>
      <w:r w:rsidRPr="00226892">
        <w:rPr>
          <w:rFonts w:ascii="Arial" w:hAnsi="Arial" w:cs="Arial"/>
        </w:rPr>
        <w:t xml:space="preserve"> </w:t>
      </w:r>
      <w:proofErr w:type="spellStart"/>
      <w:r w:rsidRPr="00226892">
        <w:rPr>
          <w:rFonts w:ascii="Arial" w:hAnsi="Arial" w:cs="Arial"/>
        </w:rPr>
        <w:t>najmä</w:t>
      </w:r>
      <w:proofErr w:type="spellEnd"/>
      <w:r w:rsidRPr="00226892">
        <w:rPr>
          <w:rFonts w:ascii="Arial" w:hAnsi="Arial" w:cs="Arial"/>
        </w:rPr>
        <w:t xml:space="preserve"> </w:t>
      </w:r>
      <w:proofErr w:type="spellStart"/>
      <w:r w:rsidRPr="00226892">
        <w:rPr>
          <w:rFonts w:ascii="Arial" w:hAnsi="Arial" w:cs="Arial"/>
        </w:rPr>
        <w:t>pohľadávky</w:t>
      </w:r>
      <w:proofErr w:type="spellEnd"/>
      <w:r w:rsidRPr="00226892">
        <w:rPr>
          <w:rFonts w:ascii="Arial" w:hAnsi="Arial" w:cs="Arial"/>
        </w:rPr>
        <w:t xml:space="preserve"> z </w:t>
      </w:r>
      <w:proofErr w:type="spellStart"/>
      <w:r w:rsidRPr="00226892">
        <w:rPr>
          <w:rFonts w:ascii="Arial" w:hAnsi="Arial" w:cs="Arial"/>
        </w:rPr>
        <w:t>obchodného</w:t>
      </w:r>
      <w:proofErr w:type="spellEnd"/>
      <w:r w:rsidRPr="00226892">
        <w:rPr>
          <w:rFonts w:ascii="Arial" w:hAnsi="Arial" w:cs="Arial"/>
        </w:rPr>
        <w:t xml:space="preserve"> </w:t>
      </w:r>
      <w:proofErr w:type="spellStart"/>
      <w:r w:rsidRPr="00226892">
        <w:rPr>
          <w:rFonts w:ascii="Arial" w:hAnsi="Arial" w:cs="Arial"/>
        </w:rPr>
        <w:t>styku</w:t>
      </w:r>
      <w:proofErr w:type="spellEnd"/>
      <w:r w:rsidRPr="00226892">
        <w:rPr>
          <w:rFonts w:ascii="Arial" w:hAnsi="Arial" w:cs="Arial"/>
        </w:rPr>
        <w:t xml:space="preserve">, </w:t>
      </w:r>
      <w:proofErr w:type="spellStart"/>
      <w:r w:rsidRPr="00226892">
        <w:rPr>
          <w:rFonts w:ascii="Arial" w:hAnsi="Arial" w:cs="Arial"/>
        </w:rPr>
        <w:t>pri</w:t>
      </w:r>
      <w:proofErr w:type="spellEnd"/>
      <w:r w:rsidRPr="00226892">
        <w:rPr>
          <w:rFonts w:ascii="Arial" w:hAnsi="Arial" w:cs="Arial"/>
        </w:rPr>
        <w:t xml:space="preserve"> </w:t>
      </w:r>
      <w:proofErr w:type="spellStart"/>
      <w:r w:rsidRPr="00226892">
        <w:rPr>
          <w:rFonts w:ascii="Arial" w:hAnsi="Arial" w:cs="Arial"/>
        </w:rPr>
        <w:t>ktorých</w:t>
      </w:r>
      <w:proofErr w:type="spellEnd"/>
      <w:r w:rsidRPr="00226892">
        <w:rPr>
          <w:rFonts w:ascii="Arial" w:hAnsi="Arial" w:cs="Arial"/>
        </w:rPr>
        <w:t xml:space="preserve"> </w:t>
      </w:r>
      <w:proofErr w:type="spellStart"/>
      <w:r w:rsidRPr="00226892">
        <w:rPr>
          <w:rFonts w:ascii="Arial" w:hAnsi="Arial" w:cs="Arial"/>
        </w:rPr>
        <w:t>vedenie</w:t>
      </w:r>
      <w:proofErr w:type="spellEnd"/>
      <w:r w:rsidRPr="00226892">
        <w:rPr>
          <w:rFonts w:ascii="Arial" w:hAnsi="Arial" w:cs="Arial"/>
        </w:rPr>
        <w:t xml:space="preserve"> </w:t>
      </w:r>
      <w:proofErr w:type="spellStart"/>
      <w:r w:rsidRPr="00226892">
        <w:rPr>
          <w:rFonts w:ascii="Arial" w:hAnsi="Arial" w:cs="Arial"/>
        </w:rPr>
        <w:t>Spoločnosti</w:t>
      </w:r>
      <w:proofErr w:type="spellEnd"/>
      <w:r w:rsidRPr="00226892">
        <w:rPr>
          <w:rFonts w:ascii="Arial" w:hAnsi="Arial" w:cs="Arial"/>
        </w:rPr>
        <w:t xml:space="preserve"> </w:t>
      </w:r>
      <w:proofErr w:type="spellStart"/>
      <w:r w:rsidRPr="00226892">
        <w:rPr>
          <w:rFonts w:ascii="Arial" w:hAnsi="Arial" w:cs="Arial"/>
        </w:rPr>
        <w:t>hodnotí</w:t>
      </w:r>
      <w:proofErr w:type="spellEnd"/>
      <w:r w:rsidRPr="00226892">
        <w:rPr>
          <w:rFonts w:ascii="Arial" w:hAnsi="Arial" w:cs="Arial"/>
        </w:rPr>
        <w:t xml:space="preserve"> </w:t>
      </w:r>
      <w:proofErr w:type="spellStart"/>
      <w:r w:rsidRPr="00226892">
        <w:rPr>
          <w:rFonts w:ascii="Arial" w:hAnsi="Arial" w:cs="Arial"/>
        </w:rPr>
        <w:t>kreditné</w:t>
      </w:r>
      <w:proofErr w:type="spellEnd"/>
      <w:r w:rsidRPr="00226892">
        <w:rPr>
          <w:rFonts w:ascii="Arial" w:hAnsi="Arial" w:cs="Arial"/>
        </w:rPr>
        <w:t xml:space="preserve"> </w:t>
      </w:r>
      <w:proofErr w:type="spellStart"/>
      <w:r w:rsidRPr="00226892">
        <w:rPr>
          <w:rFonts w:ascii="Arial" w:hAnsi="Arial" w:cs="Arial"/>
        </w:rPr>
        <w:t>riziko</w:t>
      </w:r>
      <w:proofErr w:type="spellEnd"/>
      <w:r w:rsidRPr="00226892">
        <w:rPr>
          <w:rFonts w:ascii="Arial" w:hAnsi="Arial" w:cs="Arial"/>
        </w:rPr>
        <w:t xml:space="preserve"> </w:t>
      </w:r>
      <w:proofErr w:type="spellStart"/>
      <w:r w:rsidRPr="00226892">
        <w:rPr>
          <w:rFonts w:ascii="Arial" w:hAnsi="Arial" w:cs="Arial"/>
        </w:rPr>
        <w:t>ako</w:t>
      </w:r>
      <w:proofErr w:type="spellEnd"/>
      <w:r w:rsidRPr="00226892">
        <w:rPr>
          <w:rFonts w:ascii="Arial" w:hAnsi="Arial" w:cs="Arial"/>
        </w:rPr>
        <w:t xml:space="preserve"> </w:t>
      </w:r>
      <w:proofErr w:type="spellStart"/>
      <w:r w:rsidRPr="00226892">
        <w:rPr>
          <w:rFonts w:ascii="Arial" w:hAnsi="Arial" w:cs="Arial"/>
        </w:rPr>
        <w:t>minimálne</w:t>
      </w:r>
      <w:proofErr w:type="spellEnd"/>
      <w:r w:rsidRPr="00226892">
        <w:rPr>
          <w:rFonts w:ascii="Arial" w:hAnsi="Arial" w:cs="Arial"/>
        </w:rPr>
        <w:t>.</w:t>
      </w:r>
    </w:p>
    <w:p w14:paraId="1736F17C" w14:textId="7E2D9A49" w:rsidR="001C0A76" w:rsidRPr="00226892" w:rsidRDefault="001C0A76">
      <w:pPr>
        <w:rPr>
          <w:rFonts w:ascii="Arial" w:hAnsi="Arial" w:cs="Arial"/>
        </w:rPr>
      </w:pPr>
      <w:r w:rsidRPr="00226892">
        <w:rPr>
          <w:rFonts w:ascii="Arial" w:hAnsi="Arial" w:cs="Arial"/>
        </w:rPr>
        <w:br w:type="page"/>
      </w:r>
    </w:p>
    <w:p w14:paraId="31DAD1C7" w14:textId="0BF792AB" w:rsidR="00862916" w:rsidRPr="00226892" w:rsidRDefault="00862916" w:rsidP="00862916">
      <w:pPr>
        <w:suppressAutoHyphens/>
        <w:jc w:val="both"/>
        <w:rPr>
          <w:rFonts w:ascii="Arial" w:hAnsi="Arial" w:cs="Arial"/>
        </w:rPr>
      </w:pPr>
      <w:proofErr w:type="spellStart"/>
      <w:r w:rsidRPr="00226892">
        <w:rPr>
          <w:rFonts w:ascii="Arial" w:hAnsi="Arial" w:cs="Arial"/>
        </w:rPr>
        <w:lastRenderedPageBreak/>
        <w:t>Tabuľka</w:t>
      </w:r>
      <w:proofErr w:type="spellEnd"/>
      <w:r w:rsidRPr="00226892">
        <w:rPr>
          <w:rFonts w:ascii="Arial" w:hAnsi="Arial" w:cs="Arial"/>
        </w:rPr>
        <w:t xml:space="preserve"> </w:t>
      </w:r>
      <w:proofErr w:type="spellStart"/>
      <w:r w:rsidRPr="00226892">
        <w:rPr>
          <w:rFonts w:ascii="Arial" w:hAnsi="Arial" w:cs="Arial"/>
        </w:rPr>
        <w:t>nižšie</w:t>
      </w:r>
      <w:proofErr w:type="spellEnd"/>
      <w:r w:rsidRPr="00226892">
        <w:rPr>
          <w:rFonts w:ascii="Arial" w:hAnsi="Arial" w:cs="Arial"/>
        </w:rPr>
        <w:t xml:space="preserve"> </w:t>
      </w:r>
      <w:proofErr w:type="spellStart"/>
      <w:r w:rsidRPr="00226892">
        <w:rPr>
          <w:rFonts w:ascii="Arial" w:hAnsi="Arial" w:cs="Arial"/>
        </w:rPr>
        <w:t>analyzuje</w:t>
      </w:r>
      <w:proofErr w:type="spellEnd"/>
      <w:r w:rsidRPr="00226892">
        <w:rPr>
          <w:rFonts w:ascii="Arial" w:hAnsi="Arial" w:cs="Arial"/>
        </w:rPr>
        <w:t xml:space="preserve"> </w:t>
      </w:r>
      <w:proofErr w:type="spellStart"/>
      <w:r w:rsidRPr="00226892">
        <w:rPr>
          <w:rFonts w:ascii="Arial" w:hAnsi="Arial" w:cs="Arial"/>
        </w:rPr>
        <w:t>finačný</w:t>
      </w:r>
      <w:proofErr w:type="spellEnd"/>
      <w:r w:rsidRPr="00226892">
        <w:rPr>
          <w:rFonts w:ascii="Arial" w:hAnsi="Arial" w:cs="Arial"/>
        </w:rPr>
        <w:t xml:space="preserve"> </w:t>
      </w:r>
      <w:proofErr w:type="spellStart"/>
      <w:r w:rsidRPr="00226892">
        <w:rPr>
          <w:rFonts w:ascii="Arial" w:hAnsi="Arial" w:cs="Arial"/>
        </w:rPr>
        <w:t>vplyv</w:t>
      </w:r>
      <w:proofErr w:type="spellEnd"/>
      <w:r w:rsidRPr="00226892">
        <w:rPr>
          <w:rFonts w:ascii="Arial" w:hAnsi="Arial" w:cs="Arial"/>
        </w:rPr>
        <w:t xml:space="preserve"> </w:t>
      </w:r>
      <w:proofErr w:type="spellStart"/>
      <w:r w:rsidRPr="00226892">
        <w:rPr>
          <w:rFonts w:ascii="Arial" w:hAnsi="Arial" w:cs="Arial"/>
        </w:rPr>
        <w:t>zabezpečenia</w:t>
      </w:r>
      <w:proofErr w:type="spellEnd"/>
      <w:r w:rsidRPr="00226892">
        <w:rPr>
          <w:rFonts w:ascii="Arial" w:hAnsi="Arial" w:cs="Arial"/>
        </w:rPr>
        <w:t xml:space="preserve"> </w:t>
      </w:r>
      <w:proofErr w:type="spellStart"/>
      <w:r w:rsidRPr="00226892">
        <w:rPr>
          <w:rFonts w:ascii="Arial" w:hAnsi="Arial" w:cs="Arial"/>
        </w:rPr>
        <w:t>pohľadávok</w:t>
      </w:r>
      <w:proofErr w:type="spellEnd"/>
      <w:r w:rsidRPr="00226892">
        <w:rPr>
          <w:rFonts w:ascii="Arial" w:hAnsi="Arial" w:cs="Arial"/>
        </w:rPr>
        <w:t xml:space="preserve"> z </w:t>
      </w:r>
      <w:proofErr w:type="spellStart"/>
      <w:r w:rsidRPr="00226892">
        <w:rPr>
          <w:rFonts w:ascii="Arial" w:hAnsi="Arial" w:cs="Arial"/>
        </w:rPr>
        <w:t>obchodného</w:t>
      </w:r>
      <w:proofErr w:type="spellEnd"/>
      <w:r w:rsidRPr="00226892">
        <w:rPr>
          <w:rFonts w:ascii="Arial" w:hAnsi="Arial" w:cs="Arial"/>
        </w:rPr>
        <w:t xml:space="preserve"> </w:t>
      </w:r>
      <w:proofErr w:type="spellStart"/>
      <w:r w:rsidRPr="00226892">
        <w:rPr>
          <w:rFonts w:ascii="Arial" w:hAnsi="Arial" w:cs="Arial"/>
        </w:rPr>
        <w:t>styku</w:t>
      </w:r>
      <w:proofErr w:type="spellEnd"/>
      <w:r w:rsidRPr="00226892">
        <w:rPr>
          <w:rFonts w:ascii="Arial" w:hAnsi="Arial" w:cs="Arial"/>
        </w:rPr>
        <w:t>, </w:t>
      </w:r>
      <w:proofErr w:type="spellStart"/>
      <w:r w:rsidRPr="00226892">
        <w:rPr>
          <w:rFonts w:ascii="Arial" w:hAnsi="Arial" w:cs="Arial"/>
        </w:rPr>
        <w:t>iných</w:t>
      </w:r>
      <w:proofErr w:type="spellEnd"/>
      <w:r w:rsidRPr="00226892">
        <w:rPr>
          <w:rFonts w:ascii="Arial" w:hAnsi="Arial" w:cs="Arial"/>
        </w:rPr>
        <w:t xml:space="preserve"> </w:t>
      </w:r>
      <w:proofErr w:type="spellStart"/>
      <w:r w:rsidRPr="00226892">
        <w:rPr>
          <w:rFonts w:ascii="Arial" w:hAnsi="Arial" w:cs="Arial"/>
        </w:rPr>
        <w:t>pohľadávok</w:t>
      </w:r>
      <w:proofErr w:type="spellEnd"/>
      <w:r w:rsidRPr="00226892">
        <w:rPr>
          <w:rFonts w:ascii="Arial" w:hAnsi="Arial" w:cs="Arial"/>
        </w:rPr>
        <w:t xml:space="preserve"> a </w:t>
      </w:r>
      <w:proofErr w:type="spellStart"/>
      <w:r w:rsidRPr="00226892">
        <w:rPr>
          <w:rFonts w:ascii="Arial" w:hAnsi="Arial" w:cs="Arial"/>
        </w:rPr>
        <w:t>pôžičiek</w:t>
      </w:r>
      <w:proofErr w:type="spellEnd"/>
      <w:r w:rsidRPr="00226892">
        <w:rPr>
          <w:rFonts w:ascii="Arial" w:hAnsi="Arial" w:cs="Arial"/>
        </w:rPr>
        <w:t xml:space="preserve"> s </w:t>
      </w:r>
      <w:proofErr w:type="spellStart"/>
      <w:r w:rsidRPr="00226892">
        <w:rPr>
          <w:rFonts w:ascii="Arial" w:hAnsi="Arial" w:cs="Arial"/>
        </w:rPr>
        <w:t>uvedením</w:t>
      </w:r>
      <w:proofErr w:type="spellEnd"/>
      <w:r w:rsidRPr="00226892">
        <w:rPr>
          <w:rFonts w:ascii="Arial" w:hAnsi="Arial" w:cs="Arial"/>
        </w:rPr>
        <w:t xml:space="preserve"> </w:t>
      </w:r>
      <w:proofErr w:type="spellStart"/>
      <w:r w:rsidRPr="00226892">
        <w:rPr>
          <w:rFonts w:ascii="Arial" w:hAnsi="Arial" w:cs="Arial"/>
        </w:rPr>
        <w:t>informácie</w:t>
      </w:r>
      <w:proofErr w:type="spellEnd"/>
      <w:r w:rsidRPr="00226892">
        <w:rPr>
          <w:rFonts w:ascii="Arial" w:hAnsi="Arial" w:cs="Arial"/>
        </w:rPr>
        <w:t xml:space="preserve"> o </w:t>
      </w:r>
      <w:proofErr w:type="spellStart"/>
      <w:r w:rsidRPr="00226892">
        <w:rPr>
          <w:rFonts w:ascii="Arial" w:hAnsi="Arial" w:cs="Arial"/>
        </w:rPr>
        <w:t>výške</w:t>
      </w:r>
      <w:proofErr w:type="spellEnd"/>
      <w:r w:rsidRPr="00226892">
        <w:rPr>
          <w:rFonts w:ascii="Arial" w:hAnsi="Arial" w:cs="Arial"/>
        </w:rPr>
        <w:t xml:space="preserve"> </w:t>
      </w:r>
      <w:proofErr w:type="spellStart"/>
      <w:r w:rsidRPr="00226892">
        <w:rPr>
          <w:rFonts w:ascii="Arial" w:hAnsi="Arial" w:cs="Arial"/>
        </w:rPr>
        <w:t>zabezpečenia</w:t>
      </w:r>
      <w:proofErr w:type="spellEnd"/>
      <w:r w:rsidRPr="00226892">
        <w:rPr>
          <w:rFonts w:ascii="Arial" w:hAnsi="Arial" w:cs="Arial"/>
        </w:rPr>
        <w:t xml:space="preserve"> </w:t>
      </w:r>
      <w:proofErr w:type="spellStart"/>
      <w:r w:rsidRPr="00226892">
        <w:rPr>
          <w:rFonts w:ascii="Arial" w:hAnsi="Arial" w:cs="Arial"/>
        </w:rPr>
        <w:t>samostatne</w:t>
      </w:r>
      <w:proofErr w:type="spellEnd"/>
      <w:r w:rsidRPr="00226892">
        <w:rPr>
          <w:rFonts w:ascii="Arial" w:hAnsi="Arial" w:cs="Arial"/>
        </w:rPr>
        <w:t xml:space="preserve"> za tie </w:t>
      </w:r>
      <w:proofErr w:type="spellStart"/>
      <w:r w:rsidRPr="00226892">
        <w:rPr>
          <w:rFonts w:ascii="Arial" w:hAnsi="Arial" w:cs="Arial"/>
        </w:rPr>
        <w:t>finančné</w:t>
      </w:r>
      <w:proofErr w:type="spellEnd"/>
      <w:r w:rsidRPr="00226892">
        <w:rPr>
          <w:rFonts w:ascii="Arial" w:hAnsi="Arial" w:cs="Arial"/>
        </w:rPr>
        <w:t xml:space="preserve"> </w:t>
      </w:r>
      <w:proofErr w:type="spellStart"/>
      <w:r w:rsidRPr="00226892">
        <w:rPr>
          <w:rFonts w:ascii="Arial" w:hAnsi="Arial" w:cs="Arial"/>
        </w:rPr>
        <w:t>aktíva</w:t>
      </w:r>
      <w:proofErr w:type="spellEnd"/>
      <w:r w:rsidRPr="00226892">
        <w:rPr>
          <w:rFonts w:ascii="Arial" w:hAnsi="Arial" w:cs="Arial"/>
        </w:rPr>
        <w:t xml:space="preserve">, </w:t>
      </w:r>
      <w:proofErr w:type="spellStart"/>
      <w:r w:rsidRPr="00226892">
        <w:rPr>
          <w:rFonts w:ascii="Arial" w:hAnsi="Arial" w:cs="Arial"/>
        </w:rPr>
        <w:t>kde</w:t>
      </w:r>
      <w:proofErr w:type="spellEnd"/>
      <w:r w:rsidRPr="00226892">
        <w:rPr>
          <w:rFonts w:ascii="Arial" w:hAnsi="Arial" w:cs="Arial"/>
        </w:rPr>
        <w:t xml:space="preserve"> </w:t>
      </w:r>
      <w:proofErr w:type="spellStart"/>
      <w:r w:rsidRPr="00226892">
        <w:rPr>
          <w:rFonts w:ascii="Arial" w:hAnsi="Arial" w:cs="Arial"/>
        </w:rPr>
        <w:t>reálna</w:t>
      </w:r>
      <w:proofErr w:type="spellEnd"/>
      <w:r w:rsidRPr="00226892">
        <w:rPr>
          <w:rFonts w:ascii="Arial" w:hAnsi="Arial" w:cs="Arial"/>
        </w:rPr>
        <w:t xml:space="preserve"> </w:t>
      </w:r>
      <w:proofErr w:type="spellStart"/>
      <w:r w:rsidRPr="00226892">
        <w:rPr>
          <w:rFonts w:ascii="Arial" w:hAnsi="Arial" w:cs="Arial"/>
        </w:rPr>
        <w:t>hodnota</w:t>
      </w:r>
      <w:proofErr w:type="spellEnd"/>
      <w:r w:rsidRPr="00226892">
        <w:rPr>
          <w:rFonts w:ascii="Arial" w:hAnsi="Arial" w:cs="Arial"/>
        </w:rPr>
        <w:t xml:space="preserve"> </w:t>
      </w:r>
      <w:proofErr w:type="spellStart"/>
      <w:r w:rsidRPr="00226892">
        <w:rPr>
          <w:rFonts w:ascii="Arial" w:hAnsi="Arial" w:cs="Arial"/>
        </w:rPr>
        <w:t>zabezpečenia</w:t>
      </w:r>
      <w:proofErr w:type="spellEnd"/>
      <w:r w:rsidRPr="00226892">
        <w:rPr>
          <w:rFonts w:ascii="Arial" w:hAnsi="Arial" w:cs="Arial"/>
        </w:rPr>
        <w:t xml:space="preserve"> </w:t>
      </w:r>
      <w:proofErr w:type="spellStart"/>
      <w:r w:rsidRPr="00226892">
        <w:rPr>
          <w:rFonts w:ascii="Arial" w:hAnsi="Arial" w:cs="Arial"/>
        </w:rPr>
        <w:t>prevyšuje</w:t>
      </w:r>
      <w:proofErr w:type="spellEnd"/>
      <w:r w:rsidRPr="00226892">
        <w:rPr>
          <w:rFonts w:ascii="Arial" w:hAnsi="Arial" w:cs="Arial"/>
        </w:rPr>
        <w:t xml:space="preserve"> </w:t>
      </w:r>
      <w:proofErr w:type="spellStart"/>
      <w:r w:rsidRPr="00226892">
        <w:rPr>
          <w:rFonts w:ascii="Arial" w:hAnsi="Arial" w:cs="Arial"/>
        </w:rPr>
        <w:t>účtovnú</w:t>
      </w:r>
      <w:proofErr w:type="spellEnd"/>
      <w:r w:rsidRPr="00226892">
        <w:rPr>
          <w:rFonts w:ascii="Arial" w:hAnsi="Arial" w:cs="Arial"/>
        </w:rPr>
        <w:t xml:space="preserve"> </w:t>
      </w:r>
      <w:proofErr w:type="spellStart"/>
      <w:r w:rsidRPr="00226892">
        <w:rPr>
          <w:rFonts w:ascii="Arial" w:hAnsi="Arial" w:cs="Arial"/>
        </w:rPr>
        <w:t>hodnotu</w:t>
      </w:r>
      <w:proofErr w:type="spellEnd"/>
      <w:r w:rsidRPr="00226892">
        <w:rPr>
          <w:rFonts w:ascii="Arial" w:hAnsi="Arial" w:cs="Arial"/>
        </w:rPr>
        <w:t xml:space="preserve"> </w:t>
      </w:r>
      <w:proofErr w:type="spellStart"/>
      <w:r w:rsidRPr="00226892">
        <w:rPr>
          <w:rFonts w:ascii="Arial" w:hAnsi="Arial" w:cs="Arial"/>
        </w:rPr>
        <w:t>aktíva</w:t>
      </w:r>
      <w:proofErr w:type="spellEnd"/>
      <w:r w:rsidRPr="00226892">
        <w:rPr>
          <w:rFonts w:ascii="Arial" w:hAnsi="Arial" w:cs="Arial"/>
        </w:rPr>
        <w:t xml:space="preserve"> (</w:t>
      </w:r>
      <w:proofErr w:type="spellStart"/>
      <w:r w:rsidRPr="00226892">
        <w:rPr>
          <w:rFonts w:ascii="Arial" w:hAnsi="Arial" w:cs="Arial"/>
        </w:rPr>
        <w:t>nad-zabezpečenie</w:t>
      </w:r>
      <w:proofErr w:type="spellEnd"/>
      <w:r w:rsidRPr="00226892">
        <w:rPr>
          <w:rFonts w:ascii="Arial" w:hAnsi="Arial" w:cs="Arial"/>
        </w:rPr>
        <w:t>) a </w:t>
      </w:r>
      <w:proofErr w:type="spellStart"/>
      <w:r w:rsidRPr="00226892">
        <w:rPr>
          <w:rFonts w:ascii="Arial" w:hAnsi="Arial" w:cs="Arial"/>
        </w:rPr>
        <w:t>samostatne</w:t>
      </w:r>
      <w:proofErr w:type="spellEnd"/>
      <w:r w:rsidRPr="00226892">
        <w:rPr>
          <w:rFonts w:ascii="Arial" w:hAnsi="Arial" w:cs="Arial"/>
        </w:rPr>
        <w:t xml:space="preserve"> za tie </w:t>
      </w:r>
      <w:proofErr w:type="spellStart"/>
      <w:r w:rsidRPr="00226892">
        <w:rPr>
          <w:rFonts w:ascii="Arial" w:hAnsi="Arial" w:cs="Arial"/>
        </w:rPr>
        <w:t>finančné</w:t>
      </w:r>
      <w:proofErr w:type="spellEnd"/>
      <w:r w:rsidRPr="00226892">
        <w:rPr>
          <w:rFonts w:ascii="Arial" w:hAnsi="Arial" w:cs="Arial"/>
        </w:rPr>
        <w:t xml:space="preserve"> </w:t>
      </w:r>
      <w:proofErr w:type="spellStart"/>
      <w:r w:rsidRPr="00226892">
        <w:rPr>
          <w:rFonts w:ascii="Arial" w:hAnsi="Arial" w:cs="Arial"/>
        </w:rPr>
        <w:t>aktíva</w:t>
      </w:r>
      <w:proofErr w:type="spellEnd"/>
      <w:r w:rsidRPr="00226892">
        <w:rPr>
          <w:rFonts w:ascii="Arial" w:hAnsi="Arial" w:cs="Arial"/>
        </w:rPr>
        <w:t xml:space="preserve">, </w:t>
      </w:r>
      <w:proofErr w:type="spellStart"/>
      <w:r w:rsidRPr="00226892">
        <w:rPr>
          <w:rFonts w:ascii="Arial" w:hAnsi="Arial" w:cs="Arial"/>
        </w:rPr>
        <w:t>kde</w:t>
      </w:r>
      <w:proofErr w:type="spellEnd"/>
      <w:r w:rsidRPr="00226892">
        <w:rPr>
          <w:rFonts w:ascii="Arial" w:hAnsi="Arial" w:cs="Arial"/>
        </w:rPr>
        <w:t xml:space="preserve"> je </w:t>
      </w:r>
      <w:proofErr w:type="spellStart"/>
      <w:r w:rsidRPr="00226892">
        <w:rPr>
          <w:rFonts w:ascii="Arial" w:hAnsi="Arial" w:cs="Arial"/>
        </w:rPr>
        <w:t>reálna</w:t>
      </w:r>
      <w:proofErr w:type="spellEnd"/>
      <w:r w:rsidRPr="00226892">
        <w:rPr>
          <w:rFonts w:ascii="Arial" w:hAnsi="Arial" w:cs="Arial"/>
        </w:rPr>
        <w:t xml:space="preserve"> </w:t>
      </w:r>
      <w:proofErr w:type="spellStart"/>
      <w:r w:rsidRPr="00226892">
        <w:rPr>
          <w:rFonts w:ascii="Arial" w:hAnsi="Arial" w:cs="Arial"/>
        </w:rPr>
        <w:t>hodnota</w:t>
      </w:r>
      <w:proofErr w:type="spellEnd"/>
      <w:r w:rsidRPr="00226892">
        <w:rPr>
          <w:rFonts w:ascii="Arial" w:hAnsi="Arial" w:cs="Arial"/>
        </w:rPr>
        <w:t xml:space="preserve"> </w:t>
      </w:r>
      <w:proofErr w:type="spellStart"/>
      <w:r w:rsidRPr="00226892">
        <w:rPr>
          <w:rFonts w:ascii="Arial" w:hAnsi="Arial" w:cs="Arial"/>
        </w:rPr>
        <w:t>zabezpečenia</w:t>
      </w:r>
      <w:proofErr w:type="spellEnd"/>
      <w:r w:rsidRPr="00226892">
        <w:rPr>
          <w:rFonts w:ascii="Arial" w:hAnsi="Arial" w:cs="Arial"/>
        </w:rPr>
        <w:t xml:space="preserve"> </w:t>
      </w:r>
      <w:proofErr w:type="spellStart"/>
      <w:r w:rsidRPr="00226892">
        <w:rPr>
          <w:rFonts w:ascii="Arial" w:hAnsi="Arial" w:cs="Arial"/>
        </w:rPr>
        <w:t>nižšia</w:t>
      </w:r>
      <w:proofErr w:type="spellEnd"/>
      <w:r w:rsidRPr="00226892">
        <w:rPr>
          <w:rFonts w:ascii="Arial" w:hAnsi="Arial" w:cs="Arial"/>
        </w:rPr>
        <w:t xml:space="preserve"> </w:t>
      </w:r>
      <w:proofErr w:type="spellStart"/>
      <w:r w:rsidRPr="00226892">
        <w:rPr>
          <w:rFonts w:ascii="Arial" w:hAnsi="Arial" w:cs="Arial"/>
        </w:rPr>
        <w:t>ako</w:t>
      </w:r>
      <w:proofErr w:type="spellEnd"/>
      <w:r w:rsidRPr="00226892">
        <w:rPr>
          <w:rFonts w:ascii="Arial" w:hAnsi="Arial" w:cs="Arial"/>
        </w:rPr>
        <w:t xml:space="preserve"> </w:t>
      </w:r>
      <w:proofErr w:type="spellStart"/>
      <w:r w:rsidRPr="00226892">
        <w:rPr>
          <w:rFonts w:ascii="Arial" w:hAnsi="Arial" w:cs="Arial"/>
        </w:rPr>
        <w:t>účtovná</w:t>
      </w:r>
      <w:proofErr w:type="spellEnd"/>
      <w:r w:rsidRPr="00226892">
        <w:rPr>
          <w:rFonts w:ascii="Arial" w:hAnsi="Arial" w:cs="Arial"/>
        </w:rPr>
        <w:t xml:space="preserve"> </w:t>
      </w:r>
      <w:proofErr w:type="spellStart"/>
      <w:r w:rsidRPr="00226892">
        <w:rPr>
          <w:rFonts w:ascii="Arial" w:hAnsi="Arial" w:cs="Arial"/>
        </w:rPr>
        <w:t>hodnota</w:t>
      </w:r>
      <w:proofErr w:type="spellEnd"/>
      <w:r w:rsidRPr="00226892">
        <w:rPr>
          <w:rFonts w:ascii="Arial" w:hAnsi="Arial" w:cs="Arial"/>
        </w:rPr>
        <w:t xml:space="preserve"> </w:t>
      </w:r>
      <w:proofErr w:type="spellStart"/>
      <w:r w:rsidRPr="00226892">
        <w:rPr>
          <w:rFonts w:ascii="Arial" w:hAnsi="Arial" w:cs="Arial"/>
        </w:rPr>
        <w:t>aktíva</w:t>
      </w:r>
      <w:proofErr w:type="spellEnd"/>
      <w:r w:rsidRPr="00226892">
        <w:rPr>
          <w:rFonts w:ascii="Arial" w:hAnsi="Arial" w:cs="Arial"/>
        </w:rPr>
        <w:t xml:space="preserve"> (pod-</w:t>
      </w:r>
      <w:proofErr w:type="spellStart"/>
      <w:r w:rsidRPr="00226892">
        <w:rPr>
          <w:rFonts w:ascii="Arial" w:hAnsi="Arial" w:cs="Arial"/>
        </w:rPr>
        <w:t>zabezpečenie</w:t>
      </w:r>
      <w:proofErr w:type="spellEnd"/>
      <w:r w:rsidRPr="00226892">
        <w:rPr>
          <w:rFonts w:ascii="Arial" w:hAnsi="Arial" w:cs="Arial"/>
        </w:rPr>
        <w:t>):</w:t>
      </w:r>
    </w:p>
    <w:p w14:paraId="33C25E59" w14:textId="42AA46F6" w:rsidR="00862916" w:rsidRPr="00226892" w:rsidRDefault="00862916" w:rsidP="00862916">
      <w:pPr>
        <w:suppressAutoHyphens/>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3824"/>
        <w:gridCol w:w="1351"/>
        <w:gridCol w:w="200"/>
        <w:gridCol w:w="1344"/>
        <w:gridCol w:w="200"/>
        <w:gridCol w:w="1174"/>
        <w:gridCol w:w="200"/>
        <w:gridCol w:w="1346"/>
      </w:tblGrid>
      <w:tr w:rsidR="00862916" w:rsidRPr="00226892" w14:paraId="4FE0D330" w14:textId="77777777" w:rsidTr="005020AA">
        <w:trPr>
          <w:trHeight w:val="217"/>
        </w:trPr>
        <w:tc>
          <w:tcPr>
            <w:tcW w:w="1983" w:type="pct"/>
            <w:tcBorders>
              <w:top w:val="nil"/>
              <w:left w:val="nil"/>
              <w:right w:val="nil"/>
            </w:tcBorders>
            <w:shd w:val="clear" w:color="auto" w:fill="auto"/>
            <w:vAlign w:val="bottom"/>
            <w:hideMark/>
          </w:tcPr>
          <w:p w14:paraId="242EB99E" w14:textId="77777777" w:rsidR="00862916" w:rsidRPr="00226892" w:rsidRDefault="00862916" w:rsidP="005020AA">
            <w:pPr>
              <w:pStyle w:val="Odsekzoznamu"/>
              <w:ind w:left="0"/>
              <w:rPr>
                <w:rFonts w:ascii="Arial" w:hAnsi="Arial" w:cs="Arial"/>
                <w:b/>
                <w:bCs/>
                <w:color w:val="000000"/>
                <w:sz w:val="18"/>
                <w:szCs w:val="18"/>
                <w:lang w:eastAsia="sk-SK"/>
              </w:rPr>
            </w:pPr>
          </w:p>
        </w:tc>
        <w:tc>
          <w:tcPr>
            <w:tcW w:w="1502" w:type="pct"/>
            <w:gridSpan w:val="3"/>
            <w:tcBorders>
              <w:top w:val="nil"/>
              <w:left w:val="nil"/>
              <w:bottom w:val="single" w:sz="4" w:space="0" w:color="auto"/>
              <w:right w:val="nil"/>
            </w:tcBorders>
            <w:shd w:val="clear" w:color="auto" w:fill="auto"/>
            <w:vAlign w:val="bottom"/>
          </w:tcPr>
          <w:p w14:paraId="2F93B14D" w14:textId="77777777" w:rsidR="00862916" w:rsidRPr="00226892" w:rsidRDefault="00862916" w:rsidP="005020AA">
            <w:pPr>
              <w:jc w:val="center"/>
              <w:rPr>
                <w:rFonts w:ascii="Arial" w:eastAsia="Times New Roman" w:hAnsi="Arial" w:cs="Arial"/>
                <w:b/>
                <w:bCs/>
                <w:color w:val="000000"/>
                <w:sz w:val="18"/>
                <w:szCs w:val="18"/>
                <w:lang w:eastAsia="sk-SK"/>
              </w:rPr>
            </w:pPr>
            <w:proofErr w:type="spellStart"/>
            <w:r w:rsidRPr="00226892">
              <w:rPr>
                <w:rFonts w:ascii="Arial" w:eastAsia="Times New Roman" w:hAnsi="Arial" w:cs="Arial"/>
                <w:b/>
                <w:bCs/>
                <w:color w:val="000000"/>
                <w:sz w:val="18"/>
                <w:szCs w:val="18"/>
                <w:lang w:eastAsia="sk-SK"/>
              </w:rPr>
              <w:t>Nad-zabezpečenie</w:t>
            </w:r>
            <w:proofErr w:type="spellEnd"/>
          </w:p>
        </w:tc>
        <w:tc>
          <w:tcPr>
            <w:tcW w:w="104" w:type="pct"/>
            <w:tcBorders>
              <w:top w:val="nil"/>
              <w:left w:val="nil"/>
              <w:bottom w:val="single" w:sz="4" w:space="0" w:color="auto"/>
              <w:right w:val="nil"/>
            </w:tcBorders>
            <w:shd w:val="clear" w:color="auto" w:fill="auto"/>
            <w:vAlign w:val="bottom"/>
            <w:hideMark/>
          </w:tcPr>
          <w:p w14:paraId="500594B7" w14:textId="77777777" w:rsidR="00862916" w:rsidRPr="00226892" w:rsidRDefault="00862916" w:rsidP="005020AA">
            <w:pPr>
              <w:jc w:val="center"/>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 </w:t>
            </w:r>
          </w:p>
        </w:tc>
        <w:tc>
          <w:tcPr>
            <w:tcW w:w="1411" w:type="pct"/>
            <w:gridSpan w:val="3"/>
            <w:tcBorders>
              <w:top w:val="nil"/>
              <w:left w:val="nil"/>
              <w:bottom w:val="single" w:sz="4" w:space="0" w:color="auto"/>
              <w:right w:val="nil"/>
            </w:tcBorders>
            <w:shd w:val="clear" w:color="auto" w:fill="auto"/>
            <w:vAlign w:val="bottom"/>
          </w:tcPr>
          <w:p w14:paraId="0126FDBC" w14:textId="77777777" w:rsidR="00862916" w:rsidRPr="00226892" w:rsidRDefault="00862916" w:rsidP="005020AA">
            <w:pPr>
              <w:jc w:val="center"/>
              <w:rPr>
                <w:rFonts w:ascii="Arial" w:eastAsia="Times New Roman" w:hAnsi="Arial" w:cs="Arial"/>
                <w:b/>
                <w:bCs/>
                <w:color w:val="000000"/>
                <w:sz w:val="18"/>
                <w:szCs w:val="18"/>
                <w:lang w:eastAsia="sk-SK"/>
              </w:rPr>
            </w:pPr>
            <w:r w:rsidRPr="00226892">
              <w:rPr>
                <w:rFonts w:ascii="Arial" w:eastAsia="Times New Roman" w:hAnsi="Arial" w:cs="Arial"/>
                <w:b/>
                <w:bCs/>
                <w:color w:val="000000"/>
                <w:sz w:val="18"/>
                <w:szCs w:val="18"/>
                <w:lang w:eastAsia="sk-SK"/>
              </w:rPr>
              <w:t>Pod-</w:t>
            </w:r>
            <w:proofErr w:type="spellStart"/>
            <w:r w:rsidRPr="00226892">
              <w:rPr>
                <w:rFonts w:ascii="Arial" w:eastAsia="Times New Roman" w:hAnsi="Arial" w:cs="Arial"/>
                <w:b/>
                <w:bCs/>
                <w:color w:val="000000"/>
                <w:sz w:val="18"/>
                <w:szCs w:val="18"/>
                <w:lang w:eastAsia="sk-SK"/>
              </w:rPr>
              <w:t>zabezpečenie</w:t>
            </w:r>
            <w:proofErr w:type="spellEnd"/>
          </w:p>
        </w:tc>
      </w:tr>
      <w:tr w:rsidR="00862916" w:rsidRPr="00226892" w14:paraId="40E3185E" w14:textId="77777777" w:rsidTr="005020AA">
        <w:trPr>
          <w:trHeight w:val="217"/>
        </w:trPr>
        <w:tc>
          <w:tcPr>
            <w:tcW w:w="1983" w:type="pct"/>
            <w:tcBorders>
              <w:left w:val="nil"/>
              <w:bottom w:val="single" w:sz="4" w:space="0" w:color="auto"/>
              <w:right w:val="nil"/>
            </w:tcBorders>
            <w:shd w:val="clear" w:color="auto" w:fill="auto"/>
            <w:vAlign w:val="bottom"/>
            <w:hideMark/>
          </w:tcPr>
          <w:p w14:paraId="7F12B39F" w14:textId="66034104" w:rsidR="00862916" w:rsidRPr="00226892" w:rsidRDefault="00862916" w:rsidP="005020AA">
            <w:pPr>
              <w:pStyle w:val="Odsekzoznamu"/>
              <w:ind w:left="0"/>
              <w:rPr>
                <w:rFonts w:ascii="Arial" w:hAnsi="Arial" w:cs="Arial"/>
                <w:b/>
                <w:bCs/>
                <w:color w:val="000000"/>
                <w:sz w:val="18"/>
                <w:szCs w:val="18"/>
                <w:lang w:eastAsia="sk-SK"/>
              </w:rPr>
            </w:pPr>
            <w:r w:rsidRPr="00226892">
              <w:rPr>
                <w:rFonts w:ascii="Arial" w:hAnsi="Arial" w:cs="Arial"/>
                <w:b/>
                <w:bCs/>
                <w:color w:val="000000"/>
                <w:sz w:val="18"/>
                <w:szCs w:val="18"/>
                <w:lang w:eastAsia="sk-SK"/>
              </w:rPr>
              <w:t xml:space="preserve">31. </w:t>
            </w:r>
            <w:proofErr w:type="spellStart"/>
            <w:r w:rsidRPr="00226892">
              <w:rPr>
                <w:rFonts w:ascii="Arial" w:hAnsi="Arial" w:cs="Arial"/>
                <w:b/>
                <w:bCs/>
                <w:color w:val="000000"/>
                <w:sz w:val="18"/>
                <w:szCs w:val="18"/>
                <w:lang w:eastAsia="sk-SK"/>
              </w:rPr>
              <w:t>december</w:t>
            </w:r>
            <w:proofErr w:type="spellEnd"/>
            <w:r w:rsidRPr="00226892">
              <w:rPr>
                <w:rFonts w:ascii="Arial" w:hAnsi="Arial" w:cs="Arial"/>
                <w:b/>
                <w:bCs/>
                <w:color w:val="000000"/>
                <w:sz w:val="18"/>
                <w:szCs w:val="18"/>
                <w:lang w:eastAsia="sk-SK"/>
              </w:rPr>
              <w:t xml:space="preserve"> 2018</w:t>
            </w:r>
          </w:p>
        </w:tc>
        <w:tc>
          <w:tcPr>
            <w:tcW w:w="701" w:type="pct"/>
            <w:tcBorders>
              <w:top w:val="nil"/>
              <w:left w:val="nil"/>
              <w:bottom w:val="single" w:sz="4" w:space="0" w:color="auto"/>
              <w:right w:val="nil"/>
            </w:tcBorders>
            <w:shd w:val="clear" w:color="auto" w:fill="auto"/>
            <w:vAlign w:val="bottom"/>
            <w:hideMark/>
          </w:tcPr>
          <w:p w14:paraId="0B81E89B" w14:textId="77777777" w:rsidR="00862916" w:rsidRPr="00226892" w:rsidRDefault="00862916" w:rsidP="005020AA">
            <w:pPr>
              <w:jc w:val="center"/>
              <w:rPr>
                <w:rFonts w:ascii="Arial" w:eastAsia="Times New Roman" w:hAnsi="Arial" w:cs="Arial"/>
                <w:b/>
                <w:bCs/>
                <w:color w:val="000000"/>
                <w:sz w:val="18"/>
                <w:szCs w:val="18"/>
                <w:lang w:eastAsia="sk-SK"/>
              </w:rPr>
            </w:pPr>
            <w:proofErr w:type="spellStart"/>
            <w:r w:rsidRPr="00226892">
              <w:rPr>
                <w:rFonts w:ascii="Arial" w:eastAsia="Times New Roman" w:hAnsi="Arial" w:cs="Arial"/>
                <w:b/>
                <w:bCs/>
                <w:color w:val="000000"/>
                <w:sz w:val="18"/>
                <w:szCs w:val="18"/>
                <w:lang w:eastAsia="sk-SK"/>
              </w:rPr>
              <w:t>Účtovná</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hodnota</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aktíva</w:t>
            </w:r>
            <w:proofErr w:type="spellEnd"/>
          </w:p>
        </w:tc>
        <w:tc>
          <w:tcPr>
            <w:tcW w:w="104" w:type="pct"/>
            <w:tcBorders>
              <w:top w:val="nil"/>
              <w:left w:val="nil"/>
              <w:bottom w:val="single" w:sz="4" w:space="0" w:color="auto"/>
              <w:right w:val="nil"/>
            </w:tcBorders>
            <w:shd w:val="clear" w:color="auto" w:fill="auto"/>
            <w:vAlign w:val="bottom"/>
            <w:hideMark/>
          </w:tcPr>
          <w:p w14:paraId="11C52FF1" w14:textId="77777777" w:rsidR="00862916" w:rsidRPr="00226892" w:rsidRDefault="00862916" w:rsidP="005020AA">
            <w:pPr>
              <w:jc w:val="center"/>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 </w:t>
            </w:r>
          </w:p>
        </w:tc>
        <w:tc>
          <w:tcPr>
            <w:tcW w:w="697" w:type="pct"/>
            <w:tcBorders>
              <w:top w:val="nil"/>
              <w:left w:val="nil"/>
              <w:bottom w:val="single" w:sz="4" w:space="0" w:color="auto"/>
              <w:right w:val="nil"/>
            </w:tcBorders>
            <w:shd w:val="clear" w:color="auto" w:fill="auto"/>
            <w:vAlign w:val="bottom"/>
            <w:hideMark/>
          </w:tcPr>
          <w:p w14:paraId="54CCFBC7" w14:textId="77777777" w:rsidR="00862916" w:rsidRPr="00226892" w:rsidRDefault="00862916" w:rsidP="005020AA">
            <w:pPr>
              <w:jc w:val="center"/>
              <w:rPr>
                <w:rFonts w:ascii="Arial" w:eastAsia="Times New Roman" w:hAnsi="Arial" w:cs="Arial"/>
                <w:b/>
                <w:bCs/>
                <w:color w:val="000000"/>
                <w:sz w:val="18"/>
                <w:szCs w:val="18"/>
                <w:lang w:eastAsia="sk-SK"/>
              </w:rPr>
            </w:pPr>
            <w:proofErr w:type="spellStart"/>
            <w:r w:rsidRPr="00226892">
              <w:rPr>
                <w:rFonts w:ascii="Arial" w:eastAsia="Times New Roman" w:hAnsi="Arial" w:cs="Arial"/>
                <w:b/>
                <w:bCs/>
                <w:color w:val="000000"/>
                <w:sz w:val="18"/>
                <w:szCs w:val="18"/>
                <w:lang w:eastAsia="sk-SK"/>
              </w:rPr>
              <w:t>Reálna</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hodnota</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zabezpečenia</w:t>
            </w:r>
            <w:proofErr w:type="spellEnd"/>
            <w:r w:rsidRPr="00226892">
              <w:rPr>
                <w:rFonts w:ascii="Arial" w:eastAsia="Times New Roman" w:hAnsi="Arial" w:cs="Arial"/>
                <w:b/>
                <w:bCs/>
                <w:color w:val="000000"/>
                <w:sz w:val="18"/>
                <w:szCs w:val="18"/>
                <w:lang w:eastAsia="sk-SK"/>
              </w:rPr>
              <w:t xml:space="preserve"> </w:t>
            </w:r>
          </w:p>
        </w:tc>
        <w:tc>
          <w:tcPr>
            <w:tcW w:w="104" w:type="pct"/>
            <w:tcBorders>
              <w:top w:val="nil"/>
              <w:left w:val="nil"/>
              <w:bottom w:val="single" w:sz="4" w:space="0" w:color="auto"/>
              <w:right w:val="nil"/>
            </w:tcBorders>
            <w:shd w:val="clear" w:color="auto" w:fill="auto"/>
            <w:vAlign w:val="bottom"/>
            <w:hideMark/>
          </w:tcPr>
          <w:p w14:paraId="56E3E938" w14:textId="77777777" w:rsidR="00862916" w:rsidRPr="00226892" w:rsidRDefault="00862916" w:rsidP="005020AA">
            <w:pPr>
              <w:jc w:val="center"/>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 </w:t>
            </w:r>
          </w:p>
        </w:tc>
        <w:tc>
          <w:tcPr>
            <w:tcW w:w="609" w:type="pct"/>
            <w:tcBorders>
              <w:top w:val="nil"/>
              <w:left w:val="nil"/>
              <w:bottom w:val="single" w:sz="4" w:space="0" w:color="auto"/>
              <w:right w:val="nil"/>
            </w:tcBorders>
            <w:shd w:val="clear" w:color="auto" w:fill="auto"/>
            <w:vAlign w:val="bottom"/>
            <w:hideMark/>
          </w:tcPr>
          <w:p w14:paraId="0076E0B7" w14:textId="77777777" w:rsidR="00862916" w:rsidRPr="00226892" w:rsidRDefault="00862916" w:rsidP="005020AA">
            <w:pPr>
              <w:jc w:val="center"/>
              <w:rPr>
                <w:rFonts w:ascii="Arial" w:eastAsia="Times New Roman" w:hAnsi="Arial" w:cs="Arial"/>
                <w:b/>
                <w:bCs/>
                <w:color w:val="000000"/>
                <w:sz w:val="18"/>
                <w:szCs w:val="18"/>
                <w:lang w:eastAsia="sk-SK"/>
              </w:rPr>
            </w:pPr>
            <w:proofErr w:type="spellStart"/>
            <w:r w:rsidRPr="00226892">
              <w:rPr>
                <w:rFonts w:ascii="Arial" w:eastAsia="Times New Roman" w:hAnsi="Arial" w:cs="Arial"/>
                <w:b/>
                <w:bCs/>
                <w:color w:val="000000"/>
                <w:sz w:val="18"/>
                <w:szCs w:val="18"/>
                <w:lang w:eastAsia="sk-SK"/>
              </w:rPr>
              <w:t>Účtovná</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hodnota</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aktíva</w:t>
            </w:r>
            <w:proofErr w:type="spellEnd"/>
          </w:p>
        </w:tc>
        <w:tc>
          <w:tcPr>
            <w:tcW w:w="104" w:type="pct"/>
            <w:tcBorders>
              <w:top w:val="nil"/>
              <w:left w:val="nil"/>
              <w:bottom w:val="single" w:sz="4" w:space="0" w:color="auto"/>
              <w:right w:val="nil"/>
            </w:tcBorders>
            <w:shd w:val="clear" w:color="auto" w:fill="auto"/>
            <w:vAlign w:val="bottom"/>
            <w:hideMark/>
          </w:tcPr>
          <w:p w14:paraId="6B977803" w14:textId="77777777" w:rsidR="00862916" w:rsidRPr="00226892" w:rsidRDefault="00862916" w:rsidP="005020AA">
            <w:pPr>
              <w:jc w:val="center"/>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 </w:t>
            </w:r>
          </w:p>
        </w:tc>
        <w:tc>
          <w:tcPr>
            <w:tcW w:w="697" w:type="pct"/>
            <w:tcBorders>
              <w:top w:val="nil"/>
              <w:left w:val="nil"/>
              <w:bottom w:val="single" w:sz="4" w:space="0" w:color="auto"/>
              <w:right w:val="nil"/>
            </w:tcBorders>
            <w:shd w:val="clear" w:color="auto" w:fill="auto"/>
            <w:vAlign w:val="bottom"/>
            <w:hideMark/>
          </w:tcPr>
          <w:p w14:paraId="2CE3F963" w14:textId="77777777" w:rsidR="00862916" w:rsidRPr="00226892" w:rsidRDefault="00862916" w:rsidP="005020AA">
            <w:pPr>
              <w:jc w:val="center"/>
              <w:rPr>
                <w:rFonts w:ascii="Arial" w:eastAsia="Times New Roman" w:hAnsi="Arial" w:cs="Arial"/>
                <w:b/>
                <w:bCs/>
                <w:color w:val="000000"/>
                <w:sz w:val="18"/>
                <w:szCs w:val="18"/>
                <w:lang w:eastAsia="sk-SK"/>
              </w:rPr>
            </w:pPr>
            <w:proofErr w:type="spellStart"/>
            <w:r w:rsidRPr="00226892">
              <w:rPr>
                <w:rFonts w:ascii="Arial" w:eastAsia="Times New Roman" w:hAnsi="Arial" w:cs="Arial"/>
                <w:b/>
                <w:bCs/>
                <w:color w:val="000000"/>
                <w:sz w:val="18"/>
                <w:szCs w:val="18"/>
                <w:lang w:eastAsia="sk-SK"/>
              </w:rPr>
              <w:t>Reálna</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hodnota</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zabezpečenia</w:t>
            </w:r>
            <w:proofErr w:type="spellEnd"/>
            <w:r w:rsidRPr="00226892">
              <w:rPr>
                <w:rFonts w:ascii="Arial" w:eastAsia="Times New Roman" w:hAnsi="Arial" w:cs="Arial"/>
                <w:b/>
                <w:bCs/>
                <w:color w:val="000000"/>
                <w:sz w:val="18"/>
                <w:szCs w:val="18"/>
                <w:lang w:eastAsia="sk-SK"/>
              </w:rPr>
              <w:t xml:space="preserve"> </w:t>
            </w:r>
          </w:p>
        </w:tc>
      </w:tr>
      <w:tr w:rsidR="00862916" w:rsidRPr="00226892" w14:paraId="56F28897" w14:textId="77777777" w:rsidTr="005020AA">
        <w:trPr>
          <w:trHeight w:val="217"/>
        </w:trPr>
        <w:tc>
          <w:tcPr>
            <w:tcW w:w="1983" w:type="pct"/>
            <w:tcBorders>
              <w:top w:val="nil"/>
              <w:left w:val="nil"/>
              <w:bottom w:val="nil"/>
              <w:right w:val="nil"/>
            </w:tcBorders>
            <w:shd w:val="clear" w:color="auto" w:fill="auto"/>
            <w:vAlign w:val="bottom"/>
            <w:hideMark/>
          </w:tcPr>
          <w:p w14:paraId="632A99F9" w14:textId="77777777" w:rsidR="00862916" w:rsidRPr="00226892" w:rsidRDefault="00862916" w:rsidP="005020AA">
            <w:pPr>
              <w:rPr>
                <w:rFonts w:ascii="Arial" w:eastAsia="Times New Roman" w:hAnsi="Arial" w:cs="Arial"/>
                <w:color w:val="000000"/>
                <w:sz w:val="18"/>
                <w:szCs w:val="18"/>
                <w:lang w:eastAsia="sk-SK"/>
              </w:rPr>
            </w:pPr>
            <w:proofErr w:type="spellStart"/>
            <w:r w:rsidRPr="00226892">
              <w:rPr>
                <w:rFonts w:ascii="Arial" w:eastAsia="Times New Roman" w:hAnsi="Arial" w:cs="Arial"/>
                <w:color w:val="000000"/>
                <w:sz w:val="18"/>
                <w:szCs w:val="18"/>
                <w:lang w:eastAsia="sk-SK"/>
              </w:rPr>
              <w:t>Pohľadávky</w:t>
            </w:r>
            <w:proofErr w:type="spellEnd"/>
            <w:r w:rsidRPr="00226892">
              <w:rPr>
                <w:rFonts w:ascii="Arial" w:eastAsia="Times New Roman" w:hAnsi="Arial" w:cs="Arial"/>
                <w:color w:val="000000"/>
                <w:sz w:val="18"/>
                <w:szCs w:val="18"/>
                <w:lang w:eastAsia="sk-SK"/>
              </w:rPr>
              <w:t xml:space="preserve"> z </w:t>
            </w:r>
            <w:proofErr w:type="spellStart"/>
            <w:r w:rsidRPr="00226892">
              <w:rPr>
                <w:rFonts w:ascii="Arial" w:eastAsia="Times New Roman" w:hAnsi="Arial" w:cs="Arial"/>
                <w:color w:val="000000"/>
                <w:sz w:val="18"/>
                <w:szCs w:val="18"/>
                <w:lang w:eastAsia="sk-SK"/>
              </w:rPr>
              <w:t>obchodného</w:t>
            </w:r>
            <w:proofErr w:type="spellEnd"/>
            <w:r w:rsidRPr="00226892">
              <w:rPr>
                <w:rFonts w:ascii="Arial" w:eastAsia="Times New Roman" w:hAnsi="Arial" w:cs="Arial"/>
                <w:color w:val="000000"/>
                <w:sz w:val="18"/>
                <w:szCs w:val="18"/>
                <w:lang w:eastAsia="sk-SK"/>
              </w:rPr>
              <w:t xml:space="preserve"> </w:t>
            </w:r>
            <w:proofErr w:type="spellStart"/>
            <w:r w:rsidRPr="00226892">
              <w:rPr>
                <w:rFonts w:ascii="Arial" w:eastAsia="Times New Roman" w:hAnsi="Arial" w:cs="Arial"/>
                <w:color w:val="000000"/>
                <w:sz w:val="18"/>
                <w:szCs w:val="18"/>
                <w:lang w:eastAsia="sk-SK"/>
              </w:rPr>
              <w:t>styku</w:t>
            </w:r>
            <w:proofErr w:type="spellEnd"/>
          </w:p>
        </w:tc>
        <w:tc>
          <w:tcPr>
            <w:tcW w:w="701" w:type="pct"/>
            <w:tcBorders>
              <w:top w:val="nil"/>
              <w:left w:val="nil"/>
              <w:bottom w:val="nil"/>
              <w:right w:val="nil"/>
            </w:tcBorders>
            <w:shd w:val="clear" w:color="auto" w:fill="auto"/>
            <w:vAlign w:val="bottom"/>
          </w:tcPr>
          <w:p w14:paraId="7461DEC3" w14:textId="591581D4" w:rsidR="00862916" w:rsidRPr="00226892" w:rsidRDefault="00571169"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752</w:t>
            </w:r>
          </w:p>
        </w:tc>
        <w:tc>
          <w:tcPr>
            <w:tcW w:w="104" w:type="pct"/>
            <w:tcBorders>
              <w:top w:val="nil"/>
              <w:left w:val="nil"/>
              <w:bottom w:val="nil"/>
              <w:right w:val="nil"/>
            </w:tcBorders>
            <w:shd w:val="clear" w:color="auto" w:fill="auto"/>
            <w:vAlign w:val="bottom"/>
          </w:tcPr>
          <w:p w14:paraId="69ABE1F6" w14:textId="77777777" w:rsidR="00862916" w:rsidRPr="00226892" w:rsidRDefault="00862916" w:rsidP="005020AA">
            <w:pPr>
              <w:jc w:val="right"/>
              <w:rPr>
                <w:rFonts w:ascii="Arial" w:eastAsia="Times New Roman" w:hAnsi="Arial" w:cs="Arial"/>
                <w:color w:val="000000"/>
                <w:sz w:val="18"/>
                <w:szCs w:val="18"/>
                <w:lang w:eastAsia="sk-SK"/>
              </w:rPr>
            </w:pPr>
          </w:p>
        </w:tc>
        <w:tc>
          <w:tcPr>
            <w:tcW w:w="697" w:type="pct"/>
            <w:tcBorders>
              <w:top w:val="nil"/>
              <w:left w:val="nil"/>
              <w:bottom w:val="nil"/>
              <w:right w:val="nil"/>
            </w:tcBorders>
            <w:shd w:val="clear" w:color="auto" w:fill="auto"/>
            <w:vAlign w:val="bottom"/>
          </w:tcPr>
          <w:p w14:paraId="020895C7" w14:textId="03AFBA2E" w:rsidR="00862916" w:rsidRPr="00226892" w:rsidRDefault="00571169"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4 731</w:t>
            </w:r>
          </w:p>
        </w:tc>
        <w:tc>
          <w:tcPr>
            <w:tcW w:w="104" w:type="pct"/>
            <w:tcBorders>
              <w:top w:val="nil"/>
              <w:left w:val="nil"/>
              <w:bottom w:val="nil"/>
              <w:right w:val="nil"/>
            </w:tcBorders>
            <w:shd w:val="clear" w:color="auto" w:fill="auto"/>
            <w:vAlign w:val="bottom"/>
          </w:tcPr>
          <w:p w14:paraId="1E66ACFD" w14:textId="77777777" w:rsidR="00862916" w:rsidRPr="00226892" w:rsidRDefault="00862916" w:rsidP="005020AA">
            <w:pPr>
              <w:jc w:val="right"/>
              <w:rPr>
                <w:rFonts w:ascii="Arial" w:eastAsia="Times New Roman" w:hAnsi="Arial" w:cs="Arial"/>
                <w:color w:val="000000"/>
                <w:sz w:val="18"/>
                <w:szCs w:val="18"/>
                <w:lang w:eastAsia="sk-SK"/>
              </w:rPr>
            </w:pPr>
          </w:p>
        </w:tc>
        <w:tc>
          <w:tcPr>
            <w:tcW w:w="609" w:type="pct"/>
            <w:tcBorders>
              <w:top w:val="nil"/>
              <w:left w:val="nil"/>
              <w:bottom w:val="nil"/>
              <w:right w:val="nil"/>
            </w:tcBorders>
            <w:shd w:val="clear" w:color="auto" w:fill="auto"/>
            <w:vAlign w:val="bottom"/>
          </w:tcPr>
          <w:p w14:paraId="64073A81" w14:textId="206D2E04" w:rsidR="00862916" w:rsidRPr="00226892" w:rsidRDefault="00571169"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33 532</w:t>
            </w:r>
          </w:p>
        </w:tc>
        <w:tc>
          <w:tcPr>
            <w:tcW w:w="104" w:type="pct"/>
            <w:tcBorders>
              <w:top w:val="nil"/>
              <w:left w:val="nil"/>
              <w:bottom w:val="nil"/>
              <w:right w:val="nil"/>
            </w:tcBorders>
            <w:shd w:val="clear" w:color="auto" w:fill="auto"/>
            <w:vAlign w:val="bottom"/>
          </w:tcPr>
          <w:p w14:paraId="045C5A7B" w14:textId="77777777" w:rsidR="00862916" w:rsidRPr="00226892" w:rsidRDefault="00862916" w:rsidP="005020AA">
            <w:pPr>
              <w:jc w:val="right"/>
              <w:rPr>
                <w:rFonts w:ascii="Arial" w:eastAsia="Times New Roman" w:hAnsi="Arial" w:cs="Arial"/>
                <w:color w:val="000000"/>
                <w:sz w:val="18"/>
                <w:szCs w:val="18"/>
                <w:lang w:eastAsia="sk-SK"/>
              </w:rPr>
            </w:pPr>
          </w:p>
        </w:tc>
        <w:tc>
          <w:tcPr>
            <w:tcW w:w="697" w:type="pct"/>
            <w:tcBorders>
              <w:top w:val="nil"/>
              <w:left w:val="nil"/>
              <w:bottom w:val="nil"/>
              <w:right w:val="nil"/>
            </w:tcBorders>
            <w:shd w:val="clear" w:color="auto" w:fill="auto"/>
            <w:vAlign w:val="bottom"/>
          </w:tcPr>
          <w:p w14:paraId="6607DE93" w14:textId="169A1108" w:rsidR="00862916" w:rsidRPr="00226892" w:rsidRDefault="00571169"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3 611</w:t>
            </w:r>
          </w:p>
        </w:tc>
      </w:tr>
      <w:tr w:rsidR="00862916" w:rsidRPr="00226892" w14:paraId="34758E82" w14:textId="77777777" w:rsidTr="005020AA">
        <w:trPr>
          <w:trHeight w:val="217"/>
        </w:trPr>
        <w:tc>
          <w:tcPr>
            <w:tcW w:w="1983" w:type="pct"/>
            <w:tcBorders>
              <w:top w:val="nil"/>
              <w:left w:val="nil"/>
              <w:bottom w:val="nil"/>
              <w:right w:val="nil"/>
            </w:tcBorders>
            <w:shd w:val="clear" w:color="auto" w:fill="auto"/>
            <w:vAlign w:val="bottom"/>
            <w:hideMark/>
          </w:tcPr>
          <w:p w14:paraId="316EE4DE" w14:textId="77777777" w:rsidR="00862916" w:rsidRPr="00226892" w:rsidRDefault="00862916" w:rsidP="005020AA">
            <w:pPr>
              <w:rPr>
                <w:rFonts w:ascii="Arial" w:eastAsia="Times New Roman" w:hAnsi="Arial" w:cs="Arial"/>
                <w:color w:val="000000"/>
                <w:sz w:val="18"/>
                <w:szCs w:val="18"/>
                <w:lang w:eastAsia="sk-SK"/>
              </w:rPr>
            </w:pPr>
            <w:proofErr w:type="spellStart"/>
            <w:r w:rsidRPr="00226892">
              <w:rPr>
                <w:rFonts w:ascii="Arial" w:eastAsia="Times New Roman" w:hAnsi="Arial" w:cs="Arial"/>
                <w:color w:val="000000"/>
                <w:sz w:val="18"/>
                <w:szCs w:val="18"/>
                <w:lang w:eastAsia="sk-SK"/>
              </w:rPr>
              <w:t>Iné</w:t>
            </w:r>
            <w:proofErr w:type="spellEnd"/>
            <w:r w:rsidRPr="00226892">
              <w:rPr>
                <w:rFonts w:ascii="Arial" w:eastAsia="Times New Roman" w:hAnsi="Arial" w:cs="Arial"/>
                <w:color w:val="000000"/>
                <w:sz w:val="18"/>
                <w:szCs w:val="18"/>
                <w:lang w:eastAsia="sk-SK"/>
              </w:rPr>
              <w:t xml:space="preserve"> </w:t>
            </w:r>
            <w:proofErr w:type="spellStart"/>
            <w:r w:rsidRPr="00226892">
              <w:rPr>
                <w:rFonts w:ascii="Arial" w:eastAsia="Times New Roman" w:hAnsi="Arial" w:cs="Arial"/>
                <w:color w:val="000000"/>
                <w:sz w:val="18"/>
                <w:szCs w:val="18"/>
                <w:lang w:eastAsia="sk-SK"/>
              </w:rPr>
              <w:t>pohľadávky</w:t>
            </w:r>
            <w:proofErr w:type="spellEnd"/>
          </w:p>
        </w:tc>
        <w:tc>
          <w:tcPr>
            <w:tcW w:w="701" w:type="pct"/>
            <w:tcBorders>
              <w:top w:val="nil"/>
              <w:left w:val="nil"/>
              <w:bottom w:val="nil"/>
              <w:right w:val="nil"/>
            </w:tcBorders>
            <w:shd w:val="clear" w:color="auto" w:fill="auto"/>
            <w:vAlign w:val="bottom"/>
          </w:tcPr>
          <w:p w14:paraId="064EF497" w14:textId="60AC4D76" w:rsidR="00862916" w:rsidRPr="00226892" w:rsidRDefault="00571169"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w:t>
            </w:r>
          </w:p>
        </w:tc>
        <w:tc>
          <w:tcPr>
            <w:tcW w:w="104" w:type="pct"/>
            <w:tcBorders>
              <w:top w:val="nil"/>
              <w:left w:val="nil"/>
              <w:bottom w:val="nil"/>
              <w:right w:val="nil"/>
            </w:tcBorders>
            <w:shd w:val="clear" w:color="auto" w:fill="auto"/>
            <w:vAlign w:val="bottom"/>
          </w:tcPr>
          <w:p w14:paraId="1E09F377" w14:textId="77777777" w:rsidR="00862916" w:rsidRPr="00226892" w:rsidRDefault="00862916" w:rsidP="005020AA">
            <w:pPr>
              <w:jc w:val="right"/>
              <w:rPr>
                <w:rFonts w:ascii="Arial" w:eastAsia="Times New Roman" w:hAnsi="Arial" w:cs="Arial"/>
                <w:color w:val="000000"/>
                <w:sz w:val="18"/>
                <w:szCs w:val="18"/>
                <w:lang w:eastAsia="sk-SK"/>
              </w:rPr>
            </w:pPr>
          </w:p>
        </w:tc>
        <w:tc>
          <w:tcPr>
            <w:tcW w:w="697" w:type="pct"/>
            <w:tcBorders>
              <w:top w:val="nil"/>
              <w:left w:val="nil"/>
              <w:bottom w:val="nil"/>
              <w:right w:val="nil"/>
            </w:tcBorders>
            <w:shd w:val="clear" w:color="auto" w:fill="auto"/>
            <w:vAlign w:val="bottom"/>
          </w:tcPr>
          <w:p w14:paraId="7ECDCEF4" w14:textId="07862159" w:rsidR="00862916" w:rsidRPr="00226892" w:rsidRDefault="00571169"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w:t>
            </w:r>
          </w:p>
        </w:tc>
        <w:tc>
          <w:tcPr>
            <w:tcW w:w="104" w:type="pct"/>
            <w:tcBorders>
              <w:top w:val="nil"/>
              <w:left w:val="nil"/>
              <w:bottom w:val="nil"/>
              <w:right w:val="nil"/>
            </w:tcBorders>
            <w:shd w:val="clear" w:color="auto" w:fill="auto"/>
            <w:vAlign w:val="bottom"/>
          </w:tcPr>
          <w:p w14:paraId="388965B8" w14:textId="77777777" w:rsidR="00862916" w:rsidRPr="00226892" w:rsidRDefault="00862916" w:rsidP="005020AA">
            <w:pPr>
              <w:jc w:val="right"/>
              <w:rPr>
                <w:rFonts w:ascii="Arial" w:eastAsia="Times New Roman" w:hAnsi="Arial" w:cs="Arial"/>
                <w:color w:val="000000"/>
                <w:sz w:val="18"/>
                <w:szCs w:val="18"/>
                <w:lang w:eastAsia="sk-SK"/>
              </w:rPr>
            </w:pPr>
          </w:p>
        </w:tc>
        <w:tc>
          <w:tcPr>
            <w:tcW w:w="609" w:type="pct"/>
            <w:tcBorders>
              <w:top w:val="nil"/>
              <w:left w:val="nil"/>
              <w:bottom w:val="nil"/>
              <w:right w:val="nil"/>
            </w:tcBorders>
            <w:shd w:val="clear" w:color="auto" w:fill="auto"/>
            <w:vAlign w:val="bottom"/>
          </w:tcPr>
          <w:p w14:paraId="0A102016" w14:textId="546BF4A0" w:rsidR="00862916" w:rsidRPr="00226892" w:rsidRDefault="008B2DD2"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39</w:t>
            </w:r>
          </w:p>
        </w:tc>
        <w:tc>
          <w:tcPr>
            <w:tcW w:w="104" w:type="pct"/>
            <w:tcBorders>
              <w:top w:val="nil"/>
              <w:left w:val="nil"/>
              <w:bottom w:val="nil"/>
              <w:right w:val="nil"/>
            </w:tcBorders>
            <w:shd w:val="clear" w:color="auto" w:fill="auto"/>
            <w:vAlign w:val="bottom"/>
          </w:tcPr>
          <w:p w14:paraId="27AB901C" w14:textId="77777777" w:rsidR="00862916" w:rsidRPr="00226892" w:rsidRDefault="00862916" w:rsidP="005020AA">
            <w:pPr>
              <w:jc w:val="right"/>
              <w:rPr>
                <w:rFonts w:ascii="Arial" w:eastAsia="Times New Roman" w:hAnsi="Arial" w:cs="Arial"/>
                <w:color w:val="000000"/>
                <w:sz w:val="18"/>
                <w:szCs w:val="18"/>
                <w:lang w:eastAsia="sk-SK"/>
              </w:rPr>
            </w:pPr>
          </w:p>
        </w:tc>
        <w:tc>
          <w:tcPr>
            <w:tcW w:w="697" w:type="pct"/>
            <w:tcBorders>
              <w:top w:val="nil"/>
              <w:left w:val="nil"/>
              <w:bottom w:val="nil"/>
              <w:right w:val="nil"/>
            </w:tcBorders>
            <w:shd w:val="clear" w:color="auto" w:fill="auto"/>
            <w:vAlign w:val="bottom"/>
          </w:tcPr>
          <w:p w14:paraId="7BC44AC6" w14:textId="5B3C2EE3" w:rsidR="00862916" w:rsidRPr="00226892" w:rsidRDefault="008B2DD2"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w:t>
            </w:r>
          </w:p>
        </w:tc>
      </w:tr>
      <w:tr w:rsidR="00862916" w:rsidRPr="00226892" w14:paraId="06AE17FC" w14:textId="77777777" w:rsidTr="005020AA">
        <w:trPr>
          <w:trHeight w:val="217"/>
        </w:trPr>
        <w:tc>
          <w:tcPr>
            <w:tcW w:w="1983" w:type="pct"/>
            <w:tcBorders>
              <w:top w:val="nil"/>
              <w:left w:val="nil"/>
              <w:bottom w:val="nil"/>
              <w:right w:val="nil"/>
            </w:tcBorders>
            <w:shd w:val="clear" w:color="auto" w:fill="auto"/>
            <w:vAlign w:val="bottom"/>
          </w:tcPr>
          <w:p w14:paraId="1CE8DF61" w14:textId="77777777" w:rsidR="00862916" w:rsidRPr="00226892" w:rsidRDefault="00862916" w:rsidP="005020AA">
            <w:pPr>
              <w:rPr>
                <w:rFonts w:ascii="Arial" w:eastAsia="Times New Roman" w:hAnsi="Arial" w:cs="Arial"/>
                <w:color w:val="000000"/>
                <w:sz w:val="18"/>
                <w:szCs w:val="18"/>
                <w:lang w:eastAsia="sk-SK"/>
              </w:rPr>
            </w:pPr>
            <w:proofErr w:type="spellStart"/>
            <w:r w:rsidRPr="00226892">
              <w:rPr>
                <w:rFonts w:ascii="Arial" w:eastAsia="Times New Roman" w:hAnsi="Arial" w:cs="Arial"/>
                <w:color w:val="000000"/>
                <w:sz w:val="18"/>
                <w:szCs w:val="18"/>
                <w:lang w:eastAsia="sk-SK"/>
              </w:rPr>
              <w:t>Pôžičky</w:t>
            </w:r>
            <w:proofErr w:type="spellEnd"/>
          </w:p>
        </w:tc>
        <w:tc>
          <w:tcPr>
            <w:tcW w:w="701" w:type="pct"/>
            <w:tcBorders>
              <w:top w:val="nil"/>
              <w:left w:val="nil"/>
              <w:bottom w:val="nil"/>
              <w:right w:val="nil"/>
            </w:tcBorders>
            <w:shd w:val="clear" w:color="auto" w:fill="auto"/>
            <w:vAlign w:val="bottom"/>
          </w:tcPr>
          <w:p w14:paraId="2CCE5106" w14:textId="4D24969C" w:rsidR="00862916" w:rsidRPr="00226892" w:rsidRDefault="00571169"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w:t>
            </w:r>
          </w:p>
        </w:tc>
        <w:tc>
          <w:tcPr>
            <w:tcW w:w="104" w:type="pct"/>
            <w:tcBorders>
              <w:top w:val="nil"/>
              <w:left w:val="nil"/>
              <w:bottom w:val="nil"/>
              <w:right w:val="nil"/>
            </w:tcBorders>
            <w:shd w:val="clear" w:color="auto" w:fill="auto"/>
            <w:vAlign w:val="bottom"/>
          </w:tcPr>
          <w:p w14:paraId="02072348" w14:textId="77777777" w:rsidR="00862916" w:rsidRPr="00226892" w:rsidRDefault="00862916" w:rsidP="005020AA">
            <w:pPr>
              <w:jc w:val="right"/>
              <w:rPr>
                <w:rFonts w:ascii="Arial" w:eastAsia="Times New Roman" w:hAnsi="Arial" w:cs="Arial"/>
                <w:color w:val="000000"/>
                <w:sz w:val="18"/>
                <w:szCs w:val="18"/>
                <w:lang w:eastAsia="sk-SK"/>
              </w:rPr>
            </w:pPr>
          </w:p>
        </w:tc>
        <w:tc>
          <w:tcPr>
            <w:tcW w:w="697" w:type="pct"/>
            <w:tcBorders>
              <w:top w:val="nil"/>
              <w:left w:val="nil"/>
              <w:bottom w:val="nil"/>
              <w:right w:val="nil"/>
            </w:tcBorders>
            <w:shd w:val="clear" w:color="auto" w:fill="auto"/>
            <w:vAlign w:val="bottom"/>
          </w:tcPr>
          <w:p w14:paraId="66E13B4C" w14:textId="3FBA145F" w:rsidR="00862916" w:rsidRPr="00226892" w:rsidRDefault="00571169"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w:t>
            </w:r>
          </w:p>
        </w:tc>
        <w:tc>
          <w:tcPr>
            <w:tcW w:w="104" w:type="pct"/>
            <w:tcBorders>
              <w:top w:val="nil"/>
              <w:left w:val="nil"/>
              <w:bottom w:val="nil"/>
              <w:right w:val="nil"/>
            </w:tcBorders>
            <w:shd w:val="clear" w:color="auto" w:fill="auto"/>
            <w:vAlign w:val="bottom"/>
          </w:tcPr>
          <w:p w14:paraId="69ACD103" w14:textId="77777777" w:rsidR="00862916" w:rsidRPr="00226892" w:rsidRDefault="00862916" w:rsidP="005020AA">
            <w:pPr>
              <w:jc w:val="right"/>
              <w:rPr>
                <w:rFonts w:ascii="Arial" w:eastAsia="Times New Roman" w:hAnsi="Arial" w:cs="Arial"/>
                <w:color w:val="000000"/>
                <w:sz w:val="18"/>
                <w:szCs w:val="18"/>
                <w:lang w:eastAsia="sk-SK"/>
              </w:rPr>
            </w:pPr>
          </w:p>
        </w:tc>
        <w:tc>
          <w:tcPr>
            <w:tcW w:w="609" w:type="pct"/>
            <w:tcBorders>
              <w:top w:val="nil"/>
              <w:left w:val="nil"/>
              <w:bottom w:val="nil"/>
              <w:right w:val="nil"/>
            </w:tcBorders>
            <w:shd w:val="clear" w:color="auto" w:fill="auto"/>
            <w:vAlign w:val="bottom"/>
          </w:tcPr>
          <w:p w14:paraId="25DB6158" w14:textId="5D8CE09B" w:rsidR="00862916" w:rsidRPr="00226892" w:rsidRDefault="008B2DD2"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470</w:t>
            </w:r>
          </w:p>
        </w:tc>
        <w:tc>
          <w:tcPr>
            <w:tcW w:w="104" w:type="pct"/>
            <w:tcBorders>
              <w:top w:val="nil"/>
              <w:left w:val="nil"/>
              <w:bottom w:val="nil"/>
              <w:right w:val="nil"/>
            </w:tcBorders>
            <w:shd w:val="clear" w:color="auto" w:fill="auto"/>
            <w:vAlign w:val="bottom"/>
          </w:tcPr>
          <w:p w14:paraId="6C322D1B" w14:textId="77777777" w:rsidR="00862916" w:rsidRPr="00226892" w:rsidRDefault="00862916" w:rsidP="005020AA">
            <w:pPr>
              <w:jc w:val="right"/>
              <w:rPr>
                <w:rFonts w:ascii="Arial" w:eastAsia="Times New Roman" w:hAnsi="Arial" w:cs="Arial"/>
                <w:color w:val="000000"/>
                <w:sz w:val="18"/>
                <w:szCs w:val="18"/>
                <w:lang w:eastAsia="sk-SK"/>
              </w:rPr>
            </w:pPr>
          </w:p>
        </w:tc>
        <w:tc>
          <w:tcPr>
            <w:tcW w:w="697" w:type="pct"/>
            <w:tcBorders>
              <w:top w:val="nil"/>
              <w:left w:val="nil"/>
              <w:bottom w:val="nil"/>
              <w:right w:val="nil"/>
            </w:tcBorders>
            <w:shd w:val="clear" w:color="auto" w:fill="auto"/>
            <w:vAlign w:val="bottom"/>
          </w:tcPr>
          <w:p w14:paraId="5BF9513A" w14:textId="2EDFB1AD" w:rsidR="00862916" w:rsidRPr="00226892" w:rsidRDefault="008B2DD2"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w:t>
            </w:r>
          </w:p>
        </w:tc>
      </w:tr>
    </w:tbl>
    <w:p w14:paraId="197121E9" w14:textId="77777777" w:rsidR="00862916" w:rsidRPr="00226892" w:rsidRDefault="00862916" w:rsidP="00862916">
      <w:pPr>
        <w:suppressAutoHyphens/>
        <w:jc w:val="both"/>
        <w:rPr>
          <w:rFonts w:ascii="Arial" w:hAnsi="Arial" w:cs="Arial"/>
        </w:rPr>
      </w:pPr>
    </w:p>
    <w:p w14:paraId="32AE8DD2" w14:textId="77777777" w:rsidR="00862916" w:rsidRPr="00226892" w:rsidRDefault="00862916" w:rsidP="00862916">
      <w:pPr>
        <w:suppressAutoHyphens/>
        <w:ind w:left="357"/>
        <w:rPr>
          <w:rFonts w:ascii="Arial" w:hAnsi="Arial" w:cs="Arial"/>
        </w:rPr>
      </w:pPr>
    </w:p>
    <w:tbl>
      <w:tblPr>
        <w:tblW w:w="5000" w:type="pct"/>
        <w:tblCellMar>
          <w:left w:w="70" w:type="dxa"/>
          <w:right w:w="70" w:type="dxa"/>
        </w:tblCellMar>
        <w:tblLook w:val="04A0" w:firstRow="1" w:lastRow="0" w:firstColumn="1" w:lastColumn="0" w:noHBand="0" w:noVBand="1"/>
      </w:tblPr>
      <w:tblGrid>
        <w:gridCol w:w="3824"/>
        <w:gridCol w:w="1351"/>
        <w:gridCol w:w="200"/>
        <w:gridCol w:w="1344"/>
        <w:gridCol w:w="200"/>
        <w:gridCol w:w="1174"/>
        <w:gridCol w:w="200"/>
        <w:gridCol w:w="1346"/>
      </w:tblGrid>
      <w:tr w:rsidR="00862916" w:rsidRPr="00226892" w14:paraId="60CC0E63" w14:textId="77777777" w:rsidTr="005020AA">
        <w:trPr>
          <w:trHeight w:val="217"/>
        </w:trPr>
        <w:tc>
          <w:tcPr>
            <w:tcW w:w="1983" w:type="pct"/>
            <w:tcBorders>
              <w:top w:val="nil"/>
              <w:left w:val="nil"/>
              <w:right w:val="nil"/>
            </w:tcBorders>
            <w:shd w:val="clear" w:color="auto" w:fill="auto"/>
            <w:vAlign w:val="bottom"/>
            <w:hideMark/>
          </w:tcPr>
          <w:p w14:paraId="6D83728D" w14:textId="77777777" w:rsidR="00862916" w:rsidRPr="00226892" w:rsidRDefault="00862916" w:rsidP="005020AA">
            <w:pPr>
              <w:pStyle w:val="Odsekzoznamu"/>
              <w:ind w:left="0"/>
              <w:rPr>
                <w:rFonts w:ascii="Arial" w:hAnsi="Arial" w:cs="Arial"/>
                <w:b/>
                <w:bCs/>
                <w:color w:val="000000"/>
                <w:sz w:val="18"/>
                <w:szCs w:val="18"/>
                <w:lang w:eastAsia="sk-SK"/>
              </w:rPr>
            </w:pPr>
          </w:p>
        </w:tc>
        <w:tc>
          <w:tcPr>
            <w:tcW w:w="1502" w:type="pct"/>
            <w:gridSpan w:val="3"/>
            <w:tcBorders>
              <w:top w:val="nil"/>
              <w:left w:val="nil"/>
              <w:bottom w:val="single" w:sz="4" w:space="0" w:color="auto"/>
              <w:right w:val="nil"/>
            </w:tcBorders>
            <w:shd w:val="clear" w:color="auto" w:fill="auto"/>
            <w:vAlign w:val="bottom"/>
          </w:tcPr>
          <w:p w14:paraId="66CE6D14" w14:textId="77777777" w:rsidR="00862916" w:rsidRPr="00226892" w:rsidRDefault="00862916" w:rsidP="005020AA">
            <w:pPr>
              <w:jc w:val="center"/>
              <w:rPr>
                <w:rFonts w:ascii="Arial" w:eastAsia="Times New Roman" w:hAnsi="Arial" w:cs="Arial"/>
                <w:b/>
                <w:bCs/>
                <w:color w:val="000000"/>
                <w:sz w:val="18"/>
                <w:szCs w:val="18"/>
                <w:lang w:eastAsia="sk-SK"/>
              </w:rPr>
            </w:pPr>
            <w:proofErr w:type="spellStart"/>
            <w:r w:rsidRPr="00226892">
              <w:rPr>
                <w:rFonts w:ascii="Arial" w:eastAsia="Times New Roman" w:hAnsi="Arial" w:cs="Arial"/>
                <w:b/>
                <w:bCs/>
                <w:color w:val="000000"/>
                <w:sz w:val="18"/>
                <w:szCs w:val="18"/>
                <w:lang w:eastAsia="sk-SK"/>
              </w:rPr>
              <w:t>Nad-zabezpečenie</w:t>
            </w:r>
            <w:proofErr w:type="spellEnd"/>
          </w:p>
        </w:tc>
        <w:tc>
          <w:tcPr>
            <w:tcW w:w="104" w:type="pct"/>
            <w:tcBorders>
              <w:top w:val="nil"/>
              <w:left w:val="nil"/>
              <w:bottom w:val="single" w:sz="4" w:space="0" w:color="auto"/>
              <w:right w:val="nil"/>
            </w:tcBorders>
            <w:shd w:val="clear" w:color="auto" w:fill="auto"/>
            <w:vAlign w:val="bottom"/>
            <w:hideMark/>
          </w:tcPr>
          <w:p w14:paraId="183B7ACD" w14:textId="77777777" w:rsidR="00862916" w:rsidRPr="00226892" w:rsidRDefault="00862916" w:rsidP="005020AA">
            <w:pPr>
              <w:jc w:val="center"/>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 </w:t>
            </w:r>
          </w:p>
        </w:tc>
        <w:tc>
          <w:tcPr>
            <w:tcW w:w="1411" w:type="pct"/>
            <w:gridSpan w:val="3"/>
            <w:tcBorders>
              <w:top w:val="nil"/>
              <w:left w:val="nil"/>
              <w:bottom w:val="single" w:sz="4" w:space="0" w:color="auto"/>
              <w:right w:val="nil"/>
            </w:tcBorders>
            <w:shd w:val="clear" w:color="auto" w:fill="auto"/>
            <w:vAlign w:val="bottom"/>
          </w:tcPr>
          <w:p w14:paraId="3CE2B87B" w14:textId="77777777" w:rsidR="00862916" w:rsidRPr="00226892" w:rsidRDefault="00862916" w:rsidP="005020AA">
            <w:pPr>
              <w:jc w:val="center"/>
              <w:rPr>
                <w:rFonts w:ascii="Arial" w:eastAsia="Times New Roman" w:hAnsi="Arial" w:cs="Arial"/>
                <w:b/>
                <w:bCs/>
                <w:color w:val="000000"/>
                <w:sz w:val="18"/>
                <w:szCs w:val="18"/>
                <w:lang w:eastAsia="sk-SK"/>
              </w:rPr>
            </w:pPr>
            <w:r w:rsidRPr="00226892">
              <w:rPr>
                <w:rFonts w:ascii="Arial" w:eastAsia="Times New Roman" w:hAnsi="Arial" w:cs="Arial"/>
                <w:b/>
                <w:bCs/>
                <w:color w:val="000000"/>
                <w:sz w:val="18"/>
                <w:szCs w:val="18"/>
                <w:lang w:eastAsia="sk-SK"/>
              </w:rPr>
              <w:t>Pod-</w:t>
            </w:r>
            <w:proofErr w:type="spellStart"/>
            <w:r w:rsidRPr="00226892">
              <w:rPr>
                <w:rFonts w:ascii="Arial" w:eastAsia="Times New Roman" w:hAnsi="Arial" w:cs="Arial"/>
                <w:b/>
                <w:bCs/>
                <w:color w:val="000000"/>
                <w:sz w:val="18"/>
                <w:szCs w:val="18"/>
                <w:lang w:eastAsia="sk-SK"/>
              </w:rPr>
              <w:t>zabezpečenie</w:t>
            </w:r>
            <w:proofErr w:type="spellEnd"/>
          </w:p>
        </w:tc>
      </w:tr>
      <w:tr w:rsidR="00862916" w:rsidRPr="00226892" w14:paraId="5F947B0E" w14:textId="77777777" w:rsidTr="005020AA">
        <w:trPr>
          <w:trHeight w:val="217"/>
        </w:trPr>
        <w:tc>
          <w:tcPr>
            <w:tcW w:w="1983" w:type="pct"/>
            <w:tcBorders>
              <w:left w:val="nil"/>
              <w:bottom w:val="single" w:sz="4" w:space="0" w:color="auto"/>
              <w:right w:val="nil"/>
            </w:tcBorders>
            <w:shd w:val="clear" w:color="auto" w:fill="auto"/>
            <w:vAlign w:val="bottom"/>
            <w:hideMark/>
          </w:tcPr>
          <w:p w14:paraId="0F50E5A7" w14:textId="77777777" w:rsidR="00862916" w:rsidRPr="00226892" w:rsidRDefault="00862916" w:rsidP="005020AA">
            <w:pPr>
              <w:pStyle w:val="Odsekzoznamu"/>
              <w:ind w:left="0"/>
              <w:rPr>
                <w:rFonts w:ascii="Arial" w:hAnsi="Arial" w:cs="Arial"/>
                <w:b/>
                <w:bCs/>
                <w:color w:val="000000"/>
                <w:sz w:val="18"/>
                <w:szCs w:val="18"/>
                <w:lang w:eastAsia="sk-SK"/>
              </w:rPr>
            </w:pPr>
            <w:r w:rsidRPr="00226892">
              <w:rPr>
                <w:rFonts w:ascii="Arial" w:hAnsi="Arial" w:cs="Arial"/>
                <w:b/>
                <w:bCs/>
                <w:color w:val="000000"/>
                <w:sz w:val="18"/>
                <w:szCs w:val="18"/>
                <w:lang w:eastAsia="sk-SK"/>
              </w:rPr>
              <w:t xml:space="preserve">31. </w:t>
            </w:r>
            <w:proofErr w:type="spellStart"/>
            <w:r w:rsidRPr="00226892">
              <w:rPr>
                <w:rFonts w:ascii="Arial" w:hAnsi="Arial" w:cs="Arial"/>
                <w:b/>
                <w:bCs/>
                <w:color w:val="000000"/>
                <w:sz w:val="18"/>
                <w:szCs w:val="18"/>
                <w:lang w:eastAsia="sk-SK"/>
              </w:rPr>
              <w:t>december</w:t>
            </w:r>
            <w:proofErr w:type="spellEnd"/>
            <w:r w:rsidRPr="00226892">
              <w:rPr>
                <w:rFonts w:ascii="Arial" w:hAnsi="Arial" w:cs="Arial"/>
                <w:b/>
                <w:bCs/>
                <w:color w:val="000000"/>
                <w:sz w:val="18"/>
                <w:szCs w:val="18"/>
                <w:lang w:eastAsia="sk-SK"/>
              </w:rPr>
              <w:t xml:space="preserve"> 2017</w:t>
            </w:r>
          </w:p>
        </w:tc>
        <w:tc>
          <w:tcPr>
            <w:tcW w:w="701" w:type="pct"/>
            <w:tcBorders>
              <w:top w:val="nil"/>
              <w:left w:val="nil"/>
              <w:bottom w:val="single" w:sz="4" w:space="0" w:color="auto"/>
              <w:right w:val="nil"/>
            </w:tcBorders>
            <w:shd w:val="clear" w:color="auto" w:fill="auto"/>
            <w:vAlign w:val="bottom"/>
            <w:hideMark/>
          </w:tcPr>
          <w:p w14:paraId="2D86EA8C" w14:textId="77777777" w:rsidR="00862916" w:rsidRPr="00226892" w:rsidRDefault="00862916" w:rsidP="005020AA">
            <w:pPr>
              <w:jc w:val="center"/>
              <w:rPr>
                <w:rFonts w:ascii="Arial" w:eastAsia="Times New Roman" w:hAnsi="Arial" w:cs="Arial"/>
                <w:b/>
                <w:bCs/>
                <w:color w:val="000000"/>
                <w:sz w:val="18"/>
                <w:szCs w:val="18"/>
                <w:lang w:eastAsia="sk-SK"/>
              </w:rPr>
            </w:pPr>
            <w:proofErr w:type="spellStart"/>
            <w:r w:rsidRPr="00226892">
              <w:rPr>
                <w:rFonts w:ascii="Arial" w:eastAsia="Times New Roman" w:hAnsi="Arial" w:cs="Arial"/>
                <w:b/>
                <w:bCs/>
                <w:color w:val="000000"/>
                <w:sz w:val="18"/>
                <w:szCs w:val="18"/>
                <w:lang w:eastAsia="sk-SK"/>
              </w:rPr>
              <w:t>Účtovná</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hodnota</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aktíva</w:t>
            </w:r>
            <w:proofErr w:type="spellEnd"/>
          </w:p>
        </w:tc>
        <w:tc>
          <w:tcPr>
            <w:tcW w:w="104" w:type="pct"/>
            <w:tcBorders>
              <w:top w:val="nil"/>
              <w:left w:val="nil"/>
              <w:bottom w:val="single" w:sz="4" w:space="0" w:color="auto"/>
              <w:right w:val="nil"/>
            </w:tcBorders>
            <w:shd w:val="clear" w:color="auto" w:fill="auto"/>
            <w:vAlign w:val="bottom"/>
            <w:hideMark/>
          </w:tcPr>
          <w:p w14:paraId="2BE0BD26" w14:textId="77777777" w:rsidR="00862916" w:rsidRPr="00226892" w:rsidRDefault="00862916" w:rsidP="005020AA">
            <w:pPr>
              <w:jc w:val="center"/>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 </w:t>
            </w:r>
          </w:p>
        </w:tc>
        <w:tc>
          <w:tcPr>
            <w:tcW w:w="697" w:type="pct"/>
            <w:tcBorders>
              <w:top w:val="nil"/>
              <w:left w:val="nil"/>
              <w:bottom w:val="single" w:sz="4" w:space="0" w:color="auto"/>
              <w:right w:val="nil"/>
            </w:tcBorders>
            <w:shd w:val="clear" w:color="auto" w:fill="auto"/>
            <w:vAlign w:val="bottom"/>
            <w:hideMark/>
          </w:tcPr>
          <w:p w14:paraId="67C52ECC" w14:textId="77777777" w:rsidR="00862916" w:rsidRPr="00226892" w:rsidRDefault="00862916" w:rsidP="005020AA">
            <w:pPr>
              <w:jc w:val="center"/>
              <w:rPr>
                <w:rFonts w:ascii="Arial" w:eastAsia="Times New Roman" w:hAnsi="Arial" w:cs="Arial"/>
                <w:b/>
                <w:bCs/>
                <w:color w:val="000000"/>
                <w:sz w:val="18"/>
                <w:szCs w:val="18"/>
                <w:lang w:eastAsia="sk-SK"/>
              </w:rPr>
            </w:pPr>
            <w:proofErr w:type="spellStart"/>
            <w:r w:rsidRPr="00226892">
              <w:rPr>
                <w:rFonts w:ascii="Arial" w:eastAsia="Times New Roman" w:hAnsi="Arial" w:cs="Arial"/>
                <w:b/>
                <w:bCs/>
                <w:color w:val="000000"/>
                <w:sz w:val="18"/>
                <w:szCs w:val="18"/>
                <w:lang w:eastAsia="sk-SK"/>
              </w:rPr>
              <w:t>Reálna</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hodnota</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zabezpečenia</w:t>
            </w:r>
            <w:proofErr w:type="spellEnd"/>
            <w:r w:rsidRPr="00226892">
              <w:rPr>
                <w:rFonts w:ascii="Arial" w:eastAsia="Times New Roman" w:hAnsi="Arial" w:cs="Arial"/>
                <w:b/>
                <w:bCs/>
                <w:color w:val="000000"/>
                <w:sz w:val="18"/>
                <w:szCs w:val="18"/>
                <w:lang w:eastAsia="sk-SK"/>
              </w:rPr>
              <w:t xml:space="preserve"> </w:t>
            </w:r>
          </w:p>
        </w:tc>
        <w:tc>
          <w:tcPr>
            <w:tcW w:w="104" w:type="pct"/>
            <w:tcBorders>
              <w:top w:val="nil"/>
              <w:left w:val="nil"/>
              <w:bottom w:val="single" w:sz="4" w:space="0" w:color="auto"/>
              <w:right w:val="nil"/>
            </w:tcBorders>
            <w:shd w:val="clear" w:color="auto" w:fill="auto"/>
            <w:vAlign w:val="bottom"/>
            <w:hideMark/>
          </w:tcPr>
          <w:p w14:paraId="12A139B4" w14:textId="77777777" w:rsidR="00862916" w:rsidRPr="00226892" w:rsidRDefault="00862916" w:rsidP="005020AA">
            <w:pPr>
              <w:jc w:val="center"/>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 </w:t>
            </w:r>
          </w:p>
        </w:tc>
        <w:tc>
          <w:tcPr>
            <w:tcW w:w="609" w:type="pct"/>
            <w:tcBorders>
              <w:top w:val="nil"/>
              <w:left w:val="nil"/>
              <w:bottom w:val="single" w:sz="4" w:space="0" w:color="auto"/>
              <w:right w:val="nil"/>
            </w:tcBorders>
            <w:shd w:val="clear" w:color="auto" w:fill="auto"/>
            <w:vAlign w:val="bottom"/>
            <w:hideMark/>
          </w:tcPr>
          <w:p w14:paraId="4E2F6FF4" w14:textId="77777777" w:rsidR="00862916" w:rsidRPr="00226892" w:rsidRDefault="00862916" w:rsidP="005020AA">
            <w:pPr>
              <w:jc w:val="center"/>
              <w:rPr>
                <w:rFonts w:ascii="Arial" w:eastAsia="Times New Roman" w:hAnsi="Arial" w:cs="Arial"/>
                <w:b/>
                <w:bCs/>
                <w:color w:val="000000"/>
                <w:sz w:val="18"/>
                <w:szCs w:val="18"/>
                <w:lang w:eastAsia="sk-SK"/>
              </w:rPr>
            </w:pPr>
            <w:proofErr w:type="spellStart"/>
            <w:r w:rsidRPr="00226892">
              <w:rPr>
                <w:rFonts w:ascii="Arial" w:eastAsia="Times New Roman" w:hAnsi="Arial" w:cs="Arial"/>
                <w:b/>
                <w:bCs/>
                <w:color w:val="000000"/>
                <w:sz w:val="18"/>
                <w:szCs w:val="18"/>
                <w:lang w:eastAsia="sk-SK"/>
              </w:rPr>
              <w:t>Účtovná</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hodnota</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aktíva</w:t>
            </w:r>
            <w:proofErr w:type="spellEnd"/>
          </w:p>
        </w:tc>
        <w:tc>
          <w:tcPr>
            <w:tcW w:w="104" w:type="pct"/>
            <w:tcBorders>
              <w:top w:val="nil"/>
              <w:left w:val="nil"/>
              <w:bottom w:val="single" w:sz="4" w:space="0" w:color="auto"/>
              <w:right w:val="nil"/>
            </w:tcBorders>
            <w:shd w:val="clear" w:color="auto" w:fill="auto"/>
            <w:vAlign w:val="bottom"/>
            <w:hideMark/>
          </w:tcPr>
          <w:p w14:paraId="0CE6BB03" w14:textId="77777777" w:rsidR="00862916" w:rsidRPr="00226892" w:rsidRDefault="00862916" w:rsidP="005020AA">
            <w:pPr>
              <w:jc w:val="center"/>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 </w:t>
            </w:r>
          </w:p>
        </w:tc>
        <w:tc>
          <w:tcPr>
            <w:tcW w:w="697" w:type="pct"/>
            <w:tcBorders>
              <w:top w:val="nil"/>
              <w:left w:val="nil"/>
              <w:bottom w:val="single" w:sz="4" w:space="0" w:color="auto"/>
              <w:right w:val="nil"/>
            </w:tcBorders>
            <w:shd w:val="clear" w:color="auto" w:fill="auto"/>
            <w:vAlign w:val="bottom"/>
            <w:hideMark/>
          </w:tcPr>
          <w:p w14:paraId="0AA10DA0" w14:textId="77777777" w:rsidR="00862916" w:rsidRPr="00226892" w:rsidRDefault="00862916" w:rsidP="005020AA">
            <w:pPr>
              <w:jc w:val="center"/>
              <w:rPr>
                <w:rFonts w:ascii="Arial" w:eastAsia="Times New Roman" w:hAnsi="Arial" w:cs="Arial"/>
                <w:b/>
                <w:bCs/>
                <w:color w:val="000000"/>
                <w:sz w:val="18"/>
                <w:szCs w:val="18"/>
                <w:lang w:eastAsia="sk-SK"/>
              </w:rPr>
            </w:pPr>
            <w:proofErr w:type="spellStart"/>
            <w:r w:rsidRPr="00226892">
              <w:rPr>
                <w:rFonts w:ascii="Arial" w:eastAsia="Times New Roman" w:hAnsi="Arial" w:cs="Arial"/>
                <w:b/>
                <w:bCs/>
                <w:color w:val="000000"/>
                <w:sz w:val="18"/>
                <w:szCs w:val="18"/>
                <w:lang w:eastAsia="sk-SK"/>
              </w:rPr>
              <w:t>Reálna</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hodnota</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zabezpečenia</w:t>
            </w:r>
            <w:proofErr w:type="spellEnd"/>
            <w:r w:rsidRPr="00226892">
              <w:rPr>
                <w:rFonts w:ascii="Arial" w:eastAsia="Times New Roman" w:hAnsi="Arial" w:cs="Arial"/>
                <w:b/>
                <w:bCs/>
                <w:color w:val="000000"/>
                <w:sz w:val="18"/>
                <w:szCs w:val="18"/>
                <w:lang w:eastAsia="sk-SK"/>
              </w:rPr>
              <w:t xml:space="preserve"> </w:t>
            </w:r>
          </w:p>
        </w:tc>
      </w:tr>
      <w:tr w:rsidR="00862916" w:rsidRPr="00226892" w14:paraId="5D4F3BEF" w14:textId="77777777" w:rsidTr="005020AA">
        <w:trPr>
          <w:trHeight w:val="217"/>
        </w:trPr>
        <w:tc>
          <w:tcPr>
            <w:tcW w:w="1983" w:type="pct"/>
            <w:tcBorders>
              <w:top w:val="nil"/>
              <w:left w:val="nil"/>
              <w:bottom w:val="nil"/>
              <w:right w:val="nil"/>
            </w:tcBorders>
            <w:shd w:val="clear" w:color="auto" w:fill="auto"/>
            <w:vAlign w:val="bottom"/>
            <w:hideMark/>
          </w:tcPr>
          <w:p w14:paraId="5E41B04F" w14:textId="77777777" w:rsidR="00862916" w:rsidRPr="00226892" w:rsidRDefault="00862916" w:rsidP="005020AA">
            <w:pPr>
              <w:rPr>
                <w:rFonts w:ascii="Arial" w:eastAsia="Times New Roman" w:hAnsi="Arial" w:cs="Arial"/>
                <w:color w:val="000000"/>
                <w:sz w:val="18"/>
                <w:szCs w:val="18"/>
                <w:lang w:eastAsia="sk-SK"/>
              </w:rPr>
            </w:pPr>
            <w:proofErr w:type="spellStart"/>
            <w:r w:rsidRPr="00226892">
              <w:rPr>
                <w:rFonts w:ascii="Arial" w:eastAsia="Times New Roman" w:hAnsi="Arial" w:cs="Arial"/>
                <w:color w:val="000000"/>
                <w:sz w:val="18"/>
                <w:szCs w:val="18"/>
                <w:lang w:eastAsia="sk-SK"/>
              </w:rPr>
              <w:t>Pohľadávky</w:t>
            </w:r>
            <w:proofErr w:type="spellEnd"/>
            <w:r w:rsidRPr="00226892">
              <w:rPr>
                <w:rFonts w:ascii="Arial" w:eastAsia="Times New Roman" w:hAnsi="Arial" w:cs="Arial"/>
                <w:color w:val="000000"/>
                <w:sz w:val="18"/>
                <w:szCs w:val="18"/>
                <w:lang w:eastAsia="sk-SK"/>
              </w:rPr>
              <w:t xml:space="preserve"> z </w:t>
            </w:r>
            <w:proofErr w:type="spellStart"/>
            <w:r w:rsidRPr="00226892">
              <w:rPr>
                <w:rFonts w:ascii="Arial" w:eastAsia="Times New Roman" w:hAnsi="Arial" w:cs="Arial"/>
                <w:color w:val="000000"/>
                <w:sz w:val="18"/>
                <w:szCs w:val="18"/>
                <w:lang w:eastAsia="sk-SK"/>
              </w:rPr>
              <w:t>obchodného</w:t>
            </w:r>
            <w:proofErr w:type="spellEnd"/>
            <w:r w:rsidRPr="00226892">
              <w:rPr>
                <w:rFonts w:ascii="Arial" w:eastAsia="Times New Roman" w:hAnsi="Arial" w:cs="Arial"/>
                <w:color w:val="000000"/>
                <w:sz w:val="18"/>
                <w:szCs w:val="18"/>
                <w:lang w:eastAsia="sk-SK"/>
              </w:rPr>
              <w:t xml:space="preserve"> </w:t>
            </w:r>
            <w:proofErr w:type="spellStart"/>
            <w:r w:rsidRPr="00226892">
              <w:rPr>
                <w:rFonts w:ascii="Arial" w:eastAsia="Times New Roman" w:hAnsi="Arial" w:cs="Arial"/>
                <w:color w:val="000000"/>
                <w:sz w:val="18"/>
                <w:szCs w:val="18"/>
                <w:lang w:eastAsia="sk-SK"/>
              </w:rPr>
              <w:t>styku</w:t>
            </w:r>
            <w:proofErr w:type="spellEnd"/>
          </w:p>
        </w:tc>
        <w:tc>
          <w:tcPr>
            <w:tcW w:w="701" w:type="pct"/>
            <w:tcBorders>
              <w:top w:val="nil"/>
              <w:left w:val="nil"/>
              <w:bottom w:val="nil"/>
              <w:right w:val="nil"/>
            </w:tcBorders>
            <w:shd w:val="clear" w:color="auto" w:fill="auto"/>
            <w:vAlign w:val="bottom"/>
          </w:tcPr>
          <w:p w14:paraId="1915B9F1" w14:textId="77777777" w:rsidR="00862916" w:rsidRPr="00226892" w:rsidRDefault="00862916"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697</w:t>
            </w:r>
          </w:p>
        </w:tc>
        <w:tc>
          <w:tcPr>
            <w:tcW w:w="104" w:type="pct"/>
            <w:tcBorders>
              <w:top w:val="nil"/>
              <w:left w:val="nil"/>
              <w:bottom w:val="nil"/>
              <w:right w:val="nil"/>
            </w:tcBorders>
            <w:shd w:val="clear" w:color="auto" w:fill="auto"/>
            <w:vAlign w:val="bottom"/>
          </w:tcPr>
          <w:p w14:paraId="718B13F6" w14:textId="77777777" w:rsidR="00862916" w:rsidRPr="00226892" w:rsidRDefault="00862916" w:rsidP="005020AA">
            <w:pPr>
              <w:jc w:val="right"/>
              <w:rPr>
                <w:rFonts w:ascii="Arial" w:eastAsia="Times New Roman" w:hAnsi="Arial" w:cs="Arial"/>
                <w:color w:val="000000"/>
                <w:sz w:val="18"/>
                <w:szCs w:val="18"/>
                <w:lang w:eastAsia="sk-SK"/>
              </w:rPr>
            </w:pPr>
          </w:p>
        </w:tc>
        <w:tc>
          <w:tcPr>
            <w:tcW w:w="697" w:type="pct"/>
            <w:tcBorders>
              <w:top w:val="nil"/>
              <w:left w:val="nil"/>
              <w:bottom w:val="nil"/>
              <w:right w:val="nil"/>
            </w:tcBorders>
            <w:shd w:val="clear" w:color="auto" w:fill="auto"/>
            <w:vAlign w:val="bottom"/>
          </w:tcPr>
          <w:p w14:paraId="7F89B428" w14:textId="77777777" w:rsidR="00862916" w:rsidRPr="00226892" w:rsidRDefault="00862916"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3 006</w:t>
            </w:r>
          </w:p>
        </w:tc>
        <w:tc>
          <w:tcPr>
            <w:tcW w:w="104" w:type="pct"/>
            <w:tcBorders>
              <w:top w:val="nil"/>
              <w:left w:val="nil"/>
              <w:bottom w:val="nil"/>
              <w:right w:val="nil"/>
            </w:tcBorders>
            <w:shd w:val="clear" w:color="auto" w:fill="auto"/>
            <w:vAlign w:val="bottom"/>
          </w:tcPr>
          <w:p w14:paraId="60D16308" w14:textId="77777777" w:rsidR="00862916" w:rsidRPr="00226892" w:rsidRDefault="00862916" w:rsidP="005020AA">
            <w:pPr>
              <w:jc w:val="right"/>
              <w:rPr>
                <w:rFonts w:ascii="Arial" w:eastAsia="Times New Roman" w:hAnsi="Arial" w:cs="Arial"/>
                <w:color w:val="000000"/>
                <w:sz w:val="18"/>
                <w:szCs w:val="18"/>
                <w:lang w:eastAsia="sk-SK"/>
              </w:rPr>
            </w:pPr>
          </w:p>
        </w:tc>
        <w:tc>
          <w:tcPr>
            <w:tcW w:w="609" w:type="pct"/>
            <w:tcBorders>
              <w:top w:val="nil"/>
              <w:left w:val="nil"/>
              <w:bottom w:val="nil"/>
              <w:right w:val="nil"/>
            </w:tcBorders>
            <w:shd w:val="clear" w:color="auto" w:fill="auto"/>
            <w:vAlign w:val="bottom"/>
          </w:tcPr>
          <w:p w14:paraId="5BD11786" w14:textId="77777777" w:rsidR="00862916" w:rsidRPr="00226892" w:rsidRDefault="00862916"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21 470</w:t>
            </w:r>
          </w:p>
        </w:tc>
        <w:tc>
          <w:tcPr>
            <w:tcW w:w="104" w:type="pct"/>
            <w:tcBorders>
              <w:top w:val="nil"/>
              <w:left w:val="nil"/>
              <w:bottom w:val="nil"/>
              <w:right w:val="nil"/>
            </w:tcBorders>
            <w:shd w:val="clear" w:color="auto" w:fill="auto"/>
            <w:vAlign w:val="bottom"/>
          </w:tcPr>
          <w:p w14:paraId="7F8065EA" w14:textId="77777777" w:rsidR="00862916" w:rsidRPr="00226892" w:rsidRDefault="00862916" w:rsidP="005020AA">
            <w:pPr>
              <w:jc w:val="right"/>
              <w:rPr>
                <w:rFonts w:ascii="Arial" w:eastAsia="Times New Roman" w:hAnsi="Arial" w:cs="Arial"/>
                <w:color w:val="000000"/>
                <w:sz w:val="18"/>
                <w:szCs w:val="18"/>
                <w:lang w:eastAsia="sk-SK"/>
              </w:rPr>
            </w:pPr>
          </w:p>
        </w:tc>
        <w:tc>
          <w:tcPr>
            <w:tcW w:w="697" w:type="pct"/>
            <w:tcBorders>
              <w:top w:val="nil"/>
              <w:left w:val="nil"/>
              <w:bottom w:val="nil"/>
              <w:right w:val="nil"/>
            </w:tcBorders>
            <w:shd w:val="clear" w:color="auto" w:fill="auto"/>
            <w:vAlign w:val="bottom"/>
          </w:tcPr>
          <w:p w14:paraId="7BD2B3F8" w14:textId="77777777" w:rsidR="00862916" w:rsidRPr="00226892" w:rsidRDefault="00862916"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2 105</w:t>
            </w:r>
          </w:p>
        </w:tc>
      </w:tr>
      <w:tr w:rsidR="00862916" w:rsidRPr="00226892" w14:paraId="11A1F25F" w14:textId="77777777" w:rsidTr="005020AA">
        <w:trPr>
          <w:trHeight w:val="217"/>
        </w:trPr>
        <w:tc>
          <w:tcPr>
            <w:tcW w:w="1983" w:type="pct"/>
            <w:tcBorders>
              <w:top w:val="nil"/>
              <w:left w:val="nil"/>
              <w:bottom w:val="nil"/>
              <w:right w:val="nil"/>
            </w:tcBorders>
            <w:shd w:val="clear" w:color="auto" w:fill="auto"/>
            <w:vAlign w:val="bottom"/>
            <w:hideMark/>
          </w:tcPr>
          <w:p w14:paraId="43BB2FFE" w14:textId="77777777" w:rsidR="00862916" w:rsidRPr="00226892" w:rsidRDefault="00862916" w:rsidP="005020AA">
            <w:pPr>
              <w:rPr>
                <w:rFonts w:ascii="Arial" w:eastAsia="Times New Roman" w:hAnsi="Arial" w:cs="Arial"/>
                <w:color w:val="000000"/>
                <w:sz w:val="18"/>
                <w:szCs w:val="18"/>
                <w:lang w:eastAsia="sk-SK"/>
              </w:rPr>
            </w:pPr>
            <w:proofErr w:type="spellStart"/>
            <w:r w:rsidRPr="00226892">
              <w:rPr>
                <w:rFonts w:ascii="Arial" w:eastAsia="Times New Roman" w:hAnsi="Arial" w:cs="Arial"/>
                <w:color w:val="000000"/>
                <w:sz w:val="18"/>
                <w:szCs w:val="18"/>
                <w:lang w:eastAsia="sk-SK"/>
              </w:rPr>
              <w:t>Iné</w:t>
            </w:r>
            <w:proofErr w:type="spellEnd"/>
            <w:r w:rsidRPr="00226892">
              <w:rPr>
                <w:rFonts w:ascii="Arial" w:eastAsia="Times New Roman" w:hAnsi="Arial" w:cs="Arial"/>
                <w:color w:val="000000"/>
                <w:sz w:val="18"/>
                <w:szCs w:val="18"/>
                <w:lang w:eastAsia="sk-SK"/>
              </w:rPr>
              <w:t xml:space="preserve"> </w:t>
            </w:r>
            <w:proofErr w:type="spellStart"/>
            <w:r w:rsidRPr="00226892">
              <w:rPr>
                <w:rFonts w:ascii="Arial" w:eastAsia="Times New Roman" w:hAnsi="Arial" w:cs="Arial"/>
                <w:color w:val="000000"/>
                <w:sz w:val="18"/>
                <w:szCs w:val="18"/>
                <w:lang w:eastAsia="sk-SK"/>
              </w:rPr>
              <w:t>pohľadávky</w:t>
            </w:r>
            <w:proofErr w:type="spellEnd"/>
          </w:p>
        </w:tc>
        <w:tc>
          <w:tcPr>
            <w:tcW w:w="701" w:type="pct"/>
            <w:tcBorders>
              <w:top w:val="nil"/>
              <w:left w:val="nil"/>
              <w:bottom w:val="nil"/>
              <w:right w:val="nil"/>
            </w:tcBorders>
            <w:shd w:val="clear" w:color="auto" w:fill="auto"/>
            <w:vAlign w:val="bottom"/>
          </w:tcPr>
          <w:p w14:paraId="7F2CF9E3" w14:textId="77777777" w:rsidR="00862916" w:rsidRPr="00226892" w:rsidRDefault="00862916"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w:t>
            </w:r>
          </w:p>
        </w:tc>
        <w:tc>
          <w:tcPr>
            <w:tcW w:w="104" w:type="pct"/>
            <w:tcBorders>
              <w:top w:val="nil"/>
              <w:left w:val="nil"/>
              <w:bottom w:val="nil"/>
              <w:right w:val="nil"/>
            </w:tcBorders>
            <w:shd w:val="clear" w:color="auto" w:fill="auto"/>
            <w:vAlign w:val="bottom"/>
          </w:tcPr>
          <w:p w14:paraId="7B7B78C4" w14:textId="77777777" w:rsidR="00862916" w:rsidRPr="00226892" w:rsidRDefault="00862916" w:rsidP="005020AA">
            <w:pPr>
              <w:jc w:val="right"/>
              <w:rPr>
                <w:rFonts w:ascii="Arial" w:eastAsia="Times New Roman" w:hAnsi="Arial" w:cs="Arial"/>
                <w:color w:val="000000"/>
                <w:sz w:val="18"/>
                <w:szCs w:val="18"/>
                <w:lang w:eastAsia="sk-SK"/>
              </w:rPr>
            </w:pPr>
          </w:p>
        </w:tc>
        <w:tc>
          <w:tcPr>
            <w:tcW w:w="697" w:type="pct"/>
            <w:tcBorders>
              <w:top w:val="nil"/>
              <w:left w:val="nil"/>
              <w:bottom w:val="nil"/>
              <w:right w:val="nil"/>
            </w:tcBorders>
            <w:shd w:val="clear" w:color="auto" w:fill="auto"/>
            <w:vAlign w:val="bottom"/>
          </w:tcPr>
          <w:p w14:paraId="4AD4E86B" w14:textId="77777777" w:rsidR="00862916" w:rsidRPr="00226892" w:rsidRDefault="00862916"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w:t>
            </w:r>
          </w:p>
        </w:tc>
        <w:tc>
          <w:tcPr>
            <w:tcW w:w="104" w:type="pct"/>
            <w:tcBorders>
              <w:top w:val="nil"/>
              <w:left w:val="nil"/>
              <w:bottom w:val="nil"/>
              <w:right w:val="nil"/>
            </w:tcBorders>
            <w:shd w:val="clear" w:color="auto" w:fill="auto"/>
            <w:vAlign w:val="bottom"/>
          </w:tcPr>
          <w:p w14:paraId="64E53C64" w14:textId="77777777" w:rsidR="00862916" w:rsidRPr="00226892" w:rsidRDefault="00862916" w:rsidP="005020AA">
            <w:pPr>
              <w:jc w:val="right"/>
              <w:rPr>
                <w:rFonts w:ascii="Arial" w:eastAsia="Times New Roman" w:hAnsi="Arial" w:cs="Arial"/>
                <w:color w:val="000000"/>
                <w:sz w:val="18"/>
                <w:szCs w:val="18"/>
                <w:lang w:eastAsia="sk-SK"/>
              </w:rPr>
            </w:pPr>
          </w:p>
        </w:tc>
        <w:tc>
          <w:tcPr>
            <w:tcW w:w="609" w:type="pct"/>
            <w:tcBorders>
              <w:top w:val="nil"/>
              <w:left w:val="nil"/>
              <w:bottom w:val="nil"/>
              <w:right w:val="nil"/>
            </w:tcBorders>
            <w:shd w:val="clear" w:color="auto" w:fill="auto"/>
            <w:vAlign w:val="bottom"/>
          </w:tcPr>
          <w:p w14:paraId="494ABB45" w14:textId="77777777" w:rsidR="00862916" w:rsidRPr="00226892" w:rsidRDefault="00862916"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8 312</w:t>
            </w:r>
          </w:p>
        </w:tc>
        <w:tc>
          <w:tcPr>
            <w:tcW w:w="104" w:type="pct"/>
            <w:tcBorders>
              <w:top w:val="nil"/>
              <w:left w:val="nil"/>
              <w:bottom w:val="nil"/>
              <w:right w:val="nil"/>
            </w:tcBorders>
            <w:shd w:val="clear" w:color="auto" w:fill="auto"/>
            <w:vAlign w:val="bottom"/>
          </w:tcPr>
          <w:p w14:paraId="52FF11F8" w14:textId="77777777" w:rsidR="00862916" w:rsidRPr="00226892" w:rsidRDefault="00862916" w:rsidP="005020AA">
            <w:pPr>
              <w:jc w:val="right"/>
              <w:rPr>
                <w:rFonts w:ascii="Arial" w:eastAsia="Times New Roman" w:hAnsi="Arial" w:cs="Arial"/>
                <w:color w:val="000000"/>
                <w:sz w:val="18"/>
                <w:szCs w:val="18"/>
                <w:lang w:eastAsia="sk-SK"/>
              </w:rPr>
            </w:pPr>
          </w:p>
        </w:tc>
        <w:tc>
          <w:tcPr>
            <w:tcW w:w="697" w:type="pct"/>
            <w:tcBorders>
              <w:top w:val="nil"/>
              <w:left w:val="nil"/>
              <w:bottom w:val="nil"/>
              <w:right w:val="nil"/>
            </w:tcBorders>
            <w:shd w:val="clear" w:color="auto" w:fill="auto"/>
            <w:vAlign w:val="bottom"/>
          </w:tcPr>
          <w:p w14:paraId="1E613103" w14:textId="77777777" w:rsidR="00862916" w:rsidRPr="00226892" w:rsidRDefault="00862916"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w:t>
            </w:r>
          </w:p>
        </w:tc>
      </w:tr>
      <w:tr w:rsidR="00862916" w:rsidRPr="00226892" w14:paraId="1054FCC4" w14:textId="77777777" w:rsidTr="005020AA">
        <w:trPr>
          <w:trHeight w:val="217"/>
        </w:trPr>
        <w:tc>
          <w:tcPr>
            <w:tcW w:w="1983" w:type="pct"/>
            <w:tcBorders>
              <w:top w:val="nil"/>
              <w:left w:val="nil"/>
              <w:bottom w:val="nil"/>
              <w:right w:val="nil"/>
            </w:tcBorders>
            <w:shd w:val="clear" w:color="auto" w:fill="auto"/>
            <w:vAlign w:val="bottom"/>
          </w:tcPr>
          <w:p w14:paraId="0CDBD56C" w14:textId="77777777" w:rsidR="00862916" w:rsidRPr="00226892" w:rsidRDefault="00862916" w:rsidP="005020AA">
            <w:pPr>
              <w:rPr>
                <w:rFonts w:ascii="Arial" w:eastAsia="Times New Roman" w:hAnsi="Arial" w:cs="Arial"/>
                <w:color w:val="000000"/>
                <w:sz w:val="18"/>
                <w:szCs w:val="18"/>
                <w:lang w:eastAsia="sk-SK"/>
              </w:rPr>
            </w:pPr>
            <w:proofErr w:type="spellStart"/>
            <w:r w:rsidRPr="00226892">
              <w:rPr>
                <w:rFonts w:ascii="Arial" w:eastAsia="Times New Roman" w:hAnsi="Arial" w:cs="Arial"/>
                <w:color w:val="000000"/>
                <w:sz w:val="18"/>
                <w:szCs w:val="18"/>
                <w:lang w:eastAsia="sk-SK"/>
              </w:rPr>
              <w:t>Pôžičky</w:t>
            </w:r>
            <w:proofErr w:type="spellEnd"/>
          </w:p>
        </w:tc>
        <w:tc>
          <w:tcPr>
            <w:tcW w:w="701" w:type="pct"/>
            <w:tcBorders>
              <w:top w:val="nil"/>
              <w:left w:val="nil"/>
              <w:bottom w:val="nil"/>
              <w:right w:val="nil"/>
            </w:tcBorders>
            <w:shd w:val="clear" w:color="auto" w:fill="auto"/>
            <w:vAlign w:val="bottom"/>
          </w:tcPr>
          <w:p w14:paraId="68973878" w14:textId="77777777" w:rsidR="00862916" w:rsidRPr="00226892" w:rsidRDefault="00862916"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w:t>
            </w:r>
          </w:p>
        </w:tc>
        <w:tc>
          <w:tcPr>
            <w:tcW w:w="104" w:type="pct"/>
            <w:tcBorders>
              <w:top w:val="nil"/>
              <w:left w:val="nil"/>
              <w:bottom w:val="nil"/>
              <w:right w:val="nil"/>
            </w:tcBorders>
            <w:shd w:val="clear" w:color="auto" w:fill="auto"/>
            <w:vAlign w:val="bottom"/>
          </w:tcPr>
          <w:p w14:paraId="0C5E4231" w14:textId="77777777" w:rsidR="00862916" w:rsidRPr="00226892" w:rsidRDefault="00862916" w:rsidP="005020AA">
            <w:pPr>
              <w:jc w:val="right"/>
              <w:rPr>
                <w:rFonts w:ascii="Arial" w:eastAsia="Times New Roman" w:hAnsi="Arial" w:cs="Arial"/>
                <w:color w:val="000000"/>
                <w:sz w:val="18"/>
                <w:szCs w:val="18"/>
                <w:lang w:eastAsia="sk-SK"/>
              </w:rPr>
            </w:pPr>
          </w:p>
        </w:tc>
        <w:tc>
          <w:tcPr>
            <w:tcW w:w="697" w:type="pct"/>
            <w:tcBorders>
              <w:top w:val="nil"/>
              <w:left w:val="nil"/>
              <w:bottom w:val="nil"/>
              <w:right w:val="nil"/>
            </w:tcBorders>
            <w:shd w:val="clear" w:color="auto" w:fill="auto"/>
            <w:vAlign w:val="bottom"/>
          </w:tcPr>
          <w:p w14:paraId="171E092D" w14:textId="77777777" w:rsidR="00862916" w:rsidRPr="00226892" w:rsidRDefault="00862916"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w:t>
            </w:r>
          </w:p>
        </w:tc>
        <w:tc>
          <w:tcPr>
            <w:tcW w:w="104" w:type="pct"/>
            <w:tcBorders>
              <w:top w:val="nil"/>
              <w:left w:val="nil"/>
              <w:bottom w:val="nil"/>
              <w:right w:val="nil"/>
            </w:tcBorders>
            <w:shd w:val="clear" w:color="auto" w:fill="auto"/>
            <w:vAlign w:val="bottom"/>
          </w:tcPr>
          <w:p w14:paraId="7652BFBD" w14:textId="77777777" w:rsidR="00862916" w:rsidRPr="00226892" w:rsidRDefault="00862916" w:rsidP="005020AA">
            <w:pPr>
              <w:jc w:val="right"/>
              <w:rPr>
                <w:rFonts w:ascii="Arial" w:eastAsia="Times New Roman" w:hAnsi="Arial" w:cs="Arial"/>
                <w:color w:val="000000"/>
                <w:sz w:val="18"/>
                <w:szCs w:val="18"/>
                <w:lang w:eastAsia="sk-SK"/>
              </w:rPr>
            </w:pPr>
          </w:p>
        </w:tc>
        <w:tc>
          <w:tcPr>
            <w:tcW w:w="609" w:type="pct"/>
            <w:tcBorders>
              <w:top w:val="nil"/>
              <w:left w:val="nil"/>
              <w:bottom w:val="nil"/>
              <w:right w:val="nil"/>
            </w:tcBorders>
            <w:shd w:val="clear" w:color="auto" w:fill="auto"/>
            <w:vAlign w:val="bottom"/>
          </w:tcPr>
          <w:p w14:paraId="5F929EEF" w14:textId="77777777" w:rsidR="00862916" w:rsidRPr="00226892" w:rsidRDefault="00862916"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370</w:t>
            </w:r>
          </w:p>
        </w:tc>
        <w:tc>
          <w:tcPr>
            <w:tcW w:w="104" w:type="pct"/>
            <w:tcBorders>
              <w:top w:val="nil"/>
              <w:left w:val="nil"/>
              <w:bottom w:val="nil"/>
              <w:right w:val="nil"/>
            </w:tcBorders>
            <w:shd w:val="clear" w:color="auto" w:fill="auto"/>
            <w:vAlign w:val="bottom"/>
          </w:tcPr>
          <w:p w14:paraId="16E8189C" w14:textId="77777777" w:rsidR="00862916" w:rsidRPr="00226892" w:rsidRDefault="00862916" w:rsidP="005020AA">
            <w:pPr>
              <w:jc w:val="right"/>
              <w:rPr>
                <w:rFonts w:ascii="Arial" w:eastAsia="Times New Roman" w:hAnsi="Arial" w:cs="Arial"/>
                <w:color w:val="000000"/>
                <w:sz w:val="18"/>
                <w:szCs w:val="18"/>
                <w:lang w:eastAsia="sk-SK"/>
              </w:rPr>
            </w:pPr>
          </w:p>
        </w:tc>
        <w:tc>
          <w:tcPr>
            <w:tcW w:w="697" w:type="pct"/>
            <w:tcBorders>
              <w:top w:val="nil"/>
              <w:left w:val="nil"/>
              <w:bottom w:val="nil"/>
              <w:right w:val="nil"/>
            </w:tcBorders>
            <w:shd w:val="clear" w:color="auto" w:fill="auto"/>
            <w:vAlign w:val="bottom"/>
          </w:tcPr>
          <w:p w14:paraId="6104CDB8" w14:textId="77777777" w:rsidR="00862916" w:rsidRPr="00226892" w:rsidRDefault="00862916"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w:t>
            </w:r>
          </w:p>
        </w:tc>
      </w:tr>
    </w:tbl>
    <w:p w14:paraId="2CD92412" w14:textId="71C474B3" w:rsidR="0026329B" w:rsidRPr="00226892" w:rsidRDefault="0026329B" w:rsidP="00673D6F">
      <w:pPr>
        <w:suppressAutoHyphens/>
        <w:ind w:left="357"/>
        <w:rPr>
          <w:rFonts w:ascii="Arial" w:hAnsi="Arial" w:cs="Arial"/>
          <w:lang w:val="sk-SK"/>
        </w:rPr>
      </w:pPr>
    </w:p>
    <w:p w14:paraId="2149991D" w14:textId="77777777" w:rsidR="00673D6F" w:rsidRPr="00226892" w:rsidRDefault="00673D6F" w:rsidP="001C5911">
      <w:pPr>
        <w:numPr>
          <w:ilvl w:val="0"/>
          <w:numId w:val="29"/>
        </w:numPr>
        <w:tabs>
          <w:tab w:val="clear" w:pos="1080"/>
        </w:tabs>
        <w:suppressAutoHyphens/>
        <w:ind w:left="540" w:hanging="540"/>
        <w:rPr>
          <w:rFonts w:ascii="Arial" w:hAnsi="Arial" w:cs="Arial"/>
          <w:i/>
          <w:lang w:val="sk-SK"/>
        </w:rPr>
      </w:pPr>
      <w:r w:rsidRPr="00226892">
        <w:rPr>
          <w:rFonts w:ascii="Arial" w:hAnsi="Arial" w:cs="Arial"/>
          <w:i/>
          <w:lang w:val="sk-SK"/>
        </w:rPr>
        <w:t>Kurzové riziko</w:t>
      </w:r>
    </w:p>
    <w:p w14:paraId="1F83A775" w14:textId="77777777" w:rsidR="00673D6F" w:rsidRPr="00226892" w:rsidRDefault="00673D6F" w:rsidP="001C5911">
      <w:pPr>
        <w:suppressAutoHyphens/>
        <w:rPr>
          <w:rFonts w:ascii="Arial" w:hAnsi="Arial" w:cs="Arial"/>
          <w:lang w:val="sk-SK"/>
        </w:rPr>
      </w:pPr>
    </w:p>
    <w:p w14:paraId="311FA856" w14:textId="5ED99FCE" w:rsidR="001F33FC" w:rsidRPr="00226892" w:rsidRDefault="00E23E67" w:rsidP="001C5911">
      <w:pPr>
        <w:suppressAutoHyphens/>
        <w:autoSpaceDE w:val="0"/>
        <w:autoSpaceDN w:val="0"/>
        <w:adjustRightInd w:val="0"/>
        <w:jc w:val="both"/>
        <w:rPr>
          <w:rFonts w:ascii="Arial" w:hAnsi="Arial" w:cs="Arial"/>
          <w:spacing w:val="4"/>
          <w:lang w:val="sk-SK"/>
        </w:rPr>
      </w:pPr>
      <w:r w:rsidRPr="00226892">
        <w:rPr>
          <w:rFonts w:ascii="Arial" w:hAnsi="Arial" w:cs="Arial"/>
          <w:lang w:val="sk-SK"/>
        </w:rPr>
        <w:t>Kurzové riziko vzniká z aktív (</w:t>
      </w:r>
      <w:r w:rsidR="00D13161" w:rsidRPr="00226892">
        <w:rPr>
          <w:rFonts w:ascii="Arial" w:hAnsi="Arial" w:cs="Arial"/>
          <w:lang w:val="sk-SK"/>
        </w:rPr>
        <w:t>v bode 10 p</w:t>
      </w:r>
      <w:r w:rsidRPr="00226892">
        <w:rPr>
          <w:rFonts w:ascii="Arial" w:hAnsi="Arial" w:cs="Arial"/>
          <w:lang w:val="sk-SK"/>
        </w:rPr>
        <w:t>ozn</w:t>
      </w:r>
      <w:r w:rsidR="00D13161" w:rsidRPr="00226892">
        <w:rPr>
          <w:rFonts w:ascii="Arial" w:hAnsi="Arial" w:cs="Arial"/>
          <w:lang w:val="sk-SK"/>
        </w:rPr>
        <w:t>ámok</w:t>
      </w:r>
      <w:r w:rsidR="002335A6" w:rsidRPr="00226892">
        <w:rPr>
          <w:rFonts w:ascii="Arial" w:hAnsi="Arial" w:cs="Arial"/>
          <w:lang w:val="sk-SK"/>
        </w:rPr>
        <w:t xml:space="preserve"> </w:t>
      </w:r>
      <w:r w:rsidRPr="00226892">
        <w:rPr>
          <w:rFonts w:ascii="Arial" w:hAnsi="Arial" w:cs="Arial"/>
          <w:lang w:val="sk-SK"/>
        </w:rPr>
        <w:t>a</w:t>
      </w:r>
      <w:r w:rsidR="00D13161" w:rsidRPr="00226892">
        <w:rPr>
          <w:rFonts w:ascii="Arial" w:hAnsi="Arial" w:cs="Arial"/>
          <w:lang w:val="sk-SK"/>
        </w:rPr>
        <w:t> v bode 1</w:t>
      </w:r>
      <w:r w:rsidR="00522218" w:rsidRPr="00226892">
        <w:rPr>
          <w:rFonts w:ascii="Arial" w:hAnsi="Arial" w:cs="Arial"/>
          <w:lang w:val="sk-SK"/>
        </w:rPr>
        <w:t>3</w:t>
      </w:r>
      <w:r w:rsidR="00D13161" w:rsidRPr="00226892">
        <w:rPr>
          <w:rFonts w:ascii="Arial" w:hAnsi="Arial" w:cs="Arial"/>
          <w:lang w:val="sk-SK"/>
        </w:rPr>
        <w:t xml:space="preserve"> p</w:t>
      </w:r>
      <w:r w:rsidRPr="00226892">
        <w:rPr>
          <w:rFonts w:ascii="Arial" w:hAnsi="Arial" w:cs="Arial"/>
          <w:lang w:val="sk-SK"/>
        </w:rPr>
        <w:t>ozn</w:t>
      </w:r>
      <w:r w:rsidR="00D13161" w:rsidRPr="00226892">
        <w:rPr>
          <w:rFonts w:ascii="Arial" w:hAnsi="Arial" w:cs="Arial"/>
          <w:lang w:val="sk-SK"/>
        </w:rPr>
        <w:t>ámok</w:t>
      </w:r>
      <w:r w:rsidRPr="00226892">
        <w:rPr>
          <w:rFonts w:ascii="Arial" w:hAnsi="Arial" w:cs="Arial"/>
          <w:lang w:val="sk-SK"/>
        </w:rPr>
        <w:t>) a pasív (</w:t>
      </w:r>
      <w:r w:rsidR="00D13161" w:rsidRPr="00226892">
        <w:rPr>
          <w:rFonts w:ascii="Arial" w:hAnsi="Arial" w:cs="Arial"/>
          <w:lang w:val="sk-SK"/>
        </w:rPr>
        <w:t>v bode 1</w:t>
      </w:r>
      <w:r w:rsidR="00522218" w:rsidRPr="00226892">
        <w:rPr>
          <w:rFonts w:ascii="Arial" w:hAnsi="Arial" w:cs="Arial"/>
          <w:lang w:val="sk-SK"/>
        </w:rPr>
        <w:t>5</w:t>
      </w:r>
      <w:r w:rsidR="00D13161" w:rsidRPr="00226892">
        <w:rPr>
          <w:rFonts w:ascii="Arial" w:hAnsi="Arial" w:cs="Arial"/>
          <w:lang w:val="sk-SK"/>
        </w:rPr>
        <w:t xml:space="preserve"> p</w:t>
      </w:r>
      <w:r w:rsidRPr="00226892">
        <w:rPr>
          <w:rFonts w:ascii="Arial" w:hAnsi="Arial" w:cs="Arial"/>
          <w:lang w:val="sk-SK"/>
        </w:rPr>
        <w:t>ozn</w:t>
      </w:r>
      <w:r w:rsidR="00D13161" w:rsidRPr="00226892">
        <w:rPr>
          <w:rFonts w:ascii="Arial" w:hAnsi="Arial" w:cs="Arial"/>
          <w:lang w:val="sk-SK"/>
        </w:rPr>
        <w:t>ámok</w:t>
      </w:r>
      <w:r w:rsidR="002335A6" w:rsidRPr="00226892">
        <w:rPr>
          <w:rFonts w:ascii="Arial" w:hAnsi="Arial" w:cs="Arial"/>
          <w:lang w:val="sk-SK"/>
        </w:rPr>
        <w:t xml:space="preserve"> </w:t>
      </w:r>
      <w:r w:rsidRPr="00226892">
        <w:rPr>
          <w:rFonts w:ascii="Arial" w:hAnsi="Arial" w:cs="Arial"/>
          <w:lang w:val="sk-SK"/>
        </w:rPr>
        <w:t>a</w:t>
      </w:r>
      <w:r w:rsidR="00D13161" w:rsidRPr="00226892">
        <w:rPr>
          <w:rFonts w:ascii="Arial" w:hAnsi="Arial" w:cs="Arial"/>
          <w:lang w:val="sk-SK"/>
        </w:rPr>
        <w:t> v bode 1</w:t>
      </w:r>
      <w:r w:rsidR="00522218" w:rsidRPr="00226892">
        <w:rPr>
          <w:rFonts w:ascii="Arial" w:hAnsi="Arial" w:cs="Arial"/>
          <w:lang w:val="sk-SK"/>
        </w:rPr>
        <w:t>8</w:t>
      </w:r>
      <w:r w:rsidR="00D13161" w:rsidRPr="00226892">
        <w:rPr>
          <w:rFonts w:ascii="Arial" w:hAnsi="Arial" w:cs="Arial"/>
          <w:lang w:val="sk-SK"/>
        </w:rPr>
        <w:t xml:space="preserve"> p</w:t>
      </w:r>
      <w:r w:rsidRPr="00226892">
        <w:rPr>
          <w:rFonts w:ascii="Arial" w:hAnsi="Arial" w:cs="Arial"/>
          <w:lang w:val="sk-SK"/>
        </w:rPr>
        <w:t>ozn</w:t>
      </w:r>
      <w:r w:rsidR="00D13161" w:rsidRPr="00226892">
        <w:rPr>
          <w:rFonts w:ascii="Arial" w:hAnsi="Arial" w:cs="Arial"/>
          <w:lang w:val="sk-SK"/>
        </w:rPr>
        <w:t>ámok</w:t>
      </w:r>
      <w:r w:rsidRPr="00226892">
        <w:rPr>
          <w:rFonts w:ascii="Arial" w:hAnsi="Arial" w:cs="Arial"/>
          <w:lang w:val="sk-SK"/>
        </w:rPr>
        <w:t xml:space="preserve">) denominovaných v cudzej mene. Aktíva a pasíva v inej ako funkčnej mene vznikajú </w:t>
      </w:r>
      <w:r w:rsidR="00BA5947" w:rsidRPr="00226892">
        <w:rPr>
          <w:rFonts w:ascii="Arial" w:hAnsi="Arial" w:cs="Arial"/>
          <w:lang w:val="sk-SK"/>
        </w:rPr>
        <w:t xml:space="preserve">najmä </w:t>
      </w:r>
      <w:r w:rsidRPr="00226892">
        <w:rPr>
          <w:rFonts w:ascii="Arial" w:hAnsi="Arial" w:cs="Arial"/>
          <w:lang w:val="sk-SK"/>
        </w:rPr>
        <w:t>v dôsledku existencie prevádz</w:t>
      </w:r>
      <w:r w:rsidR="003E2BA4" w:rsidRPr="00226892">
        <w:rPr>
          <w:rFonts w:ascii="Arial" w:hAnsi="Arial" w:cs="Arial"/>
          <w:lang w:val="sk-SK"/>
        </w:rPr>
        <w:t>ky</w:t>
      </w:r>
      <w:r w:rsidRPr="00226892">
        <w:rPr>
          <w:rFonts w:ascii="Arial" w:hAnsi="Arial" w:cs="Arial"/>
          <w:lang w:val="sk-SK"/>
        </w:rPr>
        <w:t>, ktor</w:t>
      </w:r>
      <w:r w:rsidR="003E2BA4" w:rsidRPr="00226892">
        <w:rPr>
          <w:rFonts w:ascii="Arial" w:hAnsi="Arial" w:cs="Arial"/>
          <w:lang w:val="sk-SK"/>
        </w:rPr>
        <w:t>ú</w:t>
      </w:r>
      <w:r w:rsidRPr="00226892">
        <w:rPr>
          <w:rFonts w:ascii="Arial" w:hAnsi="Arial" w:cs="Arial"/>
          <w:lang w:val="sk-SK"/>
        </w:rPr>
        <w:t xml:space="preserve"> m</w:t>
      </w:r>
      <w:r w:rsidR="003E2BA4" w:rsidRPr="00226892">
        <w:rPr>
          <w:rFonts w:ascii="Arial" w:hAnsi="Arial" w:cs="Arial"/>
          <w:lang w:val="sk-SK"/>
        </w:rPr>
        <w:t>á</w:t>
      </w:r>
      <w:r w:rsidRPr="00226892">
        <w:rPr>
          <w:rFonts w:ascii="Arial" w:hAnsi="Arial" w:cs="Arial"/>
          <w:lang w:val="sk-SK"/>
        </w:rPr>
        <w:t xml:space="preserve"> </w:t>
      </w:r>
      <w:r w:rsidR="003E2BA4" w:rsidRPr="00226892">
        <w:rPr>
          <w:rFonts w:ascii="Arial" w:hAnsi="Arial" w:cs="Arial"/>
          <w:lang w:val="sk-SK"/>
        </w:rPr>
        <w:t>S</w:t>
      </w:r>
      <w:r w:rsidRPr="00226892">
        <w:rPr>
          <w:rFonts w:ascii="Arial" w:hAnsi="Arial" w:cs="Arial"/>
          <w:lang w:val="sk-SK"/>
        </w:rPr>
        <w:t>kupina lokalizovan</w:t>
      </w:r>
      <w:r w:rsidR="003E2BA4" w:rsidRPr="00226892">
        <w:rPr>
          <w:rFonts w:ascii="Arial" w:hAnsi="Arial" w:cs="Arial"/>
          <w:lang w:val="sk-SK"/>
        </w:rPr>
        <w:t>ú</w:t>
      </w:r>
      <w:r w:rsidRPr="00226892">
        <w:rPr>
          <w:rFonts w:ascii="Arial" w:hAnsi="Arial" w:cs="Arial"/>
          <w:lang w:val="sk-SK"/>
        </w:rPr>
        <w:t xml:space="preserve"> </w:t>
      </w:r>
      <w:r w:rsidR="00BE6991" w:rsidRPr="00226892">
        <w:rPr>
          <w:rFonts w:ascii="Arial" w:hAnsi="Arial" w:cs="Arial"/>
          <w:lang w:val="sk-SK"/>
        </w:rPr>
        <w:t>v Českej Republike</w:t>
      </w:r>
      <w:r w:rsidRPr="00226892">
        <w:rPr>
          <w:rFonts w:ascii="Arial" w:hAnsi="Arial" w:cs="Arial"/>
          <w:lang w:val="sk-SK"/>
        </w:rPr>
        <w:t xml:space="preserve">. </w:t>
      </w:r>
      <w:r w:rsidR="008915C0" w:rsidRPr="00226892">
        <w:rPr>
          <w:rFonts w:ascii="Arial" w:hAnsi="Arial" w:cs="Arial"/>
          <w:lang w:val="sk-SK"/>
        </w:rPr>
        <w:t xml:space="preserve"> </w:t>
      </w:r>
      <w:r w:rsidRPr="00226892">
        <w:rPr>
          <w:rFonts w:ascii="Arial" w:hAnsi="Arial" w:cs="Arial"/>
          <w:spacing w:val="4"/>
          <w:lang w:val="sk-SK"/>
        </w:rPr>
        <w:t xml:space="preserve">Preferovaným nástrojom riadenia kurzového rizika je prirodzený </w:t>
      </w:r>
      <w:proofErr w:type="spellStart"/>
      <w:r w:rsidRPr="00226892">
        <w:rPr>
          <w:rFonts w:ascii="Arial" w:hAnsi="Arial" w:cs="Arial"/>
          <w:spacing w:val="4"/>
          <w:lang w:val="sk-SK"/>
        </w:rPr>
        <w:t>hedging</w:t>
      </w:r>
      <w:proofErr w:type="spellEnd"/>
      <w:r w:rsidRPr="00226892">
        <w:rPr>
          <w:rFonts w:ascii="Arial" w:hAnsi="Arial" w:cs="Arial"/>
          <w:spacing w:val="4"/>
          <w:lang w:val="sk-SK"/>
        </w:rPr>
        <w:t xml:space="preserve">, teda časové a hodnotové zosúladenie príjmov a výdavkov v inej mene ako funkčnej mene jednotlivých spoločností </w:t>
      </w:r>
      <w:proofErr w:type="spellStart"/>
      <w:r w:rsidRPr="00226892">
        <w:rPr>
          <w:rFonts w:ascii="Arial" w:hAnsi="Arial" w:cs="Arial"/>
          <w:spacing w:val="4"/>
          <w:lang w:val="sk-SK"/>
        </w:rPr>
        <w:t>vrámci</w:t>
      </w:r>
      <w:proofErr w:type="spellEnd"/>
      <w:r w:rsidRPr="00226892">
        <w:rPr>
          <w:rFonts w:ascii="Arial" w:hAnsi="Arial" w:cs="Arial"/>
          <w:spacing w:val="4"/>
          <w:lang w:val="sk-SK"/>
        </w:rPr>
        <w:t xml:space="preserve"> Skupiny. </w:t>
      </w:r>
    </w:p>
    <w:p w14:paraId="747B5107" w14:textId="77777777" w:rsidR="00673D6F" w:rsidRPr="00226892" w:rsidRDefault="00673D6F" w:rsidP="001C5911">
      <w:pPr>
        <w:suppressAutoHyphens/>
        <w:jc w:val="both"/>
        <w:rPr>
          <w:rFonts w:ascii="Arial" w:hAnsi="Arial" w:cs="Arial"/>
          <w:spacing w:val="4"/>
          <w:lang w:val="sk-SK"/>
        </w:rPr>
      </w:pPr>
    </w:p>
    <w:p w14:paraId="39E0727A" w14:textId="4F754C72" w:rsidR="00673D6F" w:rsidRPr="00226892" w:rsidRDefault="00673D6F" w:rsidP="001C5911">
      <w:pPr>
        <w:suppressAutoHyphens/>
        <w:ind w:left="540" w:hanging="540"/>
        <w:rPr>
          <w:rFonts w:ascii="Arial" w:hAnsi="Arial" w:cs="Arial"/>
          <w:i/>
          <w:lang w:val="sk-SK"/>
        </w:rPr>
      </w:pPr>
      <w:r w:rsidRPr="00226892">
        <w:rPr>
          <w:rFonts w:ascii="Arial" w:hAnsi="Arial" w:cs="Arial"/>
          <w:i/>
          <w:lang w:val="sk-SK"/>
        </w:rPr>
        <w:t>(i</w:t>
      </w:r>
      <w:r w:rsidR="00EA2A27" w:rsidRPr="00226892">
        <w:rPr>
          <w:rFonts w:ascii="Arial" w:hAnsi="Arial" w:cs="Arial"/>
          <w:i/>
          <w:lang w:val="sk-SK"/>
        </w:rPr>
        <w:t>ii</w:t>
      </w:r>
      <w:r w:rsidRPr="00226892">
        <w:rPr>
          <w:rFonts w:ascii="Arial" w:hAnsi="Arial" w:cs="Arial"/>
          <w:i/>
          <w:lang w:val="sk-SK"/>
        </w:rPr>
        <w:t>)</w:t>
      </w:r>
      <w:r w:rsidRPr="00226892">
        <w:rPr>
          <w:rFonts w:ascii="Arial" w:hAnsi="Arial" w:cs="Arial"/>
          <w:i/>
          <w:lang w:val="sk-SK"/>
        </w:rPr>
        <w:tab/>
        <w:t>Riziko úrokovej sadzby ovplyvňujúce reálnu hodnotu a peňažné toky</w:t>
      </w:r>
    </w:p>
    <w:p w14:paraId="729492C0" w14:textId="77777777" w:rsidR="00673D6F" w:rsidRPr="00226892" w:rsidRDefault="00673D6F" w:rsidP="001C5911">
      <w:pPr>
        <w:suppressAutoHyphens/>
        <w:rPr>
          <w:rFonts w:ascii="Arial" w:hAnsi="Arial" w:cs="Arial"/>
          <w:lang w:val="sk-SK"/>
        </w:rPr>
      </w:pPr>
    </w:p>
    <w:p w14:paraId="0E4A62B4" w14:textId="7B64BF5C" w:rsidR="002F7994" w:rsidRPr="00226892" w:rsidRDefault="001F33FC" w:rsidP="001C5911">
      <w:pPr>
        <w:suppressAutoHyphens/>
        <w:jc w:val="both"/>
        <w:rPr>
          <w:rFonts w:ascii="Arial" w:hAnsi="Arial" w:cs="Arial"/>
          <w:spacing w:val="4"/>
          <w:lang w:val="sk-SK"/>
        </w:rPr>
      </w:pPr>
      <w:r w:rsidRPr="00226892">
        <w:rPr>
          <w:rFonts w:ascii="Arial" w:hAnsi="Arial" w:cs="Arial"/>
          <w:spacing w:val="4"/>
          <w:lang w:val="sk-SK"/>
        </w:rPr>
        <w:t xml:space="preserve">Nákladové úroky Skupiny a peňažné toky na financovanie jej činnosti záviseli od zmien trhových úrokových sadzieb, keďže časť existujúcich úverov je úročená variabilnou úrokovou sadzbou. Finančné oddelenie </w:t>
      </w:r>
      <w:r w:rsidR="00BE6991" w:rsidRPr="00226892">
        <w:rPr>
          <w:rFonts w:ascii="Arial" w:hAnsi="Arial" w:cs="Arial"/>
          <w:spacing w:val="4"/>
          <w:lang w:val="sk-SK"/>
        </w:rPr>
        <w:t xml:space="preserve">najvyššej materskej spoločnosti </w:t>
      </w:r>
      <w:r w:rsidRPr="00226892">
        <w:rPr>
          <w:rFonts w:ascii="Arial" w:hAnsi="Arial" w:cs="Arial"/>
          <w:spacing w:val="4"/>
          <w:lang w:val="sk-SK"/>
        </w:rPr>
        <w:t>pravidelne monitoruje dianie na peňažných trhoch a na základe očakávaných zmien trhových sadzieb a ich potenciálneho dopadu na hospodársky výsledok prispôsobuje pomer záväzkov z bankových úverov s fixnou a variabilnou sadzbou</w:t>
      </w:r>
      <w:r w:rsidR="00E40A43" w:rsidRPr="00226892">
        <w:rPr>
          <w:rFonts w:ascii="Arial" w:hAnsi="Arial" w:cs="Arial"/>
          <w:spacing w:val="4"/>
          <w:lang w:val="sk-SK"/>
        </w:rPr>
        <w:t>.</w:t>
      </w:r>
      <w:r w:rsidRPr="00226892">
        <w:rPr>
          <w:rFonts w:ascii="Arial" w:hAnsi="Arial" w:cs="Arial"/>
          <w:spacing w:val="4"/>
          <w:lang w:val="sk-SK"/>
        </w:rPr>
        <w:t xml:space="preserve"> </w:t>
      </w:r>
    </w:p>
    <w:p w14:paraId="630E3072" w14:textId="77777777" w:rsidR="001C5911" w:rsidRPr="00226892" w:rsidRDefault="001C5911" w:rsidP="001C5911">
      <w:pPr>
        <w:suppressAutoHyphens/>
        <w:jc w:val="both"/>
        <w:rPr>
          <w:rFonts w:ascii="Arial" w:hAnsi="Arial" w:cs="Arial"/>
          <w:spacing w:val="4"/>
          <w:lang w:val="sk-SK"/>
        </w:rPr>
      </w:pPr>
    </w:p>
    <w:p w14:paraId="5E10CCE3" w14:textId="679135E4" w:rsidR="004B4E50" w:rsidRPr="00226892" w:rsidRDefault="001F33FC" w:rsidP="001C5911">
      <w:pPr>
        <w:suppressAutoHyphens/>
        <w:jc w:val="both"/>
        <w:rPr>
          <w:rFonts w:ascii="Arial" w:hAnsi="Arial" w:cs="Arial"/>
          <w:spacing w:val="4"/>
          <w:lang w:val="sk-SK"/>
        </w:rPr>
      </w:pPr>
      <w:r w:rsidRPr="00226892">
        <w:rPr>
          <w:rFonts w:ascii="Arial" w:hAnsi="Arial" w:cs="Arial"/>
          <w:spacing w:val="4"/>
          <w:lang w:val="sk-SK"/>
        </w:rPr>
        <w:t xml:space="preserve">V účtovných obdobiach </w:t>
      </w:r>
      <w:r w:rsidR="00FD3AC5" w:rsidRPr="00226892">
        <w:rPr>
          <w:rFonts w:ascii="Arial" w:hAnsi="Arial" w:cs="Arial"/>
          <w:spacing w:val="4"/>
          <w:lang w:val="sk-SK"/>
        </w:rPr>
        <w:t>2018</w:t>
      </w:r>
      <w:r w:rsidRPr="00226892">
        <w:rPr>
          <w:rFonts w:ascii="Arial" w:hAnsi="Arial" w:cs="Arial"/>
          <w:spacing w:val="4"/>
          <w:lang w:val="sk-SK"/>
        </w:rPr>
        <w:t xml:space="preserve"> a </w:t>
      </w:r>
      <w:r w:rsidR="00F63A77" w:rsidRPr="00226892">
        <w:rPr>
          <w:rFonts w:ascii="Arial" w:hAnsi="Arial" w:cs="Arial"/>
          <w:spacing w:val="4"/>
          <w:lang w:val="sk-SK"/>
        </w:rPr>
        <w:t>2017</w:t>
      </w:r>
      <w:r w:rsidRPr="00226892">
        <w:rPr>
          <w:rFonts w:ascii="Arial" w:hAnsi="Arial" w:cs="Arial"/>
          <w:spacing w:val="4"/>
          <w:lang w:val="sk-SK"/>
        </w:rPr>
        <w:t xml:space="preserve"> boli úvery Skupiny denominované najmä v eurách. Všeobecne, pôžičky s pohyblivou úrokovou sadzbou vystavujú Skupinu riziku variability peňažných tokov a pôžičky s pevnou úrokovou sadzbou vystavujú Skupinu riziku zmeny reálnej hodnoty. </w:t>
      </w:r>
    </w:p>
    <w:p w14:paraId="18CB4491" w14:textId="77777777" w:rsidR="005443B2" w:rsidRPr="00226892" w:rsidRDefault="005443B2" w:rsidP="001C5911">
      <w:pPr>
        <w:rPr>
          <w:rFonts w:ascii="Arial" w:hAnsi="Arial" w:cs="Arial"/>
          <w:spacing w:val="4"/>
          <w:lang w:val="sk-SK"/>
        </w:rPr>
      </w:pPr>
    </w:p>
    <w:p w14:paraId="6AD2FAF9" w14:textId="328B2A52" w:rsidR="001F33FC" w:rsidRPr="00226892" w:rsidRDefault="001F33FC" w:rsidP="001C5911">
      <w:pPr>
        <w:suppressAutoHyphens/>
        <w:jc w:val="both"/>
        <w:rPr>
          <w:rFonts w:ascii="Arial" w:hAnsi="Arial" w:cs="Arial"/>
          <w:spacing w:val="4"/>
          <w:lang w:val="sk-SK"/>
        </w:rPr>
      </w:pPr>
      <w:r w:rsidRPr="00226892">
        <w:rPr>
          <w:rFonts w:ascii="Arial" w:hAnsi="Arial" w:cs="Arial"/>
          <w:spacing w:val="4"/>
          <w:lang w:val="sk-SK"/>
        </w:rPr>
        <w:t xml:space="preserve">Skupina </w:t>
      </w:r>
      <w:r w:rsidR="00D75A70" w:rsidRPr="00226892">
        <w:rPr>
          <w:rFonts w:ascii="Arial" w:hAnsi="Arial" w:cs="Arial"/>
          <w:spacing w:val="4"/>
          <w:lang w:val="sk-SK"/>
        </w:rPr>
        <w:t xml:space="preserve">a jej najvyššia materská spoločnosť </w:t>
      </w:r>
      <w:r w:rsidRPr="00226892">
        <w:rPr>
          <w:rFonts w:ascii="Arial" w:hAnsi="Arial" w:cs="Arial"/>
          <w:spacing w:val="4"/>
          <w:lang w:val="sk-SK"/>
        </w:rPr>
        <w:t>pravidelne vykonáva analýzu citlivosti zmeny trhových sadzieb a potenciálny dopad na hospodársky výsledok a ostatný súhrnný zisk alebo stratu. Pre všetky meny sa v analýze používa rovnaká zmena úrokovej sadzby. Scenáre sa uplatňujú iba pri záväzkoch, ku ktorým sa vzťahujú významné úroky.</w:t>
      </w:r>
    </w:p>
    <w:p w14:paraId="3AF313E6" w14:textId="77777777" w:rsidR="001F33FC" w:rsidRPr="00226892" w:rsidRDefault="001F33FC" w:rsidP="001C5911">
      <w:pPr>
        <w:suppressAutoHyphens/>
        <w:jc w:val="both"/>
        <w:rPr>
          <w:rFonts w:ascii="Arial" w:hAnsi="Arial" w:cs="Arial"/>
          <w:spacing w:val="4"/>
          <w:lang w:val="sk-SK"/>
        </w:rPr>
      </w:pPr>
    </w:p>
    <w:p w14:paraId="1A4F38B2" w14:textId="24CBF4AA" w:rsidR="001F33FC" w:rsidRPr="00226892" w:rsidRDefault="00E23E67" w:rsidP="001C5911">
      <w:pPr>
        <w:suppressAutoHyphens/>
        <w:jc w:val="both"/>
        <w:rPr>
          <w:rFonts w:ascii="Arial" w:hAnsi="Arial" w:cs="Arial"/>
          <w:spacing w:val="4"/>
          <w:lang w:val="sk-SK"/>
        </w:rPr>
      </w:pPr>
      <w:r w:rsidRPr="00226892">
        <w:rPr>
          <w:rFonts w:ascii="Arial" w:hAnsi="Arial" w:cs="Arial"/>
          <w:spacing w:val="4"/>
          <w:lang w:val="sk-SK"/>
        </w:rPr>
        <w:t>P</w:t>
      </w:r>
      <w:r w:rsidR="001F33FC" w:rsidRPr="00226892">
        <w:rPr>
          <w:rFonts w:ascii="Arial" w:hAnsi="Arial" w:cs="Arial"/>
          <w:spacing w:val="4"/>
          <w:lang w:val="sk-SK"/>
        </w:rPr>
        <w:t xml:space="preserve">ri zmene trhových sadzieb o 100 bázických bodov by dopad na úrokové náklady za rok končiaci 31. decembra </w:t>
      </w:r>
      <w:r w:rsidR="00FD3AC5" w:rsidRPr="00226892">
        <w:rPr>
          <w:rFonts w:ascii="Arial" w:hAnsi="Arial" w:cs="Arial"/>
          <w:spacing w:val="4"/>
          <w:lang w:val="sk-SK"/>
        </w:rPr>
        <w:t>2018</w:t>
      </w:r>
      <w:r w:rsidR="001F33FC" w:rsidRPr="00226892">
        <w:rPr>
          <w:rFonts w:ascii="Arial" w:hAnsi="Arial" w:cs="Arial"/>
          <w:spacing w:val="4"/>
          <w:lang w:val="sk-SK"/>
        </w:rPr>
        <w:t xml:space="preserve"> bol </w:t>
      </w:r>
      <w:r w:rsidR="00914225" w:rsidRPr="00226892">
        <w:rPr>
          <w:rFonts w:ascii="Arial" w:hAnsi="Arial" w:cs="Arial"/>
          <w:spacing w:val="4"/>
          <w:lang w:val="sk-SK"/>
        </w:rPr>
        <w:t>379</w:t>
      </w:r>
      <w:r w:rsidR="008915C0" w:rsidRPr="00226892">
        <w:rPr>
          <w:rFonts w:ascii="Arial" w:hAnsi="Arial" w:cs="Arial"/>
          <w:spacing w:val="4"/>
          <w:lang w:val="sk-SK"/>
        </w:rPr>
        <w:t xml:space="preserve"> </w:t>
      </w:r>
      <w:r w:rsidR="001F33FC" w:rsidRPr="00226892">
        <w:rPr>
          <w:rFonts w:ascii="Arial" w:hAnsi="Arial" w:cs="Arial"/>
          <w:spacing w:val="4"/>
          <w:lang w:val="sk-SK"/>
        </w:rPr>
        <w:t xml:space="preserve">tis. EUR. (v roku </w:t>
      </w:r>
      <w:r w:rsidR="00F63A77" w:rsidRPr="00226892">
        <w:rPr>
          <w:rFonts w:ascii="Arial" w:hAnsi="Arial" w:cs="Arial"/>
          <w:spacing w:val="4"/>
          <w:lang w:val="sk-SK"/>
        </w:rPr>
        <w:t>2017</w:t>
      </w:r>
      <w:r w:rsidR="001F33FC" w:rsidRPr="00226892">
        <w:rPr>
          <w:rFonts w:ascii="Arial" w:hAnsi="Arial" w:cs="Arial"/>
          <w:spacing w:val="4"/>
          <w:lang w:val="sk-SK"/>
        </w:rPr>
        <w:t>:</w:t>
      </w:r>
      <w:r w:rsidR="00B108FA" w:rsidRPr="00226892">
        <w:rPr>
          <w:rFonts w:ascii="Arial" w:hAnsi="Arial" w:cs="Arial"/>
          <w:spacing w:val="4"/>
          <w:lang w:val="sk-SK"/>
        </w:rPr>
        <w:t xml:space="preserve"> </w:t>
      </w:r>
      <w:r w:rsidR="008915C0" w:rsidRPr="00226892">
        <w:rPr>
          <w:rFonts w:ascii="Arial" w:hAnsi="Arial" w:cs="Arial"/>
          <w:spacing w:val="4"/>
          <w:lang w:val="sk-SK"/>
        </w:rPr>
        <w:t>586</w:t>
      </w:r>
      <w:r w:rsidR="001F33FC" w:rsidRPr="00226892">
        <w:rPr>
          <w:rFonts w:ascii="Arial" w:hAnsi="Arial" w:cs="Arial"/>
          <w:spacing w:val="4"/>
          <w:lang w:val="sk-SK"/>
        </w:rPr>
        <w:t>tis. EUR).</w:t>
      </w:r>
    </w:p>
    <w:p w14:paraId="48315F93" w14:textId="77777777" w:rsidR="004B4E50" w:rsidRPr="00226892" w:rsidRDefault="004B4E50" w:rsidP="001F33FC">
      <w:pPr>
        <w:suppressAutoHyphens/>
        <w:ind w:left="357"/>
        <w:jc w:val="both"/>
        <w:rPr>
          <w:rFonts w:ascii="Arial" w:hAnsi="Arial" w:cs="Arial"/>
          <w:spacing w:val="4"/>
          <w:lang w:val="sk-SK"/>
        </w:rPr>
      </w:pPr>
    </w:p>
    <w:p w14:paraId="6C3ECBD8" w14:textId="4F7EF3ED" w:rsidR="001F33FC" w:rsidRPr="00226892" w:rsidRDefault="001F33FC" w:rsidP="001C5911">
      <w:pPr>
        <w:suppressAutoHyphens/>
        <w:jc w:val="both"/>
        <w:rPr>
          <w:rFonts w:ascii="Arial" w:hAnsi="Arial" w:cs="Arial"/>
          <w:spacing w:val="4"/>
          <w:lang w:val="sk-SK"/>
        </w:rPr>
      </w:pPr>
      <w:r w:rsidRPr="00226892">
        <w:rPr>
          <w:rFonts w:ascii="Arial" w:hAnsi="Arial" w:cs="Arial"/>
          <w:spacing w:val="4"/>
          <w:lang w:val="sk-SK"/>
        </w:rPr>
        <w:t xml:space="preserve">Keďže Skupina nemá okrem bankových účtov </w:t>
      </w:r>
      <w:r w:rsidR="00081258" w:rsidRPr="00226892">
        <w:rPr>
          <w:rFonts w:ascii="Arial" w:hAnsi="Arial" w:cs="Arial"/>
          <w:spacing w:val="4"/>
          <w:lang w:val="sk-SK"/>
        </w:rPr>
        <w:t xml:space="preserve">a pôžičky </w:t>
      </w:r>
      <w:r w:rsidR="00D75A70" w:rsidRPr="00226892">
        <w:rPr>
          <w:rFonts w:ascii="Arial" w:hAnsi="Arial" w:cs="Arial"/>
          <w:spacing w:val="4"/>
          <w:lang w:val="sk-SK"/>
        </w:rPr>
        <w:t>spriaznenej osobe</w:t>
      </w:r>
      <w:r w:rsidR="00081258" w:rsidRPr="00226892">
        <w:rPr>
          <w:rFonts w:ascii="Arial" w:hAnsi="Arial" w:cs="Arial"/>
          <w:spacing w:val="4"/>
          <w:lang w:val="sk-SK"/>
        </w:rPr>
        <w:t xml:space="preserve"> </w:t>
      </w:r>
      <w:r w:rsidRPr="00226892">
        <w:rPr>
          <w:rFonts w:ascii="Arial" w:hAnsi="Arial" w:cs="Arial"/>
          <w:spacing w:val="4"/>
          <w:lang w:val="sk-SK"/>
        </w:rPr>
        <w:t>žiadne iné významné úročené aktíva, úrokové výnosy a prevádzkový cash-</w:t>
      </w:r>
      <w:proofErr w:type="spellStart"/>
      <w:r w:rsidRPr="00226892">
        <w:rPr>
          <w:rFonts w:ascii="Arial" w:hAnsi="Arial" w:cs="Arial"/>
          <w:spacing w:val="4"/>
          <w:lang w:val="sk-SK"/>
        </w:rPr>
        <w:t>flow</w:t>
      </w:r>
      <w:proofErr w:type="spellEnd"/>
      <w:r w:rsidRPr="00226892">
        <w:rPr>
          <w:rFonts w:ascii="Arial" w:hAnsi="Arial" w:cs="Arial"/>
          <w:spacing w:val="4"/>
          <w:lang w:val="sk-SK"/>
        </w:rPr>
        <w:t xml:space="preserve"> sú iba v</w:t>
      </w:r>
      <w:r w:rsidR="004F481F" w:rsidRPr="00226892">
        <w:rPr>
          <w:rFonts w:ascii="Arial" w:hAnsi="Arial" w:cs="Arial"/>
          <w:spacing w:val="4"/>
          <w:lang w:val="sk-SK"/>
        </w:rPr>
        <w:t> nevýznamnej</w:t>
      </w:r>
      <w:r w:rsidRPr="00226892">
        <w:rPr>
          <w:rFonts w:ascii="Arial" w:hAnsi="Arial" w:cs="Arial"/>
          <w:spacing w:val="4"/>
          <w:lang w:val="sk-SK"/>
        </w:rPr>
        <w:t xml:space="preserve"> miere závislé od zmien trhových úrokových sadzieb.</w:t>
      </w:r>
    </w:p>
    <w:p w14:paraId="2E99E3CB" w14:textId="77777777" w:rsidR="00415C82" w:rsidRPr="00226892" w:rsidRDefault="00415C82" w:rsidP="001C5911">
      <w:pPr>
        <w:suppressAutoHyphens/>
        <w:jc w:val="both"/>
        <w:rPr>
          <w:rFonts w:ascii="Arial" w:hAnsi="Arial" w:cs="Arial"/>
          <w:color w:val="000000"/>
          <w:lang w:val="sk-SK" w:eastAsia="sk-SK"/>
        </w:rPr>
      </w:pPr>
    </w:p>
    <w:p w14:paraId="60C4A5BB" w14:textId="2448A283" w:rsidR="00415C82" w:rsidRPr="00226892" w:rsidRDefault="00415C82" w:rsidP="001C5911">
      <w:pPr>
        <w:suppressAutoHyphens/>
        <w:ind w:left="540" w:hanging="540"/>
        <w:rPr>
          <w:rFonts w:ascii="Arial" w:hAnsi="Arial" w:cs="Arial"/>
          <w:i/>
          <w:lang w:val="sk-SK"/>
        </w:rPr>
      </w:pPr>
      <w:r w:rsidRPr="00226892">
        <w:rPr>
          <w:rFonts w:ascii="Arial" w:hAnsi="Arial" w:cs="Arial"/>
          <w:i/>
          <w:lang w:val="sk-SK"/>
        </w:rPr>
        <w:t>(</w:t>
      </w:r>
      <w:r w:rsidR="00EA2A27" w:rsidRPr="00226892">
        <w:rPr>
          <w:rFonts w:ascii="Arial" w:hAnsi="Arial" w:cs="Arial"/>
          <w:i/>
          <w:lang w:val="sk-SK"/>
        </w:rPr>
        <w:t>i</w:t>
      </w:r>
      <w:r w:rsidRPr="00226892">
        <w:rPr>
          <w:rFonts w:ascii="Arial" w:hAnsi="Arial" w:cs="Arial"/>
          <w:i/>
          <w:lang w:val="sk-SK"/>
        </w:rPr>
        <w:t>v)</w:t>
      </w:r>
      <w:r w:rsidRPr="00226892">
        <w:rPr>
          <w:rFonts w:ascii="Arial" w:hAnsi="Arial" w:cs="Arial"/>
          <w:i/>
          <w:lang w:val="sk-SK"/>
        </w:rPr>
        <w:tab/>
        <w:t>Riziko likvidity</w:t>
      </w:r>
    </w:p>
    <w:p w14:paraId="7316DF9B" w14:textId="77777777" w:rsidR="00415C82" w:rsidRPr="00226892" w:rsidRDefault="00415C82" w:rsidP="001C5911">
      <w:pPr>
        <w:suppressAutoHyphens/>
        <w:rPr>
          <w:rFonts w:ascii="Arial" w:hAnsi="Arial" w:cs="Arial"/>
          <w:lang w:val="sk-SK"/>
        </w:rPr>
      </w:pPr>
    </w:p>
    <w:p w14:paraId="4F8D33FF" w14:textId="77777777" w:rsidR="00415C82" w:rsidRPr="00226892" w:rsidRDefault="00415C82" w:rsidP="001C5911">
      <w:pPr>
        <w:suppressAutoHyphens/>
        <w:jc w:val="both"/>
        <w:rPr>
          <w:rFonts w:ascii="Arial" w:hAnsi="Arial" w:cs="Arial"/>
          <w:lang w:val="sk-SK"/>
        </w:rPr>
      </w:pPr>
      <w:r w:rsidRPr="00226892">
        <w:rPr>
          <w:rFonts w:ascii="Arial" w:hAnsi="Arial" w:cs="Arial"/>
          <w:lang w:val="sk-SK"/>
        </w:rPr>
        <w:t xml:space="preserve">Opatrné riadenie rizika likvidity znamená zachovávanie dostatočného množstva peňažných prostriedkov a dostupnosť financovania prostredníctvom primeraného množstva dohodnutých úverových liniek a schopnosť uzatvárať trhové pozície. Riadenie finančnej pozície Skupiny sa zameriava na zachovanie flexibility pri financovaní pomocou udržiavania dostupných úverových liniek. </w:t>
      </w:r>
    </w:p>
    <w:p w14:paraId="77108CAF" w14:textId="77777777" w:rsidR="00415C82" w:rsidRPr="00226892" w:rsidRDefault="00415C82" w:rsidP="001C5911">
      <w:pPr>
        <w:suppressAutoHyphens/>
        <w:jc w:val="both"/>
        <w:rPr>
          <w:rFonts w:ascii="Arial" w:hAnsi="Arial" w:cs="Arial"/>
          <w:lang w:val="sk-SK"/>
        </w:rPr>
      </w:pPr>
    </w:p>
    <w:p w14:paraId="50F2079D" w14:textId="105DB134" w:rsidR="00415C82" w:rsidRPr="00226892" w:rsidRDefault="00415C82" w:rsidP="001C5911">
      <w:pPr>
        <w:suppressAutoHyphens/>
        <w:jc w:val="both"/>
        <w:rPr>
          <w:rFonts w:ascii="Arial" w:hAnsi="Arial" w:cs="Arial"/>
          <w:lang w:val="sk-SK"/>
        </w:rPr>
      </w:pPr>
      <w:r w:rsidRPr="00226892">
        <w:rPr>
          <w:rFonts w:ascii="Arial" w:hAnsi="Arial" w:cs="Arial"/>
          <w:lang w:val="sk-SK"/>
        </w:rPr>
        <w:lastRenderedPageBreak/>
        <w:t>Vedenie monitoruje na báze očakávaných peňažných tokov priebežné predpovede rezervy likvidity, ktorú predstavuje nečerpaný zostatok úverovej linky (</w:t>
      </w:r>
      <w:r w:rsidR="00D13161" w:rsidRPr="00226892">
        <w:rPr>
          <w:rFonts w:ascii="Arial" w:hAnsi="Arial" w:cs="Arial"/>
          <w:lang w:val="sk-SK"/>
        </w:rPr>
        <w:t xml:space="preserve">v bode </w:t>
      </w:r>
      <w:r w:rsidR="00522218" w:rsidRPr="00226892">
        <w:rPr>
          <w:rFonts w:ascii="Arial" w:hAnsi="Arial" w:cs="Arial"/>
          <w:lang w:val="sk-SK"/>
        </w:rPr>
        <w:t>15</w:t>
      </w:r>
      <w:r w:rsidR="00D13161" w:rsidRPr="00226892">
        <w:rPr>
          <w:rFonts w:ascii="Arial" w:hAnsi="Arial" w:cs="Arial"/>
          <w:lang w:val="sk-SK"/>
        </w:rPr>
        <w:t xml:space="preserve"> p</w:t>
      </w:r>
      <w:r w:rsidRPr="00226892">
        <w:rPr>
          <w:rFonts w:ascii="Arial" w:hAnsi="Arial" w:cs="Arial"/>
          <w:lang w:val="sk-SK"/>
        </w:rPr>
        <w:t>ozn</w:t>
      </w:r>
      <w:r w:rsidR="00D13161" w:rsidRPr="00226892">
        <w:rPr>
          <w:rFonts w:ascii="Arial" w:hAnsi="Arial" w:cs="Arial"/>
          <w:lang w:val="sk-SK"/>
        </w:rPr>
        <w:t>ámok</w:t>
      </w:r>
      <w:r w:rsidRPr="00226892">
        <w:rPr>
          <w:rFonts w:ascii="Arial" w:hAnsi="Arial" w:cs="Arial"/>
          <w:lang w:val="sk-SK"/>
        </w:rPr>
        <w:t>) a peňažné prostriedky a peňažné ekvivalenty (</w:t>
      </w:r>
      <w:r w:rsidR="00D13161" w:rsidRPr="00226892">
        <w:rPr>
          <w:rFonts w:ascii="Arial" w:hAnsi="Arial" w:cs="Arial"/>
          <w:lang w:val="sk-SK"/>
        </w:rPr>
        <w:t>v bode 1</w:t>
      </w:r>
      <w:r w:rsidR="00522218" w:rsidRPr="00226892">
        <w:rPr>
          <w:rFonts w:ascii="Arial" w:hAnsi="Arial" w:cs="Arial"/>
          <w:lang w:val="sk-SK"/>
        </w:rPr>
        <w:t>3</w:t>
      </w:r>
      <w:r w:rsidR="00D13161" w:rsidRPr="00226892">
        <w:rPr>
          <w:rFonts w:ascii="Arial" w:hAnsi="Arial" w:cs="Arial"/>
          <w:lang w:val="sk-SK"/>
        </w:rPr>
        <w:t xml:space="preserve"> p</w:t>
      </w:r>
      <w:r w:rsidRPr="00226892">
        <w:rPr>
          <w:rFonts w:ascii="Arial" w:hAnsi="Arial" w:cs="Arial"/>
          <w:lang w:val="sk-SK"/>
        </w:rPr>
        <w:t>ozn</w:t>
      </w:r>
      <w:r w:rsidR="00D13161" w:rsidRPr="00226892">
        <w:rPr>
          <w:rFonts w:ascii="Arial" w:hAnsi="Arial" w:cs="Arial"/>
          <w:lang w:val="sk-SK"/>
        </w:rPr>
        <w:t>ámok</w:t>
      </w:r>
      <w:r w:rsidRPr="00226892">
        <w:rPr>
          <w:rFonts w:ascii="Arial" w:hAnsi="Arial" w:cs="Arial"/>
          <w:lang w:val="sk-SK"/>
        </w:rPr>
        <w:t>).</w:t>
      </w:r>
    </w:p>
    <w:p w14:paraId="701AFD8E" w14:textId="77777777" w:rsidR="00415C82" w:rsidRPr="00226892" w:rsidRDefault="00415C82" w:rsidP="001C5911">
      <w:pPr>
        <w:suppressAutoHyphens/>
        <w:jc w:val="both"/>
        <w:rPr>
          <w:rFonts w:ascii="Arial" w:hAnsi="Arial" w:cs="Arial"/>
          <w:lang w:val="sk-SK"/>
        </w:rPr>
      </w:pPr>
    </w:p>
    <w:p w14:paraId="567E2386" w14:textId="77777777" w:rsidR="00F77157" w:rsidRPr="00226892" w:rsidRDefault="00415C82" w:rsidP="001C5911">
      <w:pPr>
        <w:jc w:val="both"/>
        <w:rPr>
          <w:rFonts w:ascii="Arial" w:hAnsi="Arial" w:cs="Arial"/>
          <w:lang w:val="sk-SK"/>
        </w:rPr>
      </w:pPr>
      <w:r w:rsidRPr="00226892">
        <w:rPr>
          <w:rFonts w:ascii="Arial" w:hAnsi="Arial" w:cs="Arial"/>
          <w:lang w:val="sk-SK"/>
        </w:rPr>
        <w:t>Tabuľka nižšie analyzuje podľa zostatkovej doby splatnosti finančné záväzky Skupiny. Údaje uvedené v tabuľke predstavujú zmluvné nediskontované peňažné toky. Sumy splatné do 12 mesiacov sa rovnajú ich účtovnej hodnote, pretože dopad diskontovania nie je významný.</w:t>
      </w:r>
    </w:p>
    <w:p w14:paraId="4B145D70" w14:textId="77777777" w:rsidR="002E7456" w:rsidRPr="00226892" w:rsidRDefault="00744D0C" w:rsidP="002E7456">
      <w:pPr>
        <w:ind w:left="357"/>
        <w:jc w:val="both"/>
        <w:rPr>
          <w:rFonts w:ascii="Arial" w:hAnsi="Arial" w:cs="Arial"/>
          <w:szCs w:val="18"/>
          <w:lang w:val="sk-SK"/>
        </w:rPr>
      </w:pPr>
      <w:bookmarkStart w:id="197" w:name="FWT_FinLiabilitiesAging"/>
      <w:r w:rsidRPr="00226892">
        <w:rPr>
          <w:rFonts w:ascii="Arial" w:hAnsi="Arial" w:cs="Arial"/>
          <w:szCs w:val="18"/>
          <w:lang w:val="sk-SK"/>
        </w:rPr>
        <w:t xml:space="preserve"> </w:t>
      </w:r>
    </w:p>
    <w:tbl>
      <w:tblPr>
        <w:tblW w:w="5000" w:type="pct"/>
        <w:tblCellMar>
          <w:left w:w="70" w:type="dxa"/>
          <w:right w:w="70" w:type="dxa"/>
        </w:tblCellMar>
        <w:tblLook w:val="04A0" w:firstRow="1" w:lastRow="0" w:firstColumn="1" w:lastColumn="0" w:noHBand="0" w:noVBand="1"/>
      </w:tblPr>
      <w:tblGrid>
        <w:gridCol w:w="3858"/>
        <w:gridCol w:w="1754"/>
        <w:gridCol w:w="200"/>
        <w:gridCol w:w="1619"/>
        <w:gridCol w:w="245"/>
        <w:gridCol w:w="199"/>
        <w:gridCol w:w="1764"/>
      </w:tblGrid>
      <w:tr w:rsidR="00A2107D" w:rsidRPr="00226892" w14:paraId="30D36F57" w14:textId="77777777" w:rsidTr="001C5911">
        <w:trPr>
          <w:trHeight w:val="227"/>
        </w:trPr>
        <w:tc>
          <w:tcPr>
            <w:tcW w:w="2001" w:type="pct"/>
            <w:tcBorders>
              <w:bottom w:val="single" w:sz="4" w:space="0" w:color="auto"/>
            </w:tcBorders>
            <w:shd w:val="clear" w:color="auto" w:fill="auto"/>
            <w:vAlign w:val="bottom"/>
            <w:hideMark/>
          </w:tcPr>
          <w:p w14:paraId="67515F29" w14:textId="77777777" w:rsidR="00A2107D" w:rsidRPr="00226892" w:rsidRDefault="00A2107D" w:rsidP="002E7456">
            <w:pPr>
              <w:rPr>
                <w:rFonts w:ascii="Arial" w:eastAsia="Times New Roman" w:hAnsi="Arial" w:cs="Arial"/>
                <w:sz w:val="18"/>
                <w:szCs w:val="18"/>
                <w:lang w:val="sk-SK" w:eastAsia="sk-SK"/>
              </w:rPr>
            </w:pPr>
            <w:bookmarkStart w:id="198" w:name="RANGE!C20:K33"/>
            <w:r w:rsidRPr="00226892">
              <w:rPr>
                <w:rFonts w:ascii="Arial" w:eastAsia="Times New Roman" w:hAnsi="Arial" w:cs="Arial"/>
                <w:sz w:val="18"/>
                <w:szCs w:val="18"/>
                <w:lang w:val="sk-SK" w:eastAsia="sk-SK"/>
              </w:rPr>
              <w:t> </w:t>
            </w:r>
            <w:bookmarkEnd w:id="198"/>
          </w:p>
        </w:tc>
        <w:tc>
          <w:tcPr>
            <w:tcW w:w="910" w:type="pct"/>
            <w:tcBorders>
              <w:bottom w:val="single" w:sz="4" w:space="0" w:color="auto"/>
            </w:tcBorders>
            <w:shd w:val="clear" w:color="auto" w:fill="auto"/>
            <w:vAlign w:val="bottom"/>
            <w:hideMark/>
          </w:tcPr>
          <w:p w14:paraId="5A7B64E9" w14:textId="77777777" w:rsidR="00A2107D" w:rsidRPr="00226892" w:rsidRDefault="00A2107D" w:rsidP="002E7456">
            <w:pPr>
              <w:jc w:val="center"/>
              <w:rPr>
                <w:rFonts w:ascii="Arial" w:eastAsia="Times New Roman" w:hAnsi="Arial" w:cs="Arial"/>
                <w:b/>
                <w:bCs/>
                <w:sz w:val="18"/>
                <w:szCs w:val="18"/>
                <w:lang w:val="sk-SK" w:eastAsia="sk-SK"/>
              </w:rPr>
            </w:pPr>
            <w:r w:rsidRPr="00226892">
              <w:rPr>
                <w:rFonts w:ascii="Arial" w:eastAsia="Times New Roman" w:hAnsi="Arial" w:cs="Arial"/>
                <w:b/>
                <w:bCs/>
                <w:sz w:val="18"/>
                <w:szCs w:val="18"/>
                <w:lang w:val="sk-SK" w:eastAsia="sk-SK"/>
              </w:rPr>
              <w:t xml:space="preserve"> Menej ako 1 rok </w:t>
            </w:r>
          </w:p>
        </w:tc>
        <w:tc>
          <w:tcPr>
            <w:tcW w:w="104" w:type="pct"/>
            <w:tcBorders>
              <w:bottom w:val="single" w:sz="4" w:space="0" w:color="auto"/>
            </w:tcBorders>
            <w:shd w:val="clear" w:color="auto" w:fill="auto"/>
            <w:vAlign w:val="bottom"/>
            <w:hideMark/>
          </w:tcPr>
          <w:p w14:paraId="4ADB1BC8" w14:textId="77777777" w:rsidR="00A2107D" w:rsidRPr="00226892" w:rsidRDefault="00A2107D" w:rsidP="002E7456">
            <w:pPr>
              <w:jc w:val="center"/>
              <w:rPr>
                <w:rFonts w:ascii="Arial" w:eastAsia="Times New Roman" w:hAnsi="Arial" w:cs="Arial"/>
                <w:b/>
                <w:bCs/>
                <w:sz w:val="18"/>
                <w:szCs w:val="18"/>
                <w:lang w:val="sk-SK" w:eastAsia="sk-SK"/>
              </w:rPr>
            </w:pPr>
            <w:r w:rsidRPr="00226892">
              <w:rPr>
                <w:rFonts w:ascii="Arial" w:eastAsia="Times New Roman" w:hAnsi="Arial" w:cs="Arial"/>
                <w:b/>
                <w:bCs/>
                <w:sz w:val="18"/>
                <w:szCs w:val="18"/>
                <w:lang w:val="sk-SK" w:eastAsia="sk-SK"/>
              </w:rPr>
              <w:t> </w:t>
            </w:r>
          </w:p>
        </w:tc>
        <w:tc>
          <w:tcPr>
            <w:tcW w:w="840" w:type="pct"/>
            <w:tcBorders>
              <w:bottom w:val="single" w:sz="4" w:space="0" w:color="auto"/>
            </w:tcBorders>
            <w:shd w:val="clear" w:color="auto" w:fill="auto"/>
            <w:vAlign w:val="bottom"/>
            <w:hideMark/>
          </w:tcPr>
          <w:p w14:paraId="52C59907" w14:textId="3BDEE98F" w:rsidR="00A2107D" w:rsidRPr="00226892" w:rsidRDefault="00A2107D" w:rsidP="002E7456">
            <w:pPr>
              <w:jc w:val="center"/>
              <w:rPr>
                <w:rFonts w:ascii="Arial" w:eastAsia="Times New Roman" w:hAnsi="Arial" w:cs="Arial"/>
                <w:b/>
                <w:bCs/>
                <w:sz w:val="18"/>
                <w:szCs w:val="18"/>
                <w:lang w:val="sk-SK" w:eastAsia="sk-SK"/>
              </w:rPr>
            </w:pPr>
            <w:r w:rsidRPr="00226892">
              <w:rPr>
                <w:rFonts w:ascii="Arial" w:eastAsia="Times New Roman" w:hAnsi="Arial" w:cs="Arial"/>
                <w:b/>
                <w:bCs/>
                <w:sz w:val="18"/>
                <w:szCs w:val="18"/>
                <w:lang w:val="sk-SK" w:eastAsia="sk-SK"/>
              </w:rPr>
              <w:t xml:space="preserve"> Od 1 do 5 rokov </w:t>
            </w:r>
          </w:p>
        </w:tc>
        <w:tc>
          <w:tcPr>
            <w:tcW w:w="127" w:type="pct"/>
            <w:tcBorders>
              <w:bottom w:val="single" w:sz="4" w:space="0" w:color="auto"/>
            </w:tcBorders>
            <w:shd w:val="clear" w:color="auto" w:fill="auto"/>
            <w:vAlign w:val="bottom"/>
            <w:hideMark/>
          </w:tcPr>
          <w:p w14:paraId="018C856D" w14:textId="77777777" w:rsidR="00A2107D" w:rsidRPr="00226892" w:rsidRDefault="00A2107D" w:rsidP="002E7456">
            <w:pPr>
              <w:jc w:val="center"/>
              <w:rPr>
                <w:rFonts w:ascii="Arial" w:eastAsia="Times New Roman" w:hAnsi="Arial" w:cs="Arial"/>
                <w:b/>
                <w:bCs/>
                <w:sz w:val="18"/>
                <w:szCs w:val="18"/>
                <w:lang w:val="sk-SK" w:eastAsia="sk-SK"/>
              </w:rPr>
            </w:pPr>
            <w:r w:rsidRPr="00226892">
              <w:rPr>
                <w:rFonts w:ascii="Arial" w:eastAsia="Times New Roman" w:hAnsi="Arial" w:cs="Arial"/>
                <w:b/>
                <w:bCs/>
                <w:sz w:val="18"/>
                <w:szCs w:val="18"/>
                <w:lang w:val="sk-SK" w:eastAsia="sk-SK"/>
              </w:rPr>
              <w:t> </w:t>
            </w:r>
          </w:p>
        </w:tc>
        <w:tc>
          <w:tcPr>
            <w:tcW w:w="103" w:type="pct"/>
            <w:tcBorders>
              <w:bottom w:val="single" w:sz="4" w:space="0" w:color="auto"/>
            </w:tcBorders>
            <w:shd w:val="clear" w:color="auto" w:fill="auto"/>
            <w:vAlign w:val="bottom"/>
            <w:hideMark/>
          </w:tcPr>
          <w:p w14:paraId="7532342B" w14:textId="77777777" w:rsidR="00A2107D" w:rsidRPr="00226892" w:rsidRDefault="00A2107D" w:rsidP="002E7456">
            <w:pPr>
              <w:jc w:val="center"/>
              <w:rPr>
                <w:rFonts w:ascii="Arial" w:eastAsia="Times New Roman" w:hAnsi="Arial" w:cs="Arial"/>
                <w:b/>
                <w:bCs/>
                <w:sz w:val="18"/>
                <w:szCs w:val="18"/>
                <w:lang w:val="sk-SK" w:eastAsia="sk-SK"/>
              </w:rPr>
            </w:pPr>
            <w:r w:rsidRPr="00226892">
              <w:rPr>
                <w:rFonts w:ascii="Arial" w:eastAsia="Times New Roman" w:hAnsi="Arial" w:cs="Arial"/>
                <w:b/>
                <w:bCs/>
                <w:sz w:val="18"/>
                <w:szCs w:val="18"/>
                <w:lang w:val="sk-SK" w:eastAsia="sk-SK"/>
              </w:rPr>
              <w:t> </w:t>
            </w:r>
          </w:p>
        </w:tc>
        <w:tc>
          <w:tcPr>
            <w:tcW w:w="916" w:type="pct"/>
            <w:tcBorders>
              <w:bottom w:val="single" w:sz="4" w:space="0" w:color="auto"/>
            </w:tcBorders>
            <w:shd w:val="clear" w:color="auto" w:fill="auto"/>
            <w:vAlign w:val="bottom"/>
            <w:hideMark/>
          </w:tcPr>
          <w:p w14:paraId="22083B30" w14:textId="62028E8C" w:rsidR="00A2107D" w:rsidRPr="00226892" w:rsidRDefault="00A2107D" w:rsidP="002E7456">
            <w:pPr>
              <w:jc w:val="center"/>
              <w:rPr>
                <w:rFonts w:ascii="Arial" w:eastAsia="Times New Roman" w:hAnsi="Arial" w:cs="Arial"/>
                <w:b/>
                <w:bCs/>
                <w:sz w:val="18"/>
                <w:szCs w:val="18"/>
                <w:lang w:val="sk-SK" w:eastAsia="sk-SK"/>
              </w:rPr>
            </w:pPr>
            <w:r w:rsidRPr="00226892">
              <w:rPr>
                <w:rFonts w:ascii="Arial" w:eastAsia="Times New Roman" w:hAnsi="Arial" w:cs="Arial"/>
                <w:b/>
                <w:bCs/>
                <w:sz w:val="18"/>
                <w:szCs w:val="18"/>
                <w:lang w:val="sk-SK" w:eastAsia="sk-SK"/>
              </w:rPr>
              <w:t xml:space="preserve">Viac ako 5 rokov </w:t>
            </w:r>
          </w:p>
        </w:tc>
      </w:tr>
      <w:tr w:rsidR="00A2107D" w:rsidRPr="00226892" w14:paraId="20511410" w14:textId="77777777" w:rsidTr="001C5911">
        <w:trPr>
          <w:trHeight w:val="227"/>
        </w:trPr>
        <w:tc>
          <w:tcPr>
            <w:tcW w:w="2001" w:type="pct"/>
            <w:tcBorders>
              <w:top w:val="single" w:sz="4" w:space="0" w:color="auto"/>
            </w:tcBorders>
            <w:shd w:val="clear" w:color="auto" w:fill="auto"/>
            <w:vAlign w:val="bottom"/>
            <w:hideMark/>
          </w:tcPr>
          <w:p w14:paraId="3A631A59" w14:textId="3F75E816" w:rsidR="00A2107D" w:rsidRPr="00226892" w:rsidRDefault="00A2107D" w:rsidP="002E7456">
            <w:pPr>
              <w:rPr>
                <w:rFonts w:ascii="Arial" w:eastAsia="Times New Roman" w:hAnsi="Arial" w:cs="Arial"/>
                <w:b/>
                <w:bCs/>
                <w:sz w:val="18"/>
                <w:szCs w:val="18"/>
                <w:lang w:val="sk-SK" w:eastAsia="sk-SK"/>
              </w:rPr>
            </w:pPr>
            <w:r w:rsidRPr="00226892">
              <w:rPr>
                <w:rFonts w:ascii="Arial" w:eastAsia="Times New Roman" w:hAnsi="Arial" w:cs="Arial"/>
                <w:b/>
                <w:bCs/>
                <w:sz w:val="18"/>
                <w:szCs w:val="18"/>
                <w:lang w:val="sk-SK" w:eastAsia="sk-SK"/>
              </w:rPr>
              <w:t>K 31-12-</w:t>
            </w:r>
            <w:r w:rsidR="00FD3AC5" w:rsidRPr="00226892">
              <w:rPr>
                <w:rFonts w:ascii="Arial" w:eastAsia="Times New Roman" w:hAnsi="Arial" w:cs="Arial"/>
                <w:b/>
                <w:bCs/>
                <w:sz w:val="18"/>
                <w:szCs w:val="18"/>
                <w:lang w:val="sk-SK" w:eastAsia="sk-SK"/>
              </w:rPr>
              <w:t>2018</w:t>
            </w:r>
          </w:p>
        </w:tc>
        <w:tc>
          <w:tcPr>
            <w:tcW w:w="910" w:type="pct"/>
            <w:tcBorders>
              <w:top w:val="single" w:sz="4" w:space="0" w:color="auto"/>
            </w:tcBorders>
            <w:shd w:val="clear" w:color="auto" w:fill="auto"/>
            <w:vAlign w:val="bottom"/>
            <w:hideMark/>
          </w:tcPr>
          <w:p w14:paraId="3CD55962" w14:textId="77777777" w:rsidR="00A2107D" w:rsidRPr="00226892" w:rsidRDefault="00A2107D" w:rsidP="00FD21B8">
            <w:pPr>
              <w:jc w:val="right"/>
              <w:rPr>
                <w:rFonts w:ascii="Arial" w:eastAsia="Times New Roman" w:hAnsi="Arial" w:cs="Arial"/>
                <w:sz w:val="18"/>
                <w:szCs w:val="18"/>
                <w:lang w:val="sk-SK" w:eastAsia="sk-SK"/>
              </w:rPr>
            </w:pPr>
          </w:p>
        </w:tc>
        <w:tc>
          <w:tcPr>
            <w:tcW w:w="104" w:type="pct"/>
            <w:tcBorders>
              <w:top w:val="single" w:sz="4" w:space="0" w:color="auto"/>
            </w:tcBorders>
            <w:shd w:val="clear" w:color="auto" w:fill="auto"/>
            <w:vAlign w:val="bottom"/>
            <w:hideMark/>
          </w:tcPr>
          <w:p w14:paraId="5FD2DFCA" w14:textId="77777777" w:rsidR="00A2107D" w:rsidRPr="00226892" w:rsidRDefault="00A2107D" w:rsidP="00FD21B8">
            <w:pPr>
              <w:jc w:val="right"/>
              <w:rPr>
                <w:rFonts w:ascii="Arial" w:eastAsia="Times New Roman" w:hAnsi="Arial" w:cs="Arial"/>
                <w:sz w:val="18"/>
                <w:szCs w:val="18"/>
                <w:lang w:val="sk-SK" w:eastAsia="sk-SK"/>
              </w:rPr>
            </w:pPr>
          </w:p>
        </w:tc>
        <w:tc>
          <w:tcPr>
            <w:tcW w:w="840" w:type="pct"/>
            <w:tcBorders>
              <w:top w:val="single" w:sz="4" w:space="0" w:color="auto"/>
            </w:tcBorders>
            <w:shd w:val="clear" w:color="auto" w:fill="auto"/>
            <w:vAlign w:val="bottom"/>
            <w:hideMark/>
          </w:tcPr>
          <w:p w14:paraId="37E02465" w14:textId="77777777" w:rsidR="00A2107D" w:rsidRPr="00226892" w:rsidRDefault="00A2107D" w:rsidP="00FD21B8">
            <w:pPr>
              <w:jc w:val="right"/>
              <w:rPr>
                <w:rFonts w:ascii="Arial" w:eastAsia="Times New Roman" w:hAnsi="Arial" w:cs="Arial"/>
                <w:sz w:val="18"/>
                <w:szCs w:val="18"/>
                <w:lang w:val="sk-SK" w:eastAsia="sk-SK"/>
              </w:rPr>
            </w:pPr>
          </w:p>
        </w:tc>
        <w:tc>
          <w:tcPr>
            <w:tcW w:w="127" w:type="pct"/>
            <w:tcBorders>
              <w:top w:val="single" w:sz="4" w:space="0" w:color="auto"/>
            </w:tcBorders>
            <w:shd w:val="clear" w:color="auto" w:fill="auto"/>
            <w:vAlign w:val="bottom"/>
            <w:hideMark/>
          </w:tcPr>
          <w:p w14:paraId="2CE112A1" w14:textId="77777777" w:rsidR="00A2107D" w:rsidRPr="00226892" w:rsidRDefault="00A2107D" w:rsidP="00FD21B8">
            <w:pPr>
              <w:jc w:val="right"/>
              <w:rPr>
                <w:rFonts w:ascii="Arial" w:eastAsia="Times New Roman" w:hAnsi="Arial" w:cs="Arial"/>
                <w:sz w:val="18"/>
                <w:szCs w:val="18"/>
                <w:lang w:val="sk-SK" w:eastAsia="sk-SK"/>
              </w:rPr>
            </w:pPr>
          </w:p>
        </w:tc>
        <w:tc>
          <w:tcPr>
            <w:tcW w:w="103" w:type="pct"/>
            <w:tcBorders>
              <w:top w:val="single" w:sz="4" w:space="0" w:color="auto"/>
            </w:tcBorders>
            <w:shd w:val="clear" w:color="auto" w:fill="auto"/>
            <w:vAlign w:val="bottom"/>
            <w:hideMark/>
          </w:tcPr>
          <w:p w14:paraId="48EA8498" w14:textId="77777777" w:rsidR="00A2107D" w:rsidRPr="00226892" w:rsidRDefault="00A2107D" w:rsidP="00FD21B8">
            <w:pPr>
              <w:jc w:val="right"/>
              <w:rPr>
                <w:rFonts w:ascii="Arial" w:eastAsia="Times New Roman" w:hAnsi="Arial" w:cs="Arial"/>
                <w:sz w:val="18"/>
                <w:szCs w:val="18"/>
                <w:lang w:val="sk-SK" w:eastAsia="sk-SK"/>
              </w:rPr>
            </w:pPr>
          </w:p>
        </w:tc>
        <w:tc>
          <w:tcPr>
            <w:tcW w:w="916" w:type="pct"/>
            <w:tcBorders>
              <w:top w:val="single" w:sz="4" w:space="0" w:color="auto"/>
            </w:tcBorders>
            <w:shd w:val="clear" w:color="auto" w:fill="auto"/>
            <w:vAlign w:val="bottom"/>
            <w:hideMark/>
          </w:tcPr>
          <w:p w14:paraId="67ED93EF" w14:textId="77777777" w:rsidR="00A2107D" w:rsidRPr="00226892" w:rsidRDefault="00A2107D" w:rsidP="00FD21B8">
            <w:pPr>
              <w:jc w:val="right"/>
              <w:rPr>
                <w:rFonts w:ascii="Arial" w:eastAsia="Times New Roman" w:hAnsi="Arial" w:cs="Arial"/>
                <w:sz w:val="18"/>
                <w:szCs w:val="18"/>
                <w:lang w:val="sk-SK" w:eastAsia="sk-SK"/>
              </w:rPr>
            </w:pPr>
          </w:p>
        </w:tc>
      </w:tr>
      <w:tr w:rsidR="00A2107D" w:rsidRPr="00226892" w14:paraId="0847965F" w14:textId="77777777" w:rsidTr="001C5911">
        <w:trPr>
          <w:trHeight w:val="227"/>
        </w:trPr>
        <w:tc>
          <w:tcPr>
            <w:tcW w:w="2001" w:type="pct"/>
            <w:shd w:val="clear" w:color="auto" w:fill="auto"/>
            <w:vAlign w:val="bottom"/>
            <w:hideMark/>
          </w:tcPr>
          <w:p w14:paraId="617B744A" w14:textId="77777777" w:rsidR="00A2107D" w:rsidRPr="00226892" w:rsidRDefault="00A2107D" w:rsidP="002E7456">
            <w:pPr>
              <w:rPr>
                <w:rFonts w:ascii="Arial" w:eastAsia="Times New Roman" w:hAnsi="Arial" w:cs="Arial"/>
                <w:sz w:val="18"/>
                <w:szCs w:val="18"/>
                <w:lang w:val="sk-SK" w:eastAsia="sk-SK"/>
              </w:rPr>
            </w:pPr>
          </w:p>
        </w:tc>
        <w:tc>
          <w:tcPr>
            <w:tcW w:w="910" w:type="pct"/>
            <w:shd w:val="clear" w:color="auto" w:fill="auto"/>
            <w:vAlign w:val="bottom"/>
            <w:hideMark/>
          </w:tcPr>
          <w:p w14:paraId="3E376A69" w14:textId="77777777" w:rsidR="00A2107D" w:rsidRPr="00226892" w:rsidRDefault="00A2107D" w:rsidP="00FD21B8">
            <w:pPr>
              <w:jc w:val="right"/>
              <w:rPr>
                <w:rFonts w:ascii="Arial" w:eastAsia="Times New Roman" w:hAnsi="Arial" w:cs="Arial"/>
                <w:sz w:val="18"/>
                <w:szCs w:val="18"/>
                <w:lang w:val="sk-SK" w:eastAsia="sk-SK"/>
              </w:rPr>
            </w:pPr>
          </w:p>
        </w:tc>
        <w:tc>
          <w:tcPr>
            <w:tcW w:w="104" w:type="pct"/>
            <w:shd w:val="clear" w:color="auto" w:fill="auto"/>
            <w:vAlign w:val="bottom"/>
            <w:hideMark/>
          </w:tcPr>
          <w:p w14:paraId="6EFA0C4B" w14:textId="77777777" w:rsidR="00A2107D" w:rsidRPr="00226892" w:rsidRDefault="00A2107D" w:rsidP="00FD21B8">
            <w:pPr>
              <w:jc w:val="right"/>
              <w:rPr>
                <w:rFonts w:ascii="Arial" w:eastAsia="Times New Roman" w:hAnsi="Arial" w:cs="Arial"/>
                <w:sz w:val="18"/>
                <w:szCs w:val="18"/>
                <w:lang w:val="sk-SK" w:eastAsia="sk-SK"/>
              </w:rPr>
            </w:pPr>
          </w:p>
        </w:tc>
        <w:tc>
          <w:tcPr>
            <w:tcW w:w="840" w:type="pct"/>
            <w:shd w:val="clear" w:color="auto" w:fill="auto"/>
            <w:vAlign w:val="bottom"/>
            <w:hideMark/>
          </w:tcPr>
          <w:p w14:paraId="09B68466" w14:textId="77777777" w:rsidR="00A2107D" w:rsidRPr="00226892" w:rsidRDefault="00A2107D" w:rsidP="00FD21B8">
            <w:pPr>
              <w:jc w:val="right"/>
              <w:rPr>
                <w:rFonts w:ascii="Arial" w:eastAsia="Times New Roman" w:hAnsi="Arial" w:cs="Arial"/>
                <w:sz w:val="18"/>
                <w:szCs w:val="18"/>
                <w:lang w:val="sk-SK" w:eastAsia="sk-SK"/>
              </w:rPr>
            </w:pPr>
          </w:p>
        </w:tc>
        <w:tc>
          <w:tcPr>
            <w:tcW w:w="127" w:type="pct"/>
            <w:shd w:val="clear" w:color="auto" w:fill="auto"/>
            <w:vAlign w:val="bottom"/>
            <w:hideMark/>
          </w:tcPr>
          <w:p w14:paraId="3A01E6F1" w14:textId="77777777" w:rsidR="00A2107D" w:rsidRPr="00226892" w:rsidRDefault="00A2107D" w:rsidP="00FD21B8">
            <w:pPr>
              <w:jc w:val="right"/>
              <w:rPr>
                <w:rFonts w:ascii="Arial" w:eastAsia="Times New Roman" w:hAnsi="Arial" w:cs="Arial"/>
                <w:sz w:val="18"/>
                <w:szCs w:val="18"/>
                <w:lang w:val="sk-SK" w:eastAsia="sk-SK"/>
              </w:rPr>
            </w:pPr>
          </w:p>
        </w:tc>
        <w:tc>
          <w:tcPr>
            <w:tcW w:w="103" w:type="pct"/>
            <w:shd w:val="clear" w:color="auto" w:fill="auto"/>
            <w:vAlign w:val="bottom"/>
            <w:hideMark/>
          </w:tcPr>
          <w:p w14:paraId="4A31DDA6" w14:textId="77777777" w:rsidR="00A2107D" w:rsidRPr="00226892" w:rsidRDefault="00A2107D" w:rsidP="00FD21B8">
            <w:pPr>
              <w:jc w:val="right"/>
              <w:rPr>
                <w:rFonts w:ascii="Arial" w:eastAsia="Times New Roman" w:hAnsi="Arial" w:cs="Arial"/>
                <w:sz w:val="18"/>
                <w:szCs w:val="18"/>
                <w:lang w:val="sk-SK" w:eastAsia="sk-SK"/>
              </w:rPr>
            </w:pPr>
          </w:p>
        </w:tc>
        <w:tc>
          <w:tcPr>
            <w:tcW w:w="916" w:type="pct"/>
            <w:shd w:val="clear" w:color="auto" w:fill="auto"/>
            <w:vAlign w:val="bottom"/>
            <w:hideMark/>
          </w:tcPr>
          <w:p w14:paraId="76111460" w14:textId="77777777" w:rsidR="00A2107D" w:rsidRPr="00226892" w:rsidRDefault="00A2107D" w:rsidP="00FD21B8">
            <w:pPr>
              <w:jc w:val="right"/>
              <w:rPr>
                <w:rFonts w:ascii="Arial" w:eastAsia="Times New Roman" w:hAnsi="Arial" w:cs="Arial"/>
                <w:sz w:val="18"/>
                <w:szCs w:val="18"/>
                <w:lang w:val="sk-SK" w:eastAsia="sk-SK"/>
              </w:rPr>
            </w:pPr>
          </w:p>
        </w:tc>
      </w:tr>
      <w:tr w:rsidR="00A2107D" w:rsidRPr="00226892" w14:paraId="78184FA6" w14:textId="77777777" w:rsidTr="001C5911">
        <w:trPr>
          <w:trHeight w:val="227"/>
        </w:trPr>
        <w:tc>
          <w:tcPr>
            <w:tcW w:w="2001" w:type="pct"/>
            <w:shd w:val="clear" w:color="auto" w:fill="auto"/>
            <w:vAlign w:val="bottom"/>
            <w:hideMark/>
          </w:tcPr>
          <w:p w14:paraId="226C6DE9" w14:textId="77777777" w:rsidR="00A2107D" w:rsidRPr="00226892" w:rsidRDefault="00A2107D" w:rsidP="00267C4C">
            <w:pPr>
              <w:rPr>
                <w:rFonts w:ascii="Arial" w:eastAsia="Times New Roman" w:hAnsi="Arial" w:cs="Arial"/>
                <w:sz w:val="18"/>
                <w:szCs w:val="18"/>
                <w:lang w:val="sk-SK" w:eastAsia="sk-SK"/>
              </w:rPr>
            </w:pPr>
            <w:r w:rsidRPr="00226892">
              <w:rPr>
                <w:rFonts w:ascii="Arial" w:eastAsia="Times New Roman" w:hAnsi="Arial" w:cs="Arial"/>
                <w:sz w:val="18"/>
                <w:szCs w:val="18"/>
                <w:lang w:val="sk-SK" w:eastAsia="sk-SK"/>
              </w:rPr>
              <w:t>Úvery a pôžičky – okrem fin. lízingu</w:t>
            </w:r>
          </w:p>
          <w:p w14:paraId="34C152D9" w14:textId="10BFC3D9" w:rsidR="00A2107D" w:rsidRPr="00226892" w:rsidRDefault="00394318" w:rsidP="00267C4C">
            <w:pPr>
              <w:rPr>
                <w:rFonts w:ascii="Arial" w:eastAsia="Times New Roman" w:hAnsi="Arial" w:cs="Arial"/>
                <w:sz w:val="18"/>
                <w:szCs w:val="18"/>
                <w:lang w:val="sk-SK" w:eastAsia="sk-SK"/>
              </w:rPr>
            </w:pPr>
            <w:r w:rsidRPr="00226892">
              <w:rPr>
                <w:rFonts w:ascii="Arial" w:eastAsia="Times New Roman" w:hAnsi="Arial" w:cs="Arial"/>
                <w:sz w:val="18"/>
                <w:szCs w:val="18"/>
                <w:lang w:val="sk-SK" w:eastAsia="sk-SK"/>
              </w:rPr>
              <w:t>(Pozn. 1</w:t>
            </w:r>
            <w:r w:rsidR="00522218" w:rsidRPr="00226892">
              <w:rPr>
                <w:rFonts w:ascii="Arial" w:eastAsia="Times New Roman" w:hAnsi="Arial" w:cs="Arial"/>
                <w:sz w:val="18"/>
                <w:szCs w:val="18"/>
                <w:lang w:val="sk-SK" w:eastAsia="sk-SK"/>
              </w:rPr>
              <w:t>5</w:t>
            </w:r>
            <w:r w:rsidRPr="00226892">
              <w:rPr>
                <w:rFonts w:ascii="Arial" w:eastAsia="Times New Roman" w:hAnsi="Arial" w:cs="Arial"/>
                <w:sz w:val="18"/>
                <w:szCs w:val="18"/>
                <w:lang w:val="sk-SK" w:eastAsia="sk-SK"/>
              </w:rPr>
              <w:t>)</w:t>
            </w:r>
          </w:p>
        </w:tc>
        <w:tc>
          <w:tcPr>
            <w:tcW w:w="910" w:type="pct"/>
            <w:shd w:val="clear" w:color="auto" w:fill="auto"/>
            <w:vAlign w:val="bottom"/>
          </w:tcPr>
          <w:p w14:paraId="77941915" w14:textId="29557507" w:rsidR="00A2107D" w:rsidRPr="00226892" w:rsidRDefault="001B28BE" w:rsidP="00267C4C">
            <w:pPr>
              <w:jc w:val="right"/>
              <w:rPr>
                <w:rFonts w:ascii="Arial" w:eastAsia="Times New Roman" w:hAnsi="Arial" w:cs="Arial"/>
                <w:sz w:val="18"/>
                <w:szCs w:val="18"/>
                <w:lang w:val="sk-SK" w:eastAsia="sk-SK"/>
              </w:rPr>
            </w:pPr>
            <w:r w:rsidRPr="00226892">
              <w:rPr>
                <w:rFonts w:ascii="Arial" w:eastAsia="Times New Roman" w:hAnsi="Arial" w:cs="Arial"/>
                <w:sz w:val="18"/>
                <w:szCs w:val="18"/>
                <w:lang w:val="sk-SK" w:eastAsia="sk-SK"/>
              </w:rPr>
              <w:t>12 082</w:t>
            </w:r>
          </w:p>
        </w:tc>
        <w:tc>
          <w:tcPr>
            <w:tcW w:w="104" w:type="pct"/>
            <w:shd w:val="clear" w:color="auto" w:fill="auto"/>
            <w:vAlign w:val="bottom"/>
          </w:tcPr>
          <w:p w14:paraId="07933B0F" w14:textId="77777777" w:rsidR="00A2107D" w:rsidRPr="00226892" w:rsidRDefault="00A2107D" w:rsidP="00267C4C">
            <w:pPr>
              <w:jc w:val="right"/>
              <w:rPr>
                <w:rFonts w:ascii="Arial" w:eastAsia="Times New Roman" w:hAnsi="Arial" w:cs="Arial"/>
                <w:sz w:val="18"/>
                <w:szCs w:val="18"/>
                <w:lang w:val="sk-SK" w:eastAsia="sk-SK"/>
              </w:rPr>
            </w:pPr>
          </w:p>
        </w:tc>
        <w:tc>
          <w:tcPr>
            <w:tcW w:w="840" w:type="pct"/>
            <w:shd w:val="clear" w:color="auto" w:fill="auto"/>
            <w:vAlign w:val="bottom"/>
          </w:tcPr>
          <w:p w14:paraId="364D6ED0" w14:textId="16FAE5D5" w:rsidR="00A2107D" w:rsidRPr="00226892" w:rsidRDefault="00B336F7" w:rsidP="00267C4C">
            <w:pPr>
              <w:jc w:val="right"/>
              <w:rPr>
                <w:rFonts w:ascii="Arial" w:eastAsia="Times New Roman" w:hAnsi="Arial" w:cs="Arial"/>
                <w:sz w:val="18"/>
                <w:szCs w:val="18"/>
                <w:lang w:val="sk-SK" w:eastAsia="sk-SK"/>
              </w:rPr>
            </w:pPr>
            <w:r w:rsidRPr="00226892">
              <w:rPr>
                <w:rFonts w:ascii="Arial" w:eastAsia="Times New Roman" w:hAnsi="Arial" w:cs="Arial"/>
                <w:sz w:val="18"/>
                <w:szCs w:val="18"/>
                <w:lang w:val="sk-SK" w:eastAsia="sk-SK"/>
              </w:rPr>
              <w:t>15 510</w:t>
            </w:r>
          </w:p>
        </w:tc>
        <w:tc>
          <w:tcPr>
            <w:tcW w:w="127" w:type="pct"/>
            <w:shd w:val="clear" w:color="auto" w:fill="auto"/>
            <w:vAlign w:val="bottom"/>
          </w:tcPr>
          <w:p w14:paraId="53A0FC86" w14:textId="77777777" w:rsidR="00A2107D" w:rsidRPr="00226892" w:rsidRDefault="00A2107D" w:rsidP="00267C4C">
            <w:pPr>
              <w:jc w:val="right"/>
              <w:rPr>
                <w:rFonts w:ascii="Arial" w:eastAsia="Times New Roman" w:hAnsi="Arial" w:cs="Arial"/>
                <w:sz w:val="18"/>
                <w:szCs w:val="18"/>
                <w:lang w:val="sk-SK" w:eastAsia="sk-SK"/>
              </w:rPr>
            </w:pPr>
          </w:p>
        </w:tc>
        <w:tc>
          <w:tcPr>
            <w:tcW w:w="103" w:type="pct"/>
            <w:shd w:val="clear" w:color="auto" w:fill="auto"/>
            <w:vAlign w:val="bottom"/>
          </w:tcPr>
          <w:p w14:paraId="62048E26" w14:textId="77777777" w:rsidR="00A2107D" w:rsidRPr="00226892" w:rsidRDefault="00A2107D" w:rsidP="00267C4C">
            <w:pPr>
              <w:jc w:val="right"/>
              <w:rPr>
                <w:rFonts w:ascii="Arial" w:eastAsia="Times New Roman" w:hAnsi="Arial" w:cs="Arial"/>
                <w:sz w:val="18"/>
                <w:szCs w:val="18"/>
                <w:lang w:val="sk-SK" w:eastAsia="sk-SK"/>
              </w:rPr>
            </w:pPr>
          </w:p>
        </w:tc>
        <w:tc>
          <w:tcPr>
            <w:tcW w:w="916" w:type="pct"/>
            <w:shd w:val="clear" w:color="auto" w:fill="auto"/>
            <w:vAlign w:val="bottom"/>
          </w:tcPr>
          <w:p w14:paraId="63CE301A" w14:textId="47ED4605" w:rsidR="00A2107D" w:rsidRPr="00226892" w:rsidRDefault="00B336F7" w:rsidP="00267C4C">
            <w:pPr>
              <w:jc w:val="right"/>
              <w:rPr>
                <w:rFonts w:ascii="Arial" w:eastAsia="Times New Roman" w:hAnsi="Arial" w:cs="Arial"/>
                <w:sz w:val="18"/>
                <w:szCs w:val="18"/>
                <w:lang w:val="sk-SK" w:eastAsia="sk-SK"/>
              </w:rPr>
            </w:pPr>
            <w:r w:rsidRPr="00226892">
              <w:rPr>
                <w:rFonts w:ascii="Arial" w:eastAsia="Times New Roman" w:hAnsi="Arial" w:cs="Arial"/>
                <w:sz w:val="18"/>
                <w:szCs w:val="18"/>
                <w:lang w:val="sk-SK" w:eastAsia="sk-SK"/>
              </w:rPr>
              <w:t>10 100</w:t>
            </w:r>
          </w:p>
        </w:tc>
      </w:tr>
      <w:tr w:rsidR="00A2107D" w:rsidRPr="00226892" w14:paraId="1FC445AC" w14:textId="77777777" w:rsidTr="001C5911">
        <w:trPr>
          <w:trHeight w:val="227"/>
        </w:trPr>
        <w:tc>
          <w:tcPr>
            <w:tcW w:w="2001" w:type="pct"/>
            <w:shd w:val="clear" w:color="auto" w:fill="auto"/>
            <w:vAlign w:val="bottom"/>
            <w:hideMark/>
          </w:tcPr>
          <w:p w14:paraId="3D6078C7" w14:textId="6A59B8F8" w:rsidR="00A2107D" w:rsidRPr="00226892" w:rsidRDefault="00A2107D" w:rsidP="002E7456">
            <w:pPr>
              <w:rPr>
                <w:rFonts w:ascii="Arial" w:eastAsia="Times New Roman" w:hAnsi="Arial" w:cs="Arial"/>
                <w:sz w:val="18"/>
                <w:szCs w:val="18"/>
                <w:lang w:val="sk-SK" w:eastAsia="sk-SK"/>
              </w:rPr>
            </w:pPr>
            <w:r w:rsidRPr="00226892">
              <w:rPr>
                <w:rFonts w:ascii="Arial" w:eastAsia="Times New Roman" w:hAnsi="Arial" w:cs="Arial"/>
                <w:sz w:val="18"/>
                <w:szCs w:val="18"/>
                <w:lang w:val="sk-SK" w:eastAsia="sk-SK"/>
              </w:rPr>
              <w:t>Finančný lízing</w:t>
            </w:r>
            <w:r w:rsidR="00394318" w:rsidRPr="00226892">
              <w:rPr>
                <w:rFonts w:ascii="Arial" w:eastAsia="Times New Roman" w:hAnsi="Arial" w:cs="Arial"/>
                <w:sz w:val="18"/>
                <w:szCs w:val="18"/>
                <w:lang w:val="sk-SK" w:eastAsia="sk-SK"/>
              </w:rPr>
              <w:t xml:space="preserve"> (Pozn. 1</w:t>
            </w:r>
            <w:r w:rsidR="00522218" w:rsidRPr="00226892">
              <w:rPr>
                <w:rFonts w:ascii="Arial" w:eastAsia="Times New Roman" w:hAnsi="Arial" w:cs="Arial"/>
                <w:sz w:val="18"/>
                <w:szCs w:val="18"/>
                <w:lang w:val="sk-SK" w:eastAsia="sk-SK"/>
              </w:rPr>
              <w:t>5</w:t>
            </w:r>
            <w:r w:rsidR="00394318" w:rsidRPr="00226892">
              <w:rPr>
                <w:rFonts w:ascii="Arial" w:eastAsia="Times New Roman" w:hAnsi="Arial" w:cs="Arial"/>
                <w:sz w:val="18"/>
                <w:szCs w:val="18"/>
                <w:lang w:val="sk-SK" w:eastAsia="sk-SK"/>
              </w:rPr>
              <w:t>)</w:t>
            </w:r>
          </w:p>
        </w:tc>
        <w:tc>
          <w:tcPr>
            <w:tcW w:w="910" w:type="pct"/>
            <w:shd w:val="clear" w:color="auto" w:fill="auto"/>
            <w:vAlign w:val="bottom"/>
          </w:tcPr>
          <w:p w14:paraId="401D41C6" w14:textId="468125F8" w:rsidR="00A2107D" w:rsidRPr="00226892" w:rsidRDefault="001B28BE" w:rsidP="00FD21B8">
            <w:pPr>
              <w:jc w:val="right"/>
              <w:rPr>
                <w:rFonts w:ascii="Arial" w:eastAsia="Times New Roman" w:hAnsi="Arial" w:cs="Arial"/>
                <w:sz w:val="18"/>
                <w:szCs w:val="18"/>
                <w:lang w:val="sk-SK" w:eastAsia="sk-SK"/>
              </w:rPr>
            </w:pPr>
            <w:r w:rsidRPr="00226892">
              <w:rPr>
                <w:rFonts w:ascii="Arial" w:eastAsia="Times New Roman" w:hAnsi="Arial" w:cs="Arial"/>
                <w:sz w:val="18"/>
                <w:szCs w:val="18"/>
                <w:lang w:val="sk-SK" w:eastAsia="sk-SK"/>
              </w:rPr>
              <w:t>1</w:t>
            </w:r>
            <w:r w:rsidR="00783277" w:rsidRPr="00226892">
              <w:rPr>
                <w:rFonts w:ascii="Arial" w:eastAsia="Times New Roman" w:hAnsi="Arial" w:cs="Arial"/>
                <w:sz w:val="18"/>
                <w:szCs w:val="18"/>
                <w:lang w:val="sk-SK" w:eastAsia="sk-SK"/>
              </w:rPr>
              <w:t>76</w:t>
            </w:r>
          </w:p>
        </w:tc>
        <w:tc>
          <w:tcPr>
            <w:tcW w:w="104" w:type="pct"/>
            <w:shd w:val="clear" w:color="auto" w:fill="auto"/>
            <w:vAlign w:val="bottom"/>
          </w:tcPr>
          <w:p w14:paraId="3D7126BE" w14:textId="77777777" w:rsidR="00A2107D" w:rsidRPr="00226892" w:rsidRDefault="00A2107D" w:rsidP="00FD21B8">
            <w:pPr>
              <w:jc w:val="right"/>
              <w:rPr>
                <w:rFonts w:ascii="Arial" w:eastAsia="Times New Roman" w:hAnsi="Arial" w:cs="Arial"/>
                <w:sz w:val="18"/>
                <w:szCs w:val="18"/>
                <w:lang w:val="sk-SK" w:eastAsia="sk-SK"/>
              </w:rPr>
            </w:pPr>
          </w:p>
        </w:tc>
        <w:tc>
          <w:tcPr>
            <w:tcW w:w="840" w:type="pct"/>
            <w:shd w:val="clear" w:color="auto" w:fill="auto"/>
            <w:vAlign w:val="bottom"/>
          </w:tcPr>
          <w:p w14:paraId="38E80A62" w14:textId="504CB028" w:rsidR="00A2107D" w:rsidRPr="00226892" w:rsidRDefault="001B28BE" w:rsidP="00FD21B8">
            <w:pPr>
              <w:jc w:val="right"/>
              <w:rPr>
                <w:rFonts w:ascii="Arial" w:eastAsia="Times New Roman" w:hAnsi="Arial" w:cs="Arial"/>
                <w:sz w:val="18"/>
                <w:szCs w:val="18"/>
                <w:lang w:val="sk-SK" w:eastAsia="sk-SK"/>
              </w:rPr>
            </w:pPr>
            <w:r w:rsidRPr="00226892">
              <w:rPr>
                <w:rFonts w:ascii="Arial" w:eastAsia="Times New Roman" w:hAnsi="Arial" w:cs="Arial"/>
                <w:sz w:val="18"/>
                <w:szCs w:val="18"/>
                <w:lang w:val="sk-SK" w:eastAsia="sk-SK"/>
              </w:rPr>
              <w:t>3</w:t>
            </w:r>
            <w:r w:rsidR="00783277" w:rsidRPr="00226892">
              <w:rPr>
                <w:rFonts w:ascii="Arial" w:eastAsia="Times New Roman" w:hAnsi="Arial" w:cs="Arial"/>
                <w:sz w:val="18"/>
                <w:szCs w:val="18"/>
                <w:lang w:val="sk-SK" w:eastAsia="sk-SK"/>
              </w:rPr>
              <w:t>86</w:t>
            </w:r>
          </w:p>
        </w:tc>
        <w:tc>
          <w:tcPr>
            <w:tcW w:w="127" w:type="pct"/>
            <w:shd w:val="clear" w:color="auto" w:fill="auto"/>
            <w:vAlign w:val="bottom"/>
          </w:tcPr>
          <w:p w14:paraId="38E336C1" w14:textId="77777777" w:rsidR="00A2107D" w:rsidRPr="00226892" w:rsidRDefault="00A2107D" w:rsidP="00FD21B8">
            <w:pPr>
              <w:jc w:val="right"/>
              <w:rPr>
                <w:rFonts w:ascii="Arial" w:eastAsia="Times New Roman" w:hAnsi="Arial" w:cs="Arial"/>
                <w:sz w:val="18"/>
                <w:szCs w:val="18"/>
                <w:lang w:val="sk-SK" w:eastAsia="sk-SK"/>
              </w:rPr>
            </w:pPr>
          </w:p>
        </w:tc>
        <w:tc>
          <w:tcPr>
            <w:tcW w:w="103" w:type="pct"/>
            <w:shd w:val="clear" w:color="auto" w:fill="auto"/>
            <w:vAlign w:val="bottom"/>
          </w:tcPr>
          <w:p w14:paraId="611B8B16" w14:textId="77777777" w:rsidR="00A2107D" w:rsidRPr="00226892" w:rsidRDefault="00A2107D" w:rsidP="00FD21B8">
            <w:pPr>
              <w:jc w:val="right"/>
              <w:rPr>
                <w:rFonts w:ascii="Arial" w:eastAsia="Times New Roman" w:hAnsi="Arial" w:cs="Arial"/>
                <w:sz w:val="18"/>
                <w:szCs w:val="18"/>
                <w:lang w:val="sk-SK" w:eastAsia="sk-SK"/>
              </w:rPr>
            </w:pPr>
          </w:p>
        </w:tc>
        <w:tc>
          <w:tcPr>
            <w:tcW w:w="916" w:type="pct"/>
            <w:shd w:val="clear" w:color="auto" w:fill="auto"/>
            <w:vAlign w:val="bottom"/>
          </w:tcPr>
          <w:p w14:paraId="78B3AB6C" w14:textId="11D8E0E1" w:rsidR="00A2107D" w:rsidRPr="00226892" w:rsidRDefault="001B28BE" w:rsidP="00FD21B8">
            <w:pPr>
              <w:jc w:val="right"/>
              <w:rPr>
                <w:rFonts w:ascii="Arial" w:eastAsia="Times New Roman" w:hAnsi="Arial" w:cs="Arial"/>
                <w:sz w:val="18"/>
                <w:szCs w:val="18"/>
                <w:lang w:val="sk-SK" w:eastAsia="sk-SK"/>
              </w:rPr>
            </w:pPr>
            <w:r w:rsidRPr="00226892">
              <w:rPr>
                <w:rFonts w:ascii="Arial" w:eastAsia="Times New Roman" w:hAnsi="Arial" w:cs="Arial"/>
                <w:sz w:val="18"/>
                <w:szCs w:val="18"/>
                <w:lang w:val="sk-SK" w:eastAsia="sk-SK"/>
              </w:rPr>
              <w:t>-</w:t>
            </w:r>
          </w:p>
        </w:tc>
      </w:tr>
      <w:tr w:rsidR="00A2107D" w:rsidRPr="00226892" w14:paraId="6E8DEB71" w14:textId="77777777" w:rsidTr="001C5911">
        <w:trPr>
          <w:trHeight w:val="227"/>
        </w:trPr>
        <w:tc>
          <w:tcPr>
            <w:tcW w:w="2001" w:type="pct"/>
            <w:shd w:val="clear" w:color="auto" w:fill="auto"/>
            <w:vAlign w:val="bottom"/>
            <w:hideMark/>
          </w:tcPr>
          <w:p w14:paraId="6AC8C16E" w14:textId="70789614" w:rsidR="00A2107D" w:rsidRPr="00226892" w:rsidRDefault="00A2107D" w:rsidP="00122BD0">
            <w:pPr>
              <w:ind w:right="-122"/>
              <w:rPr>
                <w:rFonts w:ascii="Arial" w:eastAsia="Times New Roman" w:hAnsi="Arial" w:cs="Arial"/>
                <w:sz w:val="18"/>
                <w:szCs w:val="18"/>
                <w:lang w:val="sk-SK" w:eastAsia="sk-SK"/>
              </w:rPr>
            </w:pPr>
            <w:r w:rsidRPr="00226892">
              <w:rPr>
                <w:rFonts w:ascii="Arial" w:eastAsia="Times New Roman" w:hAnsi="Arial" w:cs="Arial"/>
                <w:sz w:val="18"/>
                <w:szCs w:val="18"/>
                <w:lang w:val="sk-SK" w:eastAsia="sk-SK"/>
              </w:rPr>
              <w:t>Záväzky z obchodného styku a iné záväzky (okrem záväzkov nespadajúcich pod IFRS 7) (Pozn. 1</w:t>
            </w:r>
            <w:r w:rsidR="00522218" w:rsidRPr="00226892">
              <w:rPr>
                <w:rFonts w:ascii="Arial" w:eastAsia="Times New Roman" w:hAnsi="Arial" w:cs="Arial"/>
                <w:sz w:val="18"/>
                <w:szCs w:val="18"/>
                <w:lang w:val="sk-SK" w:eastAsia="sk-SK"/>
              </w:rPr>
              <w:t>8</w:t>
            </w:r>
            <w:r w:rsidRPr="00226892">
              <w:rPr>
                <w:rFonts w:ascii="Arial" w:eastAsia="Times New Roman" w:hAnsi="Arial" w:cs="Arial"/>
                <w:sz w:val="18"/>
                <w:szCs w:val="18"/>
                <w:lang w:val="sk-SK" w:eastAsia="sk-SK"/>
              </w:rPr>
              <w:t>)</w:t>
            </w:r>
          </w:p>
        </w:tc>
        <w:tc>
          <w:tcPr>
            <w:tcW w:w="910" w:type="pct"/>
            <w:shd w:val="clear" w:color="auto" w:fill="auto"/>
            <w:vAlign w:val="bottom"/>
          </w:tcPr>
          <w:p w14:paraId="5D1ACDCE" w14:textId="4837C37F" w:rsidR="00A2107D" w:rsidRPr="00226892" w:rsidRDefault="001B28BE" w:rsidP="00FD21B8">
            <w:pPr>
              <w:jc w:val="right"/>
              <w:rPr>
                <w:rFonts w:ascii="Arial" w:eastAsia="Times New Roman" w:hAnsi="Arial" w:cs="Arial"/>
                <w:sz w:val="18"/>
                <w:szCs w:val="18"/>
                <w:lang w:val="sk-SK" w:eastAsia="sk-SK"/>
              </w:rPr>
            </w:pPr>
            <w:r w:rsidRPr="00226892">
              <w:rPr>
                <w:rFonts w:ascii="Arial" w:eastAsia="Times New Roman" w:hAnsi="Arial" w:cs="Arial"/>
                <w:sz w:val="18"/>
                <w:szCs w:val="18"/>
                <w:lang w:val="sk-SK" w:eastAsia="sk-SK"/>
              </w:rPr>
              <w:t>35 033</w:t>
            </w:r>
          </w:p>
        </w:tc>
        <w:tc>
          <w:tcPr>
            <w:tcW w:w="104" w:type="pct"/>
            <w:shd w:val="clear" w:color="auto" w:fill="auto"/>
            <w:vAlign w:val="bottom"/>
          </w:tcPr>
          <w:p w14:paraId="68564D79" w14:textId="77777777" w:rsidR="00A2107D" w:rsidRPr="00226892" w:rsidRDefault="00A2107D" w:rsidP="00FD21B8">
            <w:pPr>
              <w:jc w:val="right"/>
              <w:rPr>
                <w:rFonts w:ascii="Arial" w:eastAsia="Times New Roman" w:hAnsi="Arial" w:cs="Arial"/>
                <w:sz w:val="18"/>
                <w:szCs w:val="18"/>
                <w:lang w:val="sk-SK" w:eastAsia="sk-SK"/>
              </w:rPr>
            </w:pPr>
          </w:p>
        </w:tc>
        <w:tc>
          <w:tcPr>
            <w:tcW w:w="840" w:type="pct"/>
            <w:shd w:val="clear" w:color="auto" w:fill="auto"/>
            <w:vAlign w:val="bottom"/>
          </w:tcPr>
          <w:p w14:paraId="51E6FB8A" w14:textId="1E53BBFA" w:rsidR="00A2107D" w:rsidRPr="00226892" w:rsidRDefault="001B28BE" w:rsidP="00FD21B8">
            <w:pPr>
              <w:jc w:val="right"/>
              <w:rPr>
                <w:rFonts w:ascii="Arial" w:eastAsia="Times New Roman" w:hAnsi="Arial" w:cs="Arial"/>
                <w:sz w:val="18"/>
                <w:szCs w:val="18"/>
                <w:lang w:val="sk-SK" w:eastAsia="sk-SK"/>
              </w:rPr>
            </w:pPr>
            <w:r w:rsidRPr="00226892">
              <w:rPr>
                <w:rFonts w:ascii="Arial" w:eastAsia="Times New Roman" w:hAnsi="Arial" w:cs="Arial"/>
                <w:sz w:val="18"/>
                <w:szCs w:val="18"/>
                <w:lang w:val="sk-SK" w:eastAsia="sk-SK"/>
              </w:rPr>
              <w:t>-</w:t>
            </w:r>
          </w:p>
        </w:tc>
        <w:tc>
          <w:tcPr>
            <w:tcW w:w="127" w:type="pct"/>
            <w:shd w:val="clear" w:color="auto" w:fill="auto"/>
            <w:vAlign w:val="bottom"/>
          </w:tcPr>
          <w:p w14:paraId="254CBC25" w14:textId="77777777" w:rsidR="00A2107D" w:rsidRPr="00226892" w:rsidRDefault="00A2107D" w:rsidP="00FD21B8">
            <w:pPr>
              <w:jc w:val="right"/>
              <w:rPr>
                <w:rFonts w:ascii="Arial" w:eastAsia="Times New Roman" w:hAnsi="Arial" w:cs="Arial"/>
                <w:sz w:val="18"/>
                <w:szCs w:val="18"/>
                <w:lang w:val="sk-SK" w:eastAsia="sk-SK"/>
              </w:rPr>
            </w:pPr>
          </w:p>
        </w:tc>
        <w:tc>
          <w:tcPr>
            <w:tcW w:w="103" w:type="pct"/>
            <w:shd w:val="clear" w:color="auto" w:fill="auto"/>
            <w:vAlign w:val="bottom"/>
          </w:tcPr>
          <w:p w14:paraId="5BE795D5" w14:textId="77777777" w:rsidR="00A2107D" w:rsidRPr="00226892" w:rsidRDefault="00A2107D" w:rsidP="00FD21B8">
            <w:pPr>
              <w:jc w:val="right"/>
              <w:rPr>
                <w:rFonts w:ascii="Arial" w:eastAsia="Times New Roman" w:hAnsi="Arial" w:cs="Arial"/>
                <w:sz w:val="18"/>
                <w:szCs w:val="18"/>
                <w:lang w:val="sk-SK" w:eastAsia="sk-SK"/>
              </w:rPr>
            </w:pPr>
          </w:p>
        </w:tc>
        <w:tc>
          <w:tcPr>
            <w:tcW w:w="916" w:type="pct"/>
            <w:shd w:val="clear" w:color="auto" w:fill="auto"/>
            <w:vAlign w:val="bottom"/>
          </w:tcPr>
          <w:p w14:paraId="5E6BF474" w14:textId="0D5F1B53" w:rsidR="00A2107D" w:rsidRPr="00226892" w:rsidRDefault="001B28BE" w:rsidP="00FD21B8">
            <w:pPr>
              <w:jc w:val="right"/>
              <w:rPr>
                <w:rFonts w:ascii="Arial" w:eastAsia="Times New Roman" w:hAnsi="Arial" w:cs="Arial"/>
                <w:sz w:val="18"/>
                <w:szCs w:val="18"/>
                <w:lang w:val="sk-SK" w:eastAsia="sk-SK"/>
              </w:rPr>
            </w:pPr>
            <w:r w:rsidRPr="00226892">
              <w:rPr>
                <w:rFonts w:ascii="Arial" w:eastAsia="Times New Roman" w:hAnsi="Arial" w:cs="Arial"/>
                <w:sz w:val="18"/>
                <w:szCs w:val="18"/>
                <w:lang w:val="sk-SK" w:eastAsia="sk-SK"/>
              </w:rPr>
              <w:t>-</w:t>
            </w:r>
          </w:p>
        </w:tc>
      </w:tr>
      <w:tr w:rsidR="00A2107D" w:rsidRPr="00226892" w14:paraId="50848186" w14:textId="77777777" w:rsidTr="001C5911">
        <w:trPr>
          <w:trHeight w:val="227"/>
        </w:trPr>
        <w:tc>
          <w:tcPr>
            <w:tcW w:w="2001" w:type="pct"/>
            <w:shd w:val="clear" w:color="auto" w:fill="auto"/>
            <w:vAlign w:val="bottom"/>
            <w:hideMark/>
          </w:tcPr>
          <w:p w14:paraId="558E3E11" w14:textId="77777777" w:rsidR="00A2107D" w:rsidRPr="00226892" w:rsidRDefault="00A2107D" w:rsidP="002E7456">
            <w:pPr>
              <w:rPr>
                <w:rFonts w:ascii="Arial" w:eastAsia="Times New Roman" w:hAnsi="Arial" w:cs="Arial"/>
                <w:sz w:val="18"/>
                <w:szCs w:val="18"/>
                <w:lang w:val="sk-SK" w:eastAsia="sk-SK"/>
              </w:rPr>
            </w:pPr>
          </w:p>
        </w:tc>
        <w:tc>
          <w:tcPr>
            <w:tcW w:w="910" w:type="pct"/>
            <w:tcBorders>
              <w:bottom w:val="single" w:sz="4" w:space="0" w:color="auto"/>
            </w:tcBorders>
            <w:shd w:val="clear" w:color="auto" w:fill="auto"/>
            <w:vAlign w:val="bottom"/>
          </w:tcPr>
          <w:p w14:paraId="2E6E8266" w14:textId="77777777" w:rsidR="00A2107D" w:rsidRPr="00226892" w:rsidRDefault="00A2107D" w:rsidP="00FD21B8">
            <w:pPr>
              <w:jc w:val="right"/>
              <w:rPr>
                <w:rFonts w:ascii="Arial" w:eastAsia="Times New Roman" w:hAnsi="Arial" w:cs="Arial"/>
                <w:sz w:val="18"/>
                <w:szCs w:val="18"/>
                <w:lang w:val="sk-SK" w:eastAsia="sk-SK"/>
              </w:rPr>
            </w:pPr>
          </w:p>
        </w:tc>
        <w:tc>
          <w:tcPr>
            <w:tcW w:w="104" w:type="pct"/>
            <w:tcBorders>
              <w:bottom w:val="single" w:sz="4" w:space="0" w:color="auto"/>
            </w:tcBorders>
            <w:shd w:val="clear" w:color="auto" w:fill="auto"/>
            <w:vAlign w:val="bottom"/>
          </w:tcPr>
          <w:p w14:paraId="608D48F6" w14:textId="77777777" w:rsidR="00A2107D" w:rsidRPr="00226892" w:rsidRDefault="00A2107D" w:rsidP="00FD21B8">
            <w:pPr>
              <w:jc w:val="right"/>
              <w:rPr>
                <w:rFonts w:ascii="Arial" w:eastAsia="Times New Roman" w:hAnsi="Arial" w:cs="Arial"/>
                <w:sz w:val="18"/>
                <w:szCs w:val="18"/>
                <w:lang w:val="sk-SK" w:eastAsia="sk-SK"/>
              </w:rPr>
            </w:pPr>
          </w:p>
        </w:tc>
        <w:tc>
          <w:tcPr>
            <w:tcW w:w="840" w:type="pct"/>
            <w:tcBorders>
              <w:bottom w:val="single" w:sz="4" w:space="0" w:color="auto"/>
            </w:tcBorders>
            <w:shd w:val="clear" w:color="auto" w:fill="auto"/>
            <w:vAlign w:val="bottom"/>
          </w:tcPr>
          <w:p w14:paraId="2734F144" w14:textId="77777777" w:rsidR="00A2107D" w:rsidRPr="00226892" w:rsidRDefault="00A2107D" w:rsidP="00FD21B8">
            <w:pPr>
              <w:jc w:val="right"/>
              <w:rPr>
                <w:rFonts w:ascii="Arial" w:eastAsia="Times New Roman" w:hAnsi="Arial" w:cs="Arial"/>
                <w:sz w:val="18"/>
                <w:szCs w:val="18"/>
                <w:lang w:val="sk-SK" w:eastAsia="sk-SK"/>
              </w:rPr>
            </w:pPr>
          </w:p>
        </w:tc>
        <w:tc>
          <w:tcPr>
            <w:tcW w:w="127" w:type="pct"/>
            <w:tcBorders>
              <w:bottom w:val="single" w:sz="4" w:space="0" w:color="auto"/>
            </w:tcBorders>
            <w:shd w:val="clear" w:color="auto" w:fill="auto"/>
            <w:vAlign w:val="bottom"/>
          </w:tcPr>
          <w:p w14:paraId="351886C2" w14:textId="77777777" w:rsidR="00A2107D" w:rsidRPr="00226892" w:rsidRDefault="00A2107D" w:rsidP="00FD21B8">
            <w:pPr>
              <w:jc w:val="right"/>
              <w:rPr>
                <w:rFonts w:ascii="Arial" w:eastAsia="Times New Roman" w:hAnsi="Arial" w:cs="Arial"/>
                <w:sz w:val="18"/>
                <w:szCs w:val="18"/>
                <w:lang w:val="sk-SK" w:eastAsia="sk-SK"/>
              </w:rPr>
            </w:pPr>
          </w:p>
        </w:tc>
        <w:tc>
          <w:tcPr>
            <w:tcW w:w="103" w:type="pct"/>
            <w:tcBorders>
              <w:bottom w:val="single" w:sz="4" w:space="0" w:color="auto"/>
            </w:tcBorders>
            <w:shd w:val="clear" w:color="auto" w:fill="auto"/>
            <w:vAlign w:val="bottom"/>
          </w:tcPr>
          <w:p w14:paraId="781D8080" w14:textId="77777777" w:rsidR="00A2107D" w:rsidRPr="00226892" w:rsidRDefault="00A2107D" w:rsidP="00FD21B8">
            <w:pPr>
              <w:jc w:val="right"/>
              <w:rPr>
                <w:rFonts w:ascii="Arial" w:eastAsia="Times New Roman" w:hAnsi="Arial" w:cs="Arial"/>
                <w:sz w:val="18"/>
                <w:szCs w:val="18"/>
                <w:lang w:val="sk-SK" w:eastAsia="sk-SK"/>
              </w:rPr>
            </w:pPr>
          </w:p>
        </w:tc>
        <w:tc>
          <w:tcPr>
            <w:tcW w:w="916" w:type="pct"/>
            <w:tcBorders>
              <w:bottom w:val="single" w:sz="4" w:space="0" w:color="auto"/>
            </w:tcBorders>
            <w:shd w:val="clear" w:color="auto" w:fill="auto"/>
            <w:vAlign w:val="bottom"/>
          </w:tcPr>
          <w:p w14:paraId="1ED79BE6" w14:textId="77777777" w:rsidR="00A2107D" w:rsidRPr="00226892" w:rsidRDefault="00A2107D" w:rsidP="00FD21B8">
            <w:pPr>
              <w:jc w:val="right"/>
              <w:rPr>
                <w:rFonts w:ascii="Arial" w:eastAsia="Times New Roman" w:hAnsi="Arial" w:cs="Arial"/>
                <w:sz w:val="18"/>
                <w:szCs w:val="18"/>
                <w:lang w:val="sk-SK" w:eastAsia="sk-SK"/>
              </w:rPr>
            </w:pPr>
          </w:p>
        </w:tc>
      </w:tr>
      <w:tr w:rsidR="00A2107D" w:rsidRPr="00226892" w14:paraId="22EA04F0" w14:textId="77777777" w:rsidTr="001C5911">
        <w:trPr>
          <w:trHeight w:val="227"/>
        </w:trPr>
        <w:tc>
          <w:tcPr>
            <w:tcW w:w="2001" w:type="pct"/>
            <w:shd w:val="clear" w:color="auto" w:fill="auto"/>
            <w:vAlign w:val="bottom"/>
            <w:hideMark/>
          </w:tcPr>
          <w:p w14:paraId="0669C9A6" w14:textId="77777777" w:rsidR="00A2107D" w:rsidRPr="00226892" w:rsidRDefault="00A2107D" w:rsidP="002E7456">
            <w:pPr>
              <w:rPr>
                <w:rFonts w:ascii="Arial" w:eastAsia="Times New Roman" w:hAnsi="Arial" w:cs="Arial"/>
                <w:b/>
                <w:bCs/>
                <w:sz w:val="18"/>
                <w:szCs w:val="18"/>
                <w:lang w:val="sk-SK" w:eastAsia="sk-SK"/>
              </w:rPr>
            </w:pPr>
            <w:r w:rsidRPr="00226892">
              <w:rPr>
                <w:rFonts w:ascii="Arial" w:eastAsia="Times New Roman" w:hAnsi="Arial" w:cs="Arial"/>
                <w:b/>
                <w:bCs/>
                <w:sz w:val="18"/>
                <w:szCs w:val="18"/>
                <w:lang w:val="sk-SK" w:eastAsia="sk-SK"/>
              </w:rPr>
              <w:t>Spolu</w:t>
            </w:r>
          </w:p>
        </w:tc>
        <w:tc>
          <w:tcPr>
            <w:tcW w:w="910" w:type="pct"/>
            <w:tcBorders>
              <w:top w:val="single" w:sz="4" w:space="0" w:color="auto"/>
              <w:bottom w:val="double" w:sz="4" w:space="0" w:color="auto"/>
            </w:tcBorders>
            <w:shd w:val="clear" w:color="auto" w:fill="auto"/>
            <w:vAlign w:val="bottom"/>
          </w:tcPr>
          <w:p w14:paraId="26813209" w14:textId="54081566" w:rsidR="00A2107D" w:rsidRPr="00226892" w:rsidRDefault="001B28BE" w:rsidP="00FD21B8">
            <w:pPr>
              <w:jc w:val="right"/>
              <w:rPr>
                <w:rFonts w:ascii="Arial" w:eastAsia="Times New Roman" w:hAnsi="Arial" w:cs="Arial"/>
                <w:b/>
                <w:bCs/>
                <w:sz w:val="18"/>
                <w:szCs w:val="18"/>
                <w:lang w:val="sk-SK" w:eastAsia="sk-SK"/>
              </w:rPr>
            </w:pPr>
            <w:r w:rsidRPr="00226892">
              <w:rPr>
                <w:rFonts w:ascii="Arial" w:eastAsia="Times New Roman" w:hAnsi="Arial" w:cs="Arial"/>
                <w:b/>
                <w:bCs/>
                <w:sz w:val="18"/>
                <w:szCs w:val="18"/>
                <w:lang w:val="sk-SK" w:eastAsia="sk-SK"/>
              </w:rPr>
              <w:t>47 2</w:t>
            </w:r>
            <w:r w:rsidR="00783277" w:rsidRPr="00226892">
              <w:rPr>
                <w:rFonts w:ascii="Arial" w:eastAsia="Times New Roman" w:hAnsi="Arial" w:cs="Arial"/>
                <w:b/>
                <w:bCs/>
                <w:sz w:val="18"/>
                <w:szCs w:val="18"/>
                <w:lang w:val="sk-SK" w:eastAsia="sk-SK"/>
              </w:rPr>
              <w:t>91</w:t>
            </w:r>
          </w:p>
        </w:tc>
        <w:tc>
          <w:tcPr>
            <w:tcW w:w="104" w:type="pct"/>
            <w:tcBorders>
              <w:top w:val="single" w:sz="4" w:space="0" w:color="auto"/>
              <w:bottom w:val="double" w:sz="4" w:space="0" w:color="auto"/>
            </w:tcBorders>
            <w:shd w:val="clear" w:color="auto" w:fill="auto"/>
            <w:vAlign w:val="bottom"/>
          </w:tcPr>
          <w:p w14:paraId="45694821" w14:textId="77777777" w:rsidR="00A2107D" w:rsidRPr="00226892" w:rsidRDefault="00A2107D" w:rsidP="00FD21B8">
            <w:pPr>
              <w:jc w:val="right"/>
              <w:rPr>
                <w:rFonts w:ascii="Arial" w:eastAsia="Times New Roman" w:hAnsi="Arial" w:cs="Arial"/>
                <w:b/>
                <w:bCs/>
                <w:sz w:val="18"/>
                <w:szCs w:val="18"/>
                <w:lang w:val="sk-SK" w:eastAsia="sk-SK"/>
              </w:rPr>
            </w:pPr>
          </w:p>
        </w:tc>
        <w:tc>
          <w:tcPr>
            <w:tcW w:w="840" w:type="pct"/>
            <w:tcBorders>
              <w:top w:val="single" w:sz="4" w:space="0" w:color="auto"/>
              <w:bottom w:val="double" w:sz="4" w:space="0" w:color="auto"/>
            </w:tcBorders>
            <w:shd w:val="clear" w:color="auto" w:fill="auto"/>
            <w:vAlign w:val="bottom"/>
          </w:tcPr>
          <w:p w14:paraId="7300F10D" w14:textId="4F317075" w:rsidR="00A2107D" w:rsidRPr="00226892" w:rsidRDefault="00B336F7" w:rsidP="00FD21B8">
            <w:pPr>
              <w:jc w:val="right"/>
              <w:rPr>
                <w:rFonts w:ascii="Arial" w:eastAsia="Times New Roman" w:hAnsi="Arial" w:cs="Arial"/>
                <w:b/>
                <w:bCs/>
                <w:sz w:val="18"/>
                <w:szCs w:val="18"/>
                <w:lang w:val="sk-SK" w:eastAsia="sk-SK"/>
              </w:rPr>
            </w:pPr>
            <w:r w:rsidRPr="00226892">
              <w:rPr>
                <w:rFonts w:ascii="Arial" w:eastAsia="Times New Roman" w:hAnsi="Arial" w:cs="Arial"/>
                <w:b/>
                <w:bCs/>
                <w:sz w:val="18"/>
                <w:szCs w:val="18"/>
                <w:lang w:val="sk-SK" w:eastAsia="sk-SK"/>
              </w:rPr>
              <w:t>15 896</w:t>
            </w:r>
          </w:p>
        </w:tc>
        <w:tc>
          <w:tcPr>
            <w:tcW w:w="127" w:type="pct"/>
            <w:tcBorders>
              <w:top w:val="single" w:sz="4" w:space="0" w:color="auto"/>
              <w:bottom w:val="double" w:sz="4" w:space="0" w:color="auto"/>
            </w:tcBorders>
            <w:shd w:val="clear" w:color="auto" w:fill="auto"/>
            <w:vAlign w:val="bottom"/>
          </w:tcPr>
          <w:p w14:paraId="062C827A" w14:textId="77777777" w:rsidR="00A2107D" w:rsidRPr="00226892" w:rsidRDefault="00A2107D" w:rsidP="00FD21B8">
            <w:pPr>
              <w:jc w:val="right"/>
              <w:rPr>
                <w:rFonts w:ascii="Arial" w:eastAsia="Times New Roman" w:hAnsi="Arial" w:cs="Arial"/>
                <w:b/>
                <w:bCs/>
                <w:sz w:val="18"/>
                <w:szCs w:val="18"/>
                <w:lang w:val="sk-SK" w:eastAsia="sk-SK"/>
              </w:rPr>
            </w:pPr>
          </w:p>
        </w:tc>
        <w:tc>
          <w:tcPr>
            <w:tcW w:w="103" w:type="pct"/>
            <w:tcBorders>
              <w:top w:val="single" w:sz="4" w:space="0" w:color="auto"/>
              <w:bottom w:val="double" w:sz="4" w:space="0" w:color="auto"/>
            </w:tcBorders>
            <w:shd w:val="clear" w:color="auto" w:fill="auto"/>
            <w:vAlign w:val="bottom"/>
          </w:tcPr>
          <w:p w14:paraId="4166E71C" w14:textId="77777777" w:rsidR="00A2107D" w:rsidRPr="00226892" w:rsidRDefault="00A2107D" w:rsidP="00FD21B8">
            <w:pPr>
              <w:jc w:val="right"/>
              <w:rPr>
                <w:rFonts w:ascii="Arial" w:eastAsia="Times New Roman" w:hAnsi="Arial" w:cs="Arial"/>
                <w:b/>
                <w:bCs/>
                <w:sz w:val="18"/>
                <w:szCs w:val="18"/>
                <w:lang w:val="sk-SK" w:eastAsia="sk-SK"/>
              </w:rPr>
            </w:pPr>
          </w:p>
        </w:tc>
        <w:tc>
          <w:tcPr>
            <w:tcW w:w="916" w:type="pct"/>
            <w:tcBorders>
              <w:top w:val="single" w:sz="4" w:space="0" w:color="auto"/>
              <w:bottom w:val="double" w:sz="4" w:space="0" w:color="auto"/>
            </w:tcBorders>
            <w:shd w:val="clear" w:color="auto" w:fill="auto"/>
            <w:vAlign w:val="bottom"/>
          </w:tcPr>
          <w:p w14:paraId="23BCF404" w14:textId="1D6C1B86" w:rsidR="00A2107D" w:rsidRPr="00226892" w:rsidRDefault="00B336F7" w:rsidP="00FD21B8">
            <w:pPr>
              <w:jc w:val="right"/>
              <w:rPr>
                <w:rFonts w:ascii="Arial" w:eastAsia="Times New Roman" w:hAnsi="Arial" w:cs="Arial"/>
                <w:b/>
                <w:bCs/>
                <w:sz w:val="18"/>
                <w:szCs w:val="18"/>
                <w:lang w:val="sk-SK" w:eastAsia="sk-SK"/>
              </w:rPr>
            </w:pPr>
            <w:r w:rsidRPr="00226892">
              <w:rPr>
                <w:rFonts w:ascii="Arial" w:eastAsia="Times New Roman" w:hAnsi="Arial" w:cs="Arial"/>
                <w:b/>
                <w:bCs/>
                <w:sz w:val="18"/>
                <w:szCs w:val="18"/>
                <w:lang w:val="sk-SK" w:eastAsia="sk-SK"/>
              </w:rPr>
              <w:t>10 100</w:t>
            </w:r>
          </w:p>
        </w:tc>
      </w:tr>
      <w:tr w:rsidR="00A2107D" w:rsidRPr="00226892" w14:paraId="60F360E8" w14:textId="77777777" w:rsidTr="001C5911">
        <w:trPr>
          <w:trHeight w:val="227"/>
        </w:trPr>
        <w:tc>
          <w:tcPr>
            <w:tcW w:w="2001" w:type="pct"/>
            <w:shd w:val="clear" w:color="auto" w:fill="auto"/>
            <w:vAlign w:val="bottom"/>
            <w:hideMark/>
          </w:tcPr>
          <w:p w14:paraId="06CC299B" w14:textId="77777777" w:rsidR="00A2107D" w:rsidRPr="00226892" w:rsidRDefault="00A2107D" w:rsidP="002E7456">
            <w:pPr>
              <w:rPr>
                <w:rFonts w:ascii="Arial" w:eastAsia="Times New Roman" w:hAnsi="Arial" w:cs="Arial"/>
                <w:b/>
                <w:bCs/>
                <w:sz w:val="18"/>
                <w:szCs w:val="18"/>
                <w:lang w:val="sk-SK" w:eastAsia="sk-SK"/>
              </w:rPr>
            </w:pPr>
          </w:p>
        </w:tc>
        <w:tc>
          <w:tcPr>
            <w:tcW w:w="910" w:type="pct"/>
            <w:tcBorders>
              <w:top w:val="double" w:sz="4" w:space="0" w:color="auto"/>
            </w:tcBorders>
            <w:shd w:val="clear" w:color="auto" w:fill="auto"/>
            <w:vAlign w:val="bottom"/>
          </w:tcPr>
          <w:p w14:paraId="75BA8662" w14:textId="77777777" w:rsidR="00A2107D" w:rsidRPr="00226892" w:rsidRDefault="00A2107D" w:rsidP="00FD21B8">
            <w:pPr>
              <w:jc w:val="right"/>
              <w:rPr>
                <w:rFonts w:ascii="Arial" w:eastAsia="Times New Roman" w:hAnsi="Arial" w:cs="Arial"/>
                <w:sz w:val="18"/>
                <w:szCs w:val="18"/>
                <w:lang w:val="sk-SK" w:eastAsia="sk-SK"/>
              </w:rPr>
            </w:pPr>
          </w:p>
        </w:tc>
        <w:tc>
          <w:tcPr>
            <w:tcW w:w="104" w:type="pct"/>
            <w:tcBorders>
              <w:top w:val="double" w:sz="4" w:space="0" w:color="auto"/>
            </w:tcBorders>
            <w:shd w:val="clear" w:color="auto" w:fill="auto"/>
            <w:vAlign w:val="bottom"/>
          </w:tcPr>
          <w:p w14:paraId="0FC26287" w14:textId="77777777" w:rsidR="00A2107D" w:rsidRPr="00226892" w:rsidRDefault="00A2107D" w:rsidP="00FD21B8">
            <w:pPr>
              <w:jc w:val="right"/>
              <w:rPr>
                <w:rFonts w:ascii="Arial" w:eastAsia="Times New Roman" w:hAnsi="Arial" w:cs="Arial"/>
                <w:sz w:val="18"/>
                <w:szCs w:val="18"/>
                <w:lang w:val="sk-SK" w:eastAsia="sk-SK"/>
              </w:rPr>
            </w:pPr>
          </w:p>
        </w:tc>
        <w:tc>
          <w:tcPr>
            <w:tcW w:w="840" w:type="pct"/>
            <w:tcBorders>
              <w:top w:val="double" w:sz="4" w:space="0" w:color="auto"/>
            </w:tcBorders>
            <w:shd w:val="clear" w:color="auto" w:fill="auto"/>
            <w:vAlign w:val="bottom"/>
          </w:tcPr>
          <w:p w14:paraId="2F4A9183" w14:textId="77777777" w:rsidR="00A2107D" w:rsidRPr="00226892" w:rsidRDefault="00A2107D" w:rsidP="00FD21B8">
            <w:pPr>
              <w:jc w:val="right"/>
              <w:rPr>
                <w:rFonts w:ascii="Arial" w:eastAsia="Times New Roman" w:hAnsi="Arial" w:cs="Arial"/>
                <w:sz w:val="18"/>
                <w:szCs w:val="18"/>
                <w:lang w:val="sk-SK" w:eastAsia="sk-SK"/>
              </w:rPr>
            </w:pPr>
          </w:p>
        </w:tc>
        <w:tc>
          <w:tcPr>
            <w:tcW w:w="127" w:type="pct"/>
            <w:tcBorders>
              <w:top w:val="double" w:sz="4" w:space="0" w:color="auto"/>
            </w:tcBorders>
            <w:shd w:val="clear" w:color="auto" w:fill="auto"/>
            <w:vAlign w:val="bottom"/>
          </w:tcPr>
          <w:p w14:paraId="5ABD1878" w14:textId="77777777" w:rsidR="00A2107D" w:rsidRPr="00226892" w:rsidRDefault="00A2107D" w:rsidP="00FD21B8">
            <w:pPr>
              <w:jc w:val="right"/>
              <w:rPr>
                <w:rFonts w:ascii="Arial" w:eastAsia="Times New Roman" w:hAnsi="Arial" w:cs="Arial"/>
                <w:sz w:val="18"/>
                <w:szCs w:val="18"/>
                <w:lang w:val="sk-SK" w:eastAsia="sk-SK"/>
              </w:rPr>
            </w:pPr>
          </w:p>
        </w:tc>
        <w:tc>
          <w:tcPr>
            <w:tcW w:w="103" w:type="pct"/>
            <w:tcBorders>
              <w:top w:val="double" w:sz="4" w:space="0" w:color="auto"/>
            </w:tcBorders>
            <w:shd w:val="clear" w:color="auto" w:fill="auto"/>
            <w:vAlign w:val="bottom"/>
          </w:tcPr>
          <w:p w14:paraId="4AAE6688" w14:textId="77777777" w:rsidR="00A2107D" w:rsidRPr="00226892" w:rsidRDefault="00A2107D" w:rsidP="00FD21B8">
            <w:pPr>
              <w:jc w:val="right"/>
              <w:rPr>
                <w:rFonts w:ascii="Arial" w:eastAsia="Times New Roman" w:hAnsi="Arial" w:cs="Arial"/>
                <w:sz w:val="18"/>
                <w:szCs w:val="18"/>
                <w:lang w:val="sk-SK" w:eastAsia="sk-SK"/>
              </w:rPr>
            </w:pPr>
          </w:p>
        </w:tc>
        <w:tc>
          <w:tcPr>
            <w:tcW w:w="916" w:type="pct"/>
            <w:tcBorders>
              <w:top w:val="double" w:sz="4" w:space="0" w:color="auto"/>
            </w:tcBorders>
            <w:shd w:val="clear" w:color="auto" w:fill="auto"/>
            <w:vAlign w:val="bottom"/>
          </w:tcPr>
          <w:p w14:paraId="1FA03A90" w14:textId="77777777" w:rsidR="00A2107D" w:rsidRPr="00226892" w:rsidRDefault="00A2107D" w:rsidP="00FD21B8">
            <w:pPr>
              <w:jc w:val="right"/>
              <w:rPr>
                <w:rFonts w:ascii="Arial" w:eastAsia="Times New Roman" w:hAnsi="Arial" w:cs="Arial"/>
                <w:sz w:val="18"/>
                <w:szCs w:val="18"/>
                <w:lang w:val="sk-SK" w:eastAsia="sk-SK"/>
              </w:rPr>
            </w:pPr>
          </w:p>
        </w:tc>
      </w:tr>
      <w:tr w:rsidR="00A2107D" w:rsidRPr="00226892" w14:paraId="5BC0A493" w14:textId="77777777" w:rsidTr="001C5911">
        <w:trPr>
          <w:trHeight w:val="227"/>
        </w:trPr>
        <w:tc>
          <w:tcPr>
            <w:tcW w:w="2001" w:type="pct"/>
            <w:shd w:val="clear" w:color="auto" w:fill="auto"/>
            <w:vAlign w:val="bottom"/>
            <w:hideMark/>
          </w:tcPr>
          <w:p w14:paraId="73D97FC4" w14:textId="709C40B4" w:rsidR="00A2107D" w:rsidRPr="00226892" w:rsidRDefault="00A2107D" w:rsidP="002E7456">
            <w:pPr>
              <w:rPr>
                <w:rFonts w:ascii="Arial" w:eastAsia="Times New Roman" w:hAnsi="Arial" w:cs="Arial"/>
                <w:b/>
                <w:bCs/>
                <w:sz w:val="18"/>
                <w:szCs w:val="18"/>
                <w:lang w:val="sk-SK" w:eastAsia="sk-SK"/>
              </w:rPr>
            </w:pPr>
            <w:r w:rsidRPr="00226892">
              <w:rPr>
                <w:rFonts w:ascii="Arial" w:eastAsia="Times New Roman" w:hAnsi="Arial" w:cs="Arial"/>
                <w:b/>
                <w:bCs/>
                <w:sz w:val="18"/>
                <w:szCs w:val="18"/>
                <w:lang w:val="sk-SK" w:eastAsia="sk-SK"/>
              </w:rPr>
              <w:t>K 31-12-</w:t>
            </w:r>
            <w:r w:rsidR="00F63A77" w:rsidRPr="00226892">
              <w:rPr>
                <w:rFonts w:ascii="Arial" w:eastAsia="Times New Roman" w:hAnsi="Arial" w:cs="Arial"/>
                <w:b/>
                <w:bCs/>
                <w:sz w:val="18"/>
                <w:szCs w:val="18"/>
                <w:lang w:val="sk-SK" w:eastAsia="sk-SK"/>
              </w:rPr>
              <w:t>2017</w:t>
            </w:r>
          </w:p>
        </w:tc>
        <w:tc>
          <w:tcPr>
            <w:tcW w:w="910" w:type="pct"/>
            <w:shd w:val="clear" w:color="auto" w:fill="auto"/>
            <w:vAlign w:val="bottom"/>
          </w:tcPr>
          <w:p w14:paraId="0BE38FD0" w14:textId="77777777" w:rsidR="00A2107D" w:rsidRPr="00226892" w:rsidRDefault="00A2107D" w:rsidP="00FD21B8">
            <w:pPr>
              <w:jc w:val="right"/>
              <w:rPr>
                <w:rFonts w:ascii="Arial" w:eastAsia="Times New Roman" w:hAnsi="Arial" w:cs="Arial"/>
                <w:sz w:val="18"/>
                <w:szCs w:val="18"/>
                <w:lang w:val="sk-SK" w:eastAsia="sk-SK"/>
              </w:rPr>
            </w:pPr>
          </w:p>
        </w:tc>
        <w:tc>
          <w:tcPr>
            <w:tcW w:w="104" w:type="pct"/>
            <w:shd w:val="clear" w:color="auto" w:fill="auto"/>
            <w:vAlign w:val="bottom"/>
          </w:tcPr>
          <w:p w14:paraId="3410CEBE" w14:textId="77777777" w:rsidR="00A2107D" w:rsidRPr="00226892" w:rsidRDefault="00A2107D" w:rsidP="00FD21B8">
            <w:pPr>
              <w:jc w:val="right"/>
              <w:rPr>
                <w:rFonts w:ascii="Arial" w:eastAsia="Times New Roman" w:hAnsi="Arial" w:cs="Arial"/>
                <w:sz w:val="18"/>
                <w:szCs w:val="18"/>
                <w:lang w:val="sk-SK" w:eastAsia="sk-SK"/>
              </w:rPr>
            </w:pPr>
          </w:p>
        </w:tc>
        <w:tc>
          <w:tcPr>
            <w:tcW w:w="840" w:type="pct"/>
            <w:shd w:val="clear" w:color="auto" w:fill="auto"/>
            <w:vAlign w:val="bottom"/>
          </w:tcPr>
          <w:p w14:paraId="03D82100" w14:textId="77777777" w:rsidR="00A2107D" w:rsidRPr="00226892" w:rsidRDefault="00A2107D" w:rsidP="00FD21B8">
            <w:pPr>
              <w:jc w:val="right"/>
              <w:rPr>
                <w:rFonts w:ascii="Arial" w:eastAsia="Times New Roman" w:hAnsi="Arial" w:cs="Arial"/>
                <w:sz w:val="18"/>
                <w:szCs w:val="18"/>
                <w:lang w:val="sk-SK" w:eastAsia="sk-SK"/>
              </w:rPr>
            </w:pPr>
          </w:p>
        </w:tc>
        <w:tc>
          <w:tcPr>
            <w:tcW w:w="127" w:type="pct"/>
            <w:shd w:val="clear" w:color="auto" w:fill="auto"/>
            <w:vAlign w:val="bottom"/>
          </w:tcPr>
          <w:p w14:paraId="1576A58A" w14:textId="77777777" w:rsidR="00A2107D" w:rsidRPr="00226892" w:rsidRDefault="00A2107D" w:rsidP="00FD21B8">
            <w:pPr>
              <w:jc w:val="right"/>
              <w:rPr>
                <w:rFonts w:ascii="Arial" w:eastAsia="Times New Roman" w:hAnsi="Arial" w:cs="Arial"/>
                <w:sz w:val="18"/>
                <w:szCs w:val="18"/>
                <w:lang w:val="sk-SK" w:eastAsia="sk-SK"/>
              </w:rPr>
            </w:pPr>
          </w:p>
        </w:tc>
        <w:tc>
          <w:tcPr>
            <w:tcW w:w="103" w:type="pct"/>
            <w:shd w:val="clear" w:color="auto" w:fill="auto"/>
            <w:vAlign w:val="bottom"/>
          </w:tcPr>
          <w:p w14:paraId="792CCA9F" w14:textId="77777777" w:rsidR="00A2107D" w:rsidRPr="00226892" w:rsidRDefault="00A2107D" w:rsidP="00FD21B8">
            <w:pPr>
              <w:jc w:val="right"/>
              <w:rPr>
                <w:rFonts w:ascii="Arial" w:eastAsia="Times New Roman" w:hAnsi="Arial" w:cs="Arial"/>
                <w:sz w:val="18"/>
                <w:szCs w:val="18"/>
                <w:lang w:val="sk-SK" w:eastAsia="sk-SK"/>
              </w:rPr>
            </w:pPr>
          </w:p>
        </w:tc>
        <w:tc>
          <w:tcPr>
            <w:tcW w:w="916" w:type="pct"/>
            <w:shd w:val="clear" w:color="auto" w:fill="auto"/>
            <w:vAlign w:val="bottom"/>
          </w:tcPr>
          <w:p w14:paraId="46664061" w14:textId="77777777" w:rsidR="00A2107D" w:rsidRPr="00226892" w:rsidRDefault="00A2107D" w:rsidP="00FD21B8">
            <w:pPr>
              <w:jc w:val="right"/>
              <w:rPr>
                <w:rFonts w:ascii="Arial" w:eastAsia="Times New Roman" w:hAnsi="Arial" w:cs="Arial"/>
                <w:sz w:val="18"/>
                <w:szCs w:val="18"/>
                <w:lang w:val="sk-SK" w:eastAsia="sk-SK"/>
              </w:rPr>
            </w:pPr>
          </w:p>
        </w:tc>
      </w:tr>
      <w:tr w:rsidR="00914225" w:rsidRPr="00226892" w14:paraId="0957FE09" w14:textId="77777777" w:rsidTr="001C5911">
        <w:trPr>
          <w:trHeight w:val="227"/>
        </w:trPr>
        <w:tc>
          <w:tcPr>
            <w:tcW w:w="2001" w:type="pct"/>
            <w:shd w:val="clear" w:color="auto" w:fill="auto"/>
            <w:vAlign w:val="bottom"/>
            <w:hideMark/>
          </w:tcPr>
          <w:p w14:paraId="445A8350" w14:textId="77777777" w:rsidR="00914225" w:rsidRPr="00226892" w:rsidRDefault="00914225" w:rsidP="00914225">
            <w:pPr>
              <w:rPr>
                <w:rFonts w:ascii="Arial" w:eastAsia="Times New Roman" w:hAnsi="Arial" w:cs="Arial"/>
                <w:sz w:val="18"/>
                <w:szCs w:val="18"/>
                <w:lang w:val="sk-SK" w:eastAsia="sk-SK"/>
              </w:rPr>
            </w:pPr>
            <w:r w:rsidRPr="00226892">
              <w:rPr>
                <w:rFonts w:ascii="Arial" w:eastAsia="Times New Roman" w:hAnsi="Arial" w:cs="Arial"/>
                <w:sz w:val="18"/>
                <w:szCs w:val="18"/>
                <w:lang w:val="sk-SK" w:eastAsia="sk-SK"/>
              </w:rPr>
              <w:t>Úvery a pôžičky – okrem fin. lízingu</w:t>
            </w:r>
          </w:p>
          <w:p w14:paraId="0876855B" w14:textId="0AB0AA55" w:rsidR="00914225" w:rsidRPr="00226892" w:rsidRDefault="00914225" w:rsidP="00914225">
            <w:pPr>
              <w:rPr>
                <w:rFonts w:ascii="Arial" w:eastAsia="Times New Roman" w:hAnsi="Arial" w:cs="Arial"/>
                <w:sz w:val="18"/>
                <w:szCs w:val="18"/>
                <w:lang w:val="sk-SK" w:eastAsia="sk-SK"/>
              </w:rPr>
            </w:pPr>
            <w:r w:rsidRPr="00226892">
              <w:rPr>
                <w:rFonts w:ascii="Arial" w:eastAsia="Times New Roman" w:hAnsi="Arial" w:cs="Arial"/>
                <w:sz w:val="18"/>
                <w:szCs w:val="18"/>
                <w:lang w:val="sk-SK" w:eastAsia="sk-SK"/>
              </w:rPr>
              <w:t>(Pozn. 1</w:t>
            </w:r>
            <w:r w:rsidR="00522218" w:rsidRPr="00226892">
              <w:rPr>
                <w:rFonts w:ascii="Arial" w:eastAsia="Times New Roman" w:hAnsi="Arial" w:cs="Arial"/>
                <w:sz w:val="18"/>
                <w:szCs w:val="18"/>
                <w:lang w:val="sk-SK" w:eastAsia="sk-SK"/>
              </w:rPr>
              <w:t>5</w:t>
            </w:r>
            <w:r w:rsidRPr="00226892">
              <w:rPr>
                <w:rFonts w:ascii="Arial" w:eastAsia="Times New Roman" w:hAnsi="Arial" w:cs="Arial"/>
                <w:sz w:val="18"/>
                <w:szCs w:val="18"/>
                <w:lang w:val="sk-SK" w:eastAsia="sk-SK"/>
              </w:rPr>
              <w:t>)</w:t>
            </w:r>
          </w:p>
        </w:tc>
        <w:tc>
          <w:tcPr>
            <w:tcW w:w="910" w:type="pct"/>
            <w:shd w:val="clear" w:color="auto" w:fill="auto"/>
            <w:vAlign w:val="bottom"/>
          </w:tcPr>
          <w:p w14:paraId="3BCA4F0C" w14:textId="6FC13C09" w:rsidR="00914225" w:rsidRPr="00226892" w:rsidRDefault="00914225" w:rsidP="00914225">
            <w:pPr>
              <w:jc w:val="right"/>
              <w:rPr>
                <w:rFonts w:ascii="Arial" w:eastAsia="Times New Roman" w:hAnsi="Arial" w:cs="Arial"/>
                <w:sz w:val="18"/>
                <w:szCs w:val="18"/>
                <w:lang w:val="sk-SK" w:eastAsia="sk-SK"/>
              </w:rPr>
            </w:pPr>
            <w:r w:rsidRPr="00226892">
              <w:rPr>
                <w:rFonts w:ascii="Arial" w:eastAsia="Times New Roman" w:hAnsi="Arial" w:cs="Arial"/>
                <w:sz w:val="18"/>
                <w:szCs w:val="18"/>
                <w:lang w:val="sk-SK" w:eastAsia="sk-SK"/>
              </w:rPr>
              <w:t>2</w:t>
            </w:r>
            <w:r w:rsidR="002252EB">
              <w:rPr>
                <w:rFonts w:ascii="Arial" w:eastAsia="Times New Roman" w:hAnsi="Arial" w:cs="Arial"/>
                <w:sz w:val="18"/>
                <w:szCs w:val="18"/>
                <w:lang w:val="sk-SK" w:eastAsia="sk-SK"/>
              </w:rPr>
              <w:t>6 555</w:t>
            </w:r>
          </w:p>
        </w:tc>
        <w:tc>
          <w:tcPr>
            <w:tcW w:w="104" w:type="pct"/>
            <w:shd w:val="clear" w:color="auto" w:fill="auto"/>
            <w:vAlign w:val="bottom"/>
          </w:tcPr>
          <w:p w14:paraId="5B475168" w14:textId="77777777" w:rsidR="00914225" w:rsidRPr="00226892" w:rsidRDefault="00914225" w:rsidP="00914225">
            <w:pPr>
              <w:jc w:val="right"/>
              <w:rPr>
                <w:rFonts w:ascii="Arial" w:eastAsia="Times New Roman" w:hAnsi="Arial" w:cs="Arial"/>
                <w:sz w:val="18"/>
                <w:szCs w:val="18"/>
                <w:lang w:val="sk-SK" w:eastAsia="sk-SK"/>
              </w:rPr>
            </w:pPr>
          </w:p>
        </w:tc>
        <w:tc>
          <w:tcPr>
            <w:tcW w:w="840" w:type="pct"/>
            <w:shd w:val="clear" w:color="auto" w:fill="auto"/>
            <w:vAlign w:val="bottom"/>
          </w:tcPr>
          <w:p w14:paraId="5A0AD8A6" w14:textId="7630D2E9" w:rsidR="00914225" w:rsidRPr="00226892" w:rsidRDefault="002252EB" w:rsidP="00914225">
            <w:pPr>
              <w:jc w:val="right"/>
              <w:rPr>
                <w:rFonts w:ascii="Arial" w:eastAsia="Times New Roman" w:hAnsi="Arial" w:cs="Arial"/>
                <w:sz w:val="18"/>
                <w:szCs w:val="18"/>
                <w:lang w:val="sk-SK" w:eastAsia="sk-SK"/>
              </w:rPr>
            </w:pPr>
            <w:r>
              <w:rPr>
                <w:rFonts w:ascii="Arial" w:eastAsia="Times New Roman" w:hAnsi="Arial" w:cs="Arial"/>
                <w:sz w:val="18"/>
                <w:szCs w:val="18"/>
                <w:lang w:val="sk-SK" w:eastAsia="sk-SK"/>
              </w:rPr>
              <w:t>31 179</w:t>
            </w:r>
          </w:p>
        </w:tc>
        <w:tc>
          <w:tcPr>
            <w:tcW w:w="127" w:type="pct"/>
            <w:shd w:val="clear" w:color="auto" w:fill="auto"/>
            <w:vAlign w:val="bottom"/>
          </w:tcPr>
          <w:p w14:paraId="6D263849" w14:textId="77777777" w:rsidR="00914225" w:rsidRPr="00226892" w:rsidRDefault="00914225" w:rsidP="00914225">
            <w:pPr>
              <w:jc w:val="right"/>
              <w:rPr>
                <w:rFonts w:ascii="Arial" w:eastAsia="Times New Roman" w:hAnsi="Arial" w:cs="Arial"/>
                <w:sz w:val="18"/>
                <w:szCs w:val="18"/>
                <w:lang w:val="sk-SK" w:eastAsia="sk-SK"/>
              </w:rPr>
            </w:pPr>
          </w:p>
        </w:tc>
        <w:tc>
          <w:tcPr>
            <w:tcW w:w="103" w:type="pct"/>
            <w:shd w:val="clear" w:color="auto" w:fill="auto"/>
            <w:vAlign w:val="bottom"/>
          </w:tcPr>
          <w:p w14:paraId="310027F6" w14:textId="77777777" w:rsidR="00914225" w:rsidRPr="00226892" w:rsidRDefault="00914225" w:rsidP="00914225">
            <w:pPr>
              <w:jc w:val="right"/>
              <w:rPr>
                <w:rFonts w:ascii="Arial" w:eastAsia="Times New Roman" w:hAnsi="Arial" w:cs="Arial"/>
                <w:sz w:val="18"/>
                <w:szCs w:val="18"/>
                <w:lang w:val="sk-SK" w:eastAsia="sk-SK"/>
              </w:rPr>
            </w:pPr>
          </w:p>
        </w:tc>
        <w:tc>
          <w:tcPr>
            <w:tcW w:w="916" w:type="pct"/>
            <w:shd w:val="clear" w:color="auto" w:fill="auto"/>
            <w:vAlign w:val="bottom"/>
          </w:tcPr>
          <w:p w14:paraId="6E09CF06" w14:textId="04828539" w:rsidR="00914225" w:rsidRPr="00226892" w:rsidRDefault="002252EB" w:rsidP="00914225">
            <w:pPr>
              <w:jc w:val="right"/>
              <w:rPr>
                <w:rFonts w:ascii="Arial" w:eastAsia="Times New Roman" w:hAnsi="Arial" w:cs="Arial"/>
                <w:sz w:val="18"/>
                <w:szCs w:val="18"/>
                <w:lang w:val="sk-SK" w:eastAsia="sk-SK"/>
              </w:rPr>
            </w:pPr>
            <w:r>
              <w:rPr>
                <w:rFonts w:ascii="Arial" w:eastAsia="Times New Roman" w:hAnsi="Arial" w:cs="Arial"/>
                <w:sz w:val="18"/>
                <w:szCs w:val="18"/>
                <w:lang w:val="sk-SK" w:eastAsia="sk-SK"/>
              </w:rPr>
              <w:t>-</w:t>
            </w:r>
          </w:p>
        </w:tc>
      </w:tr>
      <w:tr w:rsidR="00914225" w:rsidRPr="00226892" w14:paraId="558F6BBD" w14:textId="77777777" w:rsidTr="001C5911">
        <w:trPr>
          <w:trHeight w:val="227"/>
        </w:trPr>
        <w:tc>
          <w:tcPr>
            <w:tcW w:w="2001" w:type="pct"/>
            <w:shd w:val="clear" w:color="auto" w:fill="auto"/>
            <w:vAlign w:val="bottom"/>
            <w:hideMark/>
          </w:tcPr>
          <w:p w14:paraId="0FB965A1" w14:textId="6437E752" w:rsidR="00914225" w:rsidRPr="00226892" w:rsidRDefault="00914225" w:rsidP="00914225">
            <w:pPr>
              <w:rPr>
                <w:rFonts w:ascii="Arial" w:eastAsia="Times New Roman" w:hAnsi="Arial" w:cs="Arial"/>
                <w:sz w:val="18"/>
                <w:szCs w:val="18"/>
                <w:lang w:val="sk-SK" w:eastAsia="sk-SK"/>
              </w:rPr>
            </w:pPr>
            <w:r w:rsidRPr="00226892">
              <w:rPr>
                <w:rFonts w:ascii="Arial" w:eastAsia="Times New Roman" w:hAnsi="Arial" w:cs="Arial"/>
                <w:sz w:val="18"/>
                <w:szCs w:val="18"/>
                <w:lang w:val="sk-SK" w:eastAsia="sk-SK"/>
              </w:rPr>
              <w:t>Finančný lízing (Pozn. 1</w:t>
            </w:r>
            <w:r w:rsidR="00522218" w:rsidRPr="00226892">
              <w:rPr>
                <w:rFonts w:ascii="Arial" w:eastAsia="Times New Roman" w:hAnsi="Arial" w:cs="Arial"/>
                <w:sz w:val="18"/>
                <w:szCs w:val="18"/>
                <w:lang w:val="sk-SK" w:eastAsia="sk-SK"/>
              </w:rPr>
              <w:t>5</w:t>
            </w:r>
            <w:r w:rsidRPr="00226892">
              <w:rPr>
                <w:rFonts w:ascii="Arial" w:eastAsia="Times New Roman" w:hAnsi="Arial" w:cs="Arial"/>
                <w:sz w:val="18"/>
                <w:szCs w:val="18"/>
                <w:lang w:val="sk-SK" w:eastAsia="sk-SK"/>
              </w:rPr>
              <w:t>)</w:t>
            </w:r>
          </w:p>
        </w:tc>
        <w:tc>
          <w:tcPr>
            <w:tcW w:w="910" w:type="pct"/>
            <w:shd w:val="clear" w:color="auto" w:fill="auto"/>
            <w:vAlign w:val="bottom"/>
          </w:tcPr>
          <w:p w14:paraId="053EC44A" w14:textId="757429AA" w:rsidR="00914225" w:rsidRPr="00226892" w:rsidRDefault="00914225" w:rsidP="00914225">
            <w:pPr>
              <w:jc w:val="right"/>
              <w:rPr>
                <w:rFonts w:ascii="Arial" w:eastAsia="Times New Roman" w:hAnsi="Arial" w:cs="Arial"/>
                <w:sz w:val="18"/>
                <w:szCs w:val="18"/>
                <w:lang w:val="sk-SK" w:eastAsia="sk-SK"/>
              </w:rPr>
            </w:pPr>
            <w:r w:rsidRPr="00226892">
              <w:rPr>
                <w:rFonts w:ascii="Arial" w:eastAsia="Times New Roman" w:hAnsi="Arial" w:cs="Arial"/>
                <w:sz w:val="18"/>
                <w:szCs w:val="18"/>
                <w:lang w:val="sk-SK" w:eastAsia="sk-SK"/>
              </w:rPr>
              <w:t>3</w:t>
            </w:r>
            <w:r w:rsidR="002252EB">
              <w:rPr>
                <w:rFonts w:ascii="Arial" w:eastAsia="Times New Roman" w:hAnsi="Arial" w:cs="Arial"/>
                <w:sz w:val="18"/>
                <w:szCs w:val="18"/>
                <w:lang w:val="sk-SK" w:eastAsia="sk-SK"/>
              </w:rPr>
              <w:t>25</w:t>
            </w:r>
          </w:p>
        </w:tc>
        <w:tc>
          <w:tcPr>
            <w:tcW w:w="104" w:type="pct"/>
            <w:shd w:val="clear" w:color="auto" w:fill="auto"/>
            <w:vAlign w:val="bottom"/>
          </w:tcPr>
          <w:p w14:paraId="53FD046D" w14:textId="77777777" w:rsidR="00914225" w:rsidRPr="00226892" w:rsidRDefault="00914225" w:rsidP="00914225">
            <w:pPr>
              <w:jc w:val="right"/>
              <w:rPr>
                <w:rFonts w:ascii="Arial" w:eastAsia="Times New Roman" w:hAnsi="Arial" w:cs="Arial"/>
                <w:sz w:val="18"/>
                <w:szCs w:val="18"/>
                <w:lang w:val="sk-SK" w:eastAsia="sk-SK"/>
              </w:rPr>
            </w:pPr>
          </w:p>
        </w:tc>
        <w:tc>
          <w:tcPr>
            <w:tcW w:w="840" w:type="pct"/>
            <w:shd w:val="clear" w:color="auto" w:fill="auto"/>
            <w:vAlign w:val="bottom"/>
          </w:tcPr>
          <w:p w14:paraId="2C9FB69F" w14:textId="73B40B2D" w:rsidR="00914225" w:rsidRPr="00226892" w:rsidRDefault="00914225" w:rsidP="00914225">
            <w:pPr>
              <w:jc w:val="right"/>
              <w:rPr>
                <w:rFonts w:ascii="Arial" w:eastAsia="Times New Roman" w:hAnsi="Arial" w:cs="Arial"/>
                <w:sz w:val="18"/>
                <w:szCs w:val="18"/>
                <w:lang w:val="sk-SK" w:eastAsia="sk-SK"/>
              </w:rPr>
            </w:pPr>
            <w:r w:rsidRPr="00226892">
              <w:rPr>
                <w:rFonts w:ascii="Arial" w:eastAsia="Times New Roman" w:hAnsi="Arial" w:cs="Arial"/>
                <w:sz w:val="18"/>
                <w:szCs w:val="18"/>
                <w:lang w:val="sk-SK" w:eastAsia="sk-SK"/>
              </w:rPr>
              <w:t>5</w:t>
            </w:r>
            <w:r w:rsidR="002252EB">
              <w:rPr>
                <w:rFonts w:ascii="Arial" w:eastAsia="Times New Roman" w:hAnsi="Arial" w:cs="Arial"/>
                <w:sz w:val="18"/>
                <w:szCs w:val="18"/>
                <w:lang w:val="sk-SK" w:eastAsia="sk-SK"/>
              </w:rPr>
              <w:t>24</w:t>
            </w:r>
          </w:p>
        </w:tc>
        <w:tc>
          <w:tcPr>
            <w:tcW w:w="127" w:type="pct"/>
            <w:shd w:val="clear" w:color="auto" w:fill="auto"/>
            <w:vAlign w:val="bottom"/>
          </w:tcPr>
          <w:p w14:paraId="062DB041" w14:textId="77777777" w:rsidR="00914225" w:rsidRPr="00226892" w:rsidRDefault="00914225" w:rsidP="00914225">
            <w:pPr>
              <w:jc w:val="right"/>
              <w:rPr>
                <w:rFonts w:ascii="Arial" w:eastAsia="Times New Roman" w:hAnsi="Arial" w:cs="Arial"/>
                <w:sz w:val="18"/>
                <w:szCs w:val="18"/>
                <w:lang w:val="sk-SK" w:eastAsia="sk-SK"/>
              </w:rPr>
            </w:pPr>
          </w:p>
        </w:tc>
        <w:tc>
          <w:tcPr>
            <w:tcW w:w="103" w:type="pct"/>
            <w:shd w:val="clear" w:color="auto" w:fill="auto"/>
            <w:vAlign w:val="bottom"/>
          </w:tcPr>
          <w:p w14:paraId="2E9B20B2" w14:textId="77777777" w:rsidR="00914225" w:rsidRPr="00226892" w:rsidRDefault="00914225" w:rsidP="00914225">
            <w:pPr>
              <w:jc w:val="right"/>
              <w:rPr>
                <w:rFonts w:ascii="Arial" w:eastAsia="Times New Roman" w:hAnsi="Arial" w:cs="Arial"/>
                <w:sz w:val="18"/>
                <w:szCs w:val="18"/>
                <w:lang w:val="sk-SK" w:eastAsia="sk-SK"/>
              </w:rPr>
            </w:pPr>
          </w:p>
        </w:tc>
        <w:tc>
          <w:tcPr>
            <w:tcW w:w="916" w:type="pct"/>
            <w:shd w:val="clear" w:color="auto" w:fill="auto"/>
            <w:vAlign w:val="bottom"/>
          </w:tcPr>
          <w:p w14:paraId="10422B9A" w14:textId="1FD3098C" w:rsidR="00914225" w:rsidRPr="00226892" w:rsidRDefault="00914225" w:rsidP="00914225">
            <w:pPr>
              <w:jc w:val="right"/>
              <w:rPr>
                <w:rFonts w:ascii="Arial" w:eastAsia="Times New Roman" w:hAnsi="Arial" w:cs="Arial"/>
                <w:sz w:val="18"/>
                <w:szCs w:val="18"/>
                <w:lang w:val="sk-SK" w:eastAsia="sk-SK"/>
              </w:rPr>
            </w:pPr>
            <w:r w:rsidRPr="00226892">
              <w:rPr>
                <w:rFonts w:ascii="Arial" w:eastAsia="Times New Roman" w:hAnsi="Arial" w:cs="Arial"/>
                <w:sz w:val="18"/>
                <w:szCs w:val="18"/>
                <w:lang w:val="sk-SK" w:eastAsia="sk-SK"/>
              </w:rPr>
              <w:t>-</w:t>
            </w:r>
          </w:p>
        </w:tc>
      </w:tr>
      <w:tr w:rsidR="00914225" w:rsidRPr="00226892" w14:paraId="6E54EEA3" w14:textId="77777777" w:rsidTr="001C5911">
        <w:trPr>
          <w:trHeight w:val="227"/>
        </w:trPr>
        <w:tc>
          <w:tcPr>
            <w:tcW w:w="2001" w:type="pct"/>
            <w:shd w:val="clear" w:color="auto" w:fill="auto"/>
            <w:vAlign w:val="bottom"/>
            <w:hideMark/>
          </w:tcPr>
          <w:p w14:paraId="7A2525B9" w14:textId="000A0415" w:rsidR="00914225" w:rsidRPr="00226892" w:rsidRDefault="00914225" w:rsidP="00914225">
            <w:pPr>
              <w:rPr>
                <w:rFonts w:ascii="Arial" w:eastAsia="Times New Roman" w:hAnsi="Arial" w:cs="Arial"/>
                <w:sz w:val="18"/>
                <w:szCs w:val="18"/>
                <w:lang w:val="sk-SK" w:eastAsia="sk-SK"/>
              </w:rPr>
            </w:pPr>
            <w:r w:rsidRPr="00226892">
              <w:rPr>
                <w:rFonts w:ascii="Arial" w:eastAsia="Times New Roman" w:hAnsi="Arial" w:cs="Arial"/>
                <w:sz w:val="18"/>
                <w:szCs w:val="18"/>
                <w:lang w:val="sk-SK" w:eastAsia="sk-SK"/>
              </w:rPr>
              <w:t>Záväzky z obchodného styku a iné záväzky (okrem záväzkov nespadajúcich pod IFRS 7) (Pozn. 1</w:t>
            </w:r>
            <w:r w:rsidR="00522218" w:rsidRPr="00226892">
              <w:rPr>
                <w:rFonts w:ascii="Arial" w:eastAsia="Times New Roman" w:hAnsi="Arial" w:cs="Arial"/>
                <w:sz w:val="18"/>
                <w:szCs w:val="18"/>
                <w:lang w:val="sk-SK" w:eastAsia="sk-SK"/>
              </w:rPr>
              <w:t>8</w:t>
            </w:r>
            <w:r w:rsidRPr="00226892">
              <w:rPr>
                <w:rFonts w:ascii="Arial" w:eastAsia="Times New Roman" w:hAnsi="Arial" w:cs="Arial"/>
                <w:sz w:val="18"/>
                <w:szCs w:val="18"/>
                <w:lang w:val="sk-SK" w:eastAsia="sk-SK"/>
              </w:rPr>
              <w:t>)</w:t>
            </w:r>
          </w:p>
        </w:tc>
        <w:tc>
          <w:tcPr>
            <w:tcW w:w="910" w:type="pct"/>
            <w:tcBorders>
              <w:bottom w:val="single" w:sz="4" w:space="0" w:color="auto"/>
            </w:tcBorders>
            <w:shd w:val="clear" w:color="auto" w:fill="auto"/>
            <w:vAlign w:val="bottom"/>
          </w:tcPr>
          <w:p w14:paraId="6F2CDA1A" w14:textId="7E21F5E1" w:rsidR="00914225" w:rsidRPr="00226892" w:rsidRDefault="00914225" w:rsidP="00914225">
            <w:pPr>
              <w:jc w:val="right"/>
              <w:rPr>
                <w:rFonts w:ascii="Arial" w:eastAsia="Times New Roman" w:hAnsi="Arial" w:cs="Arial"/>
                <w:sz w:val="18"/>
                <w:szCs w:val="18"/>
                <w:lang w:val="sk-SK" w:eastAsia="sk-SK"/>
              </w:rPr>
            </w:pPr>
            <w:r w:rsidRPr="00226892">
              <w:rPr>
                <w:rFonts w:ascii="Arial" w:eastAsia="Times New Roman" w:hAnsi="Arial" w:cs="Arial"/>
                <w:sz w:val="18"/>
                <w:szCs w:val="18"/>
                <w:lang w:val="sk-SK" w:eastAsia="sk-SK"/>
              </w:rPr>
              <w:t>29 317</w:t>
            </w:r>
          </w:p>
        </w:tc>
        <w:tc>
          <w:tcPr>
            <w:tcW w:w="104" w:type="pct"/>
            <w:tcBorders>
              <w:bottom w:val="single" w:sz="4" w:space="0" w:color="auto"/>
            </w:tcBorders>
            <w:shd w:val="clear" w:color="auto" w:fill="auto"/>
            <w:vAlign w:val="bottom"/>
          </w:tcPr>
          <w:p w14:paraId="26B81C25" w14:textId="77777777" w:rsidR="00914225" w:rsidRPr="00226892" w:rsidRDefault="00914225" w:rsidP="00914225">
            <w:pPr>
              <w:jc w:val="right"/>
              <w:rPr>
                <w:rFonts w:ascii="Arial" w:eastAsia="Times New Roman" w:hAnsi="Arial" w:cs="Arial"/>
                <w:sz w:val="18"/>
                <w:szCs w:val="18"/>
                <w:lang w:val="sk-SK" w:eastAsia="sk-SK"/>
              </w:rPr>
            </w:pPr>
          </w:p>
        </w:tc>
        <w:tc>
          <w:tcPr>
            <w:tcW w:w="840" w:type="pct"/>
            <w:tcBorders>
              <w:bottom w:val="single" w:sz="4" w:space="0" w:color="auto"/>
            </w:tcBorders>
            <w:shd w:val="clear" w:color="auto" w:fill="auto"/>
            <w:vAlign w:val="bottom"/>
          </w:tcPr>
          <w:p w14:paraId="001C854C" w14:textId="77E2B784" w:rsidR="00914225" w:rsidRPr="00226892" w:rsidRDefault="00914225" w:rsidP="00914225">
            <w:pPr>
              <w:jc w:val="right"/>
              <w:rPr>
                <w:rFonts w:ascii="Arial" w:eastAsia="Times New Roman" w:hAnsi="Arial" w:cs="Arial"/>
                <w:sz w:val="18"/>
                <w:szCs w:val="18"/>
                <w:lang w:val="sk-SK" w:eastAsia="sk-SK"/>
              </w:rPr>
            </w:pPr>
            <w:r w:rsidRPr="00226892">
              <w:rPr>
                <w:rFonts w:ascii="Arial" w:eastAsia="Times New Roman" w:hAnsi="Arial" w:cs="Arial"/>
                <w:sz w:val="18"/>
                <w:szCs w:val="18"/>
                <w:lang w:val="sk-SK" w:eastAsia="sk-SK"/>
              </w:rPr>
              <w:t>-</w:t>
            </w:r>
          </w:p>
        </w:tc>
        <w:tc>
          <w:tcPr>
            <w:tcW w:w="127" w:type="pct"/>
            <w:tcBorders>
              <w:bottom w:val="single" w:sz="4" w:space="0" w:color="auto"/>
            </w:tcBorders>
            <w:shd w:val="clear" w:color="auto" w:fill="auto"/>
            <w:vAlign w:val="bottom"/>
          </w:tcPr>
          <w:p w14:paraId="61325D85" w14:textId="77777777" w:rsidR="00914225" w:rsidRPr="00226892" w:rsidRDefault="00914225" w:rsidP="00914225">
            <w:pPr>
              <w:jc w:val="right"/>
              <w:rPr>
                <w:rFonts w:ascii="Arial" w:eastAsia="Times New Roman" w:hAnsi="Arial" w:cs="Arial"/>
                <w:sz w:val="18"/>
                <w:szCs w:val="18"/>
                <w:lang w:val="sk-SK" w:eastAsia="sk-SK"/>
              </w:rPr>
            </w:pPr>
          </w:p>
        </w:tc>
        <w:tc>
          <w:tcPr>
            <w:tcW w:w="103" w:type="pct"/>
            <w:tcBorders>
              <w:bottom w:val="single" w:sz="4" w:space="0" w:color="auto"/>
            </w:tcBorders>
            <w:shd w:val="clear" w:color="auto" w:fill="auto"/>
            <w:vAlign w:val="bottom"/>
          </w:tcPr>
          <w:p w14:paraId="36E23FF3" w14:textId="77777777" w:rsidR="00914225" w:rsidRPr="00226892" w:rsidRDefault="00914225" w:rsidP="00914225">
            <w:pPr>
              <w:jc w:val="right"/>
              <w:rPr>
                <w:rFonts w:ascii="Arial" w:eastAsia="Times New Roman" w:hAnsi="Arial" w:cs="Arial"/>
                <w:sz w:val="18"/>
                <w:szCs w:val="18"/>
                <w:lang w:val="sk-SK" w:eastAsia="sk-SK"/>
              </w:rPr>
            </w:pPr>
          </w:p>
        </w:tc>
        <w:tc>
          <w:tcPr>
            <w:tcW w:w="916" w:type="pct"/>
            <w:tcBorders>
              <w:bottom w:val="single" w:sz="4" w:space="0" w:color="auto"/>
            </w:tcBorders>
            <w:shd w:val="clear" w:color="auto" w:fill="auto"/>
            <w:vAlign w:val="bottom"/>
          </w:tcPr>
          <w:p w14:paraId="20BC2E9D" w14:textId="4FA729AE" w:rsidR="00914225" w:rsidRPr="00226892" w:rsidRDefault="00914225" w:rsidP="00914225">
            <w:pPr>
              <w:jc w:val="right"/>
              <w:rPr>
                <w:rFonts w:ascii="Arial" w:eastAsia="Times New Roman" w:hAnsi="Arial" w:cs="Arial"/>
                <w:sz w:val="18"/>
                <w:szCs w:val="18"/>
                <w:lang w:val="sk-SK" w:eastAsia="sk-SK"/>
              </w:rPr>
            </w:pPr>
            <w:r w:rsidRPr="00226892">
              <w:rPr>
                <w:rFonts w:ascii="Arial" w:eastAsia="Times New Roman" w:hAnsi="Arial" w:cs="Arial"/>
                <w:sz w:val="18"/>
                <w:szCs w:val="18"/>
                <w:lang w:val="sk-SK" w:eastAsia="sk-SK"/>
              </w:rPr>
              <w:t>-</w:t>
            </w:r>
          </w:p>
        </w:tc>
      </w:tr>
      <w:tr w:rsidR="00914225" w:rsidRPr="00226892" w14:paraId="74E77E35" w14:textId="77777777" w:rsidTr="001C5911">
        <w:trPr>
          <w:trHeight w:val="227"/>
        </w:trPr>
        <w:tc>
          <w:tcPr>
            <w:tcW w:w="2001" w:type="pct"/>
            <w:shd w:val="clear" w:color="auto" w:fill="auto"/>
            <w:vAlign w:val="bottom"/>
            <w:hideMark/>
          </w:tcPr>
          <w:p w14:paraId="4B53C67F" w14:textId="77777777" w:rsidR="00914225" w:rsidRPr="00226892" w:rsidRDefault="00914225" w:rsidP="00914225">
            <w:pPr>
              <w:rPr>
                <w:rFonts w:ascii="Arial" w:eastAsia="Times New Roman" w:hAnsi="Arial" w:cs="Arial"/>
                <w:b/>
                <w:bCs/>
                <w:sz w:val="18"/>
                <w:szCs w:val="18"/>
                <w:lang w:val="sk-SK" w:eastAsia="sk-SK"/>
              </w:rPr>
            </w:pPr>
            <w:r w:rsidRPr="00226892">
              <w:rPr>
                <w:rFonts w:ascii="Arial" w:eastAsia="Times New Roman" w:hAnsi="Arial" w:cs="Arial"/>
                <w:b/>
                <w:bCs/>
                <w:sz w:val="18"/>
                <w:szCs w:val="18"/>
                <w:lang w:val="sk-SK" w:eastAsia="sk-SK"/>
              </w:rPr>
              <w:t>Spolu</w:t>
            </w:r>
          </w:p>
        </w:tc>
        <w:tc>
          <w:tcPr>
            <w:tcW w:w="910" w:type="pct"/>
            <w:tcBorders>
              <w:top w:val="single" w:sz="4" w:space="0" w:color="auto"/>
              <w:bottom w:val="double" w:sz="4" w:space="0" w:color="auto"/>
            </w:tcBorders>
            <w:shd w:val="clear" w:color="auto" w:fill="auto"/>
            <w:vAlign w:val="bottom"/>
          </w:tcPr>
          <w:p w14:paraId="674450F5" w14:textId="5ED63B09" w:rsidR="00914225" w:rsidRPr="00226892" w:rsidRDefault="00914225" w:rsidP="00914225">
            <w:pPr>
              <w:jc w:val="right"/>
              <w:rPr>
                <w:rFonts w:ascii="Arial" w:eastAsia="Times New Roman" w:hAnsi="Arial" w:cs="Arial"/>
                <w:b/>
                <w:bCs/>
                <w:sz w:val="18"/>
                <w:szCs w:val="18"/>
                <w:lang w:val="sk-SK" w:eastAsia="sk-SK"/>
              </w:rPr>
            </w:pPr>
            <w:r w:rsidRPr="00226892">
              <w:rPr>
                <w:rFonts w:ascii="Arial" w:eastAsia="Times New Roman" w:hAnsi="Arial" w:cs="Arial"/>
                <w:b/>
                <w:bCs/>
                <w:sz w:val="18"/>
                <w:szCs w:val="18"/>
                <w:lang w:val="sk-SK" w:eastAsia="sk-SK"/>
              </w:rPr>
              <w:t>5</w:t>
            </w:r>
            <w:r w:rsidR="002252EB">
              <w:rPr>
                <w:rFonts w:ascii="Arial" w:eastAsia="Times New Roman" w:hAnsi="Arial" w:cs="Arial"/>
                <w:b/>
                <w:bCs/>
                <w:sz w:val="18"/>
                <w:szCs w:val="18"/>
                <w:lang w:val="sk-SK" w:eastAsia="sk-SK"/>
              </w:rPr>
              <w:t>6 197</w:t>
            </w:r>
          </w:p>
        </w:tc>
        <w:tc>
          <w:tcPr>
            <w:tcW w:w="104" w:type="pct"/>
            <w:tcBorders>
              <w:top w:val="single" w:sz="4" w:space="0" w:color="auto"/>
              <w:bottom w:val="double" w:sz="4" w:space="0" w:color="auto"/>
            </w:tcBorders>
            <w:shd w:val="clear" w:color="auto" w:fill="auto"/>
            <w:vAlign w:val="bottom"/>
          </w:tcPr>
          <w:p w14:paraId="42E2C050" w14:textId="77777777" w:rsidR="00914225" w:rsidRPr="00226892" w:rsidRDefault="00914225" w:rsidP="00914225">
            <w:pPr>
              <w:jc w:val="right"/>
              <w:rPr>
                <w:rFonts w:ascii="Arial" w:eastAsia="Times New Roman" w:hAnsi="Arial" w:cs="Arial"/>
                <w:b/>
                <w:bCs/>
                <w:sz w:val="18"/>
                <w:szCs w:val="18"/>
                <w:lang w:val="sk-SK" w:eastAsia="sk-SK"/>
              </w:rPr>
            </w:pPr>
          </w:p>
        </w:tc>
        <w:tc>
          <w:tcPr>
            <w:tcW w:w="840" w:type="pct"/>
            <w:tcBorders>
              <w:top w:val="single" w:sz="4" w:space="0" w:color="auto"/>
              <w:bottom w:val="double" w:sz="4" w:space="0" w:color="auto"/>
            </w:tcBorders>
            <w:shd w:val="clear" w:color="auto" w:fill="auto"/>
            <w:vAlign w:val="bottom"/>
          </w:tcPr>
          <w:p w14:paraId="0FF899D4" w14:textId="6A1EB45C" w:rsidR="00914225" w:rsidRPr="00226892" w:rsidRDefault="002252EB" w:rsidP="00914225">
            <w:pPr>
              <w:jc w:val="right"/>
              <w:rPr>
                <w:rFonts w:ascii="Arial" w:eastAsia="Times New Roman" w:hAnsi="Arial" w:cs="Arial"/>
                <w:b/>
                <w:bCs/>
                <w:sz w:val="18"/>
                <w:szCs w:val="18"/>
                <w:lang w:val="sk-SK" w:eastAsia="sk-SK"/>
              </w:rPr>
            </w:pPr>
            <w:r>
              <w:rPr>
                <w:rFonts w:ascii="Arial" w:eastAsia="Times New Roman" w:hAnsi="Arial" w:cs="Arial"/>
                <w:b/>
                <w:bCs/>
                <w:sz w:val="18"/>
                <w:szCs w:val="18"/>
                <w:lang w:val="sk-SK" w:eastAsia="sk-SK"/>
              </w:rPr>
              <w:t>38 383</w:t>
            </w:r>
          </w:p>
        </w:tc>
        <w:tc>
          <w:tcPr>
            <w:tcW w:w="127" w:type="pct"/>
            <w:tcBorders>
              <w:top w:val="single" w:sz="4" w:space="0" w:color="auto"/>
              <w:bottom w:val="double" w:sz="4" w:space="0" w:color="auto"/>
            </w:tcBorders>
            <w:shd w:val="clear" w:color="auto" w:fill="auto"/>
            <w:vAlign w:val="bottom"/>
          </w:tcPr>
          <w:p w14:paraId="4F32088C" w14:textId="77777777" w:rsidR="00914225" w:rsidRPr="00226892" w:rsidRDefault="00914225" w:rsidP="00914225">
            <w:pPr>
              <w:jc w:val="right"/>
              <w:rPr>
                <w:rFonts w:ascii="Arial" w:eastAsia="Times New Roman" w:hAnsi="Arial" w:cs="Arial"/>
                <w:b/>
                <w:bCs/>
                <w:sz w:val="18"/>
                <w:szCs w:val="18"/>
                <w:lang w:val="sk-SK" w:eastAsia="sk-SK"/>
              </w:rPr>
            </w:pPr>
          </w:p>
        </w:tc>
        <w:tc>
          <w:tcPr>
            <w:tcW w:w="103" w:type="pct"/>
            <w:tcBorders>
              <w:top w:val="single" w:sz="4" w:space="0" w:color="auto"/>
              <w:bottom w:val="double" w:sz="4" w:space="0" w:color="auto"/>
            </w:tcBorders>
            <w:shd w:val="clear" w:color="auto" w:fill="auto"/>
            <w:vAlign w:val="bottom"/>
          </w:tcPr>
          <w:p w14:paraId="10F1DE06" w14:textId="77777777" w:rsidR="00914225" w:rsidRPr="00226892" w:rsidRDefault="00914225" w:rsidP="00914225">
            <w:pPr>
              <w:jc w:val="right"/>
              <w:rPr>
                <w:rFonts w:ascii="Arial" w:eastAsia="Times New Roman" w:hAnsi="Arial" w:cs="Arial"/>
                <w:b/>
                <w:bCs/>
                <w:sz w:val="18"/>
                <w:szCs w:val="18"/>
                <w:lang w:val="sk-SK" w:eastAsia="sk-SK"/>
              </w:rPr>
            </w:pPr>
          </w:p>
        </w:tc>
        <w:tc>
          <w:tcPr>
            <w:tcW w:w="916" w:type="pct"/>
            <w:tcBorders>
              <w:top w:val="single" w:sz="4" w:space="0" w:color="auto"/>
              <w:bottom w:val="double" w:sz="4" w:space="0" w:color="auto"/>
            </w:tcBorders>
            <w:shd w:val="clear" w:color="auto" w:fill="auto"/>
            <w:vAlign w:val="bottom"/>
          </w:tcPr>
          <w:p w14:paraId="29DF41AE" w14:textId="7C28E154" w:rsidR="00914225" w:rsidRPr="00226892" w:rsidRDefault="002252EB" w:rsidP="00914225">
            <w:pPr>
              <w:jc w:val="right"/>
              <w:rPr>
                <w:rFonts w:ascii="Arial" w:eastAsia="Times New Roman" w:hAnsi="Arial" w:cs="Arial"/>
                <w:b/>
                <w:bCs/>
                <w:sz w:val="18"/>
                <w:szCs w:val="18"/>
                <w:lang w:val="sk-SK" w:eastAsia="sk-SK"/>
              </w:rPr>
            </w:pPr>
            <w:r>
              <w:rPr>
                <w:rFonts w:ascii="Arial" w:eastAsia="Times New Roman" w:hAnsi="Arial" w:cs="Arial"/>
                <w:b/>
                <w:bCs/>
                <w:sz w:val="18"/>
                <w:szCs w:val="18"/>
                <w:lang w:val="sk-SK" w:eastAsia="sk-SK"/>
              </w:rPr>
              <w:t>-</w:t>
            </w:r>
          </w:p>
        </w:tc>
      </w:tr>
    </w:tbl>
    <w:p w14:paraId="0A290F88" w14:textId="22555AFE" w:rsidR="008338DA" w:rsidRPr="00226892" w:rsidRDefault="00744D0C" w:rsidP="00F76B0D">
      <w:pPr>
        <w:ind w:left="357"/>
        <w:jc w:val="both"/>
        <w:rPr>
          <w:rFonts w:ascii="Arial" w:hAnsi="Arial" w:cs="Arial"/>
          <w:szCs w:val="18"/>
        </w:rPr>
      </w:pPr>
      <w:r w:rsidRPr="00226892">
        <w:rPr>
          <w:rFonts w:ascii="Arial" w:hAnsi="Arial" w:cs="Arial"/>
          <w:szCs w:val="18"/>
        </w:rPr>
        <w:t xml:space="preserve"> </w:t>
      </w:r>
      <w:bookmarkEnd w:id="197"/>
      <w:r w:rsidRPr="00226892">
        <w:rPr>
          <w:rFonts w:ascii="Arial" w:hAnsi="Arial" w:cs="Arial"/>
          <w:szCs w:val="18"/>
        </w:rPr>
        <w:t xml:space="preserve"> </w:t>
      </w:r>
    </w:p>
    <w:p w14:paraId="657BCE6F" w14:textId="32F3B552" w:rsidR="00DE3D18" w:rsidRPr="00226892" w:rsidRDefault="00DE3D18" w:rsidP="001C5911">
      <w:pPr>
        <w:rPr>
          <w:rFonts w:ascii="Arial" w:hAnsi="Arial" w:cs="Arial"/>
          <w:szCs w:val="18"/>
          <w:lang w:val="sk-SK"/>
        </w:rPr>
      </w:pPr>
      <w:proofErr w:type="spellStart"/>
      <w:r w:rsidRPr="00226892">
        <w:rPr>
          <w:rFonts w:ascii="Arial" w:hAnsi="Arial" w:cs="Arial"/>
          <w:szCs w:val="18"/>
        </w:rPr>
        <w:t>Dodato</w:t>
      </w:r>
      <w:r w:rsidRPr="00226892">
        <w:rPr>
          <w:rFonts w:ascii="Arial" w:hAnsi="Arial" w:cs="Arial"/>
          <w:szCs w:val="18"/>
          <w:lang w:val="sk-SK"/>
        </w:rPr>
        <w:t>čné</w:t>
      </w:r>
      <w:proofErr w:type="spellEnd"/>
      <w:r w:rsidRPr="00226892">
        <w:rPr>
          <w:rFonts w:ascii="Arial" w:hAnsi="Arial" w:cs="Arial"/>
          <w:szCs w:val="18"/>
          <w:lang w:val="sk-SK"/>
        </w:rPr>
        <w:t xml:space="preserve"> informácie k splatnosti úverov sú uvedené v</w:t>
      </w:r>
      <w:r w:rsidR="00D13161" w:rsidRPr="00226892">
        <w:rPr>
          <w:rFonts w:ascii="Arial" w:hAnsi="Arial" w:cs="Arial"/>
          <w:szCs w:val="18"/>
          <w:lang w:val="sk-SK"/>
        </w:rPr>
        <w:t> bode 1</w:t>
      </w:r>
      <w:r w:rsidR="00522218" w:rsidRPr="00226892">
        <w:rPr>
          <w:rFonts w:ascii="Arial" w:hAnsi="Arial" w:cs="Arial"/>
          <w:szCs w:val="18"/>
          <w:lang w:val="sk-SK"/>
        </w:rPr>
        <w:t>5</w:t>
      </w:r>
      <w:r w:rsidR="00D13161" w:rsidRPr="00226892">
        <w:rPr>
          <w:rFonts w:ascii="Arial" w:hAnsi="Arial" w:cs="Arial"/>
          <w:szCs w:val="18"/>
          <w:lang w:val="sk-SK"/>
        </w:rPr>
        <w:t xml:space="preserve"> p</w:t>
      </w:r>
      <w:r w:rsidR="00394318" w:rsidRPr="00226892">
        <w:rPr>
          <w:rFonts w:ascii="Arial" w:hAnsi="Arial" w:cs="Arial"/>
          <w:szCs w:val="18"/>
          <w:lang w:val="sk-SK"/>
        </w:rPr>
        <w:t>ozn</w:t>
      </w:r>
      <w:r w:rsidR="00D13161" w:rsidRPr="00226892">
        <w:rPr>
          <w:rFonts w:ascii="Arial" w:hAnsi="Arial" w:cs="Arial"/>
          <w:szCs w:val="18"/>
          <w:lang w:val="sk-SK"/>
        </w:rPr>
        <w:t>ámok</w:t>
      </w:r>
      <w:r w:rsidR="002335A6" w:rsidRPr="00226892">
        <w:rPr>
          <w:rFonts w:ascii="Arial" w:hAnsi="Arial" w:cs="Arial"/>
          <w:szCs w:val="18"/>
          <w:lang w:val="sk-SK"/>
        </w:rPr>
        <w:t xml:space="preserve"> </w:t>
      </w:r>
      <w:proofErr w:type="spellStart"/>
      <w:r w:rsidR="00394318" w:rsidRPr="00226892">
        <w:rPr>
          <w:rFonts w:ascii="Arial" w:hAnsi="Arial" w:cs="Arial"/>
          <w:szCs w:val="18"/>
          <w:lang w:val="en-US"/>
        </w:rPr>
        <w:t>Pôžičky</w:t>
      </w:r>
      <w:proofErr w:type="spellEnd"/>
      <w:r w:rsidR="00394318" w:rsidRPr="00226892">
        <w:rPr>
          <w:rFonts w:ascii="Arial" w:hAnsi="Arial" w:cs="Arial"/>
          <w:szCs w:val="18"/>
          <w:lang w:val="en-US"/>
        </w:rPr>
        <w:t xml:space="preserve"> a ú</w:t>
      </w:r>
      <w:proofErr w:type="spellStart"/>
      <w:r w:rsidRPr="00226892">
        <w:rPr>
          <w:rFonts w:ascii="Arial" w:hAnsi="Arial" w:cs="Arial"/>
          <w:szCs w:val="18"/>
          <w:lang w:val="sk-SK"/>
        </w:rPr>
        <w:t>very</w:t>
      </w:r>
      <w:proofErr w:type="spellEnd"/>
      <w:r w:rsidRPr="00226892">
        <w:rPr>
          <w:rFonts w:ascii="Arial" w:hAnsi="Arial" w:cs="Arial"/>
          <w:szCs w:val="18"/>
          <w:lang w:val="sk-SK"/>
        </w:rPr>
        <w:t>.</w:t>
      </w:r>
    </w:p>
    <w:p w14:paraId="58FF94F7" w14:textId="77777777" w:rsidR="005443B2" w:rsidRPr="00226892" w:rsidRDefault="005443B2" w:rsidP="001C5911">
      <w:pPr>
        <w:rPr>
          <w:rFonts w:ascii="Arial" w:hAnsi="Arial" w:cs="Arial"/>
          <w:szCs w:val="18"/>
          <w:lang w:val="sk-SK"/>
        </w:rPr>
      </w:pPr>
    </w:p>
    <w:p w14:paraId="1220BB66" w14:textId="2E93A50A" w:rsidR="00673D6F" w:rsidRPr="00226892" w:rsidRDefault="00673D6F" w:rsidP="001C5911">
      <w:pPr>
        <w:suppressAutoHyphens/>
        <w:rPr>
          <w:rFonts w:ascii="Arial" w:hAnsi="Arial" w:cs="Arial"/>
          <w:i/>
          <w:lang w:val="sk-SK"/>
        </w:rPr>
      </w:pPr>
      <w:r w:rsidRPr="00226892">
        <w:rPr>
          <w:rFonts w:ascii="Arial" w:hAnsi="Arial" w:cs="Arial"/>
          <w:i/>
          <w:lang w:val="sk-SK"/>
        </w:rPr>
        <w:t>(v) Komoditné riziko</w:t>
      </w:r>
    </w:p>
    <w:p w14:paraId="0CC1FECA" w14:textId="77777777" w:rsidR="00673D6F" w:rsidRPr="00226892" w:rsidRDefault="00673D6F" w:rsidP="001C5911">
      <w:pPr>
        <w:suppressAutoHyphens/>
        <w:rPr>
          <w:rFonts w:ascii="Arial" w:hAnsi="Arial" w:cs="Arial"/>
          <w:i/>
          <w:lang w:val="sk-SK"/>
        </w:rPr>
      </w:pPr>
    </w:p>
    <w:p w14:paraId="095850D8" w14:textId="77777777" w:rsidR="00673D6F" w:rsidRPr="00226892" w:rsidRDefault="00673D6F" w:rsidP="001C5911">
      <w:pPr>
        <w:suppressAutoHyphens/>
        <w:jc w:val="both"/>
        <w:rPr>
          <w:rFonts w:ascii="Arial" w:hAnsi="Arial" w:cs="Arial"/>
          <w:lang w:val="sk-SK"/>
        </w:rPr>
      </w:pPr>
      <w:r w:rsidRPr="00226892">
        <w:rPr>
          <w:rFonts w:ascii="Arial" w:hAnsi="Arial" w:cs="Arial"/>
          <w:lang w:val="sk-SK"/>
        </w:rPr>
        <w:t xml:space="preserve">Skupina je len do zanedbateľnej miery vystavená riziku zo zmeny cien komodít, ktoré vstupujú do jej výrobného procesu. Komoditami, ktoré skupina nakupuje sú najmä oceľ a hliník. V súlade so stratégiou Skupiny sú možné riziká ako aj príležitosti súvisiace so zmenami trhových cien </w:t>
      </w:r>
      <w:proofErr w:type="spellStart"/>
      <w:r w:rsidRPr="00226892">
        <w:rPr>
          <w:rFonts w:ascii="Arial" w:hAnsi="Arial" w:cs="Arial"/>
          <w:lang w:val="sk-SK"/>
        </w:rPr>
        <w:t>oceľe</w:t>
      </w:r>
      <w:proofErr w:type="spellEnd"/>
      <w:r w:rsidRPr="00226892">
        <w:rPr>
          <w:rFonts w:ascii="Arial" w:hAnsi="Arial" w:cs="Arial"/>
          <w:lang w:val="sk-SK"/>
        </w:rPr>
        <w:t xml:space="preserve"> a hliníka prenesené na </w:t>
      </w:r>
      <w:proofErr w:type="spellStart"/>
      <w:r w:rsidRPr="00226892">
        <w:rPr>
          <w:rFonts w:ascii="Arial" w:hAnsi="Arial" w:cs="Arial"/>
          <w:lang w:val="sk-SK"/>
        </w:rPr>
        <w:t>zákaznikov</w:t>
      </w:r>
      <w:proofErr w:type="spellEnd"/>
      <w:r w:rsidRPr="00226892">
        <w:rPr>
          <w:rFonts w:ascii="Arial" w:hAnsi="Arial" w:cs="Arial"/>
          <w:lang w:val="sk-SK"/>
        </w:rPr>
        <w:t xml:space="preserve"> Skupiny. </w:t>
      </w:r>
    </w:p>
    <w:p w14:paraId="2D5E92A0" w14:textId="77777777" w:rsidR="002F35CB" w:rsidRPr="00226892" w:rsidRDefault="002F35CB">
      <w:pPr>
        <w:rPr>
          <w:rFonts w:ascii="Arial" w:hAnsi="Arial" w:cs="Arial"/>
          <w:b/>
          <w:snapToGrid w:val="0"/>
          <w:lang w:val="sk-SK" w:eastAsia="ru-RU"/>
        </w:rPr>
      </w:pPr>
      <w:bookmarkStart w:id="199" w:name="_Toc325985792"/>
      <w:bookmarkStart w:id="200" w:name="_Toc387812494"/>
    </w:p>
    <w:p w14:paraId="1EE90093" w14:textId="7E0AA598" w:rsidR="00415C82" w:rsidRPr="00226892" w:rsidRDefault="00415C82" w:rsidP="001C5911">
      <w:pPr>
        <w:pStyle w:val="Nadpis1"/>
      </w:pPr>
      <w:bookmarkStart w:id="201" w:name="_Toc27409992"/>
      <w:r w:rsidRPr="00226892">
        <w:t>Riadenie kapitálu</w:t>
      </w:r>
      <w:bookmarkEnd w:id="199"/>
      <w:bookmarkEnd w:id="200"/>
      <w:bookmarkEnd w:id="201"/>
    </w:p>
    <w:p w14:paraId="6BC7CFC8" w14:textId="77777777" w:rsidR="00415C82" w:rsidRPr="00226892" w:rsidRDefault="00415C82" w:rsidP="001C5911">
      <w:pPr>
        <w:suppressAutoHyphens/>
        <w:jc w:val="both"/>
        <w:rPr>
          <w:rFonts w:ascii="Arial" w:eastAsia="Times" w:hAnsi="Arial" w:cs="Arial"/>
          <w:bCs/>
          <w:snapToGrid w:val="0"/>
          <w:lang w:val="sk-SK"/>
        </w:rPr>
      </w:pPr>
      <w:r w:rsidRPr="00226892">
        <w:rPr>
          <w:rFonts w:ascii="Arial" w:eastAsia="Times" w:hAnsi="Arial" w:cs="Arial"/>
          <w:bCs/>
          <w:snapToGrid w:val="0"/>
          <w:lang w:val="sk-SK"/>
        </w:rPr>
        <w:t>Cieľom Skupiny pri riadení kapitálu je zabezpečiť schopnosť Skupiny pokračovať vo svojich činnostiach, dostatočnú návratnosť kapitálu pre akcionárov a udržať optimálnu štruktúru kapitálu s cieľom udržať nízke náklady financovania.</w:t>
      </w:r>
    </w:p>
    <w:p w14:paraId="6B7B1753" w14:textId="77777777" w:rsidR="00415C82" w:rsidRPr="00226892" w:rsidRDefault="00415C82" w:rsidP="001C5911">
      <w:pPr>
        <w:suppressAutoHyphens/>
        <w:jc w:val="both"/>
        <w:rPr>
          <w:rFonts w:ascii="Arial" w:eastAsia="Times" w:hAnsi="Arial" w:cs="Arial"/>
          <w:bCs/>
          <w:snapToGrid w:val="0"/>
          <w:lang w:val="sk-SK"/>
        </w:rPr>
      </w:pPr>
    </w:p>
    <w:p w14:paraId="6C3ACC1A" w14:textId="77777777" w:rsidR="00415C82" w:rsidRPr="00226892" w:rsidRDefault="00415C82" w:rsidP="001C5911">
      <w:pPr>
        <w:suppressAutoHyphens/>
        <w:jc w:val="both"/>
        <w:rPr>
          <w:rFonts w:ascii="Arial" w:eastAsia="Times" w:hAnsi="Arial" w:cs="Arial"/>
          <w:bCs/>
          <w:snapToGrid w:val="0"/>
          <w:lang w:val="sk-SK"/>
        </w:rPr>
      </w:pPr>
      <w:r w:rsidRPr="00226892">
        <w:rPr>
          <w:rFonts w:ascii="Arial" w:eastAsia="Times" w:hAnsi="Arial" w:cs="Arial"/>
          <w:bCs/>
          <w:snapToGrid w:val="0"/>
          <w:lang w:val="sk-SK"/>
        </w:rPr>
        <w:t>Aby Skupina mohla udržať alebo upraviť štruktúru kapitálu, môže upraviť výšku vyplácaných dividend, vrátiť kapitál akcionárom, vydať nové akcie alebo predať majetok s cieľom znížiť dlh.</w:t>
      </w:r>
    </w:p>
    <w:p w14:paraId="26B4F284" w14:textId="77777777" w:rsidR="00415C82" w:rsidRPr="00226892" w:rsidRDefault="00415C82" w:rsidP="00235CDF">
      <w:pPr>
        <w:pStyle w:val="odst"/>
      </w:pPr>
    </w:p>
    <w:p w14:paraId="06C8692E" w14:textId="072CEB97" w:rsidR="00415C82" w:rsidRPr="00226892" w:rsidRDefault="00415C82" w:rsidP="001C5911">
      <w:pPr>
        <w:suppressAutoHyphens/>
        <w:jc w:val="both"/>
        <w:rPr>
          <w:rFonts w:ascii="Arial" w:eastAsia="Times" w:hAnsi="Arial" w:cs="Arial"/>
          <w:bCs/>
          <w:snapToGrid w:val="0"/>
          <w:lang w:val="sk-SK"/>
        </w:rPr>
      </w:pPr>
      <w:r w:rsidRPr="00226892">
        <w:rPr>
          <w:rFonts w:ascii="Arial" w:eastAsia="Times" w:hAnsi="Arial" w:cs="Arial"/>
          <w:bCs/>
          <w:snapToGrid w:val="0"/>
          <w:lang w:val="sk-SK"/>
        </w:rPr>
        <w:t xml:space="preserve">Vedenie Skupiny spravuje kapitál akcionárov vykázaný podľa IFRS k 31. decembru </w:t>
      </w:r>
      <w:r w:rsidR="00FD3AC5" w:rsidRPr="00226892">
        <w:rPr>
          <w:rFonts w:ascii="Arial" w:eastAsia="Times" w:hAnsi="Arial" w:cs="Arial"/>
          <w:bCs/>
          <w:snapToGrid w:val="0"/>
          <w:lang w:val="sk-SK"/>
        </w:rPr>
        <w:t>2018</w:t>
      </w:r>
      <w:r w:rsidR="001843E5" w:rsidRPr="00226892">
        <w:rPr>
          <w:rFonts w:ascii="Arial" w:eastAsia="Times" w:hAnsi="Arial" w:cs="Arial"/>
          <w:bCs/>
          <w:snapToGrid w:val="0"/>
          <w:lang w:val="sk-SK"/>
        </w:rPr>
        <w:t xml:space="preserve"> </w:t>
      </w:r>
      <w:r w:rsidRPr="00226892">
        <w:rPr>
          <w:rFonts w:ascii="Arial" w:eastAsia="Times" w:hAnsi="Arial" w:cs="Arial"/>
          <w:bCs/>
          <w:snapToGrid w:val="0"/>
          <w:lang w:val="sk-SK"/>
        </w:rPr>
        <w:t>v</w:t>
      </w:r>
      <w:r w:rsidR="009F1321" w:rsidRPr="00226892">
        <w:rPr>
          <w:rFonts w:ascii="Arial" w:eastAsia="Times" w:hAnsi="Arial" w:cs="Arial"/>
          <w:bCs/>
          <w:snapToGrid w:val="0"/>
          <w:lang w:val="sk-SK"/>
        </w:rPr>
        <w:t> </w:t>
      </w:r>
      <w:r w:rsidRPr="00226892">
        <w:rPr>
          <w:rFonts w:ascii="Arial" w:eastAsia="Times" w:hAnsi="Arial" w:cs="Arial"/>
          <w:bCs/>
          <w:snapToGrid w:val="0"/>
          <w:lang w:val="sk-SK"/>
        </w:rPr>
        <w:t>hodnote</w:t>
      </w:r>
      <w:r w:rsidR="009F1321" w:rsidRPr="00226892">
        <w:rPr>
          <w:rFonts w:ascii="Arial" w:eastAsia="Times" w:hAnsi="Arial" w:cs="Arial"/>
          <w:bCs/>
          <w:snapToGrid w:val="0"/>
          <w:lang w:val="sk-SK"/>
        </w:rPr>
        <w:t xml:space="preserve"> </w:t>
      </w:r>
      <w:r w:rsidR="00F50617" w:rsidRPr="00226892">
        <w:rPr>
          <w:rFonts w:ascii="Arial" w:eastAsia="Times" w:hAnsi="Arial" w:cs="Arial"/>
          <w:bCs/>
          <w:snapToGrid w:val="0"/>
          <w:lang w:val="sk-SK"/>
        </w:rPr>
        <w:t>4</w:t>
      </w:r>
      <w:r w:rsidR="00551537" w:rsidRPr="00226892">
        <w:rPr>
          <w:rFonts w:ascii="Arial" w:eastAsia="Times" w:hAnsi="Arial" w:cs="Arial"/>
          <w:bCs/>
          <w:snapToGrid w:val="0"/>
          <w:lang w:val="sk-SK"/>
        </w:rPr>
        <w:t>5</w:t>
      </w:r>
      <w:r w:rsidR="00F50617" w:rsidRPr="00226892">
        <w:rPr>
          <w:rFonts w:ascii="Arial" w:eastAsia="Times" w:hAnsi="Arial" w:cs="Arial"/>
          <w:bCs/>
          <w:snapToGrid w:val="0"/>
          <w:lang w:val="sk-SK"/>
        </w:rPr>
        <w:t xml:space="preserve"> </w:t>
      </w:r>
      <w:r w:rsidR="00551537" w:rsidRPr="00226892">
        <w:rPr>
          <w:rFonts w:ascii="Arial" w:eastAsia="Times" w:hAnsi="Arial" w:cs="Arial"/>
          <w:bCs/>
          <w:snapToGrid w:val="0"/>
          <w:lang w:val="sk-SK"/>
        </w:rPr>
        <w:t>329</w:t>
      </w:r>
      <w:r w:rsidR="004744D4" w:rsidRPr="00226892">
        <w:rPr>
          <w:rFonts w:ascii="Arial" w:eastAsia="Times" w:hAnsi="Arial" w:cs="Arial"/>
          <w:bCs/>
          <w:snapToGrid w:val="0"/>
          <w:lang w:val="sk-SK"/>
        </w:rPr>
        <w:t xml:space="preserve"> </w:t>
      </w:r>
      <w:r w:rsidRPr="00226892">
        <w:rPr>
          <w:rFonts w:ascii="Arial" w:eastAsia="Times" w:hAnsi="Arial" w:cs="Arial"/>
          <w:bCs/>
          <w:snapToGrid w:val="0"/>
          <w:lang w:val="sk-SK"/>
        </w:rPr>
        <w:t>tis. EUR</w:t>
      </w:r>
      <w:r w:rsidR="00233F19" w:rsidRPr="00226892">
        <w:rPr>
          <w:rFonts w:ascii="Arial" w:eastAsia="Times" w:hAnsi="Arial" w:cs="Arial"/>
          <w:bCs/>
          <w:snapToGrid w:val="0"/>
          <w:lang w:val="sk-SK"/>
        </w:rPr>
        <w:t xml:space="preserve"> </w:t>
      </w:r>
      <w:r w:rsidRPr="00226892">
        <w:rPr>
          <w:rFonts w:ascii="Arial" w:eastAsia="Times" w:hAnsi="Arial" w:cs="Arial"/>
          <w:bCs/>
          <w:snapToGrid w:val="0"/>
          <w:lang w:val="sk-SK"/>
        </w:rPr>
        <w:t xml:space="preserve">(31. december </w:t>
      </w:r>
      <w:r w:rsidR="00F63A77" w:rsidRPr="00226892">
        <w:rPr>
          <w:rFonts w:ascii="Arial" w:eastAsia="Times" w:hAnsi="Arial" w:cs="Arial"/>
          <w:bCs/>
          <w:snapToGrid w:val="0"/>
          <w:lang w:val="sk-SK"/>
        </w:rPr>
        <w:t>2017</w:t>
      </w:r>
      <w:r w:rsidRPr="00226892">
        <w:rPr>
          <w:rFonts w:ascii="Arial" w:eastAsia="Times" w:hAnsi="Arial" w:cs="Arial"/>
          <w:bCs/>
          <w:snapToGrid w:val="0"/>
          <w:lang w:val="sk-SK"/>
        </w:rPr>
        <w:t xml:space="preserve">: </w:t>
      </w:r>
      <w:r w:rsidR="00914225" w:rsidRPr="00226892">
        <w:rPr>
          <w:rFonts w:ascii="Arial" w:eastAsia="Times" w:hAnsi="Arial" w:cs="Arial"/>
          <w:bCs/>
          <w:snapToGrid w:val="0"/>
          <w:lang w:val="sk-SK"/>
        </w:rPr>
        <w:t>42 391</w:t>
      </w:r>
      <w:r w:rsidRPr="00226892">
        <w:rPr>
          <w:rFonts w:ascii="Arial" w:eastAsia="Times" w:hAnsi="Arial" w:cs="Arial"/>
          <w:bCs/>
          <w:snapToGrid w:val="0"/>
          <w:lang w:val="sk-SK"/>
        </w:rPr>
        <w:t xml:space="preserve"> tis. EUR).</w:t>
      </w:r>
    </w:p>
    <w:p w14:paraId="5177B82A" w14:textId="77777777" w:rsidR="00415C82" w:rsidRPr="00226892" w:rsidRDefault="00415C82" w:rsidP="000D75E7">
      <w:pPr>
        <w:suppressAutoHyphens/>
        <w:ind w:left="357"/>
        <w:jc w:val="both"/>
        <w:rPr>
          <w:rFonts w:ascii="Arial" w:hAnsi="Arial" w:cs="Arial"/>
          <w:lang w:val="sk-SK"/>
        </w:rPr>
      </w:pPr>
    </w:p>
    <w:p w14:paraId="78E114C5" w14:textId="4CC0871C" w:rsidR="00415C82" w:rsidRPr="00226892" w:rsidRDefault="00415C82" w:rsidP="00FE07F6">
      <w:pPr>
        <w:suppressAutoHyphens/>
        <w:jc w:val="both"/>
        <w:rPr>
          <w:rFonts w:ascii="Arial" w:eastAsia="Times" w:hAnsi="Arial" w:cs="Arial"/>
          <w:bCs/>
          <w:snapToGrid w:val="0"/>
          <w:lang w:val="sk-SK"/>
        </w:rPr>
      </w:pPr>
      <w:r w:rsidRPr="00226892">
        <w:rPr>
          <w:rFonts w:ascii="Arial" w:eastAsia="Times" w:hAnsi="Arial" w:cs="Arial"/>
          <w:bCs/>
          <w:snapToGrid w:val="0"/>
          <w:lang w:val="sk-SK"/>
        </w:rPr>
        <w:t>Tak, ako iné podniky v sektore, aj Skupina monitoruje kapitál na základe dlhového pomeru. Tento pomer sa vypočíta ako pomer celkového dlhu k súčtu vlastného imania a záväzkov. Celkový dlh sa vypočíta ako suma bankových úverov a pôžičiek (vrátane krátkodobých a dlhodobých bankových úverov a pôžičiek tak, ako sú vykázané v súvahe). Celkový kapitál sa vypočíta ako vlastné imanie vykázané v súvahe plus celkový dlh.</w:t>
      </w:r>
      <w:r w:rsidR="00D5087C" w:rsidRPr="00226892">
        <w:rPr>
          <w:rFonts w:ascii="Arial" w:eastAsia="Times" w:hAnsi="Arial" w:cs="Arial"/>
          <w:bCs/>
          <w:snapToGrid w:val="0"/>
          <w:lang w:val="sk-SK"/>
        </w:rPr>
        <w:t xml:space="preserve"> Skupina dosahuje </w:t>
      </w:r>
      <w:r w:rsidR="0006106D" w:rsidRPr="00226892">
        <w:rPr>
          <w:rFonts w:ascii="Arial" w:eastAsia="Times" w:hAnsi="Arial" w:cs="Arial"/>
          <w:bCs/>
          <w:snapToGrid w:val="0"/>
          <w:lang w:val="sk-SK"/>
        </w:rPr>
        <w:t xml:space="preserve">k 31. decembru </w:t>
      </w:r>
      <w:r w:rsidR="00FD3AC5" w:rsidRPr="00226892">
        <w:rPr>
          <w:rFonts w:ascii="Arial" w:eastAsia="Times" w:hAnsi="Arial" w:cs="Arial"/>
          <w:bCs/>
          <w:snapToGrid w:val="0"/>
          <w:lang w:val="sk-SK"/>
        </w:rPr>
        <w:t>2018</w:t>
      </w:r>
      <w:r w:rsidR="001843E5" w:rsidRPr="00226892">
        <w:rPr>
          <w:rFonts w:ascii="Arial" w:eastAsia="Times" w:hAnsi="Arial" w:cs="Arial"/>
          <w:bCs/>
          <w:snapToGrid w:val="0"/>
          <w:lang w:val="sk-SK"/>
        </w:rPr>
        <w:t xml:space="preserve"> </w:t>
      </w:r>
      <w:r w:rsidR="00D5087C" w:rsidRPr="00226892">
        <w:rPr>
          <w:rFonts w:ascii="Arial" w:eastAsia="Times" w:hAnsi="Arial" w:cs="Arial"/>
          <w:bCs/>
          <w:snapToGrid w:val="0"/>
          <w:lang w:val="sk-SK"/>
        </w:rPr>
        <w:t xml:space="preserve">úroveň dlhového pomeru vo výške </w:t>
      </w:r>
      <w:r w:rsidR="00914225" w:rsidRPr="00226892">
        <w:rPr>
          <w:rFonts w:ascii="Arial" w:eastAsia="Times" w:hAnsi="Arial" w:cs="Arial"/>
          <w:bCs/>
          <w:snapToGrid w:val="0"/>
          <w:lang w:val="sk-SK"/>
        </w:rPr>
        <w:t>29</w:t>
      </w:r>
      <w:r w:rsidR="00D5087C" w:rsidRPr="00226892">
        <w:rPr>
          <w:rFonts w:ascii="Arial" w:eastAsia="Times" w:hAnsi="Arial" w:cs="Arial"/>
          <w:bCs/>
          <w:snapToGrid w:val="0"/>
          <w:lang w:val="sk-SK"/>
        </w:rPr>
        <w:t xml:space="preserve">% ( </w:t>
      </w:r>
      <w:r w:rsidR="0006106D" w:rsidRPr="00226892">
        <w:rPr>
          <w:rFonts w:ascii="Arial" w:eastAsia="Times" w:hAnsi="Arial" w:cs="Arial"/>
          <w:bCs/>
          <w:snapToGrid w:val="0"/>
          <w:lang w:val="sk-SK"/>
        </w:rPr>
        <w:t xml:space="preserve">k 31. decembru </w:t>
      </w:r>
      <w:r w:rsidR="00F63A77" w:rsidRPr="00226892">
        <w:rPr>
          <w:rFonts w:ascii="Arial" w:eastAsia="Times" w:hAnsi="Arial" w:cs="Arial"/>
          <w:bCs/>
          <w:snapToGrid w:val="0"/>
          <w:lang w:val="sk-SK"/>
        </w:rPr>
        <w:t>2017</w:t>
      </w:r>
      <w:r w:rsidR="00D5087C" w:rsidRPr="00226892">
        <w:rPr>
          <w:rFonts w:ascii="Arial" w:eastAsia="Times" w:hAnsi="Arial" w:cs="Arial"/>
          <w:bCs/>
          <w:snapToGrid w:val="0"/>
          <w:lang w:val="sk-SK"/>
        </w:rPr>
        <w:t xml:space="preserve">: </w:t>
      </w:r>
      <w:r w:rsidR="009F7DC5" w:rsidRPr="00226892">
        <w:rPr>
          <w:rFonts w:ascii="Arial" w:eastAsia="Times" w:hAnsi="Arial" w:cs="Arial"/>
          <w:bCs/>
          <w:snapToGrid w:val="0"/>
          <w:lang w:val="sk-SK"/>
        </w:rPr>
        <w:t>4</w:t>
      </w:r>
      <w:r w:rsidR="00914225" w:rsidRPr="00226892">
        <w:rPr>
          <w:rFonts w:ascii="Arial" w:eastAsia="Times" w:hAnsi="Arial" w:cs="Arial"/>
          <w:bCs/>
          <w:snapToGrid w:val="0"/>
          <w:lang w:val="sk-SK"/>
        </w:rPr>
        <w:t>1</w:t>
      </w:r>
      <w:r w:rsidR="00D5087C" w:rsidRPr="00226892">
        <w:rPr>
          <w:rFonts w:ascii="Arial" w:eastAsia="Times" w:hAnsi="Arial" w:cs="Arial"/>
          <w:bCs/>
          <w:snapToGrid w:val="0"/>
          <w:lang w:val="sk-SK"/>
        </w:rPr>
        <w:t>%).</w:t>
      </w:r>
    </w:p>
    <w:p w14:paraId="6DE6D0E2" w14:textId="77777777" w:rsidR="00415C82" w:rsidRPr="00226892" w:rsidRDefault="00415C82" w:rsidP="00FE07F6">
      <w:pPr>
        <w:suppressAutoHyphens/>
        <w:jc w:val="both"/>
        <w:rPr>
          <w:rFonts w:ascii="Arial" w:eastAsia="Times" w:hAnsi="Arial" w:cs="Arial"/>
          <w:bCs/>
          <w:snapToGrid w:val="0"/>
          <w:lang w:val="sk-SK"/>
        </w:rPr>
      </w:pPr>
    </w:p>
    <w:p w14:paraId="4AE8701A" w14:textId="1A87CE9F" w:rsidR="00415C82" w:rsidRPr="00226892" w:rsidRDefault="00415C82" w:rsidP="00FE07F6">
      <w:pPr>
        <w:suppressAutoHyphens/>
        <w:jc w:val="both"/>
        <w:rPr>
          <w:rFonts w:ascii="Arial" w:eastAsia="Times" w:hAnsi="Arial" w:cs="Arial"/>
          <w:bCs/>
          <w:snapToGrid w:val="0"/>
          <w:lang w:val="sk-SK"/>
        </w:rPr>
      </w:pPr>
      <w:r w:rsidRPr="00226892">
        <w:rPr>
          <w:rFonts w:ascii="Arial" w:eastAsia="Times" w:hAnsi="Arial" w:cs="Arial"/>
          <w:bCs/>
          <w:snapToGrid w:val="0"/>
          <w:lang w:val="sk-SK"/>
        </w:rPr>
        <w:t xml:space="preserve">V roku </w:t>
      </w:r>
      <w:r w:rsidR="00FD3AC5" w:rsidRPr="00226892">
        <w:rPr>
          <w:rFonts w:ascii="Arial" w:eastAsia="Times" w:hAnsi="Arial" w:cs="Arial"/>
          <w:bCs/>
          <w:snapToGrid w:val="0"/>
          <w:lang w:val="sk-SK"/>
        </w:rPr>
        <w:t>2018</w:t>
      </w:r>
      <w:r w:rsidR="00AD6521" w:rsidRPr="00226892">
        <w:rPr>
          <w:rFonts w:ascii="Arial" w:eastAsia="Times" w:hAnsi="Arial" w:cs="Arial"/>
          <w:bCs/>
          <w:snapToGrid w:val="0"/>
          <w:lang w:val="sk-SK"/>
        </w:rPr>
        <w:t xml:space="preserve"> </w:t>
      </w:r>
      <w:r w:rsidRPr="00226892">
        <w:rPr>
          <w:rFonts w:ascii="Arial" w:eastAsia="Times" w:hAnsi="Arial" w:cs="Arial"/>
          <w:bCs/>
          <w:snapToGrid w:val="0"/>
          <w:lang w:val="sk-SK"/>
        </w:rPr>
        <w:t xml:space="preserve">bolo stratégiou Skupiny udržať ukazovateľ dlhového pomeru na optimálnej úrovni vyplývajúcej z úverových zmlúv Skupiny. </w:t>
      </w:r>
    </w:p>
    <w:p w14:paraId="522174FA" w14:textId="77777777" w:rsidR="00415C82" w:rsidRPr="00226892" w:rsidRDefault="00415C82" w:rsidP="00FE07F6">
      <w:pPr>
        <w:suppressAutoHyphens/>
        <w:jc w:val="both"/>
        <w:rPr>
          <w:rFonts w:ascii="Arial" w:eastAsia="Times" w:hAnsi="Arial" w:cs="Arial"/>
          <w:bCs/>
          <w:snapToGrid w:val="0"/>
          <w:lang w:val="sk-SK"/>
        </w:rPr>
      </w:pPr>
    </w:p>
    <w:p w14:paraId="68918B5C" w14:textId="23DDCF6B" w:rsidR="00415C82" w:rsidRPr="00226892" w:rsidRDefault="00415C82" w:rsidP="00FE07F6">
      <w:pPr>
        <w:suppressAutoHyphens/>
        <w:jc w:val="both"/>
        <w:rPr>
          <w:rFonts w:ascii="Arial" w:eastAsia="Times" w:hAnsi="Arial" w:cs="Arial"/>
          <w:bCs/>
          <w:snapToGrid w:val="0"/>
          <w:lang w:val="sk-SK"/>
        </w:rPr>
      </w:pPr>
      <w:r w:rsidRPr="00226892">
        <w:rPr>
          <w:rFonts w:ascii="Arial" w:eastAsia="Times" w:hAnsi="Arial" w:cs="Arial"/>
          <w:bCs/>
          <w:snapToGrid w:val="0"/>
          <w:lang w:val="sk-SK"/>
        </w:rPr>
        <w:t>Ďalšie informácie ohľadne externe stanovených ukazovateľov sú uvedené v</w:t>
      </w:r>
      <w:r w:rsidR="00D13161" w:rsidRPr="00226892">
        <w:rPr>
          <w:rFonts w:ascii="Arial" w:eastAsia="Times" w:hAnsi="Arial" w:cs="Arial"/>
          <w:bCs/>
          <w:snapToGrid w:val="0"/>
          <w:lang w:val="sk-SK"/>
        </w:rPr>
        <w:t> bode 1</w:t>
      </w:r>
      <w:r w:rsidR="00522218" w:rsidRPr="00226892">
        <w:rPr>
          <w:rFonts w:ascii="Arial" w:eastAsia="Times" w:hAnsi="Arial" w:cs="Arial"/>
          <w:bCs/>
          <w:snapToGrid w:val="0"/>
          <w:lang w:val="sk-SK"/>
        </w:rPr>
        <w:t>5</w:t>
      </w:r>
      <w:r w:rsidR="00D13161" w:rsidRPr="00226892">
        <w:rPr>
          <w:rFonts w:ascii="Arial" w:eastAsia="Times" w:hAnsi="Arial" w:cs="Arial"/>
          <w:bCs/>
          <w:snapToGrid w:val="0"/>
          <w:lang w:val="sk-SK"/>
        </w:rPr>
        <w:t xml:space="preserve"> p</w:t>
      </w:r>
      <w:r w:rsidRPr="00226892">
        <w:rPr>
          <w:rFonts w:ascii="Arial" w:eastAsia="Times" w:hAnsi="Arial" w:cs="Arial"/>
          <w:bCs/>
          <w:snapToGrid w:val="0"/>
          <w:lang w:val="sk-SK"/>
        </w:rPr>
        <w:t>oznám</w:t>
      </w:r>
      <w:r w:rsidR="00D13161" w:rsidRPr="00226892">
        <w:rPr>
          <w:rFonts w:ascii="Arial" w:eastAsia="Times" w:hAnsi="Arial" w:cs="Arial"/>
          <w:bCs/>
          <w:snapToGrid w:val="0"/>
          <w:lang w:val="sk-SK"/>
        </w:rPr>
        <w:t>ok</w:t>
      </w:r>
      <w:r w:rsidRPr="00226892">
        <w:rPr>
          <w:rFonts w:ascii="Arial" w:eastAsia="Times" w:hAnsi="Arial" w:cs="Arial"/>
          <w:bCs/>
          <w:snapToGrid w:val="0"/>
          <w:lang w:val="sk-SK"/>
        </w:rPr>
        <w:t xml:space="preserve">. </w:t>
      </w:r>
    </w:p>
    <w:p w14:paraId="6C155AD7" w14:textId="42C1666D" w:rsidR="00ED57D8" w:rsidRPr="00226892" w:rsidRDefault="00ED57D8">
      <w:pPr>
        <w:rPr>
          <w:rFonts w:ascii="Arial" w:eastAsia="Times" w:hAnsi="Arial" w:cs="Arial"/>
          <w:bCs/>
          <w:snapToGrid w:val="0"/>
          <w:lang w:val="sk-SK"/>
        </w:rPr>
      </w:pPr>
      <w:r w:rsidRPr="00226892">
        <w:rPr>
          <w:rFonts w:ascii="Arial" w:eastAsia="Times" w:hAnsi="Arial" w:cs="Arial"/>
          <w:bCs/>
          <w:snapToGrid w:val="0"/>
          <w:lang w:val="sk-SK"/>
        </w:rPr>
        <w:br w:type="page"/>
      </w:r>
    </w:p>
    <w:p w14:paraId="2F983F70" w14:textId="77777777" w:rsidR="00415C82" w:rsidRPr="00226892" w:rsidRDefault="00415C82" w:rsidP="001C5911">
      <w:pPr>
        <w:pStyle w:val="Nadpis1"/>
      </w:pPr>
      <w:bookmarkStart w:id="202" w:name="_Toc326330692"/>
      <w:bookmarkStart w:id="203" w:name="_Toc327260913"/>
      <w:bookmarkStart w:id="204" w:name="_Toc327263388"/>
      <w:bookmarkStart w:id="205" w:name="_Toc145896131"/>
      <w:bookmarkStart w:id="206" w:name="_Toc325985793"/>
      <w:bookmarkStart w:id="207" w:name="_Toc387812495"/>
      <w:bookmarkStart w:id="208" w:name="_Toc27409993"/>
      <w:bookmarkEnd w:id="202"/>
      <w:bookmarkEnd w:id="203"/>
      <w:bookmarkEnd w:id="204"/>
      <w:r w:rsidRPr="00226892">
        <w:lastRenderedPageBreak/>
        <w:t>Odhad reálnej hodnoty</w:t>
      </w:r>
      <w:bookmarkEnd w:id="205"/>
      <w:bookmarkEnd w:id="206"/>
      <w:bookmarkEnd w:id="207"/>
      <w:bookmarkEnd w:id="208"/>
    </w:p>
    <w:p w14:paraId="1F03747A" w14:textId="442B1192" w:rsidR="00415C82" w:rsidRPr="00226892" w:rsidRDefault="00415C82" w:rsidP="00FE07F6">
      <w:pPr>
        <w:suppressAutoHyphens/>
        <w:jc w:val="both"/>
        <w:rPr>
          <w:rFonts w:ascii="Arial" w:hAnsi="Arial" w:cs="Arial"/>
          <w:lang w:val="sk-SK"/>
        </w:rPr>
      </w:pPr>
      <w:r w:rsidRPr="00226892">
        <w:rPr>
          <w:rFonts w:ascii="Arial" w:hAnsi="Arial" w:cs="Arial"/>
          <w:lang w:val="sk-SK"/>
        </w:rPr>
        <w:t xml:space="preserve">Reálna hodnota finančných nástrojov obchodovaných na aktívnych trhoch je založená na kótovaných trhových cenách k dátumu, ku ktorému sa zostavuje účtovná závierka. </w:t>
      </w:r>
    </w:p>
    <w:p w14:paraId="05614BD4" w14:textId="77777777" w:rsidR="00A45481" w:rsidRPr="00226892" w:rsidRDefault="00A45481" w:rsidP="00FE07F6">
      <w:pPr>
        <w:suppressAutoHyphens/>
        <w:jc w:val="both"/>
        <w:rPr>
          <w:rFonts w:ascii="Arial" w:hAnsi="Arial" w:cs="Arial"/>
          <w:lang w:val="sk-SK"/>
        </w:rPr>
      </w:pPr>
    </w:p>
    <w:p w14:paraId="62984243" w14:textId="77777777" w:rsidR="00415C82" w:rsidRPr="00226892" w:rsidRDefault="00415C82" w:rsidP="00FE07F6">
      <w:pPr>
        <w:suppressAutoHyphens/>
        <w:jc w:val="both"/>
        <w:rPr>
          <w:rFonts w:ascii="Arial" w:hAnsi="Arial" w:cs="Arial"/>
          <w:lang w:val="sk-SK"/>
        </w:rPr>
      </w:pPr>
      <w:r w:rsidRPr="00226892">
        <w:rPr>
          <w:rFonts w:ascii="Arial" w:hAnsi="Arial" w:cs="Arial"/>
          <w:lang w:val="sk-SK"/>
        </w:rPr>
        <w:t>Reálna hodnota finančných nástrojov, ktoré nie sú obchodované na aktívnych trhoch, sa stanoví použitím oceňovacích metód. Skupina používa rôzne oceňovacie metódy a predpoklady, ktoré vychádzajú z trhových podmienok k jednotlivým súvahovým dátumom.</w:t>
      </w:r>
    </w:p>
    <w:p w14:paraId="0632EB4C" w14:textId="77777777" w:rsidR="00415C82" w:rsidRPr="00226892" w:rsidRDefault="00415C82" w:rsidP="00FE07F6">
      <w:pPr>
        <w:suppressAutoHyphens/>
        <w:jc w:val="both"/>
        <w:rPr>
          <w:rFonts w:ascii="Arial" w:hAnsi="Arial" w:cs="Arial"/>
          <w:sz w:val="16"/>
          <w:szCs w:val="16"/>
          <w:lang w:val="sk-SK"/>
        </w:rPr>
      </w:pPr>
    </w:p>
    <w:p w14:paraId="6A7965C0" w14:textId="77777777" w:rsidR="00415C82" w:rsidRPr="00226892" w:rsidRDefault="00415C82" w:rsidP="00FE07F6">
      <w:pPr>
        <w:suppressAutoHyphens/>
        <w:jc w:val="both"/>
        <w:rPr>
          <w:rFonts w:ascii="Arial" w:hAnsi="Arial" w:cs="Arial"/>
          <w:lang w:val="sk-SK"/>
        </w:rPr>
      </w:pPr>
      <w:r w:rsidRPr="00226892">
        <w:rPr>
          <w:rFonts w:ascii="Arial" w:hAnsi="Arial" w:cs="Arial"/>
          <w:lang w:val="sk-SK"/>
        </w:rPr>
        <w:t xml:space="preserve">Účtovná hodnota pohľadávok z obchodného styku, znížená o opravné položky na nedobytné a sporné pohľadávky, a účtovná hodnota záväzkov z obchodného styku sa približne rovná ich reálnej hodnote. Odhad reálnej hodnoty finančných záväzkov sa uskutočňuje diskontovaním budúcich zmluvných peňažných tokov použitím aktuálnej trhovej úrokovej sadzby, pri ktorej by Skupina mohla obstarať podobné finančné nástroje. </w:t>
      </w:r>
    </w:p>
    <w:p w14:paraId="4E4157DB" w14:textId="77777777" w:rsidR="00415C82" w:rsidRPr="00226892" w:rsidRDefault="00415C82" w:rsidP="00FE07F6">
      <w:pPr>
        <w:suppressAutoHyphens/>
        <w:jc w:val="both"/>
        <w:rPr>
          <w:rFonts w:ascii="Arial" w:hAnsi="Arial" w:cs="Arial"/>
          <w:sz w:val="16"/>
          <w:szCs w:val="16"/>
          <w:lang w:val="sk-SK"/>
        </w:rPr>
      </w:pPr>
    </w:p>
    <w:p w14:paraId="0B4CC724" w14:textId="15E58A11" w:rsidR="00C224AF" w:rsidRPr="00226892" w:rsidRDefault="005D65EE" w:rsidP="00FE07F6">
      <w:pPr>
        <w:suppressAutoHyphens/>
        <w:jc w:val="both"/>
        <w:rPr>
          <w:rFonts w:ascii="Arial" w:hAnsi="Arial" w:cs="Arial"/>
          <w:lang w:val="sk-SK"/>
        </w:rPr>
      </w:pPr>
      <w:r w:rsidRPr="00226892">
        <w:rPr>
          <w:rFonts w:ascii="Arial" w:hAnsi="Arial" w:cs="Arial"/>
          <w:lang w:val="sk-SK"/>
        </w:rPr>
        <w:t>Zverejnenie reálnych hodnôt je uvedené v</w:t>
      </w:r>
      <w:r w:rsidR="00D13161" w:rsidRPr="00226892">
        <w:rPr>
          <w:rFonts w:ascii="Arial" w:hAnsi="Arial" w:cs="Arial"/>
          <w:lang w:val="sk-SK"/>
        </w:rPr>
        <w:t> bode 2</w:t>
      </w:r>
      <w:r w:rsidR="00522218" w:rsidRPr="00226892">
        <w:rPr>
          <w:rFonts w:ascii="Arial" w:hAnsi="Arial" w:cs="Arial"/>
          <w:lang w:val="sk-SK"/>
        </w:rPr>
        <w:t>6</w:t>
      </w:r>
      <w:r w:rsidR="00D13161" w:rsidRPr="00226892">
        <w:rPr>
          <w:rFonts w:ascii="Arial" w:hAnsi="Arial" w:cs="Arial"/>
          <w:lang w:val="sk-SK"/>
        </w:rPr>
        <w:t xml:space="preserve"> poznámok.</w:t>
      </w:r>
    </w:p>
    <w:bookmarkEnd w:id="186"/>
    <w:bookmarkEnd w:id="187"/>
    <w:p w14:paraId="546575C4" w14:textId="670E6FAB" w:rsidR="00D37026" w:rsidRPr="00226892" w:rsidRDefault="00D37026" w:rsidP="00FE07F6">
      <w:pPr>
        <w:rPr>
          <w:rFonts w:ascii="Arial" w:hAnsi="Arial" w:cs="Arial"/>
          <w:lang w:val="sk-SK"/>
        </w:rPr>
      </w:pPr>
    </w:p>
    <w:p w14:paraId="36FE65FA" w14:textId="77777777" w:rsidR="00415C82" w:rsidRPr="00226892" w:rsidRDefault="00415C82" w:rsidP="00FE07F6">
      <w:pPr>
        <w:pStyle w:val="Nadpis3"/>
        <w:keepNext w:val="0"/>
        <w:widowControl/>
        <w:numPr>
          <w:ilvl w:val="0"/>
          <w:numId w:val="34"/>
        </w:numPr>
        <w:tabs>
          <w:tab w:val="clear" w:pos="1069"/>
          <w:tab w:val="num" w:pos="0"/>
        </w:tabs>
        <w:suppressAutoHyphens/>
        <w:ind w:left="392" w:hanging="392"/>
        <w:rPr>
          <w:rFonts w:ascii="Arial" w:hAnsi="Arial" w:cs="Arial"/>
          <w:sz w:val="20"/>
        </w:rPr>
      </w:pPr>
      <w:bookmarkStart w:id="209" w:name="_Toc325985794"/>
      <w:bookmarkStart w:id="210" w:name="_Toc387812496"/>
      <w:bookmarkStart w:id="211" w:name="_Toc27409994"/>
      <w:proofErr w:type="spellStart"/>
      <w:r w:rsidRPr="00226892">
        <w:rPr>
          <w:rFonts w:ascii="Arial" w:hAnsi="Arial" w:cs="Arial"/>
          <w:sz w:val="20"/>
        </w:rPr>
        <w:t>Zásadné</w:t>
      </w:r>
      <w:proofErr w:type="spellEnd"/>
      <w:r w:rsidRPr="00226892">
        <w:rPr>
          <w:rFonts w:ascii="Arial" w:hAnsi="Arial" w:cs="Arial"/>
          <w:sz w:val="20"/>
        </w:rPr>
        <w:t xml:space="preserve"> </w:t>
      </w:r>
      <w:proofErr w:type="spellStart"/>
      <w:r w:rsidRPr="00226892">
        <w:rPr>
          <w:rFonts w:ascii="Arial" w:hAnsi="Arial" w:cs="Arial"/>
          <w:sz w:val="20"/>
        </w:rPr>
        <w:t>účtovné</w:t>
      </w:r>
      <w:proofErr w:type="spellEnd"/>
      <w:r w:rsidRPr="00226892">
        <w:rPr>
          <w:rFonts w:ascii="Arial" w:hAnsi="Arial" w:cs="Arial"/>
          <w:sz w:val="20"/>
        </w:rPr>
        <w:t xml:space="preserve"> </w:t>
      </w:r>
      <w:proofErr w:type="spellStart"/>
      <w:r w:rsidRPr="00226892">
        <w:rPr>
          <w:rFonts w:ascii="Arial" w:hAnsi="Arial" w:cs="Arial"/>
          <w:sz w:val="20"/>
        </w:rPr>
        <w:t>odhady</w:t>
      </w:r>
      <w:proofErr w:type="spellEnd"/>
      <w:r w:rsidRPr="00226892">
        <w:rPr>
          <w:rFonts w:ascii="Arial" w:hAnsi="Arial" w:cs="Arial"/>
          <w:sz w:val="20"/>
        </w:rPr>
        <w:t xml:space="preserve"> a </w:t>
      </w:r>
      <w:proofErr w:type="spellStart"/>
      <w:r w:rsidRPr="00226892">
        <w:rPr>
          <w:rFonts w:ascii="Arial" w:hAnsi="Arial" w:cs="Arial"/>
          <w:sz w:val="20"/>
        </w:rPr>
        <w:t>predpoklady</w:t>
      </w:r>
      <w:bookmarkEnd w:id="209"/>
      <w:bookmarkEnd w:id="210"/>
      <w:bookmarkEnd w:id="211"/>
      <w:proofErr w:type="spellEnd"/>
    </w:p>
    <w:p w14:paraId="589AE855" w14:textId="77777777" w:rsidR="00415C82" w:rsidRPr="00226892" w:rsidRDefault="00415C82" w:rsidP="000D75E7">
      <w:pPr>
        <w:suppressAutoHyphens/>
        <w:ind w:left="357"/>
        <w:rPr>
          <w:rFonts w:ascii="Arial" w:hAnsi="Arial" w:cs="Arial"/>
          <w:lang w:val="sk-SK"/>
        </w:rPr>
      </w:pPr>
    </w:p>
    <w:p w14:paraId="49CFEDC7" w14:textId="77777777" w:rsidR="00415C82" w:rsidRPr="00226892" w:rsidRDefault="00415C82" w:rsidP="00FE07F6">
      <w:pPr>
        <w:suppressAutoHyphens/>
        <w:jc w:val="both"/>
        <w:rPr>
          <w:rFonts w:ascii="Arial" w:hAnsi="Arial" w:cs="Arial"/>
          <w:lang w:val="sk-SK"/>
        </w:rPr>
      </w:pPr>
      <w:r w:rsidRPr="00226892">
        <w:rPr>
          <w:rFonts w:ascii="Arial" w:hAnsi="Arial" w:cs="Arial"/>
          <w:lang w:val="sk-SK"/>
        </w:rPr>
        <w:t>Skupina uskutočňuje odhady a používa predpoklady, ktoré majú vplyv na vykazované hodnoty aktív a záväzkov počas nasledujúceho účtovného obdobia. Odhady a predpoklady sa pravidelne prehodnocujú a tvoria sa na základe skúseností vedenia a iných faktorov, vrátane očakávaných budúcich udalostí. Vedenie tiež robí určité rozhodnutia v procese aplikovania účtovných zásad.  Zásadné rozhodnutia, ktoré majú významný vplyv na  hodnoty vykázané vo finančných výkazoch a odhady, kde je riziko významnej úpravy účtovnej hodnoty majetku a záväzkov počas nasledujúceho účtovného obdobia, sú uvedené nižšie:</w:t>
      </w:r>
    </w:p>
    <w:p w14:paraId="48E1D085" w14:textId="77777777" w:rsidR="00415C82" w:rsidRPr="00226892" w:rsidRDefault="00415C82" w:rsidP="00FE07F6">
      <w:pPr>
        <w:suppressAutoHyphens/>
        <w:rPr>
          <w:rFonts w:ascii="Arial" w:hAnsi="Arial" w:cs="Arial"/>
          <w:lang w:val="sk-SK"/>
        </w:rPr>
      </w:pPr>
    </w:p>
    <w:p w14:paraId="1A09675E" w14:textId="77777777" w:rsidR="00415C82" w:rsidRPr="00226892" w:rsidRDefault="00415C82" w:rsidP="00FE07F6">
      <w:pPr>
        <w:suppressAutoHyphens/>
        <w:rPr>
          <w:rFonts w:ascii="Arial" w:hAnsi="Arial" w:cs="Arial"/>
          <w:b/>
          <w:i/>
          <w:lang w:val="sk-SK"/>
        </w:rPr>
      </w:pPr>
      <w:r w:rsidRPr="00226892">
        <w:rPr>
          <w:rFonts w:ascii="Arial" w:hAnsi="Arial" w:cs="Arial"/>
          <w:i/>
          <w:lang w:val="sk-SK"/>
        </w:rPr>
        <w:t>(i)</w:t>
      </w:r>
      <w:r w:rsidRPr="00226892">
        <w:rPr>
          <w:rFonts w:ascii="Arial" w:hAnsi="Arial" w:cs="Arial"/>
          <w:i/>
          <w:lang w:val="sk-SK"/>
        </w:rPr>
        <w:tab/>
        <w:t>Daňová legislatíva</w:t>
      </w:r>
    </w:p>
    <w:p w14:paraId="75CF4DF2" w14:textId="77777777" w:rsidR="00415C82" w:rsidRPr="00226892" w:rsidRDefault="00415C82" w:rsidP="00FE07F6">
      <w:pPr>
        <w:suppressAutoHyphens/>
        <w:rPr>
          <w:rFonts w:ascii="Arial" w:hAnsi="Arial" w:cs="Arial"/>
          <w:b/>
          <w:i/>
          <w:lang w:val="sk-SK"/>
        </w:rPr>
      </w:pPr>
    </w:p>
    <w:p w14:paraId="2CEE4416" w14:textId="50A97AE6" w:rsidR="00415C82" w:rsidRPr="00226892" w:rsidRDefault="00415C82" w:rsidP="00FE07F6">
      <w:pPr>
        <w:suppressAutoHyphens/>
        <w:jc w:val="both"/>
        <w:rPr>
          <w:rFonts w:ascii="Arial" w:hAnsi="Arial" w:cs="Arial"/>
          <w:color w:val="FF0000"/>
          <w:lang w:val="sk-SK"/>
        </w:rPr>
      </w:pPr>
      <w:r w:rsidRPr="00226892">
        <w:rPr>
          <w:rFonts w:ascii="Arial" w:hAnsi="Arial" w:cs="Arial"/>
          <w:lang w:val="sk-SK"/>
        </w:rPr>
        <w:t>Slovenská</w:t>
      </w:r>
      <w:r w:rsidRPr="00226892">
        <w:rPr>
          <w:rFonts w:ascii="Arial" w:hAnsi="Arial" w:cs="Arial"/>
          <w:b/>
          <w:i/>
          <w:lang w:val="sk-SK"/>
        </w:rPr>
        <w:t xml:space="preserve"> </w:t>
      </w:r>
      <w:r w:rsidRPr="00226892">
        <w:rPr>
          <w:rFonts w:ascii="Arial" w:hAnsi="Arial" w:cs="Arial"/>
          <w:lang w:val="sk-SK"/>
        </w:rPr>
        <w:t xml:space="preserve">daňová, menová a colná legislatíva je predmetom rôznych interpretácií. Pozri </w:t>
      </w:r>
      <w:r w:rsidR="00D13161" w:rsidRPr="00226892">
        <w:rPr>
          <w:rFonts w:ascii="Arial" w:hAnsi="Arial" w:cs="Arial"/>
          <w:lang w:val="sk-SK"/>
        </w:rPr>
        <w:t>bod 2</w:t>
      </w:r>
      <w:r w:rsidR="00522218" w:rsidRPr="00226892">
        <w:rPr>
          <w:rFonts w:ascii="Arial" w:hAnsi="Arial" w:cs="Arial"/>
          <w:lang w:val="sk-SK"/>
        </w:rPr>
        <w:t>9</w:t>
      </w:r>
      <w:r w:rsidR="00D13161" w:rsidRPr="00226892">
        <w:rPr>
          <w:rFonts w:ascii="Arial" w:hAnsi="Arial" w:cs="Arial"/>
          <w:lang w:val="sk-SK"/>
        </w:rPr>
        <w:t xml:space="preserve"> p</w:t>
      </w:r>
      <w:r w:rsidRPr="00226892">
        <w:rPr>
          <w:rFonts w:ascii="Arial" w:hAnsi="Arial" w:cs="Arial"/>
          <w:lang w:val="sk-SK"/>
        </w:rPr>
        <w:t>oznám</w:t>
      </w:r>
      <w:r w:rsidR="00D13161" w:rsidRPr="00226892">
        <w:rPr>
          <w:rFonts w:ascii="Arial" w:hAnsi="Arial" w:cs="Arial"/>
          <w:lang w:val="sk-SK"/>
        </w:rPr>
        <w:t>ok</w:t>
      </w:r>
      <w:r w:rsidRPr="00226892">
        <w:rPr>
          <w:rFonts w:ascii="Arial" w:hAnsi="Arial" w:cs="Arial"/>
          <w:lang w:val="sk-SK"/>
        </w:rPr>
        <w:t>.</w:t>
      </w:r>
    </w:p>
    <w:p w14:paraId="4BB6CD8B" w14:textId="77777777" w:rsidR="00415C82" w:rsidRPr="00226892" w:rsidRDefault="00415C82" w:rsidP="00FE07F6">
      <w:pPr>
        <w:suppressAutoHyphens/>
        <w:rPr>
          <w:rFonts w:ascii="Arial" w:hAnsi="Arial" w:cs="Arial"/>
          <w:lang w:val="sk-SK"/>
        </w:rPr>
      </w:pPr>
    </w:p>
    <w:p w14:paraId="3EF82743" w14:textId="1E827C1E" w:rsidR="00415C82" w:rsidRPr="00226892" w:rsidRDefault="00415C82" w:rsidP="00FE07F6">
      <w:pPr>
        <w:suppressAutoHyphens/>
        <w:rPr>
          <w:rFonts w:ascii="Arial" w:hAnsi="Arial" w:cs="Arial"/>
          <w:bCs/>
          <w:i/>
          <w:highlight w:val="yellow"/>
          <w:lang w:val="sk-SK"/>
        </w:rPr>
      </w:pPr>
      <w:r w:rsidRPr="00226892">
        <w:rPr>
          <w:rFonts w:ascii="Arial" w:hAnsi="Arial" w:cs="Arial"/>
          <w:i/>
          <w:lang w:val="sk-SK"/>
        </w:rPr>
        <w:t>(ii)</w:t>
      </w:r>
      <w:r w:rsidRPr="00226892">
        <w:rPr>
          <w:rFonts w:ascii="Arial" w:hAnsi="Arial" w:cs="Arial"/>
          <w:i/>
          <w:lang w:val="sk-SK"/>
        </w:rPr>
        <w:tab/>
      </w:r>
      <w:r w:rsidRPr="00226892">
        <w:rPr>
          <w:rFonts w:ascii="Arial" w:hAnsi="Arial" w:cs="Arial"/>
          <w:bCs/>
          <w:i/>
          <w:lang w:val="sk-SK"/>
        </w:rPr>
        <w:t>Odhad poklesu dlhodobých aktív</w:t>
      </w:r>
    </w:p>
    <w:p w14:paraId="5107000B" w14:textId="77777777" w:rsidR="00415C82" w:rsidRPr="00226892" w:rsidRDefault="00415C82" w:rsidP="00FE07F6">
      <w:pPr>
        <w:suppressAutoHyphens/>
        <w:jc w:val="both"/>
        <w:rPr>
          <w:rFonts w:ascii="Arial" w:hAnsi="Arial" w:cs="Arial"/>
          <w:bCs/>
          <w:sz w:val="16"/>
          <w:szCs w:val="16"/>
          <w:highlight w:val="yellow"/>
          <w:lang w:val="sk-SK"/>
        </w:rPr>
      </w:pPr>
    </w:p>
    <w:p w14:paraId="70079BB2" w14:textId="638F82C7" w:rsidR="006267A2" w:rsidRPr="00226892" w:rsidRDefault="003E4F65" w:rsidP="00FE07F6">
      <w:pPr>
        <w:suppressAutoHyphens/>
        <w:ind w:left="69"/>
        <w:jc w:val="both"/>
        <w:rPr>
          <w:rFonts w:ascii="Arial" w:hAnsi="Arial" w:cs="Arial"/>
          <w:bCs/>
          <w:lang w:val="sk-SK"/>
        </w:rPr>
      </w:pPr>
      <w:r w:rsidRPr="00226892">
        <w:rPr>
          <w:rFonts w:ascii="Arial" w:hAnsi="Arial" w:cs="Arial"/>
          <w:bCs/>
        </w:rPr>
        <w:t>V </w:t>
      </w:r>
      <w:proofErr w:type="spellStart"/>
      <w:r w:rsidRPr="00226892">
        <w:rPr>
          <w:rFonts w:ascii="Arial" w:hAnsi="Arial" w:cs="Arial"/>
          <w:bCs/>
        </w:rPr>
        <w:t>súlade</w:t>
      </w:r>
      <w:proofErr w:type="spellEnd"/>
      <w:r w:rsidRPr="00226892">
        <w:rPr>
          <w:rFonts w:ascii="Arial" w:hAnsi="Arial" w:cs="Arial"/>
          <w:bCs/>
        </w:rPr>
        <w:t xml:space="preserve"> s </w:t>
      </w:r>
      <w:proofErr w:type="spellStart"/>
      <w:r w:rsidRPr="00226892">
        <w:rPr>
          <w:rFonts w:ascii="Arial" w:hAnsi="Arial" w:cs="Arial"/>
          <w:bCs/>
        </w:rPr>
        <w:t>účtovnými</w:t>
      </w:r>
      <w:proofErr w:type="spellEnd"/>
      <w:r w:rsidRPr="00226892">
        <w:rPr>
          <w:rFonts w:ascii="Arial" w:hAnsi="Arial" w:cs="Arial"/>
          <w:bCs/>
        </w:rPr>
        <w:t xml:space="preserve"> </w:t>
      </w:r>
      <w:proofErr w:type="spellStart"/>
      <w:r w:rsidRPr="00226892">
        <w:rPr>
          <w:rFonts w:ascii="Arial" w:hAnsi="Arial" w:cs="Arial"/>
          <w:bCs/>
        </w:rPr>
        <w:t>postupmi</w:t>
      </w:r>
      <w:proofErr w:type="spellEnd"/>
      <w:r w:rsidRPr="00226892">
        <w:rPr>
          <w:rFonts w:ascii="Arial" w:hAnsi="Arial" w:cs="Arial"/>
          <w:bCs/>
        </w:rPr>
        <w:t xml:space="preserve"> </w:t>
      </w:r>
      <w:proofErr w:type="spellStart"/>
      <w:r w:rsidRPr="00226892">
        <w:rPr>
          <w:rFonts w:ascii="Arial" w:hAnsi="Arial" w:cs="Arial"/>
          <w:bCs/>
        </w:rPr>
        <w:t>uvedenými</w:t>
      </w:r>
      <w:proofErr w:type="spellEnd"/>
      <w:r w:rsidRPr="00226892">
        <w:rPr>
          <w:rFonts w:ascii="Arial" w:hAnsi="Arial" w:cs="Arial"/>
          <w:bCs/>
        </w:rPr>
        <w:t xml:space="preserve"> v bode 2.4 a 2.5 </w:t>
      </w:r>
      <w:proofErr w:type="spellStart"/>
      <w:r w:rsidRPr="00226892">
        <w:rPr>
          <w:rFonts w:ascii="Arial" w:hAnsi="Arial" w:cs="Arial"/>
          <w:bCs/>
        </w:rPr>
        <w:t>poznámok</w:t>
      </w:r>
      <w:proofErr w:type="spellEnd"/>
      <w:r w:rsidRPr="00226892">
        <w:rPr>
          <w:rFonts w:ascii="Arial" w:hAnsi="Arial" w:cs="Arial"/>
          <w:bCs/>
        </w:rPr>
        <w:t xml:space="preserve"> </w:t>
      </w:r>
      <w:proofErr w:type="spellStart"/>
      <w:r w:rsidRPr="00226892">
        <w:rPr>
          <w:rFonts w:ascii="Arial" w:hAnsi="Arial" w:cs="Arial"/>
          <w:bCs/>
        </w:rPr>
        <w:t>Skupina</w:t>
      </w:r>
      <w:proofErr w:type="spellEnd"/>
      <w:r w:rsidRPr="00226892">
        <w:rPr>
          <w:rFonts w:ascii="Arial" w:hAnsi="Arial" w:cs="Arial"/>
          <w:bCs/>
        </w:rPr>
        <w:t xml:space="preserve"> </w:t>
      </w:r>
      <w:proofErr w:type="spellStart"/>
      <w:r w:rsidRPr="00226892">
        <w:rPr>
          <w:rFonts w:ascii="Arial" w:hAnsi="Arial" w:cs="Arial"/>
          <w:bCs/>
        </w:rPr>
        <w:t>každý</w:t>
      </w:r>
      <w:proofErr w:type="spellEnd"/>
      <w:r w:rsidRPr="00226892">
        <w:rPr>
          <w:rFonts w:ascii="Arial" w:hAnsi="Arial" w:cs="Arial"/>
          <w:bCs/>
        </w:rPr>
        <w:t xml:space="preserve"> </w:t>
      </w:r>
      <w:proofErr w:type="spellStart"/>
      <w:r w:rsidRPr="00226892">
        <w:rPr>
          <w:rFonts w:ascii="Arial" w:hAnsi="Arial" w:cs="Arial"/>
          <w:bCs/>
        </w:rPr>
        <w:t>rok</w:t>
      </w:r>
      <w:proofErr w:type="spellEnd"/>
      <w:r w:rsidRPr="00226892">
        <w:rPr>
          <w:rFonts w:ascii="Arial" w:hAnsi="Arial" w:cs="Arial"/>
          <w:bCs/>
        </w:rPr>
        <w:t xml:space="preserve"> </w:t>
      </w:r>
      <w:proofErr w:type="spellStart"/>
      <w:r w:rsidRPr="00226892">
        <w:rPr>
          <w:rFonts w:ascii="Arial" w:hAnsi="Arial" w:cs="Arial"/>
          <w:bCs/>
        </w:rPr>
        <w:t>dlhodobé</w:t>
      </w:r>
      <w:proofErr w:type="spellEnd"/>
      <w:r w:rsidRPr="00226892">
        <w:rPr>
          <w:rFonts w:ascii="Arial" w:hAnsi="Arial" w:cs="Arial"/>
          <w:bCs/>
        </w:rPr>
        <w:t xml:space="preserve"> </w:t>
      </w:r>
      <w:proofErr w:type="spellStart"/>
      <w:r w:rsidRPr="00226892">
        <w:rPr>
          <w:rFonts w:ascii="Arial" w:hAnsi="Arial" w:cs="Arial"/>
          <w:bCs/>
        </w:rPr>
        <w:t>aktíva</w:t>
      </w:r>
      <w:proofErr w:type="spellEnd"/>
      <w:r w:rsidRPr="00226892">
        <w:rPr>
          <w:rFonts w:ascii="Arial" w:hAnsi="Arial" w:cs="Arial"/>
          <w:bCs/>
        </w:rPr>
        <w:t xml:space="preserve"> </w:t>
      </w:r>
      <w:proofErr w:type="spellStart"/>
      <w:r w:rsidRPr="00226892">
        <w:rPr>
          <w:rFonts w:ascii="Arial" w:hAnsi="Arial" w:cs="Arial"/>
          <w:bCs/>
        </w:rPr>
        <w:t>testuje</w:t>
      </w:r>
      <w:proofErr w:type="spellEnd"/>
      <w:r w:rsidRPr="00226892">
        <w:rPr>
          <w:rFonts w:ascii="Arial" w:hAnsi="Arial" w:cs="Arial"/>
          <w:bCs/>
        </w:rPr>
        <w:t xml:space="preserve"> </w:t>
      </w:r>
      <w:proofErr w:type="spellStart"/>
      <w:r w:rsidRPr="00226892">
        <w:rPr>
          <w:rFonts w:ascii="Arial" w:hAnsi="Arial" w:cs="Arial"/>
          <w:bCs/>
        </w:rPr>
        <w:t>na</w:t>
      </w:r>
      <w:proofErr w:type="spellEnd"/>
      <w:r w:rsidRPr="00226892">
        <w:rPr>
          <w:rFonts w:ascii="Arial" w:hAnsi="Arial" w:cs="Arial"/>
          <w:bCs/>
        </w:rPr>
        <w:t xml:space="preserve"> </w:t>
      </w:r>
      <w:proofErr w:type="spellStart"/>
      <w:r w:rsidRPr="00226892">
        <w:rPr>
          <w:rFonts w:ascii="Arial" w:hAnsi="Arial" w:cs="Arial"/>
          <w:bCs/>
        </w:rPr>
        <w:t>pokles</w:t>
      </w:r>
      <w:proofErr w:type="spellEnd"/>
      <w:r w:rsidRPr="00226892">
        <w:rPr>
          <w:rFonts w:ascii="Arial" w:hAnsi="Arial" w:cs="Arial"/>
          <w:bCs/>
        </w:rPr>
        <w:t xml:space="preserve"> </w:t>
      </w:r>
      <w:proofErr w:type="spellStart"/>
      <w:r w:rsidRPr="00226892">
        <w:rPr>
          <w:rFonts w:ascii="Arial" w:hAnsi="Arial" w:cs="Arial"/>
          <w:bCs/>
        </w:rPr>
        <w:t>hodnoty</w:t>
      </w:r>
      <w:proofErr w:type="spellEnd"/>
      <w:r w:rsidRPr="00226892">
        <w:rPr>
          <w:rFonts w:ascii="Arial" w:hAnsi="Arial" w:cs="Arial"/>
          <w:bCs/>
        </w:rPr>
        <w:t xml:space="preserve">. </w:t>
      </w:r>
      <w:proofErr w:type="spellStart"/>
      <w:r w:rsidRPr="00226892">
        <w:rPr>
          <w:rFonts w:ascii="Arial" w:hAnsi="Arial" w:cs="Arial"/>
          <w:bCs/>
        </w:rPr>
        <w:t>Realizovateľná</w:t>
      </w:r>
      <w:proofErr w:type="spellEnd"/>
      <w:r w:rsidRPr="00226892">
        <w:rPr>
          <w:rFonts w:ascii="Arial" w:hAnsi="Arial" w:cs="Arial"/>
          <w:bCs/>
        </w:rPr>
        <w:t xml:space="preserve"> </w:t>
      </w:r>
      <w:proofErr w:type="spellStart"/>
      <w:r w:rsidRPr="00226892">
        <w:rPr>
          <w:rFonts w:ascii="Arial" w:hAnsi="Arial" w:cs="Arial"/>
          <w:bCs/>
        </w:rPr>
        <w:t>hodnota</w:t>
      </w:r>
      <w:proofErr w:type="spellEnd"/>
      <w:r w:rsidRPr="00226892">
        <w:rPr>
          <w:rFonts w:ascii="Arial" w:hAnsi="Arial" w:cs="Arial"/>
          <w:bCs/>
        </w:rPr>
        <w:t xml:space="preserve"> </w:t>
      </w:r>
      <w:proofErr w:type="spellStart"/>
      <w:r w:rsidRPr="00226892">
        <w:rPr>
          <w:rFonts w:ascii="Arial" w:hAnsi="Arial" w:cs="Arial"/>
          <w:bCs/>
        </w:rPr>
        <w:t>dlhodobého</w:t>
      </w:r>
      <w:proofErr w:type="spellEnd"/>
      <w:r w:rsidRPr="00226892">
        <w:rPr>
          <w:rFonts w:ascii="Arial" w:hAnsi="Arial" w:cs="Arial"/>
          <w:bCs/>
        </w:rPr>
        <w:t xml:space="preserve"> </w:t>
      </w:r>
      <w:proofErr w:type="spellStart"/>
      <w:r w:rsidRPr="00226892">
        <w:rPr>
          <w:rFonts w:ascii="Arial" w:hAnsi="Arial" w:cs="Arial"/>
          <w:bCs/>
        </w:rPr>
        <w:t>majetku</w:t>
      </w:r>
      <w:proofErr w:type="spellEnd"/>
      <w:r w:rsidRPr="00226892">
        <w:rPr>
          <w:rFonts w:ascii="Arial" w:hAnsi="Arial" w:cs="Arial"/>
          <w:bCs/>
        </w:rPr>
        <w:t xml:space="preserve"> bola </w:t>
      </w:r>
      <w:proofErr w:type="spellStart"/>
      <w:r w:rsidRPr="00226892">
        <w:rPr>
          <w:rFonts w:ascii="Arial" w:hAnsi="Arial" w:cs="Arial"/>
          <w:bCs/>
        </w:rPr>
        <w:t>stanovená</w:t>
      </w:r>
      <w:proofErr w:type="spellEnd"/>
      <w:r w:rsidRPr="00226892">
        <w:rPr>
          <w:rFonts w:ascii="Arial" w:hAnsi="Arial" w:cs="Arial"/>
          <w:bCs/>
        </w:rPr>
        <w:t xml:space="preserve"> </w:t>
      </w:r>
      <w:proofErr w:type="spellStart"/>
      <w:r w:rsidRPr="00226892">
        <w:rPr>
          <w:rFonts w:ascii="Arial" w:hAnsi="Arial" w:cs="Arial"/>
          <w:bCs/>
        </w:rPr>
        <w:t>ako</w:t>
      </w:r>
      <w:proofErr w:type="spellEnd"/>
      <w:r w:rsidRPr="00226892">
        <w:rPr>
          <w:rFonts w:ascii="Arial" w:hAnsi="Arial" w:cs="Arial"/>
          <w:bCs/>
        </w:rPr>
        <w:t xml:space="preserve"> </w:t>
      </w:r>
      <w:proofErr w:type="spellStart"/>
      <w:r w:rsidRPr="00226892">
        <w:rPr>
          <w:rFonts w:ascii="Arial" w:hAnsi="Arial" w:cs="Arial"/>
          <w:bCs/>
        </w:rPr>
        <w:t>odhad</w:t>
      </w:r>
      <w:proofErr w:type="spellEnd"/>
      <w:r w:rsidRPr="00226892">
        <w:rPr>
          <w:rFonts w:ascii="Arial" w:hAnsi="Arial" w:cs="Arial"/>
          <w:bCs/>
        </w:rPr>
        <w:t xml:space="preserve"> </w:t>
      </w:r>
      <w:proofErr w:type="spellStart"/>
      <w:r w:rsidRPr="00226892">
        <w:rPr>
          <w:rFonts w:ascii="Arial" w:hAnsi="Arial" w:cs="Arial"/>
          <w:bCs/>
        </w:rPr>
        <w:t>manažmentu</w:t>
      </w:r>
      <w:proofErr w:type="spellEnd"/>
      <w:r w:rsidRPr="00226892">
        <w:rPr>
          <w:rFonts w:ascii="Arial" w:hAnsi="Arial" w:cs="Arial"/>
          <w:bCs/>
        </w:rPr>
        <w:t xml:space="preserve"> </w:t>
      </w:r>
      <w:proofErr w:type="spellStart"/>
      <w:r w:rsidRPr="00226892">
        <w:rPr>
          <w:rFonts w:ascii="Arial" w:hAnsi="Arial" w:cs="Arial"/>
          <w:bCs/>
        </w:rPr>
        <w:t>na</w:t>
      </w:r>
      <w:proofErr w:type="spellEnd"/>
      <w:r w:rsidRPr="00226892">
        <w:rPr>
          <w:rFonts w:ascii="Arial" w:hAnsi="Arial" w:cs="Arial"/>
          <w:bCs/>
        </w:rPr>
        <w:t xml:space="preserve"> </w:t>
      </w:r>
      <w:proofErr w:type="spellStart"/>
      <w:r w:rsidRPr="00226892">
        <w:rPr>
          <w:rFonts w:ascii="Arial" w:hAnsi="Arial" w:cs="Arial"/>
          <w:bCs/>
        </w:rPr>
        <w:t>základe</w:t>
      </w:r>
      <w:proofErr w:type="spellEnd"/>
      <w:r w:rsidRPr="00226892">
        <w:rPr>
          <w:rFonts w:ascii="Arial" w:hAnsi="Arial" w:cs="Arial"/>
          <w:bCs/>
        </w:rPr>
        <w:t xml:space="preserve"> </w:t>
      </w:r>
      <w:proofErr w:type="spellStart"/>
      <w:r w:rsidRPr="00226892">
        <w:rPr>
          <w:rFonts w:ascii="Arial" w:hAnsi="Arial" w:cs="Arial"/>
          <w:bCs/>
        </w:rPr>
        <w:t>výpočtov</w:t>
      </w:r>
      <w:proofErr w:type="spellEnd"/>
      <w:r w:rsidRPr="00226892">
        <w:rPr>
          <w:rFonts w:ascii="Arial" w:hAnsi="Arial" w:cs="Arial"/>
          <w:bCs/>
        </w:rPr>
        <w:t xml:space="preserve"> </w:t>
      </w:r>
      <w:proofErr w:type="spellStart"/>
      <w:r w:rsidRPr="00226892">
        <w:rPr>
          <w:rFonts w:ascii="Arial" w:hAnsi="Arial" w:cs="Arial"/>
          <w:bCs/>
        </w:rPr>
        <w:t>jeho</w:t>
      </w:r>
      <w:proofErr w:type="spellEnd"/>
      <w:r w:rsidRPr="00226892">
        <w:rPr>
          <w:rFonts w:ascii="Arial" w:hAnsi="Arial" w:cs="Arial"/>
          <w:bCs/>
        </w:rPr>
        <w:t xml:space="preserve"> </w:t>
      </w:r>
      <w:proofErr w:type="spellStart"/>
      <w:r w:rsidRPr="00226892">
        <w:rPr>
          <w:rFonts w:ascii="Arial" w:hAnsi="Arial" w:cs="Arial"/>
          <w:bCs/>
        </w:rPr>
        <w:t>reálnej</w:t>
      </w:r>
      <w:proofErr w:type="spellEnd"/>
      <w:r w:rsidRPr="00226892">
        <w:rPr>
          <w:rFonts w:ascii="Arial" w:hAnsi="Arial" w:cs="Arial"/>
          <w:bCs/>
        </w:rPr>
        <w:t xml:space="preserve"> </w:t>
      </w:r>
      <w:proofErr w:type="spellStart"/>
      <w:r w:rsidRPr="00226892">
        <w:rPr>
          <w:rFonts w:ascii="Arial" w:hAnsi="Arial" w:cs="Arial"/>
          <w:bCs/>
        </w:rPr>
        <w:t>hodnoty</w:t>
      </w:r>
      <w:proofErr w:type="spellEnd"/>
      <w:r w:rsidRPr="00226892">
        <w:rPr>
          <w:rFonts w:ascii="Arial" w:hAnsi="Arial" w:cs="Arial"/>
          <w:bCs/>
        </w:rPr>
        <w:t xml:space="preserve"> </w:t>
      </w:r>
      <w:proofErr w:type="spellStart"/>
      <w:r w:rsidRPr="00226892">
        <w:rPr>
          <w:rFonts w:ascii="Arial" w:hAnsi="Arial" w:cs="Arial"/>
          <w:bCs/>
        </w:rPr>
        <w:t>zníženej</w:t>
      </w:r>
      <w:proofErr w:type="spellEnd"/>
      <w:r w:rsidRPr="00226892">
        <w:rPr>
          <w:rFonts w:ascii="Arial" w:hAnsi="Arial" w:cs="Arial"/>
          <w:bCs/>
        </w:rPr>
        <w:t xml:space="preserve"> o </w:t>
      </w:r>
      <w:proofErr w:type="spellStart"/>
      <w:r w:rsidRPr="00226892">
        <w:rPr>
          <w:rFonts w:ascii="Arial" w:hAnsi="Arial" w:cs="Arial"/>
          <w:bCs/>
        </w:rPr>
        <w:t>náklady</w:t>
      </w:r>
      <w:proofErr w:type="spellEnd"/>
      <w:r w:rsidRPr="00226892">
        <w:rPr>
          <w:rFonts w:ascii="Arial" w:hAnsi="Arial" w:cs="Arial"/>
          <w:bCs/>
        </w:rPr>
        <w:t xml:space="preserve"> </w:t>
      </w:r>
      <w:proofErr w:type="spellStart"/>
      <w:r w:rsidRPr="00226892">
        <w:rPr>
          <w:rFonts w:ascii="Arial" w:hAnsi="Arial" w:cs="Arial"/>
          <w:bCs/>
        </w:rPr>
        <w:t>na</w:t>
      </w:r>
      <w:proofErr w:type="spellEnd"/>
      <w:r w:rsidRPr="00226892">
        <w:rPr>
          <w:rFonts w:ascii="Arial" w:hAnsi="Arial" w:cs="Arial"/>
          <w:bCs/>
        </w:rPr>
        <w:t xml:space="preserve"> </w:t>
      </w:r>
      <w:proofErr w:type="spellStart"/>
      <w:r w:rsidRPr="00226892">
        <w:rPr>
          <w:rFonts w:ascii="Arial" w:hAnsi="Arial" w:cs="Arial"/>
          <w:bCs/>
        </w:rPr>
        <w:t>predaj</w:t>
      </w:r>
      <w:proofErr w:type="spellEnd"/>
      <w:r w:rsidRPr="00226892">
        <w:rPr>
          <w:rFonts w:ascii="Arial" w:hAnsi="Arial" w:cs="Arial"/>
          <w:bCs/>
        </w:rPr>
        <w:t xml:space="preserve"> </w:t>
      </w:r>
      <w:proofErr w:type="spellStart"/>
      <w:r w:rsidRPr="00226892">
        <w:rPr>
          <w:rFonts w:ascii="Arial" w:hAnsi="Arial" w:cs="Arial"/>
          <w:bCs/>
        </w:rPr>
        <w:t>alebo</w:t>
      </w:r>
      <w:proofErr w:type="spellEnd"/>
      <w:r w:rsidRPr="00226892">
        <w:rPr>
          <w:rFonts w:ascii="Arial" w:hAnsi="Arial" w:cs="Arial"/>
          <w:bCs/>
        </w:rPr>
        <w:t xml:space="preserve"> </w:t>
      </w:r>
      <w:proofErr w:type="spellStart"/>
      <w:r w:rsidRPr="00226892">
        <w:rPr>
          <w:rFonts w:ascii="Arial" w:hAnsi="Arial" w:cs="Arial"/>
          <w:bCs/>
        </w:rPr>
        <w:t>ako</w:t>
      </w:r>
      <w:proofErr w:type="spellEnd"/>
      <w:r w:rsidRPr="00226892">
        <w:rPr>
          <w:rFonts w:ascii="Arial" w:hAnsi="Arial" w:cs="Arial"/>
          <w:bCs/>
        </w:rPr>
        <w:t xml:space="preserve"> </w:t>
      </w:r>
      <w:proofErr w:type="spellStart"/>
      <w:r w:rsidRPr="00226892">
        <w:rPr>
          <w:rFonts w:ascii="Arial" w:hAnsi="Arial" w:cs="Arial"/>
          <w:bCs/>
        </w:rPr>
        <w:t>úžitková</w:t>
      </w:r>
      <w:proofErr w:type="spellEnd"/>
      <w:r w:rsidRPr="00226892">
        <w:rPr>
          <w:rFonts w:ascii="Arial" w:hAnsi="Arial" w:cs="Arial"/>
          <w:bCs/>
        </w:rPr>
        <w:t xml:space="preserve"> </w:t>
      </w:r>
      <w:proofErr w:type="spellStart"/>
      <w:r w:rsidRPr="00226892">
        <w:rPr>
          <w:rFonts w:ascii="Arial" w:hAnsi="Arial" w:cs="Arial"/>
          <w:bCs/>
        </w:rPr>
        <w:t>hodnota</w:t>
      </w:r>
      <w:proofErr w:type="spellEnd"/>
      <w:r w:rsidRPr="00226892">
        <w:rPr>
          <w:rFonts w:ascii="Arial" w:hAnsi="Arial" w:cs="Arial"/>
          <w:bCs/>
        </w:rPr>
        <w:t xml:space="preserve"> </w:t>
      </w:r>
      <w:proofErr w:type="spellStart"/>
      <w:r w:rsidRPr="00226892">
        <w:rPr>
          <w:rFonts w:ascii="Arial" w:hAnsi="Arial" w:cs="Arial"/>
          <w:bCs/>
        </w:rPr>
        <w:t>majetku</w:t>
      </w:r>
      <w:proofErr w:type="spellEnd"/>
      <w:r w:rsidRPr="00226892">
        <w:rPr>
          <w:rFonts w:ascii="Arial" w:hAnsi="Arial" w:cs="Arial"/>
          <w:bCs/>
        </w:rPr>
        <w:t xml:space="preserve">, </w:t>
      </w:r>
      <w:proofErr w:type="spellStart"/>
      <w:r w:rsidRPr="00226892">
        <w:rPr>
          <w:rFonts w:ascii="Arial" w:hAnsi="Arial" w:cs="Arial"/>
          <w:bCs/>
        </w:rPr>
        <w:t>podľa</w:t>
      </w:r>
      <w:proofErr w:type="spellEnd"/>
      <w:r w:rsidRPr="00226892">
        <w:rPr>
          <w:rFonts w:ascii="Arial" w:hAnsi="Arial" w:cs="Arial"/>
          <w:bCs/>
        </w:rPr>
        <w:t xml:space="preserve"> </w:t>
      </w:r>
      <w:proofErr w:type="spellStart"/>
      <w:r w:rsidRPr="00226892">
        <w:rPr>
          <w:rFonts w:ascii="Arial" w:hAnsi="Arial" w:cs="Arial"/>
          <w:bCs/>
        </w:rPr>
        <w:t>toho</w:t>
      </w:r>
      <w:proofErr w:type="spellEnd"/>
      <w:r w:rsidRPr="00226892">
        <w:rPr>
          <w:rFonts w:ascii="Arial" w:hAnsi="Arial" w:cs="Arial"/>
          <w:bCs/>
        </w:rPr>
        <w:t xml:space="preserve">, </w:t>
      </w:r>
      <w:proofErr w:type="spellStart"/>
      <w:r w:rsidRPr="00226892">
        <w:rPr>
          <w:rFonts w:ascii="Arial" w:hAnsi="Arial" w:cs="Arial"/>
          <w:bCs/>
        </w:rPr>
        <w:t>ktorá</w:t>
      </w:r>
      <w:proofErr w:type="spellEnd"/>
      <w:r w:rsidRPr="00226892">
        <w:rPr>
          <w:rFonts w:ascii="Arial" w:hAnsi="Arial" w:cs="Arial"/>
          <w:bCs/>
        </w:rPr>
        <w:t xml:space="preserve"> je </w:t>
      </w:r>
      <w:proofErr w:type="spellStart"/>
      <w:r w:rsidRPr="00226892">
        <w:rPr>
          <w:rFonts w:ascii="Arial" w:hAnsi="Arial" w:cs="Arial"/>
          <w:bCs/>
        </w:rPr>
        <w:t>vyššia</w:t>
      </w:r>
      <w:proofErr w:type="spellEnd"/>
      <w:r w:rsidRPr="00226892">
        <w:rPr>
          <w:rFonts w:ascii="Arial" w:hAnsi="Arial" w:cs="Arial"/>
          <w:bCs/>
        </w:rPr>
        <w:t xml:space="preserve">. </w:t>
      </w:r>
      <w:proofErr w:type="spellStart"/>
      <w:r w:rsidRPr="00226892">
        <w:rPr>
          <w:rFonts w:ascii="Arial" w:hAnsi="Arial" w:cs="Arial"/>
          <w:bCs/>
        </w:rPr>
        <w:t>Pri</w:t>
      </w:r>
      <w:proofErr w:type="spellEnd"/>
      <w:r w:rsidRPr="00226892">
        <w:rPr>
          <w:rFonts w:ascii="Arial" w:hAnsi="Arial" w:cs="Arial"/>
          <w:bCs/>
        </w:rPr>
        <w:t xml:space="preserve"> </w:t>
      </w:r>
      <w:proofErr w:type="spellStart"/>
      <w:r w:rsidRPr="00226892">
        <w:rPr>
          <w:rFonts w:ascii="Arial" w:hAnsi="Arial" w:cs="Arial"/>
          <w:bCs/>
        </w:rPr>
        <w:t>výpočtoch</w:t>
      </w:r>
      <w:proofErr w:type="spellEnd"/>
      <w:r w:rsidRPr="00226892">
        <w:rPr>
          <w:rFonts w:ascii="Arial" w:hAnsi="Arial" w:cs="Arial"/>
          <w:bCs/>
        </w:rPr>
        <w:t xml:space="preserve"> bolo </w:t>
      </w:r>
      <w:proofErr w:type="spellStart"/>
      <w:r w:rsidRPr="00226892">
        <w:rPr>
          <w:rFonts w:ascii="Arial" w:hAnsi="Arial" w:cs="Arial"/>
          <w:bCs/>
        </w:rPr>
        <w:t>potrebné</w:t>
      </w:r>
      <w:proofErr w:type="spellEnd"/>
      <w:r w:rsidRPr="00226892">
        <w:rPr>
          <w:rFonts w:ascii="Arial" w:hAnsi="Arial" w:cs="Arial"/>
          <w:bCs/>
        </w:rPr>
        <w:t xml:space="preserve"> </w:t>
      </w:r>
      <w:proofErr w:type="spellStart"/>
      <w:r w:rsidRPr="00226892">
        <w:rPr>
          <w:rFonts w:ascii="Arial" w:hAnsi="Arial" w:cs="Arial"/>
          <w:bCs/>
        </w:rPr>
        <w:t>použiť</w:t>
      </w:r>
      <w:proofErr w:type="spellEnd"/>
      <w:r w:rsidRPr="00226892">
        <w:rPr>
          <w:rFonts w:ascii="Arial" w:hAnsi="Arial" w:cs="Arial"/>
          <w:bCs/>
        </w:rPr>
        <w:t xml:space="preserve"> </w:t>
      </w:r>
      <w:proofErr w:type="spellStart"/>
      <w:r w:rsidRPr="00226892">
        <w:rPr>
          <w:rFonts w:ascii="Arial" w:hAnsi="Arial" w:cs="Arial"/>
          <w:bCs/>
        </w:rPr>
        <w:t>odhady</w:t>
      </w:r>
      <w:proofErr w:type="spellEnd"/>
      <w:r w:rsidRPr="00226892">
        <w:rPr>
          <w:rFonts w:ascii="Arial" w:hAnsi="Arial" w:cs="Arial"/>
          <w:bCs/>
        </w:rPr>
        <w:t xml:space="preserve">, </w:t>
      </w:r>
      <w:proofErr w:type="spellStart"/>
      <w:r w:rsidRPr="00226892">
        <w:rPr>
          <w:rFonts w:ascii="Arial" w:hAnsi="Arial" w:cs="Arial"/>
          <w:bCs/>
        </w:rPr>
        <w:t>ktoré</w:t>
      </w:r>
      <w:proofErr w:type="spellEnd"/>
      <w:r w:rsidRPr="00226892">
        <w:rPr>
          <w:rFonts w:ascii="Arial" w:hAnsi="Arial" w:cs="Arial"/>
          <w:bCs/>
        </w:rPr>
        <w:t xml:space="preserve"> </w:t>
      </w:r>
      <w:proofErr w:type="spellStart"/>
      <w:r w:rsidRPr="00226892">
        <w:rPr>
          <w:rFonts w:ascii="Arial" w:hAnsi="Arial" w:cs="Arial"/>
          <w:bCs/>
        </w:rPr>
        <w:t>sa</w:t>
      </w:r>
      <w:proofErr w:type="spellEnd"/>
      <w:r w:rsidRPr="00226892">
        <w:rPr>
          <w:rFonts w:ascii="Arial" w:hAnsi="Arial" w:cs="Arial"/>
          <w:bCs/>
        </w:rPr>
        <w:t xml:space="preserve"> </w:t>
      </w:r>
      <w:proofErr w:type="spellStart"/>
      <w:r w:rsidRPr="00226892">
        <w:rPr>
          <w:rFonts w:ascii="Arial" w:hAnsi="Arial" w:cs="Arial"/>
          <w:bCs/>
        </w:rPr>
        <w:t>týkajú</w:t>
      </w:r>
      <w:proofErr w:type="spellEnd"/>
      <w:r w:rsidRPr="00226892">
        <w:rPr>
          <w:rFonts w:ascii="Arial" w:hAnsi="Arial" w:cs="Arial"/>
          <w:bCs/>
        </w:rPr>
        <w:t xml:space="preserve"> </w:t>
      </w:r>
      <w:proofErr w:type="spellStart"/>
      <w:r w:rsidRPr="00226892">
        <w:rPr>
          <w:rFonts w:ascii="Arial" w:hAnsi="Arial" w:cs="Arial"/>
          <w:bCs/>
        </w:rPr>
        <w:t>budúcnosti</w:t>
      </w:r>
      <w:proofErr w:type="spellEnd"/>
      <w:r w:rsidRPr="00226892">
        <w:rPr>
          <w:rFonts w:ascii="Arial" w:hAnsi="Arial" w:cs="Arial"/>
          <w:bCs/>
        </w:rPr>
        <w:t xml:space="preserve">, a </w:t>
      </w:r>
      <w:proofErr w:type="spellStart"/>
      <w:r w:rsidRPr="00226892">
        <w:rPr>
          <w:rFonts w:ascii="Arial" w:hAnsi="Arial" w:cs="Arial"/>
          <w:bCs/>
        </w:rPr>
        <w:t>ktoré</w:t>
      </w:r>
      <w:proofErr w:type="spellEnd"/>
      <w:r w:rsidRPr="00226892">
        <w:rPr>
          <w:rFonts w:ascii="Arial" w:hAnsi="Arial" w:cs="Arial"/>
          <w:bCs/>
        </w:rPr>
        <w:t xml:space="preserve"> </w:t>
      </w:r>
      <w:proofErr w:type="spellStart"/>
      <w:r w:rsidRPr="00226892">
        <w:rPr>
          <w:rFonts w:ascii="Arial" w:hAnsi="Arial" w:cs="Arial"/>
          <w:bCs/>
        </w:rPr>
        <w:t>sú</w:t>
      </w:r>
      <w:proofErr w:type="spellEnd"/>
      <w:r w:rsidRPr="00226892">
        <w:rPr>
          <w:rFonts w:ascii="Arial" w:hAnsi="Arial" w:cs="Arial"/>
          <w:bCs/>
        </w:rPr>
        <w:t xml:space="preserve"> </w:t>
      </w:r>
      <w:proofErr w:type="spellStart"/>
      <w:r w:rsidRPr="00226892">
        <w:rPr>
          <w:rFonts w:ascii="Arial" w:hAnsi="Arial" w:cs="Arial"/>
          <w:bCs/>
        </w:rPr>
        <w:t>pravidelne</w:t>
      </w:r>
      <w:proofErr w:type="spellEnd"/>
      <w:r w:rsidRPr="00226892">
        <w:rPr>
          <w:rFonts w:ascii="Arial" w:hAnsi="Arial" w:cs="Arial"/>
          <w:bCs/>
        </w:rPr>
        <w:t xml:space="preserve"> </w:t>
      </w:r>
      <w:proofErr w:type="spellStart"/>
      <w:r w:rsidRPr="00226892">
        <w:rPr>
          <w:rFonts w:ascii="Arial" w:hAnsi="Arial" w:cs="Arial"/>
          <w:bCs/>
        </w:rPr>
        <w:t>upravované</w:t>
      </w:r>
      <w:proofErr w:type="spellEnd"/>
      <w:r w:rsidR="006267A2" w:rsidRPr="00226892">
        <w:rPr>
          <w:rFonts w:ascii="Arial" w:hAnsi="Arial" w:cs="Arial"/>
          <w:bCs/>
          <w:lang w:val="sk-SK"/>
        </w:rPr>
        <w:t>.</w:t>
      </w:r>
    </w:p>
    <w:p w14:paraId="06E3987A" w14:textId="25E2B1F1" w:rsidR="0088110D" w:rsidRPr="00226892" w:rsidRDefault="0088110D" w:rsidP="00FE07F6">
      <w:pPr>
        <w:suppressAutoHyphens/>
        <w:ind w:left="69"/>
        <w:jc w:val="both"/>
        <w:rPr>
          <w:rFonts w:ascii="Arial" w:hAnsi="Arial" w:cs="Arial"/>
        </w:rPr>
      </w:pPr>
    </w:p>
    <w:p w14:paraId="10C72FEC" w14:textId="4F38DDEF" w:rsidR="00187F65" w:rsidRPr="00226892" w:rsidRDefault="00C87144" w:rsidP="00FE07F6">
      <w:pPr>
        <w:ind w:left="69"/>
        <w:jc w:val="both"/>
        <w:rPr>
          <w:rFonts w:ascii="Arial" w:hAnsi="Arial" w:cs="Arial"/>
        </w:rPr>
      </w:pPr>
      <w:r w:rsidRPr="00226892">
        <w:rPr>
          <w:rFonts w:ascii="Arial" w:hAnsi="Arial" w:cs="Arial"/>
        </w:rPr>
        <w:t xml:space="preserve">Pre </w:t>
      </w:r>
      <w:proofErr w:type="spellStart"/>
      <w:r w:rsidRPr="00226892">
        <w:rPr>
          <w:rFonts w:ascii="Arial" w:hAnsi="Arial" w:cs="Arial"/>
        </w:rPr>
        <w:t>dlhodobý</w:t>
      </w:r>
      <w:proofErr w:type="spellEnd"/>
      <w:r w:rsidRPr="00226892">
        <w:rPr>
          <w:rFonts w:ascii="Arial" w:hAnsi="Arial" w:cs="Arial"/>
        </w:rPr>
        <w:t xml:space="preserve"> </w:t>
      </w:r>
      <w:proofErr w:type="spellStart"/>
      <w:r w:rsidRPr="00226892">
        <w:rPr>
          <w:rFonts w:ascii="Arial" w:hAnsi="Arial" w:cs="Arial"/>
        </w:rPr>
        <w:t>majetok</w:t>
      </w:r>
      <w:proofErr w:type="spellEnd"/>
      <w:r w:rsidRPr="00226892">
        <w:rPr>
          <w:rFonts w:ascii="Arial" w:hAnsi="Arial" w:cs="Arial"/>
        </w:rPr>
        <w:t xml:space="preserve"> </w:t>
      </w:r>
      <w:proofErr w:type="spellStart"/>
      <w:r w:rsidRPr="00226892">
        <w:rPr>
          <w:rFonts w:ascii="Arial" w:hAnsi="Arial" w:cs="Arial"/>
        </w:rPr>
        <w:t>Skupiny</w:t>
      </w:r>
      <w:proofErr w:type="spellEnd"/>
      <w:r w:rsidRPr="00226892">
        <w:rPr>
          <w:rFonts w:ascii="Arial" w:hAnsi="Arial" w:cs="Arial"/>
        </w:rPr>
        <w:t xml:space="preserve"> </w:t>
      </w:r>
      <w:proofErr w:type="spellStart"/>
      <w:r w:rsidRPr="00226892">
        <w:rPr>
          <w:rFonts w:ascii="Arial" w:hAnsi="Arial" w:cs="Arial"/>
        </w:rPr>
        <w:t>nebol</w:t>
      </w:r>
      <w:proofErr w:type="spellEnd"/>
      <w:r w:rsidRPr="00226892">
        <w:rPr>
          <w:rFonts w:ascii="Arial" w:hAnsi="Arial" w:cs="Arial"/>
        </w:rPr>
        <w:t xml:space="preserve"> </w:t>
      </w:r>
      <w:proofErr w:type="spellStart"/>
      <w:r w:rsidRPr="00226892">
        <w:rPr>
          <w:rFonts w:ascii="Arial" w:hAnsi="Arial" w:cs="Arial"/>
        </w:rPr>
        <w:t>identifikovaný</w:t>
      </w:r>
      <w:proofErr w:type="spellEnd"/>
      <w:r w:rsidRPr="00226892">
        <w:rPr>
          <w:rFonts w:ascii="Arial" w:hAnsi="Arial" w:cs="Arial"/>
        </w:rPr>
        <w:t xml:space="preserve"> </w:t>
      </w:r>
      <w:proofErr w:type="spellStart"/>
      <w:r w:rsidRPr="00226892">
        <w:rPr>
          <w:rFonts w:ascii="Arial" w:hAnsi="Arial" w:cs="Arial"/>
        </w:rPr>
        <w:t>indikátor</w:t>
      </w:r>
      <w:proofErr w:type="spellEnd"/>
      <w:r w:rsidRPr="00226892">
        <w:rPr>
          <w:rFonts w:ascii="Arial" w:hAnsi="Arial" w:cs="Arial"/>
        </w:rPr>
        <w:t xml:space="preserve"> </w:t>
      </w:r>
      <w:proofErr w:type="spellStart"/>
      <w:r w:rsidRPr="00226892">
        <w:rPr>
          <w:rFonts w:ascii="Arial" w:hAnsi="Arial" w:cs="Arial"/>
        </w:rPr>
        <w:t>zníženia</w:t>
      </w:r>
      <w:proofErr w:type="spellEnd"/>
      <w:r w:rsidRPr="00226892">
        <w:rPr>
          <w:rFonts w:ascii="Arial" w:hAnsi="Arial" w:cs="Arial"/>
        </w:rPr>
        <w:t xml:space="preserve"> </w:t>
      </w:r>
      <w:proofErr w:type="spellStart"/>
      <w:r w:rsidRPr="00226892">
        <w:rPr>
          <w:rFonts w:ascii="Arial" w:hAnsi="Arial" w:cs="Arial"/>
        </w:rPr>
        <w:t>hodnoty</w:t>
      </w:r>
      <w:proofErr w:type="spellEnd"/>
      <w:r w:rsidRPr="00226892">
        <w:rPr>
          <w:rFonts w:ascii="Arial" w:hAnsi="Arial" w:cs="Arial"/>
        </w:rPr>
        <w:t xml:space="preserve"> </w:t>
      </w:r>
      <w:proofErr w:type="spellStart"/>
      <w:r w:rsidRPr="00226892">
        <w:rPr>
          <w:rFonts w:ascii="Arial" w:hAnsi="Arial" w:cs="Arial"/>
        </w:rPr>
        <w:t>majetku</w:t>
      </w:r>
      <w:proofErr w:type="spellEnd"/>
      <w:r w:rsidRPr="00226892">
        <w:rPr>
          <w:rFonts w:ascii="Arial" w:hAnsi="Arial" w:cs="Arial"/>
        </w:rPr>
        <w:t xml:space="preserve">, a </w:t>
      </w:r>
      <w:proofErr w:type="spellStart"/>
      <w:r w:rsidRPr="00226892">
        <w:rPr>
          <w:rFonts w:ascii="Arial" w:hAnsi="Arial" w:cs="Arial"/>
        </w:rPr>
        <w:t>preto</w:t>
      </w:r>
      <w:proofErr w:type="spellEnd"/>
      <w:r w:rsidRPr="00226892">
        <w:rPr>
          <w:rFonts w:ascii="Arial" w:hAnsi="Arial" w:cs="Arial"/>
        </w:rPr>
        <w:t xml:space="preserve"> test </w:t>
      </w:r>
      <w:proofErr w:type="spellStart"/>
      <w:r w:rsidRPr="00226892">
        <w:rPr>
          <w:rFonts w:ascii="Arial" w:hAnsi="Arial" w:cs="Arial"/>
        </w:rPr>
        <w:t>znehodnotenia</w:t>
      </w:r>
      <w:proofErr w:type="spellEnd"/>
      <w:r w:rsidRPr="00226892">
        <w:rPr>
          <w:rFonts w:ascii="Arial" w:hAnsi="Arial" w:cs="Arial"/>
        </w:rPr>
        <w:t xml:space="preserve"> </w:t>
      </w:r>
      <w:proofErr w:type="spellStart"/>
      <w:r w:rsidRPr="00226892">
        <w:rPr>
          <w:rFonts w:ascii="Arial" w:hAnsi="Arial" w:cs="Arial"/>
        </w:rPr>
        <w:t>majetku</w:t>
      </w:r>
      <w:proofErr w:type="spellEnd"/>
      <w:r w:rsidRPr="00226892">
        <w:rPr>
          <w:rFonts w:ascii="Arial" w:hAnsi="Arial" w:cs="Arial"/>
        </w:rPr>
        <w:t xml:space="preserve"> </w:t>
      </w:r>
      <w:proofErr w:type="spellStart"/>
      <w:r w:rsidRPr="00226892">
        <w:rPr>
          <w:rFonts w:ascii="Arial" w:hAnsi="Arial" w:cs="Arial"/>
        </w:rPr>
        <w:t>nebol</w:t>
      </w:r>
      <w:proofErr w:type="spellEnd"/>
      <w:r w:rsidRPr="00226892">
        <w:rPr>
          <w:rFonts w:ascii="Arial" w:hAnsi="Arial" w:cs="Arial"/>
        </w:rPr>
        <w:t xml:space="preserve"> k 31. </w:t>
      </w:r>
      <w:proofErr w:type="spellStart"/>
      <w:r w:rsidRPr="00226892">
        <w:rPr>
          <w:rFonts w:ascii="Arial" w:hAnsi="Arial" w:cs="Arial"/>
        </w:rPr>
        <w:t>decembru</w:t>
      </w:r>
      <w:proofErr w:type="spellEnd"/>
      <w:r w:rsidRPr="00226892">
        <w:rPr>
          <w:rFonts w:ascii="Arial" w:hAnsi="Arial" w:cs="Arial"/>
        </w:rPr>
        <w:t xml:space="preserve"> 2018 (ani k 31. </w:t>
      </w:r>
      <w:proofErr w:type="spellStart"/>
      <w:r w:rsidRPr="00226892">
        <w:rPr>
          <w:rFonts w:ascii="Arial" w:hAnsi="Arial" w:cs="Arial"/>
        </w:rPr>
        <w:t>decembru</w:t>
      </w:r>
      <w:proofErr w:type="spellEnd"/>
      <w:r w:rsidRPr="00226892">
        <w:rPr>
          <w:rFonts w:ascii="Arial" w:hAnsi="Arial" w:cs="Arial"/>
        </w:rPr>
        <w:t xml:space="preserve"> 2017) </w:t>
      </w:r>
      <w:proofErr w:type="spellStart"/>
      <w:r w:rsidRPr="00226892">
        <w:rPr>
          <w:rFonts w:ascii="Arial" w:hAnsi="Arial" w:cs="Arial"/>
        </w:rPr>
        <w:t>vykonaný</w:t>
      </w:r>
      <w:proofErr w:type="spellEnd"/>
      <w:r w:rsidR="00187F65" w:rsidRPr="00226892">
        <w:rPr>
          <w:rFonts w:ascii="Arial" w:hAnsi="Arial" w:cs="Arial"/>
        </w:rPr>
        <w:t>.</w:t>
      </w:r>
    </w:p>
    <w:p w14:paraId="64829876" w14:textId="77777777" w:rsidR="0088110D" w:rsidRPr="00226892" w:rsidRDefault="0088110D" w:rsidP="00FE07F6">
      <w:pPr>
        <w:ind w:left="69"/>
        <w:jc w:val="both"/>
        <w:rPr>
          <w:rFonts w:ascii="Arial" w:hAnsi="Arial" w:cs="Arial"/>
        </w:rPr>
      </w:pPr>
    </w:p>
    <w:p w14:paraId="01E9CB27" w14:textId="7CE4C193" w:rsidR="00415C82" w:rsidRPr="00226892" w:rsidRDefault="00415C82" w:rsidP="00FE07F6">
      <w:pPr>
        <w:pStyle w:val="Odsekzoznamu"/>
        <w:numPr>
          <w:ilvl w:val="0"/>
          <w:numId w:val="29"/>
        </w:numPr>
        <w:tabs>
          <w:tab w:val="clear" w:pos="1080"/>
          <w:tab w:val="num" w:pos="723"/>
        </w:tabs>
        <w:suppressAutoHyphens/>
        <w:ind w:left="723"/>
        <w:jc w:val="both"/>
        <w:rPr>
          <w:rFonts w:ascii="Arial" w:hAnsi="Arial" w:cs="Arial"/>
          <w:bCs/>
          <w:i/>
          <w:lang w:val="sk-SK"/>
        </w:rPr>
      </w:pPr>
      <w:r w:rsidRPr="00226892">
        <w:rPr>
          <w:rFonts w:ascii="Arial" w:hAnsi="Arial" w:cs="Arial"/>
          <w:bCs/>
          <w:i/>
          <w:lang w:val="sk-SK"/>
        </w:rPr>
        <w:t>Odhadovanie doby použiteľnosti dlhodobého hmotného majetku</w:t>
      </w:r>
    </w:p>
    <w:p w14:paraId="012359DC" w14:textId="77777777" w:rsidR="00415C82" w:rsidRPr="00226892" w:rsidRDefault="00415C82" w:rsidP="00FE07F6">
      <w:pPr>
        <w:suppressAutoHyphens/>
        <w:ind w:left="69"/>
        <w:jc w:val="both"/>
        <w:rPr>
          <w:rFonts w:ascii="Arial" w:hAnsi="Arial" w:cs="Arial"/>
          <w:bCs/>
          <w:lang w:val="sk-SK"/>
        </w:rPr>
      </w:pPr>
    </w:p>
    <w:p w14:paraId="2497083A" w14:textId="22EF2789" w:rsidR="00C26D0B" w:rsidRPr="00226892" w:rsidRDefault="00C87144" w:rsidP="00FE07F6">
      <w:pPr>
        <w:suppressAutoHyphens/>
        <w:ind w:left="69"/>
        <w:jc w:val="both"/>
        <w:rPr>
          <w:rFonts w:ascii="Arial" w:hAnsi="Arial" w:cs="Arial"/>
          <w:lang w:val="sk-SK"/>
        </w:rPr>
      </w:pPr>
      <w:proofErr w:type="spellStart"/>
      <w:r w:rsidRPr="00226892">
        <w:rPr>
          <w:rFonts w:ascii="Arial" w:hAnsi="Arial" w:cs="Arial"/>
        </w:rPr>
        <w:t>Pri</w:t>
      </w:r>
      <w:proofErr w:type="spellEnd"/>
      <w:r w:rsidRPr="00226892">
        <w:rPr>
          <w:rFonts w:ascii="Arial" w:hAnsi="Arial" w:cs="Arial"/>
        </w:rPr>
        <w:t xml:space="preserve"> </w:t>
      </w:r>
      <w:proofErr w:type="spellStart"/>
      <w:r w:rsidRPr="00226892">
        <w:rPr>
          <w:rFonts w:ascii="Arial" w:hAnsi="Arial" w:cs="Arial"/>
        </w:rPr>
        <w:t>určovaní</w:t>
      </w:r>
      <w:proofErr w:type="spellEnd"/>
      <w:r w:rsidRPr="00226892">
        <w:rPr>
          <w:rFonts w:ascii="Arial" w:hAnsi="Arial" w:cs="Arial"/>
        </w:rPr>
        <w:t xml:space="preserve"> </w:t>
      </w:r>
      <w:proofErr w:type="spellStart"/>
      <w:r w:rsidRPr="00226892">
        <w:rPr>
          <w:rFonts w:ascii="Arial" w:hAnsi="Arial" w:cs="Arial"/>
        </w:rPr>
        <w:t>doby</w:t>
      </w:r>
      <w:proofErr w:type="spellEnd"/>
      <w:r w:rsidRPr="00226892">
        <w:rPr>
          <w:rFonts w:ascii="Arial" w:hAnsi="Arial" w:cs="Arial"/>
        </w:rPr>
        <w:t xml:space="preserve"> </w:t>
      </w:r>
      <w:proofErr w:type="spellStart"/>
      <w:r w:rsidRPr="00226892">
        <w:rPr>
          <w:rFonts w:ascii="Arial" w:hAnsi="Arial" w:cs="Arial"/>
        </w:rPr>
        <w:t>životnosti</w:t>
      </w:r>
      <w:proofErr w:type="spellEnd"/>
      <w:r w:rsidRPr="00226892">
        <w:rPr>
          <w:rFonts w:ascii="Arial" w:hAnsi="Arial" w:cs="Arial"/>
        </w:rPr>
        <w:t xml:space="preserve"> </w:t>
      </w:r>
      <w:proofErr w:type="spellStart"/>
      <w:r w:rsidRPr="00226892">
        <w:rPr>
          <w:rFonts w:ascii="Arial" w:hAnsi="Arial" w:cs="Arial"/>
        </w:rPr>
        <w:t>dlhodobého</w:t>
      </w:r>
      <w:proofErr w:type="spellEnd"/>
      <w:r w:rsidRPr="00226892">
        <w:rPr>
          <w:rFonts w:ascii="Arial" w:hAnsi="Arial" w:cs="Arial"/>
        </w:rPr>
        <w:t xml:space="preserve"> </w:t>
      </w:r>
      <w:proofErr w:type="spellStart"/>
      <w:r w:rsidRPr="00226892">
        <w:rPr>
          <w:rFonts w:ascii="Arial" w:hAnsi="Arial" w:cs="Arial"/>
        </w:rPr>
        <w:t>majetku</w:t>
      </w:r>
      <w:proofErr w:type="spellEnd"/>
      <w:r w:rsidRPr="00226892">
        <w:rPr>
          <w:rFonts w:ascii="Arial" w:hAnsi="Arial" w:cs="Arial"/>
        </w:rPr>
        <w:t xml:space="preserve"> </w:t>
      </w:r>
      <w:proofErr w:type="spellStart"/>
      <w:r w:rsidRPr="00226892">
        <w:rPr>
          <w:rFonts w:ascii="Arial" w:hAnsi="Arial" w:cs="Arial"/>
        </w:rPr>
        <w:t>uplatňuje</w:t>
      </w:r>
      <w:proofErr w:type="spellEnd"/>
      <w:r w:rsidRPr="00226892">
        <w:rPr>
          <w:rFonts w:ascii="Arial" w:hAnsi="Arial" w:cs="Arial"/>
        </w:rPr>
        <w:t xml:space="preserve"> </w:t>
      </w:r>
      <w:proofErr w:type="spellStart"/>
      <w:r w:rsidRPr="00226892">
        <w:rPr>
          <w:rFonts w:ascii="Arial" w:hAnsi="Arial" w:cs="Arial"/>
        </w:rPr>
        <w:t>vedenie</w:t>
      </w:r>
      <w:proofErr w:type="spellEnd"/>
      <w:r w:rsidRPr="00226892">
        <w:rPr>
          <w:rFonts w:ascii="Arial" w:hAnsi="Arial" w:cs="Arial"/>
        </w:rPr>
        <w:t xml:space="preserve"> </w:t>
      </w:r>
      <w:proofErr w:type="spellStart"/>
      <w:r w:rsidRPr="00226892">
        <w:rPr>
          <w:rFonts w:ascii="Arial" w:hAnsi="Arial" w:cs="Arial"/>
        </w:rPr>
        <w:t>Skupiny</w:t>
      </w:r>
      <w:proofErr w:type="spellEnd"/>
      <w:r w:rsidRPr="00226892">
        <w:rPr>
          <w:rFonts w:ascii="Arial" w:hAnsi="Arial" w:cs="Arial"/>
        </w:rPr>
        <w:t xml:space="preserve"> </w:t>
      </w:r>
      <w:proofErr w:type="spellStart"/>
      <w:r w:rsidRPr="00226892">
        <w:rPr>
          <w:rFonts w:ascii="Arial" w:hAnsi="Arial" w:cs="Arial"/>
        </w:rPr>
        <w:t>odborný</w:t>
      </w:r>
      <w:proofErr w:type="spellEnd"/>
      <w:r w:rsidRPr="00226892">
        <w:rPr>
          <w:rFonts w:ascii="Arial" w:hAnsi="Arial" w:cs="Arial"/>
        </w:rPr>
        <w:t xml:space="preserve"> </w:t>
      </w:r>
      <w:proofErr w:type="spellStart"/>
      <w:r w:rsidRPr="00226892">
        <w:rPr>
          <w:rFonts w:ascii="Arial" w:hAnsi="Arial" w:cs="Arial"/>
        </w:rPr>
        <w:t>odhad</w:t>
      </w:r>
      <w:proofErr w:type="spellEnd"/>
      <w:r w:rsidRPr="00226892">
        <w:rPr>
          <w:rFonts w:ascii="Arial" w:hAnsi="Arial" w:cs="Arial"/>
        </w:rPr>
        <w:t xml:space="preserve">, </w:t>
      </w:r>
      <w:proofErr w:type="spellStart"/>
      <w:r w:rsidRPr="00226892">
        <w:rPr>
          <w:rFonts w:ascii="Arial" w:hAnsi="Arial" w:cs="Arial"/>
        </w:rPr>
        <w:t>pri</w:t>
      </w:r>
      <w:proofErr w:type="spellEnd"/>
      <w:r w:rsidRPr="00226892">
        <w:rPr>
          <w:rFonts w:ascii="Arial" w:hAnsi="Arial" w:cs="Arial"/>
        </w:rPr>
        <w:t xml:space="preserve"> </w:t>
      </w:r>
      <w:proofErr w:type="spellStart"/>
      <w:r w:rsidRPr="00226892">
        <w:rPr>
          <w:rFonts w:ascii="Arial" w:hAnsi="Arial" w:cs="Arial"/>
        </w:rPr>
        <w:t>ktorom</w:t>
      </w:r>
      <w:proofErr w:type="spellEnd"/>
      <w:r w:rsidRPr="00226892">
        <w:rPr>
          <w:rFonts w:ascii="Arial" w:hAnsi="Arial" w:cs="Arial"/>
        </w:rPr>
        <w:t xml:space="preserve"> </w:t>
      </w:r>
      <w:proofErr w:type="spellStart"/>
      <w:r w:rsidRPr="00226892">
        <w:rPr>
          <w:rFonts w:ascii="Arial" w:hAnsi="Arial" w:cs="Arial"/>
        </w:rPr>
        <w:t>zohľadňuje</w:t>
      </w:r>
      <w:proofErr w:type="spellEnd"/>
      <w:r w:rsidRPr="00226892">
        <w:rPr>
          <w:rFonts w:ascii="Arial" w:hAnsi="Arial" w:cs="Arial"/>
        </w:rPr>
        <w:t xml:space="preserve"> </w:t>
      </w:r>
      <w:proofErr w:type="spellStart"/>
      <w:r w:rsidRPr="00226892">
        <w:rPr>
          <w:rFonts w:ascii="Arial" w:hAnsi="Arial" w:cs="Arial"/>
        </w:rPr>
        <w:t>plánovanú</w:t>
      </w:r>
      <w:proofErr w:type="spellEnd"/>
      <w:r w:rsidRPr="00226892">
        <w:rPr>
          <w:rFonts w:ascii="Arial" w:hAnsi="Arial" w:cs="Arial"/>
        </w:rPr>
        <w:t xml:space="preserve"> </w:t>
      </w:r>
      <w:proofErr w:type="spellStart"/>
      <w:r w:rsidRPr="00226892">
        <w:rPr>
          <w:rFonts w:ascii="Arial" w:hAnsi="Arial" w:cs="Arial"/>
        </w:rPr>
        <w:t>dobu</w:t>
      </w:r>
      <w:proofErr w:type="spellEnd"/>
      <w:r w:rsidRPr="00226892">
        <w:rPr>
          <w:rFonts w:ascii="Arial" w:hAnsi="Arial" w:cs="Arial"/>
        </w:rPr>
        <w:t xml:space="preserve"> </w:t>
      </w:r>
      <w:proofErr w:type="spellStart"/>
      <w:r w:rsidRPr="00226892">
        <w:rPr>
          <w:rFonts w:ascii="Arial" w:hAnsi="Arial" w:cs="Arial"/>
        </w:rPr>
        <w:t>používania</w:t>
      </w:r>
      <w:proofErr w:type="spellEnd"/>
      <w:r w:rsidRPr="00226892">
        <w:rPr>
          <w:rFonts w:ascii="Arial" w:hAnsi="Arial" w:cs="Arial"/>
        </w:rPr>
        <w:t xml:space="preserve"> </w:t>
      </w:r>
      <w:proofErr w:type="spellStart"/>
      <w:r w:rsidRPr="00226892">
        <w:rPr>
          <w:rFonts w:ascii="Arial" w:hAnsi="Arial" w:cs="Arial"/>
        </w:rPr>
        <w:t>aktíva</w:t>
      </w:r>
      <w:proofErr w:type="spellEnd"/>
      <w:r w:rsidRPr="00226892">
        <w:rPr>
          <w:rFonts w:ascii="Arial" w:hAnsi="Arial" w:cs="Arial"/>
        </w:rPr>
        <w:t xml:space="preserve">, </w:t>
      </w:r>
      <w:proofErr w:type="spellStart"/>
      <w:r w:rsidRPr="00226892">
        <w:rPr>
          <w:rFonts w:ascii="Arial" w:hAnsi="Arial" w:cs="Arial"/>
        </w:rPr>
        <w:t>technologický</w:t>
      </w:r>
      <w:proofErr w:type="spellEnd"/>
      <w:r w:rsidRPr="00226892">
        <w:rPr>
          <w:rFonts w:ascii="Arial" w:hAnsi="Arial" w:cs="Arial"/>
        </w:rPr>
        <w:t xml:space="preserve"> </w:t>
      </w:r>
      <w:proofErr w:type="spellStart"/>
      <w:r w:rsidRPr="00226892">
        <w:rPr>
          <w:rFonts w:ascii="Arial" w:hAnsi="Arial" w:cs="Arial"/>
        </w:rPr>
        <w:t>vývoj</w:t>
      </w:r>
      <w:proofErr w:type="spellEnd"/>
      <w:r w:rsidRPr="00226892">
        <w:rPr>
          <w:rFonts w:ascii="Arial" w:hAnsi="Arial" w:cs="Arial"/>
        </w:rPr>
        <w:t xml:space="preserve"> v </w:t>
      </w:r>
      <w:proofErr w:type="spellStart"/>
      <w:r w:rsidRPr="00226892">
        <w:rPr>
          <w:rFonts w:ascii="Arial" w:hAnsi="Arial" w:cs="Arial"/>
        </w:rPr>
        <w:t>automobilovom</w:t>
      </w:r>
      <w:proofErr w:type="spellEnd"/>
      <w:r w:rsidRPr="00226892">
        <w:rPr>
          <w:rFonts w:ascii="Arial" w:hAnsi="Arial" w:cs="Arial"/>
        </w:rPr>
        <w:t xml:space="preserve"> </w:t>
      </w:r>
      <w:proofErr w:type="spellStart"/>
      <w:r w:rsidRPr="00226892">
        <w:rPr>
          <w:rFonts w:ascii="Arial" w:hAnsi="Arial" w:cs="Arial"/>
        </w:rPr>
        <w:t>priemysle</w:t>
      </w:r>
      <w:proofErr w:type="spellEnd"/>
      <w:r w:rsidRPr="00226892">
        <w:rPr>
          <w:rFonts w:ascii="Arial" w:hAnsi="Arial" w:cs="Arial"/>
        </w:rPr>
        <w:t xml:space="preserve">, </w:t>
      </w:r>
      <w:proofErr w:type="spellStart"/>
      <w:r w:rsidRPr="00226892">
        <w:rPr>
          <w:rFonts w:ascii="Arial" w:hAnsi="Arial" w:cs="Arial"/>
        </w:rPr>
        <w:t>využitie</w:t>
      </w:r>
      <w:proofErr w:type="spellEnd"/>
      <w:r w:rsidRPr="00226892">
        <w:rPr>
          <w:rFonts w:ascii="Arial" w:hAnsi="Arial" w:cs="Arial"/>
        </w:rPr>
        <w:t xml:space="preserve"> </w:t>
      </w:r>
      <w:proofErr w:type="spellStart"/>
      <w:r w:rsidRPr="00226892">
        <w:rPr>
          <w:rFonts w:ascii="Arial" w:hAnsi="Arial" w:cs="Arial"/>
        </w:rPr>
        <w:t>aktíva</w:t>
      </w:r>
      <w:proofErr w:type="spellEnd"/>
      <w:r w:rsidRPr="00226892">
        <w:rPr>
          <w:rFonts w:ascii="Arial" w:hAnsi="Arial" w:cs="Arial"/>
        </w:rPr>
        <w:t xml:space="preserve"> v </w:t>
      </w:r>
      <w:proofErr w:type="spellStart"/>
      <w:r w:rsidRPr="00226892">
        <w:rPr>
          <w:rFonts w:ascii="Arial" w:hAnsi="Arial" w:cs="Arial"/>
        </w:rPr>
        <w:t>prevádzke</w:t>
      </w:r>
      <w:proofErr w:type="spellEnd"/>
      <w:r w:rsidRPr="00226892">
        <w:rPr>
          <w:rFonts w:ascii="Arial" w:hAnsi="Arial" w:cs="Arial"/>
        </w:rPr>
        <w:t xml:space="preserve"> </w:t>
      </w:r>
      <w:proofErr w:type="gramStart"/>
      <w:r w:rsidRPr="00226892">
        <w:rPr>
          <w:rFonts w:ascii="Arial" w:hAnsi="Arial" w:cs="Arial"/>
        </w:rPr>
        <w:t>a</w:t>
      </w:r>
      <w:proofErr w:type="gramEnd"/>
      <w:r w:rsidRPr="00226892">
        <w:rPr>
          <w:rFonts w:ascii="Arial" w:hAnsi="Arial" w:cs="Arial"/>
        </w:rPr>
        <w:t> </w:t>
      </w:r>
      <w:proofErr w:type="spellStart"/>
      <w:r w:rsidRPr="00226892">
        <w:rPr>
          <w:rFonts w:ascii="Arial" w:hAnsi="Arial" w:cs="Arial"/>
        </w:rPr>
        <w:t>iné</w:t>
      </w:r>
      <w:proofErr w:type="spellEnd"/>
      <w:r w:rsidRPr="00226892">
        <w:rPr>
          <w:rFonts w:ascii="Arial" w:hAnsi="Arial" w:cs="Arial"/>
        </w:rPr>
        <w:t xml:space="preserve"> </w:t>
      </w:r>
      <w:proofErr w:type="spellStart"/>
      <w:r w:rsidRPr="00226892">
        <w:rPr>
          <w:rFonts w:ascii="Arial" w:hAnsi="Arial" w:cs="Arial"/>
        </w:rPr>
        <w:t>faktory</w:t>
      </w:r>
      <w:proofErr w:type="spellEnd"/>
      <w:r w:rsidRPr="00226892">
        <w:rPr>
          <w:rFonts w:ascii="Arial" w:hAnsi="Arial" w:cs="Arial"/>
        </w:rPr>
        <w:t xml:space="preserve"> </w:t>
      </w:r>
      <w:proofErr w:type="spellStart"/>
      <w:r w:rsidRPr="00226892">
        <w:rPr>
          <w:rFonts w:ascii="Arial" w:hAnsi="Arial" w:cs="Arial"/>
        </w:rPr>
        <w:t>ovplyvňujúce</w:t>
      </w:r>
      <w:proofErr w:type="spellEnd"/>
      <w:r w:rsidRPr="00226892">
        <w:rPr>
          <w:rFonts w:ascii="Arial" w:hAnsi="Arial" w:cs="Arial"/>
        </w:rPr>
        <w:t xml:space="preserve"> </w:t>
      </w:r>
      <w:proofErr w:type="spellStart"/>
      <w:r w:rsidRPr="00226892">
        <w:rPr>
          <w:rFonts w:ascii="Arial" w:hAnsi="Arial" w:cs="Arial"/>
        </w:rPr>
        <w:t>životnosť</w:t>
      </w:r>
      <w:proofErr w:type="spellEnd"/>
      <w:r w:rsidRPr="00226892">
        <w:rPr>
          <w:rFonts w:ascii="Arial" w:hAnsi="Arial" w:cs="Arial"/>
        </w:rPr>
        <w:t xml:space="preserve"> </w:t>
      </w:r>
      <w:proofErr w:type="spellStart"/>
      <w:r w:rsidRPr="00226892">
        <w:rPr>
          <w:rFonts w:ascii="Arial" w:hAnsi="Arial" w:cs="Arial"/>
        </w:rPr>
        <w:t>aktíva</w:t>
      </w:r>
      <w:proofErr w:type="spellEnd"/>
      <w:r w:rsidRPr="00226892">
        <w:rPr>
          <w:rFonts w:ascii="Arial" w:hAnsi="Arial" w:cs="Arial"/>
        </w:rPr>
        <w:t xml:space="preserve">. </w:t>
      </w:r>
      <w:r w:rsidR="00415C82" w:rsidRPr="00226892">
        <w:rPr>
          <w:rFonts w:ascii="Arial" w:hAnsi="Arial" w:cs="Arial"/>
          <w:lang w:val="sk-SK"/>
        </w:rPr>
        <w:t xml:space="preserve">Priemerná </w:t>
      </w:r>
      <w:r w:rsidR="00C0300D" w:rsidRPr="00226892">
        <w:rPr>
          <w:rFonts w:ascii="Arial" w:hAnsi="Arial" w:cs="Arial"/>
          <w:lang w:val="sk-SK"/>
        </w:rPr>
        <w:t xml:space="preserve">zostatková </w:t>
      </w:r>
      <w:r w:rsidR="00415C82" w:rsidRPr="00226892">
        <w:rPr>
          <w:rFonts w:ascii="Arial" w:hAnsi="Arial" w:cs="Arial"/>
          <w:lang w:val="sk-SK"/>
        </w:rPr>
        <w:t xml:space="preserve">doba použiteľnosti odpisovaného dlhodobého hmotného majetku (budovy a stroje a zariadenia) predstavuje približne </w:t>
      </w:r>
      <w:r w:rsidR="00C0300D" w:rsidRPr="00226892">
        <w:rPr>
          <w:rFonts w:ascii="Arial" w:hAnsi="Arial" w:cs="Arial"/>
          <w:lang w:val="sk-SK"/>
        </w:rPr>
        <w:t xml:space="preserve">8 </w:t>
      </w:r>
      <w:r w:rsidR="00415C82" w:rsidRPr="00226892">
        <w:rPr>
          <w:rFonts w:ascii="Arial" w:hAnsi="Arial" w:cs="Arial"/>
          <w:lang w:val="sk-SK"/>
        </w:rPr>
        <w:t>rokov (</w:t>
      </w:r>
      <w:r w:rsidR="00F63A77" w:rsidRPr="00226892">
        <w:rPr>
          <w:rFonts w:ascii="Arial" w:hAnsi="Arial" w:cs="Arial"/>
          <w:lang w:val="sk-SK"/>
        </w:rPr>
        <w:t>2017</w:t>
      </w:r>
      <w:r w:rsidR="00415C82" w:rsidRPr="00226892">
        <w:rPr>
          <w:rFonts w:ascii="Arial" w:hAnsi="Arial" w:cs="Arial"/>
          <w:lang w:val="sk-SK"/>
        </w:rPr>
        <w:t xml:space="preserve">: </w:t>
      </w:r>
      <w:r w:rsidR="00206D7F" w:rsidRPr="00226892">
        <w:rPr>
          <w:rFonts w:ascii="Arial" w:hAnsi="Arial" w:cs="Arial"/>
          <w:lang w:val="sk-SK"/>
        </w:rPr>
        <w:t>8</w:t>
      </w:r>
      <w:r w:rsidR="00343E8F" w:rsidRPr="00226892">
        <w:rPr>
          <w:rFonts w:ascii="Arial" w:hAnsi="Arial" w:cs="Arial"/>
          <w:lang w:val="sk-SK"/>
        </w:rPr>
        <w:t xml:space="preserve"> </w:t>
      </w:r>
      <w:r w:rsidR="00415C82" w:rsidRPr="00226892">
        <w:rPr>
          <w:rFonts w:ascii="Arial" w:hAnsi="Arial" w:cs="Arial"/>
          <w:lang w:val="sk-SK"/>
        </w:rPr>
        <w:t>rokov). Prehodnotenie priemernej doby použiteľnosti o 1 rok by zmenilo ročný</w:t>
      </w:r>
      <w:r w:rsidR="00233F19" w:rsidRPr="00226892">
        <w:rPr>
          <w:rFonts w:ascii="Arial" w:hAnsi="Arial" w:cs="Arial"/>
          <w:lang w:val="sk-SK"/>
        </w:rPr>
        <w:t xml:space="preserve"> </w:t>
      </w:r>
      <w:r w:rsidR="00415C82" w:rsidRPr="00226892">
        <w:rPr>
          <w:rFonts w:ascii="Arial" w:hAnsi="Arial" w:cs="Arial"/>
          <w:lang w:val="sk-SK"/>
        </w:rPr>
        <w:t>odpis o</w:t>
      </w:r>
      <w:r w:rsidR="00210316" w:rsidRPr="00226892">
        <w:rPr>
          <w:rFonts w:ascii="Arial" w:hAnsi="Arial" w:cs="Arial"/>
          <w:lang w:val="sk-SK"/>
        </w:rPr>
        <w:t> 9</w:t>
      </w:r>
      <w:r w:rsidR="00206D7F" w:rsidRPr="00226892">
        <w:rPr>
          <w:rFonts w:ascii="Arial" w:hAnsi="Arial" w:cs="Arial"/>
          <w:lang w:val="sk-SK"/>
        </w:rPr>
        <w:t>82</w:t>
      </w:r>
      <w:r w:rsidR="00210316" w:rsidRPr="00226892">
        <w:rPr>
          <w:rFonts w:ascii="Arial" w:hAnsi="Arial" w:cs="Arial"/>
          <w:lang w:val="sk-SK"/>
        </w:rPr>
        <w:t xml:space="preserve"> </w:t>
      </w:r>
      <w:r w:rsidR="00415C82" w:rsidRPr="00226892">
        <w:rPr>
          <w:rFonts w:ascii="Arial" w:hAnsi="Arial" w:cs="Arial"/>
          <w:lang w:val="sk-SK"/>
        </w:rPr>
        <w:t>tis. EUR (</w:t>
      </w:r>
      <w:r w:rsidR="00F63A77" w:rsidRPr="00226892">
        <w:rPr>
          <w:rFonts w:ascii="Arial" w:hAnsi="Arial" w:cs="Arial"/>
          <w:lang w:val="sk-SK"/>
        </w:rPr>
        <w:t>2017</w:t>
      </w:r>
      <w:r w:rsidR="00415C82" w:rsidRPr="00226892">
        <w:rPr>
          <w:rFonts w:ascii="Arial" w:hAnsi="Arial" w:cs="Arial"/>
          <w:lang w:val="sk-SK"/>
        </w:rPr>
        <w:t xml:space="preserve">: </w:t>
      </w:r>
      <w:r w:rsidR="00206D7F" w:rsidRPr="00226892">
        <w:rPr>
          <w:rFonts w:ascii="Arial" w:hAnsi="Arial" w:cs="Arial"/>
          <w:lang w:val="sk-SK"/>
        </w:rPr>
        <w:t>928</w:t>
      </w:r>
      <w:r w:rsidR="00210316" w:rsidRPr="00226892">
        <w:rPr>
          <w:rFonts w:ascii="Arial" w:hAnsi="Arial" w:cs="Arial"/>
          <w:lang w:val="sk-SK"/>
        </w:rPr>
        <w:t xml:space="preserve"> </w:t>
      </w:r>
      <w:r w:rsidR="00415C82" w:rsidRPr="00226892">
        <w:rPr>
          <w:rFonts w:ascii="Arial" w:hAnsi="Arial" w:cs="Arial"/>
          <w:lang w:val="sk-SK"/>
        </w:rPr>
        <w:t>tis. EUR).</w:t>
      </w:r>
    </w:p>
    <w:p w14:paraId="3581D81B" w14:textId="2F4E9ABE" w:rsidR="00914225" w:rsidRPr="00226892" w:rsidRDefault="00914225">
      <w:pPr>
        <w:suppressAutoHyphens/>
        <w:ind w:left="426"/>
        <w:jc w:val="both"/>
        <w:rPr>
          <w:rFonts w:ascii="Arial" w:hAnsi="Arial" w:cs="Arial"/>
          <w:lang w:val="sk-SK"/>
        </w:rPr>
      </w:pPr>
    </w:p>
    <w:p w14:paraId="75933307" w14:textId="3D0EABA9" w:rsidR="00BD5E58" w:rsidRPr="00226892" w:rsidRDefault="00BD5E58">
      <w:pPr>
        <w:suppressAutoHyphens/>
        <w:ind w:left="426"/>
        <w:jc w:val="both"/>
        <w:rPr>
          <w:rFonts w:ascii="Arial" w:hAnsi="Arial" w:cs="Arial"/>
          <w:lang w:val="sk-SK"/>
        </w:rPr>
      </w:pPr>
    </w:p>
    <w:p w14:paraId="2D1B724D" w14:textId="10FCB982" w:rsidR="00BD5E58" w:rsidRPr="00226892" w:rsidRDefault="00BD5E58">
      <w:pPr>
        <w:suppressAutoHyphens/>
        <w:ind w:left="426"/>
        <w:jc w:val="both"/>
        <w:rPr>
          <w:rFonts w:ascii="Arial" w:hAnsi="Arial" w:cs="Arial"/>
          <w:lang w:val="sk-SK"/>
        </w:rPr>
      </w:pPr>
    </w:p>
    <w:p w14:paraId="4A657948" w14:textId="31EA9CD1" w:rsidR="00BD5E58" w:rsidRPr="00226892" w:rsidRDefault="00BD5E58">
      <w:pPr>
        <w:suppressAutoHyphens/>
        <w:ind w:left="426"/>
        <w:jc w:val="both"/>
        <w:rPr>
          <w:rFonts w:ascii="Arial" w:hAnsi="Arial" w:cs="Arial"/>
          <w:lang w:val="sk-SK"/>
        </w:rPr>
      </w:pPr>
    </w:p>
    <w:p w14:paraId="108ED9B7" w14:textId="53430883" w:rsidR="00BD5E58" w:rsidRPr="00226892" w:rsidRDefault="00BD5E58">
      <w:pPr>
        <w:suppressAutoHyphens/>
        <w:ind w:left="426"/>
        <w:jc w:val="both"/>
        <w:rPr>
          <w:rFonts w:ascii="Arial" w:hAnsi="Arial" w:cs="Arial"/>
          <w:lang w:val="sk-SK"/>
        </w:rPr>
      </w:pPr>
    </w:p>
    <w:p w14:paraId="4DAA6AEC" w14:textId="1DD4B7B4" w:rsidR="00BD5E58" w:rsidRPr="00226892" w:rsidRDefault="00BD5E58">
      <w:pPr>
        <w:suppressAutoHyphens/>
        <w:ind w:left="426"/>
        <w:jc w:val="both"/>
        <w:rPr>
          <w:rFonts w:ascii="Arial" w:hAnsi="Arial" w:cs="Arial"/>
          <w:lang w:val="sk-SK"/>
        </w:rPr>
      </w:pPr>
    </w:p>
    <w:p w14:paraId="04983150" w14:textId="5DA87106" w:rsidR="00BD5E58" w:rsidRPr="00226892" w:rsidRDefault="00BD5E58">
      <w:pPr>
        <w:suppressAutoHyphens/>
        <w:ind w:left="426"/>
        <w:jc w:val="both"/>
        <w:rPr>
          <w:rFonts w:ascii="Arial" w:hAnsi="Arial" w:cs="Arial"/>
          <w:lang w:val="sk-SK"/>
        </w:rPr>
      </w:pPr>
    </w:p>
    <w:p w14:paraId="2204DE67" w14:textId="2FD4EC7C" w:rsidR="00BD5E58" w:rsidRPr="00226892" w:rsidRDefault="00BD5E58">
      <w:pPr>
        <w:suppressAutoHyphens/>
        <w:ind w:left="426"/>
        <w:jc w:val="both"/>
        <w:rPr>
          <w:rFonts w:ascii="Arial" w:hAnsi="Arial" w:cs="Arial"/>
          <w:lang w:val="sk-SK"/>
        </w:rPr>
      </w:pPr>
    </w:p>
    <w:p w14:paraId="16812D70" w14:textId="74B8D3BD" w:rsidR="00BD5E58" w:rsidRPr="00226892" w:rsidRDefault="00BD5E58">
      <w:pPr>
        <w:suppressAutoHyphens/>
        <w:ind w:left="426"/>
        <w:jc w:val="both"/>
        <w:rPr>
          <w:rFonts w:ascii="Arial" w:hAnsi="Arial" w:cs="Arial"/>
          <w:lang w:val="sk-SK"/>
        </w:rPr>
      </w:pPr>
    </w:p>
    <w:p w14:paraId="719FE062" w14:textId="1D701101" w:rsidR="00BD5E58" w:rsidRPr="00226892" w:rsidRDefault="00BD5E58">
      <w:pPr>
        <w:suppressAutoHyphens/>
        <w:ind w:left="426"/>
        <w:jc w:val="both"/>
        <w:rPr>
          <w:rFonts w:ascii="Arial" w:hAnsi="Arial" w:cs="Arial"/>
          <w:lang w:val="sk-SK"/>
        </w:rPr>
      </w:pPr>
    </w:p>
    <w:p w14:paraId="6F492183" w14:textId="17D58C79" w:rsidR="00ED57D8" w:rsidRPr="00226892" w:rsidRDefault="00ED57D8">
      <w:pPr>
        <w:rPr>
          <w:rFonts w:ascii="Arial" w:hAnsi="Arial" w:cs="Arial"/>
          <w:lang w:val="sk-SK"/>
        </w:rPr>
      </w:pPr>
      <w:r w:rsidRPr="00226892">
        <w:rPr>
          <w:rFonts w:ascii="Arial" w:hAnsi="Arial" w:cs="Arial"/>
          <w:lang w:val="sk-SK"/>
        </w:rPr>
        <w:br w:type="page"/>
      </w:r>
    </w:p>
    <w:p w14:paraId="57ABA9F0" w14:textId="3D296F74" w:rsidR="00837450" w:rsidRPr="00226892" w:rsidRDefault="00415C82" w:rsidP="003578C0">
      <w:pPr>
        <w:pStyle w:val="Nadpis3"/>
        <w:keepNext w:val="0"/>
        <w:widowControl/>
        <w:numPr>
          <w:ilvl w:val="0"/>
          <w:numId w:val="34"/>
        </w:numPr>
        <w:tabs>
          <w:tab w:val="clear" w:pos="1069"/>
          <w:tab w:val="num" w:pos="392"/>
        </w:tabs>
        <w:suppressAutoHyphens/>
        <w:ind w:left="1077" w:hanging="1077"/>
        <w:rPr>
          <w:rFonts w:ascii="Arial" w:hAnsi="Arial" w:cs="Arial"/>
          <w:sz w:val="20"/>
        </w:rPr>
      </w:pPr>
      <w:bookmarkStart w:id="212" w:name="_Toc298394555"/>
      <w:bookmarkStart w:id="213" w:name="_Toc298395035"/>
      <w:bookmarkStart w:id="214" w:name="_Toc298394556"/>
      <w:bookmarkStart w:id="215" w:name="_Toc298395036"/>
      <w:bookmarkStart w:id="216" w:name="_Toc298394557"/>
      <w:bookmarkStart w:id="217" w:name="_Toc298395037"/>
      <w:bookmarkStart w:id="218" w:name="_Toc298394558"/>
      <w:bookmarkStart w:id="219" w:name="_Toc298395038"/>
      <w:bookmarkStart w:id="220" w:name="_Toc298394559"/>
      <w:bookmarkStart w:id="221" w:name="_Toc298395039"/>
      <w:bookmarkStart w:id="222" w:name="_Toc298394560"/>
      <w:bookmarkStart w:id="223" w:name="_Toc298395040"/>
      <w:bookmarkStart w:id="224" w:name="_Toc298394561"/>
      <w:bookmarkStart w:id="225" w:name="_Toc298395041"/>
      <w:bookmarkStart w:id="226" w:name="_Toc298394562"/>
      <w:bookmarkStart w:id="227" w:name="_Toc298395042"/>
      <w:bookmarkStart w:id="228" w:name="_Toc298394563"/>
      <w:bookmarkStart w:id="229" w:name="_Toc298395043"/>
      <w:bookmarkStart w:id="230" w:name="_Toc298394564"/>
      <w:bookmarkStart w:id="231" w:name="_Toc298395044"/>
      <w:bookmarkStart w:id="232" w:name="_Toc298394565"/>
      <w:bookmarkStart w:id="233" w:name="_Toc298395045"/>
      <w:bookmarkStart w:id="234" w:name="_Toc268112554"/>
      <w:bookmarkStart w:id="235" w:name="_Toc268123029"/>
      <w:bookmarkStart w:id="236" w:name="_Toc268152480"/>
      <w:bookmarkStart w:id="237" w:name="_Toc268112555"/>
      <w:bookmarkStart w:id="238" w:name="_Toc268123030"/>
      <w:bookmarkStart w:id="239" w:name="_Toc268152481"/>
      <w:bookmarkStart w:id="240" w:name="_Toc268112556"/>
      <w:bookmarkStart w:id="241" w:name="_Toc268123031"/>
      <w:bookmarkStart w:id="242" w:name="_Toc268152482"/>
      <w:bookmarkStart w:id="243" w:name="_Toc268112557"/>
      <w:bookmarkStart w:id="244" w:name="_Toc268123032"/>
      <w:bookmarkStart w:id="245" w:name="_Toc268152483"/>
      <w:bookmarkStart w:id="246" w:name="_Toc268112558"/>
      <w:bookmarkStart w:id="247" w:name="_Toc268123033"/>
      <w:bookmarkStart w:id="248" w:name="_Toc268152484"/>
      <w:bookmarkStart w:id="249" w:name="_Toc268112559"/>
      <w:bookmarkStart w:id="250" w:name="_Toc268123034"/>
      <w:bookmarkStart w:id="251" w:name="_Toc268152485"/>
      <w:bookmarkStart w:id="252" w:name="_Toc268112562"/>
      <w:bookmarkStart w:id="253" w:name="_Toc268123037"/>
      <w:bookmarkStart w:id="254" w:name="_Toc268152488"/>
      <w:bookmarkStart w:id="255" w:name="_Toc268112566"/>
      <w:bookmarkStart w:id="256" w:name="_Toc268123041"/>
      <w:bookmarkStart w:id="257" w:name="_Toc268152492"/>
      <w:bookmarkStart w:id="258" w:name="_Toc268112578"/>
      <w:bookmarkStart w:id="259" w:name="_Toc268123053"/>
      <w:bookmarkStart w:id="260" w:name="_Toc268152504"/>
      <w:bookmarkStart w:id="261" w:name="_Toc268112586"/>
      <w:bookmarkStart w:id="262" w:name="_Toc268123061"/>
      <w:bookmarkStart w:id="263" w:name="_Toc268152512"/>
      <w:bookmarkStart w:id="264" w:name="_Toc268112598"/>
      <w:bookmarkStart w:id="265" w:name="_Toc268123073"/>
      <w:bookmarkStart w:id="266" w:name="_Toc268152524"/>
      <w:bookmarkStart w:id="267" w:name="_Toc268112614"/>
      <w:bookmarkStart w:id="268" w:name="_Toc268123089"/>
      <w:bookmarkStart w:id="269" w:name="_Toc268152540"/>
      <w:bookmarkStart w:id="270" w:name="_Toc268112622"/>
      <w:bookmarkStart w:id="271" w:name="_Toc268123097"/>
      <w:bookmarkStart w:id="272" w:name="_Toc268152548"/>
      <w:bookmarkStart w:id="273" w:name="_Toc268112623"/>
      <w:bookmarkStart w:id="274" w:name="_Toc268123098"/>
      <w:bookmarkStart w:id="275" w:name="_Toc268152549"/>
      <w:bookmarkStart w:id="276" w:name="_Toc268112624"/>
      <w:bookmarkStart w:id="277" w:name="_Toc268123099"/>
      <w:bookmarkStart w:id="278" w:name="_Toc268152550"/>
      <w:bookmarkStart w:id="279" w:name="_Toc268112625"/>
      <w:bookmarkStart w:id="280" w:name="_Toc268123100"/>
      <w:bookmarkStart w:id="281" w:name="_Toc268152551"/>
      <w:bookmarkStart w:id="282" w:name="_Toc268112626"/>
      <w:bookmarkStart w:id="283" w:name="_Toc268123101"/>
      <w:bookmarkStart w:id="284" w:name="_Toc268152552"/>
      <w:bookmarkStart w:id="285" w:name="_Toc268112630"/>
      <w:bookmarkStart w:id="286" w:name="_Toc268123105"/>
      <w:bookmarkStart w:id="287" w:name="_Toc268152556"/>
      <w:bookmarkStart w:id="288" w:name="_Toc268112662"/>
      <w:bookmarkStart w:id="289" w:name="_Toc268123137"/>
      <w:bookmarkStart w:id="290" w:name="_Toc268152588"/>
      <w:bookmarkStart w:id="291" w:name="_Toc268112682"/>
      <w:bookmarkStart w:id="292" w:name="_Toc268123157"/>
      <w:bookmarkStart w:id="293" w:name="_Toc268152608"/>
      <w:bookmarkStart w:id="294" w:name="_Toc268112690"/>
      <w:bookmarkStart w:id="295" w:name="_Toc268123165"/>
      <w:bookmarkStart w:id="296" w:name="_Toc268152616"/>
      <w:bookmarkStart w:id="297" w:name="_Toc268112691"/>
      <w:bookmarkStart w:id="298" w:name="_Toc268123166"/>
      <w:bookmarkStart w:id="299" w:name="_Toc268152617"/>
      <w:bookmarkStart w:id="300" w:name="_Toc268112692"/>
      <w:bookmarkStart w:id="301" w:name="_Toc268123167"/>
      <w:bookmarkStart w:id="302" w:name="_Toc268152618"/>
      <w:bookmarkStart w:id="303" w:name="_Toc268112693"/>
      <w:bookmarkStart w:id="304" w:name="_Toc268123168"/>
      <w:bookmarkStart w:id="305" w:name="_Toc268152619"/>
      <w:bookmarkStart w:id="306" w:name="_Toc268112697"/>
      <w:bookmarkStart w:id="307" w:name="_Toc268123172"/>
      <w:bookmarkStart w:id="308" w:name="_Toc268152623"/>
      <w:bookmarkStart w:id="309" w:name="_Toc268112717"/>
      <w:bookmarkStart w:id="310" w:name="_Toc268123192"/>
      <w:bookmarkStart w:id="311" w:name="_Toc268152643"/>
      <w:bookmarkStart w:id="312" w:name="_Toc268112718"/>
      <w:bookmarkStart w:id="313" w:name="_Toc268123193"/>
      <w:bookmarkStart w:id="314" w:name="_Toc268152644"/>
      <w:bookmarkStart w:id="315" w:name="_Toc268112719"/>
      <w:bookmarkStart w:id="316" w:name="_Toc268123194"/>
      <w:bookmarkStart w:id="317" w:name="_Toc268152645"/>
      <w:bookmarkStart w:id="318" w:name="_Toc325985795"/>
      <w:bookmarkStart w:id="319" w:name="_Toc387812497"/>
      <w:bookmarkStart w:id="320" w:name="_Toc27409995"/>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roofErr w:type="spellStart"/>
      <w:r w:rsidRPr="00226892">
        <w:rPr>
          <w:rFonts w:ascii="Arial" w:hAnsi="Arial" w:cs="Arial"/>
          <w:sz w:val="20"/>
        </w:rPr>
        <w:lastRenderedPageBreak/>
        <w:t>Nehmotný</w:t>
      </w:r>
      <w:proofErr w:type="spellEnd"/>
      <w:r w:rsidRPr="00226892">
        <w:rPr>
          <w:rFonts w:ascii="Arial" w:hAnsi="Arial" w:cs="Arial"/>
          <w:sz w:val="20"/>
        </w:rPr>
        <w:t xml:space="preserve"> </w:t>
      </w:r>
      <w:proofErr w:type="spellStart"/>
      <w:r w:rsidRPr="00226892">
        <w:rPr>
          <w:rFonts w:ascii="Arial" w:hAnsi="Arial" w:cs="Arial"/>
          <w:sz w:val="20"/>
        </w:rPr>
        <w:t>majetok</w:t>
      </w:r>
      <w:bookmarkEnd w:id="318"/>
      <w:bookmarkEnd w:id="319"/>
      <w:bookmarkEnd w:id="320"/>
      <w:proofErr w:type="spellEnd"/>
    </w:p>
    <w:p w14:paraId="14F7B618" w14:textId="77777777" w:rsidR="008C7061" w:rsidRPr="00226892" w:rsidRDefault="00F7521A" w:rsidP="008C7061">
      <w:pPr>
        <w:suppressAutoHyphens/>
        <w:jc w:val="both"/>
        <w:rPr>
          <w:rFonts w:ascii="Arial" w:hAnsi="Arial" w:cs="Arial"/>
          <w:lang w:val="sk-SK"/>
        </w:rPr>
      </w:pPr>
      <w:bookmarkStart w:id="321" w:name="FWT_IntangibleAssets"/>
      <w:r w:rsidRPr="00226892">
        <w:rPr>
          <w:rFonts w:ascii="Arial" w:hAnsi="Arial" w:cs="Arial"/>
          <w:lang w:val="sk-SK"/>
        </w:rPr>
        <w:t xml:space="preserve"> </w:t>
      </w:r>
    </w:p>
    <w:tbl>
      <w:tblPr>
        <w:tblW w:w="5000" w:type="pct"/>
        <w:tblCellMar>
          <w:left w:w="70" w:type="dxa"/>
          <w:right w:w="70" w:type="dxa"/>
        </w:tblCellMar>
        <w:tblLook w:val="04A0" w:firstRow="1" w:lastRow="0" w:firstColumn="1" w:lastColumn="0" w:noHBand="0" w:noVBand="1"/>
      </w:tblPr>
      <w:tblGrid>
        <w:gridCol w:w="4227"/>
        <w:gridCol w:w="1725"/>
        <w:gridCol w:w="204"/>
        <w:gridCol w:w="1668"/>
        <w:gridCol w:w="307"/>
        <w:gridCol w:w="1508"/>
      </w:tblGrid>
      <w:tr w:rsidR="00C26D0B" w:rsidRPr="00226892" w14:paraId="19BFA766" w14:textId="77777777" w:rsidTr="00FE07F6">
        <w:trPr>
          <w:trHeight w:val="227"/>
        </w:trPr>
        <w:tc>
          <w:tcPr>
            <w:tcW w:w="2193" w:type="pct"/>
            <w:tcBorders>
              <w:top w:val="nil"/>
              <w:left w:val="nil"/>
              <w:bottom w:val="single" w:sz="4" w:space="0" w:color="auto"/>
              <w:right w:val="nil"/>
            </w:tcBorders>
            <w:shd w:val="clear" w:color="auto" w:fill="auto"/>
            <w:vAlign w:val="bottom"/>
            <w:hideMark/>
          </w:tcPr>
          <w:p w14:paraId="7E117116" w14:textId="77777777" w:rsidR="00C26D0B" w:rsidRPr="00226892" w:rsidRDefault="00C26D0B" w:rsidP="008C7061">
            <w:pPr>
              <w:rPr>
                <w:rFonts w:ascii="Arial" w:eastAsia="Times New Roman" w:hAnsi="Arial" w:cs="Arial"/>
                <w:b/>
                <w:bCs/>
                <w:color w:val="000000"/>
                <w:sz w:val="18"/>
                <w:szCs w:val="18"/>
                <w:lang w:val="sk-SK" w:eastAsia="sk-SK"/>
              </w:rPr>
            </w:pPr>
            <w:bookmarkStart w:id="322" w:name="RANGE!C4:I32"/>
            <w:r w:rsidRPr="00226892">
              <w:rPr>
                <w:rFonts w:ascii="Arial" w:eastAsia="Times New Roman" w:hAnsi="Arial" w:cs="Arial"/>
                <w:b/>
                <w:bCs/>
                <w:color w:val="000000"/>
                <w:sz w:val="18"/>
                <w:szCs w:val="18"/>
                <w:lang w:val="sk-SK" w:eastAsia="sk-SK"/>
              </w:rPr>
              <w:t> </w:t>
            </w:r>
            <w:bookmarkEnd w:id="322"/>
          </w:p>
        </w:tc>
        <w:tc>
          <w:tcPr>
            <w:tcW w:w="895" w:type="pct"/>
            <w:tcBorders>
              <w:top w:val="nil"/>
              <w:left w:val="nil"/>
              <w:bottom w:val="single" w:sz="4" w:space="0" w:color="auto"/>
              <w:right w:val="nil"/>
            </w:tcBorders>
            <w:shd w:val="clear" w:color="auto" w:fill="auto"/>
            <w:vAlign w:val="bottom"/>
          </w:tcPr>
          <w:p w14:paraId="0383E63A" w14:textId="6FC9425B" w:rsidR="00C26D0B" w:rsidRPr="00226892" w:rsidRDefault="007172D7" w:rsidP="008C7061">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Softvér a oceniteľné práva</w:t>
            </w:r>
          </w:p>
        </w:tc>
        <w:tc>
          <w:tcPr>
            <w:tcW w:w="106" w:type="pct"/>
            <w:tcBorders>
              <w:top w:val="nil"/>
              <w:left w:val="nil"/>
              <w:bottom w:val="single" w:sz="4" w:space="0" w:color="auto"/>
              <w:right w:val="nil"/>
            </w:tcBorders>
            <w:shd w:val="clear" w:color="auto" w:fill="auto"/>
            <w:vAlign w:val="bottom"/>
            <w:hideMark/>
          </w:tcPr>
          <w:p w14:paraId="7623F10B" w14:textId="77777777" w:rsidR="00C26D0B" w:rsidRPr="00226892" w:rsidRDefault="00C26D0B" w:rsidP="008C7061">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w:t>
            </w:r>
          </w:p>
        </w:tc>
        <w:tc>
          <w:tcPr>
            <w:tcW w:w="865" w:type="pct"/>
            <w:tcBorders>
              <w:top w:val="nil"/>
              <w:left w:val="nil"/>
              <w:bottom w:val="single" w:sz="4" w:space="0" w:color="auto"/>
              <w:right w:val="nil"/>
            </w:tcBorders>
            <w:shd w:val="clear" w:color="auto" w:fill="auto"/>
            <w:vAlign w:val="bottom"/>
            <w:hideMark/>
          </w:tcPr>
          <w:p w14:paraId="5BE3391E" w14:textId="3A0ADD10" w:rsidR="00C26D0B" w:rsidRPr="00226892" w:rsidRDefault="007172D7" w:rsidP="008C7061">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Obstarávanie nehmotného majetku</w:t>
            </w:r>
            <w:r w:rsidR="00C26D0B" w:rsidRPr="00226892">
              <w:rPr>
                <w:rFonts w:ascii="Arial" w:eastAsia="Times New Roman" w:hAnsi="Arial" w:cs="Arial"/>
                <w:b/>
                <w:bCs/>
                <w:color w:val="000000"/>
                <w:sz w:val="18"/>
                <w:szCs w:val="18"/>
                <w:lang w:val="sk-SK" w:eastAsia="sk-SK"/>
              </w:rPr>
              <w:t xml:space="preserve"> </w:t>
            </w:r>
          </w:p>
        </w:tc>
        <w:tc>
          <w:tcPr>
            <w:tcW w:w="159" w:type="pct"/>
            <w:tcBorders>
              <w:top w:val="nil"/>
              <w:left w:val="nil"/>
              <w:bottom w:val="single" w:sz="4" w:space="0" w:color="auto"/>
              <w:right w:val="nil"/>
            </w:tcBorders>
            <w:shd w:val="clear" w:color="auto" w:fill="auto"/>
            <w:vAlign w:val="bottom"/>
            <w:hideMark/>
          </w:tcPr>
          <w:p w14:paraId="37131322" w14:textId="77777777" w:rsidR="00C26D0B" w:rsidRPr="00226892" w:rsidRDefault="00C26D0B" w:rsidP="008C7061">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w:t>
            </w:r>
          </w:p>
        </w:tc>
        <w:tc>
          <w:tcPr>
            <w:tcW w:w="782" w:type="pct"/>
            <w:tcBorders>
              <w:top w:val="nil"/>
              <w:left w:val="nil"/>
              <w:bottom w:val="single" w:sz="4" w:space="0" w:color="auto"/>
              <w:right w:val="nil"/>
            </w:tcBorders>
            <w:shd w:val="clear" w:color="auto" w:fill="auto"/>
            <w:vAlign w:val="bottom"/>
            <w:hideMark/>
          </w:tcPr>
          <w:p w14:paraId="71D1D405" w14:textId="2C076E01" w:rsidR="00C26D0B" w:rsidRPr="00226892" w:rsidRDefault="00C26D0B" w:rsidP="008C7061">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Spolu </w:t>
            </w:r>
          </w:p>
        </w:tc>
      </w:tr>
      <w:tr w:rsidR="00C26D0B" w:rsidRPr="00226892" w14:paraId="2824314B" w14:textId="77777777" w:rsidTr="00FE07F6">
        <w:trPr>
          <w:trHeight w:val="227"/>
        </w:trPr>
        <w:tc>
          <w:tcPr>
            <w:tcW w:w="2193" w:type="pct"/>
            <w:tcBorders>
              <w:top w:val="nil"/>
              <w:left w:val="nil"/>
              <w:bottom w:val="nil"/>
              <w:right w:val="nil"/>
            </w:tcBorders>
            <w:shd w:val="clear" w:color="auto" w:fill="auto"/>
            <w:vAlign w:val="bottom"/>
            <w:hideMark/>
          </w:tcPr>
          <w:p w14:paraId="6885B6F7" w14:textId="40DB5D89" w:rsidR="00C26D0B" w:rsidRPr="00226892" w:rsidRDefault="00C26D0B" w:rsidP="008C7061">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K 01-01-</w:t>
            </w:r>
            <w:r w:rsidR="00F63A77" w:rsidRPr="00226892">
              <w:rPr>
                <w:rFonts w:ascii="Arial" w:eastAsia="Times New Roman" w:hAnsi="Arial" w:cs="Arial"/>
                <w:b/>
                <w:bCs/>
                <w:color w:val="000000"/>
                <w:sz w:val="18"/>
                <w:szCs w:val="18"/>
                <w:lang w:val="sk-SK" w:eastAsia="sk-SK"/>
              </w:rPr>
              <w:t>2017</w:t>
            </w:r>
          </w:p>
        </w:tc>
        <w:tc>
          <w:tcPr>
            <w:tcW w:w="895" w:type="pct"/>
            <w:tcBorders>
              <w:top w:val="nil"/>
              <w:left w:val="nil"/>
              <w:bottom w:val="nil"/>
              <w:right w:val="nil"/>
            </w:tcBorders>
            <w:shd w:val="clear" w:color="auto" w:fill="auto"/>
            <w:vAlign w:val="bottom"/>
          </w:tcPr>
          <w:p w14:paraId="7695B421" w14:textId="77777777" w:rsidR="00C26D0B" w:rsidRPr="00226892" w:rsidRDefault="00C26D0B" w:rsidP="00FD21B8">
            <w:pPr>
              <w:jc w:val="right"/>
              <w:rPr>
                <w:rFonts w:ascii="Arial" w:eastAsia="Times New Roman" w:hAnsi="Arial" w:cs="Arial"/>
                <w:sz w:val="18"/>
                <w:szCs w:val="18"/>
                <w:lang w:val="sk-SK" w:eastAsia="sk-SK"/>
              </w:rPr>
            </w:pPr>
          </w:p>
        </w:tc>
        <w:tc>
          <w:tcPr>
            <w:tcW w:w="106" w:type="pct"/>
            <w:tcBorders>
              <w:top w:val="nil"/>
              <w:left w:val="nil"/>
              <w:bottom w:val="nil"/>
              <w:right w:val="nil"/>
            </w:tcBorders>
            <w:shd w:val="clear" w:color="auto" w:fill="auto"/>
            <w:vAlign w:val="bottom"/>
            <w:hideMark/>
          </w:tcPr>
          <w:p w14:paraId="682C4B19" w14:textId="77777777" w:rsidR="00C26D0B" w:rsidRPr="00226892" w:rsidRDefault="00C26D0B" w:rsidP="00FD21B8">
            <w:pPr>
              <w:jc w:val="right"/>
              <w:rPr>
                <w:rFonts w:ascii="Arial" w:eastAsia="Times New Roman" w:hAnsi="Arial" w:cs="Arial"/>
                <w:sz w:val="18"/>
                <w:szCs w:val="18"/>
                <w:lang w:val="sk-SK" w:eastAsia="sk-SK"/>
              </w:rPr>
            </w:pPr>
          </w:p>
        </w:tc>
        <w:tc>
          <w:tcPr>
            <w:tcW w:w="865" w:type="pct"/>
            <w:tcBorders>
              <w:top w:val="nil"/>
              <w:left w:val="nil"/>
              <w:bottom w:val="nil"/>
              <w:right w:val="nil"/>
            </w:tcBorders>
            <w:shd w:val="clear" w:color="auto" w:fill="auto"/>
            <w:vAlign w:val="bottom"/>
            <w:hideMark/>
          </w:tcPr>
          <w:p w14:paraId="0649FAB1" w14:textId="77777777" w:rsidR="00C26D0B" w:rsidRPr="00226892" w:rsidRDefault="00C26D0B" w:rsidP="00FD21B8">
            <w:pPr>
              <w:jc w:val="right"/>
              <w:rPr>
                <w:rFonts w:ascii="Arial" w:eastAsia="Times New Roman" w:hAnsi="Arial" w:cs="Arial"/>
                <w:sz w:val="18"/>
                <w:szCs w:val="18"/>
                <w:lang w:val="sk-SK" w:eastAsia="sk-SK"/>
              </w:rPr>
            </w:pPr>
          </w:p>
        </w:tc>
        <w:tc>
          <w:tcPr>
            <w:tcW w:w="159" w:type="pct"/>
            <w:tcBorders>
              <w:top w:val="nil"/>
              <w:left w:val="nil"/>
              <w:bottom w:val="nil"/>
              <w:right w:val="nil"/>
            </w:tcBorders>
            <w:shd w:val="clear" w:color="auto" w:fill="auto"/>
            <w:vAlign w:val="bottom"/>
            <w:hideMark/>
          </w:tcPr>
          <w:p w14:paraId="5F230E66" w14:textId="77777777" w:rsidR="00C26D0B" w:rsidRPr="00226892" w:rsidRDefault="00C26D0B" w:rsidP="008C7061">
            <w:pPr>
              <w:rPr>
                <w:rFonts w:ascii="Arial" w:eastAsia="Times New Roman" w:hAnsi="Arial" w:cs="Arial"/>
                <w:sz w:val="18"/>
                <w:szCs w:val="18"/>
                <w:lang w:val="sk-SK" w:eastAsia="sk-SK"/>
              </w:rPr>
            </w:pPr>
          </w:p>
        </w:tc>
        <w:tc>
          <w:tcPr>
            <w:tcW w:w="782" w:type="pct"/>
            <w:tcBorders>
              <w:top w:val="nil"/>
              <w:left w:val="nil"/>
              <w:bottom w:val="nil"/>
              <w:right w:val="nil"/>
            </w:tcBorders>
            <w:shd w:val="clear" w:color="auto" w:fill="auto"/>
            <w:vAlign w:val="bottom"/>
            <w:hideMark/>
          </w:tcPr>
          <w:p w14:paraId="5EEC3E70" w14:textId="77777777" w:rsidR="00C26D0B" w:rsidRPr="00226892" w:rsidRDefault="00C26D0B" w:rsidP="00FD21B8">
            <w:pPr>
              <w:jc w:val="right"/>
              <w:rPr>
                <w:rFonts w:ascii="Arial" w:eastAsia="Times New Roman" w:hAnsi="Arial" w:cs="Arial"/>
                <w:sz w:val="18"/>
                <w:szCs w:val="18"/>
                <w:lang w:val="sk-SK" w:eastAsia="sk-SK"/>
              </w:rPr>
            </w:pPr>
          </w:p>
        </w:tc>
      </w:tr>
      <w:tr w:rsidR="00914225" w:rsidRPr="00226892" w14:paraId="2FA7796F" w14:textId="77777777" w:rsidTr="00FE07F6">
        <w:trPr>
          <w:trHeight w:val="227"/>
        </w:trPr>
        <w:tc>
          <w:tcPr>
            <w:tcW w:w="2193" w:type="pct"/>
            <w:tcBorders>
              <w:top w:val="nil"/>
              <w:left w:val="nil"/>
              <w:bottom w:val="nil"/>
              <w:right w:val="nil"/>
            </w:tcBorders>
            <w:shd w:val="clear" w:color="auto" w:fill="auto"/>
            <w:vAlign w:val="bottom"/>
            <w:hideMark/>
          </w:tcPr>
          <w:p w14:paraId="0F83E596" w14:textId="77777777" w:rsidR="00914225" w:rsidRPr="00226892" w:rsidRDefault="00914225" w:rsidP="0091422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Obstarávacia cena</w:t>
            </w:r>
          </w:p>
        </w:tc>
        <w:tc>
          <w:tcPr>
            <w:tcW w:w="895" w:type="pct"/>
            <w:tcBorders>
              <w:top w:val="nil"/>
              <w:left w:val="nil"/>
              <w:bottom w:val="nil"/>
              <w:right w:val="nil"/>
            </w:tcBorders>
            <w:shd w:val="clear" w:color="auto" w:fill="auto"/>
            <w:vAlign w:val="bottom"/>
          </w:tcPr>
          <w:p w14:paraId="1BB125F7" w14:textId="3AA03912"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1 436</w:t>
            </w:r>
          </w:p>
        </w:tc>
        <w:tc>
          <w:tcPr>
            <w:tcW w:w="106" w:type="pct"/>
            <w:tcBorders>
              <w:top w:val="nil"/>
              <w:left w:val="nil"/>
              <w:bottom w:val="nil"/>
              <w:right w:val="nil"/>
            </w:tcBorders>
            <w:shd w:val="clear" w:color="auto" w:fill="auto"/>
            <w:vAlign w:val="bottom"/>
          </w:tcPr>
          <w:p w14:paraId="760A2415" w14:textId="77777777" w:rsidR="00914225" w:rsidRPr="00226892" w:rsidRDefault="00914225" w:rsidP="00914225">
            <w:pPr>
              <w:jc w:val="right"/>
              <w:rPr>
                <w:rFonts w:ascii="Arial" w:eastAsia="Times New Roman" w:hAnsi="Arial" w:cs="Arial"/>
                <w:color w:val="000000"/>
                <w:sz w:val="18"/>
                <w:szCs w:val="18"/>
                <w:lang w:val="sk-SK" w:eastAsia="sk-SK"/>
              </w:rPr>
            </w:pPr>
          </w:p>
        </w:tc>
        <w:tc>
          <w:tcPr>
            <w:tcW w:w="865" w:type="pct"/>
            <w:tcBorders>
              <w:top w:val="nil"/>
              <w:left w:val="nil"/>
              <w:bottom w:val="nil"/>
              <w:right w:val="nil"/>
            </w:tcBorders>
            <w:shd w:val="clear" w:color="auto" w:fill="auto"/>
            <w:vAlign w:val="bottom"/>
          </w:tcPr>
          <w:p w14:paraId="7E173209" w14:textId="16850242"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58</w:t>
            </w:r>
          </w:p>
        </w:tc>
        <w:tc>
          <w:tcPr>
            <w:tcW w:w="159" w:type="pct"/>
            <w:tcBorders>
              <w:top w:val="nil"/>
              <w:left w:val="nil"/>
              <w:bottom w:val="nil"/>
              <w:right w:val="nil"/>
            </w:tcBorders>
            <w:shd w:val="clear" w:color="auto" w:fill="auto"/>
            <w:vAlign w:val="bottom"/>
          </w:tcPr>
          <w:p w14:paraId="5AE77F93" w14:textId="77777777" w:rsidR="00914225" w:rsidRPr="00226892" w:rsidRDefault="00914225" w:rsidP="00914225">
            <w:pPr>
              <w:rPr>
                <w:rFonts w:ascii="Arial" w:eastAsia="Times New Roman" w:hAnsi="Arial" w:cs="Arial"/>
                <w:color w:val="000000"/>
                <w:sz w:val="18"/>
                <w:szCs w:val="18"/>
                <w:lang w:val="sk-SK" w:eastAsia="sk-SK"/>
              </w:rPr>
            </w:pPr>
          </w:p>
        </w:tc>
        <w:tc>
          <w:tcPr>
            <w:tcW w:w="782" w:type="pct"/>
            <w:tcBorders>
              <w:top w:val="nil"/>
              <w:left w:val="nil"/>
              <w:bottom w:val="nil"/>
              <w:right w:val="nil"/>
            </w:tcBorders>
            <w:shd w:val="clear" w:color="auto" w:fill="auto"/>
            <w:vAlign w:val="bottom"/>
          </w:tcPr>
          <w:p w14:paraId="7E16116D" w14:textId="2EFE3A46"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1 494</w:t>
            </w:r>
          </w:p>
        </w:tc>
      </w:tr>
      <w:tr w:rsidR="00914225" w:rsidRPr="00226892" w14:paraId="39C92478" w14:textId="77777777" w:rsidTr="00FE07F6">
        <w:trPr>
          <w:trHeight w:val="227"/>
        </w:trPr>
        <w:tc>
          <w:tcPr>
            <w:tcW w:w="2193" w:type="pct"/>
            <w:tcBorders>
              <w:top w:val="nil"/>
              <w:left w:val="nil"/>
              <w:bottom w:val="nil"/>
              <w:right w:val="nil"/>
            </w:tcBorders>
            <w:shd w:val="clear" w:color="auto" w:fill="auto"/>
            <w:vAlign w:val="center"/>
            <w:hideMark/>
          </w:tcPr>
          <w:p w14:paraId="46EA7476" w14:textId="708E3551" w:rsidR="00914225" w:rsidRPr="00226892" w:rsidRDefault="00914225" w:rsidP="0091422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Oprávky </w:t>
            </w:r>
          </w:p>
        </w:tc>
        <w:tc>
          <w:tcPr>
            <w:tcW w:w="895" w:type="pct"/>
            <w:tcBorders>
              <w:top w:val="nil"/>
              <w:left w:val="nil"/>
              <w:bottom w:val="nil"/>
              <w:right w:val="nil"/>
            </w:tcBorders>
            <w:shd w:val="clear" w:color="auto" w:fill="auto"/>
            <w:vAlign w:val="bottom"/>
          </w:tcPr>
          <w:p w14:paraId="4DE39C0A" w14:textId="6A0E685E"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-1 001</w:t>
            </w:r>
          </w:p>
        </w:tc>
        <w:tc>
          <w:tcPr>
            <w:tcW w:w="106" w:type="pct"/>
            <w:tcBorders>
              <w:top w:val="nil"/>
              <w:left w:val="nil"/>
              <w:bottom w:val="nil"/>
              <w:right w:val="nil"/>
            </w:tcBorders>
            <w:shd w:val="clear" w:color="auto" w:fill="auto"/>
            <w:vAlign w:val="bottom"/>
          </w:tcPr>
          <w:p w14:paraId="2FE60A58" w14:textId="77777777" w:rsidR="00914225" w:rsidRPr="00226892" w:rsidRDefault="00914225" w:rsidP="00914225">
            <w:pPr>
              <w:jc w:val="right"/>
              <w:rPr>
                <w:rFonts w:ascii="Arial" w:eastAsia="Times New Roman" w:hAnsi="Arial" w:cs="Arial"/>
                <w:color w:val="000000"/>
                <w:sz w:val="18"/>
                <w:szCs w:val="18"/>
                <w:lang w:val="sk-SK" w:eastAsia="sk-SK"/>
              </w:rPr>
            </w:pPr>
          </w:p>
        </w:tc>
        <w:tc>
          <w:tcPr>
            <w:tcW w:w="865" w:type="pct"/>
            <w:tcBorders>
              <w:top w:val="nil"/>
              <w:left w:val="nil"/>
              <w:bottom w:val="nil"/>
              <w:right w:val="nil"/>
            </w:tcBorders>
            <w:shd w:val="clear" w:color="auto" w:fill="auto"/>
            <w:vAlign w:val="bottom"/>
          </w:tcPr>
          <w:p w14:paraId="27279C39" w14:textId="45C6CF4A"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59" w:type="pct"/>
            <w:tcBorders>
              <w:top w:val="nil"/>
              <w:left w:val="nil"/>
              <w:bottom w:val="nil"/>
              <w:right w:val="nil"/>
            </w:tcBorders>
            <w:shd w:val="clear" w:color="auto" w:fill="auto"/>
            <w:vAlign w:val="bottom"/>
          </w:tcPr>
          <w:p w14:paraId="35A110C6" w14:textId="77777777" w:rsidR="00914225" w:rsidRPr="00226892" w:rsidRDefault="00914225" w:rsidP="00914225">
            <w:pPr>
              <w:rPr>
                <w:rFonts w:ascii="Arial" w:eastAsia="Times New Roman" w:hAnsi="Arial" w:cs="Arial"/>
                <w:color w:val="000000"/>
                <w:sz w:val="18"/>
                <w:szCs w:val="18"/>
                <w:lang w:val="sk-SK" w:eastAsia="sk-SK"/>
              </w:rPr>
            </w:pPr>
          </w:p>
        </w:tc>
        <w:tc>
          <w:tcPr>
            <w:tcW w:w="782" w:type="pct"/>
            <w:tcBorders>
              <w:top w:val="nil"/>
              <w:left w:val="nil"/>
              <w:bottom w:val="nil"/>
              <w:right w:val="nil"/>
            </w:tcBorders>
            <w:shd w:val="clear" w:color="auto" w:fill="auto"/>
            <w:vAlign w:val="bottom"/>
          </w:tcPr>
          <w:p w14:paraId="7F0D3C24" w14:textId="770B2E5C"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-1 001</w:t>
            </w:r>
          </w:p>
        </w:tc>
      </w:tr>
      <w:tr w:rsidR="00914225" w:rsidRPr="00226892" w14:paraId="3287297F" w14:textId="77777777" w:rsidTr="00FE07F6">
        <w:trPr>
          <w:trHeight w:val="227"/>
        </w:trPr>
        <w:tc>
          <w:tcPr>
            <w:tcW w:w="2193" w:type="pct"/>
            <w:tcBorders>
              <w:top w:val="nil"/>
              <w:left w:val="nil"/>
              <w:bottom w:val="nil"/>
              <w:right w:val="nil"/>
            </w:tcBorders>
            <w:shd w:val="clear" w:color="auto" w:fill="auto"/>
            <w:vAlign w:val="bottom"/>
            <w:hideMark/>
          </w:tcPr>
          <w:p w14:paraId="7488DEF1" w14:textId="77777777" w:rsidR="00914225" w:rsidRPr="00226892" w:rsidRDefault="00914225" w:rsidP="00914225">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Zostatková hodnota </w:t>
            </w:r>
          </w:p>
        </w:tc>
        <w:tc>
          <w:tcPr>
            <w:tcW w:w="895" w:type="pct"/>
            <w:tcBorders>
              <w:top w:val="single" w:sz="4" w:space="0" w:color="auto"/>
              <w:left w:val="nil"/>
              <w:bottom w:val="double" w:sz="6" w:space="0" w:color="auto"/>
              <w:right w:val="nil"/>
            </w:tcBorders>
            <w:shd w:val="clear" w:color="auto" w:fill="auto"/>
            <w:vAlign w:val="bottom"/>
          </w:tcPr>
          <w:p w14:paraId="6FF9DF7B" w14:textId="02FE6F85" w:rsidR="00914225" w:rsidRPr="00226892" w:rsidRDefault="00914225" w:rsidP="0091422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435</w:t>
            </w:r>
          </w:p>
        </w:tc>
        <w:tc>
          <w:tcPr>
            <w:tcW w:w="106" w:type="pct"/>
            <w:tcBorders>
              <w:top w:val="nil"/>
              <w:left w:val="nil"/>
              <w:bottom w:val="nil"/>
              <w:right w:val="nil"/>
            </w:tcBorders>
            <w:shd w:val="clear" w:color="auto" w:fill="auto"/>
            <w:vAlign w:val="bottom"/>
          </w:tcPr>
          <w:p w14:paraId="5FFF661F" w14:textId="77777777" w:rsidR="00914225" w:rsidRPr="00226892" w:rsidRDefault="00914225" w:rsidP="00914225">
            <w:pPr>
              <w:jc w:val="right"/>
              <w:rPr>
                <w:rFonts w:ascii="Arial" w:eastAsia="Times New Roman" w:hAnsi="Arial" w:cs="Arial"/>
                <w:b/>
                <w:bCs/>
                <w:color w:val="000000"/>
                <w:sz w:val="18"/>
                <w:szCs w:val="18"/>
                <w:lang w:val="sk-SK" w:eastAsia="sk-SK"/>
              </w:rPr>
            </w:pPr>
          </w:p>
        </w:tc>
        <w:tc>
          <w:tcPr>
            <w:tcW w:w="865" w:type="pct"/>
            <w:tcBorders>
              <w:top w:val="single" w:sz="4" w:space="0" w:color="auto"/>
              <w:left w:val="nil"/>
              <w:bottom w:val="double" w:sz="6" w:space="0" w:color="auto"/>
              <w:right w:val="nil"/>
            </w:tcBorders>
            <w:shd w:val="clear" w:color="auto" w:fill="auto"/>
            <w:vAlign w:val="bottom"/>
          </w:tcPr>
          <w:p w14:paraId="63FD9797" w14:textId="4F1CF302" w:rsidR="00914225" w:rsidRPr="00226892" w:rsidRDefault="00914225" w:rsidP="0091422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58</w:t>
            </w:r>
          </w:p>
        </w:tc>
        <w:tc>
          <w:tcPr>
            <w:tcW w:w="159" w:type="pct"/>
            <w:tcBorders>
              <w:top w:val="nil"/>
              <w:left w:val="nil"/>
              <w:bottom w:val="nil"/>
              <w:right w:val="nil"/>
            </w:tcBorders>
            <w:shd w:val="clear" w:color="auto" w:fill="auto"/>
            <w:vAlign w:val="bottom"/>
          </w:tcPr>
          <w:p w14:paraId="12AD5E04" w14:textId="77777777" w:rsidR="00914225" w:rsidRPr="00226892" w:rsidRDefault="00914225" w:rsidP="00914225">
            <w:pPr>
              <w:rPr>
                <w:rFonts w:ascii="Arial" w:eastAsia="Times New Roman" w:hAnsi="Arial" w:cs="Arial"/>
                <w:b/>
                <w:bCs/>
                <w:color w:val="000000"/>
                <w:sz w:val="18"/>
                <w:szCs w:val="18"/>
                <w:lang w:val="sk-SK" w:eastAsia="sk-SK"/>
              </w:rPr>
            </w:pPr>
          </w:p>
        </w:tc>
        <w:tc>
          <w:tcPr>
            <w:tcW w:w="782" w:type="pct"/>
            <w:tcBorders>
              <w:top w:val="single" w:sz="4" w:space="0" w:color="auto"/>
              <w:left w:val="nil"/>
              <w:bottom w:val="double" w:sz="6" w:space="0" w:color="auto"/>
              <w:right w:val="nil"/>
            </w:tcBorders>
            <w:shd w:val="clear" w:color="auto" w:fill="auto"/>
            <w:vAlign w:val="bottom"/>
          </w:tcPr>
          <w:p w14:paraId="1FFC70FC" w14:textId="2DD45828" w:rsidR="00914225" w:rsidRPr="00226892" w:rsidRDefault="00914225" w:rsidP="0091422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493</w:t>
            </w:r>
          </w:p>
        </w:tc>
      </w:tr>
      <w:tr w:rsidR="00914225" w:rsidRPr="00226892" w14:paraId="2D06FE87" w14:textId="77777777" w:rsidTr="00FE07F6">
        <w:trPr>
          <w:trHeight w:val="227"/>
        </w:trPr>
        <w:tc>
          <w:tcPr>
            <w:tcW w:w="2193" w:type="pct"/>
            <w:tcBorders>
              <w:top w:val="nil"/>
              <w:left w:val="nil"/>
              <w:bottom w:val="nil"/>
              <w:right w:val="nil"/>
            </w:tcBorders>
            <w:shd w:val="clear" w:color="auto" w:fill="auto"/>
            <w:vAlign w:val="bottom"/>
            <w:hideMark/>
          </w:tcPr>
          <w:p w14:paraId="064FBE96" w14:textId="77777777" w:rsidR="00914225" w:rsidRPr="00226892" w:rsidRDefault="00914225" w:rsidP="00914225">
            <w:pPr>
              <w:rPr>
                <w:rFonts w:ascii="Arial" w:eastAsia="Times New Roman" w:hAnsi="Arial" w:cs="Arial"/>
                <w:b/>
                <w:bCs/>
                <w:color w:val="000000"/>
                <w:sz w:val="16"/>
                <w:szCs w:val="16"/>
                <w:lang w:val="sk-SK" w:eastAsia="sk-SK"/>
              </w:rPr>
            </w:pPr>
          </w:p>
        </w:tc>
        <w:tc>
          <w:tcPr>
            <w:tcW w:w="895" w:type="pct"/>
            <w:tcBorders>
              <w:top w:val="nil"/>
              <w:left w:val="nil"/>
              <w:bottom w:val="nil"/>
              <w:right w:val="nil"/>
            </w:tcBorders>
            <w:shd w:val="clear" w:color="auto" w:fill="auto"/>
            <w:vAlign w:val="bottom"/>
          </w:tcPr>
          <w:p w14:paraId="48160569" w14:textId="77777777" w:rsidR="00914225" w:rsidRPr="00226892" w:rsidRDefault="00914225" w:rsidP="00914225">
            <w:pPr>
              <w:jc w:val="right"/>
              <w:rPr>
                <w:rFonts w:ascii="Arial" w:eastAsia="Times New Roman" w:hAnsi="Arial" w:cs="Arial"/>
                <w:sz w:val="18"/>
                <w:szCs w:val="18"/>
                <w:lang w:val="sk-SK" w:eastAsia="sk-SK"/>
              </w:rPr>
            </w:pPr>
          </w:p>
        </w:tc>
        <w:tc>
          <w:tcPr>
            <w:tcW w:w="106" w:type="pct"/>
            <w:tcBorders>
              <w:top w:val="nil"/>
              <w:left w:val="nil"/>
              <w:bottom w:val="nil"/>
              <w:right w:val="nil"/>
            </w:tcBorders>
            <w:shd w:val="clear" w:color="auto" w:fill="auto"/>
            <w:vAlign w:val="bottom"/>
          </w:tcPr>
          <w:p w14:paraId="0FDA57C7" w14:textId="77777777" w:rsidR="00914225" w:rsidRPr="00226892" w:rsidRDefault="00914225" w:rsidP="00914225">
            <w:pPr>
              <w:jc w:val="right"/>
              <w:rPr>
                <w:rFonts w:ascii="Arial" w:eastAsia="Times New Roman" w:hAnsi="Arial" w:cs="Arial"/>
                <w:sz w:val="18"/>
                <w:szCs w:val="18"/>
                <w:lang w:val="sk-SK" w:eastAsia="sk-SK"/>
              </w:rPr>
            </w:pPr>
          </w:p>
        </w:tc>
        <w:tc>
          <w:tcPr>
            <w:tcW w:w="865" w:type="pct"/>
            <w:tcBorders>
              <w:top w:val="nil"/>
              <w:left w:val="nil"/>
              <w:bottom w:val="nil"/>
              <w:right w:val="nil"/>
            </w:tcBorders>
            <w:shd w:val="clear" w:color="auto" w:fill="auto"/>
            <w:vAlign w:val="bottom"/>
          </w:tcPr>
          <w:p w14:paraId="46661D79" w14:textId="77777777" w:rsidR="00914225" w:rsidRPr="00226892" w:rsidRDefault="00914225" w:rsidP="00914225">
            <w:pPr>
              <w:jc w:val="right"/>
              <w:rPr>
                <w:rFonts w:ascii="Arial" w:eastAsia="Times New Roman" w:hAnsi="Arial" w:cs="Arial"/>
                <w:sz w:val="18"/>
                <w:szCs w:val="18"/>
                <w:lang w:val="sk-SK" w:eastAsia="sk-SK"/>
              </w:rPr>
            </w:pPr>
          </w:p>
        </w:tc>
        <w:tc>
          <w:tcPr>
            <w:tcW w:w="159" w:type="pct"/>
            <w:tcBorders>
              <w:top w:val="nil"/>
              <w:left w:val="nil"/>
              <w:bottom w:val="nil"/>
              <w:right w:val="nil"/>
            </w:tcBorders>
            <w:shd w:val="clear" w:color="auto" w:fill="auto"/>
            <w:vAlign w:val="bottom"/>
          </w:tcPr>
          <w:p w14:paraId="56857CED" w14:textId="77777777" w:rsidR="00914225" w:rsidRPr="00226892" w:rsidRDefault="00914225" w:rsidP="00914225">
            <w:pPr>
              <w:rPr>
                <w:rFonts w:ascii="Arial" w:eastAsia="Times New Roman" w:hAnsi="Arial" w:cs="Arial"/>
                <w:sz w:val="18"/>
                <w:szCs w:val="18"/>
                <w:lang w:val="sk-SK" w:eastAsia="sk-SK"/>
              </w:rPr>
            </w:pPr>
          </w:p>
        </w:tc>
        <w:tc>
          <w:tcPr>
            <w:tcW w:w="782" w:type="pct"/>
            <w:tcBorders>
              <w:top w:val="nil"/>
              <w:left w:val="nil"/>
              <w:bottom w:val="nil"/>
              <w:right w:val="nil"/>
            </w:tcBorders>
            <w:shd w:val="clear" w:color="auto" w:fill="auto"/>
            <w:vAlign w:val="bottom"/>
          </w:tcPr>
          <w:p w14:paraId="5A16855C" w14:textId="77777777" w:rsidR="00914225" w:rsidRPr="00226892" w:rsidRDefault="00914225" w:rsidP="00914225">
            <w:pPr>
              <w:jc w:val="right"/>
              <w:rPr>
                <w:rFonts w:ascii="Arial" w:eastAsia="Times New Roman" w:hAnsi="Arial" w:cs="Arial"/>
                <w:sz w:val="18"/>
                <w:szCs w:val="18"/>
                <w:lang w:val="sk-SK" w:eastAsia="sk-SK"/>
              </w:rPr>
            </w:pPr>
          </w:p>
        </w:tc>
      </w:tr>
      <w:tr w:rsidR="00914225" w:rsidRPr="00226892" w14:paraId="282C2B74" w14:textId="77777777" w:rsidTr="00FE07F6">
        <w:trPr>
          <w:trHeight w:val="227"/>
        </w:trPr>
        <w:tc>
          <w:tcPr>
            <w:tcW w:w="2193" w:type="pct"/>
            <w:tcBorders>
              <w:top w:val="nil"/>
              <w:left w:val="nil"/>
              <w:bottom w:val="nil"/>
              <w:right w:val="nil"/>
            </w:tcBorders>
            <w:shd w:val="clear" w:color="auto" w:fill="auto"/>
            <w:vAlign w:val="bottom"/>
            <w:hideMark/>
          </w:tcPr>
          <w:p w14:paraId="005F4E4C" w14:textId="4646D192" w:rsidR="00914225" w:rsidRPr="00226892" w:rsidRDefault="00914225" w:rsidP="00914225">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Rok končiaci 31-12-2017</w:t>
            </w:r>
          </w:p>
        </w:tc>
        <w:tc>
          <w:tcPr>
            <w:tcW w:w="895" w:type="pct"/>
            <w:tcBorders>
              <w:top w:val="nil"/>
              <w:left w:val="nil"/>
              <w:bottom w:val="nil"/>
              <w:right w:val="nil"/>
            </w:tcBorders>
            <w:shd w:val="clear" w:color="auto" w:fill="auto"/>
            <w:vAlign w:val="bottom"/>
          </w:tcPr>
          <w:p w14:paraId="613444B0" w14:textId="77777777" w:rsidR="00914225" w:rsidRPr="00226892" w:rsidRDefault="00914225" w:rsidP="00914225">
            <w:pPr>
              <w:jc w:val="right"/>
              <w:rPr>
                <w:rFonts w:ascii="Arial" w:eastAsia="Times New Roman" w:hAnsi="Arial" w:cs="Arial"/>
                <w:sz w:val="18"/>
                <w:szCs w:val="18"/>
                <w:lang w:val="sk-SK" w:eastAsia="sk-SK"/>
              </w:rPr>
            </w:pPr>
          </w:p>
        </w:tc>
        <w:tc>
          <w:tcPr>
            <w:tcW w:w="106" w:type="pct"/>
            <w:tcBorders>
              <w:top w:val="nil"/>
              <w:left w:val="nil"/>
              <w:bottom w:val="nil"/>
              <w:right w:val="nil"/>
            </w:tcBorders>
            <w:shd w:val="clear" w:color="auto" w:fill="auto"/>
            <w:vAlign w:val="bottom"/>
          </w:tcPr>
          <w:p w14:paraId="2D3BFE56" w14:textId="77777777" w:rsidR="00914225" w:rsidRPr="00226892" w:rsidRDefault="00914225" w:rsidP="00914225">
            <w:pPr>
              <w:jc w:val="right"/>
              <w:rPr>
                <w:rFonts w:ascii="Arial" w:eastAsia="Times New Roman" w:hAnsi="Arial" w:cs="Arial"/>
                <w:sz w:val="18"/>
                <w:szCs w:val="18"/>
                <w:lang w:val="sk-SK" w:eastAsia="sk-SK"/>
              </w:rPr>
            </w:pPr>
          </w:p>
        </w:tc>
        <w:tc>
          <w:tcPr>
            <w:tcW w:w="865" w:type="pct"/>
            <w:tcBorders>
              <w:top w:val="nil"/>
              <w:left w:val="nil"/>
              <w:bottom w:val="nil"/>
              <w:right w:val="nil"/>
            </w:tcBorders>
            <w:shd w:val="clear" w:color="auto" w:fill="auto"/>
            <w:vAlign w:val="bottom"/>
          </w:tcPr>
          <w:p w14:paraId="71990062" w14:textId="77777777" w:rsidR="00914225" w:rsidRPr="00226892" w:rsidRDefault="00914225" w:rsidP="00914225">
            <w:pPr>
              <w:jc w:val="right"/>
              <w:rPr>
                <w:rFonts w:ascii="Arial" w:eastAsia="Times New Roman" w:hAnsi="Arial" w:cs="Arial"/>
                <w:sz w:val="18"/>
                <w:szCs w:val="18"/>
                <w:lang w:val="sk-SK" w:eastAsia="sk-SK"/>
              </w:rPr>
            </w:pPr>
          </w:p>
        </w:tc>
        <w:tc>
          <w:tcPr>
            <w:tcW w:w="159" w:type="pct"/>
            <w:tcBorders>
              <w:top w:val="nil"/>
              <w:left w:val="nil"/>
              <w:bottom w:val="nil"/>
              <w:right w:val="nil"/>
            </w:tcBorders>
            <w:shd w:val="clear" w:color="auto" w:fill="auto"/>
            <w:vAlign w:val="bottom"/>
          </w:tcPr>
          <w:p w14:paraId="15B092F6" w14:textId="77777777" w:rsidR="00914225" w:rsidRPr="00226892" w:rsidRDefault="00914225" w:rsidP="00914225">
            <w:pPr>
              <w:rPr>
                <w:rFonts w:ascii="Arial" w:eastAsia="Times New Roman" w:hAnsi="Arial" w:cs="Arial"/>
                <w:sz w:val="18"/>
                <w:szCs w:val="18"/>
                <w:lang w:val="sk-SK" w:eastAsia="sk-SK"/>
              </w:rPr>
            </w:pPr>
          </w:p>
        </w:tc>
        <w:tc>
          <w:tcPr>
            <w:tcW w:w="782" w:type="pct"/>
            <w:tcBorders>
              <w:top w:val="nil"/>
              <w:left w:val="nil"/>
              <w:bottom w:val="nil"/>
              <w:right w:val="nil"/>
            </w:tcBorders>
            <w:shd w:val="clear" w:color="auto" w:fill="auto"/>
            <w:vAlign w:val="bottom"/>
          </w:tcPr>
          <w:p w14:paraId="32029573" w14:textId="77777777" w:rsidR="00914225" w:rsidRPr="00226892" w:rsidRDefault="00914225" w:rsidP="00914225">
            <w:pPr>
              <w:jc w:val="right"/>
              <w:rPr>
                <w:rFonts w:ascii="Arial" w:eastAsia="Times New Roman" w:hAnsi="Arial" w:cs="Arial"/>
                <w:sz w:val="18"/>
                <w:szCs w:val="18"/>
                <w:lang w:val="sk-SK" w:eastAsia="sk-SK"/>
              </w:rPr>
            </w:pPr>
          </w:p>
        </w:tc>
      </w:tr>
      <w:tr w:rsidR="00914225" w:rsidRPr="00226892" w14:paraId="050C5976" w14:textId="77777777" w:rsidTr="00FE07F6">
        <w:trPr>
          <w:trHeight w:val="227"/>
        </w:trPr>
        <w:tc>
          <w:tcPr>
            <w:tcW w:w="2193" w:type="pct"/>
            <w:tcBorders>
              <w:top w:val="nil"/>
              <w:left w:val="nil"/>
              <w:bottom w:val="nil"/>
              <w:right w:val="nil"/>
            </w:tcBorders>
            <w:shd w:val="clear" w:color="auto" w:fill="auto"/>
            <w:vAlign w:val="bottom"/>
            <w:hideMark/>
          </w:tcPr>
          <w:p w14:paraId="27B9EAD9" w14:textId="77777777" w:rsidR="00914225" w:rsidRPr="00226892" w:rsidRDefault="00914225" w:rsidP="0091422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Prírastky</w:t>
            </w:r>
          </w:p>
        </w:tc>
        <w:tc>
          <w:tcPr>
            <w:tcW w:w="895" w:type="pct"/>
            <w:tcBorders>
              <w:top w:val="nil"/>
              <w:left w:val="nil"/>
              <w:bottom w:val="nil"/>
              <w:right w:val="nil"/>
            </w:tcBorders>
            <w:shd w:val="clear" w:color="auto" w:fill="auto"/>
            <w:vAlign w:val="bottom"/>
          </w:tcPr>
          <w:p w14:paraId="22734879" w14:textId="25E29C1E"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06" w:type="pct"/>
            <w:tcBorders>
              <w:top w:val="nil"/>
              <w:left w:val="nil"/>
              <w:bottom w:val="nil"/>
              <w:right w:val="nil"/>
            </w:tcBorders>
            <w:shd w:val="clear" w:color="auto" w:fill="auto"/>
            <w:vAlign w:val="bottom"/>
          </w:tcPr>
          <w:p w14:paraId="3BB001EE" w14:textId="77777777" w:rsidR="00914225" w:rsidRPr="00226892" w:rsidRDefault="00914225" w:rsidP="00914225">
            <w:pPr>
              <w:jc w:val="right"/>
              <w:rPr>
                <w:rFonts w:ascii="Arial" w:eastAsia="Times New Roman" w:hAnsi="Arial" w:cs="Arial"/>
                <w:color w:val="000000"/>
                <w:sz w:val="18"/>
                <w:szCs w:val="18"/>
                <w:lang w:val="sk-SK" w:eastAsia="sk-SK"/>
              </w:rPr>
            </w:pPr>
          </w:p>
        </w:tc>
        <w:tc>
          <w:tcPr>
            <w:tcW w:w="865" w:type="pct"/>
            <w:tcBorders>
              <w:top w:val="nil"/>
              <w:left w:val="nil"/>
              <w:bottom w:val="nil"/>
              <w:right w:val="nil"/>
            </w:tcBorders>
            <w:shd w:val="clear" w:color="auto" w:fill="auto"/>
            <w:vAlign w:val="bottom"/>
          </w:tcPr>
          <w:p w14:paraId="6A46D53C" w14:textId="018BE8B8"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198</w:t>
            </w:r>
          </w:p>
        </w:tc>
        <w:tc>
          <w:tcPr>
            <w:tcW w:w="159" w:type="pct"/>
            <w:tcBorders>
              <w:top w:val="nil"/>
              <w:left w:val="nil"/>
              <w:bottom w:val="nil"/>
              <w:right w:val="nil"/>
            </w:tcBorders>
            <w:shd w:val="clear" w:color="auto" w:fill="auto"/>
            <w:vAlign w:val="bottom"/>
          </w:tcPr>
          <w:p w14:paraId="3A6F4D77" w14:textId="77777777" w:rsidR="00914225" w:rsidRPr="00226892" w:rsidRDefault="00914225" w:rsidP="00914225">
            <w:pPr>
              <w:rPr>
                <w:rFonts w:ascii="Arial" w:eastAsia="Times New Roman" w:hAnsi="Arial" w:cs="Arial"/>
                <w:color w:val="000000"/>
                <w:sz w:val="18"/>
                <w:szCs w:val="18"/>
                <w:lang w:val="sk-SK" w:eastAsia="sk-SK"/>
              </w:rPr>
            </w:pPr>
          </w:p>
        </w:tc>
        <w:tc>
          <w:tcPr>
            <w:tcW w:w="782" w:type="pct"/>
            <w:tcBorders>
              <w:top w:val="nil"/>
              <w:left w:val="nil"/>
              <w:bottom w:val="nil"/>
              <w:right w:val="nil"/>
            </w:tcBorders>
            <w:shd w:val="clear" w:color="auto" w:fill="auto"/>
            <w:vAlign w:val="bottom"/>
          </w:tcPr>
          <w:p w14:paraId="5AFBB2EF" w14:textId="6F6B88B3"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198</w:t>
            </w:r>
          </w:p>
        </w:tc>
      </w:tr>
      <w:tr w:rsidR="00914225" w:rsidRPr="00226892" w14:paraId="70CAADEA" w14:textId="77777777" w:rsidTr="00FE07F6">
        <w:trPr>
          <w:trHeight w:val="227"/>
        </w:trPr>
        <w:tc>
          <w:tcPr>
            <w:tcW w:w="2193" w:type="pct"/>
            <w:tcBorders>
              <w:top w:val="nil"/>
              <w:left w:val="nil"/>
              <w:bottom w:val="nil"/>
              <w:right w:val="nil"/>
            </w:tcBorders>
            <w:shd w:val="clear" w:color="auto" w:fill="auto"/>
            <w:vAlign w:val="bottom"/>
            <w:hideMark/>
          </w:tcPr>
          <w:p w14:paraId="418BD057" w14:textId="1E8EE667" w:rsidR="00914225" w:rsidRPr="00226892" w:rsidRDefault="00914225" w:rsidP="0091422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Prevody</w:t>
            </w:r>
          </w:p>
        </w:tc>
        <w:tc>
          <w:tcPr>
            <w:tcW w:w="895" w:type="pct"/>
            <w:tcBorders>
              <w:top w:val="nil"/>
              <w:left w:val="nil"/>
              <w:bottom w:val="nil"/>
              <w:right w:val="nil"/>
            </w:tcBorders>
            <w:shd w:val="clear" w:color="auto" w:fill="auto"/>
            <w:vAlign w:val="bottom"/>
          </w:tcPr>
          <w:p w14:paraId="2A850E7A" w14:textId="0B681B2A"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256</w:t>
            </w:r>
          </w:p>
        </w:tc>
        <w:tc>
          <w:tcPr>
            <w:tcW w:w="106" w:type="pct"/>
            <w:tcBorders>
              <w:top w:val="nil"/>
              <w:left w:val="nil"/>
              <w:bottom w:val="nil"/>
              <w:right w:val="nil"/>
            </w:tcBorders>
            <w:shd w:val="clear" w:color="auto" w:fill="auto"/>
            <w:vAlign w:val="bottom"/>
          </w:tcPr>
          <w:p w14:paraId="4D891DB6" w14:textId="77777777" w:rsidR="00914225" w:rsidRPr="00226892" w:rsidRDefault="00914225" w:rsidP="00914225">
            <w:pPr>
              <w:jc w:val="right"/>
              <w:rPr>
                <w:rFonts w:ascii="Arial" w:eastAsia="Times New Roman" w:hAnsi="Arial" w:cs="Arial"/>
                <w:color w:val="000000"/>
                <w:sz w:val="18"/>
                <w:szCs w:val="18"/>
                <w:lang w:val="sk-SK" w:eastAsia="sk-SK"/>
              </w:rPr>
            </w:pPr>
          </w:p>
        </w:tc>
        <w:tc>
          <w:tcPr>
            <w:tcW w:w="865" w:type="pct"/>
            <w:tcBorders>
              <w:top w:val="nil"/>
              <w:left w:val="nil"/>
              <w:bottom w:val="nil"/>
              <w:right w:val="nil"/>
            </w:tcBorders>
            <w:shd w:val="clear" w:color="auto" w:fill="auto"/>
            <w:vAlign w:val="bottom"/>
          </w:tcPr>
          <w:p w14:paraId="20459C38" w14:textId="3A6F1FF3"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-256</w:t>
            </w:r>
          </w:p>
        </w:tc>
        <w:tc>
          <w:tcPr>
            <w:tcW w:w="159" w:type="pct"/>
            <w:tcBorders>
              <w:top w:val="nil"/>
              <w:left w:val="nil"/>
              <w:bottom w:val="nil"/>
              <w:right w:val="nil"/>
            </w:tcBorders>
            <w:shd w:val="clear" w:color="auto" w:fill="auto"/>
            <w:vAlign w:val="bottom"/>
          </w:tcPr>
          <w:p w14:paraId="2986E6AA" w14:textId="77777777" w:rsidR="00914225" w:rsidRPr="00226892" w:rsidRDefault="00914225" w:rsidP="00914225">
            <w:pPr>
              <w:rPr>
                <w:rFonts w:ascii="Arial" w:eastAsia="Times New Roman" w:hAnsi="Arial" w:cs="Arial"/>
                <w:color w:val="000000"/>
                <w:sz w:val="18"/>
                <w:szCs w:val="18"/>
                <w:lang w:val="sk-SK" w:eastAsia="sk-SK"/>
              </w:rPr>
            </w:pPr>
          </w:p>
        </w:tc>
        <w:tc>
          <w:tcPr>
            <w:tcW w:w="782" w:type="pct"/>
            <w:tcBorders>
              <w:top w:val="nil"/>
              <w:left w:val="nil"/>
              <w:bottom w:val="nil"/>
              <w:right w:val="nil"/>
            </w:tcBorders>
            <w:shd w:val="clear" w:color="auto" w:fill="auto"/>
            <w:vAlign w:val="bottom"/>
          </w:tcPr>
          <w:p w14:paraId="374BC4D3" w14:textId="54298205"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r>
      <w:tr w:rsidR="00914225" w:rsidRPr="00226892" w14:paraId="7B76DF43" w14:textId="77777777" w:rsidTr="00FE07F6">
        <w:trPr>
          <w:trHeight w:val="227"/>
        </w:trPr>
        <w:tc>
          <w:tcPr>
            <w:tcW w:w="2193" w:type="pct"/>
            <w:tcBorders>
              <w:top w:val="nil"/>
              <w:left w:val="nil"/>
              <w:bottom w:val="nil"/>
              <w:right w:val="nil"/>
            </w:tcBorders>
            <w:shd w:val="clear" w:color="auto" w:fill="auto"/>
            <w:vAlign w:val="bottom"/>
            <w:hideMark/>
          </w:tcPr>
          <w:p w14:paraId="61C9383A" w14:textId="7EF32324" w:rsidR="00914225" w:rsidRPr="00226892" w:rsidRDefault="00914225" w:rsidP="0091422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Odpisy (Pozn. 2</w:t>
            </w:r>
            <w:r w:rsidR="00522218" w:rsidRPr="00226892">
              <w:rPr>
                <w:rFonts w:ascii="Arial" w:eastAsia="Times New Roman" w:hAnsi="Arial" w:cs="Arial"/>
                <w:color w:val="000000"/>
                <w:sz w:val="18"/>
                <w:szCs w:val="18"/>
                <w:lang w:val="sk-SK" w:eastAsia="sk-SK"/>
              </w:rPr>
              <w:t>1</w:t>
            </w:r>
            <w:r w:rsidRPr="00226892">
              <w:rPr>
                <w:rFonts w:ascii="Arial" w:eastAsia="Times New Roman" w:hAnsi="Arial" w:cs="Arial"/>
                <w:color w:val="000000"/>
                <w:sz w:val="18"/>
                <w:szCs w:val="18"/>
                <w:lang w:val="sk-SK" w:eastAsia="sk-SK"/>
              </w:rPr>
              <w:t>)</w:t>
            </w:r>
          </w:p>
        </w:tc>
        <w:tc>
          <w:tcPr>
            <w:tcW w:w="895" w:type="pct"/>
            <w:tcBorders>
              <w:top w:val="nil"/>
              <w:left w:val="nil"/>
              <w:bottom w:val="nil"/>
              <w:right w:val="nil"/>
            </w:tcBorders>
            <w:shd w:val="clear" w:color="auto" w:fill="auto"/>
            <w:vAlign w:val="bottom"/>
          </w:tcPr>
          <w:p w14:paraId="46FB3AF5" w14:textId="576DE45D"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hAnsi="Arial" w:cs="Arial"/>
                <w:color w:val="000000"/>
                <w:sz w:val="18"/>
                <w:szCs w:val="18"/>
                <w:lang w:val="sk-SK" w:eastAsia="sk-SK"/>
              </w:rPr>
              <w:t>-179</w:t>
            </w:r>
          </w:p>
        </w:tc>
        <w:tc>
          <w:tcPr>
            <w:tcW w:w="106" w:type="pct"/>
            <w:tcBorders>
              <w:top w:val="nil"/>
              <w:left w:val="nil"/>
              <w:bottom w:val="nil"/>
              <w:right w:val="nil"/>
            </w:tcBorders>
            <w:shd w:val="clear" w:color="auto" w:fill="auto"/>
            <w:vAlign w:val="bottom"/>
          </w:tcPr>
          <w:p w14:paraId="2F1196B5" w14:textId="77777777" w:rsidR="00914225" w:rsidRPr="00226892" w:rsidRDefault="00914225" w:rsidP="00914225">
            <w:pPr>
              <w:jc w:val="right"/>
              <w:rPr>
                <w:rFonts w:ascii="Arial" w:eastAsia="Times New Roman" w:hAnsi="Arial" w:cs="Arial"/>
                <w:color w:val="000000"/>
                <w:sz w:val="18"/>
                <w:szCs w:val="18"/>
                <w:lang w:val="sk-SK" w:eastAsia="sk-SK"/>
              </w:rPr>
            </w:pPr>
          </w:p>
        </w:tc>
        <w:tc>
          <w:tcPr>
            <w:tcW w:w="865" w:type="pct"/>
            <w:tcBorders>
              <w:top w:val="nil"/>
              <w:left w:val="nil"/>
              <w:bottom w:val="nil"/>
              <w:right w:val="nil"/>
            </w:tcBorders>
            <w:shd w:val="clear" w:color="auto" w:fill="auto"/>
            <w:vAlign w:val="bottom"/>
          </w:tcPr>
          <w:p w14:paraId="50CF5F17" w14:textId="2DDEA8DD"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hAnsi="Arial" w:cs="Arial"/>
                <w:color w:val="000000"/>
                <w:sz w:val="18"/>
                <w:szCs w:val="18"/>
                <w:lang w:val="sk-SK" w:eastAsia="sk-SK"/>
              </w:rPr>
              <w:t>-</w:t>
            </w:r>
          </w:p>
        </w:tc>
        <w:tc>
          <w:tcPr>
            <w:tcW w:w="159" w:type="pct"/>
            <w:tcBorders>
              <w:top w:val="nil"/>
              <w:left w:val="nil"/>
              <w:bottom w:val="nil"/>
              <w:right w:val="nil"/>
            </w:tcBorders>
            <w:shd w:val="clear" w:color="auto" w:fill="auto"/>
            <w:vAlign w:val="bottom"/>
          </w:tcPr>
          <w:p w14:paraId="3E7FDE2E" w14:textId="77777777" w:rsidR="00914225" w:rsidRPr="00226892" w:rsidRDefault="00914225" w:rsidP="00914225">
            <w:pPr>
              <w:rPr>
                <w:rFonts w:ascii="Arial" w:eastAsia="Times New Roman" w:hAnsi="Arial" w:cs="Arial"/>
                <w:color w:val="000000"/>
                <w:sz w:val="18"/>
                <w:szCs w:val="18"/>
                <w:lang w:val="sk-SK" w:eastAsia="sk-SK"/>
              </w:rPr>
            </w:pPr>
          </w:p>
        </w:tc>
        <w:tc>
          <w:tcPr>
            <w:tcW w:w="782" w:type="pct"/>
            <w:tcBorders>
              <w:top w:val="nil"/>
              <w:left w:val="nil"/>
              <w:bottom w:val="nil"/>
              <w:right w:val="nil"/>
            </w:tcBorders>
            <w:shd w:val="clear" w:color="auto" w:fill="auto"/>
            <w:vAlign w:val="bottom"/>
          </w:tcPr>
          <w:p w14:paraId="4A7B68F8" w14:textId="52010166"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hAnsi="Arial" w:cs="Arial"/>
                <w:color w:val="000000"/>
                <w:sz w:val="18"/>
                <w:szCs w:val="18"/>
                <w:lang w:val="sk-SK" w:eastAsia="sk-SK"/>
              </w:rPr>
              <w:t>-179</w:t>
            </w:r>
          </w:p>
        </w:tc>
      </w:tr>
      <w:tr w:rsidR="00914225" w:rsidRPr="00226892" w14:paraId="41CAF450" w14:textId="77777777" w:rsidTr="00FE07F6">
        <w:trPr>
          <w:trHeight w:val="227"/>
        </w:trPr>
        <w:tc>
          <w:tcPr>
            <w:tcW w:w="2193" w:type="pct"/>
            <w:tcBorders>
              <w:top w:val="nil"/>
              <w:left w:val="nil"/>
              <w:bottom w:val="nil"/>
              <w:right w:val="nil"/>
            </w:tcBorders>
            <w:shd w:val="clear" w:color="auto" w:fill="auto"/>
            <w:vAlign w:val="bottom"/>
            <w:hideMark/>
          </w:tcPr>
          <w:p w14:paraId="1A600022" w14:textId="77777777" w:rsidR="00914225" w:rsidRPr="00226892" w:rsidRDefault="00914225" w:rsidP="00914225">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Zostatková hodnota na konci obdobia</w:t>
            </w:r>
          </w:p>
        </w:tc>
        <w:tc>
          <w:tcPr>
            <w:tcW w:w="895" w:type="pct"/>
            <w:tcBorders>
              <w:top w:val="single" w:sz="4" w:space="0" w:color="auto"/>
              <w:left w:val="nil"/>
              <w:bottom w:val="double" w:sz="6" w:space="0" w:color="auto"/>
              <w:right w:val="nil"/>
            </w:tcBorders>
            <w:shd w:val="clear" w:color="auto" w:fill="auto"/>
            <w:vAlign w:val="bottom"/>
          </w:tcPr>
          <w:p w14:paraId="2BB7C395" w14:textId="0B9F7B1A" w:rsidR="00914225" w:rsidRPr="00226892" w:rsidRDefault="00914225" w:rsidP="0091422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512</w:t>
            </w:r>
          </w:p>
        </w:tc>
        <w:tc>
          <w:tcPr>
            <w:tcW w:w="106" w:type="pct"/>
            <w:tcBorders>
              <w:top w:val="nil"/>
              <w:left w:val="nil"/>
              <w:bottom w:val="nil"/>
              <w:right w:val="nil"/>
            </w:tcBorders>
            <w:shd w:val="clear" w:color="auto" w:fill="auto"/>
            <w:vAlign w:val="bottom"/>
          </w:tcPr>
          <w:p w14:paraId="43D7032B" w14:textId="77777777" w:rsidR="00914225" w:rsidRPr="00226892" w:rsidRDefault="00914225" w:rsidP="00914225">
            <w:pPr>
              <w:jc w:val="right"/>
              <w:rPr>
                <w:rFonts w:ascii="Arial" w:eastAsia="Times New Roman" w:hAnsi="Arial" w:cs="Arial"/>
                <w:b/>
                <w:bCs/>
                <w:color w:val="000000"/>
                <w:sz w:val="18"/>
                <w:szCs w:val="18"/>
                <w:lang w:val="sk-SK" w:eastAsia="sk-SK"/>
              </w:rPr>
            </w:pPr>
          </w:p>
        </w:tc>
        <w:tc>
          <w:tcPr>
            <w:tcW w:w="865" w:type="pct"/>
            <w:tcBorders>
              <w:top w:val="single" w:sz="4" w:space="0" w:color="auto"/>
              <w:left w:val="nil"/>
              <w:bottom w:val="double" w:sz="6" w:space="0" w:color="auto"/>
              <w:right w:val="nil"/>
            </w:tcBorders>
            <w:shd w:val="clear" w:color="auto" w:fill="auto"/>
            <w:vAlign w:val="bottom"/>
          </w:tcPr>
          <w:p w14:paraId="2AA172DF" w14:textId="0ABC8FAD" w:rsidR="00914225" w:rsidRPr="00226892" w:rsidRDefault="00914225" w:rsidP="0091422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w:t>
            </w:r>
          </w:p>
        </w:tc>
        <w:tc>
          <w:tcPr>
            <w:tcW w:w="159" w:type="pct"/>
            <w:tcBorders>
              <w:top w:val="nil"/>
              <w:left w:val="nil"/>
              <w:bottom w:val="nil"/>
              <w:right w:val="nil"/>
            </w:tcBorders>
            <w:shd w:val="clear" w:color="auto" w:fill="auto"/>
            <w:vAlign w:val="bottom"/>
          </w:tcPr>
          <w:p w14:paraId="0EC09E38" w14:textId="77777777" w:rsidR="00914225" w:rsidRPr="00226892" w:rsidRDefault="00914225" w:rsidP="00914225">
            <w:pPr>
              <w:rPr>
                <w:rFonts w:ascii="Arial" w:eastAsia="Times New Roman" w:hAnsi="Arial" w:cs="Arial"/>
                <w:b/>
                <w:bCs/>
                <w:color w:val="000000"/>
                <w:sz w:val="18"/>
                <w:szCs w:val="18"/>
                <w:lang w:val="sk-SK" w:eastAsia="sk-SK"/>
              </w:rPr>
            </w:pPr>
          </w:p>
        </w:tc>
        <w:tc>
          <w:tcPr>
            <w:tcW w:w="782" w:type="pct"/>
            <w:tcBorders>
              <w:top w:val="single" w:sz="4" w:space="0" w:color="auto"/>
              <w:left w:val="nil"/>
              <w:bottom w:val="double" w:sz="6" w:space="0" w:color="auto"/>
              <w:right w:val="nil"/>
            </w:tcBorders>
            <w:shd w:val="clear" w:color="auto" w:fill="auto"/>
            <w:vAlign w:val="bottom"/>
          </w:tcPr>
          <w:p w14:paraId="0E828F95" w14:textId="7EE09618" w:rsidR="00914225" w:rsidRPr="00226892" w:rsidRDefault="00914225" w:rsidP="0091422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512</w:t>
            </w:r>
          </w:p>
        </w:tc>
      </w:tr>
      <w:tr w:rsidR="00914225" w:rsidRPr="00226892" w14:paraId="6A1F7AFA" w14:textId="77777777" w:rsidTr="00FE07F6">
        <w:trPr>
          <w:trHeight w:val="227"/>
        </w:trPr>
        <w:tc>
          <w:tcPr>
            <w:tcW w:w="2193" w:type="pct"/>
            <w:tcBorders>
              <w:top w:val="nil"/>
              <w:left w:val="nil"/>
              <w:bottom w:val="nil"/>
              <w:right w:val="nil"/>
            </w:tcBorders>
            <w:shd w:val="clear" w:color="auto" w:fill="auto"/>
            <w:vAlign w:val="bottom"/>
            <w:hideMark/>
          </w:tcPr>
          <w:p w14:paraId="220B68D9" w14:textId="77777777" w:rsidR="00914225" w:rsidRPr="00226892" w:rsidRDefault="00914225" w:rsidP="00914225">
            <w:pPr>
              <w:rPr>
                <w:rFonts w:ascii="Arial" w:eastAsia="Times New Roman" w:hAnsi="Arial" w:cs="Arial"/>
                <w:b/>
                <w:bCs/>
                <w:color w:val="000000"/>
                <w:sz w:val="16"/>
                <w:szCs w:val="16"/>
                <w:lang w:val="sk-SK" w:eastAsia="sk-SK"/>
              </w:rPr>
            </w:pPr>
          </w:p>
        </w:tc>
        <w:tc>
          <w:tcPr>
            <w:tcW w:w="895" w:type="pct"/>
            <w:tcBorders>
              <w:top w:val="nil"/>
              <w:left w:val="nil"/>
              <w:bottom w:val="nil"/>
              <w:right w:val="nil"/>
            </w:tcBorders>
            <w:shd w:val="clear" w:color="auto" w:fill="auto"/>
            <w:vAlign w:val="bottom"/>
          </w:tcPr>
          <w:p w14:paraId="6FA3E798" w14:textId="77777777" w:rsidR="00914225" w:rsidRPr="00226892" w:rsidRDefault="00914225" w:rsidP="00914225">
            <w:pPr>
              <w:jc w:val="right"/>
              <w:rPr>
                <w:rFonts w:ascii="Arial" w:eastAsia="Times New Roman" w:hAnsi="Arial" w:cs="Arial"/>
                <w:sz w:val="18"/>
                <w:szCs w:val="18"/>
                <w:lang w:val="sk-SK" w:eastAsia="sk-SK"/>
              </w:rPr>
            </w:pPr>
          </w:p>
        </w:tc>
        <w:tc>
          <w:tcPr>
            <w:tcW w:w="106" w:type="pct"/>
            <w:tcBorders>
              <w:top w:val="nil"/>
              <w:left w:val="nil"/>
              <w:bottom w:val="nil"/>
              <w:right w:val="nil"/>
            </w:tcBorders>
            <w:shd w:val="clear" w:color="auto" w:fill="auto"/>
            <w:vAlign w:val="bottom"/>
          </w:tcPr>
          <w:p w14:paraId="7DF8993E" w14:textId="77777777" w:rsidR="00914225" w:rsidRPr="00226892" w:rsidRDefault="00914225" w:rsidP="00914225">
            <w:pPr>
              <w:jc w:val="right"/>
              <w:rPr>
                <w:rFonts w:ascii="Arial" w:eastAsia="Times New Roman" w:hAnsi="Arial" w:cs="Arial"/>
                <w:sz w:val="18"/>
                <w:szCs w:val="18"/>
                <w:lang w:val="sk-SK" w:eastAsia="sk-SK"/>
              </w:rPr>
            </w:pPr>
          </w:p>
        </w:tc>
        <w:tc>
          <w:tcPr>
            <w:tcW w:w="865" w:type="pct"/>
            <w:tcBorders>
              <w:top w:val="nil"/>
              <w:left w:val="nil"/>
              <w:bottom w:val="nil"/>
              <w:right w:val="nil"/>
            </w:tcBorders>
            <w:shd w:val="clear" w:color="auto" w:fill="auto"/>
            <w:vAlign w:val="bottom"/>
          </w:tcPr>
          <w:p w14:paraId="451BD66F" w14:textId="77777777" w:rsidR="00914225" w:rsidRPr="00226892" w:rsidRDefault="00914225" w:rsidP="00914225">
            <w:pPr>
              <w:jc w:val="right"/>
              <w:rPr>
                <w:rFonts w:ascii="Arial" w:eastAsia="Times New Roman" w:hAnsi="Arial" w:cs="Arial"/>
                <w:sz w:val="18"/>
                <w:szCs w:val="18"/>
                <w:lang w:val="sk-SK" w:eastAsia="sk-SK"/>
              </w:rPr>
            </w:pPr>
          </w:p>
        </w:tc>
        <w:tc>
          <w:tcPr>
            <w:tcW w:w="159" w:type="pct"/>
            <w:tcBorders>
              <w:top w:val="nil"/>
              <w:left w:val="nil"/>
              <w:bottom w:val="nil"/>
              <w:right w:val="nil"/>
            </w:tcBorders>
            <w:shd w:val="clear" w:color="auto" w:fill="auto"/>
            <w:vAlign w:val="bottom"/>
          </w:tcPr>
          <w:p w14:paraId="57FE445A" w14:textId="77777777" w:rsidR="00914225" w:rsidRPr="00226892" w:rsidRDefault="00914225" w:rsidP="00914225">
            <w:pPr>
              <w:rPr>
                <w:rFonts w:ascii="Arial" w:eastAsia="Times New Roman" w:hAnsi="Arial" w:cs="Arial"/>
                <w:sz w:val="18"/>
                <w:szCs w:val="18"/>
                <w:lang w:val="sk-SK" w:eastAsia="sk-SK"/>
              </w:rPr>
            </w:pPr>
          </w:p>
        </w:tc>
        <w:tc>
          <w:tcPr>
            <w:tcW w:w="782" w:type="pct"/>
            <w:tcBorders>
              <w:top w:val="nil"/>
              <w:left w:val="nil"/>
              <w:bottom w:val="nil"/>
              <w:right w:val="nil"/>
            </w:tcBorders>
            <w:shd w:val="clear" w:color="auto" w:fill="auto"/>
            <w:vAlign w:val="bottom"/>
          </w:tcPr>
          <w:p w14:paraId="50911D57" w14:textId="77777777" w:rsidR="00914225" w:rsidRPr="00226892" w:rsidRDefault="00914225" w:rsidP="00914225">
            <w:pPr>
              <w:jc w:val="right"/>
              <w:rPr>
                <w:rFonts w:ascii="Arial" w:eastAsia="Times New Roman" w:hAnsi="Arial" w:cs="Arial"/>
                <w:sz w:val="18"/>
                <w:szCs w:val="18"/>
                <w:lang w:val="sk-SK" w:eastAsia="sk-SK"/>
              </w:rPr>
            </w:pPr>
          </w:p>
        </w:tc>
      </w:tr>
      <w:tr w:rsidR="00914225" w:rsidRPr="00226892" w14:paraId="27564CE6" w14:textId="77777777" w:rsidTr="00FE07F6">
        <w:trPr>
          <w:trHeight w:val="227"/>
        </w:trPr>
        <w:tc>
          <w:tcPr>
            <w:tcW w:w="2193" w:type="pct"/>
            <w:tcBorders>
              <w:top w:val="nil"/>
              <w:left w:val="nil"/>
              <w:bottom w:val="nil"/>
              <w:right w:val="nil"/>
            </w:tcBorders>
            <w:shd w:val="clear" w:color="auto" w:fill="auto"/>
            <w:vAlign w:val="bottom"/>
            <w:hideMark/>
          </w:tcPr>
          <w:p w14:paraId="54BDC9FF" w14:textId="08EB126B" w:rsidR="00914225" w:rsidRPr="00226892" w:rsidRDefault="00914225" w:rsidP="00914225">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K 31-12-2017</w:t>
            </w:r>
          </w:p>
        </w:tc>
        <w:tc>
          <w:tcPr>
            <w:tcW w:w="895" w:type="pct"/>
            <w:tcBorders>
              <w:top w:val="nil"/>
              <w:left w:val="nil"/>
              <w:bottom w:val="nil"/>
              <w:right w:val="nil"/>
            </w:tcBorders>
            <w:shd w:val="clear" w:color="auto" w:fill="auto"/>
            <w:vAlign w:val="bottom"/>
          </w:tcPr>
          <w:p w14:paraId="2F4E312A" w14:textId="77777777" w:rsidR="00914225" w:rsidRPr="00226892" w:rsidRDefault="00914225" w:rsidP="00914225">
            <w:pPr>
              <w:jc w:val="right"/>
              <w:rPr>
                <w:rFonts w:ascii="Arial" w:eastAsia="Times New Roman" w:hAnsi="Arial" w:cs="Arial"/>
                <w:sz w:val="18"/>
                <w:szCs w:val="18"/>
                <w:lang w:val="sk-SK" w:eastAsia="sk-SK"/>
              </w:rPr>
            </w:pPr>
          </w:p>
        </w:tc>
        <w:tc>
          <w:tcPr>
            <w:tcW w:w="106" w:type="pct"/>
            <w:tcBorders>
              <w:top w:val="nil"/>
              <w:left w:val="nil"/>
              <w:bottom w:val="nil"/>
              <w:right w:val="nil"/>
            </w:tcBorders>
            <w:shd w:val="clear" w:color="auto" w:fill="auto"/>
            <w:vAlign w:val="bottom"/>
          </w:tcPr>
          <w:p w14:paraId="65C0EB5A" w14:textId="77777777" w:rsidR="00914225" w:rsidRPr="00226892" w:rsidRDefault="00914225" w:rsidP="00914225">
            <w:pPr>
              <w:jc w:val="right"/>
              <w:rPr>
                <w:rFonts w:ascii="Arial" w:eastAsia="Times New Roman" w:hAnsi="Arial" w:cs="Arial"/>
                <w:sz w:val="18"/>
                <w:szCs w:val="18"/>
                <w:lang w:val="sk-SK" w:eastAsia="sk-SK"/>
              </w:rPr>
            </w:pPr>
          </w:p>
        </w:tc>
        <w:tc>
          <w:tcPr>
            <w:tcW w:w="865" w:type="pct"/>
            <w:tcBorders>
              <w:top w:val="nil"/>
              <w:left w:val="nil"/>
              <w:bottom w:val="nil"/>
              <w:right w:val="nil"/>
            </w:tcBorders>
            <w:shd w:val="clear" w:color="auto" w:fill="auto"/>
            <w:vAlign w:val="bottom"/>
          </w:tcPr>
          <w:p w14:paraId="3511C665" w14:textId="77777777" w:rsidR="00914225" w:rsidRPr="00226892" w:rsidRDefault="00914225" w:rsidP="00914225">
            <w:pPr>
              <w:jc w:val="right"/>
              <w:rPr>
                <w:rFonts w:ascii="Arial" w:eastAsia="Times New Roman" w:hAnsi="Arial" w:cs="Arial"/>
                <w:sz w:val="18"/>
                <w:szCs w:val="18"/>
                <w:lang w:val="sk-SK" w:eastAsia="sk-SK"/>
              </w:rPr>
            </w:pPr>
          </w:p>
        </w:tc>
        <w:tc>
          <w:tcPr>
            <w:tcW w:w="159" w:type="pct"/>
            <w:tcBorders>
              <w:top w:val="nil"/>
              <w:left w:val="nil"/>
              <w:bottom w:val="nil"/>
              <w:right w:val="nil"/>
            </w:tcBorders>
            <w:shd w:val="clear" w:color="auto" w:fill="auto"/>
            <w:vAlign w:val="bottom"/>
          </w:tcPr>
          <w:p w14:paraId="05F4DD59" w14:textId="77777777" w:rsidR="00914225" w:rsidRPr="00226892" w:rsidRDefault="00914225" w:rsidP="00914225">
            <w:pPr>
              <w:rPr>
                <w:rFonts w:ascii="Arial" w:eastAsia="Times New Roman" w:hAnsi="Arial" w:cs="Arial"/>
                <w:sz w:val="18"/>
                <w:szCs w:val="18"/>
                <w:lang w:val="sk-SK" w:eastAsia="sk-SK"/>
              </w:rPr>
            </w:pPr>
          </w:p>
        </w:tc>
        <w:tc>
          <w:tcPr>
            <w:tcW w:w="782" w:type="pct"/>
            <w:tcBorders>
              <w:top w:val="nil"/>
              <w:left w:val="nil"/>
              <w:bottom w:val="nil"/>
              <w:right w:val="nil"/>
            </w:tcBorders>
            <w:shd w:val="clear" w:color="auto" w:fill="auto"/>
            <w:vAlign w:val="bottom"/>
          </w:tcPr>
          <w:p w14:paraId="1DDC4BD8" w14:textId="77777777" w:rsidR="00914225" w:rsidRPr="00226892" w:rsidRDefault="00914225" w:rsidP="00914225">
            <w:pPr>
              <w:jc w:val="right"/>
              <w:rPr>
                <w:rFonts w:ascii="Arial" w:eastAsia="Times New Roman" w:hAnsi="Arial" w:cs="Arial"/>
                <w:sz w:val="18"/>
                <w:szCs w:val="18"/>
                <w:lang w:val="sk-SK" w:eastAsia="sk-SK"/>
              </w:rPr>
            </w:pPr>
          </w:p>
        </w:tc>
      </w:tr>
      <w:tr w:rsidR="00914225" w:rsidRPr="00226892" w14:paraId="4E296389" w14:textId="77777777" w:rsidTr="00FE07F6">
        <w:trPr>
          <w:trHeight w:val="227"/>
        </w:trPr>
        <w:tc>
          <w:tcPr>
            <w:tcW w:w="2193" w:type="pct"/>
            <w:tcBorders>
              <w:top w:val="nil"/>
              <w:left w:val="nil"/>
              <w:bottom w:val="nil"/>
              <w:right w:val="nil"/>
            </w:tcBorders>
            <w:shd w:val="clear" w:color="auto" w:fill="auto"/>
            <w:vAlign w:val="bottom"/>
            <w:hideMark/>
          </w:tcPr>
          <w:p w14:paraId="34D0EC92" w14:textId="77777777" w:rsidR="00914225" w:rsidRPr="00226892" w:rsidRDefault="00914225" w:rsidP="0091422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Obstarávacia cena</w:t>
            </w:r>
          </w:p>
        </w:tc>
        <w:tc>
          <w:tcPr>
            <w:tcW w:w="895" w:type="pct"/>
            <w:tcBorders>
              <w:top w:val="nil"/>
              <w:left w:val="nil"/>
              <w:bottom w:val="nil"/>
              <w:right w:val="nil"/>
            </w:tcBorders>
            <w:shd w:val="clear" w:color="auto" w:fill="auto"/>
            <w:vAlign w:val="bottom"/>
          </w:tcPr>
          <w:p w14:paraId="6776F560" w14:textId="3D2E593B"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1 696</w:t>
            </w:r>
          </w:p>
        </w:tc>
        <w:tc>
          <w:tcPr>
            <w:tcW w:w="106" w:type="pct"/>
            <w:tcBorders>
              <w:top w:val="nil"/>
              <w:left w:val="nil"/>
              <w:bottom w:val="nil"/>
              <w:right w:val="nil"/>
            </w:tcBorders>
            <w:shd w:val="clear" w:color="auto" w:fill="auto"/>
            <w:vAlign w:val="bottom"/>
          </w:tcPr>
          <w:p w14:paraId="59B05457" w14:textId="77777777" w:rsidR="00914225" w:rsidRPr="00226892" w:rsidRDefault="00914225" w:rsidP="00914225">
            <w:pPr>
              <w:jc w:val="right"/>
              <w:rPr>
                <w:rFonts w:ascii="Arial" w:eastAsia="Times New Roman" w:hAnsi="Arial" w:cs="Arial"/>
                <w:color w:val="000000"/>
                <w:sz w:val="18"/>
                <w:szCs w:val="18"/>
                <w:lang w:val="sk-SK" w:eastAsia="sk-SK"/>
              </w:rPr>
            </w:pPr>
          </w:p>
        </w:tc>
        <w:tc>
          <w:tcPr>
            <w:tcW w:w="865" w:type="pct"/>
            <w:tcBorders>
              <w:top w:val="nil"/>
              <w:left w:val="nil"/>
              <w:bottom w:val="nil"/>
              <w:right w:val="nil"/>
            </w:tcBorders>
            <w:shd w:val="clear" w:color="auto" w:fill="auto"/>
            <w:vAlign w:val="bottom"/>
          </w:tcPr>
          <w:p w14:paraId="5CA08018" w14:textId="4FD0BA33"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59" w:type="pct"/>
            <w:tcBorders>
              <w:top w:val="nil"/>
              <w:left w:val="nil"/>
              <w:bottom w:val="nil"/>
              <w:right w:val="nil"/>
            </w:tcBorders>
            <w:shd w:val="clear" w:color="auto" w:fill="auto"/>
            <w:vAlign w:val="bottom"/>
          </w:tcPr>
          <w:p w14:paraId="145F078A" w14:textId="77777777" w:rsidR="00914225" w:rsidRPr="00226892" w:rsidRDefault="00914225" w:rsidP="00914225">
            <w:pPr>
              <w:rPr>
                <w:rFonts w:ascii="Arial" w:eastAsia="Times New Roman" w:hAnsi="Arial" w:cs="Arial"/>
                <w:color w:val="000000"/>
                <w:sz w:val="18"/>
                <w:szCs w:val="18"/>
                <w:lang w:val="sk-SK" w:eastAsia="sk-SK"/>
              </w:rPr>
            </w:pPr>
          </w:p>
        </w:tc>
        <w:tc>
          <w:tcPr>
            <w:tcW w:w="782" w:type="pct"/>
            <w:tcBorders>
              <w:top w:val="nil"/>
              <w:left w:val="nil"/>
              <w:bottom w:val="nil"/>
              <w:right w:val="nil"/>
            </w:tcBorders>
            <w:shd w:val="clear" w:color="auto" w:fill="auto"/>
            <w:vAlign w:val="bottom"/>
          </w:tcPr>
          <w:p w14:paraId="1CB1056A" w14:textId="075D8D59"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1 696</w:t>
            </w:r>
          </w:p>
        </w:tc>
      </w:tr>
      <w:tr w:rsidR="00914225" w:rsidRPr="00226892" w14:paraId="75E3DE35" w14:textId="77777777" w:rsidTr="00FE07F6">
        <w:trPr>
          <w:trHeight w:val="227"/>
        </w:trPr>
        <w:tc>
          <w:tcPr>
            <w:tcW w:w="2193" w:type="pct"/>
            <w:tcBorders>
              <w:top w:val="nil"/>
              <w:left w:val="nil"/>
              <w:bottom w:val="nil"/>
              <w:right w:val="nil"/>
            </w:tcBorders>
            <w:shd w:val="clear" w:color="auto" w:fill="auto"/>
            <w:vAlign w:val="bottom"/>
            <w:hideMark/>
          </w:tcPr>
          <w:p w14:paraId="24DC692B" w14:textId="1AA04C94" w:rsidR="00914225" w:rsidRPr="00226892" w:rsidRDefault="00914225" w:rsidP="0091422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Oprávky </w:t>
            </w:r>
          </w:p>
        </w:tc>
        <w:tc>
          <w:tcPr>
            <w:tcW w:w="895" w:type="pct"/>
            <w:tcBorders>
              <w:top w:val="nil"/>
              <w:left w:val="nil"/>
              <w:bottom w:val="nil"/>
              <w:right w:val="nil"/>
            </w:tcBorders>
            <w:shd w:val="clear" w:color="auto" w:fill="auto"/>
            <w:vAlign w:val="bottom"/>
          </w:tcPr>
          <w:p w14:paraId="4F6EB532" w14:textId="2B044DD3"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-1 184</w:t>
            </w:r>
          </w:p>
        </w:tc>
        <w:tc>
          <w:tcPr>
            <w:tcW w:w="106" w:type="pct"/>
            <w:tcBorders>
              <w:top w:val="nil"/>
              <w:left w:val="nil"/>
              <w:bottom w:val="nil"/>
              <w:right w:val="nil"/>
            </w:tcBorders>
            <w:shd w:val="clear" w:color="auto" w:fill="auto"/>
            <w:vAlign w:val="bottom"/>
          </w:tcPr>
          <w:p w14:paraId="652A1375" w14:textId="77777777" w:rsidR="00914225" w:rsidRPr="00226892" w:rsidRDefault="00914225" w:rsidP="00914225">
            <w:pPr>
              <w:jc w:val="right"/>
              <w:rPr>
                <w:rFonts w:ascii="Arial" w:eastAsia="Times New Roman" w:hAnsi="Arial" w:cs="Arial"/>
                <w:color w:val="000000"/>
                <w:sz w:val="18"/>
                <w:szCs w:val="18"/>
                <w:lang w:val="sk-SK" w:eastAsia="sk-SK"/>
              </w:rPr>
            </w:pPr>
          </w:p>
        </w:tc>
        <w:tc>
          <w:tcPr>
            <w:tcW w:w="865" w:type="pct"/>
            <w:tcBorders>
              <w:top w:val="nil"/>
              <w:left w:val="nil"/>
              <w:bottom w:val="nil"/>
              <w:right w:val="nil"/>
            </w:tcBorders>
            <w:shd w:val="clear" w:color="auto" w:fill="auto"/>
            <w:vAlign w:val="bottom"/>
          </w:tcPr>
          <w:p w14:paraId="1A39569C" w14:textId="5F2A5DDC"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hAnsi="Arial" w:cs="Arial"/>
                <w:color w:val="000000"/>
                <w:sz w:val="18"/>
                <w:szCs w:val="18"/>
                <w:lang w:val="sk-SK" w:eastAsia="sk-SK"/>
              </w:rPr>
              <w:t>-</w:t>
            </w:r>
          </w:p>
        </w:tc>
        <w:tc>
          <w:tcPr>
            <w:tcW w:w="159" w:type="pct"/>
            <w:tcBorders>
              <w:top w:val="nil"/>
              <w:left w:val="nil"/>
              <w:bottom w:val="nil"/>
              <w:right w:val="nil"/>
            </w:tcBorders>
            <w:shd w:val="clear" w:color="auto" w:fill="auto"/>
            <w:vAlign w:val="bottom"/>
          </w:tcPr>
          <w:p w14:paraId="24BC4FC0" w14:textId="77777777" w:rsidR="00914225" w:rsidRPr="00226892" w:rsidRDefault="00914225" w:rsidP="00914225">
            <w:pPr>
              <w:rPr>
                <w:rFonts w:ascii="Arial" w:eastAsia="Times New Roman" w:hAnsi="Arial" w:cs="Arial"/>
                <w:color w:val="000000"/>
                <w:sz w:val="18"/>
                <w:szCs w:val="18"/>
                <w:lang w:val="sk-SK" w:eastAsia="sk-SK"/>
              </w:rPr>
            </w:pPr>
          </w:p>
        </w:tc>
        <w:tc>
          <w:tcPr>
            <w:tcW w:w="782" w:type="pct"/>
            <w:tcBorders>
              <w:top w:val="nil"/>
              <w:left w:val="nil"/>
              <w:bottom w:val="nil"/>
              <w:right w:val="nil"/>
            </w:tcBorders>
            <w:shd w:val="clear" w:color="auto" w:fill="auto"/>
            <w:vAlign w:val="bottom"/>
          </w:tcPr>
          <w:p w14:paraId="674C519D" w14:textId="775FA253"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hAnsi="Arial" w:cs="Arial"/>
                <w:color w:val="000000"/>
                <w:sz w:val="18"/>
                <w:szCs w:val="18"/>
                <w:lang w:val="sk-SK" w:eastAsia="sk-SK"/>
              </w:rPr>
              <w:t>-1 184</w:t>
            </w:r>
          </w:p>
        </w:tc>
      </w:tr>
      <w:tr w:rsidR="00914225" w:rsidRPr="00226892" w14:paraId="47419CF7" w14:textId="77777777" w:rsidTr="00FE07F6">
        <w:trPr>
          <w:trHeight w:val="227"/>
        </w:trPr>
        <w:tc>
          <w:tcPr>
            <w:tcW w:w="2193" w:type="pct"/>
            <w:tcBorders>
              <w:top w:val="nil"/>
              <w:left w:val="nil"/>
              <w:bottom w:val="nil"/>
              <w:right w:val="nil"/>
            </w:tcBorders>
            <w:shd w:val="clear" w:color="auto" w:fill="auto"/>
            <w:vAlign w:val="bottom"/>
            <w:hideMark/>
          </w:tcPr>
          <w:p w14:paraId="41D07FDB" w14:textId="77777777" w:rsidR="00914225" w:rsidRPr="00226892" w:rsidRDefault="00914225" w:rsidP="00914225">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Zostatková hodnota </w:t>
            </w:r>
          </w:p>
        </w:tc>
        <w:tc>
          <w:tcPr>
            <w:tcW w:w="895" w:type="pct"/>
            <w:tcBorders>
              <w:top w:val="single" w:sz="4" w:space="0" w:color="auto"/>
              <w:left w:val="nil"/>
              <w:bottom w:val="double" w:sz="6" w:space="0" w:color="auto"/>
              <w:right w:val="nil"/>
            </w:tcBorders>
            <w:shd w:val="clear" w:color="auto" w:fill="auto"/>
            <w:vAlign w:val="bottom"/>
          </w:tcPr>
          <w:p w14:paraId="1B138D2E" w14:textId="2AE34F74" w:rsidR="00914225" w:rsidRPr="00226892" w:rsidRDefault="00914225" w:rsidP="0091422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512</w:t>
            </w:r>
          </w:p>
        </w:tc>
        <w:tc>
          <w:tcPr>
            <w:tcW w:w="106" w:type="pct"/>
            <w:tcBorders>
              <w:top w:val="nil"/>
              <w:left w:val="nil"/>
              <w:bottom w:val="nil"/>
              <w:right w:val="nil"/>
            </w:tcBorders>
            <w:shd w:val="clear" w:color="auto" w:fill="auto"/>
            <w:vAlign w:val="bottom"/>
          </w:tcPr>
          <w:p w14:paraId="581BE92A" w14:textId="77777777" w:rsidR="00914225" w:rsidRPr="00226892" w:rsidRDefault="00914225" w:rsidP="00914225">
            <w:pPr>
              <w:jc w:val="right"/>
              <w:rPr>
                <w:rFonts w:ascii="Arial" w:eastAsia="Times New Roman" w:hAnsi="Arial" w:cs="Arial"/>
                <w:b/>
                <w:bCs/>
                <w:color w:val="000000"/>
                <w:sz w:val="18"/>
                <w:szCs w:val="18"/>
                <w:lang w:val="sk-SK" w:eastAsia="sk-SK"/>
              </w:rPr>
            </w:pPr>
          </w:p>
        </w:tc>
        <w:tc>
          <w:tcPr>
            <w:tcW w:w="865" w:type="pct"/>
            <w:tcBorders>
              <w:top w:val="single" w:sz="4" w:space="0" w:color="auto"/>
              <w:left w:val="nil"/>
              <w:bottom w:val="double" w:sz="6" w:space="0" w:color="auto"/>
              <w:right w:val="nil"/>
            </w:tcBorders>
            <w:shd w:val="clear" w:color="auto" w:fill="auto"/>
            <w:vAlign w:val="bottom"/>
          </w:tcPr>
          <w:p w14:paraId="41CCC6BA" w14:textId="5BCB1DC2" w:rsidR="00914225" w:rsidRPr="00226892" w:rsidRDefault="00914225" w:rsidP="0091422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w:t>
            </w:r>
          </w:p>
        </w:tc>
        <w:tc>
          <w:tcPr>
            <w:tcW w:w="159" w:type="pct"/>
            <w:tcBorders>
              <w:top w:val="nil"/>
              <w:left w:val="nil"/>
              <w:bottom w:val="nil"/>
              <w:right w:val="nil"/>
            </w:tcBorders>
            <w:shd w:val="clear" w:color="auto" w:fill="auto"/>
            <w:vAlign w:val="bottom"/>
          </w:tcPr>
          <w:p w14:paraId="67F09892" w14:textId="77777777" w:rsidR="00914225" w:rsidRPr="00226892" w:rsidRDefault="00914225" w:rsidP="00914225">
            <w:pPr>
              <w:rPr>
                <w:rFonts w:ascii="Arial" w:eastAsia="Times New Roman" w:hAnsi="Arial" w:cs="Arial"/>
                <w:b/>
                <w:bCs/>
                <w:color w:val="000000"/>
                <w:sz w:val="18"/>
                <w:szCs w:val="18"/>
                <w:lang w:val="sk-SK" w:eastAsia="sk-SK"/>
              </w:rPr>
            </w:pPr>
          </w:p>
        </w:tc>
        <w:tc>
          <w:tcPr>
            <w:tcW w:w="782" w:type="pct"/>
            <w:tcBorders>
              <w:top w:val="single" w:sz="4" w:space="0" w:color="auto"/>
              <w:left w:val="nil"/>
              <w:bottom w:val="double" w:sz="6" w:space="0" w:color="auto"/>
              <w:right w:val="nil"/>
            </w:tcBorders>
            <w:shd w:val="clear" w:color="auto" w:fill="auto"/>
            <w:vAlign w:val="bottom"/>
          </w:tcPr>
          <w:p w14:paraId="141A126D" w14:textId="1A417F35" w:rsidR="00914225" w:rsidRPr="00226892" w:rsidRDefault="00914225" w:rsidP="0091422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512</w:t>
            </w:r>
          </w:p>
        </w:tc>
      </w:tr>
      <w:tr w:rsidR="00C26D0B" w:rsidRPr="00226892" w14:paraId="10E1C8B1" w14:textId="77777777" w:rsidTr="00FE07F6">
        <w:trPr>
          <w:trHeight w:val="227"/>
        </w:trPr>
        <w:tc>
          <w:tcPr>
            <w:tcW w:w="2193" w:type="pct"/>
            <w:tcBorders>
              <w:top w:val="nil"/>
              <w:left w:val="nil"/>
              <w:bottom w:val="nil"/>
              <w:right w:val="nil"/>
            </w:tcBorders>
            <w:shd w:val="clear" w:color="auto" w:fill="auto"/>
            <w:vAlign w:val="bottom"/>
            <w:hideMark/>
          </w:tcPr>
          <w:p w14:paraId="3B2F8081" w14:textId="77777777" w:rsidR="00C26D0B" w:rsidRPr="00226892" w:rsidRDefault="00C26D0B" w:rsidP="008C7061">
            <w:pPr>
              <w:rPr>
                <w:rFonts w:ascii="Arial" w:eastAsia="Times New Roman" w:hAnsi="Arial" w:cs="Arial"/>
                <w:b/>
                <w:bCs/>
                <w:color w:val="000000"/>
                <w:sz w:val="16"/>
                <w:szCs w:val="16"/>
                <w:lang w:val="sk-SK" w:eastAsia="sk-SK"/>
              </w:rPr>
            </w:pPr>
          </w:p>
        </w:tc>
        <w:tc>
          <w:tcPr>
            <w:tcW w:w="895" w:type="pct"/>
            <w:tcBorders>
              <w:top w:val="nil"/>
              <w:left w:val="nil"/>
              <w:bottom w:val="nil"/>
              <w:right w:val="nil"/>
            </w:tcBorders>
            <w:shd w:val="clear" w:color="auto" w:fill="auto"/>
            <w:vAlign w:val="bottom"/>
          </w:tcPr>
          <w:p w14:paraId="455E4DBD" w14:textId="77777777" w:rsidR="00C26D0B" w:rsidRPr="00226892" w:rsidRDefault="00C26D0B" w:rsidP="00FD21B8">
            <w:pPr>
              <w:jc w:val="right"/>
              <w:rPr>
                <w:rFonts w:ascii="Arial" w:eastAsia="Times New Roman" w:hAnsi="Arial" w:cs="Arial"/>
                <w:sz w:val="18"/>
                <w:szCs w:val="18"/>
                <w:lang w:val="sk-SK" w:eastAsia="sk-SK"/>
              </w:rPr>
            </w:pPr>
          </w:p>
        </w:tc>
        <w:tc>
          <w:tcPr>
            <w:tcW w:w="106" w:type="pct"/>
            <w:tcBorders>
              <w:top w:val="nil"/>
              <w:left w:val="nil"/>
              <w:bottom w:val="nil"/>
              <w:right w:val="nil"/>
            </w:tcBorders>
            <w:shd w:val="clear" w:color="auto" w:fill="auto"/>
            <w:vAlign w:val="bottom"/>
          </w:tcPr>
          <w:p w14:paraId="4DD912EB" w14:textId="77777777" w:rsidR="00C26D0B" w:rsidRPr="00226892" w:rsidRDefault="00C26D0B" w:rsidP="00FD21B8">
            <w:pPr>
              <w:jc w:val="right"/>
              <w:rPr>
                <w:rFonts w:ascii="Arial" w:eastAsia="Times New Roman" w:hAnsi="Arial" w:cs="Arial"/>
                <w:sz w:val="18"/>
                <w:szCs w:val="18"/>
                <w:lang w:val="sk-SK" w:eastAsia="sk-SK"/>
              </w:rPr>
            </w:pPr>
          </w:p>
        </w:tc>
        <w:tc>
          <w:tcPr>
            <w:tcW w:w="865" w:type="pct"/>
            <w:tcBorders>
              <w:top w:val="nil"/>
              <w:left w:val="nil"/>
              <w:bottom w:val="nil"/>
              <w:right w:val="nil"/>
            </w:tcBorders>
            <w:shd w:val="clear" w:color="auto" w:fill="auto"/>
            <w:vAlign w:val="bottom"/>
          </w:tcPr>
          <w:p w14:paraId="1BB7913F" w14:textId="77777777" w:rsidR="00C26D0B" w:rsidRPr="00226892" w:rsidRDefault="00C26D0B" w:rsidP="00FD21B8">
            <w:pPr>
              <w:jc w:val="right"/>
              <w:rPr>
                <w:rFonts w:ascii="Arial" w:eastAsia="Times New Roman" w:hAnsi="Arial" w:cs="Arial"/>
                <w:sz w:val="18"/>
                <w:szCs w:val="18"/>
                <w:lang w:val="sk-SK" w:eastAsia="sk-SK"/>
              </w:rPr>
            </w:pPr>
          </w:p>
        </w:tc>
        <w:tc>
          <w:tcPr>
            <w:tcW w:w="159" w:type="pct"/>
            <w:tcBorders>
              <w:top w:val="nil"/>
              <w:left w:val="nil"/>
              <w:bottom w:val="nil"/>
              <w:right w:val="nil"/>
            </w:tcBorders>
            <w:shd w:val="clear" w:color="auto" w:fill="auto"/>
            <w:vAlign w:val="bottom"/>
          </w:tcPr>
          <w:p w14:paraId="6C4BE97D" w14:textId="77777777" w:rsidR="00C26D0B" w:rsidRPr="00226892" w:rsidRDefault="00C26D0B" w:rsidP="008C7061">
            <w:pPr>
              <w:rPr>
                <w:rFonts w:ascii="Arial" w:eastAsia="Times New Roman" w:hAnsi="Arial" w:cs="Arial"/>
                <w:sz w:val="18"/>
                <w:szCs w:val="18"/>
                <w:lang w:val="sk-SK" w:eastAsia="sk-SK"/>
              </w:rPr>
            </w:pPr>
          </w:p>
        </w:tc>
        <w:tc>
          <w:tcPr>
            <w:tcW w:w="782" w:type="pct"/>
            <w:tcBorders>
              <w:top w:val="nil"/>
              <w:left w:val="nil"/>
              <w:bottom w:val="nil"/>
              <w:right w:val="nil"/>
            </w:tcBorders>
            <w:shd w:val="clear" w:color="auto" w:fill="auto"/>
            <w:vAlign w:val="bottom"/>
          </w:tcPr>
          <w:p w14:paraId="374944D1" w14:textId="77777777" w:rsidR="00C26D0B" w:rsidRPr="00226892" w:rsidRDefault="00C26D0B" w:rsidP="00FD21B8">
            <w:pPr>
              <w:jc w:val="right"/>
              <w:rPr>
                <w:rFonts w:ascii="Arial" w:eastAsia="Times New Roman" w:hAnsi="Arial" w:cs="Arial"/>
                <w:sz w:val="18"/>
                <w:szCs w:val="18"/>
                <w:lang w:val="sk-SK" w:eastAsia="sk-SK"/>
              </w:rPr>
            </w:pPr>
          </w:p>
        </w:tc>
      </w:tr>
      <w:tr w:rsidR="00C26D0B" w:rsidRPr="00226892" w14:paraId="584564F5" w14:textId="77777777" w:rsidTr="00FE07F6">
        <w:trPr>
          <w:trHeight w:val="227"/>
        </w:trPr>
        <w:tc>
          <w:tcPr>
            <w:tcW w:w="2193" w:type="pct"/>
            <w:tcBorders>
              <w:top w:val="nil"/>
              <w:left w:val="nil"/>
              <w:bottom w:val="nil"/>
              <w:right w:val="nil"/>
            </w:tcBorders>
            <w:shd w:val="clear" w:color="auto" w:fill="auto"/>
            <w:vAlign w:val="bottom"/>
            <w:hideMark/>
          </w:tcPr>
          <w:p w14:paraId="40DCDBB5" w14:textId="5DB9E506" w:rsidR="00C26D0B" w:rsidRPr="00226892" w:rsidRDefault="00C26D0B" w:rsidP="008C7061">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Rok končiaci 31-12-</w:t>
            </w:r>
            <w:r w:rsidR="00FD3AC5" w:rsidRPr="00226892">
              <w:rPr>
                <w:rFonts w:ascii="Arial" w:eastAsia="Times New Roman" w:hAnsi="Arial" w:cs="Arial"/>
                <w:b/>
                <w:bCs/>
                <w:color w:val="000000"/>
                <w:sz w:val="18"/>
                <w:szCs w:val="18"/>
                <w:lang w:val="sk-SK" w:eastAsia="sk-SK"/>
              </w:rPr>
              <w:t>2018</w:t>
            </w:r>
          </w:p>
        </w:tc>
        <w:tc>
          <w:tcPr>
            <w:tcW w:w="895" w:type="pct"/>
            <w:tcBorders>
              <w:top w:val="nil"/>
              <w:left w:val="nil"/>
              <w:bottom w:val="nil"/>
              <w:right w:val="nil"/>
            </w:tcBorders>
            <w:shd w:val="clear" w:color="auto" w:fill="auto"/>
            <w:vAlign w:val="bottom"/>
          </w:tcPr>
          <w:p w14:paraId="48233BFA" w14:textId="77777777" w:rsidR="00C26D0B" w:rsidRPr="00226892" w:rsidRDefault="00C26D0B" w:rsidP="00FD21B8">
            <w:pPr>
              <w:jc w:val="right"/>
              <w:rPr>
                <w:rFonts w:ascii="Arial" w:eastAsia="Times New Roman" w:hAnsi="Arial" w:cs="Arial"/>
                <w:sz w:val="18"/>
                <w:szCs w:val="18"/>
                <w:lang w:val="sk-SK" w:eastAsia="sk-SK"/>
              </w:rPr>
            </w:pPr>
          </w:p>
        </w:tc>
        <w:tc>
          <w:tcPr>
            <w:tcW w:w="106" w:type="pct"/>
            <w:tcBorders>
              <w:top w:val="nil"/>
              <w:left w:val="nil"/>
              <w:bottom w:val="nil"/>
              <w:right w:val="nil"/>
            </w:tcBorders>
            <w:shd w:val="clear" w:color="auto" w:fill="auto"/>
            <w:vAlign w:val="bottom"/>
          </w:tcPr>
          <w:p w14:paraId="0AC0BC11" w14:textId="77777777" w:rsidR="00C26D0B" w:rsidRPr="00226892" w:rsidRDefault="00C26D0B" w:rsidP="00FD21B8">
            <w:pPr>
              <w:jc w:val="right"/>
              <w:rPr>
                <w:rFonts w:ascii="Arial" w:eastAsia="Times New Roman" w:hAnsi="Arial" w:cs="Arial"/>
                <w:sz w:val="18"/>
                <w:szCs w:val="18"/>
                <w:lang w:val="sk-SK" w:eastAsia="sk-SK"/>
              </w:rPr>
            </w:pPr>
          </w:p>
        </w:tc>
        <w:tc>
          <w:tcPr>
            <w:tcW w:w="865" w:type="pct"/>
            <w:tcBorders>
              <w:top w:val="nil"/>
              <w:left w:val="nil"/>
              <w:bottom w:val="nil"/>
              <w:right w:val="nil"/>
            </w:tcBorders>
            <w:shd w:val="clear" w:color="auto" w:fill="auto"/>
            <w:vAlign w:val="bottom"/>
          </w:tcPr>
          <w:p w14:paraId="1EFB8E47" w14:textId="77777777" w:rsidR="00C26D0B" w:rsidRPr="00226892" w:rsidRDefault="00C26D0B" w:rsidP="00FD21B8">
            <w:pPr>
              <w:jc w:val="right"/>
              <w:rPr>
                <w:rFonts w:ascii="Arial" w:eastAsia="Times New Roman" w:hAnsi="Arial" w:cs="Arial"/>
                <w:sz w:val="18"/>
                <w:szCs w:val="18"/>
                <w:lang w:val="sk-SK" w:eastAsia="sk-SK"/>
              </w:rPr>
            </w:pPr>
          </w:p>
        </w:tc>
        <w:tc>
          <w:tcPr>
            <w:tcW w:w="159" w:type="pct"/>
            <w:tcBorders>
              <w:top w:val="nil"/>
              <w:left w:val="nil"/>
              <w:bottom w:val="nil"/>
              <w:right w:val="nil"/>
            </w:tcBorders>
            <w:shd w:val="clear" w:color="auto" w:fill="auto"/>
            <w:vAlign w:val="bottom"/>
          </w:tcPr>
          <w:p w14:paraId="338DF2D1" w14:textId="77777777" w:rsidR="00C26D0B" w:rsidRPr="00226892" w:rsidRDefault="00C26D0B" w:rsidP="008C7061">
            <w:pPr>
              <w:rPr>
                <w:rFonts w:ascii="Arial" w:eastAsia="Times New Roman" w:hAnsi="Arial" w:cs="Arial"/>
                <w:sz w:val="18"/>
                <w:szCs w:val="18"/>
                <w:lang w:val="sk-SK" w:eastAsia="sk-SK"/>
              </w:rPr>
            </w:pPr>
          </w:p>
        </w:tc>
        <w:tc>
          <w:tcPr>
            <w:tcW w:w="782" w:type="pct"/>
            <w:tcBorders>
              <w:top w:val="nil"/>
              <w:left w:val="nil"/>
              <w:bottom w:val="nil"/>
              <w:right w:val="nil"/>
            </w:tcBorders>
            <w:shd w:val="clear" w:color="auto" w:fill="auto"/>
            <w:vAlign w:val="bottom"/>
          </w:tcPr>
          <w:p w14:paraId="67A8F82B" w14:textId="77777777" w:rsidR="00C26D0B" w:rsidRPr="00226892" w:rsidRDefault="00C26D0B" w:rsidP="00FD21B8">
            <w:pPr>
              <w:jc w:val="right"/>
              <w:rPr>
                <w:rFonts w:ascii="Arial" w:eastAsia="Times New Roman" w:hAnsi="Arial" w:cs="Arial"/>
                <w:sz w:val="18"/>
                <w:szCs w:val="18"/>
                <w:lang w:val="sk-SK" w:eastAsia="sk-SK"/>
              </w:rPr>
            </w:pPr>
          </w:p>
        </w:tc>
      </w:tr>
      <w:tr w:rsidR="007172D7" w:rsidRPr="00226892" w14:paraId="77F98C66" w14:textId="77777777" w:rsidTr="00FE07F6">
        <w:trPr>
          <w:trHeight w:val="227"/>
        </w:trPr>
        <w:tc>
          <w:tcPr>
            <w:tcW w:w="2193" w:type="pct"/>
            <w:tcBorders>
              <w:top w:val="nil"/>
              <w:left w:val="nil"/>
              <w:bottom w:val="nil"/>
              <w:right w:val="nil"/>
            </w:tcBorders>
            <w:shd w:val="clear" w:color="auto" w:fill="auto"/>
            <w:vAlign w:val="bottom"/>
            <w:hideMark/>
          </w:tcPr>
          <w:p w14:paraId="4B0C3C60" w14:textId="77777777" w:rsidR="007172D7" w:rsidRPr="00226892" w:rsidRDefault="007172D7" w:rsidP="00C32729">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Prírastky</w:t>
            </w:r>
          </w:p>
        </w:tc>
        <w:tc>
          <w:tcPr>
            <w:tcW w:w="895" w:type="pct"/>
            <w:tcBorders>
              <w:top w:val="nil"/>
              <w:left w:val="nil"/>
              <w:bottom w:val="nil"/>
              <w:right w:val="nil"/>
            </w:tcBorders>
            <w:shd w:val="clear" w:color="auto" w:fill="auto"/>
            <w:vAlign w:val="bottom"/>
          </w:tcPr>
          <w:p w14:paraId="2F751BBF" w14:textId="3F94100A" w:rsidR="007172D7" w:rsidRPr="00226892" w:rsidRDefault="00914225" w:rsidP="00C3272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06" w:type="pct"/>
            <w:tcBorders>
              <w:top w:val="nil"/>
              <w:left w:val="nil"/>
              <w:bottom w:val="nil"/>
              <w:right w:val="nil"/>
            </w:tcBorders>
            <w:shd w:val="clear" w:color="auto" w:fill="auto"/>
            <w:vAlign w:val="bottom"/>
          </w:tcPr>
          <w:p w14:paraId="3AB6454E" w14:textId="77777777" w:rsidR="007172D7" w:rsidRPr="00226892" w:rsidRDefault="007172D7" w:rsidP="00C32729">
            <w:pPr>
              <w:jc w:val="right"/>
              <w:rPr>
                <w:rFonts w:ascii="Arial" w:eastAsia="Times New Roman" w:hAnsi="Arial" w:cs="Arial"/>
                <w:color w:val="000000"/>
                <w:sz w:val="18"/>
                <w:szCs w:val="18"/>
                <w:lang w:val="sk-SK" w:eastAsia="sk-SK"/>
              </w:rPr>
            </w:pPr>
          </w:p>
        </w:tc>
        <w:tc>
          <w:tcPr>
            <w:tcW w:w="865" w:type="pct"/>
            <w:tcBorders>
              <w:top w:val="nil"/>
              <w:left w:val="nil"/>
              <w:bottom w:val="nil"/>
              <w:right w:val="nil"/>
            </w:tcBorders>
            <w:shd w:val="clear" w:color="auto" w:fill="auto"/>
            <w:vAlign w:val="bottom"/>
          </w:tcPr>
          <w:p w14:paraId="7D8D8FC8" w14:textId="2E3828F3" w:rsidR="007172D7" w:rsidRPr="00226892" w:rsidRDefault="00914225" w:rsidP="00C3272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133</w:t>
            </w:r>
          </w:p>
        </w:tc>
        <w:tc>
          <w:tcPr>
            <w:tcW w:w="159" w:type="pct"/>
            <w:tcBorders>
              <w:top w:val="nil"/>
              <w:left w:val="nil"/>
              <w:bottom w:val="nil"/>
              <w:right w:val="nil"/>
            </w:tcBorders>
            <w:shd w:val="clear" w:color="auto" w:fill="auto"/>
            <w:vAlign w:val="bottom"/>
          </w:tcPr>
          <w:p w14:paraId="3AD1F2AD" w14:textId="77777777" w:rsidR="007172D7" w:rsidRPr="00226892" w:rsidRDefault="007172D7" w:rsidP="00C32729">
            <w:pPr>
              <w:rPr>
                <w:rFonts w:ascii="Arial" w:eastAsia="Times New Roman" w:hAnsi="Arial" w:cs="Arial"/>
                <w:color w:val="000000"/>
                <w:sz w:val="18"/>
                <w:szCs w:val="18"/>
                <w:lang w:val="sk-SK" w:eastAsia="sk-SK"/>
              </w:rPr>
            </w:pPr>
          </w:p>
        </w:tc>
        <w:tc>
          <w:tcPr>
            <w:tcW w:w="782" w:type="pct"/>
            <w:tcBorders>
              <w:top w:val="nil"/>
              <w:left w:val="nil"/>
              <w:bottom w:val="nil"/>
              <w:right w:val="nil"/>
            </w:tcBorders>
            <w:shd w:val="clear" w:color="auto" w:fill="auto"/>
            <w:vAlign w:val="bottom"/>
          </w:tcPr>
          <w:p w14:paraId="2357BCFA" w14:textId="3B87B989" w:rsidR="007172D7" w:rsidRPr="00226892" w:rsidRDefault="00914225" w:rsidP="00C3272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133</w:t>
            </w:r>
          </w:p>
        </w:tc>
      </w:tr>
      <w:tr w:rsidR="00C26D0B" w:rsidRPr="00226892" w14:paraId="11E8F005" w14:textId="77777777" w:rsidTr="00FE07F6">
        <w:trPr>
          <w:trHeight w:val="227"/>
        </w:trPr>
        <w:tc>
          <w:tcPr>
            <w:tcW w:w="2193" w:type="pct"/>
            <w:tcBorders>
              <w:top w:val="nil"/>
              <w:left w:val="nil"/>
              <w:bottom w:val="nil"/>
              <w:right w:val="nil"/>
            </w:tcBorders>
            <w:shd w:val="clear" w:color="auto" w:fill="auto"/>
            <w:vAlign w:val="bottom"/>
            <w:hideMark/>
          </w:tcPr>
          <w:p w14:paraId="793EF4F3" w14:textId="43982903" w:rsidR="00C26D0B" w:rsidRPr="00226892" w:rsidRDefault="007172D7" w:rsidP="008C706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Prevody</w:t>
            </w:r>
          </w:p>
        </w:tc>
        <w:tc>
          <w:tcPr>
            <w:tcW w:w="895" w:type="pct"/>
            <w:tcBorders>
              <w:top w:val="nil"/>
              <w:left w:val="nil"/>
              <w:bottom w:val="nil"/>
              <w:right w:val="nil"/>
            </w:tcBorders>
            <w:shd w:val="clear" w:color="auto" w:fill="auto"/>
            <w:vAlign w:val="bottom"/>
          </w:tcPr>
          <w:p w14:paraId="0974A10A" w14:textId="60E58CA4" w:rsidR="00C26D0B" w:rsidRPr="00226892" w:rsidRDefault="00914225"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81</w:t>
            </w:r>
          </w:p>
        </w:tc>
        <w:tc>
          <w:tcPr>
            <w:tcW w:w="106" w:type="pct"/>
            <w:tcBorders>
              <w:top w:val="nil"/>
              <w:left w:val="nil"/>
              <w:bottom w:val="nil"/>
              <w:right w:val="nil"/>
            </w:tcBorders>
            <w:shd w:val="clear" w:color="auto" w:fill="auto"/>
            <w:vAlign w:val="bottom"/>
          </w:tcPr>
          <w:p w14:paraId="5A52AF5C" w14:textId="77777777" w:rsidR="00C26D0B" w:rsidRPr="00226892" w:rsidRDefault="00C26D0B" w:rsidP="00FD21B8">
            <w:pPr>
              <w:jc w:val="right"/>
              <w:rPr>
                <w:rFonts w:ascii="Arial" w:eastAsia="Times New Roman" w:hAnsi="Arial" w:cs="Arial"/>
                <w:color w:val="000000"/>
                <w:sz w:val="18"/>
                <w:szCs w:val="18"/>
                <w:lang w:val="sk-SK" w:eastAsia="sk-SK"/>
              </w:rPr>
            </w:pPr>
          </w:p>
        </w:tc>
        <w:tc>
          <w:tcPr>
            <w:tcW w:w="865" w:type="pct"/>
            <w:tcBorders>
              <w:top w:val="nil"/>
              <w:left w:val="nil"/>
              <w:bottom w:val="nil"/>
              <w:right w:val="nil"/>
            </w:tcBorders>
            <w:shd w:val="clear" w:color="auto" w:fill="auto"/>
            <w:vAlign w:val="bottom"/>
          </w:tcPr>
          <w:p w14:paraId="311E3523" w14:textId="6151618B" w:rsidR="00C26D0B" w:rsidRPr="00226892" w:rsidRDefault="00914225"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-81</w:t>
            </w:r>
          </w:p>
        </w:tc>
        <w:tc>
          <w:tcPr>
            <w:tcW w:w="159" w:type="pct"/>
            <w:tcBorders>
              <w:top w:val="nil"/>
              <w:left w:val="nil"/>
              <w:bottom w:val="nil"/>
              <w:right w:val="nil"/>
            </w:tcBorders>
            <w:shd w:val="clear" w:color="auto" w:fill="auto"/>
            <w:vAlign w:val="bottom"/>
          </w:tcPr>
          <w:p w14:paraId="6EE95BF3" w14:textId="77777777" w:rsidR="00C26D0B" w:rsidRPr="00226892" w:rsidRDefault="00C26D0B" w:rsidP="008C7061">
            <w:pPr>
              <w:rPr>
                <w:rFonts w:ascii="Arial" w:eastAsia="Times New Roman" w:hAnsi="Arial" w:cs="Arial"/>
                <w:color w:val="000000"/>
                <w:sz w:val="18"/>
                <w:szCs w:val="18"/>
                <w:lang w:val="sk-SK" w:eastAsia="sk-SK"/>
              </w:rPr>
            </w:pPr>
          </w:p>
        </w:tc>
        <w:tc>
          <w:tcPr>
            <w:tcW w:w="782" w:type="pct"/>
            <w:tcBorders>
              <w:top w:val="nil"/>
              <w:left w:val="nil"/>
              <w:bottom w:val="nil"/>
              <w:right w:val="nil"/>
            </w:tcBorders>
            <w:shd w:val="clear" w:color="auto" w:fill="auto"/>
            <w:vAlign w:val="bottom"/>
          </w:tcPr>
          <w:p w14:paraId="09796A1F" w14:textId="0A17F5E7" w:rsidR="00C26D0B" w:rsidRPr="00226892" w:rsidRDefault="00914225"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r>
      <w:tr w:rsidR="00C26D0B" w:rsidRPr="00226892" w14:paraId="1A365E55" w14:textId="77777777" w:rsidTr="00FE07F6">
        <w:trPr>
          <w:trHeight w:val="227"/>
        </w:trPr>
        <w:tc>
          <w:tcPr>
            <w:tcW w:w="2193" w:type="pct"/>
            <w:tcBorders>
              <w:top w:val="nil"/>
              <w:left w:val="nil"/>
              <w:bottom w:val="nil"/>
              <w:right w:val="nil"/>
            </w:tcBorders>
            <w:shd w:val="clear" w:color="auto" w:fill="auto"/>
            <w:vAlign w:val="bottom"/>
          </w:tcPr>
          <w:p w14:paraId="57AFEE37" w14:textId="7417C3A1" w:rsidR="00C26D0B" w:rsidRPr="00226892" w:rsidRDefault="007172D7" w:rsidP="008C706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Odpisy (Pozn. 2</w:t>
            </w:r>
            <w:r w:rsidR="00522218" w:rsidRPr="00226892">
              <w:rPr>
                <w:rFonts w:ascii="Arial" w:eastAsia="Times New Roman" w:hAnsi="Arial" w:cs="Arial"/>
                <w:color w:val="000000"/>
                <w:sz w:val="18"/>
                <w:szCs w:val="18"/>
                <w:lang w:val="sk-SK" w:eastAsia="sk-SK"/>
              </w:rPr>
              <w:t>1</w:t>
            </w:r>
            <w:r w:rsidRPr="00226892">
              <w:rPr>
                <w:rFonts w:ascii="Arial" w:eastAsia="Times New Roman" w:hAnsi="Arial" w:cs="Arial"/>
                <w:color w:val="000000"/>
                <w:sz w:val="18"/>
                <w:szCs w:val="18"/>
                <w:lang w:val="sk-SK" w:eastAsia="sk-SK"/>
              </w:rPr>
              <w:t>)</w:t>
            </w:r>
          </w:p>
        </w:tc>
        <w:tc>
          <w:tcPr>
            <w:tcW w:w="895" w:type="pct"/>
            <w:tcBorders>
              <w:top w:val="nil"/>
              <w:left w:val="nil"/>
              <w:bottom w:val="nil"/>
              <w:right w:val="nil"/>
            </w:tcBorders>
            <w:shd w:val="clear" w:color="auto" w:fill="auto"/>
            <w:vAlign w:val="bottom"/>
          </w:tcPr>
          <w:p w14:paraId="632B4B09" w14:textId="544161AE" w:rsidR="00C26D0B" w:rsidRPr="00226892" w:rsidRDefault="00914225" w:rsidP="00FD21B8">
            <w:pPr>
              <w:pStyle w:val="Odsekzoznamu"/>
              <w:jc w:val="right"/>
              <w:rPr>
                <w:rFonts w:ascii="Arial" w:hAnsi="Arial" w:cs="Arial"/>
                <w:color w:val="000000"/>
                <w:sz w:val="18"/>
                <w:szCs w:val="18"/>
                <w:lang w:val="sk-SK" w:eastAsia="sk-SK"/>
              </w:rPr>
            </w:pPr>
            <w:r w:rsidRPr="00226892">
              <w:rPr>
                <w:rFonts w:ascii="Arial" w:hAnsi="Arial" w:cs="Arial"/>
                <w:color w:val="000000"/>
                <w:sz w:val="18"/>
                <w:szCs w:val="18"/>
                <w:lang w:val="sk-SK" w:eastAsia="sk-SK"/>
              </w:rPr>
              <w:t>-209</w:t>
            </w:r>
          </w:p>
        </w:tc>
        <w:tc>
          <w:tcPr>
            <w:tcW w:w="106" w:type="pct"/>
            <w:tcBorders>
              <w:top w:val="nil"/>
              <w:left w:val="nil"/>
              <w:bottom w:val="nil"/>
              <w:right w:val="nil"/>
            </w:tcBorders>
            <w:shd w:val="clear" w:color="auto" w:fill="auto"/>
            <w:vAlign w:val="bottom"/>
          </w:tcPr>
          <w:p w14:paraId="0EEA7688" w14:textId="77777777" w:rsidR="00C26D0B" w:rsidRPr="00226892" w:rsidRDefault="00C26D0B" w:rsidP="00FD21B8">
            <w:pPr>
              <w:jc w:val="right"/>
              <w:rPr>
                <w:rFonts w:ascii="Arial" w:eastAsia="Times New Roman" w:hAnsi="Arial" w:cs="Arial"/>
                <w:color w:val="000000"/>
                <w:sz w:val="18"/>
                <w:szCs w:val="18"/>
                <w:lang w:val="sk-SK" w:eastAsia="sk-SK"/>
              </w:rPr>
            </w:pPr>
          </w:p>
        </w:tc>
        <w:tc>
          <w:tcPr>
            <w:tcW w:w="865" w:type="pct"/>
            <w:tcBorders>
              <w:top w:val="nil"/>
              <w:left w:val="nil"/>
              <w:bottom w:val="nil"/>
              <w:right w:val="nil"/>
            </w:tcBorders>
            <w:shd w:val="clear" w:color="auto" w:fill="auto"/>
            <w:vAlign w:val="bottom"/>
          </w:tcPr>
          <w:p w14:paraId="53D20636" w14:textId="6B4D23FA" w:rsidR="00C26D0B" w:rsidRPr="00226892" w:rsidRDefault="00914225" w:rsidP="00FD21B8">
            <w:pPr>
              <w:pStyle w:val="Odsekzoznamu"/>
              <w:jc w:val="right"/>
              <w:rPr>
                <w:rFonts w:ascii="Arial" w:hAnsi="Arial" w:cs="Arial"/>
                <w:color w:val="000000"/>
                <w:sz w:val="18"/>
                <w:szCs w:val="18"/>
                <w:lang w:val="sk-SK" w:eastAsia="sk-SK"/>
              </w:rPr>
            </w:pPr>
            <w:r w:rsidRPr="00226892">
              <w:rPr>
                <w:rFonts w:ascii="Arial" w:hAnsi="Arial" w:cs="Arial"/>
                <w:color w:val="000000"/>
                <w:sz w:val="18"/>
                <w:szCs w:val="18"/>
                <w:lang w:val="sk-SK" w:eastAsia="sk-SK"/>
              </w:rPr>
              <w:t>-</w:t>
            </w:r>
          </w:p>
        </w:tc>
        <w:tc>
          <w:tcPr>
            <w:tcW w:w="159" w:type="pct"/>
            <w:tcBorders>
              <w:top w:val="nil"/>
              <w:left w:val="nil"/>
              <w:bottom w:val="nil"/>
              <w:right w:val="nil"/>
            </w:tcBorders>
            <w:shd w:val="clear" w:color="auto" w:fill="auto"/>
            <w:vAlign w:val="bottom"/>
          </w:tcPr>
          <w:p w14:paraId="3B453868" w14:textId="77777777" w:rsidR="00C26D0B" w:rsidRPr="00226892" w:rsidRDefault="00C26D0B" w:rsidP="008C7061">
            <w:pPr>
              <w:rPr>
                <w:rFonts w:ascii="Arial" w:eastAsia="Times New Roman" w:hAnsi="Arial" w:cs="Arial"/>
                <w:color w:val="000000"/>
                <w:sz w:val="18"/>
                <w:szCs w:val="18"/>
                <w:lang w:val="sk-SK" w:eastAsia="sk-SK"/>
              </w:rPr>
            </w:pPr>
          </w:p>
        </w:tc>
        <w:tc>
          <w:tcPr>
            <w:tcW w:w="782" w:type="pct"/>
            <w:tcBorders>
              <w:top w:val="nil"/>
              <w:left w:val="nil"/>
              <w:bottom w:val="nil"/>
              <w:right w:val="nil"/>
            </w:tcBorders>
            <w:shd w:val="clear" w:color="auto" w:fill="auto"/>
            <w:vAlign w:val="bottom"/>
          </w:tcPr>
          <w:p w14:paraId="6991D21C" w14:textId="096A30E0" w:rsidR="00C26D0B" w:rsidRPr="00226892" w:rsidRDefault="00914225" w:rsidP="00FD21B8">
            <w:pPr>
              <w:jc w:val="right"/>
              <w:rPr>
                <w:rFonts w:ascii="Arial" w:hAnsi="Arial" w:cs="Arial"/>
                <w:color w:val="000000"/>
                <w:sz w:val="18"/>
                <w:szCs w:val="18"/>
                <w:lang w:val="sk-SK" w:eastAsia="sk-SK"/>
              </w:rPr>
            </w:pPr>
            <w:r w:rsidRPr="00226892">
              <w:rPr>
                <w:rFonts w:ascii="Arial" w:hAnsi="Arial" w:cs="Arial"/>
                <w:color w:val="000000"/>
                <w:sz w:val="18"/>
                <w:szCs w:val="18"/>
                <w:lang w:val="sk-SK" w:eastAsia="sk-SK"/>
              </w:rPr>
              <w:t>-209</w:t>
            </w:r>
          </w:p>
        </w:tc>
      </w:tr>
      <w:tr w:rsidR="00C26D0B" w:rsidRPr="00226892" w14:paraId="429CB05B" w14:textId="77777777" w:rsidTr="00FE07F6">
        <w:trPr>
          <w:trHeight w:val="227"/>
        </w:trPr>
        <w:tc>
          <w:tcPr>
            <w:tcW w:w="2193" w:type="pct"/>
            <w:tcBorders>
              <w:top w:val="nil"/>
              <w:left w:val="nil"/>
              <w:bottom w:val="nil"/>
              <w:right w:val="nil"/>
            </w:tcBorders>
            <w:shd w:val="clear" w:color="auto" w:fill="auto"/>
            <w:vAlign w:val="bottom"/>
            <w:hideMark/>
          </w:tcPr>
          <w:p w14:paraId="17A685E5" w14:textId="77777777" w:rsidR="00C26D0B" w:rsidRPr="00226892" w:rsidRDefault="00C26D0B" w:rsidP="008C7061">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Zostatková hodnota na konci obdobia</w:t>
            </w:r>
          </w:p>
        </w:tc>
        <w:tc>
          <w:tcPr>
            <w:tcW w:w="895" w:type="pct"/>
            <w:tcBorders>
              <w:top w:val="single" w:sz="4" w:space="0" w:color="auto"/>
              <w:left w:val="nil"/>
              <w:bottom w:val="double" w:sz="6" w:space="0" w:color="auto"/>
              <w:right w:val="nil"/>
            </w:tcBorders>
            <w:shd w:val="clear" w:color="auto" w:fill="auto"/>
            <w:vAlign w:val="bottom"/>
          </w:tcPr>
          <w:p w14:paraId="34ADDCAE" w14:textId="49E1A903" w:rsidR="00C26D0B" w:rsidRPr="00226892" w:rsidRDefault="00914225" w:rsidP="00FD21B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384</w:t>
            </w:r>
          </w:p>
        </w:tc>
        <w:tc>
          <w:tcPr>
            <w:tcW w:w="106" w:type="pct"/>
            <w:tcBorders>
              <w:top w:val="nil"/>
              <w:left w:val="nil"/>
              <w:bottom w:val="nil"/>
              <w:right w:val="nil"/>
            </w:tcBorders>
            <w:shd w:val="clear" w:color="auto" w:fill="auto"/>
            <w:vAlign w:val="bottom"/>
          </w:tcPr>
          <w:p w14:paraId="0CF7CA71" w14:textId="77777777" w:rsidR="00C26D0B" w:rsidRPr="00226892" w:rsidRDefault="00C26D0B" w:rsidP="00FD21B8">
            <w:pPr>
              <w:jc w:val="right"/>
              <w:rPr>
                <w:rFonts w:ascii="Arial" w:eastAsia="Times New Roman" w:hAnsi="Arial" w:cs="Arial"/>
                <w:b/>
                <w:bCs/>
                <w:color w:val="000000"/>
                <w:sz w:val="18"/>
                <w:szCs w:val="18"/>
                <w:lang w:val="sk-SK" w:eastAsia="sk-SK"/>
              </w:rPr>
            </w:pPr>
          </w:p>
        </w:tc>
        <w:tc>
          <w:tcPr>
            <w:tcW w:w="865" w:type="pct"/>
            <w:tcBorders>
              <w:top w:val="single" w:sz="4" w:space="0" w:color="auto"/>
              <w:left w:val="nil"/>
              <w:bottom w:val="double" w:sz="6" w:space="0" w:color="auto"/>
              <w:right w:val="nil"/>
            </w:tcBorders>
            <w:shd w:val="clear" w:color="auto" w:fill="auto"/>
            <w:vAlign w:val="bottom"/>
          </w:tcPr>
          <w:p w14:paraId="191E129E" w14:textId="711DB54C" w:rsidR="00C26D0B" w:rsidRPr="00226892" w:rsidRDefault="00914225" w:rsidP="00FD21B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52</w:t>
            </w:r>
          </w:p>
        </w:tc>
        <w:tc>
          <w:tcPr>
            <w:tcW w:w="159" w:type="pct"/>
            <w:tcBorders>
              <w:top w:val="nil"/>
              <w:left w:val="nil"/>
              <w:bottom w:val="nil"/>
              <w:right w:val="nil"/>
            </w:tcBorders>
            <w:shd w:val="clear" w:color="auto" w:fill="auto"/>
            <w:vAlign w:val="bottom"/>
          </w:tcPr>
          <w:p w14:paraId="31BCE867" w14:textId="77777777" w:rsidR="00C26D0B" w:rsidRPr="00226892" w:rsidRDefault="00C26D0B" w:rsidP="008C7061">
            <w:pPr>
              <w:rPr>
                <w:rFonts w:ascii="Arial" w:eastAsia="Times New Roman" w:hAnsi="Arial" w:cs="Arial"/>
                <w:b/>
                <w:bCs/>
                <w:color w:val="000000"/>
                <w:sz w:val="18"/>
                <w:szCs w:val="18"/>
                <w:lang w:val="sk-SK" w:eastAsia="sk-SK"/>
              </w:rPr>
            </w:pPr>
          </w:p>
        </w:tc>
        <w:tc>
          <w:tcPr>
            <w:tcW w:w="782" w:type="pct"/>
            <w:tcBorders>
              <w:top w:val="single" w:sz="4" w:space="0" w:color="auto"/>
              <w:left w:val="nil"/>
              <w:bottom w:val="double" w:sz="6" w:space="0" w:color="auto"/>
              <w:right w:val="nil"/>
            </w:tcBorders>
            <w:shd w:val="clear" w:color="auto" w:fill="auto"/>
            <w:vAlign w:val="bottom"/>
          </w:tcPr>
          <w:p w14:paraId="372C8951" w14:textId="1BC12351" w:rsidR="00C26D0B" w:rsidRPr="00226892" w:rsidRDefault="00914225" w:rsidP="00FD21B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436</w:t>
            </w:r>
          </w:p>
        </w:tc>
      </w:tr>
      <w:tr w:rsidR="00C26D0B" w:rsidRPr="00226892" w14:paraId="1D73C783" w14:textId="77777777" w:rsidTr="00FE07F6">
        <w:trPr>
          <w:trHeight w:val="227"/>
        </w:trPr>
        <w:tc>
          <w:tcPr>
            <w:tcW w:w="2193" w:type="pct"/>
            <w:tcBorders>
              <w:top w:val="nil"/>
              <w:left w:val="nil"/>
              <w:bottom w:val="nil"/>
              <w:right w:val="nil"/>
            </w:tcBorders>
            <w:shd w:val="clear" w:color="auto" w:fill="auto"/>
            <w:vAlign w:val="bottom"/>
            <w:hideMark/>
          </w:tcPr>
          <w:p w14:paraId="10267B49" w14:textId="77777777" w:rsidR="00C26D0B" w:rsidRPr="00226892" w:rsidRDefault="00C26D0B" w:rsidP="008C7061">
            <w:pPr>
              <w:rPr>
                <w:rFonts w:ascii="Arial" w:eastAsia="Times New Roman" w:hAnsi="Arial" w:cs="Arial"/>
                <w:b/>
                <w:bCs/>
                <w:color w:val="000000"/>
                <w:sz w:val="16"/>
                <w:szCs w:val="16"/>
                <w:lang w:val="sk-SK" w:eastAsia="sk-SK"/>
              </w:rPr>
            </w:pPr>
          </w:p>
        </w:tc>
        <w:tc>
          <w:tcPr>
            <w:tcW w:w="895" w:type="pct"/>
            <w:tcBorders>
              <w:top w:val="nil"/>
              <w:left w:val="nil"/>
              <w:bottom w:val="nil"/>
              <w:right w:val="nil"/>
            </w:tcBorders>
            <w:shd w:val="clear" w:color="auto" w:fill="auto"/>
            <w:vAlign w:val="bottom"/>
          </w:tcPr>
          <w:p w14:paraId="54CF4677" w14:textId="77777777" w:rsidR="00C26D0B" w:rsidRPr="00226892" w:rsidRDefault="00C26D0B" w:rsidP="00FD21B8">
            <w:pPr>
              <w:jc w:val="right"/>
              <w:rPr>
                <w:rFonts w:ascii="Arial" w:eastAsia="Times New Roman" w:hAnsi="Arial" w:cs="Arial"/>
                <w:sz w:val="18"/>
                <w:szCs w:val="18"/>
                <w:lang w:val="sk-SK" w:eastAsia="sk-SK"/>
              </w:rPr>
            </w:pPr>
          </w:p>
        </w:tc>
        <w:tc>
          <w:tcPr>
            <w:tcW w:w="106" w:type="pct"/>
            <w:tcBorders>
              <w:top w:val="nil"/>
              <w:left w:val="nil"/>
              <w:bottom w:val="nil"/>
              <w:right w:val="nil"/>
            </w:tcBorders>
            <w:shd w:val="clear" w:color="auto" w:fill="auto"/>
            <w:vAlign w:val="bottom"/>
          </w:tcPr>
          <w:p w14:paraId="2ECF3306" w14:textId="77777777" w:rsidR="00C26D0B" w:rsidRPr="00226892" w:rsidRDefault="00C26D0B" w:rsidP="00FD21B8">
            <w:pPr>
              <w:jc w:val="right"/>
              <w:rPr>
                <w:rFonts w:ascii="Arial" w:eastAsia="Times New Roman" w:hAnsi="Arial" w:cs="Arial"/>
                <w:sz w:val="18"/>
                <w:szCs w:val="18"/>
                <w:lang w:val="sk-SK" w:eastAsia="sk-SK"/>
              </w:rPr>
            </w:pPr>
          </w:p>
        </w:tc>
        <w:tc>
          <w:tcPr>
            <w:tcW w:w="865" w:type="pct"/>
            <w:tcBorders>
              <w:top w:val="nil"/>
              <w:left w:val="nil"/>
              <w:bottom w:val="nil"/>
              <w:right w:val="nil"/>
            </w:tcBorders>
            <w:shd w:val="clear" w:color="auto" w:fill="auto"/>
            <w:vAlign w:val="bottom"/>
          </w:tcPr>
          <w:p w14:paraId="5DE54751" w14:textId="77777777" w:rsidR="00C26D0B" w:rsidRPr="00226892" w:rsidRDefault="00C26D0B" w:rsidP="00FD21B8">
            <w:pPr>
              <w:jc w:val="right"/>
              <w:rPr>
                <w:rFonts w:ascii="Arial" w:eastAsia="Times New Roman" w:hAnsi="Arial" w:cs="Arial"/>
                <w:sz w:val="18"/>
                <w:szCs w:val="18"/>
                <w:lang w:val="sk-SK" w:eastAsia="sk-SK"/>
              </w:rPr>
            </w:pPr>
          </w:p>
        </w:tc>
        <w:tc>
          <w:tcPr>
            <w:tcW w:w="159" w:type="pct"/>
            <w:tcBorders>
              <w:top w:val="nil"/>
              <w:left w:val="nil"/>
              <w:bottom w:val="nil"/>
              <w:right w:val="nil"/>
            </w:tcBorders>
            <w:shd w:val="clear" w:color="auto" w:fill="auto"/>
            <w:vAlign w:val="bottom"/>
          </w:tcPr>
          <w:p w14:paraId="3FEDDBF9" w14:textId="77777777" w:rsidR="00C26D0B" w:rsidRPr="00226892" w:rsidRDefault="00C26D0B" w:rsidP="008C7061">
            <w:pPr>
              <w:rPr>
                <w:rFonts w:ascii="Arial" w:eastAsia="Times New Roman" w:hAnsi="Arial" w:cs="Arial"/>
                <w:sz w:val="18"/>
                <w:szCs w:val="18"/>
                <w:lang w:val="sk-SK" w:eastAsia="sk-SK"/>
              </w:rPr>
            </w:pPr>
          </w:p>
        </w:tc>
        <w:tc>
          <w:tcPr>
            <w:tcW w:w="782" w:type="pct"/>
            <w:tcBorders>
              <w:top w:val="nil"/>
              <w:left w:val="nil"/>
              <w:bottom w:val="nil"/>
              <w:right w:val="nil"/>
            </w:tcBorders>
            <w:shd w:val="clear" w:color="auto" w:fill="auto"/>
            <w:vAlign w:val="bottom"/>
          </w:tcPr>
          <w:p w14:paraId="231CA85D" w14:textId="77777777" w:rsidR="00C26D0B" w:rsidRPr="00226892" w:rsidRDefault="00C26D0B" w:rsidP="00FD21B8">
            <w:pPr>
              <w:jc w:val="right"/>
              <w:rPr>
                <w:rFonts w:ascii="Arial" w:eastAsia="Times New Roman" w:hAnsi="Arial" w:cs="Arial"/>
                <w:sz w:val="18"/>
                <w:szCs w:val="18"/>
                <w:lang w:val="sk-SK" w:eastAsia="sk-SK"/>
              </w:rPr>
            </w:pPr>
          </w:p>
        </w:tc>
      </w:tr>
      <w:tr w:rsidR="00C26D0B" w:rsidRPr="00226892" w14:paraId="2BCE514E" w14:textId="77777777" w:rsidTr="00FE07F6">
        <w:trPr>
          <w:trHeight w:val="227"/>
        </w:trPr>
        <w:tc>
          <w:tcPr>
            <w:tcW w:w="2193" w:type="pct"/>
            <w:tcBorders>
              <w:top w:val="nil"/>
              <w:left w:val="nil"/>
              <w:bottom w:val="nil"/>
              <w:right w:val="nil"/>
            </w:tcBorders>
            <w:shd w:val="clear" w:color="auto" w:fill="auto"/>
            <w:vAlign w:val="bottom"/>
            <w:hideMark/>
          </w:tcPr>
          <w:p w14:paraId="7DB9AA41" w14:textId="5B7493E5" w:rsidR="00C26D0B" w:rsidRPr="00226892" w:rsidRDefault="00C26D0B" w:rsidP="008C7061">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K 31-12-</w:t>
            </w:r>
            <w:r w:rsidR="00FD3AC5" w:rsidRPr="00226892">
              <w:rPr>
                <w:rFonts w:ascii="Arial" w:eastAsia="Times New Roman" w:hAnsi="Arial" w:cs="Arial"/>
                <w:b/>
                <w:bCs/>
                <w:color w:val="000000"/>
                <w:sz w:val="18"/>
                <w:szCs w:val="18"/>
                <w:lang w:val="sk-SK" w:eastAsia="sk-SK"/>
              </w:rPr>
              <w:t>2018</w:t>
            </w:r>
          </w:p>
        </w:tc>
        <w:tc>
          <w:tcPr>
            <w:tcW w:w="895" w:type="pct"/>
            <w:tcBorders>
              <w:top w:val="nil"/>
              <w:left w:val="nil"/>
              <w:bottom w:val="nil"/>
              <w:right w:val="nil"/>
            </w:tcBorders>
            <w:shd w:val="clear" w:color="auto" w:fill="auto"/>
            <w:vAlign w:val="bottom"/>
          </w:tcPr>
          <w:p w14:paraId="6ED70880" w14:textId="77777777" w:rsidR="00C26D0B" w:rsidRPr="00226892" w:rsidRDefault="00C26D0B" w:rsidP="00FD21B8">
            <w:pPr>
              <w:jc w:val="right"/>
              <w:rPr>
                <w:rFonts w:ascii="Arial" w:eastAsia="Times New Roman" w:hAnsi="Arial" w:cs="Arial"/>
                <w:sz w:val="18"/>
                <w:szCs w:val="18"/>
                <w:lang w:val="sk-SK" w:eastAsia="sk-SK"/>
              </w:rPr>
            </w:pPr>
          </w:p>
        </w:tc>
        <w:tc>
          <w:tcPr>
            <w:tcW w:w="106" w:type="pct"/>
            <w:tcBorders>
              <w:top w:val="nil"/>
              <w:left w:val="nil"/>
              <w:bottom w:val="nil"/>
              <w:right w:val="nil"/>
            </w:tcBorders>
            <w:shd w:val="clear" w:color="auto" w:fill="auto"/>
            <w:vAlign w:val="bottom"/>
          </w:tcPr>
          <w:p w14:paraId="4A6DFF40" w14:textId="77777777" w:rsidR="00C26D0B" w:rsidRPr="00226892" w:rsidRDefault="00C26D0B" w:rsidP="00FD21B8">
            <w:pPr>
              <w:jc w:val="right"/>
              <w:rPr>
                <w:rFonts w:ascii="Arial" w:eastAsia="Times New Roman" w:hAnsi="Arial" w:cs="Arial"/>
                <w:sz w:val="18"/>
                <w:szCs w:val="18"/>
                <w:lang w:val="sk-SK" w:eastAsia="sk-SK"/>
              </w:rPr>
            </w:pPr>
          </w:p>
        </w:tc>
        <w:tc>
          <w:tcPr>
            <w:tcW w:w="865" w:type="pct"/>
            <w:tcBorders>
              <w:top w:val="nil"/>
              <w:left w:val="nil"/>
              <w:bottom w:val="nil"/>
              <w:right w:val="nil"/>
            </w:tcBorders>
            <w:shd w:val="clear" w:color="auto" w:fill="auto"/>
            <w:vAlign w:val="bottom"/>
          </w:tcPr>
          <w:p w14:paraId="78E611B0" w14:textId="77777777" w:rsidR="00C26D0B" w:rsidRPr="00226892" w:rsidRDefault="00C26D0B" w:rsidP="00FD21B8">
            <w:pPr>
              <w:jc w:val="right"/>
              <w:rPr>
                <w:rFonts w:ascii="Arial" w:eastAsia="Times New Roman" w:hAnsi="Arial" w:cs="Arial"/>
                <w:sz w:val="18"/>
                <w:szCs w:val="18"/>
                <w:lang w:val="sk-SK" w:eastAsia="sk-SK"/>
              </w:rPr>
            </w:pPr>
          </w:p>
        </w:tc>
        <w:tc>
          <w:tcPr>
            <w:tcW w:w="159" w:type="pct"/>
            <w:tcBorders>
              <w:top w:val="nil"/>
              <w:left w:val="nil"/>
              <w:bottom w:val="nil"/>
              <w:right w:val="nil"/>
            </w:tcBorders>
            <w:shd w:val="clear" w:color="auto" w:fill="auto"/>
            <w:vAlign w:val="bottom"/>
          </w:tcPr>
          <w:p w14:paraId="2D418C2B" w14:textId="77777777" w:rsidR="00C26D0B" w:rsidRPr="00226892" w:rsidRDefault="00C26D0B" w:rsidP="008C7061">
            <w:pPr>
              <w:rPr>
                <w:rFonts w:ascii="Arial" w:eastAsia="Times New Roman" w:hAnsi="Arial" w:cs="Arial"/>
                <w:sz w:val="18"/>
                <w:szCs w:val="18"/>
                <w:lang w:val="sk-SK" w:eastAsia="sk-SK"/>
              </w:rPr>
            </w:pPr>
          </w:p>
        </w:tc>
        <w:tc>
          <w:tcPr>
            <w:tcW w:w="782" w:type="pct"/>
            <w:tcBorders>
              <w:top w:val="nil"/>
              <w:left w:val="nil"/>
              <w:bottom w:val="nil"/>
              <w:right w:val="nil"/>
            </w:tcBorders>
            <w:shd w:val="clear" w:color="auto" w:fill="auto"/>
            <w:vAlign w:val="bottom"/>
          </w:tcPr>
          <w:p w14:paraId="46AB1195" w14:textId="77777777" w:rsidR="00C26D0B" w:rsidRPr="00226892" w:rsidRDefault="00C26D0B" w:rsidP="00FD21B8">
            <w:pPr>
              <w:jc w:val="right"/>
              <w:rPr>
                <w:rFonts w:ascii="Arial" w:eastAsia="Times New Roman" w:hAnsi="Arial" w:cs="Arial"/>
                <w:sz w:val="18"/>
                <w:szCs w:val="18"/>
                <w:lang w:val="sk-SK" w:eastAsia="sk-SK"/>
              </w:rPr>
            </w:pPr>
          </w:p>
        </w:tc>
      </w:tr>
      <w:tr w:rsidR="00C26D0B" w:rsidRPr="00226892" w14:paraId="78FB6E8B" w14:textId="77777777" w:rsidTr="00FE07F6">
        <w:trPr>
          <w:trHeight w:val="227"/>
        </w:trPr>
        <w:tc>
          <w:tcPr>
            <w:tcW w:w="2193" w:type="pct"/>
            <w:tcBorders>
              <w:top w:val="nil"/>
              <w:left w:val="nil"/>
              <w:bottom w:val="nil"/>
              <w:right w:val="nil"/>
            </w:tcBorders>
            <w:shd w:val="clear" w:color="auto" w:fill="auto"/>
            <w:vAlign w:val="bottom"/>
            <w:hideMark/>
          </w:tcPr>
          <w:p w14:paraId="2511DE73" w14:textId="77777777" w:rsidR="00C26D0B" w:rsidRPr="00226892" w:rsidRDefault="00C26D0B" w:rsidP="008C706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Obstarávacia cena</w:t>
            </w:r>
          </w:p>
        </w:tc>
        <w:tc>
          <w:tcPr>
            <w:tcW w:w="895" w:type="pct"/>
            <w:tcBorders>
              <w:top w:val="nil"/>
              <w:left w:val="nil"/>
              <w:bottom w:val="nil"/>
              <w:right w:val="nil"/>
            </w:tcBorders>
            <w:shd w:val="clear" w:color="auto" w:fill="auto"/>
            <w:vAlign w:val="bottom"/>
          </w:tcPr>
          <w:p w14:paraId="593A5849" w14:textId="225A9E3F" w:rsidR="00C26D0B" w:rsidRPr="00226892" w:rsidRDefault="00914225"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1 777</w:t>
            </w:r>
          </w:p>
        </w:tc>
        <w:tc>
          <w:tcPr>
            <w:tcW w:w="106" w:type="pct"/>
            <w:tcBorders>
              <w:top w:val="nil"/>
              <w:left w:val="nil"/>
              <w:bottom w:val="nil"/>
              <w:right w:val="nil"/>
            </w:tcBorders>
            <w:shd w:val="clear" w:color="auto" w:fill="auto"/>
            <w:vAlign w:val="bottom"/>
          </w:tcPr>
          <w:p w14:paraId="2E59D491" w14:textId="77777777" w:rsidR="00C26D0B" w:rsidRPr="00226892" w:rsidRDefault="00C26D0B" w:rsidP="00FD21B8">
            <w:pPr>
              <w:jc w:val="right"/>
              <w:rPr>
                <w:rFonts w:ascii="Arial" w:eastAsia="Times New Roman" w:hAnsi="Arial" w:cs="Arial"/>
                <w:color w:val="000000"/>
                <w:sz w:val="18"/>
                <w:szCs w:val="18"/>
                <w:lang w:val="sk-SK" w:eastAsia="sk-SK"/>
              </w:rPr>
            </w:pPr>
          </w:p>
        </w:tc>
        <w:tc>
          <w:tcPr>
            <w:tcW w:w="865" w:type="pct"/>
            <w:tcBorders>
              <w:top w:val="nil"/>
              <w:left w:val="nil"/>
              <w:bottom w:val="nil"/>
              <w:right w:val="nil"/>
            </w:tcBorders>
            <w:shd w:val="clear" w:color="auto" w:fill="auto"/>
            <w:vAlign w:val="bottom"/>
          </w:tcPr>
          <w:p w14:paraId="473C95AB" w14:textId="09759980" w:rsidR="00C26D0B" w:rsidRPr="00226892" w:rsidRDefault="00914225"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52</w:t>
            </w:r>
          </w:p>
        </w:tc>
        <w:tc>
          <w:tcPr>
            <w:tcW w:w="159" w:type="pct"/>
            <w:tcBorders>
              <w:top w:val="nil"/>
              <w:left w:val="nil"/>
              <w:bottom w:val="nil"/>
              <w:right w:val="nil"/>
            </w:tcBorders>
            <w:shd w:val="clear" w:color="auto" w:fill="auto"/>
            <w:vAlign w:val="bottom"/>
          </w:tcPr>
          <w:p w14:paraId="7A469689" w14:textId="77777777" w:rsidR="00C26D0B" w:rsidRPr="00226892" w:rsidRDefault="00C26D0B" w:rsidP="008C7061">
            <w:pPr>
              <w:rPr>
                <w:rFonts w:ascii="Arial" w:eastAsia="Times New Roman" w:hAnsi="Arial" w:cs="Arial"/>
                <w:color w:val="000000"/>
                <w:sz w:val="18"/>
                <w:szCs w:val="18"/>
                <w:lang w:val="sk-SK" w:eastAsia="sk-SK"/>
              </w:rPr>
            </w:pPr>
          </w:p>
        </w:tc>
        <w:tc>
          <w:tcPr>
            <w:tcW w:w="782" w:type="pct"/>
            <w:tcBorders>
              <w:top w:val="nil"/>
              <w:left w:val="nil"/>
              <w:bottom w:val="nil"/>
              <w:right w:val="nil"/>
            </w:tcBorders>
            <w:shd w:val="clear" w:color="auto" w:fill="auto"/>
            <w:vAlign w:val="bottom"/>
          </w:tcPr>
          <w:p w14:paraId="010A08AC" w14:textId="7F8E8954" w:rsidR="00C26D0B" w:rsidRPr="00226892" w:rsidRDefault="00914225"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1 829</w:t>
            </w:r>
          </w:p>
        </w:tc>
      </w:tr>
      <w:tr w:rsidR="00C26D0B" w:rsidRPr="00226892" w14:paraId="64DC9AA7" w14:textId="77777777" w:rsidTr="00FE07F6">
        <w:trPr>
          <w:trHeight w:val="227"/>
        </w:trPr>
        <w:tc>
          <w:tcPr>
            <w:tcW w:w="2193" w:type="pct"/>
            <w:tcBorders>
              <w:top w:val="nil"/>
              <w:left w:val="nil"/>
              <w:bottom w:val="nil"/>
              <w:right w:val="nil"/>
            </w:tcBorders>
            <w:shd w:val="clear" w:color="auto" w:fill="auto"/>
            <w:vAlign w:val="bottom"/>
          </w:tcPr>
          <w:p w14:paraId="3F612BCE" w14:textId="48F87647" w:rsidR="00C26D0B" w:rsidRPr="00226892" w:rsidRDefault="007172D7" w:rsidP="008C706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Oprávky</w:t>
            </w:r>
          </w:p>
        </w:tc>
        <w:tc>
          <w:tcPr>
            <w:tcW w:w="895" w:type="pct"/>
            <w:tcBorders>
              <w:top w:val="nil"/>
              <w:left w:val="nil"/>
              <w:bottom w:val="nil"/>
              <w:right w:val="nil"/>
            </w:tcBorders>
            <w:shd w:val="clear" w:color="auto" w:fill="auto"/>
            <w:vAlign w:val="bottom"/>
          </w:tcPr>
          <w:p w14:paraId="0E9B7FEB" w14:textId="1A3766CF" w:rsidR="00C26D0B" w:rsidRPr="00226892" w:rsidRDefault="00914225"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-1 393</w:t>
            </w:r>
          </w:p>
        </w:tc>
        <w:tc>
          <w:tcPr>
            <w:tcW w:w="106" w:type="pct"/>
            <w:tcBorders>
              <w:top w:val="nil"/>
              <w:left w:val="nil"/>
              <w:bottom w:val="nil"/>
              <w:right w:val="nil"/>
            </w:tcBorders>
            <w:shd w:val="clear" w:color="auto" w:fill="auto"/>
            <w:vAlign w:val="bottom"/>
          </w:tcPr>
          <w:p w14:paraId="7E87030E" w14:textId="77777777" w:rsidR="00C26D0B" w:rsidRPr="00226892" w:rsidRDefault="00C26D0B" w:rsidP="00FD21B8">
            <w:pPr>
              <w:jc w:val="right"/>
              <w:rPr>
                <w:rFonts w:ascii="Arial" w:eastAsia="Times New Roman" w:hAnsi="Arial" w:cs="Arial"/>
                <w:color w:val="000000"/>
                <w:sz w:val="18"/>
                <w:szCs w:val="18"/>
                <w:lang w:val="sk-SK" w:eastAsia="sk-SK"/>
              </w:rPr>
            </w:pPr>
          </w:p>
        </w:tc>
        <w:tc>
          <w:tcPr>
            <w:tcW w:w="865" w:type="pct"/>
            <w:tcBorders>
              <w:top w:val="nil"/>
              <w:left w:val="nil"/>
              <w:bottom w:val="nil"/>
              <w:right w:val="nil"/>
            </w:tcBorders>
            <w:shd w:val="clear" w:color="auto" w:fill="auto"/>
            <w:vAlign w:val="bottom"/>
          </w:tcPr>
          <w:p w14:paraId="1C8D2221" w14:textId="5A6FE073" w:rsidR="00C26D0B" w:rsidRPr="00226892" w:rsidRDefault="00914225" w:rsidP="00FD21B8">
            <w:pPr>
              <w:jc w:val="right"/>
              <w:rPr>
                <w:rFonts w:ascii="Arial" w:hAnsi="Arial" w:cs="Arial"/>
                <w:color w:val="000000"/>
                <w:sz w:val="18"/>
                <w:szCs w:val="18"/>
                <w:lang w:val="sk-SK" w:eastAsia="sk-SK"/>
              </w:rPr>
            </w:pPr>
            <w:r w:rsidRPr="00226892">
              <w:rPr>
                <w:rFonts w:ascii="Arial" w:hAnsi="Arial" w:cs="Arial"/>
                <w:color w:val="000000"/>
                <w:sz w:val="18"/>
                <w:szCs w:val="18"/>
                <w:lang w:val="sk-SK" w:eastAsia="sk-SK"/>
              </w:rPr>
              <w:t>-</w:t>
            </w:r>
          </w:p>
        </w:tc>
        <w:tc>
          <w:tcPr>
            <w:tcW w:w="159" w:type="pct"/>
            <w:tcBorders>
              <w:top w:val="nil"/>
              <w:left w:val="nil"/>
              <w:bottom w:val="nil"/>
              <w:right w:val="nil"/>
            </w:tcBorders>
            <w:shd w:val="clear" w:color="auto" w:fill="auto"/>
            <w:vAlign w:val="bottom"/>
          </w:tcPr>
          <w:p w14:paraId="6D631125" w14:textId="77777777" w:rsidR="00C26D0B" w:rsidRPr="00226892" w:rsidRDefault="00C26D0B" w:rsidP="008C7061">
            <w:pPr>
              <w:rPr>
                <w:rFonts w:ascii="Arial" w:eastAsia="Times New Roman" w:hAnsi="Arial" w:cs="Arial"/>
                <w:color w:val="000000"/>
                <w:sz w:val="18"/>
                <w:szCs w:val="18"/>
                <w:lang w:val="sk-SK" w:eastAsia="sk-SK"/>
              </w:rPr>
            </w:pPr>
          </w:p>
        </w:tc>
        <w:tc>
          <w:tcPr>
            <w:tcW w:w="782" w:type="pct"/>
            <w:tcBorders>
              <w:top w:val="nil"/>
              <w:left w:val="nil"/>
              <w:bottom w:val="nil"/>
              <w:right w:val="nil"/>
            </w:tcBorders>
            <w:shd w:val="clear" w:color="auto" w:fill="auto"/>
            <w:vAlign w:val="bottom"/>
          </w:tcPr>
          <w:p w14:paraId="0C95AB63" w14:textId="11028009" w:rsidR="00C26D0B" w:rsidRPr="00226892" w:rsidRDefault="00914225" w:rsidP="00FD21B8">
            <w:pPr>
              <w:pStyle w:val="Odsekzoznamu"/>
              <w:jc w:val="right"/>
              <w:rPr>
                <w:rFonts w:ascii="Arial" w:hAnsi="Arial" w:cs="Arial"/>
                <w:color w:val="000000"/>
                <w:sz w:val="18"/>
                <w:szCs w:val="18"/>
                <w:lang w:val="sk-SK" w:eastAsia="sk-SK"/>
              </w:rPr>
            </w:pPr>
            <w:r w:rsidRPr="00226892">
              <w:rPr>
                <w:rFonts w:ascii="Arial" w:hAnsi="Arial" w:cs="Arial"/>
                <w:color w:val="000000"/>
                <w:sz w:val="18"/>
                <w:szCs w:val="18"/>
                <w:lang w:val="sk-SK" w:eastAsia="sk-SK"/>
              </w:rPr>
              <w:t>-1 393</w:t>
            </w:r>
          </w:p>
        </w:tc>
      </w:tr>
      <w:tr w:rsidR="00C26D0B" w:rsidRPr="00226892" w14:paraId="16BA5174" w14:textId="77777777" w:rsidTr="00FE07F6">
        <w:trPr>
          <w:trHeight w:val="227"/>
        </w:trPr>
        <w:tc>
          <w:tcPr>
            <w:tcW w:w="2193" w:type="pct"/>
            <w:tcBorders>
              <w:top w:val="nil"/>
              <w:left w:val="nil"/>
              <w:bottom w:val="nil"/>
              <w:right w:val="nil"/>
            </w:tcBorders>
            <w:shd w:val="clear" w:color="auto" w:fill="auto"/>
            <w:vAlign w:val="bottom"/>
            <w:hideMark/>
          </w:tcPr>
          <w:p w14:paraId="70685385" w14:textId="77777777" w:rsidR="00C26D0B" w:rsidRPr="00226892" w:rsidRDefault="00C26D0B" w:rsidP="008C7061">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Zostatková hodnota </w:t>
            </w:r>
          </w:p>
        </w:tc>
        <w:tc>
          <w:tcPr>
            <w:tcW w:w="895" w:type="pct"/>
            <w:tcBorders>
              <w:top w:val="single" w:sz="4" w:space="0" w:color="auto"/>
              <w:left w:val="nil"/>
              <w:bottom w:val="double" w:sz="6" w:space="0" w:color="auto"/>
              <w:right w:val="nil"/>
            </w:tcBorders>
            <w:shd w:val="clear" w:color="auto" w:fill="auto"/>
            <w:vAlign w:val="bottom"/>
          </w:tcPr>
          <w:p w14:paraId="0DF75CEE" w14:textId="27F68E19" w:rsidR="00C26D0B" w:rsidRPr="00226892" w:rsidRDefault="00914225" w:rsidP="00FD21B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384</w:t>
            </w:r>
          </w:p>
        </w:tc>
        <w:tc>
          <w:tcPr>
            <w:tcW w:w="106" w:type="pct"/>
            <w:tcBorders>
              <w:top w:val="nil"/>
              <w:left w:val="nil"/>
              <w:bottom w:val="nil"/>
              <w:right w:val="nil"/>
            </w:tcBorders>
            <w:shd w:val="clear" w:color="auto" w:fill="auto"/>
            <w:vAlign w:val="bottom"/>
          </w:tcPr>
          <w:p w14:paraId="65B4BFBF" w14:textId="77777777" w:rsidR="00C26D0B" w:rsidRPr="00226892" w:rsidRDefault="00C26D0B" w:rsidP="00FD21B8">
            <w:pPr>
              <w:jc w:val="right"/>
              <w:rPr>
                <w:rFonts w:ascii="Arial" w:eastAsia="Times New Roman" w:hAnsi="Arial" w:cs="Arial"/>
                <w:b/>
                <w:bCs/>
                <w:color w:val="000000"/>
                <w:sz w:val="18"/>
                <w:szCs w:val="18"/>
                <w:lang w:val="sk-SK" w:eastAsia="sk-SK"/>
              </w:rPr>
            </w:pPr>
          </w:p>
        </w:tc>
        <w:tc>
          <w:tcPr>
            <w:tcW w:w="865" w:type="pct"/>
            <w:tcBorders>
              <w:top w:val="single" w:sz="4" w:space="0" w:color="auto"/>
              <w:left w:val="nil"/>
              <w:bottom w:val="double" w:sz="6" w:space="0" w:color="auto"/>
              <w:right w:val="nil"/>
            </w:tcBorders>
            <w:shd w:val="clear" w:color="auto" w:fill="auto"/>
            <w:vAlign w:val="bottom"/>
          </w:tcPr>
          <w:p w14:paraId="622CDF72" w14:textId="38B60ABB" w:rsidR="00C26D0B" w:rsidRPr="00226892" w:rsidRDefault="00914225" w:rsidP="00FD21B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52</w:t>
            </w:r>
          </w:p>
        </w:tc>
        <w:tc>
          <w:tcPr>
            <w:tcW w:w="159" w:type="pct"/>
            <w:tcBorders>
              <w:top w:val="nil"/>
              <w:left w:val="nil"/>
              <w:bottom w:val="nil"/>
              <w:right w:val="nil"/>
            </w:tcBorders>
            <w:shd w:val="clear" w:color="auto" w:fill="auto"/>
            <w:vAlign w:val="bottom"/>
          </w:tcPr>
          <w:p w14:paraId="6E85092E" w14:textId="77777777" w:rsidR="00C26D0B" w:rsidRPr="00226892" w:rsidRDefault="00C26D0B" w:rsidP="008C7061">
            <w:pPr>
              <w:rPr>
                <w:rFonts w:ascii="Arial" w:eastAsia="Times New Roman" w:hAnsi="Arial" w:cs="Arial"/>
                <w:b/>
                <w:bCs/>
                <w:color w:val="000000"/>
                <w:sz w:val="18"/>
                <w:szCs w:val="18"/>
                <w:lang w:val="sk-SK" w:eastAsia="sk-SK"/>
              </w:rPr>
            </w:pPr>
          </w:p>
        </w:tc>
        <w:tc>
          <w:tcPr>
            <w:tcW w:w="782" w:type="pct"/>
            <w:tcBorders>
              <w:top w:val="single" w:sz="4" w:space="0" w:color="auto"/>
              <w:left w:val="nil"/>
              <w:bottom w:val="double" w:sz="6" w:space="0" w:color="auto"/>
              <w:right w:val="nil"/>
            </w:tcBorders>
            <w:shd w:val="clear" w:color="auto" w:fill="auto"/>
            <w:vAlign w:val="bottom"/>
          </w:tcPr>
          <w:p w14:paraId="00BE11B7" w14:textId="3AC683DF" w:rsidR="00C26D0B" w:rsidRPr="00226892" w:rsidRDefault="00914225" w:rsidP="00FD21B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436</w:t>
            </w:r>
          </w:p>
        </w:tc>
      </w:tr>
    </w:tbl>
    <w:p w14:paraId="0AEE70FD" w14:textId="5E1634E2" w:rsidR="00F7521A" w:rsidRPr="00226892" w:rsidRDefault="00F7521A" w:rsidP="008C7061">
      <w:pPr>
        <w:suppressAutoHyphens/>
        <w:jc w:val="both"/>
        <w:rPr>
          <w:rFonts w:ascii="Arial" w:hAnsi="Arial" w:cs="Arial"/>
          <w:lang w:val="sk-SK"/>
        </w:rPr>
      </w:pPr>
      <w:r w:rsidRPr="00226892">
        <w:rPr>
          <w:rFonts w:ascii="Arial" w:hAnsi="Arial" w:cs="Arial"/>
          <w:lang w:val="sk-SK"/>
        </w:rPr>
        <w:t xml:space="preserve"> </w:t>
      </w:r>
      <w:bookmarkEnd w:id="321"/>
      <w:r w:rsidRPr="00226892">
        <w:rPr>
          <w:rFonts w:ascii="Arial" w:hAnsi="Arial" w:cs="Arial"/>
          <w:lang w:val="sk-SK"/>
        </w:rPr>
        <w:t xml:space="preserve"> </w:t>
      </w:r>
    </w:p>
    <w:p w14:paraId="5586BC97" w14:textId="5FF5598C" w:rsidR="00415C82" w:rsidRPr="00226892" w:rsidRDefault="00415C82" w:rsidP="00FE07F6">
      <w:pPr>
        <w:suppressAutoHyphens/>
        <w:jc w:val="both"/>
        <w:rPr>
          <w:rFonts w:ascii="Arial" w:hAnsi="Arial" w:cs="Arial"/>
          <w:lang w:val="sk-SK"/>
        </w:rPr>
      </w:pPr>
      <w:r w:rsidRPr="00226892">
        <w:rPr>
          <w:rFonts w:ascii="Arial" w:hAnsi="Arial" w:cs="Arial"/>
          <w:lang w:val="sk-SK"/>
        </w:rPr>
        <w:t xml:space="preserve">K 31. decembru </w:t>
      </w:r>
      <w:r w:rsidR="00FD3AC5" w:rsidRPr="00226892">
        <w:rPr>
          <w:rFonts w:ascii="Arial" w:hAnsi="Arial" w:cs="Arial"/>
          <w:lang w:val="sk-SK"/>
        </w:rPr>
        <w:t>2018</w:t>
      </w:r>
      <w:r w:rsidR="007E11DC" w:rsidRPr="00226892">
        <w:rPr>
          <w:rFonts w:ascii="Arial" w:hAnsi="Arial" w:cs="Arial"/>
          <w:lang w:val="sk-SK"/>
        </w:rPr>
        <w:t xml:space="preserve"> </w:t>
      </w:r>
      <w:r w:rsidRPr="00226892">
        <w:rPr>
          <w:rFonts w:ascii="Arial" w:hAnsi="Arial" w:cs="Arial"/>
          <w:lang w:val="sk-SK"/>
        </w:rPr>
        <w:t xml:space="preserve">a 31. decembru </w:t>
      </w:r>
      <w:r w:rsidR="00F63A77" w:rsidRPr="00226892">
        <w:rPr>
          <w:rFonts w:ascii="Arial" w:hAnsi="Arial" w:cs="Arial"/>
          <w:lang w:val="sk-SK"/>
        </w:rPr>
        <w:t>2017</w:t>
      </w:r>
      <w:r w:rsidR="007E11DC" w:rsidRPr="00226892">
        <w:rPr>
          <w:rFonts w:ascii="Arial" w:hAnsi="Arial" w:cs="Arial"/>
          <w:lang w:val="sk-SK"/>
        </w:rPr>
        <w:t xml:space="preserve"> </w:t>
      </w:r>
      <w:r w:rsidRPr="00226892">
        <w:rPr>
          <w:rFonts w:ascii="Arial" w:hAnsi="Arial" w:cs="Arial"/>
          <w:lang w:val="sk-SK"/>
        </w:rPr>
        <w:t>Skupina nemala obmedzené právo nakladať s dlhodobým nehmotným majetkom a nepoužívala ho na ručenie za svoje záväzky.</w:t>
      </w:r>
    </w:p>
    <w:p w14:paraId="2CFDBF5A" w14:textId="77777777" w:rsidR="00AF2D3B" w:rsidRPr="00226892" w:rsidRDefault="00AF2D3B" w:rsidP="00FE07F6">
      <w:pPr>
        <w:suppressAutoHyphens/>
        <w:jc w:val="both"/>
        <w:rPr>
          <w:rFonts w:ascii="Arial" w:hAnsi="Arial" w:cs="Arial"/>
          <w:sz w:val="16"/>
          <w:szCs w:val="16"/>
          <w:lang w:val="sk-SK"/>
        </w:rPr>
      </w:pPr>
    </w:p>
    <w:p w14:paraId="1DE3754F" w14:textId="77777777" w:rsidR="00A40D48" w:rsidRPr="00226892" w:rsidRDefault="00A40D48" w:rsidP="000D75E7">
      <w:pPr>
        <w:jc w:val="both"/>
        <w:rPr>
          <w:rFonts w:ascii="Arial" w:hAnsi="Arial" w:cs="Arial"/>
          <w:sz w:val="18"/>
          <w:szCs w:val="18"/>
          <w:lang w:val="sk-SK"/>
        </w:rPr>
        <w:sectPr w:rsidR="00A40D48" w:rsidRPr="00226892" w:rsidSect="00265134">
          <w:headerReference w:type="even" r:id="rId23"/>
          <w:headerReference w:type="default" r:id="rId24"/>
          <w:headerReference w:type="first" r:id="rId25"/>
          <w:pgSz w:w="11907" w:h="16840" w:code="9"/>
          <w:pgMar w:top="1134" w:right="1134" w:bottom="1134" w:left="1134" w:header="709" w:footer="709" w:gutter="0"/>
          <w:cols w:space="708"/>
          <w:docGrid w:linePitch="272"/>
        </w:sectPr>
      </w:pPr>
    </w:p>
    <w:p w14:paraId="6A5F8D1C" w14:textId="7FEA048A" w:rsidR="00415C82" w:rsidRPr="00226892" w:rsidRDefault="00415C82" w:rsidP="003578C0">
      <w:pPr>
        <w:pStyle w:val="Nadpis3"/>
        <w:keepNext w:val="0"/>
        <w:widowControl/>
        <w:numPr>
          <w:ilvl w:val="0"/>
          <w:numId w:val="34"/>
        </w:numPr>
        <w:tabs>
          <w:tab w:val="clear" w:pos="1069"/>
          <w:tab w:val="num" w:pos="392"/>
        </w:tabs>
        <w:suppressAutoHyphens/>
        <w:ind w:left="1077" w:hanging="1077"/>
        <w:rPr>
          <w:rFonts w:ascii="Arial" w:hAnsi="Arial" w:cs="Arial"/>
          <w:sz w:val="20"/>
        </w:rPr>
      </w:pPr>
      <w:bookmarkStart w:id="323" w:name="_Toc422151022"/>
      <w:bookmarkStart w:id="324" w:name="_Toc422151023"/>
      <w:bookmarkStart w:id="325" w:name="_Toc326330696"/>
      <w:bookmarkStart w:id="326" w:name="_Toc327260917"/>
      <w:bookmarkStart w:id="327" w:name="_Toc327263392"/>
      <w:bookmarkStart w:id="328" w:name="_Toc327953467"/>
      <w:bookmarkStart w:id="329" w:name="_Toc325985796"/>
      <w:bookmarkStart w:id="330" w:name="_Toc387812498"/>
      <w:bookmarkStart w:id="331" w:name="_Toc27409996"/>
      <w:bookmarkEnd w:id="323"/>
      <w:bookmarkEnd w:id="324"/>
      <w:bookmarkEnd w:id="325"/>
      <w:bookmarkEnd w:id="326"/>
      <w:bookmarkEnd w:id="327"/>
      <w:bookmarkEnd w:id="328"/>
      <w:proofErr w:type="spellStart"/>
      <w:r w:rsidRPr="00226892">
        <w:rPr>
          <w:rFonts w:ascii="Arial" w:hAnsi="Arial" w:cs="Arial"/>
          <w:sz w:val="20"/>
        </w:rPr>
        <w:lastRenderedPageBreak/>
        <w:t>Dlhodobý</w:t>
      </w:r>
      <w:proofErr w:type="spellEnd"/>
      <w:r w:rsidRPr="00226892">
        <w:rPr>
          <w:rFonts w:ascii="Arial" w:hAnsi="Arial" w:cs="Arial"/>
          <w:sz w:val="20"/>
        </w:rPr>
        <w:t xml:space="preserve"> </w:t>
      </w:r>
      <w:proofErr w:type="spellStart"/>
      <w:r w:rsidRPr="00226892">
        <w:rPr>
          <w:rFonts w:ascii="Arial" w:hAnsi="Arial" w:cs="Arial"/>
          <w:sz w:val="20"/>
        </w:rPr>
        <w:t>hmotný</w:t>
      </w:r>
      <w:proofErr w:type="spellEnd"/>
      <w:r w:rsidRPr="00226892">
        <w:rPr>
          <w:rFonts w:ascii="Arial" w:hAnsi="Arial" w:cs="Arial"/>
          <w:sz w:val="20"/>
        </w:rPr>
        <w:t xml:space="preserve"> </w:t>
      </w:r>
      <w:proofErr w:type="spellStart"/>
      <w:r w:rsidRPr="00226892">
        <w:rPr>
          <w:rFonts w:ascii="Arial" w:hAnsi="Arial" w:cs="Arial"/>
          <w:sz w:val="20"/>
        </w:rPr>
        <w:t>majetok</w:t>
      </w:r>
      <w:bookmarkEnd w:id="329"/>
      <w:bookmarkEnd w:id="330"/>
      <w:bookmarkEnd w:id="331"/>
      <w:proofErr w:type="spellEnd"/>
    </w:p>
    <w:p w14:paraId="5C466C2A" w14:textId="77777777" w:rsidR="0009499B" w:rsidRPr="00226892" w:rsidRDefault="00092119" w:rsidP="0009499B">
      <w:pPr>
        <w:rPr>
          <w:rFonts w:ascii="Arial" w:hAnsi="Arial" w:cs="Arial"/>
        </w:rPr>
      </w:pPr>
      <w:bookmarkStart w:id="332" w:name="FWT_PPE_PY"/>
      <w:r w:rsidRPr="00226892">
        <w:rPr>
          <w:rFonts w:ascii="Arial" w:hAnsi="Arial" w:cs="Arial"/>
        </w:rPr>
        <w:t xml:space="preserve"> </w:t>
      </w:r>
    </w:p>
    <w:tbl>
      <w:tblPr>
        <w:tblW w:w="14600" w:type="dxa"/>
        <w:tblCellMar>
          <w:left w:w="70" w:type="dxa"/>
          <w:right w:w="70" w:type="dxa"/>
        </w:tblCellMar>
        <w:tblLook w:val="04A0" w:firstRow="1" w:lastRow="0" w:firstColumn="1" w:lastColumn="0" w:noHBand="0" w:noVBand="1"/>
      </w:tblPr>
      <w:tblGrid>
        <w:gridCol w:w="4914"/>
        <w:gridCol w:w="196"/>
        <w:gridCol w:w="1819"/>
        <w:gridCol w:w="210"/>
        <w:gridCol w:w="1806"/>
        <w:gridCol w:w="224"/>
        <w:gridCol w:w="1750"/>
        <w:gridCol w:w="196"/>
        <w:gridCol w:w="1710"/>
        <w:gridCol w:w="194"/>
        <w:gridCol w:w="1581"/>
      </w:tblGrid>
      <w:tr w:rsidR="0009499B" w:rsidRPr="00226892" w14:paraId="0276DD7A" w14:textId="77777777" w:rsidTr="006836EB">
        <w:trPr>
          <w:trHeight w:val="227"/>
        </w:trPr>
        <w:tc>
          <w:tcPr>
            <w:tcW w:w="4914" w:type="dxa"/>
            <w:tcBorders>
              <w:top w:val="nil"/>
              <w:left w:val="nil"/>
              <w:bottom w:val="single" w:sz="4" w:space="0" w:color="auto"/>
              <w:right w:val="nil"/>
            </w:tcBorders>
            <w:shd w:val="clear" w:color="auto" w:fill="auto"/>
            <w:vAlign w:val="bottom"/>
            <w:hideMark/>
          </w:tcPr>
          <w:p w14:paraId="14B080B8" w14:textId="77777777" w:rsidR="0009499B" w:rsidRPr="00226892" w:rsidRDefault="0009499B" w:rsidP="0009499B">
            <w:pPr>
              <w:rPr>
                <w:rFonts w:ascii="Arial" w:eastAsia="Times New Roman" w:hAnsi="Arial" w:cs="Arial"/>
                <w:color w:val="000000"/>
                <w:sz w:val="18"/>
                <w:szCs w:val="18"/>
                <w:lang w:val="sk-SK" w:eastAsia="sk-SK"/>
              </w:rPr>
            </w:pPr>
            <w:bookmarkStart w:id="333" w:name="RANGE!C4:M25"/>
            <w:r w:rsidRPr="00226892">
              <w:rPr>
                <w:rFonts w:ascii="Arial" w:eastAsia="Times New Roman" w:hAnsi="Arial" w:cs="Arial"/>
                <w:color w:val="000000"/>
                <w:sz w:val="18"/>
                <w:szCs w:val="18"/>
                <w:lang w:val="sk-SK" w:eastAsia="sk-SK"/>
              </w:rPr>
              <w:t> </w:t>
            </w:r>
            <w:bookmarkEnd w:id="333"/>
          </w:p>
        </w:tc>
        <w:tc>
          <w:tcPr>
            <w:tcW w:w="196" w:type="dxa"/>
            <w:tcBorders>
              <w:top w:val="nil"/>
              <w:left w:val="nil"/>
              <w:bottom w:val="single" w:sz="4" w:space="0" w:color="auto"/>
              <w:right w:val="nil"/>
            </w:tcBorders>
            <w:shd w:val="clear" w:color="auto" w:fill="auto"/>
            <w:vAlign w:val="bottom"/>
            <w:hideMark/>
          </w:tcPr>
          <w:p w14:paraId="5246D72D" w14:textId="77777777" w:rsidR="0009499B" w:rsidRPr="00226892" w:rsidRDefault="0009499B" w:rsidP="0009499B">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819" w:type="dxa"/>
            <w:tcBorders>
              <w:top w:val="nil"/>
              <w:left w:val="nil"/>
              <w:bottom w:val="single" w:sz="4" w:space="0" w:color="auto"/>
              <w:right w:val="nil"/>
            </w:tcBorders>
            <w:shd w:val="clear" w:color="auto" w:fill="auto"/>
            <w:vAlign w:val="bottom"/>
            <w:hideMark/>
          </w:tcPr>
          <w:p w14:paraId="02B9CC5E" w14:textId="4E35603B" w:rsidR="0009499B" w:rsidRPr="00226892" w:rsidRDefault="0009499B" w:rsidP="006836EB">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Pozemky</w:t>
            </w:r>
          </w:p>
        </w:tc>
        <w:tc>
          <w:tcPr>
            <w:tcW w:w="210" w:type="dxa"/>
            <w:tcBorders>
              <w:top w:val="nil"/>
              <w:left w:val="nil"/>
              <w:bottom w:val="single" w:sz="4" w:space="0" w:color="auto"/>
              <w:right w:val="nil"/>
            </w:tcBorders>
            <w:shd w:val="clear" w:color="auto" w:fill="auto"/>
            <w:vAlign w:val="bottom"/>
            <w:hideMark/>
          </w:tcPr>
          <w:p w14:paraId="2CE1DEA8" w14:textId="70B9A55A" w:rsidR="0009499B" w:rsidRPr="00226892" w:rsidRDefault="0009499B" w:rsidP="006836EB">
            <w:pPr>
              <w:jc w:val="center"/>
              <w:rPr>
                <w:rFonts w:ascii="Arial" w:eastAsia="Times New Roman" w:hAnsi="Arial" w:cs="Arial"/>
                <w:b/>
                <w:bCs/>
                <w:color w:val="000000"/>
                <w:sz w:val="18"/>
                <w:szCs w:val="18"/>
                <w:lang w:val="sk-SK" w:eastAsia="sk-SK"/>
              </w:rPr>
            </w:pPr>
          </w:p>
        </w:tc>
        <w:tc>
          <w:tcPr>
            <w:tcW w:w="1806" w:type="dxa"/>
            <w:tcBorders>
              <w:top w:val="nil"/>
              <w:left w:val="nil"/>
              <w:bottom w:val="single" w:sz="4" w:space="0" w:color="auto"/>
              <w:right w:val="nil"/>
            </w:tcBorders>
            <w:shd w:val="clear" w:color="auto" w:fill="auto"/>
            <w:vAlign w:val="bottom"/>
            <w:hideMark/>
          </w:tcPr>
          <w:p w14:paraId="7027A8D3" w14:textId="1D095972" w:rsidR="0009499B" w:rsidRPr="00226892" w:rsidRDefault="0009499B" w:rsidP="006836EB">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Budovy</w:t>
            </w:r>
          </w:p>
        </w:tc>
        <w:tc>
          <w:tcPr>
            <w:tcW w:w="224" w:type="dxa"/>
            <w:tcBorders>
              <w:top w:val="nil"/>
              <w:left w:val="nil"/>
              <w:bottom w:val="single" w:sz="4" w:space="0" w:color="auto"/>
              <w:right w:val="nil"/>
            </w:tcBorders>
            <w:shd w:val="clear" w:color="auto" w:fill="auto"/>
            <w:vAlign w:val="bottom"/>
            <w:hideMark/>
          </w:tcPr>
          <w:p w14:paraId="3C8496AC" w14:textId="0AB925B0" w:rsidR="0009499B" w:rsidRPr="00226892" w:rsidRDefault="0009499B" w:rsidP="006836EB">
            <w:pPr>
              <w:jc w:val="center"/>
              <w:rPr>
                <w:rFonts w:ascii="Arial" w:eastAsia="Times New Roman" w:hAnsi="Arial" w:cs="Arial"/>
                <w:b/>
                <w:bCs/>
                <w:color w:val="000000"/>
                <w:sz w:val="18"/>
                <w:szCs w:val="18"/>
                <w:lang w:val="sk-SK" w:eastAsia="sk-SK"/>
              </w:rPr>
            </w:pPr>
          </w:p>
        </w:tc>
        <w:tc>
          <w:tcPr>
            <w:tcW w:w="1750" w:type="dxa"/>
            <w:tcBorders>
              <w:top w:val="nil"/>
              <w:left w:val="nil"/>
              <w:bottom w:val="single" w:sz="4" w:space="0" w:color="auto"/>
              <w:right w:val="nil"/>
            </w:tcBorders>
            <w:shd w:val="clear" w:color="auto" w:fill="auto"/>
            <w:vAlign w:val="bottom"/>
            <w:hideMark/>
          </w:tcPr>
          <w:p w14:paraId="45950D3D" w14:textId="7BE7780C" w:rsidR="0009499B" w:rsidRPr="00226892" w:rsidRDefault="0009499B" w:rsidP="006836EB">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Stroje a zariadenia</w:t>
            </w:r>
          </w:p>
        </w:tc>
        <w:tc>
          <w:tcPr>
            <w:tcW w:w="196" w:type="dxa"/>
            <w:tcBorders>
              <w:top w:val="nil"/>
              <w:left w:val="nil"/>
              <w:bottom w:val="single" w:sz="4" w:space="0" w:color="auto"/>
              <w:right w:val="nil"/>
            </w:tcBorders>
            <w:shd w:val="clear" w:color="auto" w:fill="auto"/>
            <w:vAlign w:val="bottom"/>
            <w:hideMark/>
          </w:tcPr>
          <w:p w14:paraId="0229C551" w14:textId="79F55D84" w:rsidR="0009499B" w:rsidRPr="00226892" w:rsidRDefault="0009499B" w:rsidP="006836EB">
            <w:pPr>
              <w:jc w:val="center"/>
              <w:rPr>
                <w:rFonts w:ascii="Arial" w:eastAsia="Times New Roman" w:hAnsi="Arial" w:cs="Arial"/>
                <w:b/>
                <w:bCs/>
                <w:color w:val="000000"/>
                <w:sz w:val="18"/>
                <w:szCs w:val="18"/>
                <w:lang w:val="sk-SK" w:eastAsia="sk-SK"/>
              </w:rPr>
            </w:pPr>
          </w:p>
        </w:tc>
        <w:tc>
          <w:tcPr>
            <w:tcW w:w="1710" w:type="dxa"/>
            <w:tcBorders>
              <w:top w:val="nil"/>
              <w:left w:val="nil"/>
              <w:bottom w:val="single" w:sz="4" w:space="0" w:color="auto"/>
              <w:right w:val="nil"/>
            </w:tcBorders>
            <w:shd w:val="clear" w:color="auto" w:fill="auto"/>
            <w:vAlign w:val="bottom"/>
            <w:hideMark/>
          </w:tcPr>
          <w:p w14:paraId="178353F9" w14:textId="55118637" w:rsidR="0009499B" w:rsidRPr="00226892" w:rsidRDefault="0009499B" w:rsidP="006836EB">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Obstarávaný dlhodobý hmotný majetok</w:t>
            </w:r>
          </w:p>
        </w:tc>
        <w:tc>
          <w:tcPr>
            <w:tcW w:w="194" w:type="dxa"/>
            <w:tcBorders>
              <w:top w:val="nil"/>
              <w:left w:val="nil"/>
              <w:bottom w:val="single" w:sz="4" w:space="0" w:color="auto"/>
              <w:right w:val="nil"/>
            </w:tcBorders>
            <w:shd w:val="clear" w:color="auto" w:fill="auto"/>
            <w:vAlign w:val="bottom"/>
            <w:hideMark/>
          </w:tcPr>
          <w:p w14:paraId="24393CFF" w14:textId="1C56D029" w:rsidR="0009499B" w:rsidRPr="00226892" w:rsidRDefault="0009499B" w:rsidP="006836EB">
            <w:pPr>
              <w:jc w:val="center"/>
              <w:rPr>
                <w:rFonts w:ascii="Arial" w:eastAsia="Times New Roman" w:hAnsi="Arial" w:cs="Arial"/>
                <w:b/>
                <w:bCs/>
                <w:color w:val="000000"/>
                <w:sz w:val="18"/>
                <w:szCs w:val="18"/>
                <w:lang w:val="sk-SK" w:eastAsia="sk-SK"/>
              </w:rPr>
            </w:pPr>
          </w:p>
        </w:tc>
        <w:tc>
          <w:tcPr>
            <w:tcW w:w="1581" w:type="dxa"/>
            <w:tcBorders>
              <w:top w:val="nil"/>
              <w:left w:val="nil"/>
              <w:bottom w:val="single" w:sz="4" w:space="0" w:color="auto"/>
              <w:right w:val="nil"/>
            </w:tcBorders>
            <w:shd w:val="clear" w:color="auto" w:fill="auto"/>
            <w:noWrap/>
            <w:vAlign w:val="bottom"/>
            <w:hideMark/>
          </w:tcPr>
          <w:p w14:paraId="42E5BC55" w14:textId="497C891D" w:rsidR="0009499B" w:rsidRPr="00226892" w:rsidRDefault="0009499B" w:rsidP="006836EB">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Spolu</w:t>
            </w:r>
          </w:p>
        </w:tc>
      </w:tr>
      <w:tr w:rsidR="00636EBD" w:rsidRPr="00226892" w14:paraId="38AE5F87" w14:textId="77777777" w:rsidTr="004104F2">
        <w:trPr>
          <w:trHeight w:val="227"/>
        </w:trPr>
        <w:tc>
          <w:tcPr>
            <w:tcW w:w="4914" w:type="dxa"/>
            <w:tcBorders>
              <w:top w:val="nil"/>
              <w:left w:val="nil"/>
              <w:bottom w:val="nil"/>
              <w:right w:val="nil"/>
            </w:tcBorders>
            <w:shd w:val="clear" w:color="auto" w:fill="auto"/>
            <w:vAlign w:val="bottom"/>
            <w:hideMark/>
          </w:tcPr>
          <w:p w14:paraId="251B4792" w14:textId="0CBF4E03" w:rsidR="0009499B" w:rsidRPr="00226892" w:rsidRDefault="00C87144" w:rsidP="0009499B">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k</w:t>
            </w:r>
            <w:r w:rsidR="0009499B" w:rsidRPr="00226892">
              <w:rPr>
                <w:rFonts w:ascii="Arial" w:eastAsia="Times New Roman" w:hAnsi="Arial" w:cs="Arial"/>
                <w:b/>
                <w:bCs/>
                <w:color w:val="000000"/>
                <w:sz w:val="18"/>
                <w:szCs w:val="18"/>
                <w:lang w:val="sk-SK" w:eastAsia="sk-SK"/>
              </w:rPr>
              <w:t xml:space="preserve"> 01-01-</w:t>
            </w:r>
            <w:r w:rsidR="00F63A77" w:rsidRPr="00226892">
              <w:rPr>
                <w:rFonts w:ascii="Arial" w:eastAsia="Times New Roman" w:hAnsi="Arial" w:cs="Arial"/>
                <w:b/>
                <w:bCs/>
                <w:color w:val="000000"/>
                <w:sz w:val="18"/>
                <w:szCs w:val="18"/>
                <w:lang w:val="sk-SK" w:eastAsia="sk-SK"/>
              </w:rPr>
              <w:t>2017</w:t>
            </w:r>
          </w:p>
        </w:tc>
        <w:tc>
          <w:tcPr>
            <w:tcW w:w="196" w:type="dxa"/>
            <w:tcBorders>
              <w:top w:val="nil"/>
              <w:left w:val="nil"/>
              <w:bottom w:val="nil"/>
              <w:right w:val="nil"/>
            </w:tcBorders>
            <w:shd w:val="clear" w:color="auto" w:fill="auto"/>
            <w:vAlign w:val="bottom"/>
            <w:hideMark/>
          </w:tcPr>
          <w:p w14:paraId="22957300" w14:textId="77777777" w:rsidR="0009499B" w:rsidRPr="00226892" w:rsidRDefault="0009499B" w:rsidP="0009499B">
            <w:pPr>
              <w:rPr>
                <w:rFonts w:ascii="Arial" w:eastAsia="Times New Roman" w:hAnsi="Arial" w:cs="Arial"/>
                <w:b/>
                <w:bCs/>
                <w:color w:val="000000"/>
                <w:sz w:val="18"/>
                <w:szCs w:val="18"/>
                <w:lang w:val="sk-SK" w:eastAsia="sk-SK"/>
              </w:rPr>
            </w:pPr>
          </w:p>
        </w:tc>
        <w:tc>
          <w:tcPr>
            <w:tcW w:w="1819" w:type="dxa"/>
            <w:tcBorders>
              <w:top w:val="nil"/>
              <w:left w:val="nil"/>
              <w:bottom w:val="nil"/>
              <w:right w:val="nil"/>
            </w:tcBorders>
            <w:shd w:val="clear" w:color="auto" w:fill="auto"/>
            <w:vAlign w:val="bottom"/>
            <w:hideMark/>
          </w:tcPr>
          <w:p w14:paraId="5A699200" w14:textId="77777777" w:rsidR="0009499B" w:rsidRPr="00226892" w:rsidRDefault="0009499B" w:rsidP="00FD21B8">
            <w:pPr>
              <w:jc w:val="right"/>
              <w:rPr>
                <w:rFonts w:ascii="Arial" w:eastAsia="Times New Roman" w:hAnsi="Arial" w:cs="Arial"/>
                <w:sz w:val="18"/>
                <w:szCs w:val="18"/>
                <w:lang w:val="sk-SK" w:eastAsia="sk-SK"/>
              </w:rPr>
            </w:pPr>
          </w:p>
        </w:tc>
        <w:tc>
          <w:tcPr>
            <w:tcW w:w="210" w:type="dxa"/>
            <w:tcBorders>
              <w:top w:val="nil"/>
              <w:left w:val="nil"/>
              <w:bottom w:val="nil"/>
              <w:right w:val="nil"/>
            </w:tcBorders>
            <w:shd w:val="clear" w:color="auto" w:fill="auto"/>
            <w:vAlign w:val="bottom"/>
            <w:hideMark/>
          </w:tcPr>
          <w:p w14:paraId="1F130363" w14:textId="77777777" w:rsidR="0009499B" w:rsidRPr="00226892" w:rsidRDefault="0009499B" w:rsidP="0009499B">
            <w:pPr>
              <w:rPr>
                <w:rFonts w:ascii="Arial" w:eastAsia="Times New Roman" w:hAnsi="Arial" w:cs="Arial"/>
                <w:sz w:val="18"/>
                <w:szCs w:val="18"/>
                <w:lang w:val="sk-SK" w:eastAsia="sk-SK"/>
              </w:rPr>
            </w:pPr>
          </w:p>
        </w:tc>
        <w:tc>
          <w:tcPr>
            <w:tcW w:w="1806" w:type="dxa"/>
            <w:tcBorders>
              <w:top w:val="nil"/>
              <w:left w:val="nil"/>
              <w:bottom w:val="nil"/>
              <w:right w:val="nil"/>
            </w:tcBorders>
            <w:shd w:val="clear" w:color="auto" w:fill="auto"/>
            <w:vAlign w:val="bottom"/>
            <w:hideMark/>
          </w:tcPr>
          <w:p w14:paraId="3775AA55" w14:textId="77777777" w:rsidR="0009499B" w:rsidRPr="00226892" w:rsidRDefault="0009499B" w:rsidP="00FD21B8">
            <w:pPr>
              <w:jc w:val="right"/>
              <w:rPr>
                <w:rFonts w:ascii="Arial" w:eastAsia="Times New Roman" w:hAnsi="Arial" w:cs="Arial"/>
                <w:sz w:val="18"/>
                <w:szCs w:val="18"/>
                <w:lang w:val="sk-SK" w:eastAsia="sk-SK"/>
              </w:rPr>
            </w:pPr>
          </w:p>
        </w:tc>
        <w:tc>
          <w:tcPr>
            <w:tcW w:w="224" w:type="dxa"/>
            <w:tcBorders>
              <w:top w:val="nil"/>
              <w:left w:val="nil"/>
              <w:bottom w:val="nil"/>
              <w:right w:val="nil"/>
            </w:tcBorders>
            <w:shd w:val="clear" w:color="auto" w:fill="auto"/>
            <w:vAlign w:val="bottom"/>
            <w:hideMark/>
          </w:tcPr>
          <w:p w14:paraId="38144FA7" w14:textId="77777777" w:rsidR="0009499B" w:rsidRPr="00226892" w:rsidRDefault="0009499B" w:rsidP="0009499B">
            <w:pPr>
              <w:rPr>
                <w:rFonts w:ascii="Arial" w:eastAsia="Times New Roman" w:hAnsi="Arial" w:cs="Arial"/>
                <w:sz w:val="18"/>
                <w:szCs w:val="18"/>
                <w:lang w:val="sk-SK" w:eastAsia="sk-SK"/>
              </w:rPr>
            </w:pPr>
          </w:p>
        </w:tc>
        <w:tc>
          <w:tcPr>
            <w:tcW w:w="1750" w:type="dxa"/>
            <w:tcBorders>
              <w:top w:val="nil"/>
              <w:left w:val="nil"/>
              <w:bottom w:val="nil"/>
              <w:right w:val="nil"/>
            </w:tcBorders>
            <w:shd w:val="clear" w:color="auto" w:fill="auto"/>
            <w:vAlign w:val="bottom"/>
            <w:hideMark/>
          </w:tcPr>
          <w:p w14:paraId="7E408C29" w14:textId="77777777" w:rsidR="0009499B" w:rsidRPr="00226892" w:rsidRDefault="0009499B" w:rsidP="00FD21B8">
            <w:pPr>
              <w:jc w:val="right"/>
              <w:rPr>
                <w:rFonts w:ascii="Arial" w:eastAsia="Times New Roman" w:hAnsi="Arial" w:cs="Arial"/>
                <w:sz w:val="18"/>
                <w:szCs w:val="18"/>
                <w:lang w:val="sk-SK" w:eastAsia="sk-SK"/>
              </w:rPr>
            </w:pPr>
          </w:p>
        </w:tc>
        <w:tc>
          <w:tcPr>
            <w:tcW w:w="196" w:type="dxa"/>
            <w:tcBorders>
              <w:top w:val="nil"/>
              <w:left w:val="nil"/>
              <w:bottom w:val="nil"/>
              <w:right w:val="nil"/>
            </w:tcBorders>
            <w:shd w:val="clear" w:color="auto" w:fill="auto"/>
            <w:vAlign w:val="bottom"/>
            <w:hideMark/>
          </w:tcPr>
          <w:p w14:paraId="0D4E0093" w14:textId="77777777" w:rsidR="0009499B" w:rsidRPr="00226892" w:rsidRDefault="0009499B" w:rsidP="0009499B">
            <w:pPr>
              <w:rPr>
                <w:rFonts w:ascii="Arial" w:eastAsia="Times New Roman" w:hAnsi="Arial" w:cs="Arial"/>
                <w:sz w:val="18"/>
                <w:szCs w:val="18"/>
                <w:lang w:val="sk-SK" w:eastAsia="sk-SK"/>
              </w:rPr>
            </w:pPr>
          </w:p>
        </w:tc>
        <w:tc>
          <w:tcPr>
            <w:tcW w:w="1710" w:type="dxa"/>
            <w:tcBorders>
              <w:top w:val="nil"/>
              <w:left w:val="nil"/>
              <w:bottom w:val="nil"/>
              <w:right w:val="nil"/>
            </w:tcBorders>
            <w:shd w:val="clear" w:color="auto" w:fill="auto"/>
            <w:vAlign w:val="bottom"/>
            <w:hideMark/>
          </w:tcPr>
          <w:p w14:paraId="0478CEAA" w14:textId="77777777" w:rsidR="0009499B" w:rsidRPr="00226892" w:rsidRDefault="0009499B" w:rsidP="00FD21B8">
            <w:pPr>
              <w:jc w:val="right"/>
              <w:rPr>
                <w:rFonts w:ascii="Arial" w:eastAsia="Times New Roman" w:hAnsi="Arial" w:cs="Arial"/>
                <w:sz w:val="18"/>
                <w:szCs w:val="18"/>
                <w:lang w:val="sk-SK" w:eastAsia="sk-SK"/>
              </w:rPr>
            </w:pPr>
          </w:p>
        </w:tc>
        <w:tc>
          <w:tcPr>
            <w:tcW w:w="194" w:type="dxa"/>
            <w:tcBorders>
              <w:top w:val="nil"/>
              <w:left w:val="nil"/>
              <w:bottom w:val="nil"/>
              <w:right w:val="nil"/>
            </w:tcBorders>
            <w:shd w:val="clear" w:color="auto" w:fill="auto"/>
            <w:vAlign w:val="bottom"/>
            <w:hideMark/>
          </w:tcPr>
          <w:p w14:paraId="299CF945" w14:textId="77777777" w:rsidR="0009499B" w:rsidRPr="00226892" w:rsidRDefault="0009499B" w:rsidP="0009499B">
            <w:pPr>
              <w:rPr>
                <w:rFonts w:ascii="Arial" w:eastAsia="Times New Roman" w:hAnsi="Arial" w:cs="Arial"/>
                <w:sz w:val="18"/>
                <w:szCs w:val="18"/>
                <w:lang w:val="sk-SK" w:eastAsia="sk-SK"/>
              </w:rPr>
            </w:pPr>
          </w:p>
        </w:tc>
        <w:tc>
          <w:tcPr>
            <w:tcW w:w="1581" w:type="dxa"/>
            <w:tcBorders>
              <w:top w:val="nil"/>
              <w:left w:val="nil"/>
              <w:bottom w:val="nil"/>
              <w:right w:val="nil"/>
            </w:tcBorders>
            <w:shd w:val="clear" w:color="auto" w:fill="auto"/>
            <w:vAlign w:val="bottom"/>
            <w:hideMark/>
          </w:tcPr>
          <w:p w14:paraId="061397AC" w14:textId="77777777" w:rsidR="0009499B" w:rsidRPr="00226892" w:rsidRDefault="0009499B" w:rsidP="00FD21B8">
            <w:pPr>
              <w:jc w:val="right"/>
              <w:rPr>
                <w:rFonts w:ascii="Arial" w:eastAsia="Times New Roman" w:hAnsi="Arial" w:cs="Arial"/>
                <w:sz w:val="18"/>
                <w:szCs w:val="18"/>
                <w:lang w:val="sk-SK" w:eastAsia="sk-SK"/>
              </w:rPr>
            </w:pPr>
          </w:p>
        </w:tc>
      </w:tr>
      <w:tr w:rsidR="00914225" w:rsidRPr="00226892" w14:paraId="6F3509D6" w14:textId="77777777" w:rsidTr="004104F2">
        <w:trPr>
          <w:trHeight w:val="227"/>
        </w:trPr>
        <w:tc>
          <w:tcPr>
            <w:tcW w:w="4914" w:type="dxa"/>
            <w:tcBorders>
              <w:top w:val="nil"/>
              <w:left w:val="nil"/>
              <w:bottom w:val="nil"/>
              <w:right w:val="nil"/>
            </w:tcBorders>
            <w:shd w:val="clear" w:color="auto" w:fill="auto"/>
            <w:vAlign w:val="bottom"/>
            <w:hideMark/>
          </w:tcPr>
          <w:p w14:paraId="149380CF" w14:textId="77777777" w:rsidR="00914225" w:rsidRPr="00226892" w:rsidRDefault="00914225" w:rsidP="0091422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Obstarávacia cena</w:t>
            </w:r>
          </w:p>
        </w:tc>
        <w:tc>
          <w:tcPr>
            <w:tcW w:w="196" w:type="dxa"/>
            <w:tcBorders>
              <w:top w:val="nil"/>
              <w:left w:val="nil"/>
              <w:bottom w:val="nil"/>
              <w:right w:val="nil"/>
            </w:tcBorders>
            <w:shd w:val="clear" w:color="auto" w:fill="auto"/>
            <w:vAlign w:val="bottom"/>
            <w:hideMark/>
          </w:tcPr>
          <w:p w14:paraId="79C1329A" w14:textId="77777777" w:rsidR="00914225" w:rsidRPr="00226892" w:rsidRDefault="00914225" w:rsidP="00914225">
            <w:pPr>
              <w:rPr>
                <w:rFonts w:ascii="Arial" w:eastAsia="Times New Roman" w:hAnsi="Arial" w:cs="Arial"/>
                <w:color w:val="000000"/>
                <w:sz w:val="18"/>
                <w:szCs w:val="18"/>
                <w:lang w:val="sk-SK" w:eastAsia="sk-SK"/>
              </w:rPr>
            </w:pPr>
          </w:p>
        </w:tc>
        <w:tc>
          <w:tcPr>
            <w:tcW w:w="1819" w:type="dxa"/>
            <w:tcBorders>
              <w:top w:val="nil"/>
              <w:left w:val="nil"/>
              <w:bottom w:val="nil"/>
              <w:right w:val="nil"/>
            </w:tcBorders>
            <w:shd w:val="clear" w:color="auto" w:fill="auto"/>
            <w:vAlign w:val="bottom"/>
          </w:tcPr>
          <w:p w14:paraId="03BF4100" w14:textId="6015E91C" w:rsidR="00914225" w:rsidRPr="00226892" w:rsidRDefault="00914225" w:rsidP="00914225">
            <w:pPr>
              <w:ind w:right="81"/>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3 497</w:t>
            </w:r>
          </w:p>
        </w:tc>
        <w:tc>
          <w:tcPr>
            <w:tcW w:w="210" w:type="dxa"/>
            <w:tcBorders>
              <w:top w:val="nil"/>
              <w:left w:val="nil"/>
              <w:bottom w:val="nil"/>
              <w:right w:val="nil"/>
            </w:tcBorders>
            <w:shd w:val="clear" w:color="auto" w:fill="auto"/>
            <w:vAlign w:val="bottom"/>
          </w:tcPr>
          <w:p w14:paraId="5B2D44A3" w14:textId="77777777" w:rsidR="00914225" w:rsidRPr="00226892" w:rsidRDefault="00914225" w:rsidP="00914225">
            <w:pPr>
              <w:rPr>
                <w:rFonts w:ascii="Arial" w:eastAsia="Times New Roman" w:hAnsi="Arial" w:cs="Arial"/>
                <w:color w:val="000000"/>
                <w:sz w:val="18"/>
                <w:szCs w:val="18"/>
                <w:lang w:val="sk-SK" w:eastAsia="sk-SK"/>
              </w:rPr>
            </w:pPr>
          </w:p>
        </w:tc>
        <w:tc>
          <w:tcPr>
            <w:tcW w:w="1806" w:type="dxa"/>
            <w:tcBorders>
              <w:top w:val="nil"/>
              <w:left w:val="nil"/>
              <w:bottom w:val="nil"/>
              <w:right w:val="nil"/>
            </w:tcBorders>
            <w:shd w:val="clear" w:color="auto" w:fill="auto"/>
            <w:vAlign w:val="bottom"/>
          </w:tcPr>
          <w:p w14:paraId="72AEFE6C" w14:textId="439CADDD"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38 220</w:t>
            </w:r>
          </w:p>
        </w:tc>
        <w:tc>
          <w:tcPr>
            <w:tcW w:w="224" w:type="dxa"/>
            <w:tcBorders>
              <w:top w:val="nil"/>
              <w:left w:val="nil"/>
              <w:bottom w:val="nil"/>
              <w:right w:val="nil"/>
            </w:tcBorders>
            <w:shd w:val="clear" w:color="auto" w:fill="auto"/>
            <w:vAlign w:val="bottom"/>
          </w:tcPr>
          <w:p w14:paraId="3E6373F0" w14:textId="77777777" w:rsidR="00914225" w:rsidRPr="00226892" w:rsidRDefault="00914225" w:rsidP="00914225">
            <w:pPr>
              <w:rPr>
                <w:rFonts w:ascii="Arial" w:eastAsia="Times New Roman" w:hAnsi="Arial" w:cs="Arial"/>
                <w:color w:val="000000"/>
                <w:sz w:val="18"/>
                <w:szCs w:val="18"/>
                <w:lang w:val="sk-SK" w:eastAsia="sk-SK"/>
              </w:rPr>
            </w:pPr>
          </w:p>
        </w:tc>
        <w:tc>
          <w:tcPr>
            <w:tcW w:w="1750" w:type="dxa"/>
            <w:tcBorders>
              <w:top w:val="nil"/>
              <w:left w:val="nil"/>
              <w:bottom w:val="nil"/>
              <w:right w:val="nil"/>
            </w:tcBorders>
            <w:shd w:val="clear" w:color="auto" w:fill="auto"/>
            <w:vAlign w:val="bottom"/>
          </w:tcPr>
          <w:p w14:paraId="08639E06" w14:textId="233A5FD3"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95 928</w:t>
            </w:r>
          </w:p>
        </w:tc>
        <w:tc>
          <w:tcPr>
            <w:tcW w:w="196" w:type="dxa"/>
            <w:tcBorders>
              <w:top w:val="nil"/>
              <w:left w:val="nil"/>
              <w:bottom w:val="nil"/>
              <w:right w:val="nil"/>
            </w:tcBorders>
            <w:shd w:val="clear" w:color="auto" w:fill="auto"/>
            <w:vAlign w:val="bottom"/>
          </w:tcPr>
          <w:p w14:paraId="70B20BDE" w14:textId="77777777" w:rsidR="00914225" w:rsidRPr="00226892" w:rsidRDefault="00914225" w:rsidP="00914225">
            <w:pPr>
              <w:rPr>
                <w:rFonts w:ascii="Arial" w:eastAsia="Times New Roman" w:hAnsi="Arial" w:cs="Arial"/>
                <w:color w:val="000000"/>
                <w:sz w:val="18"/>
                <w:szCs w:val="18"/>
                <w:lang w:val="sk-SK" w:eastAsia="sk-SK"/>
              </w:rPr>
            </w:pPr>
          </w:p>
        </w:tc>
        <w:tc>
          <w:tcPr>
            <w:tcW w:w="1710" w:type="dxa"/>
            <w:tcBorders>
              <w:top w:val="nil"/>
              <w:left w:val="nil"/>
              <w:bottom w:val="nil"/>
              <w:right w:val="nil"/>
            </w:tcBorders>
            <w:shd w:val="clear" w:color="auto" w:fill="auto"/>
            <w:vAlign w:val="bottom"/>
          </w:tcPr>
          <w:p w14:paraId="797E2C9F" w14:textId="117AE038"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1 305</w:t>
            </w:r>
          </w:p>
        </w:tc>
        <w:tc>
          <w:tcPr>
            <w:tcW w:w="194" w:type="dxa"/>
            <w:tcBorders>
              <w:top w:val="nil"/>
              <w:left w:val="nil"/>
              <w:bottom w:val="nil"/>
              <w:right w:val="nil"/>
            </w:tcBorders>
            <w:shd w:val="clear" w:color="auto" w:fill="auto"/>
            <w:vAlign w:val="bottom"/>
          </w:tcPr>
          <w:p w14:paraId="7882BC08" w14:textId="77777777" w:rsidR="00914225" w:rsidRPr="00226892" w:rsidRDefault="00914225" w:rsidP="00914225">
            <w:pPr>
              <w:rPr>
                <w:rFonts w:ascii="Arial" w:eastAsia="Times New Roman" w:hAnsi="Arial" w:cs="Arial"/>
                <w:color w:val="000000"/>
                <w:sz w:val="18"/>
                <w:szCs w:val="18"/>
                <w:lang w:val="sk-SK" w:eastAsia="sk-SK"/>
              </w:rPr>
            </w:pPr>
          </w:p>
        </w:tc>
        <w:tc>
          <w:tcPr>
            <w:tcW w:w="1581" w:type="dxa"/>
            <w:tcBorders>
              <w:top w:val="nil"/>
              <w:left w:val="nil"/>
              <w:bottom w:val="nil"/>
              <w:right w:val="nil"/>
            </w:tcBorders>
            <w:shd w:val="clear" w:color="auto" w:fill="auto"/>
            <w:vAlign w:val="bottom"/>
          </w:tcPr>
          <w:p w14:paraId="4A746AE1" w14:textId="42668B41"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138 950</w:t>
            </w:r>
          </w:p>
        </w:tc>
      </w:tr>
      <w:tr w:rsidR="00914225" w:rsidRPr="00226892" w14:paraId="43EA956B" w14:textId="77777777" w:rsidTr="004104F2">
        <w:trPr>
          <w:trHeight w:val="227"/>
        </w:trPr>
        <w:tc>
          <w:tcPr>
            <w:tcW w:w="4914" w:type="dxa"/>
            <w:tcBorders>
              <w:top w:val="nil"/>
              <w:left w:val="nil"/>
              <w:bottom w:val="nil"/>
              <w:right w:val="nil"/>
            </w:tcBorders>
            <w:shd w:val="clear" w:color="auto" w:fill="auto"/>
            <w:vAlign w:val="bottom"/>
            <w:hideMark/>
          </w:tcPr>
          <w:p w14:paraId="60C73740" w14:textId="77777777" w:rsidR="00914225" w:rsidRPr="00226892" w:rsidRDefault="00914225" w:rsidP="0091422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Oprávky</w:t>
            </w:r>
          </w:p>
        </w:tc>
        <w:tc>
          <w:tcPr>
            <w:tcW w:w="196" w:type="dxa"/>
            <w:tcBorders>
              <w:top w:val="nil"/>
              <w:left w:val="nil"/>
              <w:bottom w:val="nil"/>
              <w:right w:val="nil"/>
            </w:tcBorders>
            <w:shd w:val="clear" w:color="auto" w:fill="auto"/>
            <w:vAlign w:val="bottom"/>
            <w:hideMark/>
          </w:tcPr>
          <w:p w14:paraId="559F6A4A" w14:textId="77777777" w:rsidR="00914225" w:rsidRPr="00226892" w:rsidRDefault="00914225" w:rsidP="00914225">
            <w:pPr>
              <w:rPr>
                <w:rFonts w:ascii="Arial" w:eastAsia="Times New Roman" w:hAnsi="Arial" w:cs="Arial"/>
                <w:color w:val="000000"/>
                <w:sz w:val="18"/>
                <w:szCs w:val="18"/>
                <w:lang w:val="sk-SK" w:eastAsia="sk-SK"/>
              </w:rPr>
            </w:pPr>
          </w:p>
        </w:tc>
        <w:tc>
          <w:tcPr>
            <w:tcW w:w="1819" w:type="dxa"/>
            <w:tcBorders>
              <w:top w:val="nil"/>
              <w:left w:val="nil"/>
              <w:bottom w:val="nil"/>
              <w:right w:val="nil"/>
            </w:tcBorders>
            <w:shd w:val="clear" w:color="auto" w:fill="auto"/>
            <w:vAlign w:val="bottom"/>
          </w:tcPr>
          <w:p w14:paraId="5FBD8321" w14:textId="72F9183F"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210" w:type="dxa"/>
            <w:tcBorders>
              <w:top w:val="nil"/>
              <w:left w:val="nil"/>
              <w:bottom w:val="nil"/>
              <w:right w:val="nil"/>
            </w:tcBorders>
            <w:shd w:val="clear" w:color="auto" w:fill="auto"/>
            <w:vAlign w:val="bottom"/>
          </w:tcPr>
          <w:p w14:paraId="045C788F" w14:textId="77777777" w:rsidR="00914225" w:rsidRPr="00226892" w:rsidRDefault="00914225" w:rsidP="00914225">
            <w:pPr>
              <w:rPr>
                <w:rFonts w:ascii="Arial" w:eastAsia="Times New Roman" w:hAnsi="Arial" w:cs="Arial"/>
                <w:color w:val="000000"/>
                <w:sz w:val="18"/>
                <w:szCs w:val="18"/>
                <w:lang w:val="sk-SK" w:eastAsia="sk-SK"/>
              </w:rPr>
            </w:pPr>
          </w:p>
        </w:tc>
        <w:tc>
          <w:tcPr>
            <w:tcW w:w="1806" w:type="dxa"/>
            <w:tcBorders>
              <w:top w:val="nil"/>
              <w:left w:val="nil"/>
              <w:bottom w:val="nil"/>
              <w:right w:val="nil"/>
            </w:tcBorders>
            <w:shd w:val="clear" w:color="auto" w:fill="auto"/>
            <w:vAlign w:val="bottom"/>
          </w:tcPr>
          <w:p w14:paraId="6A89CB2E" w14:textId="59242EB5"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-10 400</w:t>
            </w:r>
          </w:p>
        </w:tc>
        <w:tc>
          <w:tcPr>
            <w:tcW w:w="224" w:type="dxa"/>
            <w:tcBorders>
              <w:top w:val="nil"/>
              <w:left w:val="nil"/>
              <w:bottom w:val="nil"/>
              <w:right w:val="nil"/>
            </w:tcBorders>
            <w:shd w:val="clear" w:color="auto" w:fill="auto"/>
            <w:vAlign w:val="bottom"/>
          </w:tcPr>
          <w:p w14:paraId="43449D9F" w14:textId="77777777" w:rsidR="00914225" w:rsidRPr="00226892" w:rsidRDefault="00914225" w:rsidP="00914225">
            <w:pPr>
              <w:rPr>
                <w:rFonts w:ascii="Arial" w:eastAsia="Times New Roman" w:hAnsi="Arial" w:cs="Arial"/>
                <w:color w:val="000000"/>
                <w:sz w:val="18"/>
                <w:szCs w:val="18"/>
                <w:lang w:val="sk-SK" w:eastAsia="sk-SK"/>
              </w:rPr>
            </w:pPr>
          </w:p>
        </w:tc>
        <w:tc>
          <w:tcPr>
            <w:tcW w:w="1750" w:type="dxa"/>
            <w:tcBorders>
              <w:top w:val="nil"/>
              <w:left w:val="nil"/>
              <w:bottom w:val="nil"/>
              <w:right w:val="nil"/>
            </w:tcBorders>
            <w:shd w:val="clear" w:color="auto" w:fill="auto"/>
            <w:vAlign w:val="bottom"/>
          </w:tcPr>
          <w:p w14:paraId="3A5FA48B" w14:textId="5C20BF7A"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-51 449</w:t>
            </w:r>
          </w:p>
        </w:tc>
        <w:tc>
          <w:tcPr>
            <w:tcW w:w="196" w:type="dxa"/>
            <w:tcBorders>
              <w:top w:val="nil"/>
              <w:left w:val="nil"/>
              <w:bottom w:val="nil"/>
              <w:right w:val="nil"/>
            </w:tcBorders>
            <w:shd w:val="clear" w:color="auto" w:fill="auto"/>
            <w:vAlign w:val="bottom"/>
          </w:tcPr>
          <w:p w14:paraId="023842CA" w14:textId="77777777" w:rsidR="00914225" w:rsidRPr="00226892" w:rsidRDefault="00914225" w:rsidP="00914225">
            <w:pPr>
              <w:rPr>
                <w:rFonts w:ascii="Arial" w:eastAsia="Times New Roman" w:hAnsi="Arial" w:cs="Arial"/>
                <w:color w:val="000000"/>
                <w:sz w:val="18"/>
                <w:szCs w:val="18"/>
                <w:lang w:val="sk-SK" w:eastAsia="sk-SK"/>
              </w:rPr>
            </w:pPr>
          </w:p>
        </w:tc>
        <w:tc>
          <w:tcPr>
            <w:tcW w:w="1710" w:type="dxa"/>
            <w:tcBorders>
              <w:top w:val="nil"/>
              <w:left w:val="nil"/>
              <w:bottom w:val="nil"/>
              <w:right w:val="nil"/>
            </w:tcBorders>
            <w:shd w:val="clear" w:color="auto" w:fill="auto"/>
            <w:vAlign w:val="bottom"/>
          </w:tcPr>
          <w:p w14:paraId="4366EE23" w14:textId="6F5E9079"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94" w:type="dxa"/>
            <w:tcBorders>
              <w:top w:val="nil"/>
              <w:left w:val="nil"/>
              <w:bottom w:val="nil"/>
              <w:right w:val="nil"/>
            </w:tcBorders>
            <w:shd w:val="clear" w:color="auto" w:fill="auto"/>
            <w:vAlign w:val="bottom"/>
          </w:tcPr>
          <w:p w14:paraId="5ECA9BBE" w14:textId="77777777" w:rsidR="00914225" w:rsidRPr="00226892" w:rsidRDefault="00914225" w:rsidP="00914225">
            <w:pPr>
              <w:rPr>
                <w:rFonts w:ascii="Arial" w:eastAsia="Times New Roman" w:hAnsi="Arial" w:cs="Arial"/>
                <w:color w:val="000000"/>
                <w:sz w:val="18"/>
                <w:szCs w:val="18"/>
                <w:lang w:val="sk-SK" w:eastAsia="sk-SK"/>
              </w:rPr>
            </w:pPr>
          </w:p>
        </w:tc>
        <w:tc>
          <w:tcPr>
            <w:tcW w:w="1581" w:type="dxa"/>
            <w:tcBorders>
              <w:top w:val="nil"/>
              <w:left w:val="nil"/>
              <w:bottom w:val="nil"/>
              <w:right w:val="nil"/>
            </w:tcBorders>
            <w:shd w:val="clear" w:color="auto" w:fill="auto"/>
            <w:vAlign w:val="bottom"/>
          </w:tcPr>
          <w:p w14:paraId="1DC5AF80" w14:textId="4179D4A1"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-61 849</w:t>
            </w:r>
          </w:p>
        </w:tc>
      </w:tr>
      <w:tr w:rsidR="00914225" w:rsidRPr="00226892" w14:paraId="78ED8B85" w14:textId="77777777" w:rsidTr="004104F2">
        <w:trPr>
          <w:trHeight w:val="227"/>
        </w:trPr>
        <w:tc>
          <w:tcPr>
            <w:tcW w:w="4914" w:type="dxa"/>
            <w:tcBorders>
              <w:top w:val="nil"/>
              <w:left w:val="nil"/>
              <w:bottom w:val="nil"/>
              <w:right w:val="nil"/>
            </w:tcBorders>
            <w:shd w:val="clear" w:color="auto" w:fill="auto"/>
            <w:vAlign w:val="bottom"/>
            <w:hideMark/>
          </w:tcPr>
          <w:p w14:paraId="1973147F" w14:textId="77777777" w:rsidR="00914225" w:rsidRPr="00226892" w:rsidRDefault="00914225" w:rsidP="00914225">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Zostatková hodnota </w:t>
            </w:r>
          </w:p>
        </w:tc>
        <w:tc>
          <w:tcPr>
            <w:tcW w:w="196" w:type="dxa"/>
            <w:tcBorders>
              <w:top w:val="nil"/>
              <w:left w:val="nil"/>
              <w:bottom w:val="nil"/>
              <w:right w:val="nil"/>
            </w:tcBorders>
            <w:shd w:val="clear" w:color="auto" w:fill="auto"/>
            <w:vAlign w:val="bottom"/>
            <w:hideMark/>
          </w:tcPr>
          <w:p w14:paraId="6EE611D1" w14:textId="77777777" w:rsidR="00914225" w:rsidRPr="00226892" w:rsidRDefault="00914225" w:rsidP="00914225">
            <w:pPr>
              <w:rPr>
                <w:rFonts w:ascii="Arial" w:eastAsia="Times New Roman" w:hAnsi="Arial" w:cs="Arial"/>
                <w:b/>
                <w:bCs/>
                <w:color w:val="000000"/>
                <w:sz w:val="18"/>
                <w:szCs w:val="18"/>
                <w:lang w:val="sk-SK" w:eastAsia="sk-SK"/>
              </w:rPr>
            </w:pPr>
          </w:p>
        </w:tc>
        <w:tc>
          <w:tcPr>
            <w:tcW w:w="1819" w:type="dxa"/>
            <w:tcBorders>
              <w:top w:val="single" w:sz="4" w:space="0" w:color="auto"/>
              <w:left w:val="nil"/>
              <w:bottom w:val="double" w:sz="6" w:space="0" w:color="auto"/>
              <w:right w:val="nil"/>
            </w:tcBorders>
            <w:shd w:val="clear" w:color="auto" w:fill="auto"/>
            <w:vAlign w:val="bottom"/>
          </w:tcPr>
          <w:p w14:paraId="0B467C49" w14:textId="79DF0BE3" w:rsidR="00914225" w:rsidRPr="00226892" w:rsidRDefault="00914225" w:rsidP="0091422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3 497</w:t>
            </w:r>
          </w:p>
        </w:tc>
        <w:tc>
          <w:tcPr>
            <w:tcW w:w="210" w:type="dxa"/>
            <w:tcBorders>
              <w:top w:val="nil"/>
              <w:left w:val="nil"/>
              <w:bottom w:val="nil"/>
              <w:right w:val="nil"/>
            </w:tcBorders>
            <w:shd w:val="clear" w:color="auto" w:fill="auto"/>
            <w:vAlign w:val="bottom"/>
          </w:tcPr>
          <w:p w14:paraId="2A1AABA7" w14:textId="77777777" w:rsidR="00914225" w:rsidRPr="00226892" w:rsidRDefault="00914225" w:rsidP="00914225">
            <w:pPr>
              <w:rPr>
                <w:rFonts w:ascii="Arial" w:eastAsia="Times New Roman" w:hAnsi="Arial" w:cs="Arial"/>
                <w:b/>
                <w:bCs/>
                <w:color w:val="000000"/>
                <w:sz w:val="18"/>
                <w:szCs w:val="18"/>
                <w:lang w:val="sk-SK" w:eastAsia="sk-SK"/>
              </w:rPr>
            </w:pPr>
          </w:p>
        </w:tc>
        <w:tc>
          <w:tcPr>
            <w:tcW w:w="1806" w:type="dxa"/>
            <w:tcBorders>
              <w:top w:val="single" w:sz="4" w:space="0" w:color="auto"/>
              <w:left w:val="nil"/>
              <w:bottom w:val="double" w:sz="6" w:space="0" w:color="auto"/>
              <w:right w:val="nil"/>
            </w:tcBorders>
            <w:shd w:val="clear" w:color="auto" w:fill="auto"/>
            <w:vAlign w:val="bottom"/>
          </w:tcPr>
          <w:p w14:paraId="5C37E2CF" w14:textId="7CD7F6C7" w:rsidR="00914225" w:rsidRPr="00226892" w:rsidRDefault="00914225" w:rsidP="0091422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27 820</w:t>
            </w:r>
          </w:p>
        </w:tc>
        <w:tc>
          <w:tcPr>
            <w:tcW w:w="224" w:type="dxa"/>
            <w:tcBorders>
              <w:top w:val="nil"/>
              <w:left w:val="nil"/>
              <w:bottom w:val="nil"/>
              <w:right w:val="nil"/>
            </w:tcBorders>
            <w:shd w:val="clear" w:color="auto" w:fill="auto"/>
            <w:vAlign w:val="bottom"/>
          </w:tcPr>
          <w:p w14:paraId="6705016E" w14:textId="77777777" w:rsidR="00914225" w:rsidRPr="00226892" w:rsidRDefault="00914225" w:rsidP="00914225">
            <w:pPr>
              <w:rPr>
                <w:rFonts w:ascii="Arial" w:eastAsia="Times New Roman" w:hAnsi="Arial" w:cs="Arial"/>
                <w:b/>
                <w:bCs/>
                <w:color w:val="000000"/>
                <w:sz w:val="18"/>
                <w:szCs w:val="18"/>
                <w:lang w:val="sk-SK" w:eastAsia="sk-SK"/>
              </w:rPr>
            </w:pPr>
          </w:p>
        </w:tc>
        <w:tc>
          <w:tcPr>
            <w:tcW w:w="1750" w:type="dxa"/>
            <w:tcBorders>
              <w:top w:val="single" w:sz="4" w:space="0" w:color="auto"/>
              <w:left w:val="nil"/>
              <w:bottom w:val="double" w:sz="6" w:space="0" w:color="auto"/>
              <w:right w:val="nil"/>
            </w:tcBorders>
            <w:shd w:val="clear" w:color="auto" w:fill="auto"/>
            <w:vAlign w:val="bottom"/>
          </w:tcPr>
          <w:p w14:paraId="4614B7D2" w14:textId="526D67E3" w:rsidR="00914225" w:rsidRPr="00226892" w:rsidRDefault="00914225" w:rsidP="0091422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44 479</w:t>
            </w:r>
          </w:p>
        </w:tc>
        <w:tc>
          <w:tcPr>
            <w:tcW w:w="196" w:type="dxa"/>
            <w:tcBorders>
              <w:top w:val="nil"/>
              <w:left w:val="nil"/>
              <w:bottom w:val="nil"/>
              <w:right w:val="nil"/>
            </w:tcBorders>
            <w:shd w:val="clear" w:color="auto" w:fill="auto"/>
            <w:vAlign w:val="bottom"/>
          </w:tcPr>
          <w:p w14:paraId="23DCCB7B" w14:textId="77777777" w:rsidR="00914225" w:rsidRPr="00226892" w:rsidRDefault="00914225" w:rsidP="00914225">
            <w:pPr>
              <w:rPr>
                <w:rFonts w:ascii="Arial" w:eastAsia="Times New Roman" w:hAnsi="Arial" w:cs="Arial"/>
                <w:b/>
                <w:bCs/>
                <w:color w:val="000000"/>
                <w:sz w:val="18"/>
                <w:szCs w:val="18"/>
                <w:lang w:val="sk-SK" w:eastAsia="sk-SK"/>
              </w:rPr>
            </w:pPr>
          </w:p>
        </w:tc>
        <w:tc>
          <w:tcPr>
            <w:tcW w:w="1710" w:type="dxa"/>
            <w:tcBorders>
              <w:top w:val="single" w:sz="4" w:space="0" w:color="auto"/>
              <w:left w:val="nil"/>
              <w:bottom w:val="double" w:sz="6" w:space="0" w:color="auto"/>
              <w:right w:val="nil"/>
            </w:tcBorders>
            <w:shd w:val="clear" w:color="auto" w:fill="auto"/>
            <w:vAlign w:val="bottom"/>
          </w:tcPr>
          <w:p w14:paraId="6876FF81" w14:textId="4A374CD3" w:rsidR="00914225" w:rsidRPr="00226892" w:rsidRDefault="00914225" w:rsidP="0091422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1 305</w:t>
            </w:r>
          </w:p>
        </w:tc>
        <w:tc>
          <w:tcPr>
            <w:tcW w:w="194" w:type="dxa"/>
            <w:tcBorders>
              <w:top w:val="nil"/>
              <w:left w:val="nil"/>
              <w:bottom w:val="nil"/>
              <w:right w:val="nil"/>
            </w:tcBorders>
            <w:shd w:val="clear" w:color="auto" w:fill="auto"/>
            <w:vAlign w:val="bottom"/>
          </w:tcPr>
          <w:p w14:paraId="3834DF31" w14:textId="77777777" w:rsidR="00914225" w:rsidRPr="00226892" w:rsidRDefault="00914225" w:rsidP="00914225">
            <w:pPr>
              <w:rPr>
                <w:rFonts w:ascii="Arial" w:eastAsia="Times New Roman" w:hAnsi="Arial" w:cs="Arial"/>
                <w:b/>
                <w:bCs/>
                <w:color w:val="000000"/>
                <w:sz w:val="18"/>
                <w:szCs w:val="18"/>
                <w:lang w:val="sk-SK" w:eastAsia="sk-SK"/>
              </w:rPr>
            </w:pPr>
          </w:p>
        </w:tc>
        <w:tc>
          <w:tcPr>
            <w:tcW w:w="1581" w:type="dxa"/>
            <w:tcBorders>
              <w:top w:val="single" w:sz="4" w:space="0" w:color="auto"/>
              <w:left w:val="nil"/>
              <w:bottom w:val="double" w:sz="6" w:space="0" w:color="auto"/>
              <w:right w:val="nil"/>
            </w:tcBorders>
            <w:shd w:val="clear" w:color="auto" w:fill="auto"/>
            <w:vAlign w:val="bottom"/>
          </w:tcPr>
          <w:p w14:paraId="5F6320C8" w14:textId="468B20EE" w:rsidR="00914225" w:rsidRPr="00226892" w:rsidRDefault="00914225" w:rsidP="0091422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77 101</w:t>
            </w:r>
          </w:p>
        </w:tc>
      </w:tr>
      <w:tr w:rsidR="00636EBD" w:rsidRPr="00226892" w14:paraId="5CF7D3BD" w14:textId="77777777" w:rsidTr="004104F2">
        <w:trPr>
          <w:trHeight w:val="227"/>
        </w:trPr>
        <w:tc>
          <w:tcPr>
            <w:tcW w:w="4914" w:type="dxa"/>
            <w:tcBorders>
              <w:top w:val="nil"/>
              <w:left w:val="nil"/>
              <w:bottom w:val="nil"/>
              <w:right w:val="nil"/>
            </w:tcBorders>
            <w:shd w:val="clear" w:color="auto" w:fill="auto"/>
            <w:vAlign w:val="bottom"/>
            <w:hideMark/>
          </w:tcPr>
          <w:p w14:paraId="4C0E589D" w14:textId="77777777" w:rsidR="0009499B" w:rsidRPr="00226892" w:rsidRDefault="0009499B" w:rsidP="0009499B">
            <w:pPr>
              <w:rPr>
                <w:rFonts w:ascii="Arial" w:eastAsia="Times New Roman" w:hAnsi="Arial" w:cs="Arial"/>
                <w:b/>
                <w:bCs/>
                <w:color w:val="000000"/>
                <w:sz w:val="16"/>
                <w:szCs w:val="16"/>
                <w:lang w:val="sk-SK" w:eastAsia="sk-SK"/>
              </w:rPr>
            </w:pPr>
          </w:p>
        </w:tc>
        <w:tc>
          <w:tcPr>
            <w:tcW w:w="196" w:type="dxa"/>
            <w:tcBorders>
              <w:top w:val="nil"/>
              <w:left w:val="nil"/>
              <w:bottom w:val="nil"/>
              <w:right w:val="nil"/>
            </w:tcBorders>
            <w:shd w:val="clear" w:color="auto" w:fill="auto"/>
            <w:vAlign w:val="bottom"/>
            <w:hideMark/>
          </w:tcPr>
          <w:p w14:paraId="5D6A5D12" w14:textId="77777777" w:rsidR="0009499B" w:rsidRPr="00226892" w:rsidRDefault="0009499B" w:rsidP="0009499B">
            <w:pPr>
              <w:rPr>
                <w:rFonts w:ascii="Arial" w:eastAsia="Times New Roman" w:hAnsi="Arial" w:cs="Arial"/>
                <w:lang w:val="sk-SK" w:eastAsia="sk-SK"/>
              </w:rPr>
            </w:pPr>
          </w:p>
        </w:tc>
        <w:tc>
          <w:tcPr>
            <w:tcW w:w="1819" w:type="dxa"/>
            <w:tcBorders>
              <w:top w:val="nil"/>
              <w:left w:val="nil"/>
              <w:bottom w:val="nil"/>
              <w:right w:val="nil"/>
            </w:tcBorders>
            <w:shd w:val="clear" w:color="auto" w:fill="auto"/>
            <w:vAlign w:val="bottom"/>
          </w:tcPr>
          <w:p w14:paraId="548153CE" w14:textId="77777777" w:rsidR="0009499B" w:rsidRPr="00226892" w:rsidRDefault="0009499B" w:rsidP="00FD21B8">
            <w:pPr>
              <w:jc w:val="right"/>
              <w:rPr>
                <w:rFonts w:ascii="Arial" w:eastAsia="Times New Roman" w:hAnsi="Arial" w:cs="Arial"/>
                <w:sz w:val="18"/>
                <w:szCs w:val="18"/>
                <w:lang w:val="sk-SK" w:eastAsia="sk-SK"/>
              </w:rPr>
            </w:pPr>
          </w:p>
        </w:tc>
        <w:tc>
          <w:tcPr>
            <w:tcW w:w="210" w:type="dxa"/>
            <w:tcBorders>
              <w:top w:val="nil"/>
              <w:left w:val="nil"/>
              <w:bottom w:val="nil"/>
              <w:right w:val="nil"/>
            </w:tcBorders>
            <w:shd w:val="clear" w:color="auto" w:fill="auto"/>
            <w:vAlign w:val="bottom"/>
          </w:tcPr>
          <w:p w14:paraId="0078DEA1" w14:textId="77777777" w:rsidR="0009499B" w:rsidRPr="00226892" w:rsidRDefault="0009499B" w:rsidP="0009499B">
            <w:pPr>
              <w:rPr>
                <w:rFonts w:ascii="Arial" w:eastAsia="Times New Roman" w:hAnsi="Arial" w:cs="Arial"/>
                <w:sz w:val="18"/>
                <w:szCs w:val="18"/>
                <w:lang w:val="sk-SK" w:eastAsia="sk-SK"/>
              </w:rPr>
            </w:pPr>
          </w:p>
        </w:tc>
        <w:tc>
          <w:tcPr>
            <w:tcW w:w="1806" w:type="dxa"/>
            <w:tcBorders>
              <w:top w:val="nil"/>
              <w:left w:val="nil"/>
              <w:bottom w:val="nil"/>
              <w:right w:val="nil"/>
            </w:tcBorders>
            <w:shd w:val="clear" w:color="auto" w:fill="auto"/>
            <w:vAlign w:val="bottom"/>
          </w:tcPr>
          <w:p w14:paraId="38018355" w14:textId="77777777" w:rsidR="0009499B" w:rsidRPr="00226892" w:rsidRDefault="0009499B" w:rsidP="00FD21B8">
            <w:pPr>
              <w:jc w:val="right"/>
              <w:rPr>
                <w:rFonts w:ascii="Arial" w:eastAsia="Times New Roman" w:hAnsi="Arial" w:cs="Arial"/>
                <w:sz w:val="18"/>
                <w:szCs w:val="18"/>
                <w:lang w:val="sk-SK" w:eastAsia="sk-SK"/>
              </w:rPr>
            </w:pPr>
          </w:p>
        </w:tc>
        <w:tc>
          <w:tcPr>
            <w:tcW w:w="224" w:type="dxa"/>
            <w:tcBorders>
              <w:top w:val="nil"/>
              <w:left w:val="nil"/>
              <w:bottom w:val="nil"/>
              <w:right w:val="nil"/>
            </w:tcBorders>
            <w:shd w:val="clear" w:color="auto" w:fill="auto"/>
            <w:vAlign w:val="bottom"/>
          </w:tcPr>
          <w:p w14:paraId="2D181A3D" w14:textId="77777777" w:rsidR="0009499B" w:rsidRPr="00226892" w:rsidRDefault="0009499B" w:rsidP="0009499B">
            <w:pPr>
              <w:rPr>
                <w:rFonts w:ascii="Arial" w:eastAsia="Times New Roman" w:hAnsi="Arial" w:cs="Arial"/>
                <w:sz w:val="18"/>
                <w:szCs w:val="18"/>
                <w:lang w:val="sk-SK" w:eastAsia="sk-SK"/>
              </w:rPr>
            </w:pPr>
          </w:p>
        </w:tc>
        <w:tc>
          <w:tcPr>
            <w:tcW w:w="1750" w:type="dxa"/>
            <w:tcBorders>
              <w:top w:val="nil"/>
              <w:left w:val="nil"/>
              <w:bottom w:val="nil"/>
              <w:right w:val="nil"/>
            </w:tcBorders>
            <w:shd w:val="clear" w:color="auto" w:fill="auto"/>
            <w:noWrap/>
            <w:vAlign w:val="bottom"/>
          </w:tcPr>
          <w:p w14:paraId="10B36A9C" w14:textId="77777777" w:rsidR="0009499B" w:rsidRPr="00226892" w:rsidRDefault="0009499B" w:rsidP="00FD21B8">
            <w:pPr>
              <w:jc w:val="right"/>
              <w:rPr>
                <w:rFonts w:ascii="Arial" w:eastAsia="Times New Roman" w:hAnsi="Arial" w:cs="Arial"/>
                <w:sz w:val="18"/>
                <w:szCs w:val="18"/>
                <w:lang w:val="sk-SK" w:eastAsia="sk-SK"/>
              </w:rPr>
            </w:pPr>
          </w:p>
        </w:tc>
        <w:tc>
          <w:tcPr>
            <w:tcW w:w="196" w:type="dxa"/>
            <w:tcBorders>
              <w:top w:val="nil"/>
              <w:left w:val="nil"/>
              <w:bottom w:val="nil"/>
              <w:right w:val="nil"/>
            </w:tcBorders>
            <w:shd w:val="clear" w:color="auto" w:fill="auto"/>
            <w:vAlign w:val="bottom"/>
          </w:tcPr>
          <w:p w14:paraId="4E0D8AFC" w14:textId="77777777" w:rsidR="0009499B" w:rsidRPr="00226892" w:rsidRDefault="0009499B" w:rsidP="0009499B">
            <w:pPr>
              <w:rPr>
                <w:rFonts w:ascii="Arial" w:eastAsia="Times New Roman" w:hAnsi="Arial" w:cs="Arial"/>
                <w:sz w:val="18"/>
                <w:szCs w:val="18"/>
                <w:lang w:val="sk-SK" w:eastAsia="sk-SK"/>
              </w:rPr>
            </w:pPr>
          </w:p>
        </w:tc>
        <w:tc>
          <w:tcPr>
            <w:tcW w:w="1710" w:type="dxa"/>
            <w:tcBorders>
              <w:top w:val="nil"/>
              <w:left w:val="nil"/>
              <w:bottom w:val="nil"/>
              <w:right w:val="nil"/>
            </w:tcBorders>
            <w:shd w:val="clear" w:color="auto" w:fill="auto"/>
            <w:noWrap/>
            <w:vAlign w:val="bottom"/>
          </w:tcPr>
          <w:p w14:paraId="7899B4BE" w14:textId="77777777" w:rsidR="0009499B" w:rsidRPr="00226892" w:rsidRDefault="0009499B" w:rsidP="00FD21B8">
            <w:pPr>
              <w:jc w:val="right"/>
              <w:rPr>
                <w:rFonts w:ascii="Arial" w:eastAsia="Times New Roman" w:hAnsi="Arial" w:cs="Arial"/>
                <w:sz w:val="18"/>
                <w:szCs w:val="18"/>
                <w:lang w:val="sk-SK" w:eastAsia="sk-SK"/>
              </w:rPr>
            </w:pPr>
          </w:p>
        </w:tc>
        <w:tc>
          <w:tcPr>
            <w:tcW w:w="194" w:type="dxa"/>
            <w:tcBorders>
              <w:top w:val="nil"/>
              <w:left w:val="nil"/>
              <w:bottom w:val="nil"/>
              <w:right w:val="nil"/>
            </w:tcBorders>
            <w:shd w:val="clear" w:color="auto" w:fill="auto"/>
            <w:vAlign w:val="bottom"/>
          </w:tcPr>
          <w:p w14:paraId="3BB7DD00" w14:textId="77777777" w:rsidR="0009499B" w:rsidRPr="00226892" w:rsidRDefault="0009499B" w:rsidP="0009499B">
            <w:pPr>
              <w:rPr>
                <w:rFonts w:ascii="Arial" w:eastAsia="Times New Roman" w:hAnsi="Arial" w:cs="Arial"/>
                <w:sz w:val="18"/>
                <w:szCs w:val="18"/>
                <w:lang w:val="sk-SK" w:eastAsia="sk-SK"/>
              </w:rPr>
            </w:pPr>
          </w:p>
        </w:tc>
        <w:tc>
          <w:tcPr>
            <w:tcW w:w="1581" w:type="dxa"/>
            <w:tcBorders>
              <w:top w:val="nil"/>
              <w:left w:val="nil"/>
              <w:bottom w:val="nil"/>
              <w:right w:val="nil"/>
            </w:tcBorders>
            <w:shd w:val="clear" w:color="auto" w:fill="auto"/>
            <w:noWrap/>
            <w:vAlign w:val="bottom"/>
          </w:tcPr>
          <w:p w14:paraId="17A62C22" w14:textId="77777777" w:rsidR="0009499B" w:rsidRPr="00226892" w:rsidRDefault="0009499B" w:rsidP="00FD21B8">
            <w:pPr>
              <w:jc w:val="right"/>
              <w:rPr>
                <w:rFonts w:ascii="Arial" w:eastAsia="Times New Roman" w:hAnsi="Arial" w:cs="Arial"/>
                <w:sz w:val="18"/>
                <w:szCs w:val="18"/>
                <w:lang w:val="sk-SK" w:eastAsia="sk-SK"/>
              </w:rPr>
            </w:pPr>
          </w:p>
        </w:tc>
      </w:tr>
      <w:tr w:rsidR="00636EBD" w:rsidRPr="00226892" w14:paraId="222FC03B" w14:textId="77777777" w:rsidTr="004104F2">
        <w:trPr>
          <w:trHeight w:val="227"/>
        </w:trPr>
        <w:tc>
          <w:tcPr>
            <w:tcW w:w="4914" w:type="dxa"/>
            <w:tcBorders>
              <w:top w:val="nil"/>
              <w:left w:val="nil"/>
              <w:bottom w:val="nil"/>
              <w:right w:val="nil"/>
            </w:tcBorders>
            <w:shd w:val="clear" w:color="auto" w:fill="auto"/>
            <w:vAlign w:val="bottom"/>
            <w:hideMark/>
          </w:tcPr>
          <w:p w14:paraId="2A82ED20" w14:textId="627B21FA" w:rsidR="0009499B" w:rsidRPr="00226892" w:rsidRDefault="0009499B" w:rsidP="0009499B">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Rok končiaci 31-12-</w:t>
            </w:r>
            <w:r w:rsidR="00F63A77" w:rsidRPr="00226892">
              <w:rPr>
                <w:rFonts w:ascii="Arial" w:eastAsia="Times New Roman" w:hAnsi="Arial" w:cs="Arial"/>
                <w:b/>
                <w:bCs/>
                <w:color w:val="000000"/>
                <w:sz w:val="18"/>
                <w:szCs w:val="18"/>
                <w:lang w:val="sk-SK" w:eastAsia="sk-SK"/>
              </w:rPr>
              <w:t>2017</w:t>
            </w:r>
          </w:p>
        </w:tc>
        <w:tc>
          <w:tcPr>
            <w:tcW w:w="196" w:type="dxa"/>
            <w:tcBorders>
              <w:top w:val="nil"/>
              <w:left w:val="nil"/>
              <w:bottom w:val="nil"/>
              <w:right w:val="nil"/>
            </w:tcBorders>
            <w:shd w:val="clear" w:color="auto" w:fill="auto"/>
            <w:vAlign w:val="bottom"/>
            <w:hideMark/>
          </w:tcPr>
          <w:p w14:paraId="7BCFBAF0" w14:textId="77777777" w:rsidR="0009499B" w:rsidRPr="00226892" w:rsidRDefault="0009499B" w:rsidP="0009499B">
            <w:pPr>
              <w:rPr>
                <w:rFonts w:ascii="Arial" w:eastAsia="Times New Roman" w:hAnsi="Arial" w:cs="Arial"/>
                <w:b/>
                <w:bCs/>
                <w:color w:val="000000"/>
                <w:sz w:val="18"/>
                <w:szCs w:val="18"/>
                <w:lang w:val="sk-SK" w:eastAsia="sk-SK"/>
              </w:rPr>
            </w:pPr>
          </w:p>
        </w:tc>
        <w:tc>
          <w:tcPr>
            <w:tcW w:w="1819" w:type="dxa"/>
            <w:tcBorders>
              <w:top w:val="nil"/>
              <w:left w:val="nil"/>
              <w:bottom w:val="nil"/>
              <w:right w:val="nil"/>
            </w:tcBorders>
            <w:shd w:val="clear" w:color="auto" w:fill="auto"/>
            <w:vAlign w:val="bottom"/>
          </w:tcPr>
          <w:p w14:paraId="6B4392FA" w14:textId="77777777" w:rsidR="0009499B" w:rsidRPr="00226892" w:rsidRDefault="0009499B" w:rsidP="00FD21B8">
            <w:pPr>
              <w:jc w:val="right"/>
              <w:rPr>
                <w:rFonts w:ascii="Arial" w:eastAsia="Times New Roman" w:hAnsi="Arial" w:cs="Arial"/>
                <w:sz w:val="18"/>
                <w:szCs w:val="18"/>
                <w:lang w:val="sk-SK" w:eastAsia="sk-SK"/>
              </w:rPr>
            </w:pPr>
          </w:p>
        </w:tc>
        <w:tc>
          <w:tcPr>
            <w:tcW w:w="210" w:type="dxa"/>
            <w:tcBorders>
              <w:top w:val="nil"/>
              <w:left w:val="nil"/>
              <w:bottom w:val="nil"/>
              <w:right w:val="nil"/>
            </w:tcBorders>
            <w:shd w:val="clear" w:color="auto" w:fill="auto"/>
            <w:vAlign w:val="bottom"/>
          </w:tcPr>
          <w:p w14:paraId="1A6A8286" w14:textId="77777777" w:rsidR="0009499B" w:rsidRPr="00226892" w:rsidRDefault="0009499B" w:rsidP="0009499B">
            <w:pPr>
              <w:rPr>
                <w:rFonts w:ascii="Arial" w:eastAsia="Times New Roman" w:hAnsi="Arial" w:cs="Arial"/>
                <w:sz w:val="18"/>
                <w:szCs w:val="18"/>
                <w:lang w:val="sk-SK" w:eastAsia="sk-SK"/>
              </w:rPr>
            </w:pPr>
          </w:p>
        </w:tc>
        <w:tc>
          <w:tcPr>
            <w:tcW w:w="1806" w:type="dxa"/>
            <w:tcBorders>
              <w:top w:val="nil"/>
              <w:left w:val="nil"/>
              <w:bottom w:val="nil"/>
              <w:right w:val="nil"/>
            </w:tcBorders>
            <w:shd w:val="clear" w:color="auto" w:fill="auto"/>
            <w:vAlign w:val="bottom"/>
          </w:tcPr>
          <w:p w14:paraId="031E1258" w14:textId="77777777" w:rsidR="0009499B" w:rsidRPr="00226892" w:rsidRDefault="0009499B" w:rsidP="00FD21B8">
            <w:pPr>
              <w:jc w:val="right"/>
              <w:rPr>
                <w:rFonts w:ascii="Arial" w:eastAsia="Times New Roman" w:hAnsi="Arial" w:cs="Arial"/>
                <w:sz w:val="18"/>
                <w:szCs w:val="18"/>
                <w:lang w:val="sk-SK" w:eastAsia="sk-SK"/>
              </w:rPr>
            </w:pPr>
          </w:p>
        </w:tc>
        <w:tc>
          <w:tcPr>
            <w:tcW w:w="224" w:type="dxa"/>
            <w:tcBorders>
              <w:top w:val="nil"/>
              <w:left w:val="nil"/>
              <w:bottom w:val="nil"/>
              <w:right w:val="nil"/>
            </w:tcBorders>
            <w:shd w:val="clear" w:color="auto" w:fill="auto"/>
            <w:vAlign w:val="bottom"/>
          </w:tcPr>
          <w:p w14:paraId="33B26E45" w14:textId="77777777" w:rsidR="0009499B" w:rsidRPr="00226892" w:rsidRDefault="0009499B" w:rsidP="0009499B">
            <w:pPr>
              <w:rPr>
                <w:rFonts w:ascii="Arial" w:eastAsia="Times New Roman" w:hAnsi="Arial" w:cs="Arial"/>
                <w:sz w:val="18"/>
                <w:szCs w:val="18"/>
                <w:lang w:val="sk-SK" w:eastAsia="sk-SK"/>
              </w:rPr>
            </w:pPr>
          </w:p>
        </w:tc>
        <w:tc>
          <w:tcPr>
            <w:tcW w:w="1750" w:type="dxa"/>
            <w:tcBorders>
              <w:top w:val="nil"/>
              <w:left w:val="nil"/>
              <w:bottom w:val="nil"/>
              <w:right w:val="nil"/>
            </w:tcBorders>
            <w:shd w:val="clear" w:color="auto" w:fill="auto"/>
            <w:vAlign w:val="bottom"/>
          </w:tcPr>
          <w:p w14:paraId="5F3D1EAA" w14:textId="77777777" w:rsidR="0009499B" w:rsidRPr="00226892" w:rsidRDefault="0009499B" w:rsidP="00FD21B8">
            <w:pPr>
              <w:jc w:val="right"/>
              <w:rPr>
                <w:rFonts w:ascii="Arial" w:eastAsia="Times New Roman" w:hAnsi="Arial" w:cs="Arial"/>
                <w:sz w:val="18"/>
                <w:szCs w:val="18"/>
                <w:lang w:val="sk-SK" w:eastAsia="sk-SK"/>
              </w:rPr>
            </w:pPr>
          </w:p>
        </w:tc>
        <w:tc>
          <w:tcPr>
            <w:tcW w:w="196" w:type="dxa"/>
            <w:tcBorders>
              <w:top w:val="nil"/>
              <w:left w:val="nil"/>
              <w:bottom w:val="nil"/>
              <w:right w:val="nil"/>
            </w:tcBorders>
            <w:shd w:val="clear" w:color="auto" w:fill="auto"/>
            <w:vAlign w:val="bottom"/>
          </w:tcPr>
          <w:p w14:paraId="46CE492F" w14:textId="77777777" w:rsidR="0009499B" w:rsidRPr="00226892" w:rsidRDefault="0009499B" w:rsidP="0009499B">
            <w:pPr>
              <w:rPr>
                <w:rFonts w:ascii="Arial" w:eastAsia="Times New Roman" w:hAnsi="Arial" w:cs="Arial"/>
                <w:sz w:val="18"/>
                <w:szCs w:val="18"/>
                <w:lang w:val="sk-SK" w:eastAsia="sk-SK"/>
              </w:rPr>
            </w:pPr>
          </w:p>
        </w:tc>
        <w:tc>
          <w:tcPr>
            <w:tcW w:w="1710" w:type="dxa"/>
            <w:tcBorders>
              <w:top w:val="nil"/>
              <w:left w:val="nil"/>
              <w:bottom w:val="nil"/>
              <w:right w:val="nil"/>
            </w:tcBorders>
            <w:shd w:val="clear" w:color="auto" w:fill="auto"/>
            <w:vAlign w:val="bottom"/>
          </w:tcPr>
          <w:p w14:paraId="72DA595A" w14:textId="77777777" w:rsidR="0009499B" w:rsidRPr="00226892" w:rsidRDefault="0009499B" w:rsidP="00FD21B8">
            <w:pPr>
              <w:jc w:val="right"/>
              <w:rPr>
                <w:rFonts w:ascii="Arial" w:eastAsia="Times New Roman" w:hAnsi="Arial" w:cs="Arial"/>
                <w:sz w:val="18"/>
                <w:szCs w:val="18"/>
                <w:lang w:val="sk-SK" w:eastAsia="sk-SK"/>
              </w:rPr>
            </w:pPr>
          </w:p>
        </w:tc>
        <w:tc>
          <w:tcPr>
            <w:tcW w:w="194" w:type="dxa"/>
            <w:tcBorders>
              <w:top w:val="nil"/>
              <w:left w:val="nil"/>
              <w:bottom w:val="nil"/>
              <w:right w:val="nil"/>
            </w:tcBorders>
            <w:shd w:val="clear" w:color="auto" w:fill="auto"/>
            <w:vAlign w:val="bottom"/>
          </w:tcPr>
          <w:p w14:paraId="3DA2C443" w14:textId="77777777" w:rsidR="0009499B" w:rsidRPr="00226892" w:rsidRDefault="0009499B" w:rsidP="0009499B">
            <w:pPr>
              <w:rPr>
                <w:rFonts w:ascii="Arial" w:eastAsia="Times New Roman" w:hAnsi="Arial" w:cs="Arial"/>
                <w:sz w:val="18"/>
                <w:szCs w:val="18"/>
                <w:lang w:val="sk-SK" w:eastAsia="sk-SK"/>
              </w:rPr>
            </w:pPr>
          </w:p>
        </w:tc>
        <w:tc>
          <w:tcPr>
            <w:tcW w:w="1581" w:type="dxa"/>
            <w:tcBorders>
              <w:top w:val="nil"/>
              <w:left w:val="nil"/>
              <w:bottom w:val="nil"/>
              <w:right w:val="nil"/>
            </w:tcBorders>
            <w:shd w:val="clear" w:color="auto" w:fill="auto"/>
            <w:vAlign w:val="bottom"/>
          </w:tcPr>
          <w:p w14:paraId="28500DD7" w14:textId="77777777" w:rsidR="0009499B" w:rsidRPr="00226892" w:rsidRDefault="0009499B" w:rsidP="00FD21B8">
            <w:pPr>
              <w:jc w:val="right"/>
              <w:rPr>
                <w:rFonts w:ascii="Arial" w:eastAsia="Times New Roman" w:hAnsi="Arial" w:cs="Arial"/>
                <w:sz w:val="18"/>
                <w:szCs w:val="18"/>
                <w:lang w:val="sk-SK" w:eastAsia="sk-SK"/>
              </w:rPr>
            </w:pPr>
          </w:p>
        </w:tc>
      </w:tr>
      <w:tr w:rsidR="00914225" w:rsidRPr="00226892" w14:paraId="12112D02" w14:textId="77777777" w:rsidTr="004104F2">
        <w:trPr>
          <w:trHeight w:val="227"/>
        </w:trPr>
        <w:tc>
          <w:tcPr>
            <w:tcW w:w="4914" w:type="dxa"/>
            <w:tcBorders>
              <w:top w:val="nil"/>
              <w:left w:val="nil"/>
              <w:bottom w:val="nil"/>
              <w:right w:val="nil"/>
            </w:tcBorders>
            <w:shd w:val="clear" w:color="auto" w:fill="auto"/>
            <w:vAlign w:val="bottom"/>
            <w:hideMark/>
          </w:tcPr>
          <w:p w14:paraId="1CEE6A15" w14:textId="77777777" w:rsidR="00914225" w:rsidRPr="00226892" w:rsidRDefault="00914225" w:rsidP="0091422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Prírastky</w:t>
            </w:r>
          </w:p>
        </w:tc>
        <w:tc>
          <w:tcPr>
            <w:tcW w:w="196" w:type="dxa"/>
            <w:tcBorders>
              <w:top w:val="nil"/>
              <w:left w:val="nil"/>
              <w:bottom w:val="nil"/>
              <w:right w:val="nil"/>
            </w:tcBorders>
            <w:shd w:val="clear" w:color="auto" w:fill="auto"/>
            <w:vAlign w:val="bottom"/>
            <w:hideMark/>
          </w:tcPr>
          <w:p w14:paraId="01686885" w14:textId="77777777" w:rsidR="00914225" w:rsidRPr="00226892" w:rsidRDefault="00914225" w:rsidP="00914225">
            <w:pPr>
              <w:rPr>
                <w:rFonts w:ascii="Arial" w:eastAsia="Times New Roman" w:hAnsi="Arial" w:cs="Arial"/>
                <w:color w:val="000000"/>
                <w:sz w:val="18"/>
                <w:szCs w:val="18"/>
                <w:lang w:val="sk-SK" w:eastAsia="sk-SK"/>
              </w:rPr>
            </w:pPr>
          </w:p>
        </w:tc>
        <w:tc>
          <w:tcPr>
            <w:tcW w:w="1819" w:type="dxa"/>
            <w:tcBorders>
              <w:top w:val="nil"/>
              <w:left w:val="nil"/>
              <w:bottom w:val="nil"/>
              <w:right w:val="nil"/>
            </w:tcBorders>
            <w:shd w:val="clear" w:color="auto" w:fill="auto"/>
            <w:vAlign w:val="bottom"/>
          </w:tcPr>
          <w:p w14:paraId="1D7E7555" w14:textId="28D353A8"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210" w:type="dxa"/>
            <w:tcBorders>
              <w:top w:val="nil"/>
              <w:left w:val="nil"/>
              <w:bottom w:val="nil"/>
              <w:right w:val="nil"/>
            </w:tcBorders>
            <w:shd w:val="clear" w:color="auto" w:fill="auto"/>
            <w:vAlign w:val="bottom"/>
          </w:tcPr>
          <w:p w14:paraId="17680E81" w14:textId="77777777" w:rsidR="00914225" w:rsidRPr="00226892" w:rsidRDefault="00914225" w:rsidP="00914225">
            <w:pPr>
              <w:rPr>
                <w:rFonts w:ascii="Arial" w:eastAsia="Times New Roman" w:hAnsi="Arial" w:cs="Arial"/>
                <w:color w:val="000000"/>
                <w:sz w:val="18"/>
                <w:szCs w:val="18"/>
                <w:lang w:val="sk-SK" w:eastAsia="sk-SK"/>
              </w:rPr>
            </w:pPr>
          </w:p>
        </w:tc>
        <w:tc>
          <w:tcPr>
            <w:tcW w:w="1806" w:type="dxa"/>
            <w:tcBorders>
              <w:top w:val="nil"/>
              <w:left w:val="nil"/>
              <w:bottom w:val="nil"/>
              <w:right w:val="nil"/>
            </w:tcBorders>
            <w:shd w:val="clear" w:color="auto" w:fill="auto"/>
            <w:vAlign w:val="bottom"/>
          </w:tcPr>
          <w:p w14:paraId="0E013AED" w14:textId="4E3D13B8"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224" w:type="dxa"/>
            <w:tcBorders>
              <w:top w:val="nil"/>
              <w:left w:val="nil"/>
              <w:bottom w:val="nil"/>
              <w:right w:val="nil"/>
            </w:tcBorders>
            <w:shd w:val="clear" w:color="auto" w:fill="auto"/>
            <w:vAlign w:val="bottom"/>
          </w:tcPr>
          <w:p w14:paraId="603E5FF0" w14:textId="77777777" w:rsidR="00914225" w:rsidRPr="00226892" w:rsidRDefault="00914225" w:rsidP="00914225">
            <w:pPr>
              <w:rPr>
                <w:rFonts w:ascii="Arial" w:eastAsia="Times New Roman" w:hAnsi="Arial" w:cs="Arial"/>
                <w:color w:val="000000"/>
                <w:sz w:val="18"/>
                <w:szCs w:val="18"/>
                <w:lang w:val="sk-SK" w:eastAsia="sk-SK"/>
              </w:rPr>
            </w:pPr>
          </w:p>
        </w:tc>
        <w:tc>
          <w:tcPr>
            <w:tcW w:w="1750" w:type="dxa"/>
            <w:tcBorders>
              <w:top w:val="nil"/>
              <w:left w:val="nil"/>
              <w:bottom w:val="nil"/>
              <w:right w:val="nil"/>
            </w:tcBorders>
            <w:shd w:val="clear" w:color="auto" w:fill="auto"/>
            <w:vAlign w:val="bottom"/>
          </w:tcPr>
          <w:p w14:paraId="53F36778" w14:textId="182A62D2"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96" w:type="dxa"/>
            <w:tcBorders>
              <w:top w:val="nil"/>
              <w:left w:val="nil"/>
              <w:bottom w:val="nil"/>
              <w:right w:val="nil"/>
            </w:tcBorders>
            <w:shd w:val="clear" w:color="auto" w:fill="auto"/>
            <w:vAlign w:val="bottom"/>
          </w:tcPr>
          <w:p w14:paraId="3BD550B1" w14:textId="77777777" w:rsidR="00914225" w:rsidRPr="00226892" w:rsidRDefault="00914225" w:rsidP="00914225">
            <w:pPr>
              <w:rPr>
                <w:rFonts w:ascii="Arial" w:eastAsia="Times New Roman" w:hAnsi="Arial" w:cs="Arial"/>
                <w:color w:val="000000"/>
                <w:sz w:val="18"/>
                <w:szCs w:val="18"/>
                <w:lang w:val="sk-SK" w:eastAsia="sk-SK"/>
              </w:rPr>
            </w:pPr>
          </w:p>
        </w:tc>
        <w:tc>
          <w:tcPr>
            <w:tcW w:w="1710" w:type="dxa"/>
            <w:tcBorders>
              <w:top w:val="nil"/>
              <w:left w:val="nil"/>
              <w:bottom w:val="nil"/>
              <w:right w:val="nil"/>
            </w:tcBorders>
            <w:shd w:val="clear" w:color="auto" w:fill="auto"/>
            <w:vAlign w:val="bottom"/>
          </w:tcPr>
          <w:p w14:paraId="018577F0" w14:textId="49D6B563" w:rsidR="00914225" w:rsidRPr="00226892" w:rsidRDefault="005532AA"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5 610</w:t>
            </w:r>
          </w:p>
        </w:tc>
        <w:tc>
          <w:tcPr>
            <w:tcW w:w="194" w:type="dxa"/>
            <w:tcBorders>
              <w:top w:val="nil"/>
              <w:left w:val="nil"/>
              <w:bottom w:val="nil"/>
              <w:right w:val="nil"/>
            </w:tcBorders>
            <w:shd w:val="clear" w:color="auto" w:fill="auto"/>
            <w:vAlign w:val="bottom"/>
          </w:tcPr>
          <w:p w14:paraId="7856D94C" w14:textId="77777777" w:rsidR="00914225" w:rsidRPr="00226892" w:rsidRDefault="00914225" w:rsidP="00914225">
            <w:pPr>
              <w:rPr>
                <w:rFonts w:ascii="Arial" w:eastAsia="Times New Roman" w:hAnsi="Arial" w:cs="Arial"/>
                <w:color w:val="000000"/>
                <w:sz w:val="18"/>
                <w:szCs w:val="18"/>
                <w:lang w:val="sk-SK" w:eastAsia="sk-SK"/>
              </w:rPr>
            </w:pPr>
          </w:p>
        </w:tc>
        <w:tc>
          <w:tcPr>
            <w:tcW w:w="1581" w:type="dxa"/>
            <w:tcBorders>
              <w:top w:val="nil"/>
              <w:left w:val="nil"/>
              <w:bottom w:val="nil"/>
              <w:right w:val="nil"/>
            </w:tcBorders>
            <w:shd w:val="clear" w:color="auto" w:fill="auto"/>
            <w:vAlign w:val="bottom"/>
          </w:tcPr>
          <w:p w14:paraId="36DB31C5" w14:textId="2965710D" w:rsidR="00914225" w:rsidRPr="00226892" w:rsidRDefault="005532AA"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5 610</w:t>
            </w:r>
          </w:p>
        </w:tc>
      </w:tr>
      <w:tr w:rsidR="00914225" w:rsidRPr="00226892" w14:paraId="5231A633" w14:textId="77777777" w:rsidTr="004104F2">
        <w:trPr>
          <w:trHeight w:val="227"/>
        </w:trPr>
        <w:tc>
          <w:tcPr>
            <w:tcW w:w="4914" w:type="dxa"/>
            <w:tcBorders>
              <w:top w:val="nil"/>
              <w:left w:val="nil"/>
              <w:bottom w:val="nil"/>
              <w:right w:val="nil"/>
            </w:tcBorders>
            <w:shd w:val="clear" w:color="auto" w:fill="auto"/>
            <w:vAlign w:val="bottom"/>
            <w:hideMark/>
          </w:tcPr>
          <w:p w14:paraId="37F8626B" w14:textId="77777777" w:rsidR="00914225" w:rsidRPr="00226892" w:rsidRDefault="00914225" w:rsidP="0091422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Úbytky</w:t>
            </w:r>
          </w:p>
        </w:tc>
        <w:tc>
          <w:tcPr>
            <w:tcW w:w="196" w:type="dxa"/>
            <w:tcBorders>
              <w:top w:val="nil"/>
              <w:left w:val="nil"/>
              <w:bottom w:val="nil"/>
              <w:right w:val="nil"/>
            </w:tcBorders>
            <w:shd w:val="clear" w:color="auto" w:fill="auto"/>
            <w:vAlign w:val="bottom"/>
            <w:hideMark/>
          </w:tcPr>
          <w:p w14:paraId="4EE481A8" w14:textId="77777777" w:rsidR="00914225" w:rsidRPr="00226892" w:rsidRDefault="00914225" w:rsidP="00914225">
            <w:pPr>
              <w:rPr>
                <w:rFonts w:ascii="Arial" w:eastAsia="Times New Roman" w:hAnsi="Arial" w:cs="Arial"/>
                <w:color w:val="000000"/>
                <w:sz w:val="18"/>
                <w:szCs w:val="18"/>
                <w:lang w:val="sk-SK" w:eastAsia="sk-SK"/>
              </w:rPr>
            </w:pPr>
          </w:p>
        </w:tc>
        <w:tc>
          <w:tcPr>
            <w:tcW w:w="1819" w:type="dxa"/>
            <w:tcBorders>
              <w:top w:val="nil"/>
              <w:left w:val="nil"/>
              <w:bottom w:val="nil"/>
              <w:right w:val="nil"/>
            </w:tcBorders>
            <w:shd w:val="clear" w:color="auto" w:fill="auto"/>
            <w:vAlign w:val="bottom"/>
          </w:tcPr>
          <w:p w14:paraId="2F4EDB41" w14:textId="27D5DEFB"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210" w:type="dxa"/>
            <w:tcBorders>
              <w:top w:val="nil"/>
              <w:left w:val="nil"/>
              <w:bottom w:val="nil"/>
              <w:right w:val="nil"/>
            </w:tcBorders>
            <w:shd w:val="clear" w:color="auto" w:fill="auto"/>
            <w:vAlign w:val="bottom"/>
          </w:tcPr>
          <w:p w14:paraId="7F3E228D" w14:textId="77777777" w:rsidR="00914225" w:rsidRPr="00226892" w:rsidRDefault="00914225" w:rsidP="00914225">
            <w:pPr>
              <w:rPr>
                <w:rFonts w:ascii="Arial" w:eastAsia="Times New Roman" w:hAnsi="Arial" w:cs="Arial"/>
                <w:color w:val="000000"/>
                <w:sz w:val="18"/>
                <w:szCs w:val="18"/>
                <w:lang w:val="sk-SK" w:eastAsia="sk-SK"/>
              </w:rPr>
            </w:pPr>
          </w:p>
        </w:tc>
        <w:tc>
          <w:tcPr>
            <w:tcW w:w="1806" w:type="dxa"/>
            <w:tcBorders>
              <w:top w:val="nil"/>
              <w:left w:val="nil"/>
              <w:bottom w:val="nil"/>
              <w:right w:val="nil"/>
            </w:tcBorders>
            <w:shd w:val="clear" w:color="auto" w:fill="auto"/>
            <w:vAlign w:val="bottom"/>
          </w:tcPr>
          <w:p w14:paraId="0DC0888A" w14:textId="52D7FA41"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224" w:type="dxa"/>
            <w:tcBorders>
              <w:top w:val="nil"/>
              <w:left w:val="nil"/>
              <w:bottom w:val="nil"/>
              <w:right w:val="nil"/>
            </w:tcBorders>
            <w:shd w:val="clear" w:color="auto" w:fill="auto"/>
            <w:vAlign w:val="bottom"/>
          </w:tcPr>
          <w:p w14:paraId="2E42DFCA" w14:textId="77777777" w:rsidR="00914225" w:rsidRPr="00226892" w:rsidRDefault="00914225" w:rsidP="00914225">
            <w:pPr>
              <w:rPr>
                <w:rFonts w:ascii="Arial" w:eastAsia="Times New Roman" w:hAnsi="Arial" w:cs="Arial"/>
                <w:color w:val="000000"/>
                <w:sz w:val="18"/>
                <w:szCs w:val="18"/>
                <w:lang w:val="sk-SK" w:eastAsia="sk-SK"/>
              </w:rPr>
            </w:pPr>
          </w:p>
        </w:tc>
        <w:tc>
          <w:tcPr>
            <w:tcW w:w="1750" w:type="dxa"/>
            <w:tcBorders>
              <w:top w:val="nil"/>
              <w:left w:val="nil"/>
              <w:bottom w:val="nil"/>
              <w:right w:val="nil"/>
            </w:tcBorders>
            <w:shd w:val="clear" w:color="auto" w:fill="auto"/>
            <w:vAlign w:val="bottom"/>
          </w:tcPr>
          <w:p w14:paraId="56901110" w14:textId="54CAD751"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w:t>
            </w:r>
          </w:p>
        </w:tc>
        <w:tc>
          <w:tcPr>
            <w:tcW w:w="196" w:type="dxa"/>
            <w:tcBorders>
              <w:top w:val="nil"/>
              <w:left w:val="nil"/>
              <w:bottom w:val="nil"/>
              <w:right w:val="nil"/>
            </w:tcBorders>
            <w:shd w:val="clear" w:color="auto" w:fill="auto"/>
            <w:vAlign w:val="bottom"/>
          </w:tcPr>
          <w:p w14:paraId="6FEB73FE" w14:textId="77777777" w:rsidR="00914225" w:rsidRPr="00226892" w:rsidRDefault="00914225" w:rsidP="00914225">
            <w:pPr>
              <w:rPr>
                <w:rFonts w:ascii="Arial" w:eastAsia="Times New Roman" w:hAnsi="Arial" w:cs="Arial"/>
                <w:color w:val="000000"/>
                <w:sz w:val="18"/>
                <w:szCs w:val="18"/>
                <w:lang w:val="sk-SK" w:eastAsia="sk-SK"/>
              </w:rPr>
            </w:pPr>
          </w:p>
        </w:tc>
        <w:tc>
          <w:tcPr>
            <w:tcW w:w="1710" w:type="dxa"/>
            <w:tcBorders>
              <w:top w:val="nil"/>
              <w:left w:val="nil"/>
              <w:bottom w:val="nil"/>
              <w:right w:val="nil"/>
            </w:tcBorders>
            <w:shd w:val="clear" w:color="auto" w:fill="auto"/>
            <w:vAlign w:val="bottom"/>
          </w:tcPr>
          <w:p w14:paraId="36CDC7AB" w14:textId="04B31EA3"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94" w:type="dxa"/>
            <w:tcBorders>
              <w:top w:val="nil"/>
              <w:left w:val="nil"/>
              <w:bottom w:val="nil"/>
              <w:right w:val="nil"/>
            </w:tcBorders>
            <w:shd w:val="clear" w:color="auto" w:fill="auto"/>
            <w:vAlign w:val="bottom"/>
          </w:tcPr>
          <w:p w14:paraId="0F71B048" w14:textId="77777777" w:rsidR="00914225" w:rsidRPr="00226892" w:rsidRDefault="00914225" w:rsidP="00914225">
            <w:pPr>
              <w:rPr>
                <w:rFonts w:ascii="Arial" w:eastAsia="Times New Roman" w:hAnsi="Arial" w:cs="Arial"/>
                <w:color w:val="000000"/>
                <w:sz w:val="18"/>
                <w:szCs w:val="18"/>
                <w:lang w:val="sk-SK" w:eastAsia="sk-SK"/>
              </w:rPr>
            </w:pPr>
          </w:p>
        </w:tc>
        <w:tc>
          <w:tcPr>
            <w:tcW w:w="1581" w:type="dxa"/>
            <w:tcBorders>
              <w:top w:val="nil"/>
              <w:left w:val="nil"/>
              <w:bottom w:val="nil"/>
              <w:right w:val="nil"/>
            </w:tcBorders>
            <w:shd w:val="clear" w:color="auto" w:fill="auto"/>
            <w:vAlign w:val="bottom"/>
          </w:tcPr>
          <w:p w14:paraId="178486BC" w14:textId="4B79F6F8"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w:t>
            </w:r>
          </w:p>
        </w:tc>
      </w:tr>
      <w:tr w:rsidR="00914225" w:rsidRPr="00226892" w14:paraId="65CA1552" w14:textId="77777777" w:rsidTr="004104F2">
        <w:trPr>
          <w:trHeight w:val="227"/>
        </w:trPr>
        <w:tc>
          <w:tcPr>
            <w:tcW w:w="4914" w:type="dxa"/>
            <w:tcBorders>
              <w:top w:val="nil"/>
              <w:left w:val="nil"/>
              <w:bottom w:val="nil"/>
              <w:right w:val="nil"/>
            </w:tcBorders>
            <w:shd w:val="clear" w:color="auto" w:fill="auto"/>
            <w:vAlign w:val="bottom"/>
            <w:hideMark/>
          </w:tcPr>
          <w:p w14:paraId="55C1CC71" w14:textId="297EAD90" w:rsidR="00914225" w:rsidRPr="00226892" w:rsidRDefault="00914225" w:rsidP="00914225">
            <w:pPr>
              <w:rPr>
                <w:rFonts w:ascii="Arial" w:eastAsia="Times New Roman" w:hAnsi="Arial" w:cs="Arial"/>
                <w:color w:val="000000"/>
                <w:sz w:val="18"/>
                <w:szCs w:val="18"/>
                <w:lang w:val="sk-SK" w:eastAsia="sk-SK"/>
              </w:rPr>
            </w:pPr>
            <w:r w:rsidRPr="00226892">
              <w:rPr>
                <w:rFonts w:ascii="Arial" w:eastAsia="Times New Roman" w:hAnsi="Arial" w:cs="Arial"/>
                <w:color w:val="000000" w:themeColor="text1"/>
                <w:sz w:val="18"/>
                <w:szCs w:val="18"/>
                <w:lang w:val="sk-SK" w:eastAsia="sk-SK"/>
              </w:rPr>
              <w:t>Odpisy (Pozn. 2</w:t>
            </w:r>
            <w:r w:rsidR="00522218" w:rsidRPr="00226892">
              <w:rPr>
                <w:rFonts w:ascii="Arial" w:eastAsia="Times New Roman" w:hAnsi="Arial" w:cs="Arial"/>
                <w:color w:val="000000" w:themeColor="text1"/>
                <w:sz w:val="18"/>
                <w:szCs w:val="18"/>
                <w:lang w:val="sk-SK" w:eastAsia="sk-SK"/>
              </w:rPr>
              <w:t>1</w:t>
            </w:r>
            <w:r w:rsidRPr="00226892">
              <w:rPr>
                <w:rFonts w:ascii="Arial" w:eastAsia="Times New Roman" w:hAnsi="Arial" w:cs="Arial"/>
                <w:color w:val="000000" w:themeColor="text1"/>
                <w:sz w:val="18"/>
                <w:szCs w:val="18"/>
                <w:lang w:val="sk-SK" w:eastAsia="sk-SK"/>
              </w:rPr>
              <w:t>)</w:t>
            </w:r>
          </w:p>
        </w:tc>
        <w:tc>
          <w:tcPr>
            <w:tcW w:w="196" w:type="dxa"/>
            <w:tcBorders>
              <w:top w:val="nil"/>
              <w:left w:val="nil"/>
              <w:bottom w:val="nil"/>
              <w:right w:val="nil"/>
            </w:tcBorders>
            <w:shd w:val="clear" w:color="auto" w:fill="auto"/>
            <w:vAlign w:val="bottom"/>
            <w:hideMark/>
          </w:tcPr>
          <w:p w14:paraId="06CCE3B2" w14:textId="77777777" w:rsidR="00914225" w:rsidRPr="00226892" w:rsidRDefault="00914225" w:rsidP="00914225">
            <w:pPr>
              <w:rPr>
                <w:rFonts w:ascii="Arial" w:eastAsia="Times New Roman" w:hAnsi="Arial" w:cs="Arial"/>
                <w:color w:val="000000"/>
                <w:sz w:val="18"/>
                <w:szCs w:val="18"/>
                <w:lang w:val="sk-SK" w:eastAsia="sk-SK"/>
              </w:rPr>
            </w:pPr>
          </w:p>
        </w:tc>
        <w:tc>
          <w:tcPr>
            <w:tcW w:w="1819" w:type="dxa"/>
            <w:tcBorders>
              <w:top w:val="nil"/>
              <w:left w:val="nil"/>
              <w:bottom w:val="nil"/>
              <w:right w:val="nil"/>
            </w:tcBorders>
            <w:shd w:val="clear" w:color="auto" w:fill="auto"/>
            <w:vAlign w:val="bottom"/>
          </w:tcPr>
          <w:p w14:paraId="7D47D291" w14:textId="2104762A"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210" w:type="dxa"/>
            <w:tcBorders>
              <w:top w:val="nil"/>
              <w:left w:val="nil"/>
              <w:bottom w:val="nil"/>
              <w:right w:val="nil"/>
            </w:tcBorders>
            <w:shd w:val="clear" w:color="auto" w:fill="auto"/>
            <w:vAlign w:val="bottom"/>
          </w:tcPr>
          <w:p w14:paraId="4765F9A4" w14:textId="77777777" w:rsidR="00914225" w:rsidRPr="00226892" w:rsidRDefault="00914225" w:rsidP="00914225">
            <w:pPr>
              <w:rPr>
                <w:rFonts w:ascii="Arial" w:eastAsia="Times New Roman" w:hAnsi="Arial" w:cs="Arial"/>
                <w:color w:val="000000"/>
                <w:sz w:val="18"/>
                <w:szCs w:val="18"/>
                <w:lang w:val="sk-SK" w:eastAsia="sk-SK"/>
              </w:rPr>
            </w:pPr>
          </w:p>
        </w:tc>
        <w:tc>
          <w:tcPr>
            <w:tcW w:w="1806" w:type="dxa"/>
            <w:tcBorders>
              <w:top w:val="nil"/>
              <w:left w:val="nil"/>
              <w:bottom w:val="nil"/>
              <w:right w:val="nil"/>
            </w:tcBorders>
            <w:shd w:val="clear" w:color="auto" w:fill="auto"/>
            <w:vAlign w:val="bottom"/>
          </w:tcPr>
          <w:p w14:paraId="2E26D0E3" w14:textId="4335FC94"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-997</w:t>
            </w:r>
          </w:p>
        </w:tc>
        <w:tc>
          <w:tcPr>
            <w:tcW w:w="224" w:type="dxa"/>
            <w:tcBorders>
              <w:top w:val="nil"/>
              <w:left w:val="nil"/>
              <w:bottom w:val="nil"/>
              <w:right w:val="nil"/>
            </w:tcBorders>
            <w:shd w:val="clear" w:color="auto" w:fill="auto"/>
            <w:vAlign w:val="bottom"/>
          </w:tcPr>
          <w:p w14:paraId="222852CF" w14:textId="77777777" w:rsidR="00914225" w:rsidRPr="00226892" w:rsidRDefault="00914225" w:rsidP="00914225">
            <w:pPr>
              <w:rPr>
                <w:rFonts w:ascii="Arial" w:eastAsia="Times New Roman" w:hAnsi="Arial" w:cs="Arial"/>
                <w:color w:val="000000"/>
                <w:sz w:val="18"/>
                <w:szCs w:val="18"/>
                <w:lang w:val="sk-SK" w:eastAsia="sk-SK"/>
              </w:rPr>
            </w:pPr>
          </w:p>
        </w:tc>
        <w:tc>
          <w:tcPr>
            <w:tcW w:w="1750" w:type="dxa"/>
            <w:tcBorders>
              <w:top w:val="nil"/>
              <w:left w:val="nil"/>
              <w:bottom w:val="nil"/>
              <w:right w:val="nil"/>
            </w:tcBorders>
            <w:shd w:val="clear" w:color="auto" w:fill="auto"/>
            <w:vAlign w:val="bottom"/>
          </w:tcPr>
          <w:p w14:paraId="7FFD8777" w14:textId="09279302"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-7 790</w:t>
            </w:r>
          </w:p>
        </w:tc>
        <w:tc>
          <w:tcPr>
            <w:tcW w:w="196" w:type="dxa"/>
            <w:tcBorders>
              <w:top w:val="nil"/>
              <w:left w:val="nil"/>
              <w:bottom w:val="nil"/>
              <w:right w:val="nil"/>
            </w:tcBorders>
            <w:shd w:val="clear" w:color="auto" w:fill="auto"/>
            <w:vAlign w:val="bottom"/>
          </w:tcPr>
          <w:p w14:paraId="3C42F03E" w14:textId="77777777" w:rsidR="00914225" w:rsidRPr="00226892" w:rsidRDefault="00914225" w:rsidP="00914225">
            <w:pPr>
              <w:rPr>
                <w:rFonts w:ascii="Arial" w:eastAsia="Times New Roman" w:hAnsi="Arial" w:cs="Arial"/>
                <w:color w:val="000000"/>
                <w:sz w:val="18"/>
                <w:szCs w:val="18"/>
                <w:lang w:val="sk-SK" w:eastAsia="sk-SK"/>
              </w:rPr>
            </w:pPr>
          </w:p>
        </w:tc>
        <w:tc>
          <w:tcPr>
            <w:tcW w:w="1710" w:type="dxa"/>
            <w:tcBorders>
              <w:top w:val="nil"/>
              <w:left w:val="nil"/>
              <w:bottom w:val="nil"/>
              <w:right w:val="nil"/>
            </w:tcBorders>
            <w:shd w:val="clear" w:color="auto" w:fill="auto"/>
            <w:vAlign w:val="bottom"/>
          </w:tcPr>
          <w:p w14:paraId="6F0758DB" w14:textId="4E3F7404"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94" w:type="dxa"/>
            <w:tcBorders>
              <w:top w:val="nil"/>
              <w:left w:val="nil"/>
              <w:bottom w:val="nil"/>
              <w:right w:val="nil"/>
            </w:tcBorders>
            <w:shd w:val="clear" w:color="auto" w:fill="auto"/>
            <w:vAlign w:val="bottom"/>
          </w:tcPr>
          <w:p w14:paraId="07E8BDB4" w14:textId="77777777" w:rsidR="00914225" w:rsidRPr="00226892" w:rsidRDefault="00914225" w:rsidP="00914225">
            <w:pPr>
              <w:rPr>
                <w:rFonts w:ascii="Arial" w:eastAsia="Times New Roman" w:hAnsi="Arial" w:cs="Arial"/>
                <w:color w:val="000000"/>
                <w:sz w:val="18"/>
                <w:szCs w:val="18"/>
                <w:lang w:val="sk-SK" w:eastAsia="sk-SK"/>
              </w:rPr>
            </w:pPr>
          </w:p>
        </w:tc>
        <w:tc>
          <w:tcPr>
            <w:tcW w:w="1581" w:type="dxa"/>
            <w:tcBorders>
              <w:top w:val="nil"/>
              <w:left w:val="nil"/>
              <w:bottom w:val="nil"/>
              <w:right w:val="nil"/>
            </w:tcBorders>
            <w:shd w:val="clear" w:color="auto" w:fill="auto"/>
            <w:vAlign w:val="bottom"/>
          </w:tcPr>
          <w:p w14:paraId="06C2447D" w14:textId="73529172"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-8 787</w:t>
            </w:r>
          </w:p>
        </w:tc>
      </w:tr>
      <w:tr w:rsidR="00914225" w:rsidRPr="00226892" w14:paraId="5F338B6D" w14:textId="77777777" w:rsidTr="004104F2">
        <w:trPr>
          <w:trHeight w:val="227"/>
        </w:trPr>
        <w:tc>
          <w:tcPr>
            <w:tcW w:w="4914" w:type="dxa"/>
            <w:tcBorders>
              <w:top w:val="nil"/>
              <w:left w:val="nil"/>
              <w:bottom w:val="nil"/>
              <w:right w:val="nil"/>
            </w:tcBorders>
            <w:shd w:val="clear" w:color="auto" w:fill="auto"/>
            <w:vAlign w:val="bottom"/>
            <w:hideMark/>
          </w:tcPr>
          <w:p w14:paraId="66CA5C9B" w14:textId="77777777" w:rsidR="00914225" w:rsidRPr="00226892" w:rsidRDefault="00914225" w:rsidP="0091422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Prevod z obstarávaného dlhodobého majetku</w:t>
            </w:r>
          </w:p>
        </w:tc>
        <w:tc>
          <w:tcPr>
            <w:tcW w:w="196" w:type="dxa"/>
            <w:tcBorders>
              <w:top w:val="nil"/>
              <w:left w:val="nil"/>
              <w:bottom w:val="nil"/>
              <w:right w:val="nil"/>
            </w:tcBorders>
            <w:shd w:val="clear" w:color="auto" w:fill="auto"/>
            <w:noWrap/>
            <w:vAlign w:val="bottom"/>
            <w:hideMark/>
          </w:tcPr>
          <w:p w14:paraId="7C4F8FBB" w14:textId="77777777" w:rsidR="00914225" w:rsidRPr="00226892" w:rsidRDefault="00914225" w:rsidP="00914225">
            <w:pPr>
              <w:rPr>
                <w:rFonts w:ascii="Arial" w:eastAsia="Times New Roman" w:hAnsi="Arial" w:cs="Arial"/>
                <w:color w:val="000000"/>
                <w:sz w:val="18"/>
                <w:szCs w:val="18"/>
                <w:lang w:val="sk-SK" w:eastAsia="sk-SK"/>
              </w:rPr>
            </w:pPr>
          </w:p>
        </w:tc>
        <w:tc>
          <w:tcPr>
            <w:tcW w:w="1819" w:type="dxa"/>
            <w:tcBorders>
              <w:top w:val="nil"/>
              <w:left w:val="nil"/>
              <w:bottom w:val="nil"/>
              <w:right w:val="nil"/>
            </w:tcBorders>
            <w:shd w:val="clear" w:color="auto" w:fill="auto"/>
            <w:vAlign w:val="bottom"/>
          </w:tcPr>
          <w:p w14:paraId="1349E894" w14:textId="1DFD1FA0" w:rsidR="00914225" w:rsidRPr="00226892" w:rsidRDefault="005532AA"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16</w:t>
            </w:r>
          </w:p>
        </w:tc>
        <w:tc>
          <w:tcPr>
            <w:tcW w:w="210" w:type="dxa"/>
            <w:tcBorders>
              <w:top w:val="nil"/>
              <w:left w:val="nil"/>
              <w:bottom w:val="nil"/>
              <w:right w:val="nil"/>
            </w:tcBorders>
            <w:shd w:val="clear" w:color="auto" w:fill="auto"/>
            <w:vAlign w:val="bottom"/>
          </w:tcPr>
          <w:p w14:paraId="156C421F" w14:textId="77777777" w:rsidR="00914225" w:rsidRPr="00226892" w:rsidRDefault="00914225" w:rsidP="00914225">
            <w:pPr>
              <w:rPr>
                <w:rFonts w:ascii="Arial" w:eastAsia="Times New Roman" w:hAnsi="Arial" w:cs="Arial"/>
                <w:color w:val="000000"/>
                <w:sz w:val="18"/>
                <w:szCs w:val="18"/>
                <w:lang w:val="sk-SK" w:eastAsia="sk-SK"/>
              </w:rPr>
            </w:pPr>
          </w:p>
        </w:tc>
        <w:tc>
          <w:tcPr>
            <w:tcW w:w="1806" w:type="dxa"/>
            <w:tcBorders>
              <w:top w:val="nil"/>
              <w:left w:val="nil"/>
              <w:bottom w:val="nil"/>
              <w:right w:val="nil"/>
            </w:tcBorders>
            <w:shd w:val="clear" w:color="auto" w:fill="auto"/>
            <w:vAlign w:val="bottom"/>
          </w:tcPr>
          <w:p w14:paraId="75315642" w14:textId="4979162D" w:rsidR="00914225" w:rsidRPr="00226892" w:rsidRDefault="005532AA"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581</w:t>
            </w:r>
          </w:p>
        </w:tc>
        <w:tc>
          <w:tcPr>
            <w:tcW w:w="224" w:type="dxa"/>
            <w:tcBorders>
              <w:top w:val="nil"/>
              <w:left w:val="nil"/>
              <w:bottom w:val="nil"/>
              <w:right w:val="nil"/>
            </w:tcBorders>
            <w:shd w:val="clear" w:color="auto" w:fill="auto"/>
            <w:vAlign w:val="bottom"/>
          </w:tcPr>
          <w:p w14:paraId="00C70842" w14:textId="77777777" w:rsidR="00914225" w:rsidRPr="00226892" w:rsidRDefault="00914225" w:rsidP="00914225">
            <w:pPr>
              <w:rPr>
                <w:rFonts w:ascii="Arial" w:eastAsia="Times New Roman" w:hAnsi="Arial" w:cs="Arial"/>
                <w:color w:val="000000"/>
                <w:sz w:val="18"/>
                <w:szCs w:val="18"/>
                <w:lang w:val="sk-SK" w:eastAsia="sk-SK"/>
              </w:rPr>
            </w:pPr>
          </w:p>
        </w:tc>
        <w:tc>
          <w:tcPr>
            <w:tcW w:w="1750" w:type="dxa"/>
            <w:tcBorders>
              <w:top w:val="nil"/>
              <w:left w:val="nil"/>
              <w:bottom w:val="nil"/>
              <w:right w:val="nil"/>
            </w:tcBorders>
            <w:shd w:val="clear" w:color="auto" w:fill="auto"/>
            <w:vAlign w:val="bottom"/>
          </w:tcPr>
          <w:p w14:paraId="6E947D34" w14:textId="045372A7" w:rsidR="00914225" w:rsidRPr="00226892" w:rsidRDefault="00E16F0B"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2 </w:t>
            </w:r>
            <w:r w:rsidR="005532AA" w:rsidRPr="00226892">
              <w:rPr>
                <w:rFonts w:ascii="Arial" w:eastAsia="Times New Roman" w:hAnsi="Arial" w:cs="Arial"/>
                <w:color w:val="000000"/>
                <w:sz w:val="18"/>
                <w:szCs w:val="18"/>
                <w:lang w:val="sk-SK" w:eastAsia="sk-SK"/>
              </w:rPr>
              <w:t>164</w:t>
            </w:r>
          </w:p>
        </w:tc>
        <w:tc>
          <w:tcPr>
            <w:tcW w:w="196" w:type="dxa"/>
            <w:tcBorders>
              <w:top w:val="nil"/>
              <w:left w:val="nil"/>
              <w:bottom w:val="nil"/>
              <w:right w:val="nil"/>
            </w:tcBorders>
            <w:shd w:val="clear" w:color="auto" w:fill="auto"/>
            <w:vAlign w:val="bottom"/>
          </w:tcPr>
          <w:p w14:paraId="51941AB1" w14:textId="77777777" w:rsidR="00914225" w:rsidRPr="00226892" w:rsidRDefault="00914225" w:rsidP="00914225">
            <w:pPr>
              <w:rPr>
                <w:rFonts w:ascii="Arial" w:eastAsia="Times New Roman" w:hAnsi="Arial" w:cs="Arial"/>
                <w:color w:val="000000"/>
                <w:sz w:val="18"/>
                <w:szCs w:val="18"/>
                <w:lang w:val="sk-SK" w:eastAsia="sk-SK"/>
              </w:rPr>
            </w:pPr>
          </w:p>
        </w:tc>
        <w:tc>
          <w:tcPr>
            <w:tcW w:w="1710" w:type="dxa"/>
            <w:tcBorders>
              <w:top w:val="nil"/>
              <w:left w:val="nil"/>
              <w:bottom w:val="nil"/>
              <w:right w:val="nil"/>
            </w:tcBorders>
            <w:shd w:val="clear" w:color="auto" w:fill="auto"/>
            <w:vAlign w:val="bottom"/>
          </w:tcPr>
          <w:p w14:paraId="39D0E5C6" w14:textId="436D1A80"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r w:rsidR="005532AA" w:rsidRPr="00226892">
              <w:rPr>
                <w:rFonts w:ascii="Arial" w:eastAsia="Times New Roman" w:hAnsi="Arial" w:cs="Arial"/>
                <w:color w:val="000000"/>
                <w:sz w:val="18"/>
                <w:szCs w:val="18"/>
                <w:lang w:val="sk-SK" w:eastAsia="sk-SK"/>
              </w:rPr>
              <w:t>2 761</w:t>
            </w:r>
          </w:p>
        </w:tc>
        <w:tc>
          <w:tcPr>
            <w:tcW w:w="194" w:type="dxa"/>
            <w:tcBorders>
              <w:top w:val="nil"/>
              <w:left w:val="nil"/>
              <w:bottom w:val="nil"/>
              <w:right w:val="nil"/>
            </w:tcBorders>
            <w:shd w:val="clear" w:color="auto" w:fill="auto"/>
            <w:vAlign w:val="bottom"/>
          </w:tcPr>
          <w:p w14:paraId="1E0B9EDE" w14:textId="77777777" w:rsidR="00914225" w:rsidRPr="00226892" w:rsidRDefault="00914225" w:rsidP="00914225">
            <w:pPr>
              <w:rPr>
                <w:rFonts w:ascii="Arial" w:eastAsia="Times New Roman" w:hAnsi="Arial" w:cs="Arial"/>
                <w:color w:val="000000"/>
                <w:sz w:val="18"/>
                <w:szCs w:val="18"/>
                <w:lang w:val="sk-SK" w:eastAsia="sk-SK"/>
              </w:rPr>
            </w:pPr>
          </w:p>
        </w:tc>
        <w:tc>
          <w:tcPr>
            <w:tcW w:w="1581" w:type="dxa"/>
            <w:tcBorders>
              <w:top w:val="nil"/>
              <w:left w:val="nil"/>
              <w:bottom w:val="nil"/>
              <w:right w:val="nil"/>
            </w:tcBorders>
            <w:shd w:val="clear" w:color="auto" w:fill="auto"/>
            <w:vAlign w:val="bottom"/>
          </w:tcPr>
          <w:p w14:paraId="3EDA7E7E" w14:textId="18BEB6BD"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r>
      <w:tr w:rsidR="00914225" w:rsidRPr="00226892" w14:paraId="11C28216" w14:textId="77777777" w:rsidTr="004104F2">
        <w:trPr>
          <w:trHeight w:val="227"/>
        </w:trPr>
        <w:tc>
          <w:tcPr>
            <w:tcW w:w="4914" w:type="dxa"/>
            <w:tcBorders>
              <w:top w:val="nil"/>
              <w:left w:val="nil"/>
              <w:bottom w:val="nil"/>
              <w:right w:val="nil"/>
            </w:tcBorders>
            <w:shd w:val="clear" w:color="auto" w:fill="auto"/>
            <w:vAlign w:val="bottom"/>
            <w:hideMark/>
          </w:tcPr>
          <w:p w14:paraId="5778C4C4" w14:textId="7A0D2F85" w:rsidR="00914225" w:rsidRPr="00226892" w:rsidRDefault="00914225" w:rsidP="0091422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Kurzové rozdiely</w:t>
            </w:r>
          </w:p>
        </w:tc>
        <w:tc>
          <w:tcPr>
            <w:tcW w:w="196" w:type="dxa"/>
            <w:tcBorders>
              <w:top w:val="nil"/>
              <w:left w:val="nil"/>
              <w:bottom w:val="nil"/>
              <w:right w:val="nil"/>
            </w:tcBorders>
            <w:shd w:val="clear" w:color="auto" w:fill="auto"/>
            <w:noWrap/>
            <w:vAlign w:val="bottom"/>
            <w:hideMark/>
          </w:tcPr>
          <w:p w14:paraId="4F2169D2" w14:textId="77777777" w:rsidR="00914225" w:rsidRPr="00226892" w:rsidRDefault="00914225" w:rsidP="00914225">
            <w:pPr>
              <w:rPr>
                <w:rFonts w:ascii="Arial" w:eastAsia="Times New Roman" w:hAnsi="Arial" w:cs="Arial"/>
                <w:color w:val="000000"/>
                <w:sz w:val="18"/>
                <w:szCs w:val="18"/>
                <w:lang w:val="sk-SK" w:eastAsia="sk-SK"/>
              </w:rPr>
            </w:pPr>
          </w:p>
        </w:tc>
        <w:tc>
          <w:tcPr>
            <w:tcW w:w="1819" w:type="dxa"/>
            <w:tcBorders>
              <w:top w:val="nil"/>
              <w:left w:val="nil"/>
              <w:bottom w:val="nil"/>
              <w:right w:val="nil"/>
            </w:tcBorders>
            <w:shd w:val="clear" w:color="auto" w:fill="auto"/>
            <w:vAlign w:val="bottom"/>
          </w:tcPr>
          <w:p w14:paraId="4FE5763A" w14:textId="3B5741EE" w:rsidR="00914225" w:rsidRPr="00226892" w:rsidRDefault="005532AA"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24</w:t>
            </w:r>
          </w:p>
        </w:tc>
        <w:tc>
          <w:tcPr>
            <w:tcW w:w="210" w:type="dxa"/>
            <w:tcBorders>
              <w:top w:val="nil"/>
              <w:left w:val="nil"/>
              <w:bottom w:val="nil"/>
              <w:right w:val="nil"/>
            </w:tcBorders>
            <w:shd w:val="clear" w:color="auto" w:fill="auto"/>
            <w:vAlign w:val="bottom"/>
          </w:tcPr>
          <w:p w14:paraId="30F58037" w14:textId="77777777" w:rsidR="00914225" w:rsidRPr="00226892" w:rsidRDefault="00914225" w:rsidP="00914225">
            <w:pPr>
              <w:rPr>
                <w:rFonts w:ascii="Arial" w:eastAsia="Times New Roman" w:hAnsi="Arial" w:cs="Arial"/>
                <w:color w:val="000000"/>
                <w:sz w:val="18"/>
                <w:szCs w:val="18"/>
                <w:lang w:val="sk-SK" w:eastAsia="sk-SK"/>
              </w:rPr>
            </w:pPr>
          </w:p>
        </w:tc>
        <w:tc>
          <w:tcPr>
            <w:tcW w:w="1806" w:type="dxa"/>
            <w:tcBorders>
              <w:top w:val="nil"/>
              <w:left w:val="nil"/>
              <w:bottom w:val="nil"/>
              <w:right w:val="nil"/>
            </w:tcBorders>
            <w:shd w:val="clear" w:color="auto" w:fill="auto"/>
            <w:vAlign w:val="bottom"/>
          </w:tcPr>
          <w:p w14:paraId="55447C18" w14:textId="2647BC03" w:rsidR="00914225" w:rsidRPr="00226892" w:rsidRDefault="005532AA"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228</w:t>
            </w:r>
          </w:p>
        </w:tc>
        <w:tc>
          <w:tcPr>
            <w:tcW w:w="224" w:type="dxa"/>
            <w:tcBorders>
              <w:top w:val="nil"/>
              <w:left w:val="nil"/>
              <w:bottom w:val="nil"/>
              <w:right w:val="nil"/>
            </w:tcBorders>
            <w:shd w:val="clear" w:color="auto" w:fill="auto"/>
            <w:vAlign w:val="bottom"/>
          </w:tcPr>
          <w:p w14:paraId="3F5994D0" w14:textId="77777777" w:rsidR="00914225" w:rsidRPr="00226892" w:rsidRDefault="00914225" w:rsidP="00914225">
            <w:pPr>
              <w:rPr>
                <w:rFonts w:ascii="Arial" w:eastAsia="Times New Roman" w:hAnsi="Arial" w:cs="Arial"/>
                <w:color w:val="000000"/>
                <w:sz w:val="18"/>
                <w:szCs w:val="18"/>
                <w:lang w:val="sk-SK" w:eastAsia="sk-SK"/>
              </w:rPr>
            </w:pPr>
          </w:p>
        </w:tc>
        <w:tc>
          <w:tcPr>
            <w:tcW w:w="1750" w:type="dxa"/>
            <w:tcBorders>
              <w:top w:val="nil"/>
              <w:left w:val="nil"/>
              <w:bottom w:val="nil"/>
              <w:right w:val="nil"/>
            </w:tcBorders>
            <w:shd w:val="clear" w:color="auto" w:fill="auto"/>
            <w:vAlign w:val="bottom"/>
          </w:tcPr>
          <w:p w14:paraId="6AAEBF36" w14:textId="0657EBCB" w:rsidR="00914225" w:rsidRPr="00226892" w:rsidRDefault="005532AA"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197</w:t>
            </w:r>
          </w:p>
        </w:tc>
        <w:tc>
          <w:tcPr>
            <w:tcW w:w="196" w:type="dxa"/>
            <w:tcBorders>
              <w:top w:val="nil"/>
              <w:left w:val="nil"/>
              <w:bottom w:val="nil"/>
              <w:right w:val="nil"/>
            </w:tcBorders>
            <w:shd w:val="clear" w:color="auto" w:fill="auto"/>
            <w:vAlign w:val="bottom"/>
          </w:tcPr>
          <w:p w14:paraId="4CEA57AD" w14:textId="77777777" w:rsidR="00914225" w:rsidRPr="00226892" w:rsidRDefault="00914225" w:rsidP="00914225">
            <w:pPr>
              <w:rPr>
                <w:rFonts w:ascii="Arial" w:eastAsia="Times New Roman" w:hAnsi="Arial" w:cs="Arial"/>
                <w:color w:val="000000"/>
                <w:sz w:val="18"/>
                <w:szCs w:val="18"/>
                <w:lang w:val="sk-SK" w:eastAsia="sk-SK"/>
              </w:rPr>
            </w:pPr>
          </w:p>
        </w:tc>
        <w:tc>
          <w:tcPr>
            <w:tcW w:w="1710" w:type="dxa"/>
            <w:tcBorders>
              <w:top w:val="nil"/>
              <w:left w:val="nil"/>
              <w:bottom w:val="nil"/>
              <w:right w:val="nil"/>
            </w:tcBorders>
            <w:shd w:val="clear" w:color="auto" w:fill="auto"/>
            <w:vAlign w:val="bottom"/>
          </w:tcPr>
          <w:p w14:paraId="5532789D" w14:textId="45C76F37"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94" w:type="dxa"/>
            <w:tcBorders>
              <w:top w:val="nil"/>
              <w:left w:val="nil"/>
              <w:bottom w:val="nil"/>
              <w:right w:val="nil"/>
            </w:tcBorders>
            <w:shd w:val="clear" w:color="auto" w:fill="auto"/>
            <w:vAlign w:val="bottom"/>
          </w:tcPr>
          <w:p w14:paraId="0C4A070A" w14:textId="77777777" w:rsidR="00914225" w:rsidRPr="00226892" w:rsidRDefault="00914225" w:rsidP="00914225">
            <w:pPr>
              <w:rPr>
                <w:rFonts w:ascii="Arial" w:eastAsia="Times New Roman" w:hAnsi="Arial" w:cs="Arial"/>
                <w:color w:val="000000"/>
                <w:sz w:val="18"/>
                <w:szCs w:val="18"/>
                <w:lang w:val="sk-SK" w:eastAsia="sk-SK"/>
              </w:rPr>
            </w:pPr>
          </w:p>
        </w:tc>
        <w:tc>
          <w:tcPr>
            <w:tcW w:w="1581" w:type="dxa"/>
            <w:tcBorders>
              <w:top w:val="nil"/>
              <w:left w:val="nil"/>
              <w:bottom w:val="nil"/>
              <w:right w:val="nil"/>
            </w:tcBorders>
            <w:shd w:val="clear" w:color="auto" w:fill="auto"/>
            <w:vAlign w:val="bottom"/>
          </w:tcPr>
          <w:p w14:paraId="0EFCC29C" w14:textId="41A3118B" w:rsidR="00914225" w:rsidRPr="00226892" w:rsidRDefault="005532AA" w:rsidP="00C87144">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448</w:t>
            </w:r>
          </w:p>
        </w:tc>
      </w:tr>
      <w:tr w:rsidR="00914225" w:rsidRPr="00226892" w14:paraId="77B73745" w14:textId="77777777" w:rsidTr="004104F2">
        <w:trPr>
          <w:trHeight w:val="227"/>
        </w:trPr>
        <w:tc>
          <w:tcPr>
            <w:tcW w:w="4914" w:type="dxa"/>
            <w:tcBorders>
              <w:top w:val="nil"/>
              <w:left w:val="nil"/>
              <w:bottom w:val="nil"/>
              <w:right w:val="nil"/>
            </w:tcBorders>
            <w:shd w:val="clear" w:color="auto" w:fill="auto"/>
            <w:noWrap/>
            <w:vAlign w:val="bottom"/>
            <w:hideMark/>
          </w:tcPr>
          <w:p w14:paraId="116F8513" w14:textId="77777777" w:rsidR="00914225" w:rsidRPr="00226892" w:rsidRDefault="00914225" w:rsidP="00914225">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Zostatková hodnota na konci obdobia</w:t>
            </w:r>
          </w:p>
        </w:tc>
        <w:tc>
          <w:tcPr>
            <w:tcW w:w="196" w:type="dxa"/>
            <w:tcBorders>
              <w:top w:val="nil"/>
              <w:left w:val="nil"/>
              <w:bottom w:val="nil"/>
              <w:right w:val="nil"/>
            </w:tcBorders>
            <w:shd w:val="clear" w:color="auto" w:fill="auto"/>
            <w:noWrap/>
            <w:vAlign w:val="bottom"/>
            <w:hideMark/>
          </w:tcPr>
          <w:p w14:paraId="7E50D19D" w14:textId="77777777" w:rsidR="00914225" w:rsidRPr="00226892" w:rsidRDefault="00914225" w:rsidP="00914225">
            <w:pPr>
              <w:rPr>
                <w:rFonts w:ascii="Arial" w:eastAsia="Times New Roman" w:hAnsi="Arial" w:cs="Arial"/>
                <w:b/>
                <w:bCs/>
                <w:color w:val="000000"/>
                <w:sz w:val="18"/>
                <w:szCs w:val="18"/>
                <w:lang w:val="sk-SK" w:eastAsia="sk-SK"/>
              </w:rPr>
            </w:pPr>
          </w:p>
        </w:tc>
        <w:tc>
          <w:tcPr>
            <w:tcW w:w="1819" w:type="dxa"/>
            <w:tcBorders>
              <w:top w:val="single" w:sz="4" w:space="0" w:color="auto"/>
              <w:left w:val="nil"/>
              <w:bottom w:val="double" w:sz="6" w:space="0" w:color="auto"/>
              <w:right w:val="nil"/>
            </w:tcBorders>
            <w:shd w:val="clear" w:color="auto" w:fill="auto"/>
            <w:vAlign w:val="bottom"/>
          </w:tcPr>
          <w:p w14:paraId="7D866F37" w14:textId="6D5F1D51" w:rsidR="00914225" w:rsidRPr="00226892" w:rsidRDefault="00914225" w:rsidP="0091422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3 537</w:t>
            </w:r>
          </w:p>
        </w:tc>
        <w:tc>
          <w:tcPr>
            <w:tcW w:w="210" w:type="dxa"/>
            <w:tcBorders>
              <w:top w:val="nil"/>
              <w:left w:val="nil"/>
              <w:bottom w:val="nil"/>
              <w:right w:val="nil"/>
            </w:tcBorders>
            <w:shd w:val="clear" w:color="auto" w:fill="auto"/>
            <w:vAlign w:val="bottom"/>
          </w:tcPr>
          <w:p w14:paraId="29658280" w14:textId="77777777" w:rsidR="00914225" w:rsidRPr="00226892" w:rsidRDefault="00914225" w:rsidP="00914225">
            <w:pPr>
              <w:rPr>
                <w:rFonts w:ascii="Arial" w:eastAsia="Times New Roman" w:hAnsi="Arial" w:cs="Arial"/>
                <w:b/>
                <w:bCs/>
                <w:color w:val="000000"/>
                <w:sz w:val="18"/>
                <w:szCs w:val="18"/>
                <w:lang w:val="sk-SK" w:eastAsia="sk-SK"/>
              </w:rPr>
            </w:pPr>
          </w:p>
        </w:tc>
        <w:tc>
          <w:tcPr>
            <w:tcW w:w="1806" w:type="dxa"/>
            <w:tcBorders>
              <w:top w:val="single" w:sz="4" w:space="0" w:color="auto"/>
              <w:left w:val="nil"/>
              <w:bottom w:val="double" w:sz="6" w:space="0" w:color="auto"/>
              <w:right w:val="nil"/>
            </w:tcBorders>
            <w:shd w:val="clear" w:color="auto" w:fill="auto"/>
            <w:vAlign w:val="bottom"/>
          </w:tcPr>
          <w:p w14:paraId="364C232B" w14:textId="74F4A296" w:rsidR="00914225" w:rsidRPr="00226892" w:rsidRDefault="00914225" w:rsidP="0091422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27 632</w:t>
            </w:r>
          </w:p>
        </w:tc>
        <w:tc>
          <w:tcPr>
            <w:tcW w:w="224" w:type="dxa"/>
            <w:tcBorders>
              <w:top w:val="nil"/>
              <w:left w:val="nil"/>
              <w:bottom w:val="nil"/>
              <w:right w:val="nil"/>
            </w:tcBorders>
            <w:shd w:val="clear" w:color="auto" w:fill="auto"/>
            <w:vAlign w:val="bottom"/>
          </w:tcPr>
          <w:p w14:paraId="21EE0B14" w14:textId="77777777" w:rsidR="00914225" w:rsidRPr="00226892" w:rsidRDefault="00914225" w:rsidP="00914225">
            <w:pPr>
              <w:rPr>
                <w:rFonts w:ascii="Arial" w:eastAsia="Times New Roman" w:hAnsi="Arial" w:cs="Arial"/>
                <w:b/>
                <w:bCs/>
                <w:color w:val="000000"/>
                <w:sz w:val="18"/>
                <w:szCs w:val="18"/>
                <w:lang w:val="sk-SK" w:eastAsia="sk-SK"/>
              </w:rPr>
            </w:pPr>
          </w:p>
        </w:tc>
        <w:tc>
          <w:tcPr>
            <w:tcW w:w="1750" w:type="dxa"/>
            <w:tcBorders>
              <w:top w:val="single" w:sz="4" w:space="0" w:color="auto"/>
              <w:left w:val="nil"/>
              <w:bottom w:val="double" w:sz="6" w:space="0" w:color="auto"/>
              <w:right w:val="nil"/>
            </w:tcBorders>
            <w:shd w:val="clear" w:color="auto" w:fill="auto"/>
            <w:vAlign w:val="bottom"/>
          </w:tcPr>
          <w:p w14:paraId="442BCBAB" w14:textId="05A966E2" w:rsidR="00914225" w:rsidRPr="00226892" w:rsidRDefault="00914225" w:rsidP="0091422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39 048</w:t>
            </w:r>
          </w:p>
        </w:tc>
        <w:tc>
          <w:tcPr>
            <w:tcW w:w="196" w:type="dxa"/>
            <w:tcBorders>
              <w:top w:val="nil"/>
              <w:left w:val="nil"/>
              <w:bottom w:val="nil"/>
              <w:right w:val="nil"/>
            </w:tcBorders>
            <w:shd w:val="clear" w:color="auto" w:fill="auto"/>
            <w:vAlign w:val="bottom"/>
          </w:tcPr>
          <w:p w14:paraId="5F312AF2" w14:textId="77777777" w:rsidR="00914225" w:rsidRPr="00226892" w:rsidRDefault="00914225" w:rsidP="00914225">
            <w:pPr>
              <w:rPr>
                <w:rFonts w:ascii="Arial" w:eastAsia="Times New Roman" w:hAnsi="Arial" w:cs="Arial"/>
                <w:b/>
                <w:bCs/>
                <w:color w:val="000000"/>
                <w:sz w:val="18"/>
                <w:szCs w:val="18"/>
                <w:lang w:val="sk-SK" w:eastAsia="sk-SK"/>
              </w:rPr>
            </w:pPr>
          </w:p>
        </w:tc>
        <w:tc>
          <w:tcPr>
            <w:tcW w:w="1710" w:type="dxa"/>
            <w:tcBorders>
              <w:top w:val="single" w:sz="4" w:space="0" w:color="auto"/>
              <w:left w:val="nil"/>
              <w:bottom w:val="double" w:sz="6" w:space="0" w:color="auto"/>
              <w:right w:val="nil"/>
            </w:tcBorders>
            <w:shd w:val="clear" w:color="auto" w:fill="auto"/>
            <w:vAlign w:val="bottom"/>
          </w:tcPr>
          <w:p w14:paraId="7C497F38" w14:textId="4EDCB156" w:rsidR="00914225" w:rsidRPr="00226892" w:rsidRDefault="00914225" w:rsidP="0091422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4 154</w:t>
            </w:r>
          </w:p>
        </w:tc>
        <w:tc>
          <w:tcPr>
            <w:tcW w:w="194" w:type="dxa"/>
            <w:tcBorders>
              <w:top w:val="nil"/>
              <w:left w:val="nil"/>
              <w:bottom w:val="nil"/>
              <w:right w:val="nil"/>
            </w:tcBorders>
            <w:shd w:val="clear" w:color="auto" w:fill="auto"/>
            <w:vAlign w:val="bottom"/>
          </w:tcPr>
          <w:p w14:paraId="2AA28A78" w14:textId="77777777" w:rsidR="00914225" w:rsidRPr="00226892" w:rsidRDefault="00914225" w:rsidP="00914225">
            <w:pPr>
              <w:rPr>
                <w:rFonts w:ascii="Arial" w:eastAsia="Times New Roman" w:hAnsi="Arial" w:cs="Arial"/>
                <w:b/>
                <w:bCs/>
                <w:color w:val="000000"/>
                <w:sz w:val="18"/>
                <w:szCs w:val="18"/>
                <w:lang w:val="sk-SK" w:eastAsia="sk-SK"/>
              </w:rPr>
            </w:pPr>
          </w:p>
        </w:tc>
        <w:tc>
          <w:tcPr>
            <w:tcW w:w="1581" w:type="dxa"/>
            <w:tcBorders>
              <w:top w:val="single" w:sz="4" w:space="0" w:color="auto"/>
              <w:left w:val="nil"/>
              <w:bottom w:val="double" w:sz="6" w:space="0" w:color="auto"/>
              <w:right w:val="nil"/>
            </w:tcBorders>
            <w:shd w:val="clear" w:color="auto" w:fill="auto"/>
            <w:vAlign w:val="bottom"/>
          </w:tcPr>
          <w:p w14:paraId="38A6F2A3" w14:textId="038C03CB" w:rsidR="00914225" w:rsidRPr="00226892" w:rsidRDefault="00914225" w:rsidP="0091422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74 371</w:t>
            </w:r>
          </w:p>
        </w:tc>
      </w:tr>
      <w:tr w:rsidR="00914225" w:rsidRPr="00226892" w14:paraId="6E7B39EF" w14:textId="77777777" w:rsidTr="004104F2">
        <w:trPr>
          <w:trHeight w:val="227"/>
        </w:trPr>
        <w:tc>
          <w:tcPr>
            <w:tcW w:w="4914" w:type="dxa"/>
            <w:tcBorders>
              <w:top w:val="nil"/>
              <w:left w:val="nil"/>
              <w:bottom w:val="nil"/>
              <w:right w:val="nil"/>
            </w:tcBorders>
            <w:shd w:val="clear" w:color="auto" w:fill="auto"/>
            <w:noWrap/>
            <w:vAlign w:val="bottom"/>
            <w:hideMark/>
          </w:tcPr>
          <w:p w14:paraId="4AD04D06" w14:textId="77777777" w:rsidR="00914225" w:rsidRPr="00226892" w:rsidRDefault="00914225" w:rsidP="00914225">
            <w:pPr>
              <w:rPr>
                <w:rFonts w:ascii="Arial" w:eastAsia="Times New Roman" w:hAnsi="Arial" w:cs="Arial"/>
                <w:b/>
                <w:bCs/>
                <w:color w:val="000000"/>
                <w:sz w:val="16"/>
                <w:szCs w:val="16"/>
                <w:lang w:val="sk-SK" w:eastAsia="sk-SK"/>
              </w:rPr>
            </w:pPr>
          </w:p>
        </w:tc>
        <w:tc>
          <w:tcPr>
            <w:tcW w:w="196" w:type="dxa"/>
            <w:tcBorders>
              <w:top w:val="nil"/>
              <w:left w:val="nil"/>
              <w:bottom w:val="nil"/>
              <w:right w:val="nil"/>
            </w:tcBorders>
            <w:shd w:val="clear" w:color="auto" w:fill="auto"/>
            <w:noWrap/>
            <w:vAlign w:val="bottom"/>
            <w:hideMark/>
          </w:tcPr>
          <w:p w14:paraId="3427BBDE" w14:textId="77777777" w:rsidR="00914225" w:rsidRPr="00226892" w:rsidRDefault="00914225" w:rsidP="00914225">
            <w:pPr>
              <w:rPr>
                <w:rFonts w:ascii="Arial" w:eastAsia="Times New Roman" w:hAnsi="Arial" w:cs="Arial"/>
                <w:lang w:val="sk-SK" w:eastAsia="sk-SK"/>
              </w:rPr>
            </w:pPr>
          </w:p>
        </w:tc>
        <w:tc>
          <w:tcPr>
            <w:tcW w:w="1819" w:type="dxa"/>
            <w:tcBorders>
              <w:top w:val="nil"/>
              <w:left w:val="nil"/>
              <w:bottom w:val="nil"/>
              <w:right w:val="nil"/>
            </w:tcBorders>
            <w:shd w:val="clear" w:color="auto" w:fill="auto"/>
            <w:vAlign w:val="bottom"/>
          </w:tcPr>
          <w:p w14:paraId="735F0192" w14:textId="77777777" w:rsidR="00914225" w:rsidRPr="00226892" w:rsidRDefault="00914225" w:rsidP="00914225">
            <w:pPr>
              <w:jc w:val="right"/>
              <w:rPr>
                <w:rFonts w:ascii="Arial" w:eastAsia="Times New Roman" w:hAnsi="Arial" w:cs="Arial"/>
                <w:sz w:val="18"/>
                <w:szCs w:val="18"/>
                <w:lang w:val="sk-SK" w:eastAsia="sk-SK"/>
              </w:rPr>
            </w:pPr>
          </w:p>
        </w:tc>
        <w:tc>
          <w:tcPr>
            <w:tcW w:w="210" w:type="dxa"/>
            <w:tcBorders>
              <w:top w:val="nil"/>
              <w:left w:val="nil"/>
              <w:bottom w:val="nil"/>
              <w:right w:val="nil"/>
            </w:tcBorders>
            <w:shd w:val="clear" w:color="auto" w:fill="auto"/>
            <w:vAlign w:val="bottom"/>
          </w:tcPr>
          <w:p w14:paraId="1ECC3AA6" w14:textId="77777777" w:rsidR="00914225" w:rsidRPr="00226892" w:rsidRDefault="00914225" w:rsidP="00914225">
            <w:pPr>
              <w:rPr>
                <w:rFonts w:ascii="Arial" w:eastAsia="Times New Roman" w:hAnsi="Arial" w:cs="Arial"/>
                <w:sz w:val="18"/>
                <w:szCs w:val="18"/>
                <w:lang w:val="sk-SK" w:eastAsia="sk-SK"/>
              </w:rPr>
            </w:pPr>
          </w:p>
        </w:tc>
        <w:tc>
          <w:tcPr>
            <w:tcW w:w="1806" w:type="dxa"/>
            <w:tcBorders>
              <w:top w:val="nil"/>
              <w:left w:val="nil"/>
              <w:bottom w:val="nil"/>
              <w:right w:val="nil"/>
            </w:tcBorders>
            <w:shd w:val="clear" w:color="auto" w:fill="auto"/>
            <w:vAlign w:val="bottom"/>
          </w:tcPr>
          <w:p w14:paraId="1BF2A87B" w14:textId="77777777" w:rsidR="00914225" w:rsidRPr="00226892" w:rsidRDefault="00914225" w:rsidP="00914225">
            <w:pPr>
              <w:jc w:val="right"/>
              <w:rPr>
                <w:rFonts w:ascii="Arial" w:eastAsia="Times New Roman" w:hAnsi="Arial" w:cs="Arial"/>
                <w:sz w:val="18"/>
                <w:szCs w:val="18"/>
                <w:lang w:val="sk-SK" w:eastAsia="sk-SK"/>
              </w:rPr>
            </w:pPr>
          </w:p>
        </w:tc>
        <w:tc>
          <w:tcPr>
            <w:tcW w:w="224" w:type="dxa"/>
            <w:tcBorders>
              <w:top w:val="nil"/>
              <w:left w:val="nil"/>
              <w:bottom w:val="nil"/>
              <w:right w:val="nil"/>
            </w:tcBorders>
            <w:shd w:val="clear" w:color="auto" w:fill="auto"/>
            <w:vAlign w:val="bottom"/>
          </w:tcPr>
          <w:p w14:paraId="473636AC" w14:textId="77777777" w:rsidR="00914225" w:rsidRPr="00226892" w:rsidRDefault="00914225" w:rsidP="00914225">
            <w:pPr>
              <w:rPr>
                <w:rFonts w:ascii="Arial" w:eastAsia="Times New Roman" w:hAnsi="Arial" w:cs="Arial"/>
                <w:sz w:val="18"/>
                <w:szCs w:val="18"/>
                <w:lang w:val="sk-SK" w:eastAsia="sk-SK"/>
              </w:rPr>
            </w:pPr>
          </w:p>
        </w:tc>
        <w:tc>
          <w:tcPr>
            <w:tcW w:w="1750" w:type="dxa"/>
            <w:tcBorders>
              <w:top w:val="nil"/>
              <w:left w:val="nil"/>
              <w:bottom w:val="nil"/>
              <w:right w:val="nil"/>
            </w:tcBorders>
            <w:shd w:val="clear" w:color="auto" w:fill="auto"/>
            <w:vAlign w:val="bottom"/>
          </w:tcPr>
          <w:p w14:paraId="05DC42F9" w14:textId="77777777" w:rsidR="00914225" w:rsidRPr="00226892" w:rsidRDefault="00914225" w:rsidP="00914225">
            <w:pPr>
              <w:jc w:val="right"/>
              <w:rPr>
                <w:rFonts w:ascii="Arial" w:eastAsia="Times New Roman" w:hAnsi="Arial" w:cs="Arial"/>
                <w:sz w:val="18"/>
                <w:szCs w:val="18"/>
                <w:lang w:val="sk-SK" w:eastAsia="sk-SK"/>
              </w:rPr>
            </w:pPr>
          </w:p>
        </w:tc>
        <w:tc>
          <w:tcPr>
            <w:tcW w:w="196" w:type="dxa"/>
            <w:tcBorders>
              <w:top w:val="nil"/>
              <w:left w:val="nil"/>
              <w:bottom w:val="nil"/>
              <w:right w:val="nil"/>
            </w:tcBorders>
            <w:shd w:val="clear" w:color="auto" w:fill="auto"/>
            <w:vAlign w:val="bottom"/>
          </w:tcPr>
          <w:p w14:paraId="6E01FFCE" w14:textId="77777777" w:rsidR="00914225" w:rsidRPr="00226892" w:rsidRDefault="00914225" w:rsidP="00914225">
            <w:pPr>
              <w:rPr>
                <w:rFonts w:ascii="Arial" w:eastAsia="Times New Roman" w:hAnsi="Arial" w:cs="Arial"/>
                <w:sz w:val="18"/>
                <w:szCs w:val="18"/>
                <w:lang w:val="sk-SK" w:eastAsia="sk-SK"/>
              </w:rPr>
            </w:pPr>
          </w:p>
        </w:tc>
        <w:tc>
          <w:tcPr>
            <w:tcW w:w="1710" w:type="dxa"/>
            <w:tcBorders>
              <w:top w:val="nil"/>
              <w:left w:val="nil"/>
              <w:bottom w:val="nil"/>
              <w:right w:val="nil"/>
            </w:tcBorders>
            <w:shd w:val="clear" w:color="auto" w:fill="auto"/>
            <w:vAlign w:val="bottom"/>
          </w:tcPr>
          <w:p w14:paraId="5DBF6843" w14:textId="77777777" w:rsidR="00914225" w:rsidRPr="00226892" w:rsidRDefault="00914225" w:rsidP="00914225">
            <w:pPr>
              <w:jc w:val="right"/>
              <w:rPr>
                <w:rFonts w:ascii="Arial" w:eastAsia="Times New Roman" w:hAnsi="Arial" w:cs="Arial"/>
                <w:sz w:val="18"/>
                <w:szCs w:val="18"/>
                <w:lang w:val="sk-SK" w:eastAsia="sk-SK"/>
              </w:rPr>
            </w:pPr>
          </w:p>
        </w:tc>
        <w:tc>
          <w:tcPr>
            <w:tcW w:w="194" w:type="dxa"/>
            <w:tcBorders>
              <w:top w:val="nil"/>
              <w:left w:val="nil"/>
              <w:bottom w:val="nil"/>
              <w:right w:val="nil"/>
            </w:tcBorders>
            <w:shd w:val="clear" w:color="auto" w:fill="auto"/>
            <w:vAlign w:val="bottom"/>
          </w:tcPr>
          <w:p w14:paraId="130FB7DF" w14:textId="77777777" w:rsidR="00914225" w:rsidRPr="00226892" w:rsidRDefault="00914225" w:rsidP="00914225">
            <w:pPr>
              <w:rPr>
                <w:rFonts w:ascii="Arial" w:eastAsia="Times New Roman" w:hAnsi="Arial" w:cs="Arial"/>
                <w:sz w:val="18"/>
                <w:szCs w:val="18"/>
                <w:lang w:val="sk-SK" w:eastAsia="sk-SK"/>
              </w:rPr>
            </w:pPr>
          </w:p>
        </w:tc>
        <w:tc>
          <w:tcPr>
            <w:tcW w:w="1581" w:type="dxa"/>
            <w:tcBorders>
              <w:top w:val="nil"/>
              <w:left w:val="nil"/>
              <w:bottom w:val="nil"/>
              <w:right w:val="nil"/>
            </w:tcBorders>
            <w:shd w:val="clear" w:color="auto" w:fill="auto"/>
            <w:vAlign w:val="bottom"/>
          </w:tcPr>
          <w:p w14:paraId="5D0D9E35" w14:textId="77777777" w:rsidR="00914225" w:rsidRPr="00226892" w:rsidRDefault="00914225" w:rsidP="00914225">
            <w:pPr>
              <w:jc w:val="right"/>
              <w:rPr>
                <w:rFonts w:ascii="Arial" w:eastAsia="Times New Roman" w:hAnsi="Arial" w:cs="Arial"/>
                <w:sz w:val="18"/>
                <w:szCs w:val="18"/>
                <w:lang w:val="sk-SK" w:eastAsia="sk-SK"/>
              </w:rPr>
            </w:pPr>
          </w:p>
        </w:tc>
      </w:tr>
      <w:tr w:rsidR="00914225" w:rsidRPr="00226892" w14:paraId="2D1AD85A" w14:textId="77777777" w:rsidTr="004104F2">
        <w:trPr>
          <w:trHeight w:val="227"/>
        </w:trPr>
        <w:tc>
          <w:tcPr>
            <w:tcW w:w="4914" w:type="dxa"/>
            <w:tcBorders>
              <w:top w:val="nil"/>
              <w:left w:val="nil"/>
              <w:bottom w:val="nil"/>
              <w:right w:val="nil"/>
            </w:tcBorders>
            <w:shd w:val="clear" w:color="auto" w:fill="auto"/>
            <w:noWrap/>
            <w:vAlign w:val="bottom"/>
            <w:hideMark/>
          </w:tcPr>
          <w:p w14:paraId="086A6822" w14:textId="73AC590A" w:rsidR="00914225" w:rsidRPr="00226892" w:rsidRDefault="00C87144" w:rsidP="00914225">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k</w:t>
            </w:r>
            <w:r w:rsidR="00914225" w:rsidRPr="00226892">
              <w:rPr>
                <w:rFonts w:ascii="Arial" w:eastAsia="Times New Roman" w:hAnsi="Arial" w:cs="Arial"/>
                <w:b/>
                <w:bCs/>
                <w:color w:val="000000"/>
                <w:sz w:val="18"/>
                <w:szCs w:val="18"/>
                <w:lang w:val="sk-SK" w:eastAsia="sk-SK"/>
              </w:rPr>
              <w:t xml:space="preserve"> 31-12-2017</w:t>
            </w:r>
          </w:p>
        </w:tc>
        <w:tc>
          <w:tcPr>
            <w:tcW w:w="196" w:type="dxa"/>
            <w:tcBorders>
              <w:top w:val="nil"/>
              <w:left w:val="nil"/>
              <w:bottom w:val="nil"/>
              <w:right w:val="nil"/>
            </w:tcBorders>
            <w:shd w:val="clear" w:color="auto" w:fill="auto"/>
            <w:noWrap/>
            <w:vAlign w:val="bottom"/>
            <w:hideMark/>
          </w:tcPr>
          <w:p w14:paraId="75299FD0" w14:textId="77777777" w:rsidR="00914225" w:rsidRPr="00226892" w:rsidRDefault="00914225" w:rsidP="00914225">
            <w:pPr>
              <w:rPr>
                <w:rFonts w:ascii="Arial" w:eastAsia="Times New Roman" w:hAnsi="Arial" w:cs="Arial"/>
                <w:b/>
                <w:bCs/>
                <w:color w:val="000000"/>
                <w:sz w:val="18"/>
                <w:szCs w:val="18"/>
                <w:lang w:val="sk-SK" w:eastAsia="sk-SK"/>
              </w:rPr>
            </w:pPr>
          </w:p>
        </w:tc>
        <w:tc>
          <w:tcPr>
            <w:tcW w:w="1819" w:type="dxa"/>
            <w:tcBorders>
              <w:top w:val="nil"/>
              <w:left w:val="nil"/>
              <w:bottom w:val="nil"/>
              <w:right w:val="nil"/>
            </w:tcBorders>
            <w:shd w:val="clear" w:color="auto" w:fill="auto"/>
            <w:vAlign w:val="bottom"/>
          </w:tcPr>
          <w:p w14:paraId="58E4E8FF" w14:textId="77777777" w:rsidR="00914225" w:rsidRPr="00226892" w:rsidRDefault="00914225" w:rsidP="00914225">
            <w:pPr>
              <w:jc w:val="right"/>
              <w:rPr>
                <w:rFonts w:ascii="Arial" w:eastAsia="Times New Roman" w:hAnsi="Arial" w:cs="Arial"/>
                <w:sz w:val="18"/>
                <w:szCs w:val="18"/>
                <w:lang w:val="sk-SK" w:eastAsia="sk-SK"/>
              </w:rPr>
            </w:pPr>
          </w:p>
        </w:tc>
        <w:tc>
          <w:tcPr>
            <w:tcW w:w="210" w:type="dxa"/>
            <w:tcBorders>
              <w:top w:val="nil"/>
              <w:left w:val="nil"/>
              <w:bottom w:val="nil"/>
              <w:right w:val="nil"/>
            </w:tcBorders>
            <w:shd w:val="clear" w:color="auto" w:fill="auto"/>
            <w:vAlign w:val="bottom"/>
          </w:tcPr>
          <w:p w14:paraId="60CB50FB" w14:textId="77777777" w:rsidR="00914225" w:rsidRPr="00226892" w:rsidRDefault="00914225" w:rsidP="00914225">
            <w:pPr>
              <w:rPr>
                <w:rFonts w:ascii="Arial" w:eastAsia="Times New Roman" w:hAnsi="Arial" w:cs="Arial"/>
                <w:sz w:val="18"/>
                <w:szCs w:val="18"/>
                <w:lang w:val="sk-SK" w:eastAsia="sk-SK"/>
              </w:rPr>
            </w:pPr>
          </w:p>
        </w:tc>
        <w:tc>
          <w:tcPr>
            <w:tcW w:w="1806" w:type="dxa"/>
            <w:tcBorders>
              <w:top w:val="nil"/>
              <w:left w:val="nil"/>
              <w:bottom w:val="nil"/>
              <w:right w:val="nil"/>
            </w:tcBorders>
            <w:shd w:val="clear" w:color="auto" w:fill="auto"/>
            <w:vAlign w:val="bottom"/>
          </w:tcPr>
          <w:p w14:paraId="72EE9EEC" w14:textId="77777777" w:rsidR="00914225" w:rsidRPr="00226892" w:rsidRDefault="00914225" w:rsidP="00914225">
            <w:pPr>
              <w:jc w:val="right"/>
              <w:rPr>
                <w:rFonts w:ascii="Arial" w:eastAsia="Times New Roman" w:hAnsi="Arial" w:cs="Arial"/>
                <w:sz w:val="18"/>
                <w:szCs w:val="18"/>
                <w:lang w:val="sk-SK" w:eastAsia="sk-SK"/>
              </w:rPr>
            </w:pPr>
          </w:p>
        </w:tc>
        <w:tc>
          <w:tcPr>
            <w:tcW w:w="224" w:type="dxa"/>
            <w:tcBorders>
              <w:top w:val="nil"/>
              <w:left w:val="nil"/>
              <w:bottom w:val="nil"/>
              <w:right w:val="nil"/>
            </w:tcBorders>
            <w:shd w:val="clear" w:color="auto" w:fill="auto"/>
            <w:vAlign w:val="bottom"/>
          </w:tcPr>
          <w:p w14:paraId="4753B999" w14:textId="77777777" w:rsidR="00914225" w:rsidRPr="00226892" w:rsidRDefault="00914225" w:rsidP="00914225">
            <w:pPr>
              <w:rPr>
                <w:rFonts w:ascii="Arial" w:eastAsia="Times New Roman" w:hAnsi="Arial" w:cs="Arial"/>
                <w:sz w:val="18"/>
                <w:szCs w:val="18"/>
                <w:lang w:val="sk-SK" w:eastAsia="sk-SK"/>
              </w:rPr>
            </w:pPr>
          </w:p>
        </w:tc>
        <w:tc>
          <w:tcPr>
            <w:tcW w:w="1750" w:type="dxa"/>
            <w:tcBorders>
              <w:top w:val="nil"/>
              <w:left w:val="nil"/>
              <w:bottom w:val="nil"/>
              <w:right w:val="nil"/>
            </w:tcBorders>
            <w:shd w:val="clear" w:color="auto" w:fill="auto"/>
            <w:vAlign w:val="bottom"/>
          </w:tcPr>
          <w:p w14:paraId="7203F1C7" w14:textId="77777777" w:rsidR="00914225" w:rsidRPr="00226892" w:rsidRDefault="00914225" w:rsidP="00914225">
            <w:pPr>
              <w:jc w:val="right"/>
              <w:rPr>
                <w:rFonts w:ascii="Arial" w:eastAsia="Times New Roman" w:hAnsi="Arial" w:cs="Arial"/>
                <w:sz w:val="18"/>
                <w:szCs w:val="18"/>
                <w:lang w:val="sk-SK" w:eastAsia="sk-SK"/>
              </w:rPr>
            </w:pPr>
          </w:p>
        </w:tc>
        <w:tc>
          <w:tcPr>
            <w:tcW w:w="196" w:type="dxa"/>
            <w:tcBorders>
              <w:top w:val="nil"/>
              <w:left w:val="nil"/>
              <w:bottom w:val="nil"/>
              <w:right w:val="nil"/>
            </w:tcBorders>
            <w:shd w:val="clear" w:color="auto" w:fill="auto"/>
            <w:vAlign w:val="bottom"/>
          </w:tcPr>
          <w:p w14:paraId="1C5F5F46" w14:textId="77777777" w:rsidR="00914225" w:rsidRPr="00226892" w:rsidRDefault="00914225" w:rsidP="00914225">
            <w:pPr>
              <w:rPr>
                <w:rFonts w:ascii="Arial" w:eastAsia="Times New Roman" w:hAnsi="Arial" w:cs="Arial"/>
                <w:sz w:val="18"/>
                <w:szCs w:val="18"/>
                <w:lang w:val="sk-SK" w:eastAsia="sk-SK"/>
              </w:rPr>
            </w:pPr>
          </w:p>
        </w:tc>
        <w:tc>
          <w:tcPr>
            <w:tcW w:w="1710" w:type="dxa"/>
            <w:tcBorders>
              <w:top w:val="nil"/>
              <w:left w:val="nil"/>
              <w:bottom w:val="nil"/>
              <w:right w:val="nil"/>
            </w:tcBorders>
            <w:shd w:val="clear" w:color="auto" w:fill="auto"/>
            <w:vAlign w:val="bottom"/>
          </w:tcPr>
          <w:p w14:paraId="11D6BD33" w14:textId="77777777" w:rsidR="00914225" w:rsidRPr="00226892" w:rsidRDefault="00914225" w:rsidP="00914225">
            <w:pPr>
              <w:jc w:val="right"/>
              <w:rPr>
                <w:rFonts w:ascii="Arial" w:eastAsia="Times New Roman" w:hAnsi="Arial" w:cs="Arial"/>
                <w:sz w:val="18"/>
                <w:szCs w:val="18"/>
                <w:lang w:val="sk-SK" w:eastAsia="sk-SK"/>
              </w:rPr>
            </w:pPr>
          </w:p>
        </w:tc>
        <w:tc>
          <w:tcPr>
            <w:tcW w:w="194" w:type="dxa"/>
            <w:tcBorders>
              <w:top w:val="nil"/>
              <w:left w:val="nil"/>
              <w:bottom w:val="nil"/>
              <w:right w:val="nil"/>
            </w:tcBorders>
            <w:shd w:val="clear" w:color="auto" w:fill="auto"/>
            <w:vAlign w:val="bottom"/>
          </w:tcPr>
          <w:p w14:paraId="76250CEA" w14:textId="77777777" w:rsidR="00914225" w:rsidRPr="00226892" w:rsidRDefault="00914225" w:rsidP="00914225">
            <w:pPr>
              <w:rPr>
                <w:rFonts w:ascii="Arial" w:eastAsia="Times New Roman" w:hAnsi="Arial" w:cs="Arial"/>
                <w:sz w:val="18"/>
                <w:szCs w:val="18"/>
                <w:lang w:val="sk-SK" w:eastAsia="sk-SK"/>
              </w:rPr>
            </w:pPr>
          </w:p>
        </w:tc>
        <w:tc>
          <w:tcPr>
            <w:tcW w:w="1581" w:type="dxa"/>
            <w:tcBorders>
              <w:top w:val="nil"/>
              <w:left w:val="nil"/>
              <w:bottom w:val="nil"/>
              <w:right w:val="nil"/>
            </w:tcBorders>
            <w:shd w:val="clear" w:color="auto" w:fill="auto"/>
            <w:vAlign w:val="bottom"/>
          </w:tcPr>
          <w:p w14:paraId="066D607A" w14:textId="77777777" w:rsidR="00914225" w:rsidRPr="00226892" w:rsidRDefault="00914225" w:rsidP="00914225">
            <w:pPr>
              <w:jc w:val="right"/>
              <w:rPr>
                <w:rFonts w:ascii="Arial" w:eastAsia="Times New Roman" w:hAnsi="Arial" w:cs="Arial"/>
                <w:sz w:val="18"/>
                <w:szCs w:val="18"/>
                <w:lang w:val="sk-SK" w:eastAsia="sk-SK"/>
              </w:rPr>
            </w:pPr>
          </w:p>
        </w:tc>
      </w:tr>
      <w:tr w:rsidR="00914225" w:rsidRPr="00226892" w14:paraId="18F6EFC0" w14:textId="77777777" w:rsidTr="004104F2">
        <w:trPr>
          <w:trHeight w:val="227"/>
        </w:trPr>
        <w:tc>
          <w:tcPr>
            <w:tcW w:w="4914" w:type="dxa"/>
            <w:tcBorders>
              <w:top w:val="nil"/>
              <w:left w:val="nil"/>
              <w:bottom w:val="nil"/>
              <w:right w:val="nil"/>
            </w:tcBorders>
            <w:shd w:val="clear" w:color="auto" w:fill="auto"/>
            <w:noWrap/>
            <w:vAlign w:val="bottom"/>
            <w:hideMark/>
          </w:tcPr>
          <w:p w14:paraId="79EAB8BA" w14:textId="77777777" w:rsidR="00914225" w:rsidRPr="00226892" w:rsidRDefault="00914225" w:rsidP="0091422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Obstarávacia cena</w:t>
            </w:r>
          </w:p>
        </w:tc>
        <w:tc>
          <w:tcPr>
            <w:tcW w:w="196" w:type="dxa"/>
            <w:tcBorders>
              <w:top w:val="nil"/>
              <w:left w:val="nil"/>
              <w:bottom w:val="nil"/>
              <w:right w:val="nil"/>
            </w:tcBorders>
            <w:shd w:val="clear" w:color="auto" w:fill="auto"/>
            <w:noWrap/>
            <w:vAlign w:val="bottom"/>
            <w:hideMark/>
          </w:tcPr>
          <w:p w14:paraId="3CBDB513" w14:textId="77777777" w:rsidR="00914225" w:rsidRPr="00226892" w:rsidRDefault="00914225" w:rsidP="00914225">
            <w:pPr>
              <w:rPr>
                <w:rFonts w:ascii="Arial" w:eastAsia="Times New Roman" w:hAnsi="Arial" w:cs="Arial"/>
                <w:color w:val="000000"/>
                <w:sz w:val="18"/>
                <w:szCs w:val="18"/>
                <w:lang w:val="sk-SK" w:eastAsia="sk-SK"/>
              </w:rPr>
            </w:pPr>
          </w:p>
        </w:tc>
        <w:tc>
          <w:tcPr>
            <w:tcW w:w="1819" w:type="dxa"/>
            <w:tcBorders>
              <w:top w:val="nil"/>
              <w:left w:val="nil"/>
              <w:bottom w:val="nil"/>
              <w:right w:val="nil"/>
            </w:tcBorders>
            <w:shd w:val="clear" w:color="auto" w:fill="auto"/>
            <w:vAlign w:val="bottom"/>
          </w:tcPr>
          <w:p w14:paraId="54D87D55" w14:textId="41CA398C"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3 537</w:t>
            </w:r>
          </w:p>
        </w:tc>
        <w:tc>
          <w:tcPr>
            <w:tcW w:w="210" w:type="dxa"/>
            <w:tcBorders>
              <w:top w:val="nil"/>
              <w:left w:val="nil"/>
              <w:bottom w:val="nil"/>
              <w:right w:val="nil"/>
            </w:tcBorders>
            <w:shd w:val="clear" w:color="auto" w:fill="auto"/>
            <w:vAlign w:val="bottom"/>
          </w:tcPr>
          <w:p w14:paraId="104D0125" w14:textId="77777777" w:rsidR="00914225" w:rsidRPr="00226892" w:rsidRDefault="00914225" w:rsidP="00914225">
            <w:pPr>
              <w:rPr>
                <w:rFonts w:ascii="Arial" w:eastAsia="Times New Roman" w:hAnsi="Arial" w:cs="Arial"/>
                <w:color w:val="000000"/>
                <w:sz w:val="18"/>
                <w:szCs w:val="18"/>
                <w:lang w:val="sk-SK" w:eastAsia="sk-SK"/>
              </w:rPr>
            </w:pPr>
          </w:p>
        </w:tc>
        <w:tc>
          <w:tcPr>
            <w:tcW w:w="1806" w:type="dxa"/>
            <w:tcBorders>
              <w:top w:val="nil"/>
              <w:left w:val="nil"/>
              <w:bottom w:val="nil"/>
              <w:right w:val="nil"/>
            </w:tcBorders>
            <w:shd w:val="clear" w:color="auto" w:fill="auto"/>
            <w:vAlign w:val="bottom"/>
          </w:tcPr>
          <w:p w14:paraId="7531A50E" w14:textId="060E84FB"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39 351</w:t>
            </w:r>
          </w:p>
        </w:tc>
        <w:tc>
          <w:tcPr>
            <w:tcW w:w="224" w:type="dxa"/>
            <w:tcBorders>
              <w:top w:val="nil"/>
              <w:left w:val="nil"/>
              <w:bottom w:val="nil"/>
              <w:right w:val="nil"/>
            </w:tcBorders>
            <w:shd w:val="clear" w:color="auto" w:fill="auto"/>
            <w:vAlign w:val="bottom"/>
          </w:tcPr>
          <w:p w14:paraId="0C960845" w14:textId="77777777" w:rsidR="00914225" w:rsidRPr="00226892" w:rsidRDefault="00914225" w:rsidP="00914225">
            <w:pPr>
              <w:rPr>
                <w:rFonts w:ascii="Arial" w:eastAsia="Times New Roman" w:hAnsi="Arial" w:cs="Arial"/>
                <w:color w:val="000000"/>
                <w:sz w:val="18"/>
                <w:szCs w:val="18"/>
                <w:lang w:val="sk-SK" w:eastAsia="sk-SK"/>
              </w:rPr>
            </w:pPr>
          </w:p>
        </w:tc>
        <w:tc>
          <w:tcPr>
            <w:tcW w:w="1750" w:type="dxa"/>
            <w:tcBorders>
              <w:top w:val="nil"/>
              <w:left w:val="nil"/>
              <w:bottom w:val="nil"/>
              <w:right w:val="nil"/>
            </w:tcBorders>
            <w:shd w:val="clear" w:color="auto" w:fill="auto"/>
            <w:vAlign w:val="bottom"/>
          </w:tcPr>
          <w:p w14:paraId="72C7EE0B" w14:textId="761051D8"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96 833</w:t>
            </w:r>
          </w:p>
        </w:tc>
        <w:tc>
          <w:tcPr>
            <w:tcW w:w="196" w:type="dxa"/>
            <w:tcBorders>
              <w:top w:val="nil"/>
              <w:left w:val="nil"/>
              <w:bottom w:val="nil"/>
              <w:right w:val="nil"/>
            </w:tcBorders>
            <w:shd w:val="clear" w:color="auto" w:fill="auto"/>
            <w:vAlign w:val="bottom"/>
          </w:tcPr>
          <w:p w14:paraId="7B0417ED" w14:textId="77777777" w:rsidR="00914225" w:rsidRPr="00226892" w:rsidRDefault="00914225" w:rsidP="00914225">
            <w:pPr>
              <w:rPr>
                <w:rFonts w:ascii="Arial" w:eastAsia="Times New Roman" w:hAnsi="Arial" w:cs="Arial"/>
                <w:color w:val="000000"/>
                <w:sz w:val="18"/>
                <w:szCs w:val="18"/>
                <w:lang w:val="sk-SK" w:eastAsia="sk-SK"/>
              </w:rPr>
            </w:pPr>
          </w:p>
        </w:tc>
        <w:tc>
          <w:tcPr>
            <w:tcW w:w="1710" w:type="dxa"/>
            <w:tcBorders>
              <w:top w:val="nil"/>
              <w:left w:val="nil"/>
              <w:bottom w:val="nil"/>
              <w:right w:val="nil"/>
            </w:tcBorders>
            <w:shd w:val="clear" w:color="auto" w:fill="auto"/>
            <w:vAlign w:val="bottom"/>
          </w:tcPr>
          <w:p w14:paraId="6716C9B8" w14:textId="6B20C24D"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4 154</w:t>
            </w:r>
          </w:p>
        </w:tc>
        <w:tc>
          <w:tcPr>
            <w:tcW w:w="194" w:type="dxa"/>
            <w:tcBorders>
              <w:top w:val="nil"/>
              <w:left w:val="nil"/>
              <w:bottom w:val="nil"/>
              <w:right w:val="nil"/>
            </w:tcBorders>
            <w:shd w:val="clear" w:color="auto" w:fill="auto"/>
            <w:vAlign w:val="bottom"/>
          </w:tcPr>
          <w:p w14:paraId="704583F6" w14:textId="77777777" w:rsidR="00914225" w:rsidRPr="00226892" w:rsidRDefault="00914225" w:rsidP="00914225">
            <w:pPr>
              <w:rPr>
                <w:rFonts w:ascii="Arial" w:eastAsia="Times New Roman" w:hAnsi="Arial" w:cs="Arial"/>
                <w:color w:val="000000"/>
                <w:sz w:val="18"/>
                <w:szCs w:val="18"/>
                <w:lang w:val="sk-SK" w:eastAsia="sk-SK"/>
              </w:rPr>
            </w:pPr>
          </w:p>
        </w:tc>
        <w:tc>
          <w:tcPr>
            <w:tcW w:w="1581" w:type="dxa"/>
            <w:tcBorders>
              <w:top w:val="nil"/>
              <w:left w:val="nil"/>
              <w:bottom w:val="nil"/>
              <w:right w:val="nil"/>
            </w:tcBorders>
            <w:shd w:val="clear" w:color="auto" w:fill="auto"/>
            <w:vAlign w:val="bottom"/>
          </w:tcPr>
          <w:p w14:paraId="35E478B1" w14:textId="62CB0778"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143 875</w:t>
            </w:r>
          </w:p>
        </w:tc>
      </w:tr>
      <w:tr w:rsidR="00914225" w:rsidRPr="00226892" w14:paraId="6C7E23F8" w14:textId="77777777" w:rsidTr="004104F2">
        <w:trPr>
          <w:trHeight w:val="227"/>
        </w:trPr>
        <w:tc>
          <w:tcPr>
            <w:tcW w:w="4914" w:type="dxa"/>
            <w:tcBorders>
              <w:top w:val="nil"/>
              <w:left w:val="nil"/>
              <w:bottom w:val="nil"/>
              <w:right w:val="nil"/>
            </w:tcBorders>
            <w:shd w:val="clear" w:color="auto" w:fill="auto"/>
            <w:noWrap/>
            <w:vAlign w:val="bottom"/>
            <w:hideMark/>
          </w:tcPr>
          <w:p w14:paraId="54585D3C" w14:textId="77777777" w:rsidR="00914225" w:rsidRPr="00226892" w:rsidRDefault="00914225" w:rsidP="0091422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Oprávky</w:t>
            </w:r>
          </w:p>
        </w:tc>
        <w:tc>
          <w:tcPr>
            <w:tcW w:w="196" w:type="dxa"/>
            <w:tcBorders>
              <w:top w:val="nil"/>
              <w:left w:val="nil"/>
              <w:bottom w:val="nil"/>
              <w:right w:val="nil"/>
            </w:tcBorders>
            <w:shd w:val="clear" w:color="auto" w:fill="auto"/>
            <w:noWrap/>
            <w:vAlign w:val="bottom"/>
            <w:hideMark/>
          </w:tcPr>
          <w:p w14:paraId="5CFDA162" w14:textId="77777777" w:rsidR="00914225" w:rsidRPr="00226892" w:rsidRDefault="00914225" w:rsidP="00914225">
            <w:pPr>
              <w:rPr>
                <w:rFonts w:ascii="Arial" w:eastAsia="Times New Roman" w:hAnsi="Arial" w:cs="Arial"/>
                <w:color w:val="000000"/>
                <w:sz w:val="18"/>
                <w:szCs w:val="18"/>
                <w:lang w:val="sk-SK" w:eastAsia="sk-SK"/>
              </w:rPr>
            </w:pPr>
          </w:p>
        </w:tc>
        <w:tc>
          <w:tcPr>
            <w:tcW w:w="1819" w:type="dxa"/>
            <w:tcBorders>
              <w:top w:val="nil"/>
              <w:left w:val="nil"/>
              <w:bottom w:val="nil"/>
              <w:right w:val="nil"/>
            </w:tcBorders>
            <w:shd w:val="clear" w:color="auto" w:fill="auto"/>
            <w:vAlign w:val="bottom"/>
          </w:tcPr>
          <w:p w14:paraId="09251D99" w14:textId="21EA7E68"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210" w:type="dxa"/>
            <w:tcBorders>
              <w:top w:val="nil"/>
              <w:left w:val="nil"/>
              <w:bottom w:val="nil"/>
              <w:right w:val="nil"/>
            </w:tcBorders>
            <w:shd w:val="clear" w:color="auto" w:fill="auto"/>
            <w:vAlign w:val="bottom"/>
          </w:tcPr>
          <w:p w14:paraId="6FED26C2" w14:textId="77777777" w:rsidR="00914225" w:rsidRPr="00226892" w:rsidRDefault="00914225" w:rsidP="00914225">
            <w:pPr>
              <w:rPr>
                <w:rFonts w:ascii="Arial" w:eastAsia="Times New Roman" w:hAnsi="Arial" w:cs="Arial"/>
                <w:color w:val="000000"/>
                <w:sz w:val="18"/>
                <w:szCs w:val="18"/>
                <w:lang w:val="sk-SK" w:eastAsia="sk-SK"/>
              </w:rPr>
            </w:pPr>
          </w:p>
        </w:tc>
        <w:tc>
          <w:tcPr>
            <w:tcW w:w="1806" w:type="dxa"/>
            <w:tcBorders>
              <w:top w:val="nil"/>
              <w:left w:val="nil"/>
              <w:bottom w:val="nil"/>
              <w:right w:val="nil"/>
            </w:tcBorders>
            <w:shd w:val="clear" w:color="auto" w:fill="auto"/>
            <w:vAlign w:val="bottom"/>
          </w:tcPr>
          <w:p w14:paraId="77F4D8CF" w14:textId="447209AD"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-11 7</w:t>
            </w:r>
            <w:r w:rsidR="00C87144" w:rsidRPr="00226892">
              <w:rPr>
                <w:rFonts w:ascii="Arial" w:eastAsia="Times New Roman" w:hAnsi="Arial" w:cs="Arial"/>
                <w:color w:val="000000"/>
                <w:sz w:val="18"/>
                <w:szCs w:val="18"/>
                <w:lang w:val="sk-SK" w:eastAsia="sk-SK"/>
              </w:rPr>
              <w:t>20</w:t>
            </w:r>
          </w:p>
        </w:tc>
        <w:tc>
          <w:tcPr>
            <w:tcW w:w="224" w:type="dxa"/>
            <w:tcBorders>
              <w:top w:val="nil"/>
              <w:left w:val="nil"/>
              <w:bottom w:val="nil"/>
              <w:right w:val="nil"/>
            </w:tcBorders>
            <w:shd w:val="clear" w:color="auto" w:fill="auto"/>
            <w:vAlign w:val="bottom"/>
          </w:tcPr>
          <w:p w14:paraId="072E729E" w14:textId="77777777" w:rsidR="00914225" w:rsidRPr="00226892" w:rsidRDefault="00914225" w:rsidP="00914225">
            <w:pPr>
              <w:rPr>
                <w:rFonts w:ascii="Arial" w:eastAsia="Times New Roman" w:hAnsi="Arial" w:cs="Arial"/>
                <w:color w:val="000000"/>
                <w:sz w:val="18"/>
                <w:szCs w:val="18"/>
                <w:lang w:val="sk-SK" w:eastAsia="sk-SK"/>
              </w:rPr>
            </w:pPr>
          </w:p>
        </w:tc>
        <w:tc>
          <w:tcPr>
            <w:tcW w:w="1750" w:type="dxa"/>
            <w:tcBorders>
              <w:top w:val="nil"/>
              <w:left w:val="nil"/>
              <w:bottom w:val="nil"/>
              <w:right w:val="nil"/>
            </w:tcBorders>
            <w:shd w:val="clear" w:color="auto" w:fill="auto"/>
            <w:vAlign w:val="bottom"/>
          </w:tcPr>
          <w:p w14:paraId="1BEFBCCA" w14:textId="71D226DF"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-57 785</w:t>
            </w:r>
          </w:p>
        </w:tc>
        <w:tc>
          <w:tcPr>
            <w:tcW w:w="196" w:type="dxa"/>
            <w:tcBorders>
              <w:top w:val="nil"/>
              <w:left w:val="nil"/>
              <w:bottom w:val="nil"/>
              <w:right w:val="nil"/>
            </w:tcBorders>
            <w:shd w:val="clear" w:color="auto" w:fill="auto"/>
            <w:vAlign w:val="bottom"/>
          </w:tcPr>
          <w:p w14:paraId="572A5D5C" w14:textId="77777777" w:rsidR="00914225" w:rsidRPr="00226892" w:rsidRDefault="00914225" w:rsidP="00914225">
            <w:pPr>
              <w:rPr>
                <w:rFonts w:ascii="Arial" w:eastAsia="Times New Roman" w:hAnsi="Arial" w:cs="Arial"/>
                <w:color w:val="000000"/>
                <w:sz w:val="18"/>
                <w:szCs w:val="18"/>
                <w:lang w:val="sk-SK" w:eastAsia="sk-SK"/>
              </w:rPr>
            </w:pPr>
          </w:p>
        </w:tc>
        <w:tc>
          <w:tcPr>
            <w:tcW w:w="1710" w:type="dxa"/>
            <w:tcBorders>
              <w:top w:val="nil"/>
              <w:left w:val="nil"/>
              <w:bottom w:val="nil"/>
              <w:right w:val="nil"/>
            </w:tcBorders>
            <w:shd w:val="clear" w:color="auto" w:fill="auto"/>
            <w:vAlign w:val="bottom"/>
          </w:tcPr>
          <w:p w14:paraId="0F4C734F" w14:textId="262A35EB"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hAnsi="Arial" w:cs="Arial"/>
                <w:color w:val="000000"/>
                <w:sz w:val="18"/>
                <w:szCs w:val="18"/>
                <w:lang w:val="sk-SK" w:eastAsia="sk-SK"/>
              </w:rPr>
              <w:t>-</w:t>
            </w:r>
          </w:p>
        </w:tc>
        <w:tc>
          <w:tcPr>
            <w:tcW w:w="194" w:type="dxa"/>
            <w:tcBorders>
              <w:top w:val="nil"/>
              <w:left w:val="nil"/>
              <w:bottom w:val="nil"/>
              <w:right w:val="nil"/>
            </w:tcBorders>
            <w:shd w:val="clear" w:color="auto" w:fill="auto"/>
            <w:vAlign w:val="bottom"/>
          </w:tcPr>
          <w:p w14:paraId="02F04BDC" w14:textId="77777777" w:rsidR="00914225" w:rsidRPr="00226892" w:rsidRDefault="00914225" w:rsidP="00914225">
            <w:pPr>
              <w:rPr>
                <w:rFonts w:ascii="Arial" w:eastAsia="Times New Roman" w:hAnsi="Arial" w:cs="Arial"/>
                <w:color w:val="000000"/>
                <w:sz w:val="18"/>
                <w:szCs w:val="18"/>
                <w:lang w:val="sk-SK" w:eastAsia="sk-SK"/>
              </w:rPr>
            </w:pPr>
          </w:p>
        </w:tc>
        <w:tc>
          <w:tcPr>
            <w:tcW w:w="1581" w:type="dxa"/>
            <w:tcBorders>
              <w:top w:val="nil"/>
              <w:left w:val="nil"/>
              <w:bottom w:val="nil"/>
              <w:right w:val="nil"/>
            </w:tcBorders>
            <w:shd w:val="clear" w:color="auto" w:fill="auto"/>
            <w:vAlign w:val="bottom"/>
          </w:tcPr>
          <w:p w14:paraId="579AE633" w14:textId="3C634A6B" w:rsidR="00914225" w:rsidRPr="00226892" w:rsidRDefault="00914225" w:rsidP="009142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-69 504</w:t>
            </w:r>
          </w:p>
        </w:tc>
      </w:tr>
      <w:tr w:rsidR="00914225" w:rsidRPr="00226892" w14:paraId="6D330BED" w14:textId="77777777" w:rsidTr="004104F2">
        <w:trPr>
          <w:trHeight w:val="227"/>
        </w:trPr>
        <w:tc>
          <w:tcPr>
            <w:tcW w:w="4914" w:type="dxa"/>
            <w:tcBorders>
              <w:top w:val="nil"/>
              <w:left w:val="nil"/>
              <w:bottom w:val="nil"/>
              <w:right w:val="nil"/>
            </w:tcBorders>
            <w:shd w:val="clear" w:color="auto" w:fill="auto"/>
            <w:noWrap/>
            <w:vAlign w:val="bottom"/>
            <w:hideMark/>
          </w:tcPr>
          <w:p w14:paraId="3E36D216" w14:textId="77777777" w:rsidR="00914225" w:rsidRPr="00226892" w:rsidRDefault="00914225" w:rsidP="00914225">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Zostatková hodnota </w:t>
            </w:r>
          </w:p>
        </w:tc>
        <w:tc>
          <w:tcPr>
            <w:tcW w:w="196" w:type="dxa"/>
            <w:tcBorders>
              <w:top w:val="nil"/>
              <w:left w:val="nil"/>
              <w:bottom w:val="nil"/>
              <w:right w:val="nil"/>
            </w:tcBorders>
            <w:shd w:val="clear" w:color="auto" w:fill="auto"/>
            <w:noWrap/>
            <w:vAlign w:val="bottom"/>
            <w:hideMark/>
          </w:tcPr>
          <w:p w14:paraId="58266C89" w14:textId="77777777" w:rsidR="00914225" w:rsidRPr="00226892" w:rsidRDefault="00914225" w:rsidP="00914225">
            <w:pPr>
              <w:rPr>
                <w:rFonts w:ascii="Arial" w:eastAsia="Times New Roman" w:hAnsi="Arial" w:cs="Arial"/>
                <w:b/>
                <w:bCs/>
                <w:color w:val="000000"/>
                <w:sz w:val="18"/>
                <w:szCs w:val="18"/>
                <w:lang w:val="sk-SK" w:eastAsia="sk-SK"/>
              </w:rPr>
            </w:pPr>
          </w:p>
        </w:tc>
        <w:tc>
          <w:tcPr>
            <w:tcW w:w="1819" w:type="dxa"/>
            <w:tcBorders>
              <w:top w:val="single" w:sz="4" w:space="0" w:color="auto"/>
              <w:left w:val="nil"/>
              <w:bottom w:val="double" w:sz="6" w:space="0" w:color="auto"/>
              <w:right w:val="nil"/>
            </w:tcBorders>
            <w:shd w:val="clear" w:color="auto" w:fill="auto"/>
            <w:vAlign w:val="bottom"/>
          </w:tcPr>
          <w:p w14:paraId="551E95BD" w14:textId="482AC0BD" w:rsidR="00914225" w:rsidRPr="00226892" w:rsidRDefault="00914225" w:rsidP="0091422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3 537</w:t>
            </w:r>
          </w:p>
        </w:tc>
        <w:tc>
          <w:tcPr>
            <w:tcW w:w="210" w:type="dxa"/>
            <w:tcBorders>
              <w:top w:val="nil"/>
              <w:left w:val="nil"/>
              <w:bottom w:val="nil"/>
              <w:right w:val="nil"/>
            </w:tcBorders>
            <w:shd w:val="clear" w:color="auto" w:fill="auto"/>
            <w:vAlign w:val="bottom"/>
          </w:tcPr>
          <w:p w14:paraId="116368ED" w14:textId="77777777" w:rsidR="00914225" w:rsidRPr="00226892" w:rsidRDefault="00914225" w:rsidP="00914225">
            <w:pPr>
              <w:rPr>
                <w:rFonts w:ascii="Arial" w:eastAsia="Times New Roman" w:hAnsi="Arial" w:cs="Arial"/>
                <w:b/>
                <w:bCs/>
                <w:color w:val="000000"/>
                <w:sz w:val="18"/>
                <w:szCs w:val="18"/>
                <w:lang w:val="sk-SK" w:eastAsia="sk-SK"/>
              </w:rPr>
            </w:pPr>
          </w:p>
        </w:tc>
        <w:tc>
          <w:tcPr>
            <w:tcW w:w="1806" w:type="dxa"/>
            <w:tcBorders>
              <w:top w:val="single" w:sz="4" w:space="0" w:color="auto"/>
              <w:left w:val="nil"/>
              <w:bottom w:val="double" w:sz="6" w:space="0" w:color="auto"/>
              <w:right w:val="nil"/>
            </w:tcBorders>
            <w:shd w:val="clear" w:color="auto" w:fill="auto"/>
            <w:vAlign w:val="bottom"/>
          </w:tcPr>
          <w:p w14:paraId="2DBD09D7" w14:textId="5EE62F93" w:rsidR="00914225" w:rsidRPr="00226892" w:rsidRDefault="00914225" w:rsidP="0091422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27 63</w:t>
            </w:r>
            <w:r w:rsidR="00C87144" w:rsidRPr="00226892">
              <w:rPr>
                <w:rFonts w:ascii="Arial" w:eastAsia="Times New Roman" w:hAnsi="Arial" w:cs="Arial"/>
                <w:b/>
                <w:bCs/>
                <w:color w:val="000000"/>
                <w:sz w:val="18"/>
                <w:szCs w:val="18"/>
                <w:lang w:val="sk-SK" w:eastAsia="sk-SK"/>
              </w:rPr>
              <w:t>1</w:t>
            </w:r>
          </w:p>
        </w:tc>
        <w:tc>
          <w:tcPr>
            <w:tcW w:w="224" w:type="dxa"/>
            <w:tcBorders>
              <w:top w:val="nil"/>
              <w:left w:val="nil"/>
              <w:bottom w:val="nil"/>
              <w:right w:val="nil"/>
            </w:tcBorders>
            <w:shd w:val="clear" w:color="auto" w:fill="auto"/>
            <w:vAlign w:val="bottom"/>
          </w:tcPr>
          <w:p w14:paraId="482F4A5B" w14:textId="77777777" w:rsidR="00914225" w:rsidRPr="00226892" w:rsidRDefault="00914225" w:rsidP="00914225">
            <w:pPr>
              <w:rPr>
                <w:rFonts w:ascii="Arial" w:eastAsia="Times New Roman" w:hAnsi="Arial" w:cs="Arial"/>
                <w:b/>
                <w:bCs/>
                <w:color w:val="000000"/>
                <w:sz w:val="18"/>
                <w:szCs w:val="18"/>
                <w:lang w:val="sk-SK" w:eastAsia="sk-SK"/>
              </w:rPr>
            </w:pPr>
          </w:p>
        </w:tc>
        <w:tc>
          <w:tcPr>
            <w:tcW w:w="1750" w:type="dxa"/>
            <w:tcBorders>
              <w:top w:val="single" w:sz="4" w:space="0" w:color="auto"/>
              <w:left w:val="nil"/>
              <w:bottom w:val="double" w:sz="6" w:space="0" w:color="auto"/>
              <w:right w:val="nil"/>
            </w:tcBorders>
            <w:shd w:val="clear" w:color="auto" w:fill="auto"/>
            <w:vAlign w:val="bottom"/>
          </w:tcPr>
          <w:p w14:paraId="59446950" w14:textId="0FD97192" w:rsidR="00914225" w:rsidRPr="00226892" w:rsidRDefault="00914225" w:rsidP="0091422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39 048</w:t>
            </w:r>
          </w:p>
        </w:tc>
        <w:tc>
          <w:tcPr>
            <w:tcW w:w="196" w:type="dxa"/>
            <w:tcBorders>
              <w:top w:val="nil"/>
              <w:left w:val="nil"/>
              <w:bottom w:val="nil"/>
              <w:right w:val="nil"/>
            </w:tcBorders>
            <w:shd w:val="clear" w:color="auto" w:fill="auto"/>
            <w:vAlign w:val="bottom"/>
          </w:tcPr>
          <w:p w14:paraId="3088FD40" w14:textId="77777777" w:rsidR="00914225" w:rsidRPr="00226892" w:rsidRDefault="00914225" w:rsidP="00914225">
            <w:pPr>
              <w:rPr>
                <w:rFonts w:ascii="Arial" w:eastAsia="Times New Roman" w:hAnsi="Arial" w:cs="Arial"/>
                <w:b/>
                <w:bCs/>
                <w:color w:val="000000"/>
                <w:sz w:val="18"/>
                <w:szCs w:val="18"/>
                <w:lang w:val="sk-SK" w:eastAsia="sk-SK"/>
              </w:rPr>
            </w:pPr>
          </w:p>
        </w:tc>
        <w:tc>
          <w:tcPr>
            <w:tcW w:w="1710" w:type="dxa"/>
            <w:tcBorders>
              <w:top w:val="single" w:sz="4" w:space="0" w:color="auto"/>
              <w:left w:val="nil"/>
              <w:bottom w:val="double" w:sz="6" w:space="0" w:color="auto"/>
              <w:right w:val="nil"/>
            </w:tcBorders>
            <w:shd w:val="clear" w:color="auto" w:fill="auto"/>
            <w:vAlign w:val="bottom"/>
          </w:tcPr>
          <w:p w14:paraId="12685C44" w14:textId="2BDC7BE4" w:rsidR="00914225" w:rsidRPr="00226892" w:rsidRDefault="00914225" w:rsidP="0091422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4 1</w:t>
            </w:r>
            <w:r w:rsidR="00206D7F" w:rsidRPr="00226892">
              <w:rPr>
                <w:rFonts w:ascii="Arial" w:eastAsia="Times New Roman" w:hAnsi="Arial" w:cs="Arial"/>
                <w:b/>
                <w:bCs/>
                <w:color w:val="000000"/>
                <w:sz w:val="18"/>
                <w:szCs w:val="18"/>
                <w:lang w:val="sk-SK" w:eastAsia="sk-SK"/>
              </w:rPr>
              <w:t>54</w:t>
            </w:r>
          </w:p>
        </w:tc>
        <w:tc>
          <w:tcPr>
            <w:tcW w:w="194" w:type="dxa"/>
            <w:tcBorders>
              <w:top w:val="nil"/>
              <w:left w:val="nil"/>
              <w:bottom w:val="nil"/>
              <w:right w:val="nil"/>
            </w:tcBorders>
            <w:shd w:val="clear" w:color="auto" w:fill="auto"/>
            <w:vAlign w:val="bottom"/>
          </w:tcPr>
          <w:p w14:paraId="48A85247" w14:textId="77777777" w:rsidR="00914225" w:rsidRPr="00226892" w:rsidRDefault="00914225" w:rsidP="00914225">
            <w:pPr>
              <w:rPr>
                <w:rFonts w:ascii="Arial" w:eastAsia="Times New Roman" w:hAnsi="Arial" w:cs="Arial"/>
                <w:b/>
                <w:bCs/>
                <w:color w:val="000000"/>
                <w:sz w:val="18"/>
                <w:szCs w:val="18"/>
                <w:lang w:val="sk-SK" w:eastAsia="sk-SK"/>
              </w:rPr>
            </w:pPr>
          </w:p>
        </w:tc>
        <w:tc>
          <w:tcPr>
            <w:tcW w:w="1581" w:type="dxa"/>
            <w:tcBorders>
              <w:top w:val="single" w:sz="4" w:space="0" w:color="auto"/>
              <w:left w:val="nil"/>
              <w:bottom w:val="double" w:sz="6" w:space="0" w:color="auto"/>
              <w:right w:val="nil"/>
            </w:tcBorders>
            <w:shd w:val="clear" w:color="auto" w:fill="auto"/>
            <w:vAlign w:val="bottom"/>
          </w:tcPr>
          <w:p w14:paraId="7C6942C2" w14:textId="62D78ABA" w:rsidR="00914225" w:rsidRPr="00226892" w:rsidRDefault="00914225" w:rsidP="0091422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74 371</w:t>
            </w:r>
          </w:p>
        </w:tc>
      </w:tr>
    </w:tbl>
    <w:p w14:paraId="22877319" w14:textId="70327F31" w:rsidR="00092119" w:rsidRPr="00226892" w:rsidRDefault="00092119" w:rsidP="0009499B">
      <w:pPr>
        <w:rPr>
          <w:rFonts w:ascii="Arial" w:hAnsi="Arial" w:cs="Arial"/>
        </w:rPr>
      </w:pPr>
      <w:r w:rsidRPr="00226892">
        <w:rPr>
          <w:rFonts w:ascii="Arial" w:hAnsi="Arial" w:cs="Arial"/>
        </w:rPr>
        <w:t xml:space="preserve"> </w:t>
      </w:r>
      <w:bookmarkEnd w:id="332"/>
      <w:r w:rsidRPr="00226892">
        <w:rPr>
          <w:rFonts w:ascii="Arial" w:hAnsi="Arial" w:cs="Arial"/>
        </w:rPr>
        <w:t xml:space="preserve"> </w:t>
      </w:r>
    </w:p>
    <w:tbl>
      <w:tblPr>
        <w:tblW w:w="14590" w:type="dxa"/>
        <w:tblCellMar>
          <w:left w:w="70" w:type="dxa"/>
          <w:right w:w="70" w:type="dxa"/>
        </w:tblCellMar>
        <w:tblLook w:val="04A0" w:firstRow="1" w:lastRow="0" w:firstColumn="1" w:lastColumn="0" w:noHBand="0" w:noVBand="1"/>
      </w:tblPr>
      <w:tblGrid>
        <w:gridCol w:w="4914"/>
        <w:gridCol w:w="196"/>
        <w:gridCol w:w="1833"/>
        <w:gridCol w:w="196"/>
        <w:gridCol w:w="1792"/>
        <w:gridCol w:w="238"/>
        <w:gridCol w:w="1736"/>
        <w:gridCol w:w="196"/>
        <w:gridCol w:w="1707"/>
        <w:gridCol w:w="196"/>
        <w:gridCol w:w="1586"/>
      </w:tblGrid>
      <w:tr w:rsidR="00AD18C3" w:rsidRPr="00226892" w14:paraId="766CADEF" w14:textId="77777777" w:rsidTr="00FD21B8">
        <w:trPr>
          <w:trHeight w:val="227"/>
        </w:trPr>
        <w:tc>
          <w:tcPr>
            <w:tcW w:w="4914" w:type="dxa"/>
            <w:tcBorders>
              <w:top w:val="nil"/>
              <w:left w:val="nil"/>
              <w:bottom w:val="nil"/>
              <w:right w:val="nil"/>
            </w:tcBorders>
            <w:shd w:val="clear" w:color="auto" w:fill="auto"/>
            <w:noWrap/>
            <w:vAlign w:val="bottom"/>
            <w:hideMark/>
          </w:tcPr>
          <w:p w14:paraId="1A6459EA" w14:textId="01F1DF76" w:rsidR="00AD18C3" w:rsidRPr="00226892" w:rsidRDefault="00AD18C3" w:rsidP="0009499B">
            <w:pPr>
              <w:rPr>
                <w:rFonts w:ascii="Arial" w:eastAsia="Times New Roman" w:hAnsi="Arial" w:cs="Arial"/>
                <w:b/>
                <w:bCs/>
                <w:color w:val="000000"/>
                <w:sz w:val="18"/>
                <w:szCs w:val="18"/>
                <w:lang w:val="sk-SK" w:eastAsia="sk-SK"/>
              </w:rPr>
            </w:pPr>
            <w:bookmarkStart w:id="334" w:name="FWT_PPE_CY"/>
            <w:r w:rsidRPr="00226892">
              <w:rPr>
                <w:rFonts w:ascii="Arial" w:eastAsia="Times New Roman" w:hAnsi="Arial" w:cs="Arial"/>
                <w:b/>
                <w:bCs/>
                <w:color w:val="000000"/>
                <w:sz w:val="18"/>
                <w:szCs w:val="18"/>
                <w:lang w:val="sk-SK" w:eastAsia="sk-SK"/>
              </w:rPr>
              <w:t>Rok končiaci 31-12-</w:t>
            </w:r>
            <w:r w:rsidR="00FD3AC5" w:rsidRPr="00226892">
              <w:rPr>
                <w:rFonts w:ascii="Arial" w:eastAsia="Times New Roman" w:hAnsi="Arial" w:cs="Arial"/>
                <w:b/>
                <w:bCs/>
                <w:color w:val="000000"/>
                <w:sz w:val="18"/>
                <w:szCs w:val="18"/>
                <w:lang w:val="sk-SK" w:eastAsia="sk-SK"/>
              </w:rPr>
              <w:t>2018</w:t>
            </w:r>
          </w:p>
        </w:tc>
        <w:tc>
          <w:tcPr>
            <w:tcW w:w="196" w:type="dxa"/>
            <w:tcBorders>
              <w:top w:val="nil"/>
              <w:left w:val="nil"/>
              <w:bottom w:val="nil"/>
              <w:right w:val="nil"/>
            </w:tcBorders>
            <w:shd w:val="clear" w:color="auto" w:fill="auto"/>
            <w:noWrap/>
            <w:vAlign w:val="bottom"/>
            <w:hideMark/>
          </w:tcPr>
          <w:p w14:paraId="16DA289F" w14:textId="77777777" w:rsidR="00AD18C3" w:rsidRPr="00226892" w:rsidRDefault="00AD18C3" w:rsidP="0009499B">
            <w:pPr>
              <w:rPr>
                <w:rFonts w:ascii="Arial" w:eastAsia="Times New Roman" w:hAnsi="Arial" w:cs="Arial"/>
                <w:b/>
                <w:bCs/>
                <w:color w:val="000000"/>
                <w:sz w:val="18"/>
                <w:szCs w:val="18"/>
                <w:lang w:val="sk-SK" w:eastAsia="sk-SK"/>
              </w:rPr>
            </w:pPr>
          </w:p>
        </w:tc>
        <w:tc>
          <w:tcPr>
            <w:tcW w:w="1833" w:type="dxa"/>
            <w:tcBorders>
              <w:top w:val="nil"/>
              <w:left w:val="nil"/>
              <w:bottom w:val="nil"/>
              <w:right w:val="nil"/>
            </w:tcBorders>
            <w:shd w:val="clear" w:color="auto" w:fill="auto"/>
            <w:vAlign w:val="bottom"/>
            <w:hideMark/>
          </w:tcPr>
          <w:p w14:paraId="4A552198" w14:textId="77777777" w:rsidR="00AD18C3" w:rsidRPr="00226892" w:rsidRDefault="00AD18C3" w:rsidP="00FD21B8">
            <w:pPr>
              <w:jc w:val="right"/>
              <w:rPr>
                <w:rFonts w:ascii="Arial" w:eastAsia="Times New Roman" w:hAnsi="Arial" w:cs="Arial"/>
                <w:sz w:val="18"/>
                <w:szCs w:val="18"/>
                <w:lang w:val="sk-SK" w:eastAsia="sk-SK"/>
              </w:rPr>
            </w:pPr>
          </w:p>
        </w:tc>
        <w:tc>
          <w:tcPr>
            <w:tcW w:w="196" w:type="dxa"/>
            <w:tcBorders>
              <w:top w:val="nil"/>
              <w:left w:val="nil"/>
              <w:bottom w:val="nil"/>
              <w:right w:val="nil"/>
            </w:tcBorders>
            <w:shd w:val="clear" w:color="auto" w:fill="auto"/>
            <w:vAlign w:val="bottom"/>
            <w:hideMark/>
          </w:tcPr>
          <w:p w14:paraId="3EF6A926" w14:textId="77777777" w:rsidR="00AD18C3" w:rsidRPr="00226892" w:rsidRDefault="00AD18C3" w:rsidP="00FD21B8">
            <w:pPr>
              <w:jc w:val="right"/>
              <w:rPr>
                <w:rFonts w:ascii="Arial" w:eastAsia="Times New Roman" w:hAnsi="Arial" w:cs="Arial"/>
                <w:sz w:val="18"/>
                <w:szCs w:val="18"/>
                <w:lang w:val="sk-SK" w:eastAsia="sk-SK"/>
              </w:rPr>
            </w:pPr>
          </w:p>
        </w:tc>
        <w:tc>
          <w:tcPr>
            <w:tcW w:w="1792" w:type="dxa"/>
            <w:tcBorders>
              <w:top w:val="nil"/>
              <w:left w:val="nil"/>
              <w:bottom w:val="nil"/>
              <w:right w:val="nil"/>
            </w:tcBorders>
            <w:shd w:val="clear" w:color="auto" w:fill="auto"/>
            <w:vAlign w:val="bottom"/>
            <w:hideMark/>
          </w:tcPr>
          <w:p w14:paraId="17C3E3FC" w14:textId="77777777" w:rsidR="00AD18C3" w:rsidRPr="00226892" w:rsidRDefault="00AD18C3" w:rsidP="00FD21B8">
            <w:pPr>
              <w:jc w:val="right"/>
              <w:rPr>
                <w:rFonts w:ascii="Arial" w:eastAsia="Times New Roman" w:hAnsi="Arial" w:cs="Arial"/>
                <w:sz w:val="18"/>
                <w:szCs w:val="18"/>
                <w:lang w:val="sk-SK" w:eastAsia="sk-SK"/>
              </w:rPr>
            </w:pPr>
          </w:p>
        </w:tc>
        <w:tc>
          <w:tcPr>
            <w:tcW w:w="238" w:type="dxa"/>
            <w:tcBorders>
              <w:top w:val="nil"/>
              <w:left w:val="nil"/>
              <w:bottom w:val="nil"/>
              <w:right w:val="nil"/>
            </w:tcBorders>
            <w:shd w:val="clear" w:color="auto" w:fill="auto"/>
            <w:vAlign w:val="bottom"/>
            <w:hideMark/>
          </w:tcPr>
          <w:p w14:paraId="510DF178" w14:textId="77777777" w:rsidR="00AD18C3" w:rsidRPr="00226892" w:rsidRDefault="00AD18C3" w:rsidP="00FD21B8">
            <w:pPr>
              <w:jc w:val="right"/>
              <w:rPr>
                <w:rFonts w:ascii="Arial" w:eastAsia="Times New Roman" w:hAnsi="Arial" w:cs="Arial"/>
                <w:sz w:val="18"/>
                <w:szCs w:val="18"/>
                <w:lang w:val="sk-SK" w:eastAsia="sk-SK"/>
              </w:rPr>
            </w:pPr>
          </w:p>
        </w:tc>
        <w:tc>
          <w:tcPr>
            <w:tcW w:w="1736" w:type="dxa"/>
            <w:tcBorders>
              <w:top w:val="nil"/>
              <w:left w:val="nil"/>
              <w:bottom w:val="nil"/>
              <w:right w:val="nil"/>
            </w:tcBorders>
            <w:shd w:val="clear" w:color="auto" w:fill="auto"/>
            <w:vAlign w:val="bottom"/>
            <w:hideMark/>
          </w:tcPr>
          <w:p w14:paraId="1EF567E8" w14:textId="77777777" w:rsidR="00AD18C3" w:rsidRPr="00226892" w:rsidRDefault="00AD18C3" w:rsidP="00FD21B8">
            <w:pPr>
              <w:jc w:val="right"/>
              <w:rPr>
                <w:rFonts w:ascii="Arial" w:eastAsia="Times New Roman" w:hAnsi="Arial" w:cs="Arial"/>
                <w:sz w:val="18"/>
                <w:szCs w:val="18"/>
                <w:lang w:val="sk-SK" w:eastAsia="sk-SK"/>
              </w:rPr>
            </w:pPr>
          </w:p>
        </w:tc>
        <w:tc>
          <w:tcPr>
            <w:tcW w:w="196" w:type="dxa"/>
            <w:tcBorders>
              <w:top w:val="nil"/>
              <w:left w:val="nil"/>
              <w:bottom w:val="nil"/>
              <w:right w:val="nil"/>
            </w:tcBorders>
            <w:shd w:val="clear" w:color="auto" w:fill="auto"/>
            <w:vAlign w:val="bottom"/>
            <w:hideMark/>
          </w:tcPr>
          <w:p w14:paraId="479FE48E" w14:textId="77777777" w:rsidR="00AD18C3" w:rsidRPr="00226892" w:rsidRDefault="00AD18C3" w:rsidP="00FD21B8">
            <w:pPr>
              <w:jc w:val="right"/>
              <w:rPr>
                <w:rFonts w:ascii="Arial" w:eastAsia="Times New Roman" w:hAnsi="Arial" w:cs="Arial"/>
                <w:sz w:val="18"/>
                <w:szCs w:val="18"/>
                <w:lang w:val="sk-SK" w:eastAsia="sk-SK"/>
              </w:rPr>
            </w:pPr>
          </w:p>
        </w:tc>
        <w:tc>
          <w:tcPr>
            <w:tcW w:w="1707" w:type="dxa"/>
            <w:tcBorders>
              <w:top w:val="nil"/>
              <w:left w:val="nil"/>
              <w:bottom w:val="nil"/>
              <w:right w:val="nil"/>
            </w:tcBorders>
            <w:shd w:val="clear" w:color="auto" w:fill="auto"/>
            <w:vAlign w:val="bottom"/>
            <w:hideMark/>
          </w:tcPr>
          <w:p w14:paraId="5C0FFB0B" w14:textId="77777777" w:rsidR="00AD18C3" w:rsidRPr="00226892" w:rsidRDefault="00AD18C3" w:rsidP="00FD21B8">
            <w:pPr>
              <w:jc w:val="right"/>
              <w:rPr>
                <w:rFonts w:ascii="Arial" w:eastAsia="Times New Roman" w:hAnsi="Arial" w:cs="Arial"/>
                <w:sz w:val="18"/>
                <w:szCs w:val="18"/>
                <w:lang w:val="sk-SK" w:eastAsia="sk-SK"/>
              </w:rPr>
            </w:pPr>
          </w:p>
        </w:tc>
        <w:tc>
          <w:tcPr>
            <w:tcW w:w="196" w:type="dxa"/>
            <w:tcBorders>
              <w:top w:val="nil"/>
              <w:left w:val="nil"/>
              <w:bottom w:val="nil"/>
              <w:right w:val="nil"/>
            </w:tcBorders>
            <w:vAlign w:val="bottom"/>
          </w:tcPr>
          <w:p w14:paraId="571807F7" w14:textId="77777777" w:rsidR="00AD18C3" w:rsidRPr="00226892" w:rsidRDefault="00AD18C3" w:rsidP="00FD21B8">
            <w:pPr>
              <w:jc w:val="right"/>
              <w:rPr>
                <w:rFonts w:ascii="Arial" w:eastAsia="Times New Roman" w:hAnsi="Arial" w:cs="Arial"/>
                <w:sz w:val="18"/>
                <w:szCs w:val="18"/>
                <w:lang w:val="sk-SK" w:eastAsia="sk-SK"/>
              </w:rPr>
            </w:pPr>
          </w:p>
        </w:tc>
        <w:tc>
          <w:tcPr>
            <w:tcW w:w="1586" w:type="dxa"/>
            <w:tcBorders>
              <w:top w:val="nil"/>
              <w:left w:val="nil"/>
              <w:bottom w:val="nil"/>
              <w:right w:val="nil"/>
            </w:tcBorders>
            <w:shd w:val="clear" w:color="auto" w:fill="auto"/>
            <w:vAlign w:val="bottom"/>
            <w:hideMark/>
          </w:tcPr>
          <w:p w14:paraId="7281BE41" w14:textId="4676D00B" w:rsidR="00AD18C3" w:rsidRPr="00226892" w:rsidRDefault="00AD18C3" w:rsidP="00FD21B8">
            <w:pPr>
              <w:jc w:val="right"/>
              <w:rPr>
                <w:rFonts w:ascii="Arial" w:eastAsia="Times New Roman" w:hAnsi="Arial" w:cs="Arial"/>
                <w:sz w:val="18"/>
                <w:szCs w:val="18"/>
                <w:lang w:val="sk-SK" w:eastAsia="sk-SK"/>
              </w:rPr>
            </w:pPr>
          </w:p>
        </w:tc>
      </w:tr>
      <w:tr w:rsidR="00AD18C3" w:rsidRPr="00226892" w14:paraId="5B8845A2" w14:textId="77777777" w:rsidTr="00D25A3F">
        <w:trPr>
          <w:trHeight w:val="227"/>
        </w:trPr>
        <w:tc>
          <w:tcPr>
            <w:tcW w:w="4914" w:type="dxa"/>
            <w:tcBorders>
              <w:top w:val="nil"/>
              <w:left w:val="nil"/>
              <w:bottom w:val="nil"/>
              <w:right w:val="nil"/>
            </w:tcBorders>
            <w:shd w:val="clear" w:color="auto" w:fill="auto"/>
            <w:noWrap/>
            <w:vAlign w:val="bottom"/>
            <w:hideMark/>
          </w:tcPr>
          <w:p w14:paraId="4259A070" w14:textId="77777777" w:rsidR="00AD18C3" w:rsidRPr="00226892" w:rsidRDefault="00AD18C3" w:rsidP="0009499B">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Prírastky</w:t>
            </w:r>
          </w:p>
        </w:tc>
        <w:tc>
          <w:tcPr>
            <w:tcW w:w="196" w:type="dxa"/>
            <w:tcBorders>
              <w:top w:val="nil"/>
              <w:left w:val="nil"/>
              <w:bottom w:val="nil"/>
              <w:right w:val="nil"/>
            </w:tcBorders>
            <w:shd w:val="clear" w:color="auto" w:fill="auto"/>
            <w:noWrap/>
            <w:vAlign w:val="bottom"/>
            <w:hideMark/>
          </w:tcPr>
          <w:p w14:paraId="036CB0D9" w14:textId="77777777" w:rsidR="00AD18C3" w:rsidRPr="00226892" w:rsidRDefault="00AD18C3" w:rsidP="0009499B">
            <w:pPr>
              <w:rPr>
                <w:rFonts w:ascii="Arial" w:eastAsia="Times New Roman" w:hAnsi="Arial" w:cs="Arial"/>
                <w:color w:val="000000"/>
                <w:sz w:val="18"/>
                <w:szCs w:val="18"/>
                <w:lang w:val="sk-SK" w:eastAsia="sk-SK"/>
              </w:rPr>
            </w:pPr>
          </w:p>
        </w:tc>
        <w:tc>
          <w:tcPr>
            <w:tcW w:w="1833" w:type="dxa"/>
            <w:tcBorders>
              <w:top w:val="nil"/>
              <w:left w:val="nil"/>
              <w:bottom w:val="nil"/>
              <w:right w:val="nil"/>
            </w:tcBorders>
            <w:shd w:val="clear" w:color="auto" w:fill="auto"/>
            <w:vAlign w:val="bottom"/>
          </w:tcPr>
          <w:p w14:paraId="7BC9253B" w14:textId="371655D5" w:rsidR="00AD18C3" w:rsidRPr="00226892" w:rsidRDefault="00E16F0B"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96" w:type="dxa"/>
            <w:tcBorders>
              <w:top w:val="nil"/>
              <w:left w:val="nil"/>
              <w:bottom w:val="nil"/>
              <w:right w:val="nil"/>
            </w:tcBorders>
            <w:shd w:val="clear" w:color="auto" w:fill="auto"/>
            <w:vAlign w:val="bottom"/>
          </w:tcPr>
          <w:p w14:paraId="6EA655AC" w14:textId="77777777" w:rsidR="00AD18C3" w:rsidRPr="00226892" w:rsidRDefault="00AD18C3" w:rsidP="00FD21B8">
            <w:pPr>
              <w:jc w:val="right"/>
              <w:rPr>
                <w:rFonts w:ascii="Arial" w:eastAsia="Times New Roman" w:hAnsi="Arial" w:cs="Arial"/>
                <w:color w:val="000000"/>
                <w:sz w:val="18"/>
                <w:szCs w:val="18"/>
                <w:lang w:val="sk-SK" w:eastAsia="sk-SK"/>
              </w:rPr>
            </w:pPr>
          </w:p>
        </w:tc>
        <w:tc>
          <w:tcPr>
            <w:tcW w:w="1792" w:type="dxa"/>
            <w:tcBorders>
              <w:top w:val="nil"/>
              <w:left w:val="nil"/>
              <w:bottom w:val="nil"/>
              <w:right w:val="nil"/>
            </w:tcBorders>
            <w:shd w:val="clear" w:color="auto" w:fill="auto"/>
            <w:vAlign w:val="bottom"/>
          </w:tcPr>
          <w:p w14:paraId="7E319075" w14:textId="6EE7AD69" w:rsidR="00AD18C3" w:rsidRPr="00226892" w:rsidRDefault="00E16F0B"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238" w:type="dxa"/>
            <w:tcBorders>
              <w:top w:val="nil"/>
              <w:left w:val="nil"/>
              <w:bottom w:val="nil"/>
              <w:right w:val="nil"/>
            </w:tcBorders>
            <w:shd w:val="clear" w:color="auto" w:fill="auto"/>
            <w:vAlign w:val="bottom"/>
          </w:tcPr>
          <w:p w14:paraId="4E7FC4C6" w14:textId="77777777" w:rsidR="00AD18C3" w:rsidRPr="00226892" w:rsidRDefault="00AD18C3" w:rsidP="00FD21B8">
            <w:pPr>
              <w:jc w:val="right"/>
              <w:rPr>
                <w:rFonts w:ascii="Arial" w:eastAsia="Times New Roman" w:hAnsi="Arial" w:cs="Arial"/>
                <w:color w:val="000000"/>
                <w:sz w:val="18"/>
                <w:szCs w:val="18"/>
                <w:lang w:val="sk-SK" w:eastAsia="sk-SK"/>
              </w:rPr>
            </w:pPr>
          </w:p>
        </w:tc>
        <w:tc>
          <w:tcPr>
            <w:tcW w:w="1736" w:type="dxa"/>
            <w:tcBorders>
              <w:top w:val="nil"/>
              <w:left w:val="nil"/>
              <w:bottom w:val="nil"/>
              <w:right w:val="nil"/>
            </w:tcBorders>
            <w:shd w:val="clear" w:color="auto" w:fill="auto"/>
            <w:vAlign w:val="bottom"/>
          </w:tcPr>
          <w:p w14:paraId="16ACCBE7" w14:textId="48F48E9A" w:rsidR="00AD18C3" w:rsidRPr="00226892" w:rsidRDefault="00E16F0B"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96" w:type="dxa"/>
            <w:tcBorders>
              <w:top w:val="nil"/>
              <w:left w:val="nil"/>
              <w:bottom w:val="nil"/>
              <w:right w:val="nil"/>
            </w:tcBorders>
            <w:shd w:val="clear" w:color="auto" w:fill="auto"/>
            <w:vAlign w:val="bottom"/>
          </w:tcPr>
          <w:p w14:paraId="7E172CF0" w14:textId="77777777" w:rsidR="00AD18C3" w:rsidRPr="00226892" w:rsidRDefault="00AD18C3" w:rsidP="00FD21B8">
            <w:pPr>
              <w:jc w:val="right"/>
              <w:rPr>
                <w:rFonts w:ascii="Arial" w:eastAsia="Times New Roman" w:hAnsi="Arial" w:cs="Arial"/>
                <w:color w:val="000000"/>
                <w:sz w:val="18"/>
                <w:szCs w:val="18"/>
                <w:lang w:val="sk-SK" w:eastAsia="sk-SK"/>
              </w:rPr>
            </w:pPr>
          </w:p>
        </w:tc>
        <w:tc>
          <w:tcPr>
            <w:tcW w:w="1707" w:type="dxa"/>
            <w:tcBorders>
              <w:top w:val="nil"/>
              <w:left w:val="nil"/>
              <w:bottom w:val="nil"/>
              <w:right w:val="nil"/>
            </w:tcBorders>
            <w:shd w:val="clear" w:color="auto" w:fill="auto"/>
            <w:vAlign w:val="bottom"/>
          </w:tcPr>
          <w:p w14:paraId="5A23F317" w14:textId="416FDF3C" w:rsidR="00AD18C3" w:rsidRPr="00226892" w:rsidRDefault="001B28BE"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5 </w:t>
            </w:r>
            <w:r w:rsidR="005532AA" w:rsidRPr="00226892">
              <w:rPr>
                <w:rFonts w:ascii="Arial" w:eastAsia="Times New Roman" w:hAnsi="Arial" w:cs="Arial"/>
                <w:color w:val="000000"/>
                <w:sz w:val="18"/>
                <w:szCs w:val="18"/>
                <w:lang w:val="sk-SK" w:eastAsia="sk-SK"/>
              </w:rPr>
              <w:t>614</w:t>
            </w:r>
          </w:p>
        </w:tc>
        <w:tc>
          <w:tcPr>
            <w:tcW w:w="196" w:type="dxa"/>
            <w:tcBorders>
              <w:top w:val="nil"/>
              <w:left w:val="nil"/>
              <w:bottom w:val="nil"/>
              <w:right w:val="nil"/>
            </w:tcBorders>
            <w:vAlign w:val="bottom"/>
          </w:tcPr>
          <w:p w14:paraId="3F328B61" w14:textId="77777777" w:rsidR="00AD18C3" w:rsidRPr="00226892" w:rsidRDefault="00AD18C3" w:rsidP="00FD21B8">
            <w:pPr>
              <w:jc w:val="right"/>
              <w:rPr>
                <w:rFonts w:ascii="Arial" w:eastAsia="Times New Roman" w:hAnsi="Arial" w:cs="Arial"/>
                <w:color w:val="000000"/>
                <w:sz w:val="18"/>
                <w:szCs w:val="18"/>
                <w:lang w:val="sk-SK" w:eastAsia="sk-SK"/>
              </w:rPr>
            </w:pPr>
          </w:p>
        </w:tc>
        <w:tc>
          <w:tcPr>
            <w:tcW w:w="1586" w:type="dxa"/>
            <w:tcBorders>
              <w:top w:val="nil"/>
              <w:left w:val="nil"/>
              <w:bottom w:val="nil"/>
              <w:right w:val="nil"/>
            </w:tcBorders>
            <w:shd w:val="clear" w:color="auto" w:fill="auto"/>
            <w:vAlign w:val="bottom"/>
          </w:tcPr>
          <w:p w14:paraId="7944B2B2" w14:textId="7B1EECE8" w:rsidR="00AD18C3" w:rsidRPr="00226892" w:rsidRDefault="001B28BE"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5 </w:t>
            </w:r>
            <w:r w:rsidR="005532AA" w:rsidRPr="00226892">
              <w:rPr>
                <w:rFonts w:ascii="Arial" w:eastAsia="Times New Roman" w:hAnsi="Arial" w:cs="Arial"/>
                <w:color w:val="000000"/>
                <w:sz w:val="18"/>
                <w:szCs w:val="18"/>
                <w:lang w:val="sk-SK" w:eastAsia="sk-SK"/>
              </w:rPr>
              <w:t>614</w:t>
            </w:r>
          </w:p>
        </w:tc>
      </w:tr>
      <w:tr w:rsidR="00AD18C3" w:rsidRPr="00226892" w14:paraId="31F7B2EA" w14:textId="77777777" w:rsidTr="00D25A3F">
        <w:trPr>
          <w:trHeight w:val="227"/>
        </w:trPr>
        <w:tc>
          <w:tcPr>
            <w:tcW w:w="4914" w:type="dxa"/>
            <w:tcBorders>
              <w:top w:val="nil"/>
              <w:left w:val="nil"/>
              <w:bottom w:val="nil"/>
              <w:right w:val="nil"/>
            </w:tcBorders>
            <w:shd w:val="clear" w:color="auto" w:fill="auto"/>
            <w:noWrap/>
            <w:vAlign w:val="bottom"/>
            <w:hideMark/>
          </w:tcPr>
          <w:p w14:paraId="15E43225" w14:textId="77777777" w:rsidR="00AD18C3" w:rsidRPr="00226892" w:rsidRDefault="00AD18C3" w:rsidP="0009499B">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Úbytky</w:t>
            </w:r>
          </w:p>
        </w:tc>
        <w:tc>
          <w:tcPr>
            <w:tcW w:w="196" w:type="dxa"/>
            <w:tcBorders>
              <w:top w:val="nil"/>
              <w:left w:val="nil"/>
              <w:bottom w:val="nil"/>
              <w:right w:val="nil"/>
            </w:tcBorders>
            <w:shd w:val="clear" w:color="auto" w:fill="auto"/>
            <w:noWrap/>
            <w:vAlign w:val="bottom"/>
            <w:hideMark/>
          </w:tcPr>
          <w:p w14:paraId="6E646432" w14:textId="77777777" w:rsidR="00AD18C3" w:rsidRPr="00226892" w:rsidRDefault="00AD18C3" w:rsidP="0009499B">
            <w:pPr>
              <w:rPr>
                <w:rFonts w:ascii="Arial" w:eastAsia="Times New Roman" w:hAnsi="Arial" w:cs="Arial"/>
                <w:color w:val="000000"/>
                <w:sz w:val="18"/>
                <w:szCs w:val="18"/>
                <w:lang w:val="sk-SK" w:eastAsia="sk-SK"/>
              </w:rPr>
            </w:pPr>
          </w:p>
        </w:tc>
        <w:tc>
          <w:tcPr>
            <w:tcW w:w="1833" w:type="dxa"/>
            <w:tcBorders>
              <w:top w:val="nil"/>
              <w:left w:val="nil"/>
              <w:bottom w:val="nil"/>
              <w:right w:val="nil"/>
            </w:tcBorders>
            <w:shd w:val="clear" w:color="auto" w:fill="auto"/>
            <w:vAlign w:val="bottom"/>
          </w:tcPr>
          <w:p w14:paraId="1C64B931" w14:textId="616EE5FA" w:rsidR="00AD18C3" w:rsidRPr="00226892" w:rsidRDefault="00E16F0B"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96" w:type="dxa"/>
            <w:tcBorders>
              <w:top w:val="nil"/>
              <w:left w:val="nil"/>
              <w:bottom w:val="nil"/>
              <w:right w:val="nil"/>
            </w:tcBorders>
            <w:shd w:val="clear" w:color="auto" w:fill="auto"/>
            <w:vAlign w:val="bottom"/>
          </w:tcPr>
          <w:p w14:paraId="5F215D59" w14:textId="77777777" w:rsidR="00AD18C3" w:rsidRPr="00226892" w:rsidRDefault="00AD18C3" w:rsidP="00FD21B8">
            <w:pPr>
              <w:jc w:val="right"/>
              <w:rPr>
                <w:rFonts w:ascii="Arial" w:eastAsia="Times New Roman" w:hAnsi="Arial" w:cs="Arial"/>
                <w:color w:val="000000"/>
                <w:sz w:val="18"/>
                <w:szCs w:val="18"/>
                <w:lang w:val="sk-SK" w:eastAsia="sk-SK"/>
              </w:rPr>
            </w:pPr>
          </w:p>
        </w:tc>
        <w:tc>
          <w:tcPr>
            <w:tcW w:w="1792" w:type="dxa"/>
            <w:tcBorders>
              <w:top w:val="nil"/>
              <w:left w:val="nil"/>
              <w:bottom w:val="nil"/>
              <w:right w:val="nil"/>
            </w:tcBorders>
            <w:shd w:val="clear" w:color="auto" w:fill="auto"/>
            <w:vAlign w:val="bottom"/>
          </w:tcPr>
          <w:p w14:paraId="1E07034A" w14:textId="7679A459" w:rsidR="00AD18C3" w:rsidRPr="00226892" w:rsidRDefault="00E16F0B"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238" w:type="dxa"/>
            <w:tcBorders>
              <w:top w:val="nil"/>
              <w:left w:val="nil"/>
              <w:bottom w:val="nil"/>
              <w:right w:val="nil"/>
            </w:tcBorders>
            <w:shd w:val="clear" w:color="auto" w:fill="auto"/>
            <w:vAlign w:val="bottom"/>
          </w:tcPr>
          <w:p w14:paraId="0E15ED33" w14:textId="77777777" w:rsidR="00AD18C3" w:rsidRPr="00226892" w:rsidRDefault="00AD18C3" w:rsidP="00FD21B8">
            <w:pPr>
              <w:jc w:val="right"/>
              <w:rPr>
                <w:rFonts w:ascii="Arial" w:eastAsia="Times New Roman" w:hAnsi="Arial" w:cs="Arial"/>
                <w:color w:val="000000"/>
                <w:sz w:val="18"/>
                <w:szCs w:val="18"/>
                <w:lang w:val="sk-SK" w:eastAsia="sk-SK"/>
              </w:rPr>
            </w:pPr>
          </w:p>
        </w:tc>
        <w:tc>
          <w:tcPr>
            <w:tcW w:w="1736" w:type="dxa"/>
            <w:tcBorders>
              <w:top w:val="nil"/>
              <w:left w:val="nil"/>
              <w:bottom w:val="nil"/>
              <w:right w:val="nil"/>
            </w:tcBorders>
            <w:shd w:val="clear" w:color="auto" w:fill="auto"/>
            <w:vAlign w:val="bottom"/>
          </w:tcPr>
          <w:p w14:paraId="7A3983A8" w14:textId="33A2E631" w:rsidR="00AD18C3" w:rsidRPr="00226892" w:rsidRDefault="00E16F0B"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96" w:type="dxa"/>
            <w:tcBorders>
              <w:top w:val="nil"/>
              <w:left w:val="nil"/>
              <w:bottom w:val="nil"/>
              <w:right w:val="nil"/>
            </w:tcBorders>
            <w:shd w:val="clear" w:color="auto" w:fill="auto"/>
            <w:vAlign w:val="bottom"/>
          </w:tcPr>
          <w:p w14:paraId="0B7CC4D6" w14:textId="77777777" w:rsidR="00AD18C3" w:rsidRPr="00226892" w:rsidRDefault="00AD18C3" w:rsidP="00FD21B8">
            <w:pPr>
              <w:jc w:val="right"/>
              <w:rPr>
                <w:rFonts w:ascii="Arial" w:eastAsia="Times New Roman" w:hAnsi="Arial" w:cs="Arial"/>
                <w:color w:val="000000"/>
                <w:sz w:val="18"/>
                <w:szCs w:val="18"/>
                <w:lang w:val="sk-SK" w:eastAsia="sk-SK"/>
              </w:rPr>
            </w:pPr>
          </w:p>
        </w:tc>
        <w:tc>
          <w:tcPr>
            <w:tcW w:w="1707" w:type="dxa"/>
            <w:tcBorders>
              <w:top w:val="nil"/>
              <w:left w:val="nil"/>
              <w:bottom w:val="nil"/>
              <w:right w:val="nil"/>
            </w:tcBorders>
            <w:shd w:val="clear" w:color="auto" w:fill="auto"/>
            <w:vAlign w:val="bottom"/>
          </w:tcPr>
          <w:p w14:paraId="4C980282" w14:textId="0B65A305" w:rsidR="00AD18C3" w:rsidRPr="00226892" w:rsidRDefault="00E16F0B"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96" w:type="dxa"/>
            <w:tcBorders>
              <w:top w:val="nil"/>
              <w:left w:val="nil"/>
              <w:bottom w:val="nil"/>
              <w:right w:val="nil"/>
            </w:tcBorders>
            <w:vAlign w:val="bottom"/>
          </w:tcPr>
          <w:p w14:paraId="272000AB" w14:textId="77777777" w:rsidR="00AD18C3" w:rsidRPr="00226892" w:rsidRDefault="00AD18C3" w:rsidP="00FD21B8">
            <w:pPr>
              <w:jc w:val="right"/>
              <w:rPr>
                <w:rFonts w:ascii="Arial" w:eastAsia="Times New Roman" w:hAnsi="Arial" w:cs="Arial"/>
                <w:color w:val="000000"/>
                <w:sz w:val="18"/>
                <w:szCs w:val="18"/>
                <w:lang w:val="sk-SK" w:eastAsia="sk-SK"/>
              </w:rPr>
            </w:pPr>
          </w:p>
        </w:tc>
        <w:tc>
          <w:tcPr>
            <w:tcW w:w="1586" w:type="dxa"/>
            <w:tcBorders>
              <w:top w:val="nil"/>
              <w:left w:val="nil"/>
              <w:bottom w:val="nil"/>
              <w:right w:val="nil"/>
            </w:tcBorders>
            <w:shd w:val="clear" w:color="auto" w:fill="auto"/>
            <w:vAlign w:val="bottom"/>
          </w:tcPr>
          <w:p w14:paraId="1F08DC4A" w14:textId="552BB9A7" w:rsidR="00AD18C3" w:rsidRPr="00226892" w:rsidRDefault="00E16F0B"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r>
      <w:tr w:rsidR="00AD18C3" w:rsidRPr="00226892" w14:paraId="460AFE4B" w14:textId="77777777" w:rsidTr="00D25A3F">
        <w:trPr>
          <w:trHeight w:val="227"/>
        </w:trPr>
        <w:tc>
          <w:tcPr>
            <w:tcW w:w="4914" w:type="dxa"/>
            <w:tcBorders>
              <w:top w:val="nil"/>
              <w:left w:val="nil"/>
              <w:bottom w:val="nil"/>
              <w:right w:val="nil"/>
            </w:tcBorders>
            <w:shd w:val="clear" w:color="auto" w:fill="auto"/>
            <w:noWrap/>
            <w:vAlign w:val="bottom"/>
            <w:hideMark/>
          </w:tcPr>
          <w:p w14:paraId="06977F0C" w14:textId="3E8DA68F" w:rsidR="00AD18C3" w:rsidRPr="00226892" w:rsidRDefault="00AD18C3" w:rsidP="0009499B">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Odpisy (Pozn. </w:t>
            </w:r>
            <w:r w:rsidR="00122BD0" w:rsidRPr="00226892">
              <w:rPr>
                <w:rFonts w:ascii="Arial" w:eastAsia="Times New Roman" w:hAnsi="Arial" w:cs="Arial"/>
                <w:color w:val="000000"/>
                <w:sz w:val="18"/>
                <w:szCs w:val="18"/>
                <w:lang w:val="sk-SK" w:eastAsia="sk-SK"/>
              </w:rPr>
              <w:t>2</w:t>
            </w:r>
            <w:r w:rsidR="00522218" w:rsidRPr="00226892">
              <w:rPr>
                <w:rFonts w:ascii="Arial" w:eastAsia="Times New Roman" w:hAnsi="Arial" w:cs="Arial"/>
                <w:color w:val="000000"/>
                <w:sz w:val="18"/>
                <w:szCs w:val="18"/>
                <w:lang w:val="sk-SK" w:eastAsia="sk-SK"/>
              </w:rPr>
              <w:t>1</w:t>
            </w:r>
            <w:r w:rsidRPr="00226892">
              <w:rPr>
                <w:rFonts w:ascii="Arial" w:eastAsia="Times New Roman" w:hAnsi="Arial" w:cs="Arial"/>
                <w:color w:val="000000"/>
                <w:sz w:val="18"/>
                <w:szCs w:val="18"/>
                <w:lang w:val="sk-SK" w:eastAsia="sk-SK"/>
              </w:rPr>
              <w:t>)</w:t>
            </w:r>
          </w:p>
        </w:tc>
        <w:tc>
          <w:tcPr>
            <w:tcW w:w="196" w:type="dxa"/>
            <w:tcBorders>
              <w:top w:val="nil"/>
              <w:left w:val="nil"/>
              <w:bottom w:val="nil"/>
              <w:right w:val="nil"/>
            </w:tcBorders>
            <w:shd w:val="clear" w:color="auto" w:fill="auto"/>
            <w:noWrap/>
            <w:vAlign w:val="bottom"/>
            <w:hideMark/>
          </w:tcPr>
          <w:p w14:paraId="7CF1A022" w14:textId="77777777" w:rsidR="00AD18C3" w:rsidRPr="00226892" w:rsidRDefault="00AD18C3" w:rsidP="0009499B">
            <w:pPr>
              <w:rPr>
                <w:rFonts w:ascii="Arial" w:eastAsia="Times New Roman" w:hAnsi="Arial" w:cs="Arial"/>
                <w:color w:val="000000"/>
                <w:sz w:val="18"/>
                <w:szCs w:val="18"/>
                <w:lang w:val="sk-SK" w:eastAsia="sk-SK"/>
              </w:rPr>
            </w:pPr>
          </w:p>
        </w:tc>
        <w:tc>
          <w:tcPr>
            <w:tcW w:w="1833" w:type="dxa"/>
            <w:tcBorders>
              <w:top w:val="nil"/>
              <w:left w:val="nil"/>
              <w:bottom w:val="nil"/>
              <w:right w:val="nil"/>
            </w:tcBorders>
            <w:shd w:val="clear" w:color="auto" w:fill="auto"/>
            <w:vAlign w:val="bottom"/>
          </w:tcPr>
          <w:p w14:paraId="5C994211" w14:textId="097E1669" w:rsidR="00AD18C3" w:rsidRPr="00226892" w:rsidRDefault="00E16F0B"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96" w:type="dxa"/>
            <w:tcBorders>
              <w:top w:val="nil"/>
              <w:left w:val="nil"/>
              <w:bottom w:val="nil"/>
              <w:right w:val="nil"/>
            </w:tcBorders>
            <w:shd w:val="clear" w:color="auto" w:fill="auto"/>
            <w:vAlign w:val="bottom"/>
          </w:tcPr>
          <w:p w14:paraId="7E8880FB" w14:textId="77777777" w:rsidR="00AD18C3" w:rsidRPr="00226892" w:rsidRDefault="00AD18C3" w:rsidP="00FD21B8">
            <w:pPr>
              <w:jc w:val="right"/>
              <w:rPr>
                <w:rFonts w:ascii="Arial" w:eastAsia="Times New Roman" w:hAnsi="Arial" w:cs="Arial"/>
                <w:color w:val="000000"/>
                <w:sz w:val="18"/>
                <w:szCs w:val="18"/>
                <w:lang w:val="sk-SK" w:eastAsia="sk-SK"/>
              </w:rPr>
            </w:pPr>
          </w:p>
        </w:tc>
        <w:tc>
          <w:tcPr>
            <w:tcW w:w="1792" w:type="dxa"/>
            <w:tcBorders>
              <w:top w:val="nil"/>
              <w:left w:val="nil"/>
              <w:bottom w:val="nil"/>
              <w:right w:val="nil"/>
            </w:tcBorders>
            <w:shd w:val="clear" w:color="auto" w:fill="auto"/>
            <w:vAlign w:val="bottom"/>
          </w:tcPr>
          <w:p w14:paraId="55C91238" w14:textId="20FF60A2" w:rsidR="00AD18C3" w:rsidRPr="00226892" w:rsidRDefault="00E16F0B" w:rsidP="0092774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-1 314</w:t>
            </w:r>
          </w:p>
        </w:tc>
        <w:tc>
          <w:tcPr>
            <w:tcW w:w="238" w:type="dxa"/>
            <w:tcBorders>
              <w:top w:val="nil"/>
              <w:left w:val="nil"/>
              <w:bottom w:val="nil"/>
              <w:right w:val="nil"/>
            </w:tcBorders>
            <w:shd w:val="clear" w:color="auto" w:fill="auto"/>
            <w:vAlign w:val="bottom"/>
          </w:tcPr>
          <w:p w14:paraId="1DCCE40F" w14:textId="77777777" w:rsidR="00AD18C3" w:rsidRPr="00226892" w:rsidRDefault="00AD18C3" w:rsidP="00FD21B8">
            <w:pPr>
              <w:jc w:val="right"/>
              <w:rPr>
                <w:rFonts w:ascii="Arial" w:eastAsia="Times New Roman" w:hAnsi="Arial" w:cs="Arial"/>
                <w:color w:val="000000"/>
                <w:sz w:val="18"/>
                <w:szCs w:val="18"/>
                <w:lang w:val="sk-SK" w:eastAsia="sk-SK"/>
              </w:rPr>
            </w:pPr>
          </w:p>
        </w:tc>
        <w:tc>
          <w:tcPr>
            <w:tcW w:w="1736" w:type="dxa"/>
            <w:tcBorders>
              <w:top w:val="nil"/>
              <w:left w:val="nil"/>
              <w:bottom w:val="nil"/>
              <w:right w:val="nil"/>
            </w:tcBorders>
            <w:shd w:val="clear" w:color="auto" w:fill="auto"/>
            <w:vAlign w:val="bottom"/>
          </w:tcPr>
          <w:p w14:paraId="5855D4A3" w14:textId="002AF994" w:rsidR="00AD18C3" w:rsidRPr="00226892" w:rsidRDefault="00E16F0B"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-7 </w:t>
            </w:r>
            <w:r w:rsidR="001B28BE" w:rsidRPr="00226892">
              <w:rPr>
                <w:rFonts w:ascii="Arial" w:eastAsia="Times New Roman" w:hAnsi="Arial" w:cs="Arial"/>
                <w:color w:val="000000"/>
                <w:sz w:val="18"/>
                <w:szCs w:val="18"/>
                <w:lang w:val="sk-SK" w:eastAsia="sk-SK"/>
              </w:rPr>
              <w:t>548</w:t>
            </w:r>
          </w:p>
        </w:tc>
        <w:tc>
          <w:tcPr>
            <w:tcW w:w="196" w:type="dxa"/>
            <w:tcBorders>
              <w:top w:val="nil"/>
              <w:left w:val="nil"/>
              <w:bottom w:val="nil"/>
              <w:right w:val="nil"/>
            </w:tcBorders>
            <w:shd w:val="clear" w:color="auto" w:fill="auto"/>
            <w:vAlign w:val="bottom"/>
          </w:tcPr>
          <w:p w14:paraId="6FCB4C1A" w14:textId="77777777" w:rsidR="00AD18C3" w:rsidRPr="00226892" w:rsidRDefault="00AD18C3" w:rsidP="00FD21B8">
            <w:pPr>
              <w:jc w:val="right"/>
              <w:rPr>
                <w:rFonts w:ascii="Arial" w:eastAsia="Times New Roman" w:hAnsi="Arial" w:cs="Arial"/>
                <w:color w:val="000000"/>
                <w:sz w:val="18"/>
                <w:szCs w:val="18"/>
                <w:lang w:val="sk-SK" w:eastAsia="sk-SK"/>
              </w:rPr>
            </w:pPr>
          </w:p>
        </w:tc>
        <w:tc>
          <w:tcPr>
            <w:tcW w:w="1707" w:type="dxa"/>
            <w:tcBorders>
              <w:top w:val="nil"/>
              <w:left w:val="nil"/>
              <w:bottom w:val="nil"/>
              <w:right w:val="nil"/>
            </w:tcBorders>
            <w:shd w:val="clear" w:color="auto" w:fill="auto"/>
            <w:vAlign w:val="bottom"/>
          </w:tcPr>
          <w:p w14:paraId="653367F2" w14:textId="0BB54443" w:rsidR="00AD18C3" w:rsidRPr="00226892" w:rsidRDefault="00E16F0B"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96" w:type="dxa"/>
            <w:tcBorders>
              <w:top w:val="nil"/>
              <w:left w:val="nil"/>
              <w:bottom w:val="nil"/>
              <w:right w:val="nil"/>
            </w:tcBorders>
            <w:vAlign w:val="bottom"/>
          </w:tcPr>
          <w:p w14:paraId="00B5A3EE" w14:textId="77777777" w:rsidR="00AD18C3" w:rsidRPr="00226892" w:rsidRDefault="00AD18C3" w:rsidP="00FD21B8">
            <w:pPr>
              <w:jc w:val="right"/>
              <w:rPr>
                <w:rFonts w:ascii="Arial" w:eastAsia="Times New Roman" w:hAnsi="Arial" w:cs="Arial"/>
                <w:color w:val="000000"/>
                <w:sz w:val="18"/>
                <w:szCs w:val="18"/>
                <w:lang w:val="sk-SK" w:eastAsia="sk-SK"/>
              </w:rPr>
            </w:pPr>
          </w:p>
        </w:tc>
        <w:tc>
          <w:tcPr>
            <w:tcW w:w="1586" w:type="dxa"/>
            <w:tcBorders>
              <w:top w:val="nil"/>
              <w:left w:val="nil"/>
              <w:bottom w:val="nil"/>
              <w:right w:val="nil"/>
            </w:tcBorders>
            <w:shd w:val="clear" w:color="auto" w:fill="auto"/>
            <w:vAlign w:val="bottom"/>
          </w:tcPr>
          <w:p w14:paraId="0A7F05B7" w14:textId="7015ADEA" w:rsidR="00AD18C3" w:rsidRPr="00226892" w:rsidRDefault="00E16F0B" w:rsidP="0092774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-8 </w:t>
            </w:r>
            <w:r w:rsidR="001B28BE" w:rsidRPr="00226892">
              <w:rPr>
                <w:rFonts w:ascii="Arial" w:eastAsia="Times New Roman" w:hAnsi="Arial" w:cs="Arial"/>
                <w:color w:val="000000"/>
                <w:sz w:val="18"/>
                <w:szCs w:val="18"/>
                <w:lang w:val="sk-SK" w:eastAsia="sk-SK"/>
              </w:rPr>
              <w:t>86</w:t>
            </w:r>
            <w:r w:rsidR="00206D7F" w:rsidRPr="00226892">
              <w:rPr>
                <w:rFonts w:ascii="Arial" w:eastAsia="Times New Roman" w:hAnsi="Arial" w:cs="Arial"/>
                <w:color w:val="000000"/>
                <w:sz w:val="18"/>
                <w:szCs w:val="18"/>
                <w:lang w:val="sk-SK" w:eastAsia="sk-SK"/>
              </w:rPr>
              <w:t>2</w:t>
            </w:r>
          </w:p>
        </w:tc>
      </w:tr>
      <w:tr w:rsidR="00AD18C3" w:rsidRPr="00226892" w14:paraId="1902049B" w14:textId="77777777" w:rsidTr="00D25A3F">
        <w:trPr>
          <w:trHeight w:val="227"/>
        </w:trPr>
        <w:tc>
          <w:tcPr>
            <w:tcW w:w="4914" w:type="dxa"/>
            <w:tcBorders>
              <w:top w:val="nil"/>
              <w:left w:val="nil"/>
              <w:bottom w:val="nil"/>
              <w:right w:val="nil"/>
            </w:tcBorders>
            <w:shd w:val="clear" w:color="auto" w:fill="auto"/>
            <w:noWrap/>
            <w:vAlign w:val="bottom"/>
            <w:hideMark/>
          </w:tcPr>
          <w:p w14:paraId="2F7204D3" w14:textId="77777777" w:rsidR="00AD18C3" w:rsidRPr="00226892" w:rsidRDefault="00AD18C3" w:rsidP="0009499B">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Prevod z obstarávaného dlhodobého majetku</w:t>
            </w:r>
          </w:p>
        </w:tc>
        <w:tc>
          <w:tcPr>
            <w:tcW w:w="196" w:type="dxa"/>
            <w:tcBorders>
              <w:top w:val="nil"/>
              <w:left w:val="nil"/>
              <w:bottom w:val="nil"/>
              <w:right w:val="nil"/>
            </w:tcBorders>
            <w:shd w:val="clear" w:color="auto" w:fill="auto"/>
            <w:noWrap/>
            <w:vAlign w:val="bottom"/>
            <w:hideMark/>
          </w:tcPr>
          <w:p w14:paraId="442FE0F4" w14:textId="77777777" w:rsidR="00AD18C3" w:rsidRPr="00226892" w:rsidRDefault="00AD18C3" w:rsidP="0009499B">
            <w:pPr>
              <w:rPr>
                <w:rFonts w:ascii="Arial" w:eastAsia="Times New Roman" w:hAnsi="Arial" w:cs="Arial"/>
                <w:color w:val="000000"/>
                <w:sz w:val="18"/>
                <w:szCs w:val="18"/>
                <w:lang w:val="sk-SK" w:eastAsia="sk-SK"/>
              </w:rPr>
            </w:pPr>
          </w:p>
        </w:tc>
        <w:tc>
          <w:tcPr>
            <w:tcW w:w="1833" w:type="dxa"/>
            <w:tcBorders>
              <w:top w:val="nil"/>
              <w:left w:val="nil"/>
              <w:bottom w:val="nil"/>
              <w:right w:val="nil"/>
            </w:tcBorders>
            <w:shd w:val="clear" w:color="auto" w:fill="auto"/>
            <w:vAlign w:val="bottom"/>
          </w:tcPr>
          <w:p w14:paraId="7BD5C35C" w14:textId="141FD22D" w:rsidR="00AD18C3" w:rsidRPr="00226892" w:rsidRDefault="00E16F0B"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96" w:type="dxa"/>
            <w:tcBorders>
              <w:top w:val="nil"/>
              <w:left w:val="nil"/>
              <w:bottom w:val="nil"/>
              <w:right w:val="nil"/>
            </w:tcBorders>
            <w:shd w:val="clear" w:color="auto" w:fill="auto"/>
            <w:vAlign w:val="bottom"/>
          </w:tcPr>
          <w:p w14:paraId="52B48EA4" w14:textId="77777777" w:rsidR="00AD18C3" w:rsidRPr="00226892" w:rsidRDefault="00AD18C3" w:rsidP="00FD21B8">
            <w:pPr>
              <w:jc w:val="right"/>
              <w:rPr>
                <w:rFonts w:ascii="Arial" w:eastAsia="Times New Roman" w:hAnsi="Arial" w:cs="Arial"/>
                <w:color w:val="000000"/>
                <w:sz w:val="18"/>
                <w:szCs w:val="18"/>
                <w:lang w:val="sk-SK" w:eastAsia="sk-SK"/>
              </w:rPr>
            </w:pPr>
          </w:p>
        </w:tc>
        <w:tc>
          <w:tcPr>
            <w:tcW w:w="1792" w:type="dxa"/>
            <w:tcBorders>
              <w:top w:val="nil"/>
              <w:left w:val="nil"/>
              <w:bottom w:val="nil"/>
              <w:right w:val="nil"/>
            </w:tcBorders>
            <w:shd w:val="clear" w:color="auto" w:fill="auto"/>
            <w:vAlign w:val="bottom"/>
          </w:tcPr>
          <w:p w14:paraId="73D10AE8" w14:textId="23CEB54F" w:rsidR="00AD18C3" w:rsidRPr="00226892" w:rsidRDefault="00E16F0B"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166</w:t>
            </w:r>
          </w:p>
        </w:tc>
        <w:tc>
          <w:tcPr>
            <w:tcW w:w="238" w:type="dxa"/>
            <w:tcBorders>
              <w:top w:val="nil"/>
              <w:left w:val="nil"/>
              <w:bottom w:val="nil"/>
              <w:right w:val="nil"/>
            </w:tcBorders>
            <w:shd w:val="clear" w:color="auto" w:fill="auto"/>
            <w:vAlign w:val="bottom"/>
          </w:tcPr>
          <w:p w14:paraId="359C649C" w14:textId="77777777" w:rsidR="00AD18C3" w:rsidRPr="00226892" w:rsidRDefault="00AD18C3" w:rsidP="00FD21B8">
            <w:pPr>
              <w:jc w:val="right"/>
              <w:rPr>
                <w:rFonts w:ascii="Arial" w:eastAsia="Times New Roman" w:hAnsi="Arial" w:cs="Arial"/>
                <w:color w:val="000000"/>
                <w:sz w:val="18"/>
                <w:szCs w:val="18"/>
                <w:lang w:val="sk-SK" w:eastAsia="sk-SK"/>
              </w:rPr>
            </w:pPr>
          </w:p>
        </w:tc>
        <w:tc>
          <w:tcPr>
            <w:tcW w:w="1736" w:type="dxa"/>
            <w:tcBorders>
              <w:top w:val="nil"/>
              <w:left w:val="nil"/>
              <w:bottom w:val="nil"/>
              <w:right w:val="nil"/>
            </w:tcBorders>
            <w:shd w:val="clear" w:color="auto" w:fill="auto"/>
            <w:vAlign w:val="bottom"/>
          </w:tcPr>
          <w:p w14:paraId="4BCC981A" w14:textId="4C0E4A93" w:rsidR="00AD18C3" w:rsidRPr="00226892" w:rsidRDefault="00E16F0B"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7 </w:t>
            </w:r>
            <w:r w:rsidR="001B28BE" w:rsidRPr="00226892">
              <w:rPr>
                <w:rFonts w:ascii="Arial" w:eastAsia="Times New Roman" w:hAnsi="Arial" w:cs="Arial"/>
                <w:color w:val="000000"/>
                <w:sz w:val="18"/>
                <w:szCs w:val="18"/>
                <w:lang w:val="sk-SK" w:eastAsia="sk-SK"/>
              </w:rPr>
              <w:t>699</w:t>
            </w:r>
          </w:p>
        </w:tc>
        <w:tc>
          <w:tcPr>
            <w:tcW w:w="196" w:type="dxa"/>
            <w:tcBorders>
              <w:top w:val="nil"/>
              <w:left w:val="nil"/>
              <w:bottom w:val="nil"/>
              <w:right w:val="nil"/>
            </w:tcBorders>
            <w:shd w:val="clear" w:color="auto" w:fill="auto"/>
            <w:vAlign w:val="bottom"/>
          </w:tcPr>
          <w:p w14:paraId="02F3F8B6" w14:textId="77777777" w:rsidR="00AD18C3" w:rsidRPr="00226892" w:rsidRDefault="00AD18C3" w:rsidP="00FD21B8">
            <w:pPr>
              <w:jc w:val="right"/>
              <w:rPr>
                <w:rFonts w:ascii="Arial" w:eastAsia="Times New Roman" w:hAnsi="Arial" w:cs="Arial"/>
                <w:color w:val="000000"/>
                <w:sz w:val="18"/>
                <w:szCs w:val="18"/>
                <w:lang w:val="sk-SK" w:eastAsia="sk-SK"/>
              </w:rPr>
            </w:pPr>
          </w:p>
        </w:tc>
        <w:tc>
          <w:tcPr>
            <w:tcW w:w="1707" w:type="dxa"/>
            <w:tcBorders>
              <w:top w:val="nil"/>
              <w:left w:val="nil"/>
              <w:bottom w:val="nil"/>
              <w:right w:val="nil"/>
            </w:tcBorders>
            <w:shd w:val="clear" w:color="auto" w:fill="auto"/>
            <w:vAlign w:val="bottom"/>
          </w:tcPr>
          <w:p w14:paraId="64991ABB" w14:textId="1A90C5D7" w:rsidR="00AD18C3" w:rsidRPr="00226892" w:rsidRDefault="00E16F0B"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-7 </w:t>
            </w:r>
            <w:r w:rsidR="005532AA" w:rsidRPr="00226892">
              <w:rPr>
                <w:rFonts w:ascii="Arial" w:eastAsia="Times New Roman" w:hAnsi="Arial" w:cs="Arial"/>
                <w:color w:val="000000"/>
                <w:sz w:val="18"/>
                <w:szCs w:val="18"/>
                <w:lang w:val="sk-SK" w:eastAsia="sk-SK"/>
              </w:rPr>
              <w:t>865</w:t>
            </w:r>
          </w:p>
        </w:tc>
        <w:tc>
          <w:tcPr>
            <w:tcW w:w="196" w:type="dxa"/>
            <w:tcBorders>
              <w:top w:val="nil"/>
              <w:left w:val="nil"/>
              <w:bottom w:val="nil"/>
              <w:right w:val="nil"/>
            </w:tcBorders>
            <w:vAlign w:val="bottom"/>
          </w:tcPr>
          <w:p w14:paraId="54111A62" w14:textId="77777777" w:rsidR="00AD18C3" w:rsidRPr="00226892" w:rsidRDefault="00AD18C3" w:rsidP="00FD21B8">
            <w:pPr>
              <w:jc w:val="right"/>
              <w:rPr>
                <w:rFonts w:ascii="Arial" w:eastAsia="Times New Roman" w:hAnsi="Arial" w:cs="Arial"/>
                <w:color w:val="000000"/>
                <w:sz w:val="18"/>
                <w:szCs w:val="18"/>
                <w:lang w:val="sk-SK" w:eastAsia="sk-SK"/>
              </w:rPr>
            </w:pPr>
          </w:p>
        </w:tc>
        <w:tc>
          <w:tcPr>
            <w:tcW w:w="1586" w:type="dxa"/>
            <w:tcBorders>
              <w:top w:val="nil"/>
              <w:left w:val="nil"/>
              <w:bottom w:val="nil"/>
              <w:right w:val="nil"/>
            </w:tcBorders>
            <w:shd w:val="clear" w:color="auto" w:fill="auto"/>
            <w:vAlign w:val="bottom"/>
          </w:tcPr>
          <w:p w14:paraId="79F722E1" w14:textId="4C211B7D" w:rsidR="00AD18C3" w:rsidRPr="00226892" w:rsidRDefault="005532AA"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r>
      <w:tr w:rsidR="00AD18C3" w:rsidRPr="00226892" w14:paraId="748AFBF8" w14:textId="77777777" w:rsidTr="00D25A3F">
        <w:trPr>
          <w:trHeight w:val="227"/>
        </w:trPr>
        <w:tc>
          <w:tcPr>
            <w:tcW w:w="4914" w:type="dxa"/>
            <w:tcBorders>
              <w:top w:val="nil"/>
              <w:left w:val="nil"/>
              <w:bottom w:val="nil"/>
              <w:right w:val="nil"/>
            </w:tcBorders>
            <w:shd w:val="clear" w:color="auto" w:fill="auto"/>
            <w:noWrap/>
            <w:vAlign w:val="bottom"/>
            <w:hideMark/>
          </w:tcPr>
          <w:p w14:paraId="31CC9174" w14:textId="77777777" w:rsidR="00AD18C3" w:rsidRPr="00226892" w:rsidRDefault="00AD18C3" w:rsidP="0009499B">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Kurzové rozdiely</w:t>
            </w:r>
          </w:p>
        </w:tc>
        <w:tc>
          <w:tcPr>
            <w:tcW w:w="196" w:type="dxa"/>
            <w:tcBorders>
              <w:top w:val="nil"/>
              <w:left w:val="nil"/>
              <w:bottom w:val="nil"/>
              <w:right w:val="nil"/>
            </w:tcBorders>
            <w:shd w:val="clear" w:color="auto" w:fill="auto"/>
            <w:noWrap/>
            <w:vAlign w:val="bottom"/>
            <w:hideMark/>
          </w:tcPr>
          <w:p w14:paraId="0FF4DBF2" w14:textId="77777777" w:rsidR="00AD18C3" w:rsidRPr="00226892" w:rsidRDefault="00AD18C3" w:rsidP="0009499B">
            <w:pPr>
              <w:rPr>
                <w:rFonts w:ascii="Arial" w:eastAsia="Times New Roman" w:hAnsi="Arial" w:cs="Arial"/>
                <w:color w:val="000000"/>
                <w:sz w:val="18"/>
                <w:szCs w:val="18"/>
                <w:lang w:val="sk-SK" w:eastAsia="sk-SK"/>
              </w:rPr>
            </w:pPr>
          </w:p>
        </w:tc>
        <w:tc>
          <w:tcPr>
            <w:tcW w:w="1833" w:type="dxa"/>
            <w:tcBorders>
              <w:top w:val="nil"/>
              <w:left w:val="nil"/>
              <w:bottom w:val="nil"/>
              <w:right w:val="nil"/>
            </w:tcBorders>
            <w:shd w:val="clear" w:color="auto" w:fill="auto"/>
            <w:vAlign w:val="bottom"/>
          </w:tcPr>
          <w:p w14:paraId="3FA68D5C" w14:textId="74E459DB" w:rsidR="00AD18C3" w:rsidRPr="00226892" w:rsidRDefault="00E16F0B"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r w:rsidR="001B28BE" w:rsidRPr="00226892">
              <w:rPr>
                <w:rFonts w:ascii="Arial" w:eastAsia="Times New Roman" w:hAnsi="Arial" w:cs="Arial"/>
                <w:color w:val="000000"/>
                <w:sz w:val="18"/>
                <w:szCs w:val="18"/>
                <w:lang w:val="sk-SK" w:eastAsia="sk-SK"/>
              </w:rPr>
              <w:t>4</w:t>
            </w:r>
          </w:p>
        </w:tc>
        <w:tc>
          <w:tcPr>
            <w:tcW w:w="196" w:type="dxa"/>
            <w:tcBorders>
              <w:top w:val="nil"/>
              <w:left w:val="nil"/>
              <w:bottom w:val="nil"/>
              <w:right w:val="nil"/>
            </w:tcBorders>
            <w:shd w:val="clear" w:color="auto" w:fill="auto"/>
            <w:vAlign w:val="bottom"/>
          </w:tcPr>
          <w:p w14:paraId="7389CFF8" w14:textId="77777777" w:rsidR="00AD18C3" w:rsidRPr="00226892" w:rsidRDefault="00AD18C3" w:rsidP="00FD21B8">
            <w:pPr>
              <w:jc w:val="right"/>
              <w:rPr>
                <w:rFonts w:ascii="Arial" w:eastAsia="Times New Roman" w:hAnsi="Arial" w:cs="Arial"/>
                <w:color w:val="000000"/>
                <w:sz w:val="18"/>
                <w:szCs w:val="18"/>
                <w:lang w:val="sk-SK" w:eastAsia="sk-SK"/>
              </w:rPr>
            </w:pPr>
          </w:p>
        </w:tc>
        <w:tc>
          <w:tcPr>
            <w:tcW w:w="1792" w:type="dxa"/>
            <w:tcBorders>
              <w:top w:val="nil"/>
              <w:left w:val="nil"/>
              <w:bottom w:val="nil"/>
              <w:right w:val="nil"/>
            </w:tcBorders>
            <w:shd w:val="clear" w:color="auto" w:fill="auto"/>
            <w:vAlign w:val="bottom"/>
          </w:tcPr>
          <w:p w14:paraId="08FC5D3A" w14:textId="77580E7B" w:rsidR="00AD18C3" w:rsidRPr="00226892" w:rsidRDefault="00E16F0B" w:rsidP="0044348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-30</w:t>
            </w:r>
          </w:p>
        </w:tc>
        <w:tc>
          <w:tcPr>
            <w:tcW w:w="238" w:type="dxa"/>
            <w:tcBorders>
              <w:top w:val="nil"/>
              <w:left w:val="nil"/>
              <w:bottom w:val="nil"/>
              <w:right w:val="nil"/>
            </w:tcBorders>
            <w:shd w:val="clear" w:color="auto" w:fill="auto"/>
            <w:vAlign w:val="bottom"/>
          </w:tcPr>
          <w:p w14:paraId="54911E8F" w14:textId="77777777" w:rsidR="00AD18C3" w:rsidRPr="00226892" w:rsidRDefault="00AD18C3" w:rsidP="00FD21B8">
            <w:pPr>
              <w:jc w:val="right"/>
              <w:rPr>
                <w:rFonts w:ascii="Arial" w:eastAsia="Times New Roman" w:hAnsi="Arial" w:cs="Arial"/>
                <w:color w:val="000000"/>
                <w:sz w:val="18"/>
                <w:szCs w:val="18"/>
                <w:lang w:val="sk-SK" w:eastAsia="sk-SK"/>
              </w:rPr>
            </w:pPr>
          </w:p>
        </w:tc>
        <w:tc>
          <w:tcPr>
            <w:tcW w:w="1736" w:type="dxa"/>
            <w:tcBorders>
              <w:top w:val="nil"/>
              <w:left w:val="nil"/>
              <w:bottom w:val="nil"/>
              <w:right w:val="nil"/>
            </w:tcBorders>
            <w:shd w:val="clear" w:color="auto" w:fill="auto"/>
            <w:vAlign w:val="bottom"/>
          </w:tcPr>
          <w:p w14:paraId="5E4E3F65" w14:textId="2FDDCD40" w:rsidR="00AD18C3" w:rsidRPr="00226892" w:rsidRDefault="00E16F0B"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w:t>
            </w:r>
            <w:r w:rsidR="00206D7F" w:rsidRPr="00226892">
              <w:rPr>
                <w:rFonts w:ascii="Arial" w:eastAsia="Times New Roman" w:hAnsi="Arial" w:cs="Arial"/>
                <w:color w:val="000000"/>
                <w:sz w:val="18"/>
                <w:szCs w:val="18"/>
                <w:lang w:val="sk-SK" w:eastAsia="sk-SK"/>
              </w:rPr>
              <w:t>6</w:t>
            </w:r>
          </w:p>
        </w:tc>
        <w:tc>
          <w:tcPr>
            <w:tcW w:w="196" w:type="dxa"/>
            <w:tcBorders>
              <w:top w:val="nil"/>
              <w:left w:val="nil"/>
              <w:bottom w:val="nil"/>
              <w:right w:val="nil"/>
            </w:tcBorders>
            <w:shd w:val="clear" w:color="auto" w:fill="auto"/>
            <w:vAlign w:val="bottom"/>
          </w:tcPr>
          <w:p w14:paraId="7AE2F1A9" w14:textId="77777777" w:rsidR="00AD18C3" w:rsidRPr="00226892" w:rsidRDefault="00AD18C3" w:rsidP="00FD21B8">
            <w:pPr>
              <w:jc w:val="right"/>
              <w:rPr>
                <w:rFonts w:ascii="Arial" w:eastAsia="Times New Roman" w:hAnsi="Arial" w:cs="Arial"/>
                <w:color w:val="000000"/>
                <w:sz w:val="18"/>
                <w:szCs w:val="18"/>
                <w:lang w:val="sk-SK" w:eastAsia="sk-SK"/>
              </w:rPr>
            </w:pPr>
          </w:p>
        </w:tc>
        <w:tc>
          <w:tcPr>
            <w:tcW w:w="1707" w:type="dxa"/>
            <w:tcBorders>
              <w:top w:val="nil"/>
              <w:left w:val="nil"/>
              <w:bottom w:val="nil"/>
              <w:right w:val="nil"/>
            </w:tcBorders>
            <w:shd w:val="clear" w:color="auto" w:fill="auto"/>
            <w:vAlign w:val="bottom"/>
          </w:tcPr>
          <w:p w14:paraId="6F5DD6C7" w14:textId="480ACE5A" w:rsidR="00AD18C3" w:rsidRPr="00226892" w:rsidRDefault="00E16F0B"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96" w:type="dxa"/>
            <w:tcBorders>
              <w:top w:val="nil"/>
              <w:left w:val="nil"/>
              <w:bottom w:val="nil"/>
              <w:right w:val="nil"/>
            </w:tcBorders>
            <w:vAlign w:val="bottom"/>
          </w:tcPr>
          <w:p w14:paraId="18984736" w14:textId="77777777" w:rsidR="00AD18C3" w:rsidRPr="00226892" w:rsidRDefault="00AD18C3" w:rsidP="00FD21B8">
            <w:pPr>
              <w:jc w:val="right"/>
              <w:rPr>
                <w:rFonts w:ascii="Arial" w:eastAsia="Times New Roman" w:hAnsi="Arial" w:cs="Arial"/>
                <w:color w:val="000000"/>
                <w:sz w:val="18"/>
                <w:szCs w:val="18"/>
                <w:lang w:val="sk-SK" w:eastAsia="sk-SK"/>
              </w:rPr>
            </w:pPr>
          </w:p>
        </w:tc>
        <w:tc>
          <w:tcPr>
            <w:tcW w:w="1586" w:type="dxa"/>
            <w:tcBorders>
              <w:top w:val="nil"/>
              <w:left w:val="nil"/>
              <w:bottom w:val="nil"/>
              <w:right w:val="nil"/>
            </w:tcBorders>
            <w:shd w:val="clear" w:color="auto" w:fill="auto"/>
            <w:vAlign w:val="bottom"/>
          </w:tcPr>
          <w:p w14:paraId="3679AA67" w14:textId="0B8B536D" w:rsidR="00AD18C3" w:rsidRPr="00226892" w:rsidRDefault="00E16F0B" w:rsidP="0071358B">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-5</w:t>
            </w:r>
            <w:r w:rsidR="00206D7F" w:rsidRPr="00226892">
              <w:rPr>
                <w:rFonts w:ascii="Arial" w:eastAsia="Times New Roman" w:hAnsi="Arial" w:cs="Arial"/>
                <w:color w:val="000000"/>
                <w:sz w:val="18"/>
                <w:szCs w:val="18"/>
                <w:lang w:val="sk-SK" w:eastAsia="sk-SK"/>
              </w:rPr>
              <w:t>0</w:t>
            </w:r>
          </w:p>
        </w:tc>
      </w:tr>
      <w:tr w:rsidR="00081258" w:rsidRPr="00226892" w14:paraId="60378978" w14:textId="77777777" w:rsidTr="00D25A3F">
        <w:trPr>
          <w:trHeight w:val="227"/>
        </w:trPr>
        <w:tc>
          <w:tcPr>
            <w:tcW w:w="4914" w:type="dxa"/>
            <w:tcBorders>
              <w:top w:val="nil"/>
              <w:left w:val="nil"/>
              <w:bottom w:val="nil"/>
              <w:right w:val="nil"/>
            </w:tcBorders>
            <w:shd w:val="clear" w:color="auto" w:fill="auto"/>
            <w:noWrap/>
            <w:vAlign w:val="bottom"/>
            <w:hideMark/>
          </w:tcPr>
          <w:p w14:paraId="12F14F09" w14:textId="77777777" w:rsidR="00AD18C3" w:rsidRPr="00226892" w:rsidRDefault="00AD18C3" w:rsidP="0009499B">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Zostatková hodnota na konci obdobia</w:t>
            </w:r>
          </w:p>
        </w:tc>
        <w:tc>
          <w:tcPr>
            <w:tcW w:w="196" w:type="dxa"/>
            <w:tcBorders>
              <w:top w:val="nil"/>
              <w:left w:val="nil"/>
              <w:bottom w:val="nil"/>
              <w:right w:val="nil"/>
            </w:tcBorders>
            <w:shd w:val="clear" w:color="auto" w:fill="auto"/>
            <w:noWrap/>
            <w:vAlign w:val="bottom"/>
            <w:hideMark/>
          </w:tcPr>
          <w:p w14:paraId="4E71BC26" w14:textId="77777777" w:rsidR="00AD18C3" w:rsidRPr="00226892" w:rsidRDefault="00AD18C3" w:rsidP="0009499B">
            <w:pPr>
              <w:rPr>
                <w:rFonts w:ascii="Arial" w:eastAsia="Times New Roman" w:hAnsi="Arial" w:cs="Arial"/>
                <w:b/>
                <w:bCs/>
                <w:color w:val="000000"/>
                <w:sz w:val="18"/>
                <w:szCs w:val="18"/>
                <w:lang w:val="sk-SK" w:eastAsia="sk-SK"/>
              </w:rPr>
            </w:pPr>
          </w:p>
        </w:tc>
        <w:tc>
          <w:tcPr>
            <w:tcW w:w="1833" w:type="dxa"/>
            <w:tcBorders>
              <w:top w:val="single" w:sz="4" w:space="0" w:color="auto"/>
              <w:left w:val="nil"/>
              <w:bottom w:val="double" w:sz="6" w:space="0" w:color="auto"/>
              <w:right w:val="nil"/>
            </w:tcBorders>
            <w:shd w:val="clear" w:color="auto" w:fill="auto"/>
            <w:vAlign w:val="bottom"/>
          </w:tcPr>
          <w:p w14:paraId="7C4BDA43" w14:textId="29C0A1C8" w:rsidR="00AD18C3" w:rsidRPr="00226892" w:rsidRDefault="00206D7F" w:rsidP="00FD21B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3 533</w:t>
            </w:r>
          </w:p>
        </w:tc>
        <w:tc>
          <w:tcPr>
            <w:tcW w:w="196" w:type="dxa"/>
            <w:tcBorders>
              <w:top w:val="nil"/>
              <w:left w:val="nil"/>
              <w:bottom w:val="nil"/>
              <w:right w:val="nil"/>
            </w:tcBorders>
            <w:shd w:val="clear" w:color="auto" w:fill="auto"/>
            <w:vAlign w:val="bottom"/>
          </w:tcPr>
          <w:p w14:paraId="05014217" w14:textId="77777777" w:rsidR="00AD18C3" w:rsidRPr="00226892" w:rsidRDefault="00AD18C3" w:rsidP="00FD21B8">
            <w:pPr>
              <w:jc w:val="right"/>
              <w:rPr>
                <w:rFonts w:ascii="Arial" w:eastAsia="Times New Roman" w:hAnsi="Arial" w:cs="Arial"/>
                <w:b/>
                <w:bCs/>
                <w:color w:val="000000"/>
                <w:sz w:val="18"/>
                <w:szCs w:val="18"/>
                <w:lang w:val="sk-SK" w:eastAsia="sk-SK"/>
              </w:rPr>
            </w:pPr>
          </w:p>
        </w:tc>
        <w:tc>
          <w:tcPr>
            <w:tcW w:w="1792" w:type="dxa"/>
            <w:tcBorders>
              <w:top w:val="single" w:sz="4" w:space="0" w:color="auto"/>
              <w:left w:val="nil"/>
              <w:bottom w:val="double" w:sz="6" w:space="0" w:color="auto"/>
              <w:right w:val="nil"/>
            </w:tcBorders>
            <w:shd w:val="clear" w:color="auto" w:fill="auto"/>
            <w:vAlign w:val="bottom"/>
          </w:tcPr>
          <w:p w14:paraId="1C5128AD" w14:textId="5A79856A" w:rsidR="00AD18C3" w:rsidRPr="00226892" w:rsidRDefault="00E16F0B" w:rsidP="00927749">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26 454</w:t>
            </w:r>
          </w:p>
        </w:tc>
        <w:tc>
          <w:tcPr>
            <w:tcW w:w="238" w:type="dxa"/>
            <w:tcBorders>
              <w:top w:val="nil"/>
              <w:left w:val="nil"/>
              <w:bottom w:val="nil"/>
              <w:right w:val="nil"/>
            </w:tcBorders>
            <w:shd w:val="clear" w:color="auto" w:fill="auto"/>
            <w:vAlign w:val="bottom"/>
          </w:tcPr>
          <w:p w14:paraId="709230CA" w14:textId="77777777" w:rsidR="00AD18C3" w:rsidRPr="00226892" w:rsidRDefault="00AD18C3" w:rsidP="00FD21B8">
            <w:pPr>
              <w:jc w:val="right"/>
              <w:rPr>
                <w:rFonts w:ascii="Arial" w:eastAsia="Times New Roman" w:hAnsi="Arial" w:cs="Arial"/>
                <w:b/>
                <w:bCs/>
                <w:color w:val="000000"/>
                <w:sz w:val="18"/>
                <w:szCs w:val="18"/>
                <w:lang w:val="sk-SK" w:eastAsia="sk-SK"/>
              </w:rPr>
            </w:pPr>
          </w:p>
        </w:tc>
        <w:tc>
          <w:tcPr>
            <w:tcW w:w="1736" w:type="dxa"/>
            <w:tcBorders>
              <w:top w:val="single" w:sz="4" w:space="0" w:color="auto"/>
              <w:left w:val="nil"/>
              <w:bottom w:val="double" w:sz="6" w:space="0" w:color="auto"/>
              <w:right w:val="nil"/>
            </w:tcBorders>
            <w:shd w:val="clear" w:color="auto" w:fill="auto"/>
            <w:vAlign w:val="bottom"/>
          </w:tcPr>
          <w:p w14:paraId="33669B36" w14:textId="03002986" w:rsidR="00AD18C3" w:rsidRPr="00226892" w:rsidRDefault="00E16F0B" w:rsidP="00FD21B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w:t>
            </w:r>
            <w:r w:rsidR="001B28BE" w:rsidRPr="00226892">
              <w:rPr>
                <w:rFonts w:ascii="Arial" w:eastAsia="Times New Roman" w:hAnsi="Arial" w:cs="Arial"/>
                <w:b/>
                <w:bCs/>
                <w:color w:val="000000"/>
                <w:sz w:val="18"/>
                <w:szCs w:val="18"/>
                <w:lang w:val="sk-SK" w:eastAsia="sk-SK"/>
              </w:rPr>
              <w:t>9 183</w:t>
            </w:r>
          </w:p>
        </w:tc>
        <w:tc>
          <w:tcPr>
            <w:tcW w:w="196" w:type="dxa"/>
            <w:tcBorders>
              <w:top w:val="nil"/>
              <w:left w:val="nil"/>
              <w:bottom w:val="nil"/>
              <w:right w:val="nil"/>
            </w:tcBorders>
            <w:shd w:val="clear" w:color="auto" w:fill="auto"/>
            <w:vAlign w:val="bottom"/>
          </w:tcPr>
          <w:p w14:paraId="025D3AC4" w14:textId="77777777" w:rsidR="00AD18C3" w:rsidRPr="00226892" w:rsidRDefault="00AD18C3" w:rsidP="00FD21B8">
            <w:pPr>
              <w:jc w:val="right"/>
              <w:rPr>
                <w:rFonts w:ascii="Arial" w:eastAsia="Times New Roman" w:hAnsi="Arial" w:cs="Arial"/>
                <w:b/>
                <w:bCs/>
                <w:color w:val="000000"/>
                <w:sz w:val="18"/>
                <w:szCs w:val="18"/>
                <w:lang w:val="sk-SK" w:eastAsia="sk-SK"/>
              </w:rPr>
            </w:pPr>
          </w:p>
        </w:tc>
        <w:tc>
          <w:tcPr>
            <w:tcW w:w="1707" w:type="dxa"/>
            <w:tcBorders>
              <w:top w:val="single" w:sz="4" w:space="0" w:color="auto"/>
              <w:left w:val="nil"/>
              <w:bottom w:val="double" w:sz="6" w:space="0" w:color="auto"/>
              <w:right w:val="nil"/>
            </w:tcBorders>
            <w:shd w:val="clear" w:color="auto" w:fill="auto"/>
            <w:vAlign w:val="bottom"/>
          </w:tcPr>
          <w:p w14:paraId="4DA42401" w14:textId="3845B061" w:rsidR="00AD18C3" w:rsidRPr="00226892" w:rsidRDefault="00E16F0B" w:rsidP="00FD21B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1 903</w:t>
            </w:r>
          </w:p>
        </w:tc>
        <w:tc>
          <w:tcPr>
            <w:tcW w:w="196" w:type="dxa"/>
            <w:tcBorders>
              <w:top w:val="single" w:sz="4" w:space="0" w:color="auto"/>
              <w:left w:val="nil"/>
              <w:bottom w:val="double" w:sz="6" w:space="0" w:color="auto"/>
              <w:right w:val="nil"/>
            </w:tcBorders>
            <w:vAlign w:val="bottom"/>
          </w:tcPr>
          <w:p w14:paraId="4080BCF0" w14:textId="77777777" w:rsidR="00AD18C3" w:rsidRPr="00226892" w:rsidRDefault="00AD18C3" w:rsidP="00FD21B8">
            <w:pPr>
              <w:jc w:val="right"/>
              <w:rPr>
                <w:rFonts w:ascii="Arial" w:eastAsia="Times New Roman" w:hAnsi="Arial" w:cs="Arial"/>
                <w:b/>
                <w:bCs/>
                <w:color w:val="000000"/>
                <w:sz w:val="18"/>
                <w:szCs w:val="18"/>
                <w:lang w:val="sk-SK" w:eastAsia="sk-SK"/>
              </w:rPr>
            </w:pPr>
          </w:p>
        </w:tc>
        <w:tc>
          <w:tcPr>
            <w:tcW w:w="1586" w:type="dxa"/>
            <w:tcBorders>
              <w:top w:val="single" w:sz="4" w:space="0" w:color="auto"/>
              <w:left w:val="nil"/>
              <w:bottom w:val="double" w:sz="6" w:space="0" w:color="auto"/>
              <w:right w:val="nil"/>
            </w:tcBorders>
            <w:shd w:val="clear" w:color="auto" w:fill="auto"/>
            <w:vAlign w:val="bottom"/>
          </w:tcPr>
          <w:p w14:paraId="5E222D7A" w14:textId="648C43A4" w:rsidR="00AD18C3" w:rsidRPr="00226892" w:rsidRDefault="00E16F0B" w:rsidP="00927749">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7</w:t>
            </w:r>
            <w:r w:rsidR="001B28BE" w:rsidRPr="00226892">
              <w:rPr>
                <w:rFonts w:ascii="Arial" w:eastAsia="Times New Roman" w:hAnsi="Arial" w:cs="Arial"/>
                <w:b/>
                <w:bCs/>
                <w:color w:val="000000"/>
                <w:sz w:val="18"/>
                <w:szCs w:val="18"/>
                <w:lang w:val="sk-SK" w:eastAsia="sk-SK"/>
              </w:rPr>
              <w:t>1 073</w:t>
            </w:r>
          </w:p>
        </w:tc>
      </w:tr>
      <w:tr w:rsidR="00AD18C3" w:rsidRPr="00226892" w14:paraId="0ADC704B" w14:textId="77777777" w:rsidTr="00D25A3F">
        <w:trPr>
          <w:trHeight w:val="227"/>
        </w:trPr>
        <w:tc>
          <w:tcPr>
            <w:tcW w:w="4914" w:type="dxa"/>
            <w:tcBorders>
              <w:top w:val="nil"/>
              <w:left w:val="nil"/>
              <w:bottom w:val="nil"/>
              <w:right w:val="nil"/>
            </w:tcBorders>
            <w:shd w:val="clear" w:color="auto" w:fill="auto"/>
            <w:noWrap/>
            <w:vAlign w:val="bottom"/>
            <w:hideMark/>
          </w:tcPr>
          <w:p w14:paraId="4DA1ACDD" w14:textId="77777777" w:rsidR="00AD18C3" w:rsidRPr="00226892" w:rsidRDefault="00AD18C3" w:rsidP="0009499B">
            <w:pPr>
              <w:rPr>
                <w:rFonts w:ascii="Arial" w:eastAsia="Times New Roman" w:hAnsi="Arial" w:cs="Arial"/>
                <w:b/>
                <w:bCs/>
                <w:color w:val="000000"/>
                <w:sz w:val="16"/>
                <w:szCs w:val="16"/>
                <w:lang w:val="sk-SK" w:eastAsia="sk-SK"/>
              </w:rPr>
            </w:pPr>
          </w:p>
        </w:tc>
        <w:tc>
          <w:tcPr>
            <w:tcW w:w="196" w:type="dxa"/>
            <w:tcBorders>
              <w:top w:val="nil"/>
              <w:left w:val="nil"/>
              <w:bottom w:val="nil"/>
              <w:right w:val="nil"/>
            </w:tcBorders>
            <w:shd w:val="clear" w:color="auto" w:fill="auto"/>
            <w:noWrap/>
            <w:vAlign w:val="bottom"/>
            <w:hideMark/>
          </w:tcPr>
          <w:p w14:paraId="4E71862E" w14:textId="77777777" w:rsidR="00AD18C3" w:rsidRPr="00226892" w:rsidRDefault="00AD18C3" w:rsidP="0009499B">
            <w:pPr>
              <w:rPr>
                <w:rFonts w:ascii="Arial" w:eastAsia="Times New Roman" w:hAnsi="Arial" w:cs="Arial"/>
                <w:lang w:val="sk-SK" w:eastAsia="sk-SK"/>
              </w:rPr>
            </w:pPr>
          </w:p>
        </w:tc>
        <w:tc>
          <w:tcPr>
            <w:tcW w:w="1833" w:type="dxa"/>
            <w:tcBorders>
              <w:top w:val="nil"/>
              <w:left w:val="nil"/>
              <w:bottom w:val="nil"/>
              <w:right w:val="nil"/>
            </w:tcBorders>
            <w:shd w:val="clear" w:color="auto" w:fill="auto"/>
            <w:vAlign w:val="bottom"/>
          </w:tcPr>
          <w:p w14:paraId="74358220" w14:textId="77777777" w:rsidR="00AD18C3" w:rsidRPr="00226892" w:rsidRDefault="00AD18C3" w:rsidP="00FD21B8">
            <w:pPr>
              <w:jc w:val="right"/>
              <w:rPr>
                <w:rFonts w:ascii="Arial" w:eastAsia="Times New Roman" w:hAnsi="Arial" w:cs="Arial"/>
                <w:sz w:val="18"/>
                <w:szCs w:val="18"/>
                <w:lang w:val="sk-SK" w:eastAsia="sk-SK"/>
              </w:rPr>
            </w:pPr>
          </w:p>
        </w:tc>
        <w:tc>
          <w:tcPr>
            <w:tcW w:w="196" w:type="dxa"/>
            <w:tcBorders>
              <w:top w:val="nil"/>
              <w:left w:val="nil"/>
              <w:bottom w:val="nil"/>
              <w:right w:val="nil"/>
            </w:tcBorders>
            <w:shd w:val="clear" w:color="auto" w:fill="auto"/>
            <w:vAlign w:val="bottom"/>
          </w:tcPr>
          <w:p w14:paraId="43CE09A6" w14:textId="77777777" w:rsidR="00AD18C3" w:rsidRPr="00226892" w:rsidRDefault="00AD18C3" w:rsidP="00FD21B8">
            <w:pPr>
              <w:jc w:val="right"/>
              <w:rPr>
                <w:rFonts w:ascii="Arial" w:eastAsia="Times New Roman" w:hAnsi="Arial" w:cs="Arial"/>
                <w:sz w:val="18"/>
                <w:szCs w:val="18"/>
                <w:lang w:val="sk-SK" w:eastAsia="sk-SK"/>
              </w:rPr>
            </w:pPr>
          </w:p>
        </w:tc>
        <w:tc>
          <w:tcPr>
            <w:tcW w:w="1792" w:type="dxa"/>
            <w:tcBorders>
              <w:top w:val="nil"/>
              <w:left w:val="nil"/>
              <w:bottom w:val="nil"/>
              <w:right w:val="nil"/>
            </w:tcBorders>
            <w:shd w:val="clear" w:color="auto" w:fill="auto"/>
            <w:vAlign w:val="bottom"/>
          </w:tcPr>
          <w:p w14:paraId="5255013E" w14:textId="77777777" w:rsidR="00AD18C3" w:rsidRPr="00226892" w:rsidRDefault="00AD18C3" w:rsidP="00FD21B8">
            <w:pPr>
              <w:jc w:val="right"/>
              <w:rPr>
                <w:rFonts w:ascii="Arial" w:eastAsia="Times New Roman" w:hAnsi="Arial" w:cs="Arial"/>
                <w:sz w:val="18"/>
                <w:szCs w:val="18"/>
                <w:lang w:val="sk-SK" w:eastAsia="sk-SK"/>
              </w:rPr>
            </w:pPr>
          </w:p>
        </w:tc>
        <w:tc>
          <w:tcPr>
            <w:tcW w:w="238" w:type="dxa"/>
            <w:tcBorders>
              <w:top w:val="nil"/>
              <w:left w:val="nil"/>
              <w:bottom w:val="nil"/>
              <w:right w:val="nil"/>
            </w:tcBorders>
            <w:shd w:val="clear" w:color="auto" w:fill="auto"/>
            <w:vAlign w:val="bottom"/>
          </w:tcPr>
          <w:p w14:paraId="221D7C7F" w14:textId="77777777" w:rsidR="00AD18C3" w:rsidRPr="00226892" w:rsidRDefault="00AD18C3" w:rsidP="00FD21B8">
            <w:pPr>
              <w:jc w:val="right"/>
              <w:rPr>
                <w:rFonts w:ascii="Arial" w:eastAsia="Times New Roman" w:hAnsi="Arial" w:cs="Arial"/>
                <w:sz w:val="18"/>
                <w:szCs w:val="18"/>
                <w:lang w:val="sk-SK" w:eastAsia="sk-SK"/>
              </w:rPr>
            </w:pPr>
          </w:p>
        </w:tc>
        <w:tc>
          <w:tcPr>
            <w:tcW w:w="1736" w:type="dxa"/>
            <w:tcBorders>
              <w:top w:val="nil"/>
              <w:left w:val="nil"/>
              <w:bottom w:val="nil"/>
              <w:right w:val="nil"/>
            </w:tcBorders>
            <w:shd w:val="clear" w:color="auto" w:fill="auto"/>
            <w:vAlign w:val="bottom"/>
          </w:tcPr>
          <w:p w14:paraId="603DC6DD" w14:textId="77777777" w:rsidR="00AD18C3" w:rsidRPr="00226892" w:rsidRDefault="00AD18C3" w:rsidP="00FD21B8">
            <w:pPr>
              <w:jc w:val="right"/>
              <w:rPr>
                <w:rFonts w:ascii="Arial" w:eastAsia="Times New Roman" w:hAnsi="Arial" w:cs="Arial"/>
                <w:sz w:val="18"/>
                <w:szCs w:val="18"/>
                <w:lang w:val="sk-SK" w:eastAsia="sk-SK"/>
              </w:rPr>
            </w:pPr>
          </w:p>
        </w:tc>
        <w:tc>
          <w:tcPr>
            <w:tcW w:w="196" w:type="dxa"/>
            <w:tcBorders>
              <w:top w:val="nil"/>
              <w:left w:val="nil"/>
              <w:bottom w:val="nil"/>
              <w:right w:val="nil"/>
            </w:tcBorders>
            <w:shd w:val="clear" w:color="auto" w:fill="auto"/>
            <w:vAlign w:val="bottom"/>
          </w:tcPr>
          <w:p w14:paraId="3D02E500" w14:textId="77777777" w:rsidR="00AD18C3" w:rsidRPr="00226892" w:rsidRDefault="00AD18C3" w:rsidP="00FD21B8">
            <w:pPr>
              <w:jc w:val="right"/>
              <w:rPr>
                <w:rFonts w:ascii="Arial" w:eastAsia="Times New Roman" w:hAnsi="Arial" w:cs="Arial"/>
                <w:sz w:val="18"/>
                <w:szCs w:val="18"/>
                <w:lang w:val="sk-SK" w:eastAsia="sk-SK"/>
              </w:rPr>
            </w:pPr>
          </w:p>
        </w:tc>
        <w:tc>
          <w:tcPr>
            <w:tcW w:w="1707" w:type="dxa"/>
            <w:tcBorders>
              <w:top w:val="nil"/>
              <w:left w:val="nil"/>
              <w:bottom w:val="nil"/>
              <w:right w:val="nil"/>
            </w:tcBorders>
            <w:shd w:val="clear" w:color="auto" w:fill="auto"/>
            <w:vAlign w:val="bottom"/>
          </w:tcPr>
          <w:p w14:paraId="33180D3D" w14:textId="77777777" w:rsidR="00AD18C3" w:rsidRPr="00226892" w:rsidRDefault="00AD18C3" w:rsidP="00FD21B8">
            <w:pPr>
              <w:jc w:val="right"/>
              <w:rPr>
                <w:rFonts w:ascii="Arial" w:eastAsia="Times New Roman" w:hAnsi="Arial" w:cs="Arial"/>
                <w:sz w:val="18"/>
                <w:szCs w:val="18"/>
                <w:lang w:val="sk-SK" w:eastAsia="sk-SK"/>
              </w:rPr>
            </w:pPr>
          </w:p>
        </w:tc>
        <w:tc>
          <w:tcPr>
            <w:tcW w:w="196" w:type="dxa"/>
            <w:tcBorders>
              <w:top w:val="nil"/>
              <w:left w:val="nil"/>
              <w:bottom w:val="nil"/>
              <w:right w:val="nil"/>
            </w:tcBorders>
            <w:vAlign w:val="bottom"/>
          </w:tcPr>
          <w:p w14:paraId="2E142E33" w14:textId="77777777" w:rsidR="00AD18C3" w:rsidRPr="00226892" w:rsidRDefault="00AD18C3" w:rsidP="00FD21B8">
            <w:pPr>
              <w:jc w:val="right"/>
              <w:rPr>
                <w:rFonts w:ascii="Arial" w:eastAsia="Times New Roman" w:hAnsi="Arial" w:cs="Arial"/>
                <w:sz w:val="18"/>
                <w:szCs w:val="18"/>
                <w:lang w:val="sk-SK" w:eastAsia="sk-SK"/>
              </w:rPr>
            </w:pPr>
          </w:p>
        </w:tc>
        <w:tc>
          <w:tcPr>
            <w:tcW w:w="1586" w:type="dxa"/>
            <w:tcBorders>
              <w:top w:val="nil"/>
              <w:left w:val="nil"/>
              <w:bottom w:val="nil"/>
              <w:right w:val="nil"/>
            </w:tcBorders>
            <w:shd w:val="clear" w:color="auto" w:fill="auto"/>
            <w:vAlign w:val="bottom"/>
          </w:tcPr>
          <w:p w14:paraId="45EC072F" w14:textId="25DD18FB" w:rsidR="00AD18C3" w:rsidRPr="00226892" w:rsidRDefault="00AD18C3" w:rsidP="00FD21B8">
            <w:pPr>
              <w:jc w:val="right"/>
              <w:rPr>
                <w:rFonts w:ascii="Arial" w:eastAsia="Times New Roman" w:hAnsi="Arial" w:cs="Arial"/>
                <w:sz w:val="18"/>
                <w:szCs w:val="18"/>
                <w:lang w:val="sk-SK" w:eastAsia="sk-SK"/>
              </w:rPr>
            </w:pPr>
          </w:p>
        </w:tc>
      </w:tr>
      <w:tr w:rsidR="00AD18C3" w:rsidRPr="00226892" w14:paraId="49D4157C" w14:textId="77777777" w:rsidTr="00D25A3F">
        <w:trPr>
          <w:trHeight w:val="227"/>
        </w:trPr>
        <w:tc>
          <w:tcPr>
            <w:tcW w:w="4914" w:type="dxa"/>
            <w:tcBorders>
              <w:top w:val="nil"/>
              <w:left w:val="nil"/>
              <w:bottom w:val="nil"/>
              <w:right w:val="nil"/>
            </w:tcBorders>
            <w:shd w:val="clear" w:color="auto" w:fill="auto"/>
            <w:noWrap/>
            <w:vAlign w:val="bottom"/>
            <w:hideMark/>
          </w:tcPr>
          <w:p w14:paraId="45CC9508" w14:textId="79DCAB6C" w:rsidR="00AD18C3" w:rsidRPr="00226892" w:rsidRDefault="00C87144" w:rsidP="0009499B">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k</w:t>
            </w:r>
            <w:r w:rsidR="00AD18C3" w:rsidRPr="00226892">
              <w:rPr>
                <w:rFonts w:ascii="Arial" w:eastAsia="Times New Roman" w:hAnsi="Arial" w:cs="Arial"/>
                <w:b/>
                <w:bCs/>
                <w:color w:val="000000"/>
                <w:sz w:val="18"/>
                <w:szCs w:val="18"/>
                <w:lang w:val="sk-SK" w:eastAsia="sk-SK"/>
              </w:rPr>
              <w:t xml:space="preserve"> 31-12-</w:t>
            </w:r>
            <w:r w:rsidR="00FD3AC5" w:rsidRPr="00226892">
              <w:rPr>
                <w:rFonts w:ascii="Arial" w:eastAsia="Times New Roman" w:hAnsi="Arial" w:cs="Arial"/>
                <w:b/>
                <w:bCs/>
                <w:color w:val="000000"/>
                <w:sz w:val="18"/>
                <w:szCs w:val="18"/>
                <w:lang w:val="sk-SK" w:eastAsia="sk-SK"/>
              </w:rPr>
              <w:t>2018</w:t>
            </w:r>
          </w:p>
        </w:tc>
        <w:tc>
          <w:tcPr>
            <w:tcW w:w="196" w:type="dxa"/>
            <w:tcBorders>
              <w:top w:val="nil"/>
              <w:left w:val="nil"/>
              <w:bottom w:val="nil"/>
              <w:right w:val="nil"/>
            </w:tcBorders>
            <w:shd w:val="clear" w:color="auto" w:fill="auto"/>
            <w:noWrap/>
            <w:vAlign w:val="bottom"/>
            <w:hideMark/>
          </w:tcPr>
          <w:p w14:paraId="547E3F0E" w14:textId="77777777" w:rsidR="00AD18C3" w:rsidRPr="00226892" w:rsidRDefault="00AD18C3" w:rsidP="0009499B">
            <w:pPr>
              <w:rPr>
                <w:rFonts w:ascii="Arial" w:eastAsia="Times New Roman" w:hAnsi="Arial" w:cs="Arial"/>
                <w:b/>
                <w:bCs/>
                <w:color w:val="000000"/>
                <w:sz w:val="18"/>
                <w:szCs w:val="18"/>
                <w:lang w:val="sk-SK" w:eastAsia="sk-SK"/>
              </w:rPr>
            </w:pPr>
          </w:p>
        </w:tc>
        <w:tc>
          <w:tcPr>
            <w:tcW w:w="1833" w:type="dxa"/>
            <w:tcBorders>
              <w:top w:val="nil"/>
              <w:left w:val="nil"/>
              <w:bottom w:val="nil"/>
              <w:right w:val="nil"/>
            </w:tcBorders>
            <w:shd w:val="clear" w:color="auto" w:fill="auto"/>
            <w:vAlign w:val="bottom"/>
          </w:tcPr>
          <w:p w14:paraId="0A45CC30" w14:textId="77777777" w:rsidR="00AD18C3" w:rsidRPr="00226892" w:rsidRDefault="00AD18C3" w:rsidP="00FD21B8">
            <w:pPr>
              <w:jc w:val="right"/>
              <w:rPr>
                <w:rFonts w:ascii="Arial" w:eastAsia="Times New Roman" w:hAnsi="Arial" w:cs="Arial"/>
                <w:sz w:val="18"/>
                <w:szCs w:val="18"/>
                <w:lang w:val="sk-SK" w:eastAsia="sk-SK"/>
              </w:rPr>
            </w:pPr>
          </w:p>
        </w:tc>
        <w:tc>
          <w:tcPr>
            <w:tcW w:w="196" w:type="dxa"/>
            <w:tcBorders>
              <w:top w:val="nil"/>
              <w:left w:val="nil"/>
              <w:bottom w:val="nil"/>
              <w:right w:val="nil"/>
            </w:tcBorders>
            <w:shd w:val="clear" w:color="auto" w:fill="auto"/>
            <w:vAlign w:val="bottom"/>
          </w:tcPr>
          <w:p w14:paraId="32B70795" w14:textId="77777777" w:rsidR="00AD18C3" w:rsidRPr="00226892" w:rsidRDefault="00AD18C3" w:rsidP="00FD21B8">
            <w:pPr>
              <w:jc w:val="right"/>
              <w:rPr>
                <w:rFonts w:ascii="Arial" w:eastAsia="Times New Roman" w:hAnsi="Arial" w:cs="Arial"/>
                <w:sz w:val="18"/>
                <w:szCs w:val="18"/>
                <w:lang w:val="sk-SK" w:eastAsia="sk-SK"/>
              </w:rPr>
            </w:pPr>
          </w:p>
        </w:tc>
        <w:tc>
          <w:tcPr>
            <w:tcW w:w="1792" w:type="dxa"/>
            <w:tcBorders>
              <w:top w:val="nil"/>
              <w:left w:val="nil"/>
              <w:bottom w:val="nil"/>
              <w:right w:val="nil"/>
            </w:tcBorders>
            <w:shd w:val="clear" w:color="auto" w:fill="auto"/>
            <w:vAlign w:val="bottom"/>
          </w:tcPr>
          <w:p w14:paraId="32AAB72C" w14:textId="77777777" w:rsidR="00AD18C3" w:rsidRPr="00226892" w:rsidRDefault="00AD18C3" w:rsidP="00FD21B8">
            <w:pPr>
              <w:jc w:val="right"/>
              <w:rPr>
                <w:rFonts w:ascii="Arial" w:eastAsia="Times New Roman" w:hAnsi="Arial" w:cs="Arial"/>
                <w:sz w:val="18"/>
                <w:szCs w:val="18"/>
                <w:lang w:val="sk-SK" w:eastAsia="sk-SK"/>
              </w:rPr>
            </w:pPr>
          </w:p>
        </w:tc>
        <w:tc>
          <w:tcPr>
            <w:tcW w:w="238" w:type="dxa"/>
            <w:tcBorders>
              <w:top w:val="nil"/>
              <w:left w:val="nil"/>
              <w:bottom w:val="nil"/>
              <w:right w:val="nil"/>
            </w:tcBorders>
            <w:shd w:val="clear" w:color="auto" w:fill="auto"/>
            <w:vAlign w:val="bottom"/>
          </w:tcPr>
          <w:p w14:paraId="5A41D6DE" w14:textId="77777777" w:rsidR="00AD18C3" w:rsidRPr="00226892" w:rsidRDefault="00AD18C3" w:rsidP="00FD21B8">
            <w:pPr>
              <w:jc w:val="right"/>
              <w:rPr>
                <w:rFonts w:ascii="Arial" w:eastAsia="Times New Roman" w:hAnsi="Arial" w:cs="Arial"/>
                <w:sz w:val="18"/>
                <w:szCs w:val="18"/>
                <w:lang w:val="sk-SK" w:eastAsia="sk-SK"/>
              </w:rPr>
            </w:pPr>
          </w:p>
        </w:tc>
        <w:tc>
          <w:tcPr>
            <w:tcW w:w="1736" w:type="dxa"/>
            <w:tcBorders>
              <w:top w:val="nil"/>
              <w:left w:val="nil"/>
              <w:bottom w:val="nil"/>
              <w:right w:val="nil"/>
            </w:tcBorders>
            <w:shd w:val="clear" w:color="auto" w:fill="auto"/>
            <w:vAlign w:val="bottom"/>
          </w:tcPr>
          <w:p w14:paraId="2ADCF238" w14:textId="77777777" w:rsidR="00AD18C3" w:rsidRPr="00226892" w:rsidRDefault="00AD18C3" w:rsidP="00FD21B8">
            <w:pPr>
              <w:jc w:val="right"/>
              <w:rPr>
                <w:rFonts w:ascii="Arial" w:eastAsia="Times New Roman" w:hAnsi="Arial" w:cs="Arial"/>
                <w:sz w:val="18"/>
                <w:szCs w:val="18"/>
                <w:lang w:val="sk-SK" w:eastAsia="sk-SK"/>
              </w:rPr>
            </w:pPr>
          </w:p>
        </w:tc>
        <w:tc>
          <w:tcPr>
            <w:tcW w:w="196" w:type="dxa"/>
            <w:tcBorders>
              <w:top w:val="nil"/>
              <w:left w:val="nil"/>
              <w:bottom w:val="nil"/>
              <w:right w:val="nil"/>
            </w:tcBorders>
            <w:shd w:val="clear" w:color="auto" w:fill="auto"/>
            <w:vAlign w:val="bottom"/>
          </w:tcPr>
          <w:p w14:paraId="79451393" w14:textId="77777777" w:rsidR="00AD18C3" w:rsidRPr="00226892" w:rsidRDefault="00AD18C3" w:rsidP="00FD21B8">
            <w:pPr>
              <w:jc w:val="right"/>
              <w:rPr>
                <w:rFonts w:ascii="Arial" w:eastAsia="Times New Roman" w:hAnsi="Arial" w:cs="Arial"/>
                <w:sz w:val="18"/>
                <w:szCs w:val="18"/>
                <w:lang w:val="sk-SK" w:eastAsia="sk-SK"/>
              </w:rPr>
            </w:pPr>
          </w:p>
        </w:tc>
        <w:tc>
          <w:tcPr>
            <w:tcW w:w="1707" w:type="dxa"/>
            <w:tcBorders>
              <w:top w:val="nil"/>
              <w:left w:val="nil"/>
              <w:bottom w:val="nil"/>
              <w:right w:val="nil"/>
            </w:tcBorders>
            <w:shd w:val="clear" w:color="auto" w:fill="auto"/>
            <w:vAlign w:val="bottom"/>
          </w:tcPr>
          <w:p w14:paraId="6A0CE84F" w14:textId="77777777" w:rsidR="00AD18C3" w:rsidRPr="00226892" w:rsidRDefault="00AD18C3" w:rsidP="00FD21B8">
            <w:pPr>
              <w:jc w:val="right"/>
              <w:rPr>
                <w:rFonts w:ascii="Arial" w:eastAsia="Times New Roman" w:hAnsi="Arial" w:cs="Arial"/>
                <w:sz w:val="18"/>
                <w:szCs w:val="18"/>
                <w:lang w:val="sk-SK" w:eastAsia="sk-SK"/>
              </w:rPr>
            </w:pPr>
          </w:p>
        </w:tc>
        <w:tc>
          <w:tcPr>
            <w:tcW w:w="196" w:type="dxa"/>
            <w:tcBorders>
              <w:top w:val="nil"/>
              <w:left w:val="nil"/>
              <w:bottom w:val="nil"/>
              <w:right w:val="nil"/>
            </w:tcBorders>
            <w:vAlign w:val="bottom"/>
          </w:tcPr>
          <w:p w14:paraId="60D859C9" w14:textId="77777777" w:rsidR="00AD18C3" w:rsidRPr="00226892" w:rsidRDefault="00AD18C3" w:rsidP="00FD21B8">
            <w:pPr>
              <w:jc w:val="right"/>
              <w:rPr>
                <w:rFonts w:ascii="Arial" w:eastAsia="Times New Roman" w:hAnsi="Arial" w:cs="Arial"/>
                <w:sz w:val="18"/>
                <w:szCs w:val="18"/>
                <w:lang w:val="sk-SK" w:eastAsia="sk-SK"/>
              </w:rPr>
            </w:pPr>
          </w:p>
        </w:tc>
        <w:tc>
          <w:tcPr>
            <w:tcW w:w="1586" w:type="dxa"/>
            <w:tcBorders>
              <w:top w:val="nil"/>
              <w:left w:val="nil"/>
              <w:bottom w:val="nil"/>
              <w:right w:val="nil"/>
            </w:tcBorders>
            <w:shd w:val="clear" w:color="auto" w:fill="auto"/>
            <w:vAlign w:val="bottom"/>
          </w:tcPr>
          <w:p w14:paraId="03B174A2" w14:textId="573D2C46" w:rsidR="00AD18C3" w:rsidRPr="00226892" w:rsidRDefault="00AD18C3" w:rsidP="00FD21B8">
            <w:pPr>
              <w:jc w:val="right"/>
              <w:rPr>
                <w:rFonts w:ascii="Arial" w:eastAsia="Times New Roman" w:hAnsi="Arial" w:cs="Arial"/>
                <w:sz w:val="18"/>
                <w:szCs w:val="18"/>
                <w:lang w:val="sk-SK" w:eastAsia="sk-SK"/>
              </w:rPr>
            </w:pPr>
          </w:p>
        </w:tc>
      </w:tr>
      <w:tr w:rsidR="00AD18C3" w:rsidRPr="00226892" w14:paraId="13B786BD" w14:textId="77777777" w:rsidTr="00D25A3F">
        <w:trPr>
          <w:trHeight w:val="227"/>
        </w:trPr>
        <w:tc>
          <w:tcPr>
            <w:tcW w:w="4914" w:type="dxa"/>
            <w:tcBorders>
              <w:top w:val="nil"/>
              <w:left w:val="nil"/>
              <w:bottom w:val="nil"/>
              <w:right w:val="nil"/>
            </w:tcBorders>
            <w:shd w:val="clear" w:color="auto" w:fill="auto"/>
            <w:noWrap/>
            <w:vAlign w:val="bottom"/>
            <w:hideMark/>
          </w:tcPr>
          <w:p w14:paraId="68491D72" w14:textId="77777777" w:rsidR="00AD18C3" w:rsidRPr="00226892" w:rsidRDefault="00AD18C3" w:rsidP="0009499B">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Obstarávacia cena</w:t>
            </w:r>
          </w:p>
        </w:tc>
        <w:tc>
          <w:tcPr>
            <w:tcW w:w="196" w:type="dxa"/>
            <w:tcBorders>
              <w:top w:val="nil"/>
              <w:left w:val="nil"/>
              <w:bottom w:val="nil"/>
              <w:right w:val="nil"/>
            </w:tcBorders>
            <w:shd w:val="clear" w:color="auto" w:fill="auto"/>
            <w:noWrap/>
            <w:vAlign w:val="bottom"/>
            <w:hideMark/>
          </w:tcPr>
          <w:p w14:paraId="57FB91BA" w14:textId="77777777" w:rsidR="00AD18C3" w:rsidRPr="00226892" w:rsidRDefault="00AD18C3" w:rsidP="0009499B">
            <w:pPr>
              <w:rPr>
                <w:rFonts w:ascii="Arial" w:eastAsia="Times New Roman" w:hAnsi="Arial" w:cs="Arial"/>
                <w:color w:val="000000"/>
                <w:sz w:val="18"/>
                <w:szCs w:val="18"/>
                <w:lang w:val="sk-SK" w:eastAsia="sk-SK"/>
              </w:rPr>
            </w:pPr>
          </w:p>
        </w:tc>
        <w:tc>
          <w:tcPr>
            <w:tcW w:w="1833" w:type="dxa"/>
            <w:tcBorders>
              <w:top w:val="nil"/>
              <w:left w:val="nil"/>
              <w:bottom w:val="nil"/>
              <w:right w:val="nil"/>
            </w:tcBorders>
            <w:shd w:val="clear" w:color="auto" w:fill="auto"/>
            <w:vAlign w:val="bottom"/>
          </w:tcPr>
          <w:p w14:paraId="69127B50" w14:textId="080CCE67" w:rsidR="00AD18C3" w:rsidRPr="00226892" w:rsidRDefault="00E16F0B"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3 533</w:t>
            </w:r>
          </w:p>
        </w:tc>
        <w:tc>
          <w:tcPr>
            <w:tcW w:w="196" w:type="dxa"/>
            <w:tcBorders>
              <w:top w:val="nil"/>
              <w:left w:val="nil"/>
              <w:bottom w:val="nil"/>
              <w:right w:val="nil"/>
            </w:tcBorders>
            <w:shd w:val="clear" w:color="auto" w:fill="auto"/>
            <w:vAlign w:val="bottom"/>
          </w:tcPr>
          <w:p w14:paraId="051197BD" w14:textId="77777777" w:rsidR="00AD18C3" w:rsidRPr="00226892" w:rsidRDefault="00AD18C3" w:rsidP="00FD21B8">
            <w:pPr>
              <w:jc w:val="right"/>
              <w:rPr>
                <w:rFonts w:ascii="Arial" w:eastAsia="Times New Roman" w:hAnsi="Arial" w:cs="Arial"/>
                <w:color w:val="000000"/>
                <w:sz w:val="18"/>
                <w:szCs w:val="18"/>
                <w:lang w:val="sk-SK" w:eastAsia="sk-SK"/>
              </w:rPr>
            </w:pPr>
          </w:p>
        </w:tc>
        <w:tc>
          <w:tcPr>
            <w:tcW w:w="1792" w:type="dxa"/>
            <w:tcBorders>
              <w:top w:val="nil"/>
              <w:left w:val="nil"/>
              <w:bottom w:val="nil"/>
              <w:right w:val="nil"/>
            </w:tcBorders>
            <w:shd w:val="clear" w:color="auto" w:fill="auto"/>
            <w:vAlign w:val="bottom"/>
          </w:tcPr>
          <w:p w14:paraId="0EF6E1D0" w14:textId="6E56EDCD" w:rsidR="00AD18C3" w:rsidRPr="00226892" w:rsidRDefault="00E16F0B"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39 451</w:t>
            </w:r>
          </w:p>
        </w:tc>
        <w:tc>
          <w:tcPr>
            <w:tcW w:w="238" w:type="dxa"/>
            <w:tcBorders>
              <w:top w:val="nil"/>
              <w:left w:val="nil"/>
              <w:bottom w:val="nil"/>
              <w:right w:val="nil"/>
            </w:tcBorders>
            <w:shd w:val="clear" w:color="auto" w:fill="auto"/>
            <w:vAlign w:val="bottom"/>
          </w:tcPr>
          <w:p w14:paraId="3041AC39" w14:textId="77777777" w:rsidR="00AD18C3" w:rsidRPr="00226892" w:rsidRDefault="00AD18C3" w:rsidP="00FD21B8">
            <w:pPr>
              <w:jc w:val="right"/>
              <w:rPr>
                <w:rFonts w:ascii="Arial" w:eastAsia="Times New Roman" w:hAnsi="Arial" w:cs="Arial"/>
                <w:color w:val="000000"/>
                <w:sz w:val="18"/>
                <w:szCs w:val="18"/>
                <w:lang w:val="sk-SK" w:eastAsia="sk-SK"/>
              </w:rPr>
            </w:pPr>
          </w:p>
        </w:tc>
        <w:tc>
          <w:tcPr>
            <w:tcW w:w="1736" w:type="dxa"/>
            <w:tcBorders>
              <w:top w:val="nil"/>
              <w:left w:val="nil"/>
              <w:bottom w:val="nil"/>
              <w:right w:val="nil"/>
            </w:tcBorders>
            <w:shd w:val="clear" w:color="auto" w:fill="auto"/>
            <w:vAlign w:val="bottom"/>
          </w:tcPr>
          <w:p w14:paraId="6278E15E" w14:textId="17EDCE02" w:rsidR="00AD18C3" w:rsidRPr="00226892" w:rsidRDefault="00E16F0B"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104 133</w:t>
            </w:r>
          </w:p>
        </w:tc>
        <w:tc>
          <w:tcPr>
            <w:tcW w:w="196" w:type="dxa"/>
            <w:tcBorders>
              <w:top w:val="nil"/>
              <w:left w:val="nil"/>
              <w:bottom w:val="nil"/>
              <w:right w:val="nil"/>
            </w:tcBorders>
            <w:shd w:val="clear" w:color="auto" w:fill="auto"/>
            <w:vAlign w:val="bottom"/>
          </w:tcPr>
          <w:p w14:paraId="526ACB1C" w14:textId="77777777" w:rsidR="00AD18C3" w:rsidRPr="00226892" w:rsidRDefault="00AD18C3" w:rsidP="00FD21B8">
            <w:pPr>
              <w:jc w:val="right"/>
              <w:rPr>
                <w:rFonts w:ascii="Arial" w:eastAsia="Times New Roman" w:hAnsi="Arial" w:cs="Arial"/>
                <w:color w:val="000000"/>
                <w:sz w:val="18"/>
                <w:szCs w:val="18"/>
                <w:lang w:val="sk-SK" w:eastAsia="sk-SK"/>
              </w:rPr>
            </w:pPr>
          </w:p>
        </w:tc>
        <w:tc>
          <w:tcPr>
            <w:tcW w:w="1707" w:type="dxa"/>
            <w:tcBorders>
              <w:top w:val="nil"/>
              <w:left w:val="nil"/>
              <w:bottom w:val="nil"/>
              <w:right w:val="nil"/>
            </w:tcBorders>
            <w:shd w:val="clear" w:color="auto" w:fill="auto"/>
            <w:vAlign w:val="bottom"/>
          </w:tcPr>
          <w:p w14:paraId="65FEC397" w14:textId="1904D202" w:rsidR="00AD18C3" w:rsidRPr="00226892" w:rsidRDefault="00E16F0B"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1 903</w:t>
            </w:r>
          </w:p>
        </w:tc>
        <w:tc>
          <w:tcPr>
            <w:tcW w:w="196" w:type="dxa"/>
            <w:tcBorders>
              <w:top w:val="nil"/>
              <w:left w:val="nil"/>
              <w:bottom w:val="nil"/>
              <w:right w:val="nil"/>
            </w:tcBorders>
            <w:vAlign w:val="bottom"/>
          </w:tcPr>
          <w:p w14:paraId="0890DB8A" w14:textId="77777777" w:rsidR="00AD18C3" w:rsidRPr="00226892" w:rsidRDefault="00AD18C3" w:rsidP="00FD21B8">
            <w:pPr>
              <w:jc w:val="right"/>
              <w:rPr>
                <w:rFonts w:ascii="Arial" w:eastAsia="Times New Roman" w:hAnsi="Arial" w:cs="Arial"/>
                <w:color w:val="000000"/>
                <w:sz w:val="18"/>
                <w:szCs w:val="18"/>
                <w:lang w:val="sk-SK" w:eastAsia="sk-SK"/>
              </w:rPr>
            </w:pPr>
          </w:p>
        </w:tc>
        <w:tc>
          <w:tcPr>
            <w:tcW w:w="1586" w:type="dxa"/>
            <w:tcBorders>
              <w:top w:val="nil"/>
              <w:left w:val="nil"/>
              <w:bottom w:val="nil"/>
              <w:right w:val="nil"/>
            </w:tcBorders>
            <w:shd w:val="clear" w:color="auto" w:fill="auto"/>
            <w:vAlign w:val="bottom"/>
          </w:tcPr>
          <w:p w14:paraId="67C5360D" w14:textId="4229F5D3" w:rsidR="00AD18C3" w:rsidRPr="00226892" w:rsidRDefault="00E16F0B"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149 020</w:t>
            </w:r>
          </w:p>
        </w:tc>
      </w:tr>
      <w:tr w:rsidR="00AD18C3" w:rsidRPr="00226892" w14:paraId="76371015" w14:textId="77777777" w:rsidTr="002162CB">
        <w:trPr>
          <w:trHeight w:val="227"/>
        </w:trPr>
        <w:tc>
          <w:tcPr>
            <w:tcW w:w="4914" w:type="dxa"/>
            <w:tcBorders>
              <w:top w:val="nil"/>
              <w:left w:val="nil"/>
              <w:bottom w:val="nil"/>
              <w:right w:val="nil"/>
            </w:tcBorders>
            <w:shd w:val="clear" w:color="auto" w:fill="auto"/>
            <w:noWrap/>
            <w:vAlign w:val="bottom"/>
          </w:tcPr>
          <w:p w14:paraId="122BBFFC" w14:textId="3451BC20" w:rsidR="00AD18C3" w:rsidRPr="00226892" w:rsidRDefault="004C20A3" w:rsidP="0009499B">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Oprávky</w:t>
            </w:r>
          </w:p>
        </w:tc>
        <w:tc>
          <w:tcPr>
            <w:tcW w:w="196" w:type="dxa"/>
            <w:tcBorders>
              <w:top w:val="nil"/>
              <w:left w:val="nil"/>
              <w:bottom w:val="nil"/>
              <w:right w:val="nil"/>
            </w:tcBorders>
            <w:shd w:val="clear" w:color="auto" w:fill="auto"/>
            <w:noWrap/>
            <w:vAlign w:val="bottom"/>
          </w:tcPr>
          <w:p w14:paraId="3370F0F4" w14:textId="77777777" w:rsidR="00AD18C3" w:rsidRPr="00226892" w:rsidRDefault="00AD18C3" w:rsidP="0009499B">
            <w:pPr>
              <w:rPr>
                <w:rFonts w:ascii="Arial" w:eastAsia="Times New Roman" w:hAnsi="Arial" w:cs="Arial"/>
                <w:color w:val="000000"/>
                <w:sz w:val="18"/>
                <w:szCs w:val="18"/>
                <w:lang w:val="sk-SK" w:eastAsia="sk-SK"/>
              </w:rPr>
            </w:pPr>
          </w:p>
        </w:tc>
        <w:tc>
          <w:tcPr>
            <w:tcW w:w="1833" w:type="dxa"/>
            <w:tcBorders>
              <w:top w:val="nil"/>
              <w:left w:val="nil"/>
              <w:bottom w:val="nil"/>
              <w:right w:val="nil"/>
            </w:tcBorders>
            <w:shd w:val="clear" w:color="auto" w:fill="auto"/>
            <w:vAlign w:val="bottom"/>
          </w:tcPr>
          <w:p w14:paraId="0ED88248" w14:textId="5EC87F42" w:rsidR="00AD18C3" w:rsidRPr="00226892" w:rsidRDefault="00E16F0B"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96" w:type="dxa"/>
            <w:tcBorders>
              <w:top w:val="nil"/>
              <w:left w:val="nil"/>
              <w:bottom w:val="nil"/>
              <w:right w:val="nil"/>
            </w:tcBorders>
            <w:shd w:val="clear" w:color="auto" w:fill="auto"/>
            <w:vAlign w:val="bottom"/>
          </w:tcPr>
          <w:p w14:paraId="230ABC21" w14:textId="77777777" w:rsidR="00AD18C3" w:rsidRPr="00226892" w:rsidRDefault="00AD18C3" w:rsidP="00FD21B8">
            <w:pPr>
              <w:jc w:val="right"/>
              <w:rPr>
                <w:rFonts w:ascii="Arial" w:eastAsia="Times New Roman" w:hAnsi="Arial" w:cs="Arial"/>
                <w:color w:val="000000"/>
                <w:sz w:val="18"/>
                <w:szCs w:val="18"/>
                <w:lang w:val="sk-SK" w:eastAsia="sk-SK"/>
              </w:rPr>
            </w:pPr>
          </w:p>
        </w:tc>
        <w:tc>
          <w:tcPr>
            <w:tcW w:w="1792" w:type="dxa"/>
            <w:tcBorders>
              <w:top w:val="nil"/>
              <w:left w:val="nil"/>
              <w:bottom w:val="nil"/>
              <w:right w:val="nil"/>
            </w:tcBorders>
            <w:shd w:val="clear" w:color="auto" w:fill="auto"/>
            <w:vAlign w:val="bottom"/>
          </w:tcPr>
          <w:p w14:paraId="6DE00BC3" w14:textId="4CC6FE7D" w:rsidR="00AD18C3" w:rsidRPr="00226892" w:rsidRDefault="00E16F0B"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-12 997</w:t>
            </w:r>
          </w:p>
        </w:tc>
        <w:tc>
          <w:tcPr>
            <w:tcW w:w="238" w:type="dxa"/>
            <w:tcBorders>
              <w:top w:val="nil"/>
              <w:left w:val="nil"/>
              <w:bottom w:val="nil"/>
              <w:right w:val="nil"/>
            </w:tcBorders>
            <w:shd w:val="clear" w:color="auto" w:fill="auto"/>
            <w:vAlign w:val="bottom"/>
          </w:tcPr>
          <w:p w14:paraId="47302682" w14:textId="77777777" w:rsidR="00AD18C3" w:rsidRPr="00226892" w:rsidRDefault="00AD18C3" w:rsidP="00FD21B8">
            <w:pPr>
              <w:jc w:val="right"/>
              <w:rPr>
                <w:rFonts w:ascii="Arial" w:eastAsia="Times New Roman" w:hAnsi="Arial" w:cs="Arial"/>
                <w:color w:val="000000"/>
                <w:sz w:val="18"/>
                <w:szCs w:val="18"/>
                <w:lang w:val="sk-SK" w:eastAsia="sk-SK"/>
              </w:rPr>
            </w:pPr>
          </w:p>
        </w:tc>
        <w:tc>
          <w:tcPr>
            <w:tcW w:w="1736" w:type="dxa"/>
            <w:tcBorders>
              <w:top w:val="nil"/>
              <w:left w:val="nil"/>
              <w:bottom w:val="nil"/>
              <w:right w:val="nil"/>
            </w:tcBorders>
            <w:shd w:val="clear" w:color="auto" w:fill="auto"/>
            <w:vAlign w:val="bottom"/>
          </w:tcPr>
          <w:p w14:paraId="1D422E02" w14:textId="091DD063" w:rsidR="00AD18C3" w:rsidRPr="00226892" w:rsidRDefault="00E16F0B"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-6</w:t>
            </w:r>
            <w:r w:rsidR="001B28BE" w:rsidRPr="00226892">
              <w:rPr>
                <w:rFonts w:ascii="Arial" w:eastAsia="Times New Roman" w:hAnsi="Arial" w:cs="Arial"/>
                <w:color w:val="000000"/>
                <w:sz w:val="18"/>
                <w:szCs w:val="18"/>
                <w:lang w:val="sk-SK" w:eastAsia="sk-SK"/>
              </w:rPr>
              <w:t>4 950</w:t>
            </w:r>
          </w:p>
        </w:tc>
        <w:tc>
          <w:tcPr>
            <w:tcW w:w="196" w:type="dxa"/>
            <w:tcBorders>
              <w:top w:val="nil"/>
              <w:left w:val="nil"/>
              <w:bottom w:val="nil"/>
              <w:right w:val="nil"/>
            </w:tcBorders>
            <w:shd w:val="clear" w:color="auto" w:fill="auto"/>
            <w:vAlign w:val="bottom"/>
          </w:tcPr>
          <w:p w14:paraId="0EEBC1F8" w14:textId="77777777" w:rsidR="00AD18C3" w:rsidRPr="00226892" w:rsidRDefault="00AD18C3" w:rsidP="00FD21B8">
            <w:pPr>
              <w:jc w:val="right"/>
              <w:rPr>
                <w:rFonts w:ascii="Arial" w:eastAsia="Times New Roman" w:hAnsi="Arial" w:cs="Arial"/>
                <w:color w:val="000000"/>
                <w:sz w:val="18"/>
                <w:szCs w:val="18"/>
                <w:lang w:val="sk-SK" w:eastAsia="sk-SK"/>
              </w:rPr>
            </w:pPr>
          </w:p>
        </w:tc>
        <w:tc>
          <w:tcPr>
            <w:tcW w:w="1707" w:type="dxa"/>
            <w:tcBorders>
              <w:top w:val="nil"/>
              <w:left w:val="nil"/>
              <w:bottom w:val="nil"/>
              <w:right w:val="nil"/>
            </w:tcBorders>
            <w:shd w:val="clear" w:color="auto" w:fill="auto"/>
            <w:vAlign w:val="bottom"/>
          </w:tcPr>
          <w:p w14:paraId="057D0643" w14:textId="57D02AAC" w:rsidR="00AD18C3" w:rsidRPr="00226892" w:rsidRDefault="00E16F0B" w:rsidP="002162CB">
            <w:pPr>
              <w:pStyle w:val="Odsekzoznamu"/>
              <w:jc w:val="right"/>
              <w:rPr>
                <w:rFonts w:ascii="Arial" w:hAnsi="Arial" w:cs="Arial"/>
                <w:color w:val="000000"/>
                <w:sz w:val="18"/>
                <w:szCs w:val="18"/>
                <w:lang w:val="sk-SK" w:eastAsia="sk-SK"/>
              </w:rPr>
            </w:pPr>
            <w:r w:rsidRPr="00226892">
              <w:rPr>
                <w:rFonts w:ascii="Arial" w:hAnsi="Arial" w:cs="Arial"/>
                <w:color w:val="000000"/>
                <w:sz w:val="18"/>
                <w:szCs w:val="18"/>
                <w:lang w:val="sk-SK" w:eastAsia="sk-SK"/>
              </w:rPr>
              <w:t>-</w:t>
            </w:r>
          </w:p>
        </w:tc>
        <w:tc>
          <w:tcPr>
            <w:tcW w:w="196" w:type="dxa"/>
            <w:tcBorders>
              <w:top w:val="nil"/>
              <w:left w:val="nil"/>
              <w:bottom w:val="nil"/>
              <w:right w:val="nil"/>
            </w:tcBorders>
            <w:vAlign w:val="bottom"/>
          </w:tcPr>
          <w:p w14:paraId="7781877E" w14:textId="77777777" w:rsidR="00AD18C3" w:rsidRPr="00226892" w:rsidRDefault="00AD18C3" w:rsidP="00FD21B8">
            <w:pPr>
              <w:jc w:val="right"/>
              <w:rPr>
                <w:rFonts w:ascii="Arial" w:eastAsia="Times New Roman" w:hAnsi="Arial" w:cs="Arial"/>
                <w:color w:val="000000"/>
                <w:sz w:val="18"/>
                <w:szCs w:val="18"/>
                <w:lang w:val="sk-SK" w:eastAsia="sk-SK"/>
              </w:rPr>
            </w:pPr>
          </w:p>
        </w:tc>
        <w:tc>
          <w:tcPr>
            <w:tcW w:w="1586" w:type="dxa"/>
            <w:tcBorders>
              <w:top w:val="nil"/>
              <w:left w:val="nil"/>
              <w:bottom w:val="nil"/>
              <w:right w:val="nil"/>
            </w:tcBorders>
            <w:shd w:val="clear" w:color="auto" w:fill="auto"/>
            <w:vAlign w:val="bottom"/>
          </w:tcPr>
          <w:p w14:paraId="69C99A73" w14:textId="6801F7FA" w:rsidR="00AD18C3" w:rsidRPr="00226892" w:rsidRDefault="00E16F0B" w:rsidP="00FD21B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-7</w:t>
            </w:r>
            <w:r w:rsidR="001B28BE" w:rsidRPr="00226892">
              <w:rPr>
                <w:rFonts w:ascii="Arial" w:eastAsia="Times New Roman" w:hAnsi="Arial" w:cs="Arial"/>
                <w:color w:val="000000"/>
                <w:sz w:val="18"/>
                <w:szCs w:val="18"/>
                <w:lang w:val="sk-SK" w:eastAsia="sk-SK"/>
              </w:rPr>
              <w:t>7 947</w:t>
            </w:r>
          </w:p>
        </w:tc>
      </w:tr>
      <w:tr w:rsidR="00081258" w:rsidRPr="00226892" w14:paraId="77B87671" w14:textId="77777777" w:rsidTr="00D25A3F">
        <w:trPr>
          <w:trHeight w:val="227"/>
        </w:trPr>
        <w:tc>
          <w:tcPr>
            <w:tcW w:w="4914" w:type="dxa"/>
            <w:tcBorders>
              <w:top w:val="nil"/>
              <w:left w:val="nil"/>
              <w:bottom w:val="nil"/>
              <w:right w:val="nil"/>
            </w:tcBorders>
            <w:shd w:val="clear" w:color="auto" w:fill="auto"/>
            <w:noWrap/>
            <w:vAlign w:val="bottom"/>
            <w:hideMark/>
          </w:tcPr>
          <w:p w14:paraId="26E0C74E" w14:textId="77777777" w:rsidR="00AD18C3" w:rsidRPr="00226892" w:rsidRDefault="00AD18C3" w:rsidP="0009499B">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Zostatková hodnota</w:t>
            </w:r>
          </w:p>
        </w:tc>
        <w:tc>
          <w:tcPr>
            <w:tcW w:w="196" w:type="dxa"/>
            <w:tcBorders>
              <w:top w:val="nil"/>
              <w:left w:val="nil"/>
              <w:bottom w:val="nil"/>
              <w:right w:val="nil"/>
            </w:tcBorders>
            <w:shd w:val="clear" w:color="auto" w:fill="auto"/>
            <w:noWrap/>
            <w:vAlign w:val="bottom"/>
            <w:hideMark/>
          </w:tcPr>
          <w:p w14:paraId="184ACAD6" w14:textId="77777777" w:rsidR="00AD18C3" w:rsidRPr="00226892" w:rsidRDefault="00AD18C3" w:rsidP="0009499B">
            <w:pPr>
              <w:rPr>
                <w:rFonts w:ascii="Arial" w:eastAsia="Times New Roman" w:hAnsi="Arial" w:cs="Arial"/>
                <w:b/>
                <w:bCs/>
                <w:color w:val="000000"/>
                <w:sz w:val="18"/>
                <w:szCs w:val="18"/>
                <w:lang w:val="sk-SK" w:eastAsia="sk-SK"/>
              </w:rPr>
            </w:pPr>
          </w:p>
        </w:tc>
        <w:tc>
          <w:tcPr>
            <w:tcW w:w="1833" w:type="dxa"/>
            <w:tcBorders>
              <w:top w:val="single" w:sz="4" w:space="0" w:color="auto"/>
              <w:left w:val="nil"/>
              <w:bottom w:val="double" w:sz="6" w:space="0" w:color="auto"/>
              <w:right w:val="nil"/>
            </w:tcBorders>
            <w:shd w:val="clear" w:color="auto" w:fill="auto"/>
            <w:vAlign w:val="bottom"/>
          </w:tcPr>
          <w:p w14:paraId="085442DF" w14:textId="2E931673" w:rsidR="00AD18C3" w:rsidRPr="00226892" w:rsidRDefault="00E16F0B" w:rsidP="00FD21B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3 533</w:t>
            </w:r>
          </w:p>
        </w:tc>
        <w:tc>
          <w:tcPr>
            <w:tcW w:w="196" w:type="dxa"/>
            <w:tcBorders>
              <w:top w:val="nil"/>
              <w:left w:val="nil"/>
              <w:bottom w:val="nil"/>
              <w:right w:val="nil"/>
            </w:tcBorders>
            <w:shd w:val="clear" w:color="auto" w:fill="auto"/>
            <w:vAlign w:val="bottom"/>
          </w:tcPr>
          <w:p w14:paraId="2396114C" w14:textId="77777777" w:rsidR="00AD18C3" w:rsidRPr="00226892" w:rsidRDefault="00AD18C3" w:rsidP="00FD21B8">
            <w:pPr>
              <w:jc w:val="right"/>
              <w:rPr>
                <w:rFonts w:ascii="Arial" w:eastAsia="Times New Roman" w:hAnsi="Arial" w:cs="Arial"/>
                <w:b/>
                <w:bCs/>
                <w:color w:val="000000"/>
                <w:sz w:val="18"/>
                <w:szCs w:val="18"/>
                <w:lang w:val="sk-SK" w:eastAsia="sk-SK"/>
              </w:rPr>
            </w:pPr>
          </w:p>
        </w:tc>
        <w:tc>
          <w:tcPr>
            <w:tcW w:w="1792" w:type="dxa"/>
            <w:tcBorders>
              <w:top w:val="single" w:sz="4" w:space="0" w:color="auto"/>
              <w:left w:val="nil"/>
              <w:bottom w:val="double" w:sz="6" w:space="0" w:color="auto"/>
              <w:right w:val="nil"/>
            </w:tcBorders>
            <w:shd w:val="clear" w:color="auto" w:fill="auto"/>
            <w:vAlign w:val="bottom"/>
          </w:tcPr>
          <w:p w14:paraId="4F22517F" w14:textId="5BD11171" w:rsidR="00AD18C3" w:rsidRPr="00226892" w:rsidRDefault="00E16F0B" w:rsidP="00927749">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26 454</w:t>
            </w:r>
          </w:p>
        </w:tc>
        <w:tc>
          <w:tcPr>
            <w:tcW w:w="238" w:type="dxa"/>
            <w:tcBorders>
              <w:top w:val="nil"/>
              <w:left w:val="nil"/>
              <w:bottom w:val="nil"/>
              <w:right w:val="nil"/>
            </w:tcBorders>
            <w:shd w:val="clear" w:color="auto" w:fill="auto"/>
            <w:vAlign w:val="bottom"/>
          </w:tcPr>
          <w:p w14:paraId="729D5A83" w14:textId="77777777" w:rsidR="00AD18C3" w:rsidRPr="00226892" w:rsidRDefault="00AD18C3" w:rsidP="00FD21B8">
            <w:pPr>
              <w:jc w:val="right"/>
              <w:rPr>
                <w:rFonts w:ascii="Arial" w:eastAsia="Times New Roman" w:hAnsi="Arial" w:cs="Arial"/>
                <w:b/>
                <w:bCs/>
                <w:color w:val="000000"/>
                <w:sz w:val="18"/>
                <w:szCs w:val="18"/>
                <w:lang w:val="sk-SK" w:eastAsia="sk-SK"/>
              </w:rPr>
            </w:pPr>
          </w:p>
        </w:tc>
        <w:tc>
          <w:tcPr>
            <w:tcW w:w="1736" w:type="dxa"/>
            <w:tcBorders>
              <w:top w:val="single" w:sz="4" w:space="0" w:color="auto"/>
              <w:left w:val="nil"/>
              <w:bottom w:val="double" w:sz="6" w:space="0" w:color="auto"/>
              <w:right w:val="nil"/>
            </w:tcBorders>
            <w:shd w:val="clear" w:color="auto" w:fill="auto"/>
            <w:vAlign w:val="bottom"/>
          </w:tcPr>
          <w:p w14:paraId="19A64A94" w14:textId="7E9709D1" w:rsidR="00AD18C3" w:rsidRPr="00226892" w:rsidRDefault="001B28BE" w:rsidP="00FD21B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39 183</w:t>
            </w:r>
          </w:p>
        </w:tc>
        <w:tc>
          <w:tcPr>
            <w:tcW w:w="196" w:type="dxa"/>
            <w:tcBorders>
              <w:top w:val="nil"/>
              <w:left w:val="nil"/>
              <w:bottom w:val="nil"/>
              <w:right w:val="nil"/>
            </w:tcBorders>
            <w:shd w:val="clear" w:color="auto" w:fill="auto"/>
            <w:vAlign w:val="bottom"/>
          </w:tcPr>
          <w:p w14:paraId="1B87D454" w14:textId="77777777" w:rsidR="00AD18C3" w:rsidRPr="00226892" w:rsidRDefault="00AD18C3" w:rsidP="00FD21B8">
            <w:pPr>
              <w:jc w:val="right"/>
              <w:rPr>
                <w:rFonts w:ascii="Arial" w:eastAsia="Times New Roman" w:hAnsi="Arial" w:cs="Arial"/>
                <w:b/>
                <w:bCs/>
                <w:color w:val="000000"/>
                <w:sz w:val="18"/>
                <w:szCs w:val="18"/>
                <w:lang w:val="sk-SK" w:eastAsia="sk-SK"/>
              </w:rPr>
            </w:pPr>
          </w:p>
        </w:tc>
        <w:tc>
          <w:tcPr>
            <w:tcW w:w="1707" w:type="dxa"/>
            <w:tcBorders>
              <w:top w:val="single" w:sz="4" w:space="0" w:color="auto"/>
              <w:left w:val="nil"/>
              <w:bottom w:val="double" w:sz="6" w:space="0" w:color="auto"/>
              <w:right w:val="nil"/>
            </w:tcBorders>
            <w:shd w:val="clear" w:color="auto" w:fill="auto"/>
            <w:vAlign w:val="bottom"/>
          </w:tcPr>
          <w:p w14:paraId="44E955B6" w14:textId="03609B1A" w:rsidR="00AD18C3" w:rsidRPr="00226892" w:rsidRDefault="00E16F0B" w:rsidP="00FD21B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1 903</w:t>
            </w:r>
          </w:p>
        </w:tc>
        <w:tc>
          <w:tcPr>
            <w:tcW w:w="196" w:type="dxa"/>
            <w:tcBorders>
              <w:top w:val="single" w:sz="4" w:space="0" w:color="auto"/>
              <w:left w:val="nil"/>
              <w:bottom w:val="double" w:sz="6" w:space="0" w:color="auto"/>
              <w:right w:val="nil"/>
            </w:tcBorders>
            <w:vAlign w:val="bottom"/>
          </w:tcPr>
          <w:p w14:paraId="0974080B" w14:textId="77777777" w:rsidR="00AD18C3" w:rsidRPr="00226892" w:rsidRDefault="00AD18C3" w:rsidP="00FD21B8">
            <w:pPr>
              <w:jc w:val="right"/>
              <w:rPr>
                <w:rFonts w:ascii="Arial" w:eastAsia="Times New Roman" w:hAnsi="Arial" w:cs="Arial"/>
                <w:b/>
                <w:bCs/>
                <w:color w:val="000000"/>
                <w:sz w:val="18"/>
                <w:szCs w:val="18"/>
                <w:lang w:val="sk-SK" w:eastAsia="sk-SK"/>
              </w:rPr>
            </w:pPr>
          </w:p>
        </w:tc>
        <w:tc>
          <w:tcPr>
            <w:tcW w:w="1586" w:type="dxa"/>
            <w:tcBorders>
              <w:top w:val="single" w:sz="4" w:space="0" w:color="auto"/>
              <w:left w:val="nil"/>
              <w:bottom w:val="double" w:sz="6" w:space="0" w:color="auto"/>
              <w:right w:val="nil"/>
            </w:tcBorders>
            <w:shd w:val="clear" w:color="auto" w:fill="auto"/>
            <w:vAlign w:val="bottom"/>
          </w:tcPr>
          <w:p w14:paraId="346DEA0B" w14:textId="2C2AF7CF" w:rsidR="00AD18C3" w:rsidRPr="00226892" w:rsidRDefault="00E16F0B" w:rsidP="00927749">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7</w:t>
            </w:r>
            <w:r w:rsidR="001B28BE" w:rsidRPr="00226892">
              <w:rPr>
                <w:rFonts w:ascii="Arial" w:eastAsia="Times New Roman" w:hAnsi="Arial" w:cs="Arial"/>
                <w:b/>
                <w:bCs/>
                <w:color w:val="000000"/>
                <w:sz w:val="18"/>
                <w:szCs w:val="18"/>
                <w:lang w:val="sk-SK" w:eastAsia="sk-SK"/>
              </w:rPr>
              <w:t>1 073</w:t>
            </w:r>
          </w:p>
        </w:tc>
      </w:tr>
    </w:tbl>
    <w:p w14:paraId="4D4AE92C" w14:textId="28077CAF" w:rsidR="00D20500" w:rsidRPr="00226892" w:rsidRDefault="00092119" w:rsidP="0009499B">
      <w:pPr>
        <w:ind w:firstLine="709"/>
        <w:rPr>
          <w:rFonts w:ascii="Arial" w:hAnsi="Arial" w:cs="Arial"/>
        </w:rPr>
      </w:pPr>
      <w:r w:rsidRPr="00226892">
        <w:rPr>
          <w:rFonts w:ascii="Arial" w:hAnsi="Arial" w:cs="Arial"/>
        </w:rPr>
        <w:t xml:space="preserve"> </w:t>
      </w:r>
      <w:bookmarkEnd w:id="334"/>
      <w:r w:rsidRPr="00226892">
        <w:rPr>
          <w:rFonts w:ascii="Arial" w:hAnsi="Arial" w:cs="Arial"/>
        </w:rPr>
        <w:t xml:space="preserve"> </w:t>
      </w:r>
      <w:r w:rsidR="00D20500" w:rsidRPr="00226892">
        <w:rPr>
          <w:rFonts w:ascii="Arial" w:hAnsi="Arial" w:cs="Arial"/>
        </w:rPr>
        <w:t xml:space="preserve"> </w:t>
      </w:r>
    </w:p>
    <w:p w14:paraId="4DE02522" w14:textId="5CDF1A2E" w:rsidR="00D20500" w:rsidRPr="00226892" w:rsidRDefault="00D20500" w:rsidP="00D20500">
      <w:pPr>
        <w:rPr>
          <w:rFonts w:ascii="Arial" w:hAnsi="Arial" w:cs="Arial"/>
        </w:rPr>
      </w:pPr>
    </w:p>
    <w:p w14:paraId="56069970" w14:textId="77777777" w:rsidR="00C87144" w:rsidRPr="00226892" w:rsidRDefault="00C87144" w:rsidP="009B79FC">
      <w:pPr>
        <w:pStyle w:val="odstavec"/>
      </w:pPr>
    </w:p>
    <w:p w14:paraId="3ED8A83C" w14:textId="77777777" w:rsidR="00C87144" w:rsidRPr="00226892" w:rsidRDefault="00C87144" w:rsidP="009B79FC">
      <w:pPr>
        <w:pStyle w:val="odstavec"/>
        <w:sectPr w:rsidR="00C87144" w:rsidRPr="00226892" w:rsidSect="00D20500">
          <w:pgSz w:w="16840" w:h="11907" w:orient="landscape" w:code="9"/>
          <w:pgMar w:top="1134" w:right="1134" w:bottom="1134" w:left="1134" w:header="709" w:footer="709" w:gutter="0"/>
          <w:cols w:space="708"/>
          <w:docGrid w:linePitch="272"/>
        </w:sectPr>
      </w:pPr>
    </w:p>
    <w:p w14:paraId="21C43530" w14:textId="303A1231" w:rsidR="002F4175" w:rsidRPr="00226892" w:rsidRDefault="002F4175" w:rsidP="009B79FC">
      <w:pPr>
        <w:pStyle w:val="odstavec"/>
      </w:pPr>
      <w:r w:rsidRPr="00226892">
        <w:lastRenderedPageBreak/>
        <w:t>Informácie o záložnom práve prípadne obmedzenom práve disponovať s dlhodobým hmotným majetkom:</w:t>
      </w:r>
      <w:r w:rsidR="00BE3955" w:rsidRPr="00226892">
        <w:t xml:space="preserve"> </w:t>
      </w:r>
    </w:p>
    <w:p w14:paraId="7F3940E2" w14:textId="77777777" w:rsidR="002F4175" w:rsidRPr="00226892" w:rsidRDefault="002F4175" w:rsidP="009B79FC">
      <w:pPr>
        <w:pStyle w:val="odstavec"/>
      </w:pPr>
      <w:r w:rsidRPr="00226892">
        <w:t xml:space="preserve"> </w:t>
      </w:r>
    </w:p>
    <w:tbl>
      <w:tblPr>
        <w:tblW w:w="5000" w:type="pct"/>
        <w:tblCellMar>
          <w:left w:w="70" w:type="dxa"/>
          <w:right w:w="70" w:type="dxa"/>
        </w:tblCellMar>
        <w:tblLook w:val="04A0" w:firstRow="1" w:lastRow="0" w:firstColumn="1" w:lastColumn="0" w:noHBand="0" w:noVBand="1"/>
      </w:tblPr>
      <w:tblGrid>
        <w:gridCol w:w="5671"/>
        <w:gridCol w:w="1984"/>
        <w:gridCol w:w="1984"/>
      </w:tblGrid>
      <w:tr w:rsidR="002F4175" w:rsidRPr="00226892" w14:paraId="4D39195B" w14:textId="77777777" w:rsidTr="006836EB">
        <w:trPr>
          <w:trHeight w:val="227"/>
        </w:trPr>
        <w:tc>
          <w:tcPr>
            <w:tcW w:w="2942" w:type="pct"/>
            <w:tcBorders>
              <w:top w:val="nil"/>
              <w:left w:val="nil"/>
              <w:bottom w:val="single" w:sz="4" w:space="0" w:color="auto"/>
              <w:right w:val="nil"/>
            </w:tcBorders>
            <w:shd w:val="clear" w:color="auto" w:fill="auto"/>
            <w:vAlign w:val="bottom"/>
            <w:hideMark/>
          </w:tcPr>
          <w:p w14:paraId="527B251F" w14:textId="77777777" w:rsidR="002F4175" w:rsidRPr="00226892" w:rsidRDefault="002F4175" w:rsidP="006836EB">
            <w:pPr>
              <w:jc w:val="center"/>
              <w:rPr>
                <w:rFonts w:ascii="Arial" w:hAnsi="Arial" w:cs="Arial"/>
                <w:b/>
                <w:bCs/>
                <w:sz w:val="18"/>
                <w:szCs w:val="18"/>
              </w:rPr>
            </w:pPr>
            <w:bookmarkStart w:id="335" w:name="RANGE!B3:D5"/>
            <w:proofErr w:type="spellStart"/>
            <w:r w:rsidRPr="00226892">
              <w:rPr>
                <w:rFonts w:ascii="Arial" w:hAnsi="Arial" w:cs="Arial"/>
                <w:b/>
                <w:bCs/>
                <w:sz w:val="18"/>
                <w:szCs w:val="18"/>
              </w:rPr>
              <w:t>Dlhodobý</w:t>
            </w:r>
            <w:proofErr w:type="spellEnd"/>
            <w:r w:rsidRPr="00226892">
              <w:rPr>
                <w:rFonts w:ascii="Arial" w:hAnsi="Arial" w:cs="Arial"/>
                <w:b/>
                <w:bCs/>
                <w:sz w:val="18"/>
                <w:szCs w:val="18"/>
              </w:rPr>
              <w:t xml:space="preserve"> </w:t>
            </w:r>
            <w:proofErr w:type="spellStart"/>
            <w:r w:rsidRPr="00226892">
              <w:rPr>
                <w:rFonts w:ascii="Arial" w:hAnsi="Arial" w:cs="Arial"/>
                <w:b/>
                <w:bCs/>
                <w:sz w:val="18"/>
                <w:szCs w:val="18"/>
              </w:rPr>
              <w:t>hmotný</w:t>
            </w:r>
            <w:proofErr w:type="spellEnd"/>
            <w:r w:rsidRPr="00226892">
              <w:rPr>
                <w:rFonts w:ascii="Arial" w:hAnsi="Arial" w:cs="Arial"/>
                <w:b/>
                <w:bCs/>
                <w:sz w:val="18"/>
                <w:szCs w:val="18"/>
              </w:rPr>
              <w:t xml:space="preserve"> </w:t>
            </w:r>
            <w:proofErr w:type="spellStart"/>
            <w:r w:rsidRPr="00226892">
              <w:rPr>
                <w:rFonts w:ascii="Arial" w:hAnsi="Arial" w:cs="Arial"/>
                <w:b/>
                <w:bCs/>
                <w:sz w:val="18"/>
                <w:szCs w:val="18"/>
              </w:rPr>
              <w:t>majetok</w:t>
            </w:r>
            <w:bookmarkEnd w:id="335"/>
            <w:proofErr w:type="spellEnd"/>
          </w:p>
        </w:tc>
        <w:tc>
          <w:tcPr>
            <w:tcW w:w="1029" w:type="pct"/>
            <w:tcBorders>
              <w:top w:val="nil"/>
              <w:left w:val="nil"/>
              <w:bottom w:val="single" w:sz="4" w:space="0" w:color="auto"/>
              <w:right w:val="nil"/>
            </w:tcBorders>
            <w:shd w:val="clear" w:color="auto" w:fill="auto"/>
            <w:vAlign w:val="bottom"/>
            <w:hideMark/>
          </w:tcPr>
          <w:p w14:paraId="594BFC63" w14:textId="07717EFE" w:rsidR="002F4175" w:rsidRPr="00226892" w:rsidRDefault="002F4175" w:rsidP="006836EB">
            <w:pPr>
              <w:jc w:val="center"/>
              <w:rPr>
                <w:rFonts w:ascii="Arial" w:hAnsi="Arial" w:cs="Arial"/>
                <w:b/>
                <w:bCs/>
                <w:sz w:val="18"/>
                <w:szCs w:val="18"/>
              </w:rPr>
            </w:pPr>
            <w:proofErr w:type="spellStart"/>
            <w:r w:rsidRPr="00226892">
              <w:rPr>
                <w:rFonts w:ascii="Arial" w:hAnsi="Arial" w:cs="Arial"/>
                <w:b/>
                <w:bCs/>
                <w:sz w:val="18"/>
                <w:szCs w:val="18"/>
              </w:rPr>
              <w:t>Hodnota</w:t>
            </w:r>
            <w:proofErr w:type="spellEnd"/>
            <w:r w:rsidRPr="00226892">
              <w:rPr>
                <w:rFonts w:ascii="Arial" w:hAnsi="Arial" w:cs="Arial"/>
                <w:b/>
                <w:bCs/>
                <w:sz w:val="18"/>
                <w:szCs w:val="18"/>
              </w:rPr>
              <w:t xml:space="preserve"> k 31.12.</w:t>
            </w:r>
            <w:r w:rsidR="00FD3AC5" w:rsidRPr="00226892">
              <w:rPr>
                <w:rFonts w:ascii="Arial" w:hAnsi="Arial" w:cs="Arial"/>
                <w:b/>
                <w:bCs/>
                <w:sz w:val="18"/>
                <w:szCs w:val="18"/>
              </w:rPr>
              <w:t>2018</w:t>
            </w:r>
          </w:p>
        </w:tc>
        <w:tc>
          <w:tcPr>
            <w:tcW w:w="1029" w:type="pct"/>
            <w:tcBorders>
              <w:top w:val="nil"/>
              <w:left w:val="nil"/>
              <w:bottom w:val="single" w:sz="4" w:space="0" w:color="auto"/>
              <w:right w:val="nil"/>
            </w:tcBorders>
            <w:shd w:val="clear" w:color="auto" w:fill="auto"/>
            <w:vAlign w:val="bottom"/>
            <w:hideMark/>
          </w:tcPr>
          <w:p w14:paraId="531E51E8" w14:textId="282191FE" w:rsidR="002F4175" w:rsidRPr="00226892" w:rsidRDefault="002F4175" w:rsidP="006836EB">
            <w:pPr>
              <w:jc w:val="center"/>
              <w:rPr>
                <w:rFonts w:ascii="Arial" w:hAnsi="Arial" w:cs="Arial"/>
                <w:b/>
                <w:bCs/>
                <w:sz w:val="18"/>
                <w:szCs w:val="18"/>
              </w:rPr>
            </w:pPr>
            <w:proofErr w:type="spellStart"/>
            <w:r w:rsidRPr="00226892">
              <w:rPr>
                <w:rFonts w:ascii="Arial" w:hAnsi="Arial" w:cs="Arial"/>
                <w:b/>
                <w:bCs/>
                <w:sz w:val="18"/>
                <w:szCs w:val="18"/>
              </w:rPr>
              <w:t>Hodnota</w:t>
            </w:r>
            <w:proofErr w:type="spellEnd"/>
            <w:r w:rsidRPr="00226892">
              <w:rPr>
                <w:rFonts w:ascii="Arial" w:hAnsi="Arial" w:cs="Arial"/>
                <w:b/>
                <w:bCs/>
                <w:sz w:val="18"/>
                <w:szCs w:val="18"/>
              </w:rPr>
              <w:t xml:space="preserve"> k 31.12.</w:t>
            </w:r>
            <w:r w:rsidR="00F63A77" w:rsidRPr="00226892">
              <w:rPr>
                <w:rFonts w:ascii="Arial" w:hAnsi="Arial" w:cs="Arial"/>
                <w:b/>
                <w:bCs/>
                <w:sz w:val="18"/>
                <w:szCs w:val="18"/>
              </w:rPr>
              <w:t>2017</w:t>
            </w:r>
          </w:p>
        </w:tc>
      </w:tr>
      <w:tr w:rsidR="002F4175" w:rsidRPr="00226892" w14:paraId="661FB41D" w14:textId="77777777" w:rsidTr="00C87144">
        <w:trPr>
          <w:trHeight w:val="227"/>
        </w:trPr>
        <w:tc>
          <w:tcPr>
            <w:tcW w:w="2942" w:type="pct"/>
            <w:tcBorders>
              <w:top w:val="nil"/>
              <w:left w:val="nil"/>
              <w:bottom w:val="nil"/>
              <w:right w:val="nil"/>
            </w:tcBorders>
            <w:shd w:val="clear" w:color="auto" w:fill="auto"/>
            <w:vAlign w:val="bottom"/>
            <w:hideMark/>
          </w:tcPr>
          <w:p w14:paraId="228E9D5D" w14:textId="77777777" w:rsidR="002F4175" w:rsidRPr="00226892" w:rsidRDefault="002F4175" w:rsidP="00BE3955">
            <w:pPr>
              <w:rPr>
                <w:rFonts w:ascii="Arial" w:hAnsi="Arial" w:cs="Arial"/>
                <w:sz w:val="18"/>
                <w:szCs w:val="18"/>
              </w:rPr>
            </w:pPr>
            <w:proofErr w:type="spellStart"/>
            <w:r w:rsidRPr="00226892">
              <w:rPr>
                <w:rFonts w:ascii="Arial" w:hAnsi="Arial" w:cs="Arial"/>
                <w:sz w:val="18"/>
                <w:szCs w:val="18"/>
              </w:rPr>
              <w:t>Dlhodobý</w:t>
            </w:r>
            <w:proofErr w:type="spellEnd"/>
            <w:r w:rsidRPr="00226892">
              <w:rPr>
                <w:rFonts w:ascii="Arial" w:hAnsi="Arial" w:cs="Arial"/>
                <w:sz w:val="18"/>
                <w:szCs w:val="18"/>
              </w:rPr>
              <w:t xml:space="preserve"> </w:t>
            </w:r>
            <w:proofErr w:type="spellStart"/>
            <w:r w:rsidRPr="00226892">
              <w:rPr>
                <w:rFonts w:ascii="Arial" w:hAnsi="Arial" w:cs="Arial"/>
                <w:sz w:val="18"/>
                <w:szCs w:val="18"/>
              </w:rPr>
              <w:t>hmotný</w:t>
            </w:r>
            <w:proofErr w:type="spellEnd"/>
            <w:r w:rsidRPr="00226892">
              <w:rPr>
                <w:rFonts w:ascii="Arial" w:hAnsi="Arial" w:cs="Arial"/>
                <w:sz w:val="18"/>
                <w:szCs w:val="18"/>
              </w:rPr>
              <w:t xml:space="preserve"> </w:t>
            </w:r>
            <w:proofErr w:type="spellStart"/>
            <w:r w:rsidRPr="00226892">
              <w:rPr>
                <w:rFonts w:ascii="Arial" w:hAnsi="Arial" w:cs="Arial"/>
                <w:sz w:val="18"/>
                <w:szCs w:val="18"/>
              </w:rPr>
              <w:t>majetok</w:t>
            </w:r>
            <w:proofErr w:type="spellEnd"/>
            <w:r w:rsidRPr="00226892">
              <w:rPr>
                <w:rFonts w:ascii="Arial" w:hAnsi="Arial" w:cs="Arial"/>
                <w:sz w:val="18"/>
                <w:szCs w:val="18"/>
              </w:rPr>
              <w:t xml:space="preserve">, </w:t>
            </w:r>
            <w:proofErr w:type="spellStart"/>
            <w:r w:rsidRPr="00226892">
              <w:rPr>
                <w:rFonts w:ascii="Arial" w:hAnsi="Arial" w:cs="Arial"/>
                <w:sz w:val="18"/>
                <w:szCs w:val="18"/>
              </w:rPr>
              <w:t>na</w:t>
            </w:r>
            <w:proofErr w:type="spellEnd"/>
            <w:r w:rsidRPr="00226892">
              <w:rPr>
                <w:rFonts w:ascii="Arial" w:hAnsi="Arial" w:cs="Arial"/>
                <w:sz w:val="18"/>
                <w:szCs w:val="18"/>
              </w:rPr>
              <w:t> </w:t>
            </w:r>
            <w:proofErr w:type="spellStart"/>
            <w:r w:rsidRPr="00226892">
              <w:rPr>
                <w:rFonts w:ascii="Arial" w:hAnsi="Arial" w:cs="Arial"/>
                <w:sz w:val="18"/>
                <w:szCs w:val="18"/>
              </w:rPr>
              <w:t>ktorý</w:t>
            </w:r>
            <w:proofErr w:type="spellEnd"/>
            <w:r w:rsidRPr="00226892">
              <w:rPr>
                <w:rFonts w:ascii="Arial" w:hAnsi="Arial" w:cs="Arial"/>
                <w:sz w:val="18"/>
                <w:szCs w:val="18"/>
              </w:rPr>
              <w:t xml:space="preserve"> je </w:t>
            </w:r>
            <w:proofErr w:type="spellStart"/>
            <w:r w:rsidRPr="00226892">
              <w:rPr>
                <w:rFonts w:ascii="Arial" w:hAnsi="Arial" w:cs="Arial"/>
                <w:sz w:val="18"/>
                <w:szCs w:val="18"/>
              </w:rPr>
              <w:t>zriadené</w:t>
            </w:r>
            <w:proofErr w:type="spellEnd"/>
            <w:r w:rsidRPr="00226892">
              <w:rPr>
                <w:rFonts w:ascii="Arial" w:hAnsi="Arial" w:cs="Arial"/>
                <w:sz w:val="18"/>
                <w:szCs w:val="18"/>
              </w:rPr>
              <w:t xml:space="preserve"> </w:t>
            </w:r>
            <w:proofErr w:type="spellStart"/>
            <w:r w:rsidRPr="00226892">
              <w:rPr>
                <w:rFonts w:ascii="Arial" w:hAnsi="Arial" w:cs="Arial"/>
                <w:sz w:val="18"/>
                <w:szCs w:val="18"/>
              </w:rPr>
              <w:t>záložné</w:t>
            </w:r>
            <w:proofErr w:type="spellEnd"/>
            <w:r w:rsidRPr="00226892">
              <w:rPr>
                <w:rFonts w:ascii="Arial" w:hAnsi="Arial" w:cs="Arial"/>
                <w:sz w:val="18"/>
                <w:szCs w:val="18"/>
              </w:rPr>
              <w:t xml:space="preserve"> </w:t>
            </w:r>
            <w:proofErr w:type="spellStart"/>
            <w:r w:rsidRPr="00226892">
              <w:rPr>
                <w:rFonts w:ascii="Arial" w:hAnsi="Arial" w:cs="Arial"/>
                <w:sz w:val="18"/>
                <w:szCs w:val="18"/>
              </w:rPr>
              <w:t>právo</w:t>
            </w:r>
            <w:proofErr w:type="spellEnd"/>
          </w:p>
        </w:tc>
        <w:tc>
          <w:tcPr>
            <w:tcW w:w="1029" w:type="pct"/>
            <w:tcBorders>
              <w:top w:val="nil"/>
              <w:left w:val="nil"/>
              <w:bottom w:val="nil"/>
              <w:right w:val="nil"/>
            </w:tcBorders>
            <w:shd w:val="clear" w:color="auto" w:fill="auto"/>
            <w:vAlign w:val="bottom"/>
            <w:hideMark/>
          </w:tcPr>
          <w:p w14:paraId="5437C270" w14:textId="035DF49A" w:rsidR="002F4175" w:rsidRPr="00226892" w:rsidRDefault="0082592C" w:rsidP="00BE3955">
            <w:pPr>
              <w:jc w:val="right"/>
              <w:rPr>
                <w:rFonts w:ascii="Arial" w:hAnsi="Arial" w:cs="Arial"/>
                <w:sz w:val="18"/>
                <w:szCs w:val="18"/>
              </w:rPr>
            </w:pPr>
            <w:r w:rsidRPr="00226892">
              <w:rPr>
                <w:rFonts w:ascii="Arial" w:hAnsi="Arial" w:cs="Arial"/>
                <w:sz w:val="18"/>
                <w:szCs w:val="18"/>
              </w:rPr>
              <w:t>39 476</w:t>
            </w:r>
          </w:p>
        </w:tc>
        <w:tc>
          <w:tcPr>
            <w:tcW w:w="1029" w:type="pct"/>
            <w:tcBorders>
              <w:top w:val="nil"/>
              <w:left w:val="nil"/>
              <w:bottom w:val="nil"/>
              <w:right w:val="nil"/>
            </w:tcBorders>
            <w:shd w:val="clear" w:color="auto" w:fill="auto"/>
            <w:vAlign w:val="bottom"/>
            <w:hideMark/>
          </w:tcPr>
          <w:p w14:paraId="7A2B31BA" w14:textId="44B2A8ED" w:rsidR="002F4175" w:rsidRPr="00226892" w:rsidRDefault="0082592C" w:rsidP="00BE3955">
            <w:pPr>
              <w:jc w:val="right"/>
              <w:rPr>
                <w:rFonts w:ascii="Arial" w:hAnsi="Arial" w:cs="Arial"/>
                <w:sz w:val="18"/>
                <w:szCs w:val="18"/>
              </w:rPr>
            </w:pPr>
            <w:r w:rsidRPr="00226892">
              <w:rPr>
                <w:rFonts w:ascii="Arial" w:hAnsi="Arial" w:cs="Arial"/>
                <w:sz w:val="18"/>
                <w:szCs w:val="18"/>
              </w:rPr>
              <w:t>50 98</w:t>
            </w:r>
            <w:r w:rsidR="00C87144" w:rsidRPr="00226892">
              <w:rPr>
                <w:rFonts w:ascii="Arial" w:hAnsi="Arial" w:cs="Arial"/>
                <w:sz w:val="18"/>
                <w:szCs w:val="18"/>
              </w:rPr>
              <w:t>0</w:t>
            </w:r>
          </w:p>
        </w:tc>
      </w:tr>
      <w:tr w:rsidR="002F4175" w:rsidRPr="00226892" w14:paraId="5752C8B6" w14:textId="77777777" w:rsidTr="00C87144">
        <w:trPr>
          <w:trHeight w:val="227"/>
        </w:trPr>
        <w:tc>
          <w:tcPr>
            <w:tcW w:w="2942" w:type="pct"/>
            <w:tcBorders>
              <w:top w:val="nil"/>
              <w:left w:val="nil"/>
              <w:bottom w:val="nil"/>
              <w:right w:val="nil"/>
            </w:tcBorders>
            <w:shd w:val="clear" w:color="auto" w:fill="auto"/>
            <w:vAlign w:val="bottom"/>
            <w:hideMark/>
          </w:tcPr>
          <w:p w14:paraId="694DAD00" w14:textId="77777777" w:rsidR="002F4175" w:rsidRPr="00226892" w:rsidRDefault="002F4175" w:rsidP="00BE3955">
            <w:pPr>
              <w:rPr>
                <w:rFonts w:ascii="Arial" w:hAnsi="Arial" w:cs="Arial"/>
                <w:sz w:val="18"/>
                <w:szCs w:val="18"/>
              </w:rPr>
            </w:pPr>
            <w:proofErr w:type="spellStart"/>
            <w:r w:rsidRPr="00226892">
              <w:rPr>
                <w:rFonts w:ascii="Arial" w:hAnsi="Arial" w:cs="Arial"/>
                <w:sz w:val="18"/>
                <w:szCs w:val="18"/>
              </w:rPr>
              <w:t>Dlhodobý</w:t>
            </w:r>
            <w:proofErr w:type="spellEnd"/>
            <w:r w:rsidRPr="00226892">
              <w:rPr>
                <w:rFonts w:ascii="Arial" w:hAnsi="Arial" w:cs="Arial"/>
                <w:sz w:val="18"/>
                <w:szCs w:val="18"/>
              </w:rPr>
              <w:t xml:space="preserve"> </w:t>
            </w:r>
            <w:proofErr w:type="spellStart"/>
            <w:r w:rsidRPr="00226892">
              <w:rPr>
                <w:rFonts w:ascii="Arial" w:hAnsi="Arial" w:cs="Arial"/>
                <w:sz w:val="18"/>
                <w:szCs w:val="18"/>
              </w:rPr>
              <w:t>hmotný</w:t>
            </w:r>
            <w:proofErr w:type="spellEnd"/>
            <w:r w:rsidRPr="00226892">
              <w:rPr>
                <w:rFonts w:ascii="Arial" w:hAnsi="Arial" w:cs="Arial"/>
                <w:sz w:val="18"/>
                <w:szCs w:val="18"/>
              </w:rPr>
              <w:t xml:space="preserve"> </w:t>
            </w:r>
            <w:proofErr w:type="spellStart"/>
            <w:r w:rsidRPr="00226892">
              <w:rPr>
                <w:rFonts w:ascii="Arial" w:hAnsi="Arial" w:cs="Arial"/>
                <w:sz w:val="18"/>
                <w:szCs w:val="18"/>
              </w:rPr>
              <w:t>majetok</w:t>
            </w:r>
            <w:proofErr w:type="spellEnd"/>
            <w:r w:rsidRPr="00226892">
              <w:rPr>
                <w:rFonts w:ascii="Arial" w:hAnsi="Arial" w:cs="Arial"/>
                <w:sz w:val="18"/>
                <w:szCs w:val="18"/>
              </w:rPr>
              <w:t xml:space="preserve">, </w:t>
            </w:r>
            <w:proofErr w:type="spellStart"/>
            <w:r w:rsidRPr="00226892">
              <w:rPr>
                <w:rFonts w:ascii="Arial" w:hAnsi="Arial" w:cs="Arial"/>
                <w:sz w:val="18"/>
                <w:szCs w:val="18"/>
              </w:rPr>
              <w:t>pri</w:t>
            </w:r>
            <w:proofErr w:type="spellEnd"/>
            <w:r w:rsidRPr="00226892">
              <w:rPr>
                <w:rFonts w:ascii="Arial" w:hAnsi="Arial" w:cs="Arial"/>
                <w:sz w:val="18"/>
                <w:szCs w:val="18"/>
              </w:rPr>
              <w:t xml:space="preserve"> </w:t>
            </w:r>
            <w:proofErr w:type="spellStart"/>
            <w:r w:rsidRPr="00226892">
              <w:rPr>
                <w:rFonts w:ascii="Arial" w:hAnsi="Arial" w:cs="Arial"/>
                <w:sz w:val="18"/>
                <w:szCs w:val="18"/>
              </w:rPr>
              <w:t>ktorom</w:t>
            </w:r>
            <w:proofErr w:type="spellEnd"/>
            <w:r w:rsidRPr="00226892">
              <w:rPr>
                <w:rFonts w:ascii="Arial" w:hAnsi="Arial" w:cs="Arial"/>
                <w:sz w:val="18"/>
                <w:szCs w:val="18"/>
              </w:rPr>
              <w:t xml:space="preserve"> </w:t>
            </w:r>
            <w:proofErr w:type="spellStart"/>
            <w:r w:rsidRPr="00226892">
              <w:rPr>
                <w:rFonts w:ascii="Arial" w:hAnsi="Arial" w:cs="Arial"/>
                <w:sz w:val="18"/>
                <w:szCs w:val="18"/>
              </w:rPr>
              <w:t>má</w:t>
            </w:r>
            <w:proofErr w:type="spellEnd"/>
            <w:r w:rsidRPr="00226892">
              <w:rPr>
                <w:rFonts w:ascii="Arial" w:hAnsi="Arial" w:cs="Arial"/>
                <w:sz w:val="18"/>
                <w:szCs w:val="18"/>
              </w:rPr>
              <w:t xml:space="preserve"> </w:t>
            </w:r>
            <w:proofErr w:type="spellStart"/>
            <w:r w:rsidRPr="00226892">
              <w:rPr>
                <w:rFonts w:ascii="Arial" w:hAnsi="Arial" w:cs="Arial"/>
                <w:sz w:val="18"/>
                <w:szCs w:val="18"/>
              </w:rPr>
              <w:t>účtovná</w:t>
            </w:r>
            <w:proofErr w:type="spellEnd"/>
            <w:r w:rsidRPr="00226892">
              <w:rPr>
                <w:rFonts w:ascii="Arial" w:hAnsi="Arial" w:cs="Arial"/>
                <w:sz w:val="18"/>
                <w:szCs w:val="18"/>
              </w:rPr>
              <w:t xml:space="preserve"> </w:t>
            </w:r>
            <w:proofErr w:type="spellStart"/>
            <w:r w:rsidRPr="00226892">
              <w:rPr>
                <w:rFonts w:ascii="Arial" w:hAnsi="Arial" w:cs="Arial"/>
                <w:sz w:val="18"/>
                <w:szCs w:val="18"/>
              </w:rPr>
              <w:t>jednotka</w:t>
            </w:r>
            <w:proofErr w:type="spellEnd"/>
            <w:r w:rsidRPr="00226892">
              <w:rPr>
                <w:rFonts w:ascii="Arial" w:hAnsi="Arial" w:cs="Arial"/>
                <w:sz w:val="18"/>
                <w:szCs w:val="18"/>
              </w:rPr>
              <w:t> </w:t>
            </w:r>
            <w:proofErr w:type="spellStart"/>
            <w:r w:rsidRPr="00226892">
              <w:rPr>
                <w:rFonts w:ascii="Arial" w:hAnsi="Arial" w:cs="Arial"/>
                <w:sz w:val="18"/>
                <w:szCs w:val="18"/>
              </w:rPr>
              <w:t>obmedzené</w:t>
            </w:r>
            <w:proofErr w:type="spellEnd"/>
            <w:r w:rsidRPr="00226892">
              <w:rPr>
                <w:rFonts w:ascii="Arial" w:hAnsi="Arial" w:cs="Arial"/>
                <w:sz w:val="18"/>
                <w:szCs w:val="18"/>
              </w:rPr>
              <w:t xml:space="preserve"> </w:t>
            </w:r>
            <w:proofErr w:type="spellStart"/>
            <w:r w:rsidRPr="00226892">
              <w:rPr>
                <w:rFonts w:ascii="Arial" w:hAnsi="Arial" w:cs="Arial"/>
                <w:sz w:val="18"/>
                <w:szCs w:val="18"/>
              </w:rPr>
              <w:t>právo</w:t>
            </w:r>
            <w:proofErr w:type="spellEnd"/>
            <w:r w:rsidRPr="00226892">
              <w:rPr>
                <w:rFonts w:ascii="Arial" w:hAnsi="Arial" w:cs="Arial"/>
                <w:sz w:val="18"/>
                <w:szCs w:val="18"/>
              </w:rPr>
              <w:t xml:space="preserve"> s </w:t>
            </w:r>
            <w:proofErr w:type="spellStart"/>
            <w:r w:rsidRPr="00226892">
              <w:rPr>
                <w:rFonts w:ascii="Arial" w:hAnsi="Arial" w:cs="Arial"/>
                <w:sz w:val="18"/>
                <w:szCs w:val="18"/>
              </w:rPr>
              <w:t>ním</w:t>
            </w:r>
            <w:proofErr w:type="spellEnd"/>
            <w:r w:rsidRPr="00226892">
              <w:rPr>
                <w:rFonts w:ascii="Arial" w:hAnsi="Arial" w:cs="Arial"/>
                <w:sz w:val="18"/>
                <w:szCs w:val="18"/>
              </w:rPr>
              <w:t xml:space="preserve"> </w:t>
            </w:r>
            <w:proofErr w:type="spellStart"/>
            <w:r w:rsidRPr="00226892">
              <w:rPr>
                <w:rFonts w:ascii="Arial" w:hAnsi="Arial" w:cs="Arial"/>
                <w:sz w:val="18"/>
                <w:szCs w:val="18"/>
              </w:rPr>
              <w:t>nakladať</w:t>
            </w:r>
            <w:proofErr w:type="spellEnd"/>
          </w:p>
        </w:tc>
        <w:tc>
          <w:tcPr>
            <w:tcW w:w="1029" w:type="pct"/>
            <w:tcBorders>
              <w:top w:val="nil"/>
              <w:left w:val="nil"/>
              <w:bottom w:val="nil"/>
              <w:right w:val="nil"/>
            </w:tcBorders>
            <w:shd w:val="clear" w:color="auto" w:fill="auto"/>
            <w:vAlign w:val="bottom"/>
            <w:hideMark/>
          </w:tcPr>
          <w:p w14:paraId="63F2CB7D" w14:textId="52332107" w:rsidR="002F4175" w:rsidRPr="00226892" w:rsidRDefault="00C87144" w:rsidP="00BE3955">
            <w:pPr>
              <w:jc w:val="right"/>
              <w:rPr>
                <w:rFonts w:ascii="Arial" w:hAnsi="Arial" w:cs="Arial"/>
                <w:sz w:val="18"/>
                <w:szCs w:val="18"/>
              </w:rPr>
            </w:pPr>
            <w:r w:rsidRPr="00226892">
              <w:rPr>
                <w:rFonts w:ascii="Arial" w:hAnsi="Arial" w:cs="Arial"/>
                <w:sz w:val="18"/>
                <w:szCs w:val="18"/>
              </w:rPr>
              <w:t>-</w:t>
            </w:r>
          </w:p>
        </w:tc>
        <w:tc>
          <w:tcPr>
            <w:tcW w:w="1029" w:type="pct"/>
            <w:tcBorders>
              <w:top w:val="nil"/>
              <w:left w:val="nil"/>
              <w:bottom w:val="nil"/>
              <w:right w:val="nil"/>
            </w:tcBorders>
            <w:shd w:val="clear" w:color="auto" w:fill="auto"/>
            <w:vAlign w:val="bottom"/>
            <w:hideMark/>
          </w:tcPr>
          <w:p w14:paraId="7475693A" w14:textId="5A11E083" w:rsidR="002F4175" w:rsidRPr="00226892" w:rsidRDefault="00C87144" w:rsidP="00BE3955">
            <w:pPr>
              <w:jc w:val="right"/>
              <w:rPr>
                <w:rFonts w:ascii="Arial" w:hAnsi="Arial" w:cs="Arial"/>
                <w:sz w:val="18"/>
                <w:szCs w:val="18"/>
              </w:rPr>
            </w:pPr>
            <w:r w:rsidRPr="00226892">
              <w:rPr>
                <w:rFonts w:ascii="Arial" w:hAnsi="Arial" w:cs="Arial"/>
                <w:sz w:val="18"/>
                <w:szCs w:val="18"/>
              </w:rPr>
              <w:t>-</w:t>
            </w:r>
          </w:p>
        </w:tc>
      </w:tr>
    </w:tbl>
    <w:p w14:paraId="63B0CC6B" w14:textId="77777777" w:rsidR="002F4175" w:rsidRPr="00226892" w:rsidRDefault="002F4175" w:rsidP="00AD18C3">
      <w:pPr>
        <w:suppressAutoHyphens/>
        <w:ind w:left="14"/>
        <w:jc w:val="both"/>
        <w:rPr>
          <w:rFonts w:ascii="Arial" w:hAnsi="Arial" w:cs="Arial"/>
          <w:lang w:val="sk-SK"/>
        </w:rPr>
      </w:pPr>
    </w:p>
    <w:p w14:paraId="6561EEC5" w14:textId="19FB0664" w:rsidR="00502C6E" w:rsidRPr="00226892" w:rsidRDefault="00403203" w:rsidP="00C87144">
      <w:pPr>
        <w:suppressAutoHyphens/>
        <w:ind w:left="14"/>
        <w:jc w:val="both"/>
        <w:rPr>
          <w:rFonts w:ascii="Arial" w:hAnsi="Arial" w:cs="Arial"/>
          <w:lang w:val="sk-SK"/>
        </w:rPr>
      </w:pPr>
      <w:r w:rsidRPr="00226892">
        <w:rPr>
          <w:rFonts w:ascii="Arial" w:hAnsi="Arial" w:cs="Arial"/>
          <w:lang w:val="sk-SK"/>
        </w:rPr>
        <w:t>Dlhodobý hmotný</w:t>
      </w:r>
      <w:r w:rsidR="00AD18C3" w:rsidRPr="00226892">
        <w:rPr>
          <w:rFonts w:ascii="Arial" w:hAnsi="Arial" w:cs="Arial"/>
          <w:lang w:val="sk-SK"/>
        </w:rPr>
        <w:t xml:space="preserve"> majetok</w:t>
      </w:r>
      <w:r w:rsidRPr="00226892">
        <w:rPr>
          <w:rFonts w:ascii="Arial" w:hAnsi="Arial" w:cs="Arial"/>
          <w:lang w:val="sk-SK"/>
        </w:rPr>
        <w:t xml:space="preserve"> Skupiny</w:t>
      </w:r>
      <w:r w:rsidR="00AD18C3" w:rsidRPr="00226892">
        <w:rPr>
          <w:rFonts w:ascii="Arial" w:hAnsi="Arial" w:cs="Arial"/>
          <w:lang w:val="sk-SK"/>
        </w:rPr>
        <w:t xml:space="preserve"> bol k 31. decembru </w:t>
      </w:r>
      <w:r w:rsidR="00FD3AC5" w:rsidRPr="00226892">
        <w:rPr>
          <w:rFonts w:ascii="Arial" w:hAnsi="Arial" w:cs="Arial"/>
          <w:lang w:val="sk-SK"/>
        </w:rPr>
        <w:t>2018</w:t>
      </w:r>
      <w:r w:rsidR="00AD18C3" w:rsidRPr="00226892">
        <w:rPr>
          <w:rFonts w:ascii="Arial" w:hAnsi="Arial" w:cs="Arial"/>
          <w:lang w:val="sk-SK"/>
        </w:rPr>
        <w:t xml:space="preserve"> poistený pre prípad škôd spôsobených</w:t>
      </w:r>
      <w:r w:rsidR="00C87144" w:rsidRPr="00226892">
        <w:rPr>
          <w:rFonts w:ascii="Arial" w:hAnsi="Arial" w:cs="Arial"/>
          <w:lang w:val="sk-SK"/>
        </w:rPr>
        <w:t xml:space="preserve"> k</w:t>
      </w:r>
      <w:r w:rsidR="00AD18C3" w:rsidRPr="00226892">
        <w:rPr>
          <w:rFonts w:ascii="Arial" w:hAnsi="Arial" w:cs="Arial"/>
          <w:lang w:val="sk-SK"/>
        </w:rPr>
        <w:t xml:space="preserve">rádežou, živelnou pohromou a pre ďalšie prípady do výšky </w:t>
      </w:r>
      <w:r w:rsidR="0082592C" w:rsidRPr="00226892">
        <w:rPr>
          <w:rFonts w:ascii="Arial" w:hAnsi="Arial" w:cs="Arial"/>
          <w:lang w:val="sk-SK"/>
        </w:rPr>
        <w:t>233 543</w:t>
      </w:r>
      <w:r w:rsidR="00AD18C3" w:rsidRPr="00226892">
        <w:rPr>
          <w:rFonts w:ascii="Arial" w:hAnsi="Arial" w:cs="Arial"/>
          <w:lang w:val="sk-SK"/>
        </w:rPr>
        <w:t xml:space="preserve"> tis. EUR (k 31. decembru </w:t>
      </w:r>
      <w:r w:rsidR="00F63A77" w:rsidRPr="00226892">
        <w:rPr>
          <w:rFonts w:ascii="Arial" w:hAnsi="Arial" w:cs="Arial"/>
          <w:lang w:val="sk-SK"/>
        </w:rPr>
        <w:t>2017</w:t>
      </w:r>
      <w:r w:rsidR="00AD18C3" w:rsidRPr="00226892">
        <w:rPr>
          <w:rFonts w:ascii="Arial" w:hAnsi="Arial" w:cs="Arial"/>
          <w:lang w:val="sk-SK"/>
        </w:rPr>
        <w:t xml:space="preserve">:  </w:t>
      </w:r>
      <w:r w:rsidR="00C87144" w:rsidRPr="00226892">
        <w:rPr>
          <w:rFonts w:ascii="Arial" w:hAnsi="Arial" w:cs="Arial"/>
          <w:lang w:val="sk-SK"/>
        </w:rPr>
        <w:t>261 628</w:t>
      </w:r>
      <w:r w:rsidR="00914225" w:rsidRPr="00226892">
        <w:rPr>
          <w:rFonts w:ascii="Arial" w:hAnsi="Arial" w:cs="Arial"/>
          <w:lang w:val="sk-SK"/>
        </w:rPr>
        <w:t xml:space="preserve"> </w:t>
      </w:r>
      <w:r w:rsidR="00AD18C3" w:rsidRPr="00226892">
        <w:rPr>
          <w:rFonts w:ascii="Arial" w:hAnsi="Arial" w:cs="Arial"/>
          <w:lang w:val="sk-SK"/>
        </w:rPr>
        <w:t>tis. EUR).</w:t>
      </w:r>
      <w:r w:rsidRPr="00226892">
        <w:rPr>
          <w:rFonts w:ascii="Arial" w:hAnsi="Arial" w:cs="Arial"/>
          <w:lang w:val="sk-SK"/>
        </w:rPr>
        <w:t xml:space="preserve"> </w:t>
      </w:r>
    </w:p>
    <w:p w14:paraId="522374FE" w14:textId="77777777" w:rsidR="00502C6E" w:rsidRPr="00226892" w:rsidRDefault="00502C6E" w:rsidP="00AD18C3">
      <w:pPr>
        <w:suppressAutoHyphens/>
        <w:ind w:left="14"/>
        <w:jc w:val="both"/>
        <w:rPr>
          <w:rFonts w:ascii="Arial" w:hAnsi="Arial" w:cs="Arial"/>
          <w:highlight w:val="yellow"/>
          <w:lang w:val="sk-SK"/>
        </w:rPr>
      </w:pPr>
    </w:p>
    <w:p w14:paraId="3F0731A1" w14:textId="190C66AA" w:rsidR="002162CB" w:rsidRPr="00226892" w:rsidRDefault="002162CB">
      <w:pPr>
        <w:rPr>
          <w:rFonts w:ascii="Arial" w:hAnsi="Arial" w:cs="Arial"/>
          <w:b/>
          <w:snapToGrid w:val="0"/>
          <w:color w:val="000000"/>
        </w:rPr>
      </w:pPr>
      <w:bookmarkStart w:id="336" w:name="_Toc516654814"/>
      <w:bookmarkStart w:id="337" w:name="_Toc516654815"/>
      <w:bookmarkStart w:id="338" w:name="_Toc516654816"/>
      <w:bookmarkStart w:id="339" w:name="_Toc516654817"/>
      <w:bookmarkStart w:id="340" w:name="_Toc516654818"/>
      <w:bookmarkStart w:id="341" w:name="_Toc516654819"/>
      <w:bookmarkStart w:id="342" w:name="_Toc516654820"/>
      <w:bookmarkStart w:id="343" w:name="_Toc516654821"/>
      <w:bookmarkStart w:id="344" w:name="_Toc516654822"/>
      <w:bookmarkStart w:id="345" w:name="_Toc516654823"/>
      <w:bookmarkStart w:id="346" w:name="_Toc516654824"/>
      <w:bookmarkStart w:id="347" w:name="_Toc516654826"/>
      <w:bookmarkStart w:id="348" w:name="_Toc516654827"/>
      <w:bookmarkStart w:id="349" w:name="_Toc326330699"/>
      <w:bookmarkStart w:id="350" w:name="_Toc327260920"/>
      <w:bookmarkStart w:id="351" w:name="_Toc327263395"/>
      <w:bookmarkStart w:id="352" w:name="_Toc326330700"/>
      <w:bookmarkStart w:id="353" w:name="_Toc327260921"/>
      <w:bookmarkStart w:id="354" w:name="_Toc327263396"/>
      <w:bookmarkStart w:id="355" w:name="_Toc326330701"/>
      <w:bookmarkStart w:id="356" w:name="_Toc327260922"/>
      <w:bookmarkStart w:id="357" w:name="_Toc327263397"/>
      <w:bookmarkStart w:id="358" w:name="_Toc325985798"/>
      <w:bookmarkStart w:id="359" w:name="_Toc387812500"/>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36F2264A" w14:textId="765892DD" w:rsidR="00837450" w:rsidRPr="00226892" w:rsidRDefault="00415C82" w:rsidP="003578C0">
      <w:pPr>
        <w:pStyle w:val="Nadpis3"/>
        <w:keepNext w:val="0"/>
        <w:widowControl/>
        <w:numPr>
          <w:ilvl w:val="0"/>
          <w:numId w:val="34"/>
        </w:numPr>
        <w:tabs>
          <w:tab w:val="clear" w:pos="1069"/>
          <w:tab w:val="num" w:pos="392"/>
        </w:tabs>
        <w:suppressAutoHyphens/>
        <w:ind w:left="1077" w:hanging="1077"/>
        <w:rPr>
          <w:rFonts w:ascii="Arial" w:hAnsi="Arial" w:cs="Arial"/>
          <w:sz w:val="20"/>
        </w:rPr>
      </w:pPr>
      <w:bookmarkStart w:id="360" w:name="_Toc27409997"/>
      <w:proofErr w:type="spellStart"/>
      <w:r w:rsidRPr="00226892">
        <w:rPr>
          <w:rFonts w:ascii="Arial" w:hAnsi="Arial" w:cs="Arial"/>
          <w:sz w:val="20"/>
        </w:rPr>
        <w:t>Konsolidácia</w:t>
      </w:r>
      <w:bookmarkEnd w:id="358"/>
      <w:bookmarkEnd w:id="359"/>
      <w:bookmarkEnd w:id="360"/>
      <w:proofErr w:type="spellEnd"/>
    </w:p>
    <w:p w14:paraId="392B9C2F" w14:textId="0ADCA280" w:rsidR="0083603D" w:rsidRPr="00226892" w:rsidRDefault="0083603D" w:rsidP="0083603D">
      <w:pPr>
        <w:suppressAutoHyphens/>
        <w:jc w:val="both"/>
        <w:rPr>
          <w:rFonts w:ascii="Arial" w:hAnsi="Arial" w:cs="Arial"/>
        </w:rPr>
      </w:pPr>
      <w:bookmarkStart w:id="361" w:name="FWT_Consolidation"/>
      <w:r w:rsidRPr="00226892">
        <w:rPr>
          <w:rFonts w:ascii="Arial" w:hAnsi="Arial" w:cs="Arial"/>
          <w:sz w:val="16"/>
          <w:szCs w:val="16"/>
        </w:rPr>
        <w:t xml:space="preserve"> </w:t>
      </w:r>
    </w:p>
    <w:tbl>
      <w:tblPr>
        <w:tblW w:w="5000" w:type="pct"/>
        <w:tblCellMar>
          <w:left w:w="70" w:type="dxa"/>
          <w:right w:w="70" w:type="dxa"/>
        </w:tblCellMar>
        <w:tblLook w:val="04A0" w:firstRow="1" w:lastRow="0" w:firstColumn="1" w:lastColumn="0" w:noHBand="0" w:noVBand="1"/>
      </w:tblPr>
      <w:tblGrid>
        <w:gridCol w:w="2511"/>
        <w:gridCol w:w="1324"/>
        <w:gridCol w:w="1509"/>
        <w:gridCol w:w="1417"/>
        <w:gridCol w:w="1417"/>
        <w:gridCol w:w="1461"/>
      </w:tblGrid>
      <w:tr w:rsidR="00480B75" w:rsidRPr="00226892" w14:paraId="1D631FE8" w14:textId="77777777" w:rsidTr="006836EB">
        <w:trPr>
          <w:trHeight w:val="227"/>
        </w:trPr>
        <w:tc>
          <w:tcPr>
            <w:tcW w:w="1297" w:type="pct"/>
            <w:tcBorders>
              <w:top w:val="nil"/>
              <w:left w:val="nil"/>
              <w:bottom w:val="single" w:sz="4" w:space="0" w:color="auto"/>
              <w:right w:val="nil"/>
            </w:tcBorders>
            <w:shd w:val="clear" w:color="auto" w:fill="auto"/>
            <w:noWrap/>
            <w:vAlign w:val="bottom"/>
            <w:hideMark/>
          </w:tcPr>
          <w:p w14:paraId="5913879F" w14:textId="77777777" w:rsidR="00480B75" w:rsidRPr="00226892" w:rsidRDefault="00480B75" w:rsidP="006836EB">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Názov dcérskej spoločnosti</w:t>
            </w:r>
          </w:p>
        </w:tc>
        <w:tc>
          <w:tcPr>
            <w:tcW w:w="688" w:type="pct"/>
            <w:tcBorders>
              <w:top w:val="nil"/>
              <w:left w:val="nil"/>
              <w:bottom w:val="single" w:sz="4" w:space="0" w:color="auto"/>
              <w:right w:val="nil"/>
            </w:tcBorders>
            <w:shd w:val="clear" w:color="auto" w:fill="auto"/>
            <w:vAlign w:val="bottom"/>
            <w:hideMark/>
          </w:tcPr>
          <w:p w14:paraId="7EA8CC28" w14:textId="77777777" w:rsidR="00480B75" w:rsidRPr="00226892" w:rsidRDefault="00480B75" w:rsidP="006836EB">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Krajina registrácie</w:t>
            </w:r>
          </w:p>
        </w:tc>
        <w:tc>
          <w:tcPr>
            <w:tcW w:w="784" w:type="pct"/>
            <w:tcBorders>
              <w:top w:val="nil"/>
              <w:left w:val="nil"/>
              <w:bottom w:val="single" w:sz="4" w:space="0" w:color="auto"/>
              <w:right w:val="nil"/>
            </w:tcBorders>
            <w:shd w:val="clear" w:color="auto" w:fill="auto"/>
            <w:vAlign w:val="bottom"/>
            <w:hideMark/>
          </w:tcPr>
          <w:p w14:paraId="04F371FC" w14:textId="77777777" w:rsidR="00480B75" w:rsidRPr="00226892" w:rsidRDefault="00480B75" w:rsidP="006836EB">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Dátum registrácie</w:t>
            </w:r>
          </w:p>
        </w:tc>
        <w:tc>
          <w:tcPr>
            <w:tcW w:w="736" w:type="pct"/>
            <w:tcBorders>
              <w:top w:val="nil"/>
              <w:left w:val="nil"/>
              <w:bottom w:val="single" w:sz="4" w:space="0" w:color="auto"/>
              <w:right w:val="nil"/>
            </w:tcBorders>
            <w:shd w:val="clear" w:color="auto" w:fill="auto"/>
            <w:vAlign w:val="bottom"/>
            <w:hideMark/>
          </w:tcPr>
          <w:p w14:paraId="78EC145C" w14:textId="41C29207" w:rsidR="00480B75" w:rsidRPr="00226892" w:rsidRDefault="00480B75" w:rsidP="006836EB">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Majetkový podiel v %</w:t>
            </w:r>
          </w:p>
          <w:p w14:paraId="67FF3BF1" w14:textId="5FA56D00" w:rsidR="00480B75" w:rsidRPr="00226892" w:rsidRDefault="00480B75" w:rsidP="006836EB">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31-12-</w:t>
            </w:r>
            <w:r w:rsidR="00FD3AC5" w:rsidRPr="00226892">
              <w:rPr>
                <w:rFonts w:ascii="Arial" w:eastAsia="Times New Roman" w:hAnsi="Arial" w:cs="Arial"/>
                <w:b/>
                <w:bCs/>
                <w:color w:val="000000"/>
                <w:sz w:val="18"/>
                <w:szCs w:val="18"/>
                <w:lang w:val="sk-SK" w:eastAsia="sk-SK"/>
              </w:rPr>
              <w:t>2018</w:t>
            </w:r>
          </w:p>
        </w:tc>
        <w:tc>
          <w:tcPr>
            <w:tcW w:w="736" w:type="pct"/>
            <w:tcBorders>
              <w:top w:val="nil"/>
              <w:left w:val="nil"/>
              <w:bottom w:val="single" w:sz="4" w:space="0" w:color="auto"/>
              <w:right w:val="nil"/>
            </w:tcBorders>
            <w:shd w:val="clear" w:color="auto" w:fill="auto"/>
            <w:vAlign w:val="bottom"/>
            <w:hideMark/>
          </w:tcPr>
          <w:p w14:paraId="71CF3470" w14:textId="60690104" w:rsidR="00480B75" w:rsidRPr="00226892" w:rsidRDefault="00480B75" w:rsidP="006836EB">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Majetkový podiel v %</w:t>
            </w:r>
          </w:p>
          <w:p w14:paraId="5FF908A8" w14:textId="64B4306A" w:rsidR="00480B75" w:rsidRPr="00226892" w:rsidRDefault="00480B75" w:rsidP="006836EB">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31-12-</w:t>
            </w:r>
            <w:r w:rsidR="00F63A77" w:rsidRPr="00226892">
              <w:rPr>
                <w:rFonts w:ascii="Arial" w:eastAsia="Times New Roman" w:hAnsi="Arial" w:cs="Arial"/>
                <w:b/>
                <w:bCs/>
                <w:color w:val="000000"/>
                <w:sz w:val="18"/>
                <w:szCs w:val="18"/>
                <w:lang w:val="sk-SK" w:eastAsia="sk-SK"/>
              </w:rPr>
              <w:t>2017</w:t>
            </w:r>
          </w:p>
        </w:tc>
        <w:tc>
          <w:tcPr>
            <w:tcW w:w="759" w:type="pct"/>
            <w:tcBorders>
              <w:top w:val="nil"/>
              <w:left w:val="nil"/>
              <w:bottom w:val="single" w:sz="4" w:space="0" w:color="auto"/>
              <w:right w:val="nil"/>
            </w:tcBorders>
            <w:shd w:val="clear" w:color="auto" w:fill="auto"/>
            <w:vAlign w:val="bottom"/>
            <w:hideMark/>
          </w:tcPr>
          <w:p w14:paraId="4C48BC0D" w14:textId="77777777" w:rsidR="00480B75" w:rsidRPr="00226892" w:rsidRDefault="00480B75" w:rsidP="006836EB">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Činnosti</w:t>
            </w:r>
          </w:p>
        </w:tc>
      </w:tr>
      <w:tr w:rsidR="00480B75" w:rsidRPr="00226892" w14:paraId="713BF0AD" w14:textId="77777777" w:rsidTr="00FE07F6">
        <w:trPr>
          <w:trHeight w:val="227"/>
        </w:trPr>
        <w:tc>
          <w:tcPr>
            <w:tcW w:w="1297" w:type="pct"/>
            <w:tcBorders>
              <w:top w:val="nil"/>
              <w:left w:val="nil"/>
              <w:bottom w:val="nil"/>
              <w:right w:val="nil"/>
            </w:tcBorders>
            <w:shd w:val="clear" w:color="auto" w:fill="auto"/>
            <w:vAlign w:val="bottom"/>
            <w:hideMark/>
          </w:tcPr>
          <w:p w14:paraId="0022B8E2" w14:textId="77777777" w:rsidR="00480B75" w:rsidRPr="00226892" w:rsidRDefault="00480B75" w:rsidP="00877E3A">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MATADOR </w:t>
            </w:r>
            <w:proofErr w:type="spellStart"/>
            <w:r w:rsidRPr="00226892">
              <w:rPr>
                <w:rFonts w:ascii="Arial" w:eastAsia="Times New Roman" w:hAnsi="Arial" w:cs="Arial"/>
                <w:color w:val="000000"/>
                <w:sz w:val="18"/>
                <w:szCs w:val="18"/>
                <w:lang w:val="sk-SK" w:eastAsia="sk-SK"/>
              </w:rPr>
              <w:t>Automotive</w:t>
            </w:r>
            <w:proofErr w:type="spellEnd"/>
            <w:r w:rsidRPr="00226892">
              <w:rPr>
                <w:rFonts w:ascii="Arial" w:eastAsia="Times New Roman" w:hAnsi="Arial" w:cs="Arial"/>
                <w:color w:val="000000"/>
                <w:sz w:val="18"/>
                <w:szCs w:val="18"/>
                <w:lang w:val="sk-SK" w:eastAsia="sk-SK"/>
              </w:rPr>
              <w:t xml:space="preserve"> ČR </w:t>
            </w:r>
            <w:proofErr w:type="spellStart"/>
            <w:r w:rsidRPr="00226892">
              <w:rPr>
                <w:rFonts w:ascii="Arial" w:eastAsia="Times New Roman" w:hAnsi="Arial" w:cs="Arial"/>
                <w:color w:val="000000"/>
                <w:sz w:val="18"/>
                <w:szCs w:val="18"/>
                <w:lang w:val="sk-SK" w:eastAsia="sk-SK"/>
              </w:rPr>
              <w:t>s.r.o</w:t>
            </w:r>
            <w:proofErr w:type="spellEnd"/>
            <w:r w:rsidRPr="00226892">
              <w:rPr>
                <w:rFonts w:ascii="Arial" w:eastAsia="Times New Roman" w:hAnsi="Arial" w:cs="Arial"/>
                <w:color w:val="000000"/>
                <w:sz w:val="18"/>
                <w:szCs w:val="18"/>
                <w:lang w:val="sk-SK" w:eastAsia="sk-SK"/>
              </w:rPr>
              <w:t>.</w:t>
            </w:r>
          </w:p>
        </w:tc>
        <w:tc>
          <w:tcPr>
            <w:tcW w:w="688" w:type="pct"/>
            <w:tcBorders>
              <w:top w:val="nil"/>
              <w:left w:val="nil"/>
              <w:bottom w:val="nil"/>
              <w:right w:val="nil"/>
            </w:tcBorders>
            <w:shd w:val="clear" w:color="auto" w:fill="auto"/>
            <w:vAlign w:val="bottom"/>
            <w:hideMark/>
          </w:tcPr>
          <w:p w14:paraId="6A82DADE" w14:textId="77777777" w:rsidR="00480B75" w:rsidRPr="00226892" w:rsidRDefault="00480B75" w:rsidP="002162CB">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Česká republika</w:t>
            </w:r>
          </w:p>
        </w:tc>
        <w:tc>
          <w:tcPr>
            <w:tcW w:w="784" w:type="pct"/>
            <w:tcBorders>
              <w:top w:val="nil"/>
              <w:left w:val="nil"/>
              <w:bottom w:val="nil"/>
              <w:right w:val="nil"/>
            </w:tcBorders>
            <w:shd w:val="clear" w:color="auto" w:fill="auto"/>
            <w:vAlign w:val="bottom"/>
            <w:hideMark/>
          </w:tcPr>
          <w:p w14:paraId="376501AA" w14:textId="77777777" w:rsidR="00480B75" w:rsidRPr="00226892" w:rsidRDefault="00480B75" w:rsidP="002162CB">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júl 2007</w:t>
            </w:r>
          </w:p>
        </w:tc>
        <w:tc>
          <w:tcPr>
            <w:tcW w:w="736" w:type="pct"/>
            <w:tcBorders>
              <w:top w:val="nil"/>
              <w:left w:val="nil"/>
              <w:bottom w:val="nil"/>
              <w:right w:val="nil"/>
            </w:tcBorders>
            <w:shd w:val="clear" w:color="auto" w:fill="auto"/>
            <w:vAlign w:val="bottom"/>
            <w:hideMark/>
          </w:tcPr>
          <w:p w14:paraId="78A8E106" w14:textId="6E794615" w:rsidR="00480B75" w:rsidRPr="00226892" w:rsidRDefault="000E508D" w:rsidP="002162CB">
            <w:pPr>
              <w:jc w:val="right"/>
              <w:rPr>
                <w:rFonts w:ascii="Arial" w:eastAsia="Times New Roman" w:hAnsi="Arial" w:cs="Arial"/>
                <w:color w:val="000000"/>
                <w:sz w:val="18"/>
                <w:szCs w:val="18"/>
                <w:lang w:val="sk-SK" w:eastAsia="sk-SK"/>
              </w:rPr>
            </w:pPr>
            <w:r w:rsidRPr="00226892">
              <w:rPr>
                <w:rFonts w:ascii="Arial" w:hAnsi="Arial" w:cs="Arial"/>
                <w:color w:val="000000"/>
                <w:sz w:val="18"/>
                <w:szCs w:val="18"/>
              </w:rPr>
              <w:t>100</w:t>
            </w:r>
            <w:r w:rsidR="00480B75" w:rsidRPr="00226892">
              <w:rPr>
                <w:rFonts w:ascii="Arial" w:hAnsi="Arial" w:cs="Arial"/>
                <w:color w:val="000000"/>
                <w:sz w:val="18"/>
                <w:szCs w:val="18"/>
              </w:rPr>
              <w:t>%</w:t>
            </w:r>
          </w:p>
        </w:tc>
        <w:tc>
          <w:tcPr>
            <w:tcW w:w="736" w:type="pct"/>
            <w:tcBorders>
              <w:top w:val="nil"/>
              <w:left w:val="nil"/>
              <w:bottom w:val="nil"/>
              <w:right w:val="nil"/>
            </w:tcBorders>
            <w:shd w:val="clear" w:color="auto" w:fill="auto"/>
            <w:vAlign w:val="bottom"/>
            <w:hideMark/>
          </w:tcPr>
          <w:p w14:paraId="49FEACF8" w14:textId="2F5BD60A" w:rsidR="00480B75" w:rsidRPr="00226892" w:rsidRDefault="00480B75" w:rsidP="002162CB">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100%</w:t>
            </w:r>
          </w:p>
        </w:tc>
        <w:tc>
          <w:tcPr>
            <w:tcW w:w="759" w:type="pct"/>
            <w:tcBorders>
              <w:top w:val="nil"/>
              <w:left w:val="nil"/>
              <w:bottom w:val="nil"/>
              <w:right w:val="nil"/>
            </w:tcBorders>
            <w:shd w:val="clear" w:color="auto" w:fill="auto"/>
            <w:vAlign w:val="bottom"/>
            <w:hideMark/>
          </w:tcPr>
          <w:p w14:paraId="591E0F40" w14:textId="77777777" w:rsidR="00480B75" w:rsidRPr="00226892" w:rsidRDefault="00480B75" w:rsidP="002162CB">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automobilový priemysel</w:t>
            </w:r>
          </w:p>
        </w:tc>
      </w:tr>
    </w:tbl>
    <w:p w14:paraId="73B8440F" w14:textId="67B58413" w:rsidR="002E4FAF" w:rsidRPr="00226892" w:rsidRDefault="0083603D">
      <w:pPr>
        <w:suppressAutoHyphens/>
        <w:jc w:val="both"/>
        <w:rPr>
          <w:rFonts w:ascii="Arial" w:hAnsi="Arial" w:cs="Arial"/>
          <w:sz w:val="16"/>
          <w:szCs w:val="16"/>
          <w:lang w:val="sk-SK"/>
        </w:rPr>
      </w:pPr>
      <w:r w:rsidRPr="00226892">
        <w:rPr>
          <w:rFonts w:ascii="Arial" w:hAnsi="Arial" w:cs="Arial"/>
          <w:sz w:val="16"/>
          <w:szCs w:val="16"/>
          <w:lang w:val="sk-SK"/>
        </w:rPr>
        <w:t xml:space="preserve"> </w:t>
      </w:r>
      <w:bookmarkEnd w:id="361"/>
      <w:r w:rsidRPr="00226892">
        <w:rPr>
          <w:rFonts w:ascii="Arial" w:hAnsi="Arial" w:cs="Arial"/>
          <w:sz w:val="16"/>
          <w:szCs w:val="16"/>
          <w:lang w:val="sk-SK"/>
        </w:rPr>
        <w:t xml:space="preserve"> </w:t>
      </w:r>
      <w:r w:rsidR="00DF2B7E" w:rsidRPr="00226892">
        <w:rPr>
          <w:rFonts w:ascii="Arial" w:hAnsi="Arial" w:cs="Arial"/>
          <w:sz w:val="16"/>
          <w:szCs w:val="16"/>
          <w:lang w:val="sk-SK"/>
        </w:rPr>
        <w:t xml:space="preserve"> </w:t>
      </w:r>
    </w:p>
    <w:p w14:paraId="3998B953" w14:textId="77777777" w:rsidR="000C458C" w:rsidRPr="00226892" w:rsidRDefault="000C458C">
      <w:pPr>
        <w:suppressAutoHyphens/>
        <w:jc w:val="both"/>
        <w:rPr>
          <w:rFonts w:ascii="Arial" w:hAnsi="Arial" w:cs="Arial"/>
          <w:sz w:val="16"/>
          <w:szCs w:val="16"/>
          <w:lang w:val="sk-SK"/>
        </w:rPr>
      </w:pPr>
    </w:p>
    <w:p w14:paraId="4BBF2645" w14:textId="77777777" w:rsidR="008F683A" w:rsidRPr="00226892" w:rsidRDefault="00C437F0" w:rsidP="003578C0">
      <w:pPr>
        <w:pStyle w:val="Nadpis3"/>
        <w:keepNext w:val="0"/>
        <w:widowControl/>
        <w:numPr>
          <w:ilvl w:val="0"/>
          <w:numId w:val="34"/>
        </w:numPr>
        <w:tabs>
          <w:tab w:val="clear" w:pos="1069"/>
          <w:tab w:val="num" w:pos="392"/>
        </w:tabs>
        <w:suppressAutoHyphens/>
        <w:ind w:left="1077" w:hanging="1077"/>
        <w:rPr>
          <w:rFonts w:ascii="Arial" w:hAnsi="Arial" w:cs="Arial"/>
          <w:sz w:val="20"/>
          <w:lang w:val="sk-SK"/>
        </w:rPr>
      </w:pPr>
      <w:bookmarkStart w:id="362" w:name="_Toc268112724"/>
      <w:bookmarkStart w:id="363" w:name="_Toc268123199"/>
      <w:bookmarkStart w:id="364" w:name="_Toc268152650"/>
      <w:bookmarkStart w:id="365" w:name="_Toc268112725"/>
      <w:bookmarkStart w:id="366" w:name="_Toc268123200"/>
      <w:bookmarkStart w:id="367" w:name="_Toc268152651"/>
      <w:bookmarkStart w:id="368" w:name="_Toc268112726"/>
      <w:bookmarkStart w:id="369" w:name="_Toc268123201"/>
      <w:bookmarkStart w:id="370" w:name="_Toc268152652"/>
      <w:bookmarkStart w:id="371" w:name="_Toc268112727"/>
      <w:bookmarkStart w:id="372" w:name="_Toc268123202"/>
      <w:bookmarkStart w:id="373" w:name="_Toc268152653"/>
      <w:bookmarkStart w:id="374" w:name="_Toc268112728"/>
      <w:bookmarkStart w:id="375" w:name="_Toc268123203"/>
      <w:bookmarkStart w:id="376" w:name="_Toc268152654"/>
      <w:bookmarkStart w:id="377" w:name="_Toc325985799"/>
      <w:bookmarkStart w:id="378" w:name="_Toc387812501"/>
      <w:bookmarkStart w:id="379" w:name="_Toc27409998"/>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226892">
        <w:rPr>
          <w:rFonts w:ascii="Arial" w:hAnsi="Arial" w:cs="Arial"/>
          <w:sz w:val="20"/>
          <w:lang w:val="sk-SK"/>
        </w:rPr>
        <w:t>Investície v pridružených spoločnostiach a spoločných podnikoch</w:t>
      </w:r>
      <w:bookmarkEnd w:id="377"/>
      <w:bookmarkEnd w:id="378"/>
      <w:bookmarkEnd w:id="379"/>
    </w:p>
    <w:p w14:paraId="74BFA42A" w14:textId="77777777" w:rsidR="00877E3A" w:rsidRPr="00226892" w:rsidRDefault="0083603D" w:rsidP="00877E3A">
      <w:pPr>
        <w:suppressAutoHyphens/>
        <w:jc w:val="both"/>
        <w:rPr>
          <w:rFonts w:ascii="Arial" w:hAnsi="Arial" w:cs="Arial"/>
          <w:lang w:val="sk-SK"/>
        </w:rPr>
      </w:pPr>
      <w:bookmarkStart w:id="380" w:name="FWT_InvestmInAssAndJointVent"/>
      <w:r w:rsidRPr="00226892">
        <w:rPr>
          <w:rFonts w:ascii="Arial" w:hAnsi="Arial" w:cs="Arial"/>
          <w:color w:val="000000"/>
          <w:sz w:val="16"/>
          <w:szCs w:val="16"/>
          <w:highlight w:val="yellow"/>
          <w:lang w:val="sk-SK"/>
        </w:rPr>
        <w:t xml:space="preserve"> </w:t>
      </w:r>
      <w:bookmarkEnd w:id="380"/>
    </w:p>
    <w:tbl>
      <w:tblPr>
        <w:tblW w:w="5000" w:type="pct"/>
        <w:tblCellMar>
          <w:left w:w="70" w:type="dxa"/>
          <w:right w:w="70" w:type="dxa"/>
        </w:tblCellMar>
        <w:tblLook w:val="04A0" w:firstRow="1" w:lastRow="0" w:firstColumn="1" w:lastColumn="0" w:noHBand="0" w:noVBand="1"/>
      </w:tblPr>
      <w:tblGrid>
        <w:gridCol w:w="4576"/>
        <w:gridCol w:w="199"/>
        <w:gridCol w:w="2315"/>
        <w:gridCol w:w="199"/>
        <w:gridCol w:w="2350"/>
      </w:tblGrid>
      <w:tr w:rsidR="00877E3A" w:rsidRPr="00226892" w14:paraId="3BC3F66F" w14:textId="77777777" w:rsidTr="006836EB">
        <w:trPr>
          <w:trHeight w:val="227"/>
        </w:trPr>
        <w:tc>
          <w:tcPr>
            <w:tcW w:w="2374" w:type="pct"/>
            <w:tcBorders>
              <w:top w:val="nil"/>
              <w:left w:val="nil"/>
              <w:bottom w:val="single" w:sz="4" w:space="0" w:color="auto"/>
              <w:right w:val="nil"/>
            </w:tcBorders>
            <w:shd w:val="clear" w:color="auto" w:fill="auto"/>
            <w:vAlign w:val="bottom"/>
            <w:hideMark/>
          </w:tcPr>
          <w:p w14:paraId="7709DAF6" w14:textId="77777777" w:rsidR="00877E3A" w:rsidRPr="00226892" w:rsidRDefault="00877E3A" w:rsidP="00877E3A">
            <w:pPr>
              <w:rPr>
                <w:rFonts w:ascii="Arial" w:eastAsia="Times New Roman" w:hAnsi="Arial" w:cs="Arial"/>
                <w:b/>
                <w:bCs/>
                <w:color w:val="000000"/>
                <w:sz w:val="18"/>
                <w:szCs w:val="18"/>
                <w:lang w:val="sk-SK" w:eastAsia="sk-SK"/>
              </w:rPr>
            </w:pPr>
            <w:bookmarkStart w:id="381" w:name="RANGE!C4:G17"/>
            <w:r w:rsidRPr="00226892">
              <w:rPr>
                <w:rFonts w:ascii="Arial" w:eastAsia="Times New Roman" w:hAnsi="Arial" w:cs="Arial"/>
                <w:b/>
                <w:bCs/>
                <w:color w:val="000000"/>
                <w:sz w:val="18"/>
                <w:szCs w:val="18"/>
                <w:lang w:val="sk-SK" w:eastAsia="sk-SK"/>
              </w:rPr>
              <w:t> </w:t>
            </w:r>
            <w:bookmarkEnd w:id="381"/>
          </w:p>
        </w:tc>
        <w:tc>
          <w:tcPr>
            <w:tcW w:w="103" w:type="pct"/>
            <w:tcBorders>
              <w:top w:val="nil"/>
              <w:left w:val="nil"/>
              <w:bottom w:val="single" w:sz="4" w:space="0" w:color="auto"/>
              <w:right w:val="nil"/>
            </w:tcBorders>
            <w:shd w:val="clear" w:color="auto" w:fill="auto"/>
            <w:vAlign w:val="bottom"/>
            <w:hideMark/>
          </w:tcPr>
          <w:p w14:paraId="50220B5F" w14:textId="77777777" w:rsidR="00877E3A" w:rsidRPr="00226892" w:rsidRDefault="00877E3A" w:rsidP="00877E3A">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201" w:type="pct"/>
            <w:tcBorders>
              <w:top w:val="nil"/>
              <w:left w:val="nil"/>
              <w:bottom w:val="single" w:sz="4" w:space="0" w:color="auto"/>
              <w:right w:val="nil"/>
            </w:tcBorders>
            <w:shd w:val="clear" w:color="auto" w:fill="auto"/>
            <w:vAlign w:val="bottom"/>
            <w:hideMark/>
          </w:tcPr>
          <w:p w14:paraId="451B2D07" w14:textId="6FB233D6" w:rsidR="00877E3A" w:rsidRPr="00226892" w:rsidRDefault="00877E3A" w:rsidP="006836EB">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D3AC5" w:rsidRPr="00226892">
              <w:rPr>
                <w:rFonts w:ascii="Arial" w:eastAsia="Times New Roman" w:hAnsi="Arial" w:cs="Arial"/>
                <w:b/>
                <w:bCs/>
                <w:color w:val="000000"/>
                <w:sz w:val="18"/>
                <w:szCs w:val="18"/>
                <w:lang w:val="sk-SK" w:eastAsia="sk-SK"/>
              </w:rPr>
              <w:t>2018</w:t>
            </w:r>
          </w:p>
        </w:tc>
        <w:tc>
          <w:tcPr>
            <w:tcW w:w="103" w:type="pct"/>
            <w:tcBorders>
              <w:top w:val="nil"/>
              <w:left w:val="nil"/>
              <w:bottom w:val="single" w:sz="4" w:space="0" w:color="auto"/>
              <w:right w:val="nil"/>
            </w:tcBorders>
            <w:shd w:val="clear" w:color="auto" w:fill="auto"/>
            <w:vAlign w:val="bottom"/>
            <w:hideMark/>
          </w:tcPr>
          <w:p w14:paraId="3E9B4680" w14:textId="12B76611" w:rsidR="00877E3A" w:rsidRPr="00226892" w:rsidRDefault="00877E3A" w:rsidP="006836EB">
            <w:pPr>
              <w:jc w:val="center"/>
              <w:rPr>
                <w:rFonts w:ascii="Arial" w:eastAsia="Times New Roman" w:hAnsi="Arial" w:cs="Arial"/>
                <w:b/>
                <w:bCs/>
                <w:color w:val="000000"/>
                <w:sz w:val="18"/>
                <w:szCs w:val="18"/>
                <w:lang w:val="sk-SK" w:eastAsia="sk-SK"/>
              </w:rPr>
            </w:pPr>
          </w:p>
        </w:tc>
        <w:tc>
          <w:tcPr>
            <w:tcW w:w="1219" w:type="pct"/>
            <w:tcBorders>
              <w:top w:val="nil"/>
              <w:left w:val="nil"/>
              <w:bottom w:val="single" w:sz="4" w:space="0" w:color="auto"/>
              <w:right w:val="nil"/>
            </w:tcBorders>
            <w:shd w:val="clear" w:color="auto" w:fill="auto"/>
            <w:vAlign w:val="bottom"/>
            <w:hideMark/>
          </w:tcPr>
          <w:p w14:paraId="65EC77FC" w14:textId="227B9713" w:rsidR="00877E3A" w:rsidRPr="00226892" w:rsidRDefault="00877E3A" w:rsidP="006836EB">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63A77" w:rsidRPr="00226892">
              <w:rPr>
                <w:rFonts w:ascii="Arial" w:eastAsia="Times New Roman" w:hAnsi="Arial" w:cs="Arial"/>
                <w:b/>
                <w:bCs/>
                <w:color w:val="000000"/>
                <w:sz w:val="18"/>
                <w:szCs w:val="18"/>
                <w:lang w:val="sk-SK" w:eastAsia="sk-SK"/>
              </w:rPr>
              <w:t>2017</w:t>
            </w:r>
          </w:p>
        </w:tc>
      </w:tr>
      <w:tr w:rsidR="004167DD" w:rsidRPr="00226892" w14:paraId="2AFA01BE" w14:textId="77777777" w:rsidTr="00FE07F6">
        <w:trPr>
          <w:trHeight w:val="227"/>
        </w:trPr>
        <w:tc>
          <w:tcPr>
            <w:tcW w:w="2374" w:type="pct"/>
            <w:tcBorders>
              <w:top w:val="nil"/>
              <w:left w:val="nil"/>
              <w:bottom w:val="nil"/>
              <w:right w:val="nil"/>
            </w:tcBorders>
            <w:shd w:val="clear" w:color="auto" w:fill="auto"/>
            <w:vAlign w:val="bottom"/>
            <w:hideMark/>
          </w:tcPr>
          <w:p w14:paraId="67D1CBC6" w14:textId="77777777" w:rsidR="004167DD" w:rsidRPr="00226892" w:rsidRDefault="004167DD" w:rsidP="004167DD">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Spoločné podniky na začiatku roka</w:t>
            </w:r>
          </w:p>
        </w:tc>
        <w:tc>
          <w:tcPr>
            <w:tcW w:w="103" w:type="pct"/>
            <w:tcBorders>
              <w:top w:val="nil"/>
              <w:left w:val="nil"/>
              <w:bottom w:val="nil"/>
              <w:right w:val="nil"/>
            </w:tcBorders>
            <w:shd w:val="clear" w:color="auto" w:fill="auto"/>
            <w:vAlign w:val="bottom"/>
            <w:hideMark/>
          </w:tcPr>
          <w:p w14:paraId="768367C2" w14:textId="77777777" w:rsidR="004167DD" w:rsidRPr="00226892" w:rsidRDefault="004167DD" w:rsidP="004167DD">
            <w:pPr>
              <w:rPr>
                <w:rFonts w:ascii="Arial" w:eastAsia="Times New Roman" w:hAnsi="Arial" w:cs="Arial"/>
                <w:b/>
                <w:bCs/>
                <w:color w:val="000000"/>
                <w:sz w:val="18"/>
                <w:szCs w:val="18"/>
                <w:lang w:val="sk-SK" w:eastAsia="sk-SK"/>
              </w:rPr>
            </w:pPr>
          </w:p>
        </w:tc>
        <w:tc>
          <w:tcPr>
            <w:tcW w:w="1201" w:type="pct"/>
            <w:tcBorders>
              <w:top w:val="nil"/>
              <w:left w:val="nil"/>
              <w:bottom w:val="nil"/>
              <w:right w:val="nil"/>
            </w:tcBorders>
            <w:shd w:val="clear" w:color="auto" w:fill="auto"/>
            <w:vAlign w:val="bottom"/>
          </w:tcPr>
          <w:p w14:paraId="2A306ED8" w14:textId="3A7DB55B" w:rsidR="004167DD" w:rsidRPr="00226892" w:rsidRDefault="004167DD" w:rsidP="004167DD">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w:t>
            </w:r>
          </w:p>
        </w:tc>
        <w:tc>
          <w:tcPr>
            <w:tcW w:w="103" w:type="pct"/>
            <w:tcBorders>
              <w:top w:val="nil"/>
              <w:left w:val="nil"/>
              <w:bottom w:val="nil"/>
              <w:right w:val="nil"/>
            </w:tcBorders>
            <w:shd w:val="clear" w:color="auto" w:fill="auto"/>
            <w:vAlign w:val="bottom"/>
            <w:hideMark/>
          </w:tcPr>
          <w:p w14:paraId="1F192791" w14:textId="77777777" w:rsidR="004167DD" w:rsidRPr="00226892" w:rsidRDefault="004167DD" w:rsidP="004167DD">
            <w:pPr>
              <w:jc w:val="right"/>
              <w:rPr>
                <w:rFonts w:ascii="Arial" w:eastAsia="Times New Roman" w:hAnsi="Arial" w:cs="Arial"/>
                <w:b/>
                <w:bCs/>
                <w:color w:val="000000"/>
                <w:sz w:val="18"/>
                <w:szCs w:val="18"/>
                <w:lang w:val="sk-SK" w:eastAsia="sk-SK"/>
              </w:rPr>
            </w:pPr>
          </w:p>
        </w:tc>
        <w:tc>
          <w:tcPr>
            <w:tcW w:w="1219" w:type="pct"/>
            <w:tcBorders>
              <w:top w:val="nil"/>
              <w:left w:val="nil"/>
              <w:bottom w:val="nil"/>
              <w:right w:val="nil"/>
            </w:tcBorders>
            <w:shd w:val="clear" w:color="auto" w:fill="auto"/>
            <w:vAlign w:val="bottom"/>
          </w:tcPr>
          <w:p w14:paraId="230FAA03" w14:textId="03A34731" w:rsidR="004167DD" w:rsidRPr="00226892" w:rsidRDefault="004167DD" w:rsidP="004167DD">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w:t>
            </w:r>
          </w:p>
        </w:tc>
      </w:tr>
      <w:tr w:rsidR="004167DD" w:rsidRPr="00226892" w14:paraId="55C1C24D" w14:textId="77777777" w:rsidTr="00FE07F6">
        <w:trPr>
          <w:trHeight w:val="227"/>
        </w:trPr>
        <w:tc>
          <w:tcPr>
            <w:tcW w:w="2374" w:type="pct"/>
            <w:tcBorders>
              <w:top w:val="nil"/>
              <w:left w:val="nil"/>
              <w:bottom w:val="nil"/>
              <w:right w:val="nil"/>
            </w:tcBorders>
            <w:shd w:val="clear" w:color="auto" w:fill="auto"/>
            <w:vAlign w:val="bottom"/>
            <w:hideMark/>
          </w:tcPr>
          <w:p w14:paraId="5421A8E5" w14:textId="2A23FA22" w:rsidR="004167DD" w:rsidRPr="00226892" w:rsidRDefault="004167DD" w:rsidP="004167DD">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Podiel na zisku spoločných podnikov (Pozn. 2</w:t>
            </w:r>
            <w:r w:rsidR="00522218" w:rsidRPr="00226892">
              <w:rPr>
                <w:rFonts w:ascii="Arial" w:eastAsia="Times New Roman" w:hAnsi="Arial" w:cs="Arial"/>
                <w:color w:val="000000"/>
                <w:sz w:val="18"/>
                <w:szCs w:val="18"/>
                <w:lang w:val="sk-SK" w:eastAsia="sk-SK"/>
              </w:rPr>
              <w:t>3</w:t>
            </w:r>
            <w:r w:rsidRPr="00226892">
              <w:rPr>
                <w:rFonts w:ascii="Arial" w:eastAsia="Times New Roman" w:hAnsi="Arial" w:cs="Arial"/>
                <w:color w:val="000000"/>
                <w:sz w:val="18"/>
                <w:szCs w:val="18"/>
                <w:lang w:val="sk-SK" w:eastAsia="sk-SK"/>
              </w:rPr>
              <w:t>)</w:t>
            </w:r>
          </w:p>
        </w:tc>
        <w:tc>
          <w:tcPr>
            <w:tcW w:w="103" w:type="pct"/>
            <w:tcBorders>
              <w:top w:val="nil"/>
              <w:left w:val="nil"/>
              <w:bottom w:val="nil"/>
              <w:right w:val="nil"/>
            </w:tcBorders>
            <w:shd w:val="clear" w:color="auto" w:fill="auto"/>
            <w:vAlign w:val="bottom"/>
            <w:hideMark/>
          </w:tcPr>
          <w:p w14:paraId="2A592EFC" w14:textId="77777777" w:rsidR="004167DD" w:rsidRPr="00226892" w:rsidRDefault="004167DD" w:rsidP="004167DD">
            <w:pPr>
              <w:rPr>
                <w:rFonts w:ascii="Arial" w:eastAsia="Times New Roman" w:hAnsi="Arial" w:cs="Arial"/>
                <w:color w:val="000000"/>
                <w:sz w:val="18"/>
                <w:szCs w:val="18"/>
                <w:lang w:val="sk-SK" w:eastAsia="sk-SK"/>
              </w:rPr>
            </w:pPr>
          </w:p>
        </w:tc>
        <w:tc>
          <w:tcPr>
            <w:tcW w:w="1201" w:type="pct"/>
            <w:tcBorders>
              <w:top w:val="nil"/>
              <w:left w:val="nil"/>
              <w:bottom w:val="nil"/>
              <w:right w:val="nil"/>
            </w:tcBorders>
            <w:shd w:val="clear" w:color="auto" w:fill="auto"/>
            <w:vAlign w:val="bottom"/>
          </w:tcPr>
          <w:p w14:paraId="3A6C5290" w14:textId="29EEE231" w:rsidR="004167DD" w:rsidRPr="00226892" w:rsidRDefault="004167DD" w:rsidP="004167D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03" w:type="pct"/>
            <w:tcBorders>
              <w:top w:val="nil"/>
              <w:left w:val="nil"/>
              <w:bottom w:val="nil"/>
              <w:right w:val="nil"/>
            </w:tcBorders>
            <w:shd w:val="clear" w:color="auto" w:fill="auto"/>
            <w:vAlign w:val="bottom"/>
            <w:hideMark/>
          </w:tcPr>
          <w:p w14:paraId="68A8300F" w14:textId="77777777" w:rsidR="004167DD" w:rsidRPr="00226892" w:rsidRDefault="004167DD" w:rsidP="004167DD">
            <w:pPr>
              <w:jc w:val="right"/>
              <w:rPr>
                <w:rFonts w:ascii="Arial" w:eastAsia="Times New Roman" w:hAnsi="Arial" w:cs="Arial"/>
                <w:color w:val="000000"/>
                <w:sz w:val="18"/>
                <w:szCs w:val="18"/>
                <w:lang w:val="sk-SK" w:eastAsia="sk-SK"/>
              </w:rPr>
            </w:pPr>
          </w:p>
        </w:tc>
        <w:tc>
          <w:tcPr>
            <w:tcW w:w="1219" w:type="pct"/>
            <w:tcBorders>
              <w:top w:val="nil"/>
              <w:left w:val="nil"/>
              <w:bottom w:val="nil"/>
              <w:right w:val="nil"/>
            </w:tcBorders>
            <w:shd w:val="clear" w:color="auto" w:fill="auto"/>
            <w:vAlign w:val="bottom"/>
          </w:tcPr>
          <w:p w14:paraId="17488FCF" w14:textId="4C683EE7" w:rsidR="004167DD" w:rsidRPr="00226892" w:rsidRDefault="004167DD" w:rsidP="004167D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8</w:t>
            </w:r>
          </w:p>
        </w:tc>
      </w:tr>
      <w:tr w:rsidR="004167DD" w:rsidRPr="00226892" w14:paraId="26950ACA" w14:textId="77777777" w:rsidTr="00FE07F6">
        <w:trPr>
          <w:trHeight w:val="227"/>
        </w:trPr>
        <w:tc>
          <w:tcPr>
            <w:tcW w:w="2374" w:type="pct"/>
            <w:tcBorders>
              <w:top w:val="nil"/>
              <w:left w:val="nil"/>
              <w:bottom w:val="nil"/>
              <w:right w:val="nil"/>
            </w:tcBorders>
            <w:shd w:val="clear" w:color="auto" w:fill="auto"/>
            <w:vAlign w:val="bottom"/>
            <w:hideMark/>
          </w:tcPr>
          <w:p w14:paraId="0547F678" w14:textId="1054FB28" w:rsidR="004167DD" w:rsidRPr="00226892" w:rsidRDefault="004167DD" w:rsidP="004167DD">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Výplata dividend</w:t>
            </w:r>
          </w:p>
        </w:tc>
        <w:tc>
          <w:tcPr>
            <w:tcW w:w="103" w:type="pct"/>
            <w:tcBorders>
              <w:top w:val="nil"/>
              <w:left w:val="nil"/>
              <w:bottom w:val="nil"/>
              <w:right w:val="nil"/>
            </w:tcBorders>
            <w:shd w:val="clear" w:color="auto" w:fill="auto"/>
            <w:vAlign w:val="bottom"/>
            <w:hideMark/>
          </w:tcPr>
          <w:p w14:paraId="34C6FBB0" w14:textId="77777777" w:rsidR="004167DD" w:rsidRPr="00226892" w:rsidRDefault="004167DD" w:rsidP="004167DD">
            <w:pPr>
              <w:rPr>
                <w:rFonts w:ascii="Arial" w:eastAsia="Times New Roman" w:hAnsi="Arial" w:cs="Arial"/>
                <w:color w:val="000000"/>
                <w:sz w:val="18"/>
                <w:szCs w:val="18"/>
                <w:lang w:val="sk-SK" w:eastAsia="sk-SK"/>
              </w:rPr>
            </w:pPr>
          </w:p>
        </w:tc>
        <w:tc>
          <w:tcPr>
            <w:tcW w:w="1201" w:type="pct"/>
            <w:tcBorders>
              <w:top w:val="nil"/>
              <w:left w:val="nil"/>
              <w:bottom w:val="nil"/>
              <w:right w:val="nil"/>
            </w:tcBorders>
            <w:shd w:val="clear" w:color="auto" w:fill="auto"/>
            <w:vAlign w:val="bottom"/>
          </w:tcPr>
          <w:p w14:paraId="50B25B37" w14:textId="5641FA3C" w:rsidR="004167DD" w:rsidRPr="00226892" w:rsidRDefault="004167DD" w:rsidP="004167D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03" w:type="pct"/>
            <w:tcBorders>
              <w:top w:val="nil"/>
              <w:left w:val="nil"/>
              <w:bottom w:val="nil"/>
              <w:right w:val="nil"/>
            </w:tcBorders>
            <w:shd w:val="clear" w:color="auto" w:fill="auto"/>
            <w:vAlign w:val="bottom"/>
            <w:hideMark/>
          </w:tcPr>
          <w:p w14:paraId="6562235F" w14:textId="77777777" w:rsidR="004167DD" w:rsidRPr="00226892" w:rsidRDefault="004167DD" w:rsidP="004167DD">
            <w:pPr>
              <w:jc w:val="right"/>
              <w:rPr>
                <w:rFonts w:ascii="Arial" w:eastAsia="Times New Roman" w:hAnsi="Arial" w:cs="Arial"/>
                <w:color w:val="000000"/>
                <w:sz w:val="18"/>
                <w:szCs w:val="18"/>
                <w:lang w:val="sk-SK" w:eastAsia="sk-SK"/>
              </w:rPr>
            </w:pPr>
          </w:p>
        </w:tc>
        <w:tc>
          <w:tcPr>
            <w:tcW w:w="1219" w:type="pct"/>
            <w:tcBorders>
              <w:top w:val="nil"/>
              <w:left w:val="nil"/>
              <w:bottom w:val="nil"/>
              <w:right w:val="nil"/>
            </w:tcBorders>
            <w:shd w:val="clear" w:color="auto" w:fill="auto"/>
            <w:vAlign w:val="bottom"/>
          </w:tcPr>
          <w:p w14:paraId="00F3DDEA" w14:textId="3C29B33A" w:rsidR="004167DD" w:rsidRPr="00226892" w:rsidRDefault="004167DD" w:rsidP="004167D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r>
      <w:tr w:rsidR="004167DD" w:rsidRPr="00226892" w14:paraId="48EE760A" w14:textId="77777777" w:rsidTr="00FE07F6">
        <w:trPr>
          <w:trHeight w:val="227"/>
        </w:trPr>
        <w:tc>
          <w:tcPr>
            <w:tcW w:w="2374" w:type="pct"/>
            <w:tcBorders>
              <w:top w:val="nil"/>
              <w:left w:val="nil"/>
              <w:bottom w:val="nil"/>
              <w:right w:val="nil"/>
            </w:tcBorders>
            <w:shd w:val="clear" w:color="auto" w:fill="auto"/>
            <w:vAlign w:val="bottom"/>
            <w:hideMark/>
          </w:tcPr>
          <w:p w14:paraId="3ECBA460" w14:textId="259BC192" w:rsidR="004167DD" w:rsidRPr="00226892" w:rsidRDefault="004167DD" w:rsidP="004167DD">
            <w:pPr>
              <w:rPr>
                <w:rFonts w:ascii="Arial" w:eastAsia="Times New Roman" w:hAnsi="Arial" w:cs="Arial"/>
                <w:color w:val="000000"/>
                <w:sz w:val="18"/>
                <w:szCs w:val="18"/>
                <w:lang w:val="sk-SK" w:eastAsia="sk-SK"/>
              </w:rPr>
            </w:pPr>
            <w:proofErr w:type="spellStart"/>
            <w:r w:rsidRPr="00226892">
              <w:rPr>
                <w:rFonts w:ascii="Arial" w:eastAsia="Times New Roman" w:hAnsi="Arial" w:cs="Arial"/>
                <w:color w:val="000000"/>
                <w:sz w:val="18"/>
                <w:szCs w:val="18"/>
                <w:lang w:val="sk-SK" w:eastAsia="sk-SK"/>
              </w:rPr>
              <w:t>Ubytky</w:t>
            </w:r>
            <w:proofErr w:type="spellEnd"/>
          </w:p>
        </w:tc>
        <w:tc>
          <w:tcPr>
            <w:tcW w:w="103" w:type="pct"/>
            <w:tcBorders>
              <w:top w:val="nil"/>
              <w:left w:val="nil"/>
              <w:bottom w:val="nil"/>
              <w:right w:val="nil"/>
            </w:tcBorders>
            <w:shd w:val="clear" w:color="auto" w:fill="auto"/>
            <w:vAlign w:val="bottom"/>
            <w:hideMark/>
          </w:tcPr>
          <w:p w14:paraId="256DD6AC" w14:textId="77777777" w:rsidR="004167DD" w:rsidRPr="00226892" w:rsidRDefault="004167DD" w:rsidP="004167DD">
            <w:pPr>
              <w:rPr>
                <w:rFonts w:ascii="Arial" w:eastAsia="Times New Roman" w:hAnsi="Arial" w:cs="Arial"/>
                <w:color w:val="000000"/>
                <w:sz w:val="18"/>
                <w:szCs w:val="18"/>
                <w:lang w:val="sk-SK" w:eastAsia="sk-SK"/>
              </w:rPr>
            </w:pPr>
          </w:p>
        </w:tc>
        <w:tc>
          <w:tcPr>
            <w:tcW w:w="1201" w:type="pct"/>
            <w:tcBorders>
              <w:top w:val="nil"/>
              <w:left w:val="nil"/>
              <w:bottom w:val="single" w:sz="4" w:space="0" w:color="auto"/>
              <w:right w:val="nil"/>
            </w:tcBorders>
            <w:shd w:val="clear" w:color="auto" w:fill="auto"/>
            <w:vAlign w:val="bottom"/>
          </w:tcPr>
          <w:p w14:paraId="01D153EA" w14:textId="26CD9356" w:rsidR="004167DD" w:rsidRPr="00226892" w:rsidRDefault="004167DD" w:rsidP="004167D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03" w:type="pct"/>
            <w:tcBorders>
              <w:top w:val="nil"/>
              <w:left w:val="nil"/>
              <w:bottom w:val="single" w:sz="4" w:space="0" w:color="auto"/>
              <w:right w:val="nil"/>
            </w:tcBorders>
            <w:shd w:val="clear" w:color="auto" w:fill="auto"/>
            <w:vAlign w:val="bottom"/>
            <w:hideMark/>
          </w:tcPr>
          <w:p w14:paraId="568CD9CD" w14:textId="77777777" w:rsidR="004167DD" w:rsidRPr="00226892" w:rsidRDefault="004167DD" w:rsidP="004167DD">
            <w:pPr>
              <w:jc w:val="right"/>
              <w:rPr>
                <w:rFonts w:ascii="Arial" w:eastAsia="Times New Roman" w:hAnsi="Arial" w:cs="Arial"/>
                <w:color w:val="000000"/>
                <w:sz w:val="18"/>
                <w:szCs w:val="18"/>
                <w:lang w:val="sk-SK" w:eastAsia="sk-SK"/>
              </w:rPr>
            </w:pPr>
          </w:p>
        </w:tc>
        <w:tc>
          <w:tcPr>
            <w:tcW w:w="1219" w:type="pct"/>
            <w:tcBorders>
              <w:top w:val="nil"/>
              <w:left w:val="nil"/>
              <w:bottom w:val="single" w:sz="4" w:space="0" w:color="auto"/>
              <w:right w:val="nil"/>
            </w:tcBorders>
            <w:shd w:val="clear" w:color="auto" w:fill="auto"/>
            <w:vAlign w:val="bottom"/>
          </w:tcPr>
          <w:p w14:paraId="748C643D" w14:textId="379A06DC" w:rsidR="004167DD" w:rsidRPr="00226892" w:rsidRDefault="004167DD" w:rsidP="004167D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-39</w:t>
            </w:r>
          </w:p>
        </w:tc>
      </w:tr>
      <w:tr w:rsidR="004167DD" w:rsidRPr="00226892" w14:paraId="38E79AA4" w14:textId="77777777" w:rsidTr="00FE07F6">
        <w:trPr>
          <w:trHeight w:val="227"/>
        </w:trPr>
        <w:tc>
          <w:tcPr>
            <w:tcW w:w="2374" w:type="pct"/>
            <w:tcBorders>
              <w:top w:val="nil"/>
              <w:left w:val="nil"/>
              <w:bottom w:val="nil"/>
              <w:right w:val="nil"/>
            </w:tcBorders>
            <w:shd w:val="clear" w:color="auto" w:fill="auto"/>
            <w:vAlign w:val="bottom"/>
            <w:hideMark/>
          </w:tcPr>
          <w:p w14:paraId="5036F44E" w14:textId="77777777" w:rsidR="004167DD" w:rsidRPr="00226892" w:rsidRDefault="004167DD" w:rsidP="004167DD">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Spoločné podniky na konci roka</w:t>
            </w:r>
          </w:p>
        </w:tc>
        <w:tc>
          <w:tcPr>
            <w:tcW w:w="103" w:type="pct"/>
            <w:tcBorders>
              <w:top w:val="nil"/>
              <w:left w:val="nil"/>
              <w:bottom w:val="nil"/>
              <w:right w:val="nil"/>
            </w:tcBorders>
            <w:shd w:val="clear" w:color="auto" w:fill="auto"/>
            <w:vAlign w:val="bottom"/>
            <w:hideMark/>
          </w:tcPr>
          <w:p w14:paraId="6747313F" w14:textId="77777777" w:rsidR="004167DD" w:rsidRPr="00226892" w:rsidRDefault="004167DD" w:rsidP="004167DD">
            <w:pPr>
              <w:rPr>
                <w:rFonts w:ascii="Arial" w:eastAsia="Times New Roman" w:hAnsi="Arial" w:cs="Arial"/>
                <w:b/>
                <w:bCs/>
                <w:color w:val="000000"/>
                <w:sz w:val="18"/>
                <w:szCs w:val="18"/>
                <w:lang w:val="sk-SK" w:eastAsia="sk-SK"/>
              </w:rPr>
            </w:pPr>
          </w:p>
        </w:tc>
        <w:tc>
          <w:tcPr>
            <w:tcW w:w="1201" w:type="pct"/>
            <w:tcBorders>
              <w:top w:val="single" w:sz="4" w:space="0" w:color="auto"/>
              <w:left w:val="nil"/>
              <w:bottom w:val="double" w:sz="4" w:space="0" w:color="auto"/>
              <w:right w:val="nil"/>
            </w:tcBorders>
            <w:shd w:val="clear" w:color="auto" w:fill="auto"/>
            <w:vAlign w:val="bottom"/>
          </w:tcPr>
          <w:p w14:paraId="313920B8" w14:textId="3BD99FB2" w:rsidR="004167DD" w:rsidRPr="00226892" w:rsidRDefault="004167DD" w:rsidP="004167DD">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w:t>
            </w:r>
          </w:p>
        </w:tc>
        <w:tc>
          <w:tcPr>
            <w:tcW w:w="103" w:type="pct"/>
            <w:tcBorders>
              <w:top w:val="single" w:sz="4" w:space="0" w:color="auto"/>
              <w:left w:val="nil"/>
              <w:bottom w:val="double" w:sz="4" w:space="0" w:color="auto"/>
              <w:right w:val="nil"/>
            </w:tcBorders>
            <w:shd w:val="clear" w:color="auto" w:fill="auto"/>
            <w:vAlign w:val="bottom"/>
            <w:hideMark/>
          </w:tcPr>
          <w:p w14:paraId="77A8FCB8" w14:textId="77777777" w:rsidR="004167DD" w:rsidRPr="00226892" w:rsidRDefault="004167DD" w:rsidP="004167DD">
            <w:pPr>
              <w:jc w:val="right"/>
              <w:rPr>
                <w:rFonts w:ascii="Arial" w:eastAsia="Times New Roman" w:hAnsi="Arial" w:cs="Arial"/>
                <w:b/>
                <w:bCs/>
                <w:color w:val="000000"/>
                <w:sz w:val="18"/>
                <w:szCs w:val="18"/>
                <w:lang w:val="sk-SK" w:eastAsia="sk-SK"/>
              </w:rPr>
            </w:pPr>
          </w:p>
        </w:tc>
        <w:tc>
          <w:tcPr>
            <w:tcW w:w="1219" w:type="pct"/>
            <w:tcBorders>
              <w:top w:val="single" w:sz="4" w:space="0" w:color="auto"/>
              <w:left w:val="nil"/>
              <w:bottom w:val="double" w:sz="4" w:space="0" w:color="auto"/>
              <w:right w:val="nil"/>
            </w:tcBorders>
            <w:shd w:val="clear" w:color="auto" w:fill="auto"/>
            <w:vAlign w:val="bottom"/>
          </w:tcPr>
          <w:p w14:paraId="28F422CB" w14:textId="2B05FDBD" w:rsidR="004167DD" w:rsidRPr="00226892" w:rsidRDefault="004167DD" w:rsidP="004167DD">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w:t>
            </w:r>
          </w:p>
        </w:tc>
      </w:tr>
      <w:tr w:rsidR="004167DD" w:rsidRPr="00226892" w14:paraId="21AFF3B4" w14:textId="77777777" w:rsidTr="00FE07F6">
        <w:trPr>
          <w:trHeight w:val="227"/>
        </w:trPr>
        <w:tc>
          <w:tcPr>
            <w:tcW w:w="2374" w:type="pct"/>
            <w:tcBorders>
              <w:top w:val="nil"/>
              <w:left w:val="nil"/>
              <w:bottom w:val="nil"/>
              <w:right w:val="nil"/>
            </w:tcBorders>
            <w:shd w:val="clear" w:color="auto" w:fill="auto"/>
            <w:vAlign w:val="bottom"/>
            <w:hideMark/>
          </w:tcPr>
          <w:p w14:paraId="282457B4" w14:textId="77777777" w:rsidR="004167DD" w:rsidRPr="00226892" w:rsidRDefault="004167DD" w:rsidP="004167DD">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Pridružené podniky na začiatku roka</w:t>
            </w:r>
          </w:p>
        </w:tc>
        <w:tc>
          <w:tcPr>
            <w:tcW w:w="103" w:type="pct"/>
            <w:tcBorders>
              <w:top w:val="nil"/>
              <w:left w:val="nil"/>
              <w:bottom w:val="nil"/>
              <w:right w:val="nil"/>
            </w:tcBorders>
            <w:shd w:val="clear" w:color="auto" w:fill="auto"/>
            <w:vAlign w:val="bottom"/>
            <w:hideMark/>
          </w:tcPr>
          <w:p w14:paraId="15454ADE" w14:textId="77777777" w:rsidR="004167DD" w:rsidRPr="00226892" w:rsidRDefault="004167DD" w:rsidP="004167DD">
            <w:pPr>
              <w:rPr>
                <w:rFonts w:ascii="Arial" w:eastAsia="Times New Roman" w:hAnsi="Arial" w:cs="Arial"/>
                <w:b/>
                <w:bCs/>
                <w:color w:val="000000"/>
                <w:sz w:val="18"/>
                <w:szCs w:val="18"/>
                <w:lang w:val="sk-SK" w:eastAsia="sk-SK"/>
              </w:rPr>
            </w:pPr>
          </w:p>
        </w:tc>
        <w:tc>
          <w:tcPr>
            <w:tcW w:w="1201" w:type="pct"/>
            <w:tcBorders>
              <w:top w:val="double" w:sz="4" w:space="0" w:color="auto"/>
              <w:left w:val="nil"/>
              <w:bottom w:val="nil"/>
              <w:right w:val="nil"/>
            </w:tcBorders>
            <w:shd w:val="clear" w:color="auto" w:fill="auto"/>
            <w:vAlign w:val="bottom"/>
          </w:tcPr>
          <w:p w14:paraId="73C9E3B0" w14:textId="77777777" w:rsidR="004167DD" w:rsidRPr="00226892" w:rsidRDefault="004167DD" w:rsidP="004167DD">
            <w:pPr>
              <w:jc w:val="right"/>
              <w:rPr>
                <w:rFonts w:ascii="Arial" w:eastAsia="Times New Roman" w:hAnsi="Arial" w:cs="Arial"/>
                <w:b/>
                <w:bCs/>
                <w:color w:val="000000"/>
                <w:sz w:val="18"/>
                <w:szCs w:val="18"/>
                <w:lang w:val="sk-SK" w:eastAsia="sk-SK"/>
              </w:rPr>
            </w:pPr>
          </w:p>
          <w:p w14:paraId="1E55DC26" w14:textId="1FE41101" w:rsidR="004167DD" w:rsidRPr="00226892" w:rsidRDefault="004167DD" w:rsidP="004167DD">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92</w:t>
            </w:r>
          </w:p>
        </w:tc>
        <w:tc>
          <w:tcPr>
            <w:tcW w:w="103" w:type="pct"/>
            <w:tcBorders>
              <w:top w:val="double" w:sz="4" w:space="0" w:color="auto"/>
              <w:left w:val="nil"/>
              <w:bottom w:val="nil"/>
              <w:right w:val="nil"/>
            </w:tcBorders>
            <w:shd w:val="clear" w:color="auto" w:fill="auto"/>
            <w:vAlign w:val="bottom"/>
            <w:hideMark/>
          </w:tcPr>
          <w:p w14:paraId="5EEB6BCE" w14:textId="77777777" w:rsidR="004167DD" w:rsidRPr="00226892" w:rsidRDefault="004167DD" w:rsidP="004167DD">
            <w:pPr>
              <w:jc w:val="right"/>
              <w:rPr>
                <w:rFonts w:ascii="Arial" w:eastAsia="Times New Roman" w:hAnsi="Arial" w:cs="Arial"/>
                <w:b/>
                <w:bCs/>
                <w:color w:val="000000"/>
                <w:sz w:val="18"/>
                <w:szCs w:val="18"/>
                <w:lang w:val="sk-SK" w:eastAsia="sk-SK"/>
              </w:rPr>
            </w:pPr>
          </w:p>
        </w:tc>
        <w:tc>
          <w:tcPr>
            <w:tcW w:w="1219" w:type="pct"/>
            <w:tcBorders>
              <w:top w:val="double" w:sz="4" w:space="0" w:color="auto"/>
              <w:left w:val="nil"/>
              <w:bottom w:val="nil"/>
              <w:right w:val="nil"/>
            </w:tcBorders>
            <w:shd w:val="clear" w:color="auto" w:fill="auto"/>
            <w:vAlign w:val="bottom"/>
          </w:tcPr>
          <w:p w14:paraId="7E22F378" w14:textId="77777777" w:rsidR="004167DD" w:rsidRPr="00226892" w:rsidRDefault="004167DD" w:rsidP="004167DD">
            <w:pPr>
              <w:jc w:val="right"/>
              <w:rPr>
                <w:rFonts w:ascii="Arial" w:eastAsia="Times New Roman" w:hAnsi="Arial" w:cs="Arial"/>
                <w:b/>
                <w:bCs/>
                <w:color w:val="000000"/>
                <w:sz w:val="18"/>
                <w:szCs w:val="18"/>
                <w:lang w:val="sk-SK" w:eastAsia="sk-SK"/>
              </w:rPr>
            </w:pPr>
          </w:p>
          <w:p w14:paraId="08939B0D" w14:textId="0B6D28EF" w:rsidR="004167DD" w:rsidRPr="00226892" w:rsidRDefault="004167DD" w:rsidP="004167DD">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69</w:t>
            </w:r>
          </w:p>
        </w:tc>
      </w:tr>
      <w:tr w:rsidR="004167DD" w:rsidRPr="00226892" w14:paraId="5A67B76A" w14:textId="77777777" w:rsidTr="00FE07F6">
        <w:trPr>
          <w:trHeight w:val="227"/>
        </w:trPr>
        <w:tc>
          <w:tcPr>
            <w:tcW w:w="2374" w:type="pct"/>
            <w:tcBorders>
              <w:top w:val="nil"/>
              <w:left w:val="nil"/>
              <w:bottom w:val="nil"/>
              <w:right w:val="nil"/>
            </w:tcBorders>
            <w:shd w:val="clear" w:color="auto" w:fill="auto"/>
            <w:vAlign w:val="bottom"/>
            <w:hideMark/>
          </w:tcPr>
          <w:p w14:paraId="7624F9C8" w14:textId="7CDD7A82" w:rsidR="004167DD" w:rsidRPr="00226892" w:rsidRDefault="004167DD" w:rsidP="004167DD">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Podiel na zisku pridružených spoločností (Pozn. 2</w:t>
            </w:r>
            <w:r w:rsidR="00522218" w:rsidRPr="00226892">
              <w:rPr>
                <w:rFonts w:ascii="Arial" w:eastAsia="Times New Roman" w:hAnsi="Arial" w:cs="Arial"/>
                <w:color w:val="000000"/>
                <w:sz w:val="18"/>
                <w:szCs w:val="18"/>
                <w:lang w:val="sk-SK" w:eastAsia="sk-SK"/>
              </w:rPr>
              <w:t>3</w:t>
            </w:r>
            <w:r w:rsidRPr="00226892">
              <w:rPr>
                <w:rFonts w:ascii="Arial" w:eastAsia="Times New Roman" w:hAnsi="Arial" w:cs="Arial"/>
                <w:color w:val="000000"/>
                <w:sz w:val="18"/>
                <w:szCs w:val="18"/>
                <w:lang w:val="sk-SK" w:eastAsia="sk-SK"/>
              </w:rPr>
              <w:t>)</w:t>
            </w:r>
          </w:p>
        </w:tc>
        <w:tc>
          <w:tcPr>
            <w:tcW w:w="103" w:type="pct"/>
            <w:tcBorders>
              <w:top w:val="nil"/>
              <w:left w:val="nil"/>
              <w:bottom w:val="nil"/>
              <w:right w:val="nil"/>
            </w:tcBorders>
            <w:shd w:val="clear" w:color="auto" w:fill="auto"/>
            <w:vAlign w:val="bottom"/>
            <w:hideMark/>
          </w:tcPr>
          <w:p w14:paraId="038F731C" w14:textId="77777777" w:rsidR="004167DD" w:rsidRPr="00226892" w:rsidRDefault="004167DD" w:rsidP="004167DD">
            <w:pPr>
              <w:rPr>
                <w:rFonts w:ascii="Arial" w:eastAsia="Times New Roman" w:hAnsi="Arial" w:cs="Arial"/>
                <w:color w:val="000000"/>
                <w:sz w:val="18"/>
                <w:szCs w:val="18"/>
                <w:lang w:val="sk-SK" w:eastAsia="sk-SK"/>
              </w:rPr>
            </w:pPr>
          </w:p>
        </w:tc>
        <w:tc>
          <w:tcPr>
            <w:tcW w:w="1201" w:type="pct"/>
            <w:tcBorders>
              <w:top w:val="nil"/>
              <w:left w:val="nil"/>
              <w:bottom w:val="nil"/>
              <w:right w:val="nil"/>
            </w:tcBorders>
            <w:shd w:val="clear" w:color="auto" w:fill="auto"/>
            <w:vAlign w:val="bottom"/>
          </w:tcPr>
          <w:p w14:paraId="313F999E" w14:textId="75C81CEE" w:rsidR="004167DD" w:rsidRPr="00226892" w:rsidRDefault="004167DD" w:rsidP="004167D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28</w:t>
            </w:r>
          </w:p>
        </w:tc>
        <w:tc>
          <w:tcPr>
            <w:tcW w:w="103" w:type="pct"/>
            <w:tcBorders>
              <w:top w:val="nil"/>
              <w:left w:val="nil"/>
              <w:bottom w:val="nil"/>
              <w:right w:val="nil"/>
            </w:tcBorders>
            <w:shd w:val="clear" w:color="auto" w:fill="auto"/>
            <w:vAlign w:val="bottom"/>
            <w:hideMark/>
          </w:tcPr>
          <w:p w14:paraId="6FF50ED3" w14:textId="77777777" w:rsidR="004167DD" w:rsidRPr="00226892" w:rsidRDefault="004167DD" w:rsidP="004167DD">
            <w:pPr>
              <w:jc w:val="right"/>
              <w:rPr>
                <w:rFonts w:ascii="Arial" w:eastAsia="Times New Roman" w:hAnsi="Arial" w:cs="Arial"/>
                <w:color w:val="000000"/>
                <w:sz w:val="18"/>
                <w:szCs w:val="18"/>
                <w:lang w:val="sk-SK" w:eastAsia="sk-SK"/>
              </w:rPr>
            </w:pPr>
          </w:p>
        </w:tc>
        <w:tc>
          <w:tcPr>
            <w:tcW w:w="1219" w:type="pct"/>
            <w:tcBorders>
              <w:top w:val="nil"/>
              <w:left w:val="nil"/>
              <w:bottom w:val="nil"/>
              <w:right w:val="nil"/>
            </w:tcBorders>
            <w:shd w:val="clear" w:color="auto" w:fill="auto"/>
            <w:vAlign w:val="bottom"/>
          </w:tcPr>
          <w:p w14:paraId="274698FC" w14:textId="190ADAF0" w:rsidR="004167DD" w:rsidRPr="00226892" w:rsidRDefault="004167DD" w:rsidP="004167D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23</w:t>
            </w:r>
          </w:p>
        </w:tc>
      </w:tr>
      <w:tr w:rsidR="004167DD" w:rsidRPr="00226892" w14:paraId="4D5A1122" w14:textId="77777777" w:rsidTr="00FE07F6">
        <w:trPr>
          <w:trHeight w:val="227"/>
        </w:trPr>
        <w:tc>
          <w:tcPr>
            <w:tcW w:w="2374" w:type="pct"/>
            <w:tcBorders>
              <w:top w:val="nil"/>
              <w:left w:val="nil"/>
              <w:bottom w:val="nil"/>
              <w:right w:val="nil"/>
            </w:tcBorders>
            <w:shd w:val="clear" w:color="auto" w:fill="auto"/>
            <w:vAlign w:val="bottom"/>
            <w:hideMark/>
          </w:tcPr>
          <w:p w14:paraId="57F43C5E" w14:textId="030933E4" w:rsidR="004167DD" w:rsidRPr="00226892" w:rsidRDefault="004167DD" w:rsidP="004167DD">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Úbytky</w:t>
            </w:r>
          </w:p>
        </w:tc>
        <w:tc>
          <w:tcPr>
            <w:tcW w:w="103" w:type="pct"/>
            <w:tcBorders>
              <w:top w:val="nil"/>
              <w:left w:val="nil"/>
              <w:bottom w:val="nil"/>
              <w:right w:val="nil"/>
            </w:tcBorders>
            <w:shd w:val="clear" w:color="auto" w:fill="auto"/>
            <w:vAlign w:val="bottom"/>
            <w:hideMark/>
          </w:tcPr>
          <w:p w14:paraId="4FBCBA57" w14:textId="77777777" w:rsidR="004167DD" w:rsidRPr="00226892" w:rsidRDefault="004167DD" w:rsidP="004167DD">
            <w:pPr>
              <w:rPr>
                <w:rFonts w:ascii="Arial" w:eastAsia="Times New Roman" w:hAnsi="Arial" w:cs="Arial"/>
                <w:color w:val="000000"/>
                <w:sz w:val="18"/>
                <w:szCs w:val="18"/>
                <w:lang w:val="sk-SK" w:eastAsia="sk-SK"/>
              </w:rPr>
            </w:pPr>
          </w:p>
        </w:tc>
        <w:tc>
          <w:tcPr>
            <w:tcW w:w="1201" w:type="pct"/>
            <w:tcBorders>
              <w:top w:val="nil"/>
              <w:left w:val="nil"/>
              <w:bottom w:val="nil"/>
              <w:right w:val="nil"/>
            </w:tcBorders>
            <w:shd w:val="clear" w:color="auto" w:fill="auto"/>
            <w:vAlign w:val="bottom"/>
          </w:tcPr>
          <w:p w14:paraId="16456D6E" w14:textId="2C76F0E6" w:rsidR="004167DD" w:rsidRPr="00226892" w:rsidRDefault="004167DD" w:rsidP="004167D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03" w:type="pct"/>
            <w:tcBorders>
              <w:top w:val="nil"/>
              <w:left w:val="nil"/>
              <w:bottom w:val="nil"/>
              <w:right w:val="nil"/>
            </w:tcBorders>
            <w:shd w:val="clear" w:color="auto" w:fill="auto"/>
            <w:vAlign w:val="bottom"/>
            <w:hideMark/>
          </w:tcPr>
          <w:p w14:paraId="0083D5EE" w14:textId="77777777" w:rsidR="004167DD" w:rsidRPr="00226892" w:rsidRDefault="004167DD" w:rsidP="004167DD">
            <w:pPr>
              <w:jc w:val="right"/>
              <w:rPr>
                <w:rFonts w:ascii="Arial" w:eastAsia="Times New Roman" w:hAnsi="Arial" w:cs="Arial"/>
                <w:color w:val="000000"/>
                <w:sz w:val="18"/>
                <w:szCs w:val="18"/>
                <w:lang w:val="sk-SK" w:eastAsia="sk-SK"/>
              </w:rPr>
            </w:pPr>
          </w:p>
        </w:tc>
        <w:tc>
          <w:tcPr>
            <w:tcW w:w="1219" w:type="pct"/>
            <w:tcBorders>
              <w:top w:val="nil"/>
              <w:left w:val="nil"/>
              <w:bottom w:val="nil"/>
              <w:right w:val="nil"/>
            </w:tcBorders>
            <w:shd w:val="clear" w:color="auto" w:fill="auto"/>
            <w:vAlign w:val="bottom"/>
          </w:tcPr>
          <w:p w14:paraId="5CB2AB14" w14:textId="46EE185C" w:rsidR="004167DD" w:rsidRPr="00226892" w:rsidRDefault="004167DD" w:rsidP="004167D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r>
      <w:tr w:rsidR="004167DD" w:rsidRPr="00226892" w14:paraId="07297F97" w14:textId="77777777" w:rsidTr="00FE07F6">
        <w:trPr>
          <w:trHeight w:val="227"/>
        </w:trPr>
        <w:tc>
          <w:tcPr>
            <w:tcW w:w="2374" w:type="pct"/>
            <w:tcBorders>
              <w:top w:val="nil"/>
              <w:left w:val="nil"/>
              <w:bottom w:val="nil"/>
              <w:right w:val="nil"/>
            </w:tcBorders>
            <w:shd w:val="clear" w:color="auto" w:fill="auto"/>
            <w:vAlign w:val="bottom"/>
            <w:hideMark/>
          </w:tcPr>
          <w:p w14:paraId="3A574F15" w14:textId="77777777" w:rsidR="004167DD" w:rsidRPr="00226892" w:rsidRDefault="004167DD" w:rsidP="004167DD">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Pridružené podniky na konci roka</w:t>
            </w:r>
          </w:p>
        </w:tc>
        <w:tc>
          <w:tcPr>
            <w:tcW w:w="103" w:type="pct"/>
            <w:tcBorders>
              <w:top w:val="nil"/>
              <w:left w:val="nil"/>
              <w:bottom w:val="nil"/>
              <w:right w:val="nil"/>
            </w:tcBorders>
            <w:shd w:val="clear" w:color="auto" w:fill="auto"/>
            <w:vAlign w:val="bottom"/>
            <w:hideMark/>
          </w:tcPr>
          <w:p w14:paraId="4281B2D8" w14:textId="77777777" w:rsidR="004167DD" w:rsidRPr="00226892" w:rsidRDefault="004167DD" w:rsidP="004167DD">
            <w:pPr>
              <w:rPr>
                <w:rFonts w:ascii="Arial" w:eastAsia="Times New Roman" w:hAnsi="Arial" w:cs="Arial"/>
                <w:b/>
                <w:bCs/>
                <w:color w:val="000000"/>
                <w:sz w:val="18"/>
                <w:szCs w:val="18"/>
                <w:lang w:val="sk-SK" w:eastAsia="sk-SK"/>
              </w:rPr>
            </w:pPr>
          </w:p>
        </w:tc>
        <w:tc>
          <w:tcPr>
            <w:tcW w:w="1201" w:type="pct"/>
            <w:tcBorders>
              <w:top w:val="single" w:sz="4" w:space="0" w:color="auto"/>
              <w:left w:val="nil"/>
              <w:bottom w:val="double" w:sz="6" w:space="0" w:color="auto"/>
              <w:right w:val="nil"/>
            </w:tcBorders>
            <w:shd w:val="clear" w:color="auto" w:fill="auto"/>
            <w:vAlign w:val="bottom"/>
          </w:tcPr>
          <w:p w14:paraId="04B6D69F" w14:textId="507DE20F" w:rsidR="004167DD" w:rsidRPr="00226892" w:rsidRDefault="004167DD" w:rsidP="004167DD">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120</w:t>
            </w:r>
          </w:p>
        </w:tc>
        <w:tc>
          <w:tcPr>
            <w:tcW w:w="103" w:type="pct"/>
            <w:tcBorders>
              <w:top w:val="nil"/>
              <w:left w:val="nil"/>
              <w:bottom w:val="nil"/>
              <w:right w:val="nil"/>
            </w:tcBorders>
            <w:shd w:val="clear" w:color="auto" w:fill="auto"/>
            <w:vAlign w:val="bottom"/>
            <w:hideMark/>
          </w:tcPr>
          <w:p w14:paraId="7554568B" w14:textId="77777777" w:rsidR="004167DD" w:rsidRPr="00226892" w:rsidRDefault="004167DD" w:rsidP="004167DD">
            <w:pPr>
              <w:jc w:val="right"/>
              <w:rPr>
                <w:rFonts w:ascii="Arial" w:eastAsia="Times New Roman" w:hAnsi="Arial" w:cs="Arial"/>
                <w:b/>
                <w:bCs/>
                <w:color w:val="000000"/>
                <w:sz w:val="18"/>
                <w:szCs w:val="18"/>
                <w:lang w:val="sk-SK" w:eastAsia="sk-SK"/>
              </w:rPr>
            </w:pPr>
          </w:p>
        </w:tc>
        <w:tc>
          <w:tcPr>
            <w:tcW w:w="1219" w:type="pct"/>
            <w:tcBorders>
              <w:top w:val="single" w:sz="4" w:space="0" w:color="auto"/>
              <w:left w:val="nil"/>
              <w:bottom w:val="double" w:sz="6" w:space="0" w:color="auto"/>
              <w:right w:val="nil"/>
            </w:tcBorders>
            <w:shd w:val="clear" w:color="auto" w:fill="auto"/>
            <w:vAlign w:val="bottom"/>
          </w:tcPr>
          <w:p w14:paraId="3F8908F5" w14:textId="08562E1F" w:rsidR="004167DD" w:rsidRPr="00226892" w:rsidRDefault="004167DD" w:rsidP="004167DD">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92</w:t>
            </w:r>
          </w:p>
        </w:tc>
      </w:tr>
    </w:tbl>
    <w:p w14:paraId="7FEEF019" w14:textId="7BA14421" w:rsidR="00245C52" w:rsidRPr="00226892" w:rsidRDefault="00245C52" w:rsidP="00877E3A">
      <w:pPr>
        <w:suppressAutoHyphens/>
        <w:jc w:val="both"/>
        <w:rPr>
          <w:rFonts w:ascii="Arial" w:hAnsi="Arial" w:cs="Arial"/>
          <w:lang w:val="sk-SK"/>
        </w:rPr>
      </w:pPr>
    </w:p>
    <w:p w14:paraId="274B3D20" w14:textId="62F5A834" w:rsidR="00837450" w:rsidRPr="00226892" w:rsidRDefault="00C437F0" w:rsidP="00FE07F6">
      <w:pPr>
        <w:jc w:val="both"/>
        <w:rPr>
          <w:rFonts w:ascii="Arial" w:hAnsi="Arial" w:cs="Arial"/>
          <w:szCs w:val="18"/>
          <w:lang w:val="sk-SK"/>
        </w:rPr>
      </w:pPr>
      <w:r w:rsidRPr="00226892">
        <w:rPr>
          <w:rFonts w:ascii="Arial" w:hAnsi="Arial" w:cs="Arial"/>
          <w:szCs w:val="18"/>
          <w:lang w:val="sk-SK"/>
        </w:rPr>
        <w:t>Investície v pridružených spoločnostiach a spoločných podnikoch predstavovali na súvahe</w:t>
      </w:r>
      <w:r w:rsidR="002162CB" w:rsidRPr="00226892">
        <w:rPr>
          <w:rFonts w:ascii="Arial" w:hAnsi="Arial" w:cs="Arial"/>
          <w:szCs w:val="18"/>
          <w:lang w:val="sk-SK"/>
        </w:rPr>
        <w:t xml:space="preserve"> </w:t>
      </w:r>
      <w:r w:rsidR="00C87144" w:rsidRPr="00226892">
        <w:rPr>
          <w:rFonts w:ascii="Arial" w:hAnsi="Arial" w:cs="Arial"/>
          <w:szCs w:val="18"/>
          <w:lang w:val="sk-SK"/>
        </w:rPr>
        <w:t>k</w:t>
      </w:r>
      <w:r w:rsidRPr="00226892">
        <w:rPr>
          <w:rFonts w:ascii="Arial" w:hAnsi="Arial" w:cs="Arial"/>
          <w:szCs w:val="18"/>
          <w:lang w:val="sk-SK"/>
        </w:rPr>
        <w:t> 31. decembru nasledovné hodnoty:</w:t>
      </w:r>
    </w:p>
    <w:p w14:paraId="02246536" w14:textId="77777777" w:rsidR="00877E3A" w:rsidRPr="00226892" w:rsidRDefault="0083603D" w:rsidP="000405EF">
      <w:pPr>
        <w:pStyle w:val="Head3"/>
      </w:pPr>
      <w:bookmarkStart w:id="382" w:name="FWT_InvestmInAssAndJointVent_ByComp"/>
      <w:r w:rsidRPr="00226892">
        <w:t xml:space="preserve"> </w:t>
      </w:r>
      <w:bookmarkEnd w:id="382"/>
    </w:p>
    <w:tbl>
      <w:tblPr>
        <w:tblW w:w="5000" w:type="pct"/>
        <w:tblLayout w:type="fixed"/>
        <w:tblCellMar>
          <w:left w:w="70" w:type="dxa"/>
          <w:right w:w="70" w:type="dxa"/>
        </w:tblCellMar>
        <w:tblLook w:val="04A0" w:firstRow="1" w:lastRow="0" w:firstColumn="1" w:lastColumn="0" w:noHBand="0" w:noVBand="1"/>
      </w:tblPr>
      <w:tblGrid>
        <w:gridCol w:w="4564"/>
        <w:gridCol w:w="211"/>
        <w:gridCol w:w="2321"/>
        <w:gridCol w:w="197"/>
        <w:gridCol w:w="2346"/>
      </w:tblGrid>
      <w:tr w:rsidR="00877E3A" w:rsidRPr="00226892" w14:paraId="3FD086DE" w14:textId="77777777" w:rsidTr="006836EB">
        <w:trPr>
          <w:trHeight w:val="227"/>
        </w:trPr>
        <w:tc>
          <w:tcPr>
            <w:tcW w:w="2367" w:type="pct"/>
            <w:tcBorders>
              <w:top w:val="nil"/>
              <w:left w:val="nil"/>
              <w:bottom w:val="single" w:sz="4" w:space="0" w:color="auto"/>
              <w:right w:val="nil"/>
            </w:tcBorders>
            <w:shd w:val="clear" w:color="auto" w:fill="auto"/>
            <w:vAlign w:val="bottom"/>
            <w:hideMark/>
          </w:tcPr>
          <w:p w14:paraId="494B6A69" w14:textId="77777777" w:rsidR="00877E3A" w:rsidRPr="00226892" w:rsidRDefault="00877E3A" w:rsidP="00877E3A">
            <w:pPr>
              <w:rPr>
                <w:rFonts w:ascii="Arial" w:eastAsia="Times New Roman" w:hAnsi="Arial" w:cs="Arial"/>
                <w:b/>
                <w:bCs/>
                <w:color w:val="000000"/>
                <w:sz w:val="18"/>
                <w:szCs w:val="18"/>
                <w:lang w:val="sk-SK" w:eastAsia="sk-SK"/>
              </w:rPr>
            </w:pPr>
            <w:bookmarkStart w:id="383" w:name="RANGE!C21:G32"/>
            <w:r w:rsidRPr="00226892">
              <w:rPr>
                <w:rFonts w:ascii="Arial" w:eastAsia="Times New Roman" w:hAnsi="Arial" w:cs="Arial"/>
                <w:b/>
                <w:bCs/>
                <w:color w:val="000000"/>
                <w:sz w:val="18"/>
                <w:szCs w:val="18"/>
                <w:lang w:val="sk-SK" w:eastAsia="sk-SK"/>
              </w:rPr>
              <w:t> </w:t>
            </w:r>
            <w:bookmarkEnd w:id="383"/>
          </w:p>
        </w:tc>
        <w:tc>
          <w:tcPr>
            <w:tcW w:w="109" w:type="pct"/>
            <w:tcBorders>
              <w:top w:val="nil"/>
              <w:left w:val="nil"/>
              <w:bottom w:val="single" w:sz="4" w:space="0" w:color="auto"/>
              <w:right w:val="nil"/>
            </w:tcBorders>
            <w:shd w:val="clear" w:color="auto" w:fill="auto"/>
            <w:vAlign w:val="bottom"/>
            <w:hideMark/>
          </w:tcPr>
          <w:p w14:paraId="6D3E2BE8" w14:textId="77777777" w:rsidR="00877E3A" w:rsidRPr="00226892" w:rsidRDefault="00877E3A" w:rsidP="00877E3A">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204" w:type="pct"/>
            <w:tcBorders>
              <w:top w:val="nil"/>
              <w:left w:val="nil"/>
              <w:bottom w:val="single" w:sz="4" w:space="0" w:color="auto"/>
              <w:right w:val="nil"/>
            </w:tcBorders>
            <w:shd w:val="clear" w:color="auto" w:fill="auto"/>
            <w:vAlign w:val="bottom"/>
            <w:hideMark/>
          </w:tcPr>
          <w:p w14:paraId="05275FD1" w14:textId="6D34187A" w:rsidR="00877E3A" w:rsidRPr="00226892" w:rsidRDefault="00877E3A" w:rsidP="006836EB">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D3AC5" w:rsidRPr="00226892">
              <w:rPr>
                <w:rFonts w:ascii="Arial" w:eastAsia="Times New Roman" w:hAnsi="Arial" w:cs="Arial"/>
                <w:b/>
                <w:bCs/>
                <w:color w:val="000000"/>
                <w:sz w:val="18"/>
                <w:szCs w:val="18"/>
                <w:lang w:val="sk-SK" w:eastAsia="sk-SK"/>
              </w:rPr>
              <w:t>2018</w:t>
            </w:r>
          </w:p>
        </w:tc>
        <w:tc>
          <w:tcPr>
            <w:tcW w:w="102" w:type="pct"/>
            <w:tcBorders>
              <w:top w:val="nil"/>
              <w:left w:val="nil"/>
              <w:bottom w:val="single" w:sz="4" w:space="0" w:color="auto"/>
              <w:right w:val="nil"/>
            </w:tcBorders>
            <w:shd w:val="clear" w:color="auto" w:fill="auto"/>
            <w:vAlign w:val="bottom"/>
            <w:hideMark/>
          </w:tcPr>
          <w:p w14:paraId="52938434" w14:textId="20D36182" w:rsidR="00877E3A" w:rsidRPr="00226892" w:rsidRDefault="00877E3A" w:rsidP="006836EB">
            <w:pPr>
              <w:jc w:val="center"/>
              <w:rPr>
                <w:rFonts w:ascii="Arial" w:eastAsia="Times New Roman" w:hAnsi="Arial" w:cs="Arial"/>
                <w:b/>
                <w:bCs/>
                <w:color w:val="000000"/>
                <w:sz w:val="18"/>
                <w:szCs w:val="18"/>
                <w:lang w:val="sk-SK" w:eastAsia="sk-SK"/>
              </w:rPr>
            </w:pPr>
          </w:p>
        </w:tc>
        <w:tc>
          <w:tcPr>
            <w:tcW w:w="1217" w:type="pct"/>
            <w:tcBorders>
              <w:top w:val="nil"/>
              <w:left w:val="nil"/>
              <w:bottom w:val="single" w:sz="4" w:space="0" w:color="auto"/>
              <w:right w:val="nil"/>
            </w:tcBorders>
            <w:shd w:val="clear" w:color="auto" w:fill="auto"/>
            <w:vAlign w:val="bottom"/>
            <w:hideMark/>
          </w:tcPr>
          <w:p w14:paraId="0043B056" w14:textId="029BE986" w:rsidR="00877E3A" w:rsidRPr="00226892" w:rsidRDefault="00877E3A" w:rsidP="006836EB">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63A77" w:rsidRPr="00226892">
              <w:rPr>
                <w:rFonts w:ascii="Arial" w:eastAsia="Times New Roman" w:hAnsi="Arial" w:cs="Arial"/>
                <w:b/>
                <w:bCs/>
                <w:color w:val="000000"/>
                <w:sz w:val="18"/>
                <w:szCs w:val="18"/>
                <w:lang w:val="sk-SK" w:eastAsia="sk-SK"/>
              </w:rPr>
              <w:t>2017</w:t>
            </w:r>
          </w:p>
        </w:tc>
      </w:tr>
      <w:tr w:rsidR="004167DD" w:rsidRPr="00226892" w14:paraId="6108B75E" w14:textId="77777777" w:rsidTr="00DD7A0F">
        <w:trPr>
          <w:trHeight w:val="227"/>
        </w:trPr>
        <w:tc>
          <w:tcPr>
            <w:tcW w:w="2367" w:type="pct"/>
            <w:tcBorders>
              <w:top w:val="nil"/>
              <w:left w:val="nil"/>
              <w:bottom w:val="nil"/>
              <w:right w:val="nil"/>
            </w:tcBorders>
            <w:shd w:val="clear" w:color="auto" w:fill="auto"/>
            <w:vAlign w:val="bottom"/>
            <w:hideMark/>
          </w:tcPr>
          <w:p w14:paraId="3DD2D242" w14:textId="77777777" w:rsidR="004167DD" w:rsidRPr="00226892" w:rsidRDefault="004167DD" w:rsidP="004167DD">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Spoločné podniky</w:t>
            </w:r>
          </w:p>
        </w:tc>
        <w:tc>
          <w:tcPr>
            <w:tcW w:w="109" w:type="pct"/>
            <w:tcBorders>
              <w:top w:val="nil"/>
              <w:left w:val="nil"/>
              <w:bottom w:val="nil"/>
              <w:right w:val="nil"/>
            </w:tcBorders>
            <w:shd w:val="clear" w:color="auto" w:fill="auto"/>
            <w:vAlign w:val="bottom"/>
            <w:hideMark/>
          </w:tcPr>
          <w:p w14:paraId="5BD90D82" w14:textId="77777777" w:rsidR="004167DD" w:rsidRPr="00226892" w:rsidRDefault="004167DD" w:rsidP="004167DD">
            <w:pPr>
              <w:rPr>
                <w:rFonts w:ascii="Arial" w:eastAsia="Times New Roman" w:hAnsi="Arial" w:cs="Arial"/>
                <w:b/>
                <w:bCs/>
                <w:color w:val="000000"/>
                <w:sz w:val="18"/>
                <w:szCs w:val="18"/>
                <w:lang w:val="sk-SK" w:eastAsia="sk-SK"/>
              </w:rPr>
            </w:pPr>
          </w:p>
        </w:tc>
        <w:tc>
          <w:tcPr>
            <w:tcW w:w="1204" w:type="pct"/>
            <w:tcBorders>
              <w:top w:val="nil"/>
              <w:left w:val="nil"/>
              <w:bottom w:val="nil"/>
              <w:right w:val="nil"/>
            </w:tcBorders>
            <w:shd w:val="clear" w:color="auto" w:fill="auto"/>
            <w:vAlign w:val="bottom"/>
            <w:hideMark/>
          </w:tcPr>
          <w:p w14:paraId="30E824C5" w14:textId="5BD062AD" w:rsidR="004167DD" w:rsidRPr="00226892" w:rsidRDefault="004167DD" w:rsidP="004167DD">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      </w:t>
            </w:r>
          </w:p>
        </w:tc>
        <w:tc>
          <w:tcPr>
            <w:tcW w:w="102" w:type="pct"/>
            <w:tcBorders>
              <w:top w:val="nil"/>
              <w:left w:val="nil"/>
              <w:bottom w:val="nil"/>
              <w:right w:val="nil"/>
            </w:tcBorders>
            <w:shd w:val="clear" w:color="auto" w:fill="auto"/>
            <w:vAlign w:val="bottom"/>
            <w:hideMark/>
          </w:tcPr>
          <w:p w14:paraId="54D76CA9" w14:textId="77777777" w:rsidR="004167DD" w:rsidRPr="00226892" w:rsidRDefault="004167DD" w:rsidP="004167DD">
            <w:pPr>
              <w:jc w:val="right"/>
              <w:rPr>
                <w:rFonts w:ascii="Arial" w:eastAsia="Times New Roman" w:hAnsi="Arial" w:cs="Arial"/>
                <w:b/>
                <w:bCs/>
                <w:color w:val="000000"/>
                <w:sz w:val="18"/>
                <w:szCs w:val="18"/>
                <w:lang w:val="sk-SK" w:eastAsia="sk-SK"/>
              </w:rPr>
            </w:pPr>
          </w:p>
        </w:tc>
        <w:tc>
          <w:tcPr>
            <w:tcW w:w="1217" w:type="pct"/>
            <w:tcBorders>
              <w:top w:val="nil"/>
              <w:left w:val="nil"/>
              <w:bottom w:val="nil"/>
              <w:right w:val="nil"/>
            </w:tcBorders>
            <w:shd w:val="clear" w:color="auto" w:fill="auto"/>
            <w:vAlign w:val="bottom"/>
            <w:hideMark/>
          </w:tcPr>
          <w:p w14:paraId="67707A17" w14:textId="55DE1804" w:rsidR="004167DD" w:rsidRPr="00226892" w:rsidRDefault="004167DD" w:rsidP="004167DD">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      </w:t>
            </w:r>
          </w:p>
        </w:tc>
      </w:tr>
      <w:tr w:rsidR="004167DD" w:rsidRPr="00226892" w14:paraId="39694F07" w14:textId="77777777" w:rsidTr="00DD7A0F">
        <w:trPr>
          <w:trHeight w:val="227"/>
        </w:trPr>
        <w:tc>
          <w:tcPr>
            <w:tcW w:w="2367" w:type="pct"/>
            <w:tcBorders>
              <w:top w:val="nil"/>
              <w:left w:val="nil"/>
              <w:bottom w:val="nil"/>
              <w:right w:val="nil"/>
            </w:tcBorders>
            <w:shd w:val="clear" w:color="auto" w:fill="auto"/>
            <w:vAlign w:val="bottom"/>
            <w:hideMark/>
          </w:tcPr>
          <w:p w14:paraId="266F8A62" w14:textId="77777777" w:rsidR="004167DD" w:rsidRPr="00226892" w:rsidRDefault="004167DD" w:rsidP="004167DD">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KARSIT - MATADOR </w:t>
            </w:r>
            <w:proofErr w:type="spellStart"/>
            <w:r w:rsidRPr="00226892">
              <w:rPr>
                <w:rFonts w:ascii="Arial" w:eastAsia="Times New Roman" w:hAnsi="Arial" w:cs="Arial"/>
                <w:color w:val="000000"/>
                <w:sz w:val="18"/>
                <w:szCs w:val="18"/>
                <w:lang w:val="sk-SK" w:eastAsia="sk-SK"/>
              </w:rPr>
              <w:t>s.r.o</w:t>
            </w:r>
            <w:proofErr w:type="spellEnd"/>
            <w:r w:rsidRPr="00226892">
              <w:rPr>
                <w:rFonts w:ascii="Arial" w:eastAsia="Times New Roman" w:hAnsi="Arial" w:cs="Arial"/>
                <w:color w:val="000000"/>
                <w:sz w:val="18"/>
                <w:szCs w:val="18"/>
                <w:lang w:val="sk-SK" w:eastAsia="sk-SK"/>
              </w:rPr>
              <w:t>.</w:t>
            </w:r>
          </w:p>
        </w:tc>
        <w:tc>
          <w:tcPr>
            <w:tcW w:w="109" w:type="pct"/>
            <w:tcBorders>
              <w:top w:val="nil"/>
              <w:left w:val="nil"/>
              <w:bottom w:val="nil"/>
              <w:right w:val="nil"/>
            </w:tcBorders>
            <w:shd w:val="clear" w:color="auto" w:fill="auto"/>
            <w:vAlign w:val="bottom"/>
            <w:hideMark/>
          </w:tcPr>
          <w:p w14:paraId="201CA766" w14:textId="77777777" w:rsidR="004167DD" w:rsidRPr="00226892" w:rsidRDefault="004167DD" w:rsidP="004167DD">
            <w:pPr>
              <w:rPr>
                <w:rFonts w:ascii="Arial" w:eastAsia="Times New Roman" w:hAnsi="Arial" w:cs="Arial"/>
                <w:color w:val="000000"/>
                <w:sz w:val="18"/>
                <w:szCs w:val="18"/>
                <w:lang w:val="sk-SK" w:eastAsia="sk-SK"/>
              </w:rPr>
            </w:pPr>
          </w:p>
        </w:tc>
        <w:tc>
          <w:tcPr>
            <w:tcW w:w="1204" w:type="pct"/>
            <w:tcBorders>
              <w:top w:val="nil"/>
              <w:left w:val="nil"/>
              <w:bottom w:val="nil"/>
              <w:right w:val="nil"/>
            </w:tcBorders>
            <w:shd w:val="clear" w:color="auto" w:fill="auto"/>
            <w:vAlign w:val="bottom"/>
            <w:hideMark/>
          </w:tcPr>
          <w:p w14:paraId="064EA6B6" w14:textId="64666F85" w:rsidR="004167DD" w:rsidRPr="00226892" w:rsidRDefault="004167DD" w:rsidP="004167D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w:t>
            </w:r>
          </w:p>
        </w:tc>
        <w:tc>
          <w:tcPr>
            <w:tcW w:w="102" w:type="pct"/>
            <w:tcBorders>
              <w:top w:val="nil"/>
              <w:left w:val="nil"/>
              <w:bottom w:val="nil"/>
              <w:right w:val="nil"/>
            </w:tcBorders>
            <w:shd w:val="clear" w:color="auto" w:fill="auto"/>
            <w:vAlign w:val="bottom"/>
            <w:hideMark/>
          </w:tcPr>
          <w:p w14:paraId="125E3F81" w14:textId="77777777" w:rsidR="004167DD" w:rsidRPr="00226892" w:rsidRDefault="004167DD" w:rsidP="004167DD">
            <w:pPr>
              <w:jc w:val="right"/>
              <w:rPr>
                <w:rFonts w:ascii="Arial" w:eastAsia="Times New Roman" w:hAnsi="Arial" w:cs="Arial"/>
                <w:color w:val="000000"/>
                <w:sz w:val="18"/>
                <w:szCs w:val="18"/>
                <w:lang w:val="sk-SK" w:eastAsia="sk-SK"/>
              </w:rPr>
            </w:pPr>
          </w:p>
        </w:tc>
        <w:tc>
          <w:tcPr>
            <w:tcW w:w="1217" w:type="pct"/>
            <w:tcBorders>
              <w:top w:val="nil"/>
              <w:left w:val="nil"/>
              <w:bottom w:val="nil"/>
              <w:right w:val="nil"/>
            </w:tcBorders>
            <w:shd w:val="clear" w:color="auto" w:fill="auto"/>
            <w:vAlign w:val="bottom"/>
            <w:hideMark/>
          </w:tcPr>
          <w:p w14:paraId="44B6F1DC" w14:textId="444C2A9E" w:rsidR="004167DD" w:rsidRPr="00226892" w:rsidRDefault="004167DD" w:rsidP="004167D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w:t>
            </w:r>
          </w:p>
        </w:tc>
      </w:tr>
      <w:tr w:rsidR="004167DD" w:rsidRPr="00226892" w14:paraId="0C6518DB" w14:textId="77777777" w:rsidTr="00DD7A0F">
        <w:trPr>
          <w:trHeight w:val="227"/>
        </w:trPr>
        <w:tc>
          <w:tcPr>
            <w:tcW w:w="2367" w:type="pct"/>
            <w:tcBorders>
              <w:top w:val="nil"/>
              <w:left w:val="nil"/>
              <w:bottom w:val="nil"/>
              <w:right w:val="nil"/>
            </w:tcBorders>
            <w:shd w:val="clear" w:color="auto" w:fill="auto"/>
            <w:vAlign w:val="bottom"/>
            <w:hideMark/>
          </w:tcPr>
          <w:p w14:paraId="18098BAC" w14:textId="77777777" w:rsidR="004167DD" w:rsidRPr="00226892" w:rsidRDefault="004167DD" w:rsidP="004167DD">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DELMA </w:t>
            </w:r>
            <w:proofErr w:type="spellStart"/>
            <w:r w:rsidRPr="00226892">
              <w:rPr>
                <w:rFonts w:ascii="Arial" w:eastAsia="Times New Roman" w:hAnsi="Arial" w:cs="Arial"/>
                <w:color w:val="000000"/>
                <w:sz w:val="18"/>
                <w:szCs w:val="18"/>
                <w:lang w:val="sk-SK" w:eastAsia="sk-SK"/>
              </w:rPr>
              <w:t>s.r.o</w:t>
            </w:r>
            <w:proofErr w:type="spellEnd"/>
            <w:r w:rsidRPr="00226892">
              <w:rPr>
                <w:rFonts w:ascii="Arial" w:eastAsia="Times New Roman" w:hAnsi="Arial" w:cs="Arial"/>
                <w:color w:val="000000"/>
                <w:sz w:val="18"/>
                <w:szCs w:val="18"/>
                <w:lang w:val="sk-SK" w:eastAsia="sk-SK"/>
              </w:rPr>
              <w:t>.</w:t>
            </w:r>
          </w:p>
        </w:tc>
        <w:tc>
          <w:tcPr>
            <w:tcW w:w="109" w:type="pct"/>
            <w:tcBorders>
              <w:top w:val="nil"/>
              <w:left w:val="nil"/>
              <w:bottom w:val="nil"/>
              <w:right w:val="nil"/>
            </w:tcBorders>
            <w:shd w:val="clear" w:color="auto" w:fill="auto"/>
            <w:vAlign w:val="bottom"/>
            <w:hideMark/>
          </w:tcPr>
          <w:p w14:paraId="41400DF1" w14:textId="77777777" w:rsidR="004167DD" w:rsidRPr="00226892" w:rsidRDefault="004167DD" w:rsidP="004167DD">
            <w:pPr>
              <w:rPr>
                <w:rFonts w:ascii="Arial" w:eastAsia="Times New Roman" w:hAnsi="Arial" w:cs="Arial"/>
                <w:color w:val="000000"/>
                <w:sz w:val="18"/>
                <w:szCs w:val="18"/>
                <w:lang w:val="sk-SK" w:eastAsia="sk-SK"/>
              </w:rPr>
            </w:pPr>
          </w:p>
        </w:tc>
        <w:tc>
          <w:tcPr>
            <w:tcW w:w="1204" w:type="pct"/>
            <w:tcBorders>
              <w:top w:val="nil"/>
              <w:left w:val="nil"/>
              <w:bottom w:val="nil"/>
              <w:right w:val="nil"/>
            </w:tcBorders>
            <w:shd w:val="clear" w:color="auto" w:fill="auto"/>
            <w:vAlign w:val="bottom"/>
            <w:hideMark/>
          </w:tcPr>
          <w:p w14:paraId="5163A2D4" w14:textId="45CCA72F" w:rsidR="004167DD" w:rsidRPr="00226892" w:rsidRDefault="004167DD" w:rsidP="004167D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w:t>
            </w:r>
          </w:p>
        </w:tc>
        <w:tc>
          <w:tcPr>
            <w:tcW w:w="102" w:type="pct"/>
            <w:tcBorders>
              <w:top w:val="nil"/>
              <w:left w:val="nil"/>
              <w:bottom w:val="nil"/>
              <w:right w:val="nil"/>
            </w:tcBorders>
            <w:shd w:val="clear" w:color="auto" w:fill="auto"/>
            <w:vAlign w:val="bottom"/>
            <w:hideMark/>
          </w:tcPr>
          <w:p w14:paraId="766A7568" w14:textId="77777777" w:rsidR="004167DD" w:rsidRPr="00226892" w:rsidRDefault="004167DD" w:rsidP="004167DD">
            <w:pPr>
              <w:jc w:val="right"/>
              <w:rPr>
                <w:rFonts w:ascii="Arial" w:eastAsia="Times New Roman" w:hAnsi="Arial" w:cs="Arial"/>
                <w:color w:val="000000"/>
                <w:sz w:val="18"/>
                <w:szCs w:val="18"/>
                <w:lang w:val="sk-SK" w:eastAsia="sk-SK"/>
              </w:rPr>
            </w:pPr>
          </w:p>
        </w:tc>
        <w:tc>
          <w:tcPr>
            <w:tcW w:w="1217" w:type="pct"/>
            <w:tcBorders>
              <w:top w:val="nil"/>
              <w:left w:val="nil"/>
              <w:bottom w:val="nil"/>
              <w:right w:val="nil"/>
            </w:tcBorders>
            <w:shd w:val="clear" w:color="auto" w:fill="auto"/>
            <w:vAlign w:val="bottom"/>
            <w:hideMark/>
          </w:tcPr>
          <w:p w14:paraId="6D27012D" w14:textId="429EDA3E" w:rsidR="004167DD" w:rsidRPr="00226892" w:rsidRDefault="004167DD" w:rsidP="004167D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w:t>
            </w:r>
          </w:p>
        </w:tc>
      </w:tr>
      <w:tr w:rsidR="004167DD" w:rsidRPr="00226892" w14:paraId="2DD18670" w14:textId="77777777" w:rsidTr="00DD7A0F">
        <w:trPr>
          <w:trHeight w:val="227"/>
        </w:trPr>
        <w:tc>
          <w:tcPr>
            <w:tcW w:w="2367" w:type="pct"/>
            <w:tcBorders>
              <w:top w:val="nil"/>
              <w:left w:val="nil"/>
              <w:bottom w:val="nil"/>
              <w:right w:val="nil"/>
            </w:tcBorders>
            <w:shd w:val="clear" w:color="auto" w:fill="auto"/>
            <w:vAlign w:val="bottom"/>
            <w:hideMark/>
          </w:tcPr>
          <w:p w14:paraId="1D7746A1" w14:textId="77777777" w:rsidR="004167DD" w:rsidRPr="00226892" w:rsidRDefault="004167DD" w:rsidP="004167DD">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Pridružené podniky</w:t>
            </w:r>
          </w:p>
        </w:tc>
        <w:tc>
          <w:tcPr>
            <w:tcW w:w="109" w:type="pct"/>
            <w:tcBorders>
              <w:top w:val="nil"/>
              <w:left w:val="nil"/>
              <w:bottom w:val="nil"/>
              <w:right w:val="nil"/>
            </w:tcBorders>
            <w:shd w:val="clear" w:color="auto" w:fill="auto"/>
            <w:vAlign w:val="bottom"/>
            <w:hideMark/>
          </w:tcPr>
          <w:p w14:paraId="03DD4364" w14:textId="77777777" w:rsidR="004167DD" w:rsidRPr="00226892" w:rsidRDefault="004167DD" w:rsidP="004167DD">
            <w:pPr>
              <w:rPr>
                <w:rFonts w:ascii="Arial" w:eastAsia="Times New Roman" w:hAnsi="Arial" w:cs="Arial"/>
                <w:b/>
                <w:bCs/>
                <w:color w:val="000000"/>
                <w:sz w:val="18"/>
                <w:szCs w:val="18"/>
                <w:lang w:val="sk-SK" w:eastAsia="sk-SK"/>
              </w:rPr>
            </w:pPr>
          </w:p>
        </w:tc>
        <w:tc>
          <w:tcPr>
            <w:tcW w:w="1204" w:type="pct"/>
            <w:tcBorders>
              <w:top w:val="nil"/>
              <w:left w:val="nil"/>
              <w:bottom w:val="nil"/>
              <w:right w:val="nil"/>
            </w:tcBorders>
            <w:shd w:val="clear" w:color="auto" w:fill="auto"/>
            <w:vAlign w:val="bottom"/>
            <w:hideMark/>
          </w:tcPr>
          <w:p w14:paraId="5A6F0FF2" w14:textId="15BBB451" w:rsidR="004167DD" w:rsidRPr="00226892" w:rsidRDefault="004167DD" w:rsidP="004167DD">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120    </w:t>
            </w:r>
          </w:p>
        </w:tc>
        <w:tc>
          <w:tcPr>
            <w:tcW w:w="102" w:type="pct"/>
            <w:tcBorders>
              <w:top w:val="nil"/>
              <w:left w:val="nil"/>
              <w:bottom w:val="nil"/>
              <w:right w:val="nil"/>
            </w:tcBorders>
            <w:shd w:val="clear" w:color="auto" w:fill="auto"/>
            <w:vAlign w:val="bottom"/>
            <w:hideMark/>
          </w:tcPr>
          <w:p w14:paraId="71C38EBA" w14:textId="77777777" w:rsidR="004167DD" w:rsidRPr="00226892" w:rsidRDefault="004167DD" w:rsidP="004167DD">
            <w:pPr>
              <w:jc w:val="right"/>
              <w:rPr>
                <w:rFonts w:ascii="Arial" w:eastAsia="Times New Roman" w:hAnsi="Arial" w:cs="Arial"/>
                <w:b/>
                <w:bCs/>
                <w:color w:val="000000"/>
                <w:sz w:val="18"/>
                <w:szCs w:val="18"/>
                <w:lang w:val="sk-SK" w:eastAsia="sk-SK"/>
              </w:rPr>
            </w:pPr>
          </w:p>
        </w:tc>
        <w:tc>
          <w:tcPr>
            <w:tcW w:w="1217" w:type="pct"/>
            <w:tcBorders>
              <w:top w:val="nil"/>
              <w:left w:val="nil"/>
              <w:bottom w:val="nil"/>
              <w:right w:val="nil"/>
            </w:tcBorders>
            <w:shd w:val="clear" w:color="auto" w:fill="auto"/>
            <w:vAlign w:val="bottom"/>
            <w:hideMark/>
          </w:tcPr>
          <w:p w14:paraId="76477146" w14:textId="5D013907" w:rsidR="004167DD" w:rsidRPr="00226892" w:rsidRDefault="004167DD" w:rsidP="004167DD">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92    </w:t>
            </w:r>
          </w:p>
        </w:tc>
      </w:tr>
      <w:tr w:rsidR="004167DD" w:rsidRPr="00226892" w14:paraId="70F9486C" w14:textId="77777777" w:rsidTr="00DD7A0F">
        <w:trPr>
          <w:trHeight w:val="227"/>
        </w:trPr>
        <w:tc>
          <w:tcPr>
            <w:tcW w:w="2367" w:type="pct"/>
            <w:tcBorders>
              <w:top w:val="nil"/>
              <w:left w:val="nil"/>
              <w:bottom w:val="nil"/>
              <w:right w:val="nil"/>
            </w:tcBorders>
            <w:shd w:val="clear" w:color="auto" w:fill="auto"/>
            <w:vAlign w:val="bottom"/>
            <w:hideMark/>
          </w:tcPr>
          <w:p w14:paraId="65930179" w14:textId="0A3837C8" w:rsidR="004167DD" w:rsidRPr="00226892" w:rsidRDefault="004167DD" w:rsidP="004167DD">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DV, </w:t>
            </w:r>
            <w:proofErr w:type="spellStart"/>
            <w:r w:rsidRPr="00226892">
              <w:rPr>
                <w:rFonts w:ascii="Arial" w:eastAsia="Times New Roman" w:hAnsi="Arial" w:cs="Arial"/>
                <w:color w:val="000000"/>
                <w:sz w:val="18"/>
                <w:szCs w:val="18"/>
                <w:lang w:val="sk-SK" w:eastAsia="sk-SK"/>
              </w:rPr>
              <w:t>s.r.o</w:t>
            </w:r>
            <w:proofErr w:type="spellEnd"/>
            <w:r w:rsidRPr="00226892">
              <w:rPr>
                <w:rFonts w:ascii="Arial" w:eastAsia="Times New Roman" w:hAnsi="Arial" w:cs="Arial"/>
                <w:color w:val="000000"/>
                <w:sz w:val="18"/>
                <w:szCs w:val="18"/>
                <w:lang w:val="sk-SK" w:eastAsia="sk-SK"/>
              </w:rPr>
              <w:t>.</w:t>
            </w:r>
          </w:p>
        </w:tc>
        <w:tc>
          <w:tcPr>
            <w:tcW w:w="109" w:type="pct"/>
            <w:tcBorders>
              <w:top w:val="nil"/>
              <w:left w:val="nil"/>
              <w:bottom w:val="nil"/>
              <w:right w:val="nil"/>
            </w:tcBorders>
            <w:shd w:val="clear" w:color="auto" w:fill="auto"/>
            <w:vAlign w:val="bottom"/>
            <w:hideMark/>
          </w:tcPr>
          <w:p w14:paraId="53AC774A" w14:textId="77777777" w:rsidR="004167DD" w:rsidRPr="00226892" w:rsidRDefault="004167DD" w:rsidP="004167DD">
            <w:pPr>
              <w:rPr>
                <w:rFonts w:ascii="Arial" w:eastAsia="Times New Roman" w:hAnsi="Arial" w:cs="Arial"/>
                <w:color w:val="000000"/>
                <w:sz w:val="18"/>
                <w:szCs w:val="18"/>
                <w:lang w:val="sk-SK" w:eastAsia="sk-SK"/>
              </w:rPr>
            </w:pPr>
          </w:p>
        </w:tc>
        <w:tc>
          <w:tcPr>
            <w:tcW w:w="1204" w:type="pct"/>
            <w:tcBorders>
              <w:top w:val="nil"/>
              <w:left w:val="nil"/>
              <w:bottom w:val="nil"/>
              <w:right w:val="nil"/>
            </w:tcBorders>
            <w:shd w:val="clear" w:color="auto" w:fill="auto"/>
            <w:vAlign w:val="bottom"/>
            <w:hideMark/>
          </w:tcPr>
          <w:p w14:paraId="1A694726" w14:textId="5736A172" w:rsidR="004167DD" w:rsidRPr="00226892" w:rsidRDefault="004167DD" w:rsidP="004167D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120      </w:t>
            </w:r>
          </w:p>
        </w:tc>
        <w:tc>
          <w:tcPr>
            <w:tcW w:w="102" w:type="pct"/>
            <w:tcBorders>
              <w:top w:val="nil"/>
              <w:left w:val="nil"/>
              <w:bottom w:val="nil"/>
              <w:right w:val="nil"/>
            </w:tcBorders>
            <w:shd w:val="clear" w:color="auto" w:fill="auto"/>
            <w:vAlign w:val="bottom"/>
            <w:hideMark/>
          </w:tcPr>
          <w:p w14:paraId="53DB3A8B" w14:textId="77777777" w:rsidR="004167DD" w:rsidRPr="00226892" w:rsidRDefault="004167DD" w:rsidP="004167DD">
            <w:pPr>
              <w:jc w:val="right"/>
              <w:rPr>
                <w:rFonts w:ascii="Arial" w:eastAsia="Times New Roman" w:hAnsi="Arial" w:cs="Arial"/>
                <w:color w:val="000000"/>
                <w:sz w:val="18"/>
                <w:szCs w:val="18"/>
                <w:lang w:val="sk-SK" w:eastAsia="sk-SK"/>
              </w:rPr>
            </w:pPr>
          </w:p>
        </w:tc>
        <w:tc>
          <w:tcPr>
            <w:tcW w:w="1217" w:type="pct"/>
            <w:tcBorders>
              <w:top w:val="nil"/>
              <w:left w:val="nil"/>
              <w:bottom w:val="nil"/>
              <w:right w:val="nil"/>
            </w:tcBorders>
            <w:shd w:val="clear" w:color="auto" w:fill="auto"/>
            <w:vAlign w:val="bottom"/>
            <w:hideMark/>
          </w:tcPr>
          <w:p w14:paraId="1C61DA1D" w14:textId="6327419B" w:rsidR="004167DD" w:rsidRPr="00226892" w:rsidRDefault="004167DD" w:rsidP="004167D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92      </w:t>
            </w:r>
          </w:p>
        </w:tc>
      </w:tr>
      <w:tr w:rsidR="004167DD" w:rsidRPr="00226892" w14:paraId="2D00B361" w14:textId="77777777" w:rsidTr="00DD7A0F">
        <w:trPr>
          <w:trHeight w:val="227"/>
        </w:trPr>
        <w:tc>
          <w:tcPr>
            <w:tcW w:w="2367" w:type="pct"/>
            <w:tcBorders>
              <w:top w:val="nil"/>
              <w:left w:val="nil"/>
              <w:bottom w:val="nil"/>
              <w:right w:val="nil"/>
            </w:tcBorders>
            <w:shd w:val="clear" w:color="auto" w:fill="auto"/>
            <w:vAlign w:val="bottom"/>
            <w:hideMark/>
          </w:tcPr>
          <w:p w14:paraId="265C58CA" w14:textId="7A3166C2" w:rsidR="004167DD" w:rsidRPr="00226892" w:rsidRDefault="004167DD" w:rsidP="004167DD">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Pridružené a spoločné podniky celkom</w:t>
            </w:r>
          </w:p>
        </w:tc>
        <w:tc>
          <w:tcPr>
            <w:tcW w:w="109" w:type="pct"/>
            <w:tcBorders>
              <w:top w:val="nil"/>
              <w:left w:val="nil"/>
              <w:bottom w:val="nil"/>
              <w:right w:val="nil"/>
            </w:tcBorders>
            <w:shd w:val="clear" w:color="auto" w:fill="auto"/>
            <w:vAlign w:val="bottom"/>
            <w:hideMark/>
          </w:tcPr>
          <w:p w14:paraId="3FC6F31B" w14:textId="77777777" w:rsidR="004167DD" w:rsidRPr="00226892" w:rsidRDefault="004167DD" w:rsidP="004167DD">
            <w:pPr>
              <w:rPr>
                <w:rFonts w:ascii="Arial" w:eastAsia="Times New Roman" w:hAnsi="Arial" w:cs="Arial"/>
                <w:b/>
                <w:bCs/>
                <w:color w:val="000000"/>
                <w:sz w:val="18"/>
                <w:szCs w:val="18"/>
                <w:lang w:val="sk-SK" w:eastAsia="sk-SK"/>
              </w:rPr>
            </w:pPr>
          </w:p>
        </w:tc>
        <w:tc>
          <w:tcPr>
            <w:tcW w:w="1204" w:type="pct"/>
            <w:tcBorders>
              <w:top w:val="single" w:sz="4" w:space="0" w:color="auto"/>
              <w:left w:val="nil"/>
              <w:bottom w:val="double" w:sz="6" w:space="0" w:color="auto"/>
              <w:right w:val="nil"/>
            </w:tcBorders>
            <w:shd w:val="clear" w:color="auto" w:fill="auto"/>
            <w:vAlign w:val="bottom"/>
            <w:hideMark/>
          </w:tcPr>
          <w:p w14:paraId="4E6935B7" w14:textId="65DC776A" w:rsidR="004167DD" w:rsidRPr="00226892" w:rsidRDefault="004167DD" w:rsidP="004167DD">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120    </w:t>
            </w:r>
          </w:p>
        </w:tc>
        <w:tc>
          <w:tcPr>
            <w:tcW w:w="102" w:type="pct"/>
            <w:tcBorders>
              <w:top w:val="nil"/>
              <w:left w:val="nil"/>
              <w:bottom w:val="nil"/>
              <w:right w:val="nil"/>
            </w:tcBorders>
            <w:shd w:val="clear" w:color="auto" w:fill="auto"/>
            <w:vAlign w:val="bottom"/>
            <w:hideMark/>
          </w:tcPr>
          <w:p w14:paraId="353E7E54" w14:textId="77777777" w:rsidR="004167DD" w:rsidRPr="00226892" w:rsidRDefault="004167DD" w:rsidP="004167DD">
            <w:pPr>
              <w:jc w:val="right"/>
              <w:rPr>
                <w:rFonts w:ascii="Arial" w:eastAsia="Times New Roman" w:hAnsi="Arial" w:cs="Arial"/>
                <w:b/>
                <w:bCs/>
                <w:color w:val="000000"/>
                <w:sz w:val="18"/>
                <w:szCs w:val="18"/>
                <w:lang w:val="sk-SK" w:eastAsia="sk-SK"/>
              </w:rPr>
            </w:pPr>
          </w:p>
        </w:tc>
        <w:tc>
          <w:tcPr>
            <w:tcW w:w="1217" w:type="pct"/>
            <w:tcBorders>
              <w:top w:val="single" w:sz="4" w:space="0" w:color="auto"/>
              <w:left w:val="nil"/>
              <w:bottom w:val="double" w:sz="6" w:space="0" w:color="auto"/>
              <w:right w:val="nil"/>
            </w:tcBorders>
            <w:shd w:val="clear" w:color="auto" w:fill="auto"/>
            <w:vAlign w:val="bottom"/>
            <w:hideMark/>
          </w:tcPr>
          <w:p w14:paraId="398135FB" w14:textId="740CC347" w:rsidR="004167DD" w:rsidRPr="00226892" w:rsidRDefault="004167DD" w:rsidP="004167DD">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92    </w:t>
            </w:r>
          </w:p>
        </w:tc>
      </w:tr>
    </w:tbl>
    <w:p w14:paraId="6AA3862E" w14:textId="02A80069" w:rsidR="003B0FD5" w:rsidRPr="00226892" w:rsidRDefault="003B0FD5" w:rsidP="000405EF">
      <w:pPr>
        <w:pStyle w:val="Head3"/>
      </w:pPr>
    </w:p>
    <w:p w14:paraId="1E5F813C" w14:textId="5B4E34D5" w:rsidR="00837450" w:rsidRPr="00226892" w:rsidRDefault="00C437F0" w:rsidP="00FE07F6">
      <w:pPr>
        <w:rPr>
          <w:rFonts w:ascii="Arial" w:hAnsi="Arial" w:cs="Arial"/>
          <w:szCs w:val="18"/>
          <w:lang w:val="sk-SK"/>
        </w:rPr>
      </w:pPr>
      <w:r w:rsidRPr="00226892">
        <w:rPr>
          <w:rFonts w:ascii="Arial" w:hAnsi="Arial" w:cs="Arial"/>
          <w:szCs w:val="18"/>
          <w:lang w:val="sk-SK"/>
        </w:rPr>
        <w:t>Detailný zoznam pridružených spoločností a spoločných podnikov je v nasledujúcej tabuľke:</w:t>
      </w:r>
    </w:p>
    <w:p w14:paraId="034EC72B" w14:textId="77777777" w:rsidR="00877E3A" w:rsidRPr="00226892" w:rsidRDefault="0083603D" w:rsidP="00877E3A">
      <w:pPr>
        <w:suppressAutoHyphens/>
        <w:jc w:val="both"/>
        <w:rPr>
          <w:rFonts w:ascii="Arial" w:hAnsi="Arial" w:cs="Arial"/>
          <w:sz w:val="16"/>
          <w:szCs w:val="16"/>
          <w:lang w:val="sk-SK"/>
        </w:rPr>
      </w:pPr>
      <w:bookmarkStart w:id="384" w:name="FWT_List_AssAndJointVent"/>
      <w:r w:rsidRPr="00226892">
        <w:rPr>
          <w:rFonts w:ascii="Arial" w:hAnsi="Arial" w:cs="Arial"/>
          <w:sz w:val="16"/>
          <w:szCs w:val="16"/>
          <w:lang w:val="sk-SK"/>
        </w:rPr>
        <w:t xml:space="preserve"> </w:t>
      </w:r>
    </w:p>
    <w:tbl>
      <w:tblPr>
        <w:tblW w:w="5000" w:type="pct"/>
        <w:tblCellMar>
          <w:left w:w="70" w:type="dxa"/>
          <w:right w:w="70" w:type="dxa"/>
        </w:tblCellMar>
        <w:tblLook w:val="04A0" w:firstRow="1" w:lastRow="0" w:firstColumn="1" w:lastColumn="0" w:noHBand="0" w:noVBand="1"/>
      </w:tblPr>
      <w:tblGrid>
        <w:gridCol w:w="1400"/>
        <w:gridCol w:w="1172"/>
        <w:gridCol w:w="1243"/>
        <w:gridCol w:w="1207"/>
        <w:gridCol w:w="1222"/>
        <w:gridCol w:w="1251"/>
        <w:gridCol w:w="2144"/>
      </w:tblGrid>
      <w:tr w:rsidR="00480B75" w:rsidRPr="00226892" w14:paraId="63D6D073" w14:textId="77777777" w:rsidTr="006836EB">
        <w:trPr>
          <w:trHeight w:val="227"/>
        </w:trPr>
        <w:tc>
          <w:tcPr>
            <w:tcW w:w="726" w:type="pct"/>
            <w:tcBorders>
              <w:top w:val="nil"/>
              <w:left w:val="nil"/>
              <w:bottom w:val="single" w:sz="4" w:space="0" w:color="auto"/>
              <w:right w:val="nil"/>
            </w:tcBorders>
            <w:shd w:val="clear" w:color="auto" w:fill="auto"/>
            <w:vAlign w:val="bottom"/>
            <w:hideMark/>
          </w:tcPr>
          <w:p w14:paraId="003B7366" w14:textId="77777777" w:rsidR="00480B75" w:rsidRPr="00226892" w:rsidRDefault="00480B75" w:rsidP="006836EB">
            <w:pPr>
              <w:jc w:val="center"/>
              <w:rPr>
                <w:rFonts w:ascii="Arial" w:eastAsia="Times New Roman" w:hAnsi="Arial" w:cs="Arial"/>
                <w:b/>
                <w:color w:val="000000"/>
                <w:sz w:val="18"/>
                <w:szCs w:val="18"/>
                <w:lang w:val="sk-SK" w:eastAsia="sk-SK"/>
              </w:rPr>
            </w:pPr>
            <w:bookmarkStart w:id="385" w:name="RANGE!C3:O13"/>
            <w:r w:rsidRPr="00226892">
              <w:rPr>
                <w:rFonts w:ascii="Arial" w:eastAsia="Times New Roman" w:hAnsi="Arial" w:cs="Arial"/>
                <w:b/>
                <w:color w:val="000000"/>
                <w:sz w:val="18"/>
                <w:szCs w:val="18"/>
                <w:lang w:val="sk-SK" w:eastAsia="sk-SK"/>
              </w:rPr>
              <w:t>Názov</w:t>
            </w:r>
            <w:bookmarkEnd w:id="385"/>
          </w:p>
        </w:tc>
        <w:tc>
          <w:tcPr>
            <w:tcW w:w="608" w:type="pct"/>
            <w:tcBorders>
              <w:top w:val="nil"/>
              <w:left w:val="nil"/>
              <w:bottom w:val="single" w:sz="4" w:space="0" w:color="auto"/>
              <w:right w:val="nil"/>
            </w:tcBorders>
            <w:shd w:val="clear" w:color="auto" w:fill="auto"/>
            <w:vAlign w:val="bottom"/>
            <w:hideMark/>
          </w:tcPr>
          <w:p w14:paraId="7A034FB0" w14:textId="68508F11" w:rsidR="00480B75" w:rsidRPr="00226892" w:rsidRDefault="00480B75" w:rsidP="006836EB">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Krajina registrácie</w:t>
            </w:r>
          </w:p>
        </w:tc>
        <w:tc>
          <w:tcPr>
            <w:tcW w:w="645" w:type="pct"/>
            <w:tcBorders>
              <w:top w:val="nil"/>
              <w:left w:val="nil"/>
              <w:bottom w:val="single" w:sz="4" w:space="0" w:color="auto"/>
              <w:right w:val="nil"/>
            </w:tcBorders>
            <w:shd w:val="clear" w:color="auto" w:fill="auto"/>
            <w:vAlign w:val="bottom"/>
            <w:hideMark/>
          </w:tcPr>
          <w:p w14:paraId="7C7BBD11" w14:textId="758D6D05" w:rsidR="00480B75" w:rsidRPr="00226892" w:rsidRDefault="00480B75" w:rsidP="006836EB">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Dátum registrácie</w:t>
            </w:r>
          </w:p>
        </w:tc>
        <w:tc>
          <w:tcPr>
            <w:tcW w:w="626" w:type="pct"/>
            <w:tcBorders>
              <w:top w:val="nil"/>
              <w:left w:val="nil"/>
              <w:bottom w:val="single" w:sz="4" w:space="0" w:color="auto"/>
              <w:right w:val="nil"/>
            </w:tcBorders>
            <w:shd w:val="clear" w:color="auto" w:fill="auto"/>
            <w:vAlign w:val="bottom"/>
            <w:hideMark/>
          </w:tcPr>
          <w:p w14:paraId="559C05A1" w14:textId="4D9C3D98" w:rsidR="00480B75" w:rsidRPr="00226892" w:rsidRDefault="00480B75" w:rsidP="006836EB">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Typ</w:t>
            </w:r>
          </w:p>
        </w:tc>
        <w:tc>
          <w:tcPr>
            <w:tcW w:w="634" w:type="pct"/>
            <w:tcBorders>
              <w:top w:val="nil"/>
              <w:left w:val="nil"/>
              <w:bottom w:val="single" w:sz="4" w:space="0" w:color="auto"/>
              <w:right w:val="nil"/>
            </w:tcBorders>
            <w:shd w:val="clear" w:color="auto" w:fill="auto"/>
            <w:vAlign w:val="bottom"/>
            <w:hideMark/>
          </w:tcPr>
          <w:p w14:paraId="15739719" w14:textId="7DF3D5E5" w:rsidR="00480B75" w:rsidRPr="00226892" w:rsidRDefault="00480B75" w:rsidP="006836EB">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Majetkový podiel v % 31-12-</w:t>
            </w:r>
            <w:r w:rsidR="00FD3AC5" w:rsidRPr="00226892">
              <w:rPr>
                <w:rFonts w:ascii="Arial" w:eastAsia="Times New Roman" w:hAnsi="Arial" w:cs="Arial"/>
                <w:b/>
                <w:bCs/>
                <w:color w:val="000000"/>
                <w:sz w:val="18"/>
                <w:szCs w:val="18"/>
                <w:lang w:val="sk-SK" w:eastAsia="sk-SK"/>
              </w:rPr>
              <w:t>2018</w:t>
            </w:r>
          </w:p>
        </w:tc>
        <w:tc>
          <w:tcPr>
            <w:tcW w:w="649" w:type="pct"/>
            <w:tcBorders>
              <w:top w:val="nil"/>
              <w:left w:val="nil"/>
              <w:bottom w:val="single" w:sz="4" w:space="0" w:color="auto"/>
              <w:right w:val="nil"/>
            </w:tcBorders>
            <w:shd w:val="clear" w:color="auto" w:fill="auto"/>
            <w:vAlign w:val="bottom"/>
            <w:hideMark/>
          </w:tcPr>
          <w:p w14:paraId="396C4B4D" w14:textId="0E619EB1" w:rsidR="00480B75" w:rsidRPr="00226892" w:rsidRDefault="00480B75" w:rsidP="006836EB">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Majetkový podiel v % 31-12-</w:t>
            </w:r>
            <w:r w:rsidR="00F63A77" w:rsidRPr="00226892">
              <w:rPr>
                <w:rFonts w:ascii="Arial" w:eastAsia="Times New Roman" w:hAnsi="Arial" w:cs="Arial"/>
                <w:b/>
                <w:bCs/>
                <w:color w:val="000000"/>
                <w:sz w:val="18"/>
                <w:szCs w:val="18"/>
                <w:lang w:val="sk-SK" w:eastAsia="sk-SK"/>
              </w:rPr>
              <w:t>2017</w:t>
            </w:r>
          </w:p>
        </w:tc>
        <w:tc>
          <w:tcPr>
            <w:tcW w:w="1112" w:type="pct"/>
            <w:tcBorders>
              <w:top w:val="nil"/>
              <w:left w:val="nil"/>
              <w:bottom w:val="single" w:sz="4" w:space="0" w:color="auto"/>
              <w:right w:val="nil"/>
            </w:tcBorders>
            <w:shd w:val="clear" w:color="auto" w:fill="auto"/>
            <w:vAlign w:val="bottom"/>
            <w:hideMark/>
          </w:tcPr>
          <w:p w14:paraId="0FAFBC48" w14:textId="5211A060" w:rsidR="00480B75" w:rsidRPr="00226892" w:rsidRDefault="00480B75" w:rsidP="006836EB">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Činnosti</w:t>
            </w:r>
          </w:p>
        </w:tc>
      </w:tr>
      <w:tr w:rsidR="00480B75" w:rsidRPr="00226892" w14:paraId="124413DA" w14:textId="77777777" w:rsidTr="00FE07F6">
        <w:trPr>
          <w:trHeight w:val="227"/>
        </w:trPr>
        <w:tc>
          <w:tcPr>
            <w:tcW w:w="726" w:type="pct"/>
            <w:tcBorders>
              <w:top w:val="nil"/>
              <w:left w:val="nil"/>
              <w:bottom w:val="nil"/>
              <w:right w:val="nil"/>
            </w:tcBorders>
            <w:shd w:val="clear" w:color="auto" w:fill="auto"/>
            <w:vAlign w:val="bottom"/>
            <w:hideMark/>
          </w:tcPr>
          <w:p w14:paraId="4307B1C1" w14:textId="77777777" w:rsidR="00480B75" w:rsidRPr="00226892" w:rsidRDefault="00480B75" w:rsidP="00877E3A">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Spoločné podniky</w:t>
            </w:r>
          </w:p>
        </w:tc>
        <w:tc>
          <w:tcPr>
            <w:tcW w:w="608" w:type="pct"/>
            <w:tcBorders>
              <w:top w:val="nil"/>
              <w:left w:val="nil"/>
              <w:bottom w:val="nil"/>
              <w:right w:val="nil"/>
            </w:tcBorders>
            <w:shd w:val="clear" w:color="auto" w:fill="auto"/>
            <w:vAlign w:val="bottom"/>
            <w:hideMark/>
          </w:tcPr>
          <w:p w14:paraId="0B8C3E38" w14:textId="77777777" w:rsidR="00480B75" w:rsidRPr="00226892" w:rsidRDefault="00480B75" w:rsidP="002162CB">
            <w:pPr>
              <w:jc w:val="right"/>
              <w:rPr>
                <w:rFonts w:ascii="Arial" w:eastAsia="Times New Roman" w:hAnsi="Arial" w:cs="Arial"/>
                <w:sz w:val="18"/>
                <w:szCs w:val="18"/>
                <w:lang w:val="sk-SK" w:eastAsia="sk-SK"/>
              </w:rPr>
            </w:pPr>
          </w:p>
        </w:tc>
        <w:tc>
          <w:tcPr>
            <w:tcW w:w="645" w:type="pct"/>
            <w:tcBorders>
              <w:top w:val="nil"/>
              <w:left w:val="nil"/>
              <w:bottom w:val="nil"/>
              <w:right w:val="nil"/>
            </w:tcBorders>
            <w:shd w:val="clear" w:color="auto" w:fill="auto"/>
            <w:vAlign w:val="bottom"/>
            <w:hideMark/>
          </w:tcPr>
          <w:p w14:paraId="71BD6077" w14:textId="77777777" w:rsidR="00480B75" w:rsidRPr="00226892" w:rsidRDefault="00480B75" w:rsidP="002162CB">
            <w:pPr>
              <w:jc w:val="right"/>
              <w:rPr>
                <w:rFonts w:ascii="Arial" w:eastAsia="Times New Roman" w:hAnsi="Arial" w:cs="Arial"/>
                <w:sz w:val="18"/>
                <w:szCs w:val="18"/>
                <w:lang w:val="sk-SK" w:eastAsia="sk-SK"/>
              </w:rPr>
            </w:pPr>
          </w:p>
        </w:tc>
        <w:tc>
          <w:tcPr>
            <w:tcW w:w="626" w:type="pct"/>
            <w:tcBorders>
              <w:top w:val="nil"/>
              <w:left w:val="nil"/>
              <w:bottom w:val="nil"/>
              <w:right w:val="nil"/>
            </w:tcBorders>
            <w:shd w:val="clear" w:color="auto" w:fill="auto"/>
            <w:vAlign w:val="bottom"/>
            <w:hideMark/>
          </w:tcPr>
          <w:p w14:paraId="445A2DB3" w14:textId="77777777" w:rsidR="00480B75" w:rsidRPr="00226892" w:rsidRDefault="00480B75" w:rsidP="002162CB">
            <w:pPr>
              <w:jc w:val="right"/>
              <w:rPr>
                <w:rFonts w:ascii="Arial" w:eastAsia="Times New Roman" w:hAnsi="Arial" w:cs="Arial"/>
                <w:sz w:val="18"/>
                <w:szCs w:val="18"/>
                <w:lang w:val="sk-SK" w:eastAsia="sk-SK"/>
              </w:rPr>
            </w:pPr>
          </w:p>
        </w:tc>
        <w:tc>
          <w:tcPr>
            <w:tcW w:w="634" w:type="pct"/>
            <w:tcBorders>
              <w:top w:val="nil"/>
              <w:left w:val="nil"/>
              <w:bottom w:val="nil"/>
              <w:right w:val="nil"/>
            </w:tcBorders>
            <w:shd w:val="clear" w:color="auto" w:fill="auto"/>
            <w:vAlign w:val="bottom"/>
            <w:hideMark/>
          </w:tcPr>
          <w:p w14:paraId="2A4EA80B" w14:textId="77777777" w:rsidR="00480B75" w:rsidRPr="00226892" w:rsidRDefault="00480B75" w:rsidP="002162CB">
            <w:pPr>
              <w:jc w:val="right"/>
              <w:rPr>
                <w:rFonts w:ascii="Arial" w:eastAsia="Times New Roman" w:hAnsi="Arial" w:cs="Arial"/>
                <w:sz w:val="18"/>
                <w:szCs w:val="18"/>
                <w:lang w:val="sk-SK" w:eastAsia="sk-SK"/>
              </w:rPr>
            </w:pPr>
          </w:p>
        </w:tc>
        <w:tc>
          <w:tcPr>
            <w:tcW w:w="649" w:type="pct"/>
            <w:tcBorders>
              <w:top w:val="nil"/>
              <w:left w:val="nil"/>
              <w:bottom w:val="nil"/>
              <w:right w:val="nil"/>
            </w:tcBorders>
            <w:shd w:val="clear" w:color="auto" w:fill="auto"/>
            <w:vAlign w:val="bottom"/>
            <w:hideMark/>
          </w:tcPr>
          <w:p w14:paraId="334985A3" w14:textId="77777777" w:rsidR="00480B75" w:rsidRPr="00226892" w:rsidRDefault="00480B75" w:rsidP="002162CB">
            <w:pPr>
              <w:jc w:val="right"/>
              <w:rPr>
                <w:rFonts w:ascii="Arial" w:eastAsia="Times New Roman" w:hAnsi="Arial" w:cs="Arial"/>
                <w:sz w:val="18"/>
                <w:szCs w:val="18"/>
                <w:lang w:val="sk-SK" w:eastAsia="sk-SK"/>
              </w:rPr>
            </w:pPr>
          </w:p>
        </w:tc>
        <w:tc>
          <w:tcPr>
            <w:tcW w:w="1112" w:type="pct"/>
            <w:tcBorders>
              <w:top w:val="nil"/>
              <w:left w:val="nil"/>
              <w:bottom w:val="nil"/>
              <w:right w:val="nil"/>
            </w:tcBorders>
            <w:shd w:val="clear" w:color="auto" w:fill="auto"/>
            <w:vAlign w:val="bottom"/>
            <w:hideMark/>
          </w:tcPr>
          <w:p w14:paraId="463C4C33" w14:textId="77777777" w:rsidR="00480B75" w:rsidRPr="00226892" w:rsidRDefault="00480B75" w:rsidP="002162CB">
            <w:pPr>
              <w:jc w:val="right"/>
              <w:rPr>
                <w:rFonts w:ascii="Arial" w:eastAsia="Times New Roman" w:hAnsi="Arial" w:cs="Arial"/>
                <w:sz w:val="18"/>
                <w:szCs w:val="18"/>
                <w:lang w:val="sk-SK" w:eastAsia="sk-SK"/>
              </w:rPr>
            </w:pPr>
          </w:p>
        </w:tc>
      </w:tr>
      <w:tr w:rsidR="004167DD" w:rsidRPr="00226892" w14:paraId="3D325556" w14:textId="77777777" w:rsidTr="00FE07F6">
        <w:trPr>
          <w:trHeight w:val="227"/>
        </w:trPr>
        <w:tc>
          <w:tcPr>
            <w:tcW w:w="726" w:type="pct"/>
            <w:tcBorders>
              <w:top w:val="nil"/>
              <w:left w:val="nil"/>
              <w:bottom w:val="nil"/>
              <w:right w:val="nil"/>
            </w:tcBorders>
            <w:shd w:val="clear" w:color="auto" w:fill="auto"/>
            <w:vAlign w:val="bottom"/>
            <w:hideMark/>
          </w:tcPr>
          <w:p w14:paraId="58BA4512" w14:textId="77777777" w:rsidR="004167DD" w:rsidRPr="00226892" w:rsidRDefault="004167DD" w:rsidP="004167DD">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KARSIT - MATADOR </w:t>
            </w:r>
            <w:proofErr w:type="spellStart"/>
            <w:r w:rsidRPr="00226892">
              <w:rPr>
                <w:rFonts w:ascii="Arial" w:eastAsia="Times New Roman" w:hAnsi="Arial" w:cs="Arial"/>
                <w:color w:val="000000"/>
                <w:sz w:val="18"/>
                <w:szCs w:val="18"/>
                <w:lang w:val="sk-SK" w:eastAsia="sk-SK"/>
              </w:rPr>
              <w:t>s.r.o</w:t>
            </w:r>
            <w:proofErr w:type="spellEnd"/>
            <w:r w:rsidRPr="00226892">
              <w:rPr>
                <w:rFonts w:ascii="Arial" w:eastAsia="Times New Roman" w:hAnsi="Arial" w:cs="Arial"/>
                <w:color w:val="000000"/>
                <w:sz w:val="18"/>
                <w:szCs w:val="18"/>
                <w:lang w:val="sk-SK" w:eastAsia="sk-SK"/>
              </w:rPr>
              <w:t>.</w:t>
            </w:r>
          </w:p>
        </w:tc>
        <w:tc>
          <w:tcPr>
            <w:tcW w:w="608" w:type="pct"/>
            <w:tcBorders>
              <w:top w:val="nil"/>
              <w:left w:val="nil"/>
              <w:bottom w:val="nil"/>
              <w:right w:val="nil"/>
            </w:tcBorders>
            <w:shd w:val="clear" w:color="auto" w:fill="auto"/>
            <w:vAlign w:val="bottom"/>
            <w:hideMark/>
          </w:tcPr>
          <w:p w14:paraId="6AA5EDCB" w14:textId="6A297C08" w:rsidR="004167DD" w:rsidRPr="00226892" w:rsidRDefault="004167DD" w:rsidP="004167D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Česká republika </w:t>
            </w:r>
          </w:p>
        </w:tc>
        <w:tc>
          <w:tcPr>
            <w:tcW w:w="645" w:type="pct"/>
            <w:tcBorders>
              <w:top w:val="nil"/>
              <w:left w:val="nil"/>
              <w:bottom w:val="nil"/>
              <w:right w:val="nil"/>
            </w:tcBorders>
            <w:shd w:val="clear" w:color="auto" w:fill="auto"/>
            <w:vAlign w:val="bottom"/>
            <w:hideMark/>
          </w:tcPr>
          <w:p w14:paraId="78EB8909" w14:textId="5488313F" w:rsidR="004167DD" w:rsidRPr="00226892" w:rsidRDefault="004167DD" w:rsidP="004167D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august 2003 </w:t>
            </w:r>
          </w:p>
        </w:tc>
        <w:tc>
          <w:tcPr>
            <w:tcW w:w="626" w:type="pct"/>
            <w:tcBorders>
              <w:top w:val="nil"/>
              <w:left w:val="nil"/>
              <w:bottom w:val="nil"/>
              <w:right w:val="nil"/>
            </w:tcBorders>
            <w:shd w:val="clear" w:color="auto" w:fill="auto"/>
            <w:vAlign w:val="bottom"/>
            <w:hideMark/>
          </w:tcPr>
          <w:p w14:paraId="1BA1E516" w14:textId="07D61EC6" w:rsidR="004167DD" w:rsidRPr="00226892" w:rsidRDefault="004167DD" w:rsidP="004167D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spoločný podnik </w:t>
            </w:r>
          </w:p>
        </w:tc>
        <w:tc>
          <w:tcPr>
            <w:tcW w:w="634" w:type="pct"/>
            <w:tcBorders>
              <w:top w:val="nil"/>
              <w:left w:val="nil"/>
              <w:bottom w:val="nil"/>
              <w:right w:val="nil"/>
            </w:tcBorders>
            <w:shd w:val="clear" w:color="auto" w:fill="auto"/>
            <w:vAlign w:val="bottom"/>
            <w:hideMark/>
          </w:tcPr>
          <w:p w14:paraId="668E13E1" w14:textId="331A01ED" w:rsidR="004167DD" w:rsidRPr="00226892" w:rsidRDefault="004167DD" w:rsidP="004167D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649" w:type="pct"/>
            <w:tcBorders>
              <w:top w:val="nil"/>
              <w:left w:val="nil"/>
              <w:bottom w:val="nil"/>
              <w:right w:val="nil"/>
            </w:tcBorders>
            <w:shd w:val="clear" w:color="auto" w:fill="auto"/>
            <w:vAlign w:val="bottom"/>
            <w:hideMark/>
          </w:tcPr>
          <w:p w14:paraId="7EAE2ED3" w14:textId="2D13F462" w:rsidR="004167DD" w:rsidRPr="00226892" w:rsidRDefault="004167DD" w:rsidP="004167D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112" w:type="pct"/>
            <w:tcBorders>
              <w:top w:val="nil"/>
              <w:left w:val="nil"/>
              <w:bottom w:val="nil"/>
              <w:right w:val="nil"/>
            </w:tcBorders>
            <w:shd w:val="clear" w:color="auto" w:fill="auto"/>
            <w:vAlign w:val="bottom"/>
            <w:hideMark/>
          </w:tcPr>
          <w:p w14:paraId="7C0A963B" w14:textId="3C674016" w:rsidR="004167DD" w:rsidRPr="00226892" w:rsidRDefault="004167DD" w:rsidP="004167D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automobilový priemysel </w:t>
            </w:r>
          </w:p>
        </w:tc>
      </w:tr>
      <w:tr w:rsidR="004167DD" w:rsidRPr="00226892" w14:paraId="78A18ED6" w14:textId="77777777" w:rsidTr="00FE07F6">
        <w:trPr>
          <w:trHeight w:val="227"/>
        </w:trPr>
        <w:tc>
          <w:tcPr>
            <w:tcW w:w="726" w:type="pct"/>
            <w:tcBorders>
              <w:top w:val="nil"/>
              <w:left w:val="nil"/>
              <w:bottom w:val="nil"/>
              <w:right w:val="nil"/>
            </w:tcBorders>
            <w:shd w:val="clear" w:color="auto" w:fill="auto"/>
            <w:vAlign w:val="bottom"/>
            <w:hideMark/>
          </w:tcPr>
          <w:p w14:paraId="4F00A07A" w14:textId="77777777" w:rsidR="004167DD" w:rsidRPr="00226892" w:rsidRDefault="004167DD" w:rsidP="004167DD">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DELMA </w:t>
            </w:r>
            <w:proofErr w:type="spellStart"/>
            <w:r w:rsidRPr="00226892">
              <w:rPr>
                <w:rFonts w:ascii="Arial" w:eastAsia="Times New Roman" w:hAnsi="Arial" w:cs="Arial"/>
                <w:color w:val="000000"/>
                <w:sz w:val="18"/>
                <w:szCs w:val="18"/>
                <w:lang w:val="sk-SK" w:eastAsia="sk-SK"/>
              </w:rPr>
              <w:t>s.r.o</w:t>
            </w:r>
            <w:proofErr w:type="spellEnd"/>
            <w:r w:rsidRPr="00226892">
              <w:rPr>
                <w:rFonts w:ascii="Arial" w:eastAsia="Times New Roman" w:hAnsi="Arial" w:cs="Arial"/>
                <w:color w:val="000000"/>
                <w:sz w:val="18"/>
                <w:szCs w:val="18"/>
                <w:lang w:val="sk-SK" w:eastAsia="sk-SK"/>
              </w:rPr>
              <w:t>.</w:t>
            </w:r>
          </w:p>
        </w:tc>
        <w:tc>
          <w:tcPr>
            <w:tcW w:w="608" w:type="pct"/>
            <w:tcBorders>
              <w:top w:val="nil"/>
              <w:left w:val="nil"/>
              <w:bottom w:val="nil"/>
              <w:right w:val="nil"/>
            </w:tcBorders>
            <w:shd w:val="clear" w:color="auto" w:fill="auto"/>
            <w:vAlign w:val="bottom"/>
            <w:hideMark/>
          </w:tcPr>
          <w:p w14:paraId="757E68DC" w14:textId="601261A2" w:rsidR="004167DD" w:rsidRPr="00226892" w:rsidRDefault="004167DD" w:rsidP="004167D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Slovensko </w:t>
            </w:r>
          </w:p>
        </w:tc>
        <w:tc>
          <w:tcPr>
            <w:tcW w:w="645" w:type="pct"/>
            <w:tcBorders>
              <w:top w:val="nil"/>
              <w:left w:val="nil"/>
              <w:bottom w:val="nil"/>
              <w:right w:val="nil"/>
            </w:tcBorders>
            <w:shd w:val="clear" w:color="auto" w:fill="auto"/>
            <w:vAlign w:val="bottom"/>
            <w:hideMark/>
          </w:tcPr>
          <w:p w14:paraId="78AABCA6" w14:textId="3C38754B" w:rsidR="004167DD" w:rsidRPr="00226892" w:rsidRDefault="004167DD" w:rsidP="004167D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júl 2011 </w:t>
            </w:r>
          </w:p>
        </w:tc>
        <w:tc>
          <w:tcPr>
            <w:tcW w:w="626" w:type="pct"/>
            <w:tcBorders>
              <w:top w:val="nil"/>
              <w:left w:val="nil"/>
              <w:bottom w:val="nil"/>
              <w:right w:val="nil"/>
            </w:tcBorders>
            <w:shd w:val="clear" w:color="auto" w:fill="auto"/>
            <w:vAlign w:val="bottom"/>
            <w:hideMark/>
          </w:tcPr>
          <w:p w14:paraId="22D48D64" w14:textId="5CF8983C" w:rsidR="004167DD" w:rsidRPr="00226892" w:rsidRDefault="004167DD" w:rsidP="004167D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spoločný podnik </w:t>
            </w:r>
          </w:p>
        </w:tc>
        <w:tc>
          <w:tcPr>
            <w:tcW w:w="634" w:type="pct"/>
            <w:tcBorders>
              <w:top w:val="nil"/>
              <w:left w:val="nil"/>
              <w:bottom w:val="nil"/>
              <w:right w:val="nil"/>
            </w:tcBorders>
            <w:shd w:val="clear" w:color="auto" w:fill="auto"/>
            <w:vAlign w:val="bottom"/>
            <w:hideMark/>
          </w:tcPr>
          <w:p w14:paraId="0B4674F2" w14:textId="4852CACB" w:rsidR="004167DD" w:rsidRPr="00226892" w:rsidRDefault="004167DD" w:rsidP="004167D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649" w:type="pct"/>
            <w:tcBorders>
              <w:top w:val="nil"/>
              <w:left w:val="nil"/>
              <w:bottom w:val="nil"/>
              <w:right w:val="nil"/>
            </w:tcBorders>
            <w:shd w:val="clear" w:color="auto" w:fill="auto"/>
            <w:vAlign w:val="bottom"/>
            <w:hideMark/>
          </w:tcPr>
          <w:p w14:paraId="2D16DF63" w14:textId="719317C9" w:rsidR="004167DD" w:rsidRPr="00226892" w:rsidRDefault="004167DD" w:rsidP="004167D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112" w:type="pct"/>
            <w:tcBorders>
              <w:top w:val="nil"/>
              <w:left w:val="nil"/>
              <w:bottom w:val="nil"/>
              <w:right w:val="nil"/>
            </w:tcBorders>
            <w:shd w:val="clear" w:color="auto" w:fill="auto"/>
            <w:vAlign w:val="bottom"/>
            <w:hideMark/>
          </w:tcPr>
          <w:p w14:paraId="3748A2FD" w14:textId="47F51568" w:rsidR="004167DD" w:rsidRPr="00226892" w:rsidRDefault="004167DD" w:rsidP="004167D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automobilový priemysel </w:t>
            </w:r>
          </w:p>
        </w:tc>
      </w:tr>
      <w:tr w:rsidR="00480B75" w:rsidRPr="00226892" w14:paraId="37850E11" w14:textId="77777777" w:rsidTr="00FE07F6">
        <w:trPr>
          <w:trHeight w:val="227"/>
        </w:trPr>
        <w:tc>
          <w:tcPr>
            <w:tcW w:w="726" w:type="pct"/>
            <w:tcBorders>
              <w:top w:val="nil"/>
              <w:left w:val="nil"/>
              <w:bottom w:val="nil"/>
              <w:right w:val="nil"/>
            </w:tcBorders>
            <w:shd w:val="clear" w:color="auto" w:fill="auto"/>
            <w:vAlign w:val="bottom"/>
            <w:hideMark/>
          </w:tcPr>
          <w:p w14:paraId="68F19A28" w14:textId="77777777" w:rsidR="00480B75" w:rsidRPr="00226892" w:rsidRDefault="00480B75" w:rsidP="00877E3A">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Pridružené podniky</w:t>
            </w:r>
          </w:p>
        </w:tc>
        <w:tc>
          <w:tcPr>
            <w:tcW w:w="608" w:type="pct"/>
            <w:tcBorders>
              <w:top w:val="nil"/>
              <w:left w:val="nil"/>
              <w:bottom w:val="nil"/>
              <w:right w:val="nil"/>
            </w:tcBorders>
            <w:shd w:val="clear" w:color="auto" w:fill="auto"/>
            <w:vAlign w:val="bottom"/>
            <w:hideMark/>
          </w:tcPr>
          <w:p w14:paraId="6983D7DE" w14:textId="77777777" w:rsidR="00480B75" w:rsidRPr="00226892" w:rsidRDefault="00480B75" w:rsidP="002162CB">
            <w:pPr>
              <w:jc w:val="right"/>
              <w:rPr>
                <w:rFonts w:ascii="Arial" w:eastAsia="Times New Roman" w:hAnsi="Arial" w:cs="Arial"/>
                <w:sz w:val="18"/>
                <w:szCs w:val="18"/>
                <w:lang w:val="sk-SK" w:eastAsia="sk-SK"/>
              </w:rPr>
            </w:pPr>
          </w:p>
        </w:tc>
        <w:tc>
          <w:tcPr>
            <w:tcW w:w="645" w:type="pct"/>
            <w:tcBorders>
              <w:top w:val="nil"/>
              <w:left w:val="nil"/>
              <w:bottom w:val="nil"/>
              <w:right w:val="nil"/>
            </w:tcBorders>
            <w:shd w:val="clear" w:color="auto" w:fill="auto"/>
            <w:vAlign w:val="bottom"/>
            <w:hideMark/>
          </w:tcPr>
          <w:p w14:paraId="6F224D93" w14:textId="77777777" w:rsidR="00480B75" w:rsidRPr="00226892" w:rsidRDefault="00480B75" w:rsidP="002162CB">
            <w:pPr>
              <w:jc w:val="right"/>
              <w:rPr>
                <w:rFonts w:ascii="Arial" w:eastAsia="Times New Roman" w:hAnsi="Arial" w:cs="Arial"/>
                <w:sz w:val="18"/>
                <w:szCs w:val="18"/>
                <w:lang w:val="sk-SK" w:eastAsia="sk-SK"/>
              </w:rPr>
            </w:pPr>
          </w:p>
        </w:tc>
        <w:tc>
          <w:tcPr>
            <w:tcW w:w="626" w:type="pct"/>
            <w:tcBorders>
              <w:top w:val="nil"/>
              <w:left w:val="nil"/>
              <w:bottom w:val="nil"/>
              <w:right w:val="nil"/>
            </w:tcBorders>
            <w:shd w:val="clear" w:color="auto" w:fill="auto"/>
            <w:vAlign w:val="bottom"/>
            <w:hideMark/>
          </w:tcPr>
          <w:p w14:paraId="2E174C5E" w14:textId="77777777" w:rsidR="00480B75" w:rsidRPr="00226892" w:rsidRDefault="00480B75" w:rsidP="002162CB">
            <w:pPr>
              <w:jc w:val="right"/>
              <w:rPr>
                <w:rFonts w:ascii="Arial" w:eastAsia="Times New Roman" w:hAnsi="Arial" w:cs="Arial"/>
                <w:sz w:val="18"/>
                <w:szCs w:val="18"/>
                <w:lang w:val="sk-SK" w:eastAsia="sk-SK"/>
              </w:rPr>
            </w:pPr>
          </w:p>
        </w:tc>
        <w:tc>
          <w:tcPr>
            <w:tcW w:w="634" w:type="pct"/>
            <w:tcBorders>
              <w:top w:val="nil"/>
              <w:left w:val="nil"/>
              <w:bottom w:val="nil"/>
              <w:right w:val="nil"/>
            </w:tcBorders>
            <w:shd w:val="clear" w:color="auto" w:fill="auto"/>
            <w:vAlign w:val="bottom"/>
            <w:hideMark/>
          </w:tcPr>
          <w:p w14:paraId="0B97122E" w14:textId="77777777" w:rsidR="00480B75" w:rsidRPr="00226892" w:rsidRDefault="00480B75" w:rsidP="002162CB">
            <w:pPr>
              <w:jc w:val="right"/>
              <w:rPr>
                <w:rFonts w:ascii="Arial" w:eastAsia="Times New Roman" w:hAnsi="Arial" w:cs="Arial"/>
                <w:sz w:val="18"/>
                <w:szCs w:val="18"/>
                <w:lang w:val="sk-SK" w:eastAsia="sk-SK"/>
              </w:rPr>
            </w:pPr>
          </w:p>
        </w:tc>
        <w:tc>
          <w:tcPr>
            <w:tcW w:w="649" w:type="pct"/>
            <w:tcBorders>
              <w:top w:val="nil"/>
              <w:left w:val="nil"/>
              <w:bottom w:val="nil"/>
              <w:right w:val="nil"/>
            </w:tcBorders>
            <w:shd w:val="clear" w:color="auto" w:fill="auto"/>
            <w:vAlign w:val="bottom"/>
            <w:hideMark/>
          </w:tcPr>
          <w:p w14:paraId="69B1FCB8" w14:textId="77777777" w:rsidR="00480B75" w:rsidRPr="00226892" w:rsidRDefault="00480B75" w:rsidP="002162CB">
            <w:pPr>
              <w:jc w:val="right"/>
              <w:rPr>
                <w:rFonts w:ascii="Arial" w:eastAsia="Times New Roman" w:hAnsi="Arial" w:cs="Arial"/>
                <w:sz w:val="18"/>
                <w:szCs w:val="18"/>
                <w:lang w:val="sk-SK" w:eastAsia="sk-SK"/>
              </w:rPr>
            </w:pPr>
          </w:p>
        </w:tc>
        <w:tc>
          <w:tcPr>
            <w:tcW w:w="1112" w:type="pct"/>
            <w:tcBorders>
              <w:top w:val="nil"/>
              <w:left w:val="nil"/>
              <w:bottom w:val="nil"/>
              <w:right w:val="nil"/>
            </w:tcBorders>
            <w:shd w:val="clear" w:color="auto" w:fill="auto"/>
            <w:vAlign w:val="bottom"/>
            <w:hideMark/>
          </w:tcPr>
          <w:p w14:paraId="647D5725" w14:textId="77777777" w:rsidR="00480B75" w:rsidRPr="00226892" w:rsidRDefault="00480B75" w:rsidP="002162CB">
            <w:pPr>
              <w:jc w:val="right"/>
              <w:rPr>
                <w:rFonts w:ascii="Arial" w:eastAsia="Times New Roman" w:hAnsi="Arial" w:cs="Arial"/>
                <w:sz w:val="18"/>
                <w:szCs w:val="18"/>
                <w:lang w:val="sk-SK" w:eastAsia="sk-SK"/>
              </w:rPr>
            </w:pPr>
          </w:p>
        </w:tc>
      </w:tr>
      <w:tr w:rsidR="00480B75" w:rsidRPr="00226892" w14:paraId="449B69D7" w14:textId="77777777" w:rsidTr="00FE07F6">
        <w:trPr>
          <w:trHeight w:val="227"/>
        </w:trPr>
        <w:tc>
          <w:tcPr>
            <w:tcW w:w="726" w:type="pct"/>
            <w:tcBorders>
              <w:top w:val="nil"/>
              <w:left w:val="nil"/>
              <w:bottom w:val="nil"/>
              <w:right w:val="nil"/>
            </w:tcBorders>
            <w:shd w:val="clear" w:color="auto" w:fill="auto"/>
            <w:vAlign w:val="bottom"/>
            <w:hideMark/>
          </w:tcPr>
          <w:p w14:paraId="06798409" w14:textId="77777777" w:rsidR="00480B75" w:rsidRPr="00226892" w:rsidRDefault="00480B75" w:rsidP="00877E3A">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DV, </w:t>
            </w:r>
            <w:proofErr w:type="spellStart"/>
            <w:r w:rsidRPr="00226892">
              <w:rPr>
                <w:rFonts w:ascii="Arial" w:eastAsia="Times New Roman" w:hAnsi="Arial" w:cs="Arial"/>
                <w:color w:val="000000"/>
                <w:sz w:val="18"/>
                <w:szCs w:val="18"/>
                <w:lang w:val="sk-SK" w:eastAsia="sk-SK"/>
              </w:rPr>
              <w:t>s.r.o</w:t>
            </w:r>
            <w:proofErr w:type="spellEnd"/>
            <w:r w:rsidRPr="00226892">
              <w:rPr>
                <w:rFonts w:ascii="Arial" w:eastAsia="Times New Roman" w:hAnsi="Arial" w:cs="Arial"/>
                <w:color w:val="000000"/>
                <w:sz w:val="18"/>
                <w:szCs w:val="18"/>
                <w:lang w:val="sk-SK" w:eastAsia="sk-SK"/>
              </w:rPr>
              <w:t>.</w:t>
            </w:r>
          </w:p>
        </w:tc>
        <w:tc>
          <w:tcPr>
            <w:tcW w:w="608" w:type="pct"/>
            <w:tcBorders>
              <w:top w:val="nil"/>
              <w:left w:val="nil"/>
              <w:bottom w:val="nil"/>
              <w:right w:val="nil"/>
            </w:tcBorders>
            <w:shd w:val="clear" w:color="auto" w:fill="auto"/>
            <w:vAlign w:val="bottom"/>
            <w:hideMark/>
          </w:tcPr>
          <w:p w14:paraId="4E302251" w14:textId="204307EE" w:rsidR="00480B75" w:rsidRPr="00226892" w:rsidRDefault="00480B75" w:rsidP="002162CB">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Slovensko </w:t>
            </w:r>
          </w:p>
        </w:tc>
        <w:tc>
          <w:tcPr>
            <w:tcW w:w="645" w:type="pct"/>
            <w:tcBorders>
              <w:top w:val="nil"/>
              <w:left w:val="nil"/>
              <w:bottom w:val="nil"/>
              <w:right w:val="nil"/>
            </w:tcBorders>
            <w:shd w:val="clear" w:color="auto" w:fill="auto"/>
            <w:vAlign w:val="bottom"/>
            <w:hideMark/>
          </w:tcPr>
          <w:p w14:paraId="72222E71" w14:textId="4694046F" w:rsidR="00480B75" w:rsidRPr="00226892" w:rsidRDefault="00480B75" w:rsidP="002162CB">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marec 2007 </w:t>
            </w:r>
          </w:p>
        </w:tc>
        <w:tc>
          <w:tcPr>
            <w:tcW w:w="626" w:type="pct"/>
            <w:tcBorders>
              <w:top w:val="nil"/>
              <w:left w:val="nil"/>
              <w:bottom w:val="nil"/>
              <w:right w:val="nil"/>
            </w:tcBorders>
            <w:shd w:val="clear" w:color="auto" w:fill="auto"/>
            <w:vAlign w:val="bottom"/>
            <w:hideMark/>
          </w:tcPr>
          <w:p w14:paraId="1233B53E" w14:textId="377B0166" w:rsidR="00480B75" w:rsidRPr="00226892" w:rsidRDefault="00480B75" w:rsidP="002162CB">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pridružená spoločnosť </w:t>
            </w:r>
          </w:p>
        </w:tc>
        <w:tc>
          <w:tcPr>
            <w:tcW w:w="634" w:type="pct"/>
            <w:tcBorders>
              <w:top w:val="nil"/>
              <w:left w:val="nil"/>
              <w:bottom w:val="nil"/>
              <w:right w:val="nil"/>
            </w:tcBorders>
            <w:shd w:val="clear" w:color="auto" w:fill="auto"/>
            <w:vAlign w:val="bottom"/>
            <w:hideMark/>
          </w:tcPr>
          <w:p w14:paraId="37939933" w14:textId="1A33B642" w:rsidR="00480B75" w:rsidRPr="00226892" w:rsidRDefault="000E508D" w:rsidP="002162CB">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24</w:t>
            </w:r>
            <w:r w:rsidR="00480B75" w:rsidRPr="00226892">
              <w:rPr>
                <w:rFonts w:ascii="Arial" w:eastAsia="Times New Roman" w:hAnsi="Arial" w:cs="Arial"/>
                <w:color w:val="000000"/>
                <w:sz w:val="18"/>
                <w:szCs w:val="18"/>
                <w:lang w:val="sk-SK" w:eastAsia="sk-SK"/>
              </w:rPr>
              <w:t>%</w:t>
            </w:r>
          </w:p>
        </w:tc>
        <w:tc>
          <w:tcPr>
            <w:tcW w:w="649" w:type="pct"/>
            <w:tcBorders>
              <w:top w:val="nil"/>
              <w:left w:val="nil"/>
              <w:bottom w:val="nil"/>
              <w:right w:val="nil"/>
            </w:tcBorders>
            <w:shd w:val="clear" w:color="auto" w:fill="auto"/>
            <w:vAlign w:val="bottom"/>
            <w:hideMark/>
          </w:tcPr>
          <w:p w14:paraId="3CA5FF81" w14:textId="77777777" w:rsidR="00480B75" w:rsidRPr="00226892" w:rsidRDefault="00480B75" w:rsidP="002162CB">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24%</w:t>
            </w:r>
          </w:p>
        </w:tc>
        <w:tc>
          <w:tcPr>
            <w:tcW w:w="1112" w:type="pct"/>
            <w:tcBorders>
              <w:top w:val="nil"/>
              <w:left w:val="nil"/>
              <w:bottom w:val="nil"/>
              <w:right w:val="nil"/>
            </w:tcBorders>
            <w:shd w:val="clear" w:color="auto" w:fill="auto"/>
            <w:vAlign w:val="bottom"/>
            <w:hideMark/>
          </w:tcPr>
          <w:p w14:paraId="2861A248" w14:textId="04F16F30" w:rsidR="00480B75" w:rsidRPr="00226892" w:rsidRDefault="00480B75" w:rsidP="002162CB">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design </w:t>
            </w:r>
          </w:p>
        </w:tc>
      </w:tr>
    </w:tbl>
    <w:p w14:paraId="1E365215" w14:textId="33FCC643" w:rsidR="00837450" w:rsidRPr="00226892" w:rsidRDefault="0083603D" w:rsidP="00877E3A">
      <w:pPr>
        <w:suppressAutoHyphens/>
        <w:jc w:val="both"/>
        <w:rPr>
          <w:rFonts w:ascii="Arial" w:hAnsi="Arial" w:cs="Arial"/>
          <w:szCs w:val="16"/>
        </w:rPr>
      </w:pPr>
      <w:r w:rsidRPr="00226892">
        <w:rPr>
          <w:rFonts w:ascii="Arial" w:hAnsi="Arial" w:cs="Arial"/>
          <w:sz w:val="16"/>
          <w:szCs w:val="16"/>
        </w:rPr>
        <w:t xml:space="preserve"> </w:t>
      </w:r>
      <w:bookmarkEnd w:id="384"/>
      <w:r w:rsidRPr="00226892">
        <w:rPr>
          <w:rFonts w:ascii="Arial" w:hAnsi="Arial" w:cs="Arial"/>
          <w:sz w:val="16"/>
          <w:szCs w:val="16"/>
        </w:rPr>
        <w:t xml:space="preserve"> </w:t>
      </w:r>
      <w:r w:rsidR="00DF2B7E" w:rsidRPr="00226892">
        <w:rPr>
          <w:rFonts w:ascii="Arial" w:hAnsi="Arial" w:cs="Arial"/>
          <w:sz w:val="16"/>
          <w:szCs w:val="16"/>
        </w:rPr>
        <w:t xml:space="preserve"> </w:t>
      </w:r>
    </w:p>
    <w:p w14:paraId="01FEA57C" w14:textId="02182735" w:rsidR="00DF5198" w:rsidRPr="00226892" w:rsidRDefault="00DF5198" w:rsidP="00FE07F6">
      <w:pPr>
        <w:jc w:val="both"/>
        <w:rPr>
          <w:rFonts w:ascii="Arial" w:hAnsi="Arial" w:cs="Arial"/>
          <w:szCs w:val="18"/>
          <w:lang w:val="sk-SK"/>
        </w:rPr>
      </w:pPr>
      <w:r w:rsidRPr="00226892">
        <w:rPr>
          <w:rFonts w:ascii="Arial" w:hAnsi="Arial" w:cs="Arial"/>
          <w:szCs w:val="18"/>
          <w:lang w:val="sk-SK"/>
        </w:rPr>
        <w:lastRenderedPageBreak/>
        <w:t xml:space="preserve">Spoločnosť dňa 20. novembra </w:t>
      </w:r>
      <w:r w:rsidR="00FD3AC5" w:rsidRPr="00226892">
        <w:rPr>
          <w:rFonts w:ascii="Arial" w:hAnsi="Arial" w:cs="Arial"/>
          <w:szCs w:val="18"/>
          <w:lang w:val="sk-SK"/>
        </w:rPr>
        <w:t>2017</w:t>
      </w:r>
      <w:r w:rsidRPr="00226892">
        <w:rPr>
          <w:rFonts w:ascii="Arial" w:hAnsi="Arial" w:cs="Arial"/>
          <w:szCs w:val="18"/>
          <w:lang w:val="sk-SK"/>
        </w:rPr>
        <w:t xml:space="preserve"> predala svoj 50% podiel v spoločnosti DELMA, </w:t>
      </w:r>
      <w:proofErr w:type="spellStart"/>
      <w:r w:rsidRPr="00226892">
        <w:rPr>
          <w:rFonts w:ascii="Arial" w:hAnsi="Arial" w:cs="Arial"/>
          <w:szCs w:val="18"/>
          <w:lang w:val="sk-SK"/>
        </w:rPr>
        <w:t>s.r.o</w:t>
      </w:r>
      <w:proofErr w:type="spellEnd"/>
      <w:r w:rsidRPr="00226892">
        <w:rPr>
          <w:rFonts w:ascii="Arial" w:hAnsi="Arial" w:cs="Arial"/>
          <w:szCs w:val="18"/>
          <w:lang w:val="sk-SK"/>
        </w:rPr>
        <w:t xml:space="preserve">. za 1 tis. EUR. Dňa 20. októbra </w:t>
      </w:r>
      <w:r w:rsidR="00FD3AC5" w:rsidRPr="00226892">
        <w:rPr>
          <w:rFonts w:ascii="Arial" w:hAnsi="Arial" w:cs="Arial"/>
          <w:szCs w:val="18"/>
          <w:lang w:val="sk-SK"/>
        </w:rPr>
        <w:t>2018</w:t>
      </w:r>
      <w:r w:rsidRPr="00226892">
        <w:rPr>
          <w:rFonts w:ascii="Arial" w:hAnsi="Arial" w:cs="Arial"/>
          <w:szCs w:val="18"/>
          <w:lang w:val="sk-SK"/>
        </w:rPr>
        <w:t xml:space="preserve"> Spoločnosť predala taktiež svoj 50% podiel v spoločnosti KARSIT Matador, </w:t>
      </w:r>
      <w:proofErr w:type="spellStart"/>
      <w:r w:rsidRPr="00226892">
        <w:rPr>
          <w:rFonts w:ascii="Arial" w:hAnsi="Arial" w:cs="Arial"/>
          <w:szCs w:val="18"/>
          <w:lang w:val="sk-SK"/>
        </w:rPr>
        <w:t>s.r.o</w:t>
      </w:r>
      <w:proofErr w:type="spellEnd"/>
      <w:r w:rsidRPr="00226892">
        <w:rPr>
          <w:rFonts w:ascii="Arial" w:hAnsi="Arial" w:cs="Arial"/>
          <w:szCs w:val="18"/>
          <w:lang w:val="sk-SK"/>
        </w:rPr>
        <w:t>. za 1 tis. EUR. Celková strata vykázaná vo výkaze ziskov a strát za rok 201</w:t>
      </w:r>
      <w:r w:rsidR="004167DD" w:rsidRPr="00226892">
        <w:rPr>
          <w:rFonts w:ascii="Arial" w:hAnsi="Arial" w:cs="Arial"/>
          <w:szCs w:val="18"/>
          <w:lang w:val="sk-SK"/>
        </w:rPr>
        <w:t>7</w:t>
      </w:r>
      <w:r w:rsidRPr="00226892">
        <w:rPr>
          <w:rFonts w:ascii="Arial" w:hAnsi="Arial" w:cs="Arial"/>
          <w:szCs w:val="18"/>
          <w:lang w:val="sk-SK"/>
        </w:rPr>
        <w:t xml:space="preserve"> je 37 tis. EUR</w:t>
      </w:r>
      <w:r w:rsidR="003C7936" w:rsidRPr="00226892">
        <w:rPr>
          <w:rFonts w:ascii="Arial" w:hAnsi="Arial" w:cs="Arial"/>
          <w:szCs w:val="18"/>
          <w:lang w:val="sk-SK"/>
        </w:rPr>
        <w:t>.</w:t>
      </w:r>
    </w:p>
    <w:p w14:paraId="4808232B" w14:textId="77777777" w:rsidR="00DF5198" w:rsidRPr="00226892" w:rsidRDefault="00DF5198" w:rsidP="00FE07F6">
      <w:pPr>
        <w:jc w:val="both"/>
        <w:rPr>
          <w:rFonts w:ascii="Arial" w:hAnsi="Arial" w:cs="Arial"/>
          <w:szCs w:val="18"/>
          <w:lang w:val="sk-SK"/>
        </w:rPr>
      </w:pPr>
    </w:p>
    <w:p w14:paraId="02534D27" w14:textId="211F4789" w:rsidR="000C458C" w:rsidRPr="00226892" w:rsidRDefault="000C458C" w:rsidP="00FE07F6">
      <w:pPr>
        <w:jc w:val="both"/>
        <w:rPr>
          <w:rFonts w:ascii="Arial" w:hAnsi="Arial" w:cs="Arial"/>
          <w:szCs w:val="18"/>
          <w:lang w:val="sk-SK"/>
        </w:rPr>
      </w:pPr>
      <w:r w:rsidRPr="00226892">
        <w:rPr>
          <w:rFonts w:ascii="Arial" w:hAnsi="Arial" w:cs="Arial"/>
          <w:szCs w:val="18"/>
          <w:lang w:val="sk-SK"/>
        </w:rPr>
        <w:t xml:space="preserve">Spoločnosť dňa 16. júna 2017 obstarala 100% podiel spoločnosti MATADOR </w:t>
      </w:r>
      <w:proofErr w:type="spellStart"/>
      <w:r w:rsidRPr="00226892">
        <w:rPr>
          <w:rFonts w:ascii="Arial" w:hAnsi="Arial" w:cs="Arial"/>
          <w:szCs w:val="18"/>
          <w:lang w:val="sk-SK"/>
        </w:rPr>
        <w:t>Automotive</w:t>
      </w:r>
      <w:proofErr w:type="spellEnd"/>
      <w:r w:rsidRPr="00226892">
        <w:rPr>
          <w:rFonts w:ascii="Arial" w:hAnsi="Arial" w:cs="Arial"/>
          <w:szCs w:val="18"/>
          <w:lang w:val="sk-SK"/>
        </w:rPr>
        <w:t xml:space="preserve"> RUS LLC na základe Zmluvy o predaji podielu na základnom imaní od spoločnosti MATADOR HOLDING, </w:t>
      </w:r>
      <w:proofErr w:type="spellStart"/>
      <w:r w:rsidRPr="00226892">
        <w:rPr>
          <w:rFonts w:ascii="Arial" w:hAnsi="Arial" w:cs="Arial"/>
          <w:szCs w:val="18"/>
          <w:lang w:val="sk-SK"/>
        </w:rPr>
        <w:t>a.s</w:t>
      </w:r>
      <w:proofErr w:type="spellEnd"/>
      <w:r w:rsidRPr="00226892">
        <w:rPr>
          <w:rFonts w:ascii="Arial" w:hAnsi="Arial" w:cs="Arial"/>
          <w:szCs w:val="18"/>
          <w:lang w:val="sk-SK"/>
        </w:rPr>
        <w:t xml:space="preserve">. Celková obstarávacia cena finančnej investície </w:t>
      </w:r>
      <w:r w:rsidR="00DF5198" w:rsidRPr="00226892">
        <w:rPr>
          <w:rFonts w:ascii="Arial" w:hAnsi="Arial" w:cs="Arial"/>
          <w:szCs w:val="18"/>
          <w:lang w:val="sk-SK"/>
        </w:rPr>
        <w:t>vrátane nákladov súvisiacich s obstaraním predstavuje 8 tis. EUR.</w:t>
      </w:r>
    </w:p>
    <w:p w14:paraId="23638F16" w14:textId="77777777" w:rsidR="007F4645" w:rsidRPr="00226892" w:rsidRDefault="007F4645" w:rsidP="00FE07F6">
      <w:pPr>
        <w:rPr>
          <w:rFonts w:ascii="Arial" w:hAnsi="Arial" w:cs="Arial"/>
          <w:szCs w:val="18"/>
          <w:lang w:val="sk-SK"/>
        </w:rPr>
      </w:pPr>
    </w:p>
    <w:p w14:paraId="6CBDB303" w14:textId="77777777" w:rsidR="00C87144" w:rsidRPr="00226892" w:rsidRDefault="00C437F0" w:rsidP="00FE07F6">
      <w:pPr>
        <w:jc w:val="both"/>
        <w:rPr>
          <w:rFonts w:ascii="Arial" w:hAnsi="Arial" w:cs="Arial"/>
          <w:szCs w:val="18"/>
          <w:lang w:val="sk-SK"/>
        </w:rPr>
      </w:pPr>
      <w:r w:rsidRPr="00226892">
        <w:rPr>
          <w:rFonts w:ascii="Arial" w:hAnsi="Arial" w:cs="Arial"/>
          <w:szCs w:val="18"/>
          <w:lang w:val="sk-SK"/>
        </w:rPr>
        <w:t xml:space="preserve">V roku </w:t>
      </w:r>
      <w:r w:rsidR="00FD3AC5" w:rsidRPr="00226892">
        <w:rPr>
          <w:rFonts w:ascii="Arial" w:hAnsi="Arial" w:cs="Arial"/>
          <w:szCs w:val="18"/>
          <w:lang w:val="sk-SK"/>
        </w:rPr>
        <w:t>201</w:t>
      </w:r>
      <w:r w:rsidR="004167DD" w:rsidRPr="00226892">
        <w:rPr>
          <w:rFonts w:ascii="Arial" w:hAnsi="Arial" w:cs="Arial"/>
          <w:szCs w:val="18"/>
          <w:lang w:val="sk-SK"/>
        </w:rPr>
        <w:t>8, ani v roku 2017</w:t>
      </w:r>
      <w:r w:rsidR="00AD1766" w:rsidRPr="00226892">
        <w:rPr>
          <w:rFonts w:ascii="Arial" w:hAnsi="Arial" w:cs="Arial"/>
          <w:szCs w:val="18"/>
          <w:lang w:val="sk-SK"/>
        </w:rPr>
        <w:t xml:space="preserve"> </w:t>
      </w:r>
      <w:r w:rsidRPr="00226892">
        <w:rPr>
          <w:rFonts w:ascii="Arial" w:hAnsi="Arial" w:cs="Arial"/>
          <w:szCs w:val="18"/>
          <w:lang w:val="sk-SK"/>
        </w:rPr>
        <w:t xml:space="preserve">neboli identifikované indikátory poklesu hodnoty </w:t>
      </w:r>
      <w:r w:rsidR="001B5ACA" w:rsidRPr="00226892">
        <w:rPr>
          <w:rFonts w:ascii="Arial" w:hAnsi="Arial" w:cs="Arial"/>
          <w:szCs w:val="18"/>
          <w:lang w:val="sk-SK"/>
        </w:rPr>
        <w:t>finančných investícií v spoločných a pridružených podnikoch.</w:t>
      </w:r>
    </w:p>
    <w:p w14:paraId="7F6916A0" w14:textId="44897725" w:rsidR="00C905D8" w:rsidRPr="00226892" w:rsidRDefault="00C905D8" w:rsidP="00FE07F6">
      <w:pPr>
        <w:jc w:val="both"/>
        <w:rPr>
          <w:rFonts w:ascii="Arial" w:hAnsi="Arial" w:cs="Arial"/>
          <w:lang w:val="sk-SK"/>
        </w:rPr>
      </w:pPr>
    </w:p>
    <w:p w14:paraId="72B84648" w14:textId="5706C485" w:rsidR="00730E03" w:rsidRPr="00226892" w:rsidRDefault="00C437F0" w:rsidP="00FE07F6">
      <w:pPr>
        <w:jc w:val="both"/>
        <w:rPr>
          <w:rFonts w:ascii="Arial" w:hAnsi="Arial" w:cs="Arial"/>
          <w:lang w:val="sk-SK"/>
        </w:rPr>
      </w:pPr>
      <w:r w:rsidRPr="00226892">
        <w:rPr>
          <w:rFonts w:ascii="Arial" w:hAnsi="Arial" w:cs="Arial"/>
          <w:lang w:val="sk-SK"/>
        </w:rPr>
        <w:t>Výsledok hospodárenia, aktíva a záväzky pridružených spoločností a spoločných podnikov Skupiny, z ktorých žiadna nie je kótovaná na burze a podiel pripadajúci na Skupinu sú nasledovné:</w:t>
      </w:r>
    </w:p>
    <w:p w14:paraId="42600F55" w14:textId="03C846EE" w:rsidR="00BB4AE1" w:rsidRPr="00226892" w:rsidRDefault="00BB4AE1" w:rsidP="00FE07F6">
      <w:pPr>
        <w:jc w:val="both"/>
        <w:rPr>
          <w:rFonts w:ascii="Arial" w:hAnsi="Arial" w:cs="Arial"/>
          <w:lang w:val="sk-SK"/>
        </w:rPr>
      </w:pPr>
    </w:p>
    <w:p w14:paraId="7B229CC9" w14:textId="0365ED14" w:rsidR="00877E3A" w:rsidRPr="00226892" w:rsidRDefault="00BB4AE1" w:rsidP="00FE07F6">
      <w:pPr>
        <w:jc w:val="both"/>
        <w:rPr>
          <w:rFonts w:ascii="Arial" w:hAnsi="Arial" w:cs="Arial"/>
          <w:sz w:val="18"/>
          <w:szCs w:val="18"/>
          <w:lang w:val="sk-SK" w:eastAsia="sk-SK"/>
        </w:rPr>
      </w:pPr>
      <w:r w:rsidRPr="00226892">
        <w:rPr>
          <w:rFonts w:ascii="Arial" w:hAnsi="Arial" w:cs="Arial"/>
          <w:szCs w:val="18"/>
          <w:lang w:val="sk-SK"/>
        </w:rPr>
        <w:t xml:space="preserve">Rok </w:t>
      </w:r>
      <w:r w:rsidR="00FD3AC5" w:rsidRPr="00226892">
        <w:rPr>
          <w:rFonts w:ascii="Arial" w:hAnsi="Arial" w:cs="Arial"/>
          <w:szCs w:val="18"/>
          <w:lang w:val="sk-SK"/>
        </w:rPr>
        <w:t>201</w:t>
      </w:r>
      <w:r w:rsidR="00922B65" w:rsidRPr="00226892">
        <w:rPr>
          <w:rFonts w:ascii="Arial" w:hAnsi="Arial" w:cs="Arial"/>
          <w:szCs w:val="18"/>
          <w:lang w:val="sk-SK"/>
        </w:rPr>
        <w:t>7</w:t>
      </w:r>
      <w:bookmarkStart w:id="386" w:name="FWT_AssAndJointVentFinDataCY"/>
      <w:r w:rsidRPr="00226892">
        <w:rPr>
          <w:rFonts w:ascii="Arial" w:hAnsi="Arial" w:cs="Arial"/>
          <w:sz w:val="18"/>
          <w:szCs w:val="18"/>
          <w:lang w:val="sk-SK" w:eastAsia="sk-SK"/>
        </w:rPr>
        <w:t xml:space="preserve"> </w:t>
      </w:r>
    </w:p>
    <w:tbl>
      <w:tblPr>
        <w:tblW w:w="5001" w:type="pct"/>
        <w:tblCellMar>
          <w:left w:w="70" w:type="dxa"/>
          <w:right w:w="70" w:type="dxa"/>
        </w:tblCellMar>
        <w:tblLook w:val="04A0" w:firstRow="1" w:lastRow="0" w:firstColumn="1" w:lastColumn="0" w:noHBand="0" w:noVBand="1"/>
      </w:tblPr>
      <w:tblGrid>
        <w:gridCol w:w="1541"/>
        <w:gridCol w:w="197"/>
        <w:gridCol w:w="893"/>
        <w:gridCol w:w="160"/>
        <w:gridCol w:w="1035"/>
        <w:gridCol w:w="168"/>
        <w:gridCol w:w="1008"/>
        <w:gridCol w:w="168"/>
        <w:gridCol w:w="1064"/>
        <w:gridCol w:w="210"/>
        <w:gridCol w:w="1035"/>
        <w:gridCol w:w="168"/>
        <w:gridCol w:w="704"/>
        <w:gridCol w:w="189"/>
        <w:gridCol w:w="1101"/>
      </w:tblGrid>
      <w:tr w:rsidR="006836EB" w:rsidRPr="00226892" w14:paraId="36849F74" w14:textId="77777777" w:rsidTr="006836EB">
        <w:trPr>
          <w:trHeight w:val="227"/>
        </w:trPr>
        <w:tc>
          <w:tcPr>
            <w:tcW w:w="799" w:type="pct"/>
            <w:tcBorders>
              <w:top w:val="nil"/>
              <w:left w:val="nil"/>
              <w:bottom w:val="single" w:sz="4" w:space="0" w:color="auto"/>
              <w:right w:val="nil"/>
            </w:tcBorders>
            <w:shd w:val="clear" w:color="auto" w:fill="auto"/>
            <w:vAlign w:val="bottom"/>
            <w:hideMark/>
          </w:tcPr>
          <w:p w14:paraId="79E5D63C" w14:textId="77777777" w:rsidR="00877E3A" w:rsidRPr="00226892" w:rsidRDefault="00877E3A" w:rsidP="00877E3A">
            <w:pPr>
              <w:rPr>
                <w:rFonts w:ascii="Arial" w:eastAsia="Times New Roman" w:hAnsi="Arial" w:cs="Arial"/>
                <w:b/>
                <w:bCs/>
                <w:color w:val="000000"/>
                <w:sz w:val="16"/>
                <w:szCs w:val="16"/>
                <w:lang w:val="sk-SK" w:eastAsia="sk-SK"/>
              </w:rPr>
            </w:pPr>
            <w:bookmarkStart w:id="387" w:name="RANGE!C4:Q14"/>
            <w:r w:rsidRPr="00226892">
              <w:rPr>
                <w:rFonts w:ascii="Arial" w:eastAsia="Times New Roman" w:hAnsi="Arial" w:cs="Arial"/>
                <w:b/>
                <w:bCs/>
                <w:color w:val="000000"/>
                <w:sz w:val="16"/>
                <w:szCs w:val="16"/>
                <w:lang w:val="sk-SK" w:eastAsia="sk-SK"/>
              </w:rPr>
              <w:t>Názov spoločnosti</w:t>
            </w:r>
            <w:bookmarkEnd w:id="387"/>
          </w:p>
        </w:tc>
        <w:tc>
          <w:tcPr>
            <w:tcW w:w="102" w:type="pct"/>
            <w:tcBorders>
              <w:top w:val="nil"/>
              <w:left w:val="nil"/>
              <w:bottom w:val="single" w:sz="4" w:space="0" w:color="auto"/>
              <w:right w:val="nil"/>
            </w:tcBorders>
            <w:shd w:val="clear" w:color="auto" w:fill="auto"/>
            <w:vAlign w:val="bottom"/>
            <w:hideMark/>
          </w:tcPr>
          <w:p w14:paraId="0158A886" w14:textId="77777777" w:rsidR="00877E3A" w:rsidRPr="00226892" w:rsidRDefault="00877E3A" w:rsidP="00877E3A">
            <w:pPr>
              <w:rPr>
                <w:rFonts w:ascii="Arial" w:eastAsia="Times New Roman" w:hAnsi="Arial" w:cs="Arial"/>
                <w:color w:val="000000"/>
                <w:sz w:val="16"/>
                <w:szCs w:val="16"/>
                <w:lang w:val="sk-SK" w:eastAsia="sk-SK"/>
              </w:rPr>
            </w:pPr>
            <w:r w:rsidRPr="00226892">
              <w:rPr>
                <w:rFonts w:ascii="Arial" w:eastAsia="Times New Roman" w:hAnsi="Arial" w:cs="Arial"/>
                <w:color w:val="000000"/>
                <w:sz w:val="16"/>
                <w:szCs w:val="16"/>
                <w:lang w:val="sk-SK" w:eastAsia="sk-SK"/>
              </w:rPr>
              <w:t> </w:t>
            </w:r>
          </w:p>
        </w:tc>
        <w:tc>
          <w:tcPr>
            <w:tcW w:w="463" w:type="pct"/>
            <w:tcBorders>
              <w:top w:val="nil"/>
              <w:left w:val="nil"/>
              <w:bottom w:val="single" w:sz="4" w:space="0" w:color="auto"/>
              <w:right w:val="nil"/>
            </w:tcBorders>
            <w:shd w:val="clear" w:color="auto" w:fill="auto"/>
            <w:vAlign w:val="bottom"/>
            <w:hideMark/>
          </w:tcPr>
          <w:p w14:paraId="4145BF5F" w14:textId="0C1BD055" w:rsidR="00877E3A" w:rsidRPr="00226892" w:rsidRDefault="00877E3A" w:rsidP="006836EB">
            <w:pPr>
              <w:ind w:left="-57" w:right="-57"/>
              <w:jc w:val="center"/>
              <w:rPr>
                <w:rFonts w:ascii="Arial" w:eastAsia="Times New Roman" w:hAnsi="Arial" w:cs="Arial"/>
                <w:b/>
                <w:bCs/>
                <w:color w:val="000000"/>
                <w:sz w:val="16"/>
                <w:szCs w:val="16"/>
                <w:lang w:val="sk-SK" w:eastAsia="sk-SK"/>
              </w:rPr>
            </w:pPr>
            <w:r w:rsidRPr="00226892">
              <w:rPr>
                <w:rFonts w:ascii="Arial" w:eastAsia="Times New Roman" w:hAnsi="Arial" w:cs="Arial"/>
                <w:b/>
                <w:bCs/>
                <w:color w:val="000000"/>
                <w:sz w:val="16"/>
                <w:szCs w:val="16"/>
                <w:lang w:val="sk-SK" w:eastAsia="sk-SK"/>
              </w:rPr>
              <w:t>Neobežné aktíva</w:t>
            </w:r>
          </w:p>
        </w:tc>
        <w:tc>
          <w:tcPr>
            <w:tcW w:w="83" w:type="pct"/>
            <w:tcBorders>
              <w:top w:val="nil"/>
              <w:left w:val="nil"/>
              <w:bottom w:val="single" w:sz="4" w:space="0" w:color="auto"/>
              <w:right w:val="nil"/>
            </w:tcBorders>
            <w:shd w:val="clear" w:color="auto" w:fill="auto"/>
            <w:vAlign w:val="bottom"/>
            <w:hideMark/>
          </w:tcPr>
          <w:p w14:paraId="2BCB7D2D" w14:textId="2214071A" w:rsidR="00877E3A" w:rsidRPr="00226892" w:rsidRDefault="00877E3A" w:rsidP="006836EB">
            <w:pPr>
              <w:ind w:left="-57" w:right="-57"/>
              <w:jc w:val="center"/>
              <w:rPr>
                <w:rFonts w:ascii="Arial" w:eastAsia="Times New Roman" w:hAnsi="Arial" w:cs="Arial"/>
                <w:color w:val="000000"/>
                <w:sz w:val="16"/>
                <w:szCs w:val="16"/>
                <w:lang w:val="sk-SK" w:eastAsia="sk-SK"/>
              </w:rPr>
            </w:pPr>
          </w:p>
        </w:tc>
        <w:tc>
          <w:tcPr>
            <w:tcW w:w="537" w:type="pct"/>
            <w:tcBorders>
              <w:top w:val="nil"/>
              <w:left w:val="nil"/>
              <w:bottom w:val="single" w:sz="4" w:space="0" w:color="auto"/>
              <w:right w:val="nil"/>
            </w:tcBorders>
            <w:shd w:val="clear" w:color="auto" w:fill="auto"/>
            <w:vAlign w:val="bottom"/>
            <w:hideMark/>
          </w:tcPr>
          <w:p w14:paraId="388DE83D" w14:textId="2B723D7C" w:rsidR="00877E3A" w:rsidRPr="00226892" w:rsidRDefault="00877E3A" w:rsidP="006836EB">
            <w:pPr>
              <w:ind w:left="-57" w:right="-57"/>
              <w:jc w:val="center"/>
              <w:rPr>
                <w:rFonts w:ascii="Arial" w:eastAsia="Times New Roman" w:hAnsi="Arial" w:cs="Arial"/>
                <w:b/>
                <w:bCs/>
                <w:color w:val="000000"/>
                <w:sz w:val="16"/>
                <w:szCs w:val="16"/>
                <w:lang w:val="sk-SK" w:eastAsia="sk-SK"/>
              </w:rPr>
            </w:pPr>
            <w:r w:rsidRPr="00226892">
              <w:rPr>
                <w:rFonts w:ascii="Arial" w:eastAsia="Times New Roman" w:hAnsi="Arial" w:cs="Arial"/>
                <w:b/>
                <w:bCs/>
                <w:color w:val="000000"/>
                <w:sz w:val="16"/>
                <w:szCs w:val="16"/>
                <w:lang w:val="sk-SK" w:eastAsia="sk-SK"/>
              </w:rPr>
              <w:t>Obežné aktíva</w:t>
            </w:r>
          </w:p>
        </w:tc>
        <w:tc>
          <w:tcPr>
            <w:tcW w:w="87" w:type="pct"/>
            <w:tcBorders>
              <w:top w:val="nil"/>
              <w:left w:val="nil"/>
              <w:bottom w:val="single" w:sz="4" w:space="0" w:color="auto"/>
              <w:right w:val="nil"/>
            </w:tcBorders>
            <w:shd w:val="clear" w:color="auto" w:fill="auto"/>
            <w:vAlign w:val="bottom"/>
            <w:hideMark/>
          </w:tcPr>
          <w:p w14:paraId="37132B2D" w14:textId="58AD87B3" w:rsidR="00877E3A" w:rsidRPr="00226892" w:rsidRDefault="00877E3A" w:rsidP="006836EB">
            <w:pPr>
              <w:ind w:left="-57" w:right="-57"/>
              <w:jc w:val="center"/>
              <w:rPr>
                <w:rFonts w:ascii="Arial" w:eastAsia="Times New Roman" w:hAnsi="Arial" w:cs="Arial"/>
                <w:b/>
                <w:bCs/>
                <w:color w:val="000000"/>
                <w:sz w:val="16"/>
                <w:szCs w:val="16"/>
                <w:lang w:val="sk-SK" w:eastAsia="sk-SK"/>
              </w:rPr>
            </w:pPr>
          </w:p>
        </w:tc>
        <w:tc>
          <w:tcPr>
            <w:tcW w:w="523" w:type="pct"/>
            <w:tcBorders>
              <w:top w:val="nil"/>
              <w:left w:val="nil"/>
              <w:bottom w:val="single" w:sz="4" w:space="0" w:color="auto"/>
              <w:right w:val="nil"/>
            </w:tcBorders>
            <w:shd w:val="clear" w:color="auto" w:fill="auto"/>
            <w:vAlign w:val="bottom"/>
            <w:hideMark/>
          </w:tcPr>
          <w:p w14:paraId="756C2DF8" w14:textId="55370CB8" w:rsidR="00877E3A" w:rsidRPr="00226892" w:rsidRDefault="00877E3A" w:rsidP="006836EB">
            <w:pPr>
              <w:ind w:left="-57" w:right="-57"/>
              <w:jc w:val="center"/>
              <w:rPr>
                <w:rFonts w:ascii="Arial" w:eastAsia="Times New Roman" w:hAnsi="Arial" w:cs="Arial"/>
                <w:b/>
                <w:bCs/>
                <w:color w:val="000000"/>
                <w:sz w:val="16"/>
                <w:szCs w:val="16"/>
                <w:lang w:val="sk-SK" w:eastAsia="sk-SK"/>
              </w:rPr>
            </w:pPr>
            <w:r w:rsidRPr="00226892">
              <w:rPr>
                <w:rFonts w:ascii="Arial" w:eastAsia="Times New Roman" w:hAnsi="Arial" w:cs="Arial"/>
                <w:b/>
                <w:bCs/>
                <w:color w:val="000000"/>
                <w:sz w:val="16"/>
                <w:szCs w:val="16"/>
                <w:lang w:val="sk-SK" w:eastAsia="sk-SK"/>
              </w:rPr>
              <w:t>Dlhodobé záväzky</w:t>
            </w:r>
          </w:p>
        </w:tc>
        <w:tc>
          <w:tcPr>
            <w:tcW w:w="87" w:type="pct"/>
            <w:tcBorders>
              <w:top w:val="nil"/>
              <w:left w:val="nil"/>
              <w:bottom w:val="single" w:sz="4" w:space="0" w:color="auto"/>
              <w:right w:val="nil"/>
            </w:tcBorders>
            <w:shd w:val="clear" w:color="auto" w:fill="auto"/>
            <w:vAlign w:val="bottom"/>
            <w:hideMark/>
          </w:tcPr>
          <w:p w14:paraId="522C6E04" w14:textId="3BEFDF3D" w:rsidR="00877E3A" w:rsidRPr="00226892" w:rsidRDefault="00877E3A" w:rsidP="006836EB">
            <w:pPr>
              <w:ind w:left="-57" w:right="-57"/>
              <w:jc w:val="center"/>
              <w:rPr>
                <w:rFonts w:ascii="Arial" w:eastAsia="Times New Roman" w:hAnsi="Arial" w:cs="Arial"/>
                <w:b/>
                <w:bCs/>
                <w:color w:val="000000"/>
                <w:sz w:val="16"/>
                <w:szCs w:val="16"/>
                <w:lang w:val="sk-SK" w:eastAsia="sk-SK"/>
              </w:rPr>
            </w:pPr>
          </w:p>
        </w:tc>
        <w:tc>
          <w:tcPr>
            <w:tcW w:w="552" w:type="pct"/>
            <w:tcBorders>
              <w:top w:val="nil"/>
              <w:left w:val="nil"/>
              <w:bottom w:val="single" w:sz="4" w:space="0" w:color="auto"/>
              <w:right w:val="nil"/>
            </w:tcBorders>
            <w:shd w:val="clear" w:color="auto" w:fill="auto"/>
            <w:vAlign w:val="bottom"/>
            <w:hideMark/>
          </w:tcPr>
          <w:p w14:paraId="0D857117" w14:textId="3A9DD25E" w:rsidR="00877E3A" w:rsidRPr="00226892" w:rsidRDefault="00877E3A" w:rsidP="006836EB">
            <w:pPr>
              <w:ind w:left="-57" w:right="-57"/>
              <w:jc w:val="center"/>
              <w:rPr>
                <w:rFonts w:ascii="Arial" w:eastAsia="Times New Roman" w:hAnsi="Arial" w:cs="Arial"/>
                <w:b/>
                <w:bCs/>
                <w:color w:val="000000"/>
                <w:sz w:val="16"/>
                <w:szCs w:val="16"/>
                <w:lang w:val="sk-SK" w:eastAsia="sk-SK"/>
              </w:rPr>
            </w:pPr>
            <w:r w:rsidRPr="00226892">
              <w:rPr>
                <w:rFonts w:ascii="Arial" w:eastAsia="Times New Roman" w:hAnsi="Arial" w:cs="Arial"/>
                <w:b/>
                <w:bCs/>
                <w:color w:val="000000"/>
                <w:sz w:val="16"/>
                <w:szCs w:val="16"/>
                <w:lang w:val="sk-SK" w:eastAsia="sk-SK"/>
              </w:rPr>
              <w:t>Krátkodobé záväzky</w:t>
            </w:r>
          </w:p>
        </w:tc>
        <w:tc>
          <w:tcPr>
            <w:tcW w:w="109" w:type="pct"/>
            <w:tcBorders>
              <w:top w:val="nil"/>
              <w:left w:val="nil"/>
              <w:bottom w:val="single" w:sz="4" w:space="0" w:color="auto"/>
              <w:right w:val="nil"/>
            </w:tcBorders>
            <w:shd w:val="clear" w:color="auto" w:fill="auto"/>
            <w:vAlign w:val="bottom"/>
            <w:hideMark/>
          </w:tcPr>
          <w:p w14:paraId="53502678" w14:textId="539C2C33" w:rsidR="00877E3A" w:rsidRPr="00226892" w:rsidRDefault="00877E3A" w:rsidP="006836EB">
            <w:pPr>
              <w:ind w:left="-57" w:right="-57"/>
              <w:jc w:val="center"/>
              <w:rPr>
                <w:rFonts w:ascii="Arial" w:eastAsia="Times New Roman" w:hAnsi="Arial" w:cs="Arial"/>
                <w:b/>
                <w:bCs/>
                <w:color w:val="000000"/>
                <w:sz w:val="16"/>
                <w:szCs w:val="16"/>
                <w:lang w:val="sk-SK" w:eastAsia="sk-SK"/>
              </w:rPr>
            </w:pPr>
          </w:p>
        </w:tc>
        <w:tc>
          <w:tcPr>
            <w:tcW w:w="537" w:type="pct"/>
            <w:tcBorders>
              <w:top w:val="nil"/>
              <w:left w:val="nil"/>
              <w:bottom w:val="single" w:sz="4" w:space="0" w:color="auto"/>
              <w:right w:val="nil"/>
            </w:tcBorders>
            <w:shd w:val="clear" w:color="auto" w:fill="auto"/>
            <w:vAlign w:val="bottom"/>
            <w:hideMark/>
          </w:tcPr>
          <w:p w14:paraId="44E09C64" w14:textId="77777777" w:rsidR="00877E3A" w:rsidRPr="00226892" w:rsidRDefault="00877E3A" w:rsidP="006836EB">
            <w:pPr>
              <w:ind w:left="-57" w:right="-57"/>
              <w:jc w:val="center"/>
              <w:rPr>
                <w:rFonts w:ascii="Arial" w:eastAsia="Times New Roman" w:hAnsi="Arial" w:cs="Arial"/>
                <w:b/>
                <w:bCs/>
                <w:color w:val="000000"/>
                <w:sz w:val="16"/>
                <w:szCs w:val="16"/>
                <w:lang w:val="sk-SK" w:eastAsia="sk-SK"/>
              </w:rPr>
            </w:pPr>
            <w:r w:rsidRPr="00226892">
              <w:rPr>
                <w:rFonts w:ascii="Arial" w:eastAsia="Times New Roman" w:hAnsi="Arial" w:cs="Arial"/>
                <w:b/>
                <w:bCs/>
                <w:color w:val="000000"/>
                <w:sz w:val="16"/>
                <w:szCs w:val="16"/>
                <w:lang w:val="sk-SK" w:eastAsia="sk-SK"/>
              </w:rPr>
              <w:t>Čisté aktíva</w:t>
            </w:r>
          </w:p>
        </w:tc>
        <w:tc>
          <w:tcPr>
            <w:tcW w:w="87" w:type="pct"/>
            <w:tcBorders>
              <w:top w:val="nil"/>
              <w:left w:val="nil"/>
              <w:bottom w:val="single" w:sz="4" w:space="0" w:color="auto"/>
              <w:right w:val="nil"/>
            </w:tcBorders>
            <w:shd w:val="clear" w:color="auto" w:fill="auto"/>
            <w:vAlign w:val="bottom"/>
            <w:hideMark/>
          </w:tcPr>
          <w:p w14:paraId="77DC7726" w14:textId="29588861" w:rsidR="00877E3A" w:rsidRPr="00226892" w:rsidRDefault="00877E3A" w:rsidP="006836EB">
            <w:pPr>
              <w:ind w:left="-57" w:right="-57"/>
              <w:jc w:val="center"/>
              <w:rPr>
                <w:rFonts w:ascii="Arial" w:eastAsia="Times New Roman" w:hAnsi="Arial" w:cs="Arial"/>
                <w:b/>
                <w:bCs/>
                <w:color w:val="000000"/>
                <w:sz w:val="16"/>
                <w:szCs w:val="16"/>
                <w:lang w:val="sk-SK" w:eastAsia="sk-SK"/>
              </w:rPr>
            </w:pPr>
          </w:p>
        </w:tc>
        <w:tc>
          <w:tcPr>
            <w:tcW w:w="365" w:type="pct"/>
            <w:tcBorders>
              <w:top w:val="nil"/>
              <w:left w:val="nil"/>
              <w:bottom w:val="single" w:sz="4" w:space="0" w:color="auto"/>
              <w:right w:val="nil"/>
            </w:tcBorders>
            <w:shd w:val="clear" w:color="auto" w:fill="auto"/>
            <w:vAlign w:val="bottom"/>
            <w:hideMark/>
          </w:tcPr>
          <w:p w14:paraId="5FD3F04D" w14:textId="77777777" w:rsidR="00877E3A" w:rsidRPr="00226892" w:rsidRDefault="00877E3A" w:rsidP="006836EB">
            <w:pPr>
              <w:ind w:left="-57" w:right="-57"/>
              <w:jc w:val="center"/>
              <w:rPr>
                <w:rFonts w:ascii="Arial" w:eastAsia="Times New Roman" w:hAnsi="Arial" w:cs="Arial"/>
                <w:b/>
                <w:bCs/>
                <w:color w:val="000000"/>
                <w:sz w:val="16"/>
                <w:szCs w:val="16"/>
                <w:lang w:val="sk-SK" w:eastAsia="sk-SK"/>
              </w:rPr>
            </w:pPr>
            <w:r w:rsidRPr="00226892">
              <w:rPr>
                <w:rFonts w:ascii="Arial" w:eastAsia="Times New Roman" w:hAnsi="Arial" w:cs="Arial"/>
                <w:b/>
                <w:bCs/>
                <w:color w:val="000000"/>
                <w:sz w:val="16"/>
                <w:szCs w:val="16"/>
                <w:lang w:val="sk-SK" w:eastAsia="sk-SK"/>
              </w:rPr>
              <w:t>Zisk / (-) strata</w:t>
            </w:r>
          </w:p>
        </w:tc>
        <w:tc>
          <w:tcPr>
            <w:tcW w:w="98" w:type="pct"/>
            <w:tcBorders>
              <w:top w:val="nil"/>
              <w:left w:val="nil"/>
              <w:bottom w:val="single" w:sz="4" w:space="0" w:color="auto"/>
              <w:right w:val="nil"/>
            </w:tcBorders>
            <w:shd w:val="clear" w:color="auto" w:fill="auto"/>
            <w:vAlign w:val="bottom"/>
            <w:hideMark/>
          </w:tcPr>
          <w:p w14:paraId="60B6B1C8" w14:textId="4474C1A3" w:rsidR="00877E3A" w:rsidRPr="00226892" w:rsidRDefault="00877E3A" w:rsidP="006836EB">
            <w:pPr>
              <w:ind w:left="-57" w:right="-57"/>
              <w:jc w:val="center"/>
              <w:rPr>
                <w:rFonts w:ascii="Arial" w:eastAsia="Times New Roman" w:hAnsi="Arial" w:cs="Arial"/>
                <w:b/>
                <w:bCs/>
                <w:color w:val="000000"/>
                <w:sz w:val="16"/>
                <w:szCs w:val="16"/>
                <w:lang w:val="sk-SK" w:eastAsia="sk-SK"/>
              </w:rPr>
            </w:pPr>
          </w:p>
        </w:tc>
        <w:tc>
          <w:tcPr>
            <w:tcW w:w="572" w:type="pct"/>
            <w:tcBorders>
              <w:top w:val="nil"/>
              <w:left w:val="nil"/>
              <w:bottom w:val="single" w:sz="4" w:space="0" w:color="auto"/>
              <w:right w:val="nil"/>
            </w:tcBorders>
            <w:shd w:val="clear" w:color="auto" w:fill="auto"/>
            <w:vAlign w:val="bottom"/>
            <w:hideMark/>
          </w:tcPr>
          <w:p w14:paraId="5BCF3081" w14:textId="5F04A888" w:rsidR="00877E3A" w:rsidRPr="00226892" w:rsidRDefault="00877E3A" w:rsidP="006836EB">
            <w:pPr>
              <w:ind w:left="-57" w:right="-57"/>
              <w:jc w:val="center"/>
              <w:rPr>
                <w:rFonts w:ascii="Arial" w:eastAsia="Times New Roman" w:hAnsi="Arial" w:cs="Arial"/>
                <w:b/>
                <w:bCs/>
                <w:color w:val="000000"/>
                <w:sz w:val="16"/>
                <w:szCs w:val="16"/>
                <w:lang w:val="sk-SK" w:eastAsia="sk-SK"/>
              </w:rPr>
            </w:pPr>
            <w:r w:rsidRPr="00226892">
              <w:rPr>
                <w:rFonts w:ascii="Arial" w:eastAsia="Times New Roman" w:hAnsi="Arial" w:cs="Arial"/>
                <w:b/>
                <w:bCs/>
                <w:color w:val="000000"/>
                <w:sz w:val="16"/>
                <w:szCs w:val="16"/>
                <w:lang w:val="sk-SK" w:eastAsia="sk-SK"/>
              </w:rPr>
              <w:t>Majetkový podiel v % k 31-12-</w:t>
            </w:r>
            <w:r w:rsidR="00FD3AC5" w:rsidRPr="00226892">
              <w:rPr>
                <w:rFonts w:ascii="Arial" w:eastAsia="Times New Roman" w:hAnsi="Arial" w:cs="Arial"/>
                <w:b/>
                <w:bCs/>
                <w:color w:val="000000"/>
                <w:sz w:val="16"/>
                <w:szCs w:val="16"/>
                <w:lang w:val="sk-SK" w:eastAsia="sk-SK"/>
              </w:rPr>
              <w:t>2018</w:t>
            </w:r>
          </w:p>
        </w:tc>
      </w:tr>
      <w:tr w:rsidR="006836EB" w:rsidRPr="00226892" w14:paraId="67B836B9" w14:textId="77777777" w:rsidTr="006836EB">
        <w:trPr>
          <w:trHeight w:val="227"/>
        </w:trPr>
        <w:tc>
          <w:tcPr>
            <w:tcW w:w="799" w:type="pct"/>
            <w:tcBorders>
              <w:top w:val="nil"/>
              <w:left w:val="nil"/>
              <w:bottom w:val="nil"/>
              <w:right w:val="nil"/>
            </w:tcBorders>
            <w:shd w:val="clear" w:color="auto" w:fill="auto"/>
            <w:vAlign w:val="bottom"/>
            <w:hideMark/>
          </w:tcPr>
          <w:p w14:paraId="3CE89D59" w14:textId="77777777" w:rsidR="00877E3A" w:rsidRPr="00226892" w:rsidRDefault="00877E3A" w:rsidP="00FB3F19">
            <w:pPr>
              <w:rPr>
                <w:rFonts w:ascii="Arial" w:eastAsia="Times New Roman" w:hAnsi="Arial" w:cs="Arial"/>
                <w:b/>
                <w:bCs/>
                <w:color w:val="000000"/>
                <w:sz w:val="16"/>
                <w:szCs w:val="16"/>
                <w:lang w:val="sk-SK" w:eastAsia="sk-SK"/>
              </w:rPr>
            </w:pPr>
            <w:proofErr w:type="spellStart"/>
            <w:r w:rsidRPr="00226892">
              <w:rPr>
                <w:rFonts w:ascii="Arial" w:eastAsia="Times New Roman" w:hAnsi="Arial" w:cs="Arial"/>
                <w:b/>
                <w:bCs/>
                <w:color w:val="000000"/>
                <w:sz w:val="16"/>
                <w:szCs w:val="16"/>
                <w:lang w:val="sk-SK" w:eastAsia="sk-SK"/>
              </w:rPr>
              <w:t>Priružené</w:t>
            </w:r>
            <w:proofErr w:type="spellEnd"/>
            <w:r w:rsidRPr="00226892">
              <w:rPr>
                <w:rFonts w:ascii="Arial" w:eastAsia="Times New Roman" w:hAnsi="Arial" w:cs="Arial"/>
                <w:b/>
                <w:bCs/>
                <w:color w:val="000000"/>
                <w:sz w:val="16"/>
                <w:szCs w:val="16"/>
                <w:lang w:val="sk-SK" w:eastAsia="sk-SK"/>
              </w:rPr>
              <w:t xml:space="preserve"> podniky</w:t>
            </w:r>
          </w:p>
        </w:tc>
        <w:tc>
          <w:tcPr>
            <w:tcW w:w="102" w:type="pct"/>
            <w:tcBorders>
              <w:top w:val="nil"/>
              <w:left w:val="nil"/>
              <w:bottom w:val="nil"/>
              <w:right w:val="nil"/>
            </w:tcBorders>
            <w:shd w:val="clear" w:color="auto" w:fill="auto"/>
            <w:vAlign w:val="bottom"/>
            <w:hideMark/>
          </w:tcPr>
          <w:p w14:paraId="42E92F6E" w14:textId="77777777" w:rsidR="00877E3A" w:rsidRPr="00226892" w:rsidRDefault="00877E3A" w:rsidP="00877E3A">
            <w:pPr>
              <w:rPr>
                <w:rFonts w:ascii="Arial" w:eastAsia="Times New Roman" w:hAnsi="Arial" w:cs="Arial"/>
                <w:b/>
                <w:bCs/>
                <w:color w:val="000000"/>
                <w:sz w:val="16"/>
                <w:szCs w:val="16"/>
                <w:lang w:val="sk-SK" w:eastAsia="sk-SK"/>
              </w:rPr>
            </w:pPr>
          </w:p>
        </w:tc>
        <w:tc>
          <w:tcPr>
            <w:tcW w:w="463" w:type="pct"/>
            <w:tcBorders>
              <w:top w:val="nil"/>
              <w:left w:val="nil"/>
              <w:bottom w:val="nil"/>
              <w:right w:val="nil"/>
            </w:tcBorders>
            <w:shd w:val="clear" w:color="auto" w:fill="auto"/>
            <w:vAlign w:val="bottom"/>
            <w:hideMark/>
          </w:tcPr>
          <w:p w14:paraId="06CD6F79" w14:textId="77777777" w:rsidR="00877E3A" w:rsidRPr="00226892" w:rsidRDefault="00877E3A" w:rsidP="00FD21B8">
            <w:pPr>
              <w:jc w:val="right"/>
              <w:rPr>
                <w:rFonts w:ascii="Arial" w:eastAsia="Times New Roman" w:hAnsi="Arial" w:cs="Arial"/>
                <w:lang w:val="sk-SK" w:eastAsia="sk-SK"/>
              </w:rPr>
            </w:pPr>
          </w:p>
        </w:tc>
        <w:tc>
          <w:tcPr>
            <w:tcW w:w="83" w:type="pct"/>
            <w:tcBorders>
              <w:top w:val="nil"/>
              <w:left w:val="nil"/>
              <w:bottom w:val="nil"/>
              <w:right w:val="nil"/>
            </w:tcBorders>
            <w:shd w:val="clear" w:color="auto" w:fill="auto"/>
            <w:vAlign w:val="bottom"/>
            <w:hideMark/>
          </w:tcPr>
          <w:p w14:paraId="123A26A3" w14:textId="77777777" w:rsidR="00877E3A" w:rsidRPr="00226892" w:rsidRDefault="00877E3A" w:rsidP="00FD21B8">
            <w:pPr>
              <w:jc w:val="right"/>
              <w:rPr>
                <w:rFonts w:ascii="Arial" w:eastAsia="Times New Roman" w:hAnsi="Arial" w:cs="Arial"/>
                <w:lang w:val="sk-SK" w:eastAsia="sk-SK"/>
              </w:rPr>
            </w:pPr>
          </w:p>
        </w:tc>
        <w:tc>
          <w:tcPr>
            <w:tcW w:w="537" w:type="pct"/>
            <w:tcBorders>
              <w:top w:val="nil"/>
              <w:left w:val="nil"/>
              <w:bottom w:val="nil"/>
              <w:right w:val="nil"/>
            </w:tcBorders>
            <w:shd w:val="clear" w:color="auto" w:fill="auto"/>
            <w:vAlign w:val="bottom"/>
            <w:hideMark/>
          </w:tcPr>
          <w:p w14:paraId="5BE8FF19" w14:textId="77777777" w:rsidR="00877E3A" w:rsidRPr="00226892" w:rsidRDefault="00877E3A" w:rsidP="00FD21B8">
            <w:pPr>
              <w:jc w:val="right"/>
              <w:rPr>
                <w:rFonts w:ascii="Arial" w:eastAsia="Times New Roman" w:hAnsi="Arial" w:cs="Arial"/>
                <w:lang w:val="sk-SK" w:eastAsia="sk-SK"/>
              </w:rPr>
            </w:pPr>
          </w:p>
        </w:tc>
        <w:tc>
          <w:tcPr>
            <w:tcW w:w="87" w:type="pct"/>
            <w:tcBorders>
              <w:top w:val="nil"/>
              <w:left w:val="nil"/>
              <w:bottom w:val="nil"/>
              <w:right w:val="nil"/>
            </w:tcBorders>
            <w:shd w:val="clear" w:color="auto" w:fill="auto"/>
            <w:vAlign w:val="bottom"/>
            <w:hideMark/>
          </w:tcPr>
          <w:p w14:paraId="148F51A7" w14:textId="77777777" w:rsidR="00877E3A" w:rsidRPr="00226892" w:rsidRDefault="00877E3A" w:rsidP="00FD21B8">
            <w:pPr>
              <w:jc w:val="right"/>
              <w:rPr>
                <w:rFonts w:ascii="Arial" w:eastAsia="Times New Roman" w:hAnsi="Arial" w:cs="Arial"/>
                <w:lang w:val="sk-SK" w:eastAsia="sk-SK"/>
              </w:rPr>
            </w:pPr>
          </w:p>
        </w:tc>
        <w:tc>
          <w:tcPr>
            <w:tcW w:w="523" w:type="pct"/>
            <w:tcBorders>
              <w:top w:val="nil"/>
              <w:left w:val="nil"/>
              <w:bottom w:val="nil"/>
              <w:right w:val="nil"/>
            </w:tcBorders>
            <w:shd w:val="clear" w:color="auto" w:fill="auto"/>
            <w:vAlign w:val="bottom"/>
            <w:hideMark/>
          </w:tcPr>
          <w:p w14:paraId="593C38E7" w14:textId="77777777" w:rsidR="00877E3A" w:rsidRPr="00226892" w:rsidRDefault="00877E3A" w:rsidP="00FD21B8">
            <w:pPr>
              <w:jc w:val="right"/>
              <w:rPr>
                <w:rFonts w:ascii="Arial" w:eastAsia="Times New Roman" w:hAnsi="Arial" w:cs="Arial"/>
                <w:lang w:val="sk-SK" w:eastAsia="sk-SK"/>
              </w:rPr>
            </w:pPr>
          </w:p>
        </w:tc>
        <w:tc>
          <w:tcPr>
            <w:tcW w:w="87" w:type="pct"/>
            <w:tcBorders>
              <w:top w:val="nil"/>
              <w:left w:val="nil"/>
              <w:bottom w:val="nil"/>
              <w:right w:val="nil"/>
            </w:tcBorders>
            <w:shd w:val="clear" w:color="auto" w:fill="auto"/>
            <w:vAlign w:val="bottom"/>
            <w:hideMark/>
          </w:tcPr>
          <w:p w14:paraId="765FC976" w14:textId="77777777" w:rsidR="00877E3A" w:rsidRPr="00226892" w:rsidRDefault="00877E3A" w:rsidP="00FD21B8">
            <w:pPr>
              <w:jc w:val="right"/>
              <w:rPr>
                <w:rFonts w:ascii="Arial" w:eastAsia="Times New Roman" w:hAnsi="Arial" w:cs="Arial"/>
                <w:lang w:val="sk-SK" w:eastAsia="sk-SK"/>
              </w:rPr>
            </w:pPr>
          </w:p>
        </w:tc>
        <w:tc>
          <w:tcPr>
            <w:tcW w:w="552" w:type="pct"/>
            <w:tcBorders>
              <w:top w:val="nil"/>
              <w:left w:val="nil"/>
              <w:bottom w:val="nil"/>
              <w:right w:val="nil"/>
            </w:tcBorders>
            <w:shd w:val="clear" w:color="auto" w:fill="auto"/>
            <w:vAlign w:val="bottom"/>
            <w:hideMark/>
          </w:tcPr>
          <w:p w14:paraId="53C0A203" w14:textId="77777777" w:rsidR="00877E3A" w:rsidRPr="00226892" w:rsidRDefault="00877E3A" w:rsidP="00FD21B8">
            <w:pPr>
              <w:jc w:val="right"/>
              <w:rPr>
                <w:rFonts w:ascii="Arial" w:eastAsia="Times New Roman" w:hAnsi="Arial" w:cs="Arial"/>
                <w:lang w:val="sk-SK" w:eastAsia="sk-SK"/>
              </w:rPr>
            </w:pPr>
          </w:p>
        </w:tc>
        <w:tc>
          <w:tcPr>
            <w:tcW w:w="109" w:type="pct"/>
            <w:tcBorders>
              <w:top w:val="nil"/>
              <w:left w:val="nil"/>
              <w:bottom w:val="nil"/>
              <w:right w:val="nil"/>
            </w:tcBorders>
            <w:shd w:val="clear" w:color="auto" w:fill="auto"/>
            <w:vAlign w:val="bottom"/>
            <w:hideMark/>
          </w:tcPr>
          <w:p w14:paraId="20142788" w14:textId="77777777" w:rsidR="00877E3A" w:rsidRPr="00226892" w:rsidRDefault="00877E3A" w:rsidP="00FD21B8">
            <w:pPr>
              <w:jc w:val="right"/>
              <w:rPr>
                <w:rFonts w:ascii="Arial" w:eastAsia="Times New Roman" w:hAnsi="Arial" w:cs="Arial"/>
                <w:lang w:val="sk-SK" w:eastAsia="sk-SK"/>
              </w:rPr>
            </w:pPr>
          </w:p>
        </w:tc>
        <w:tc>
          <w:tcPr>
            <w:tcW w:w="537" w:type="pct"/>
            <w:tcBorders>
              <w:top w:val="nil"/>
              <w:left w:val="nil"/>
              <w:bottom w:val="nil"/>
              <w:right w:val="nil"/>
            </w:tcBorders>
            <w:shd w:val="clear" w:color="auto" w:fill="auto"/>
            <w:vAlign w:val="bottom"/>
            <w:hideMark/>
          </w:tcPr>
          <w:p w14:paraId="403D4919" w14:textId="77777777" w:rsidR="00877E3A" w:rsidRPr="00226892" w:rsidRDefault="00877E3A" w:rsidP="00FD21B8">
            <w:pPr>
              <w:jc w:val="right"/>
              <w:rPr>
                <w:rFonts w:ascii="Arial" w:eastAsia="Times New Roman" w:hAnsi="Arial" w:cs="Arial"/>
                <w:lang w:val="sk-SK" w:eastAsia="sk-SK"/>
              </w:rPr>
            </w:pPr>
          </w:p>
        </w:tc>
        <w:tc>
          <w:tcPr>
            <w:tcW w:w="87" w:type="pct"/>
            <w:tcBorders>
              <w:top w:val="nil"/>
              <w:left w:val="nil"/>
              <w:bottom w:val="nil"/>
              <w:right w:val="nil"/>
            </w:tcBorders>
            <w:shd w:val="clear" w:color="auto" w:fill="auto"/>
            <w:vAlign w:val="bottom"/>
            <w:hideMark/>
          </w:tcPr>
          <w:p w14:paraId="0A2A22DF" w14:textId="77777777" w:rsidR="00877E3A" w:rsidRPr="00226892" w:rsidRDefault="00877E3A" w:rsidP="00FD21B8">
            <w:pPr>
              <w:jc w:val="right"/>
              <w:rPr>
                <w:rFonts w:ascii="Arial" w:eastAsia="Times New Roman" w:hAnsi="Arial" w:cs="Arial"/>
                <w:lang w:val="sk-SK" w:eastAsia="sk-SK"/>
              </w:rPr>
            </w:pPr>
          </w:p>
        </w:tc>
        <w:tc>
          <w:tcPr>
            <w:tcW w:w="365" w:type="pct"/>
            <w:tcBorders>
              <w:top w:val="nil"/>
              <w:left w:val="nil"/>
              <w:bottom w:val="nil"/>
              <w:right w:val="nil"/>
            </w:tcBorders>
            <w:shd w:val="clear" w:color="auto" w:fill="auto"/>
            <w:vAlign w:val="bottom"/>
            <w:hideMark/>
          </w:tcPr>
          <w:p w14:paraId="0D886FE0" w14:textId="77777777" w:rsidR="00877E3A" w:rsidRPr="00226892" w:rsidRDefault="00877E3A" w:rsidP="00FD21B8">
            <w:pPr>
              <w:jc w:val="right"/>
              <w:rPr>
                <w:rFonts w:ascii="Arial" w:eastAsia="Times New Roman" w:hAnsi="Arial" w:cs="Arial"/>
                <w:lang w:val="sk-SK" w:eastAsia="sk-SK"/>
              </w:rPr>
            </w:pPr>
          </w:p>
        </w:tc>
        <w:tc>
          <w:tcPr>
            <w:tcW w:w="98" w:type="pct"/>
            <w:tcBorders>
              <w:top w:val="nil"/>
              <w:left w:val="nil"/>
              <w:bottom w:val="nil"/>
              <w:right w:val="nil"/>
            </w:tcBorders>
            <w:shd w:val="clear" w:color="auto" w:fill="auto"/>
            <w:vAlign w:val="bottom"/>
            <w:hideMark/>
          </w:tcPr>
          <w:p w14:paraId="463893F4" w14:textId="77777777" w:rsidR="00877E3A" w:rsidRPr="00226892" w:rsidRDefault="00877E3A" w:rsidP="00FD21B8">
            <w:pPr>
              <w:jc w:val="right"/>
              <w:rPr>
                <w:rFonts w:ascii="Arial" w:eastAsia="Times New Roman" w:hAnsi="Arial" w:cs="Arial"/>
                <w:lang w:val="sk-SK" w:eastAsia="sk-SK"/>
              </w:rPr>
            </w:pPr>
          </w:p>
        </w:tc>
        <w:tc>
          <w:tcPr>
            <w:tcW w:w="572" w:type="pct"/>
            <w:tcBorders>
              <w:top w:val="nil"/>
              <w:left w:val="nil"/>
              <w:right w:val="nil"/>
            </w:tcBorders>
            <w:shd w:val="clear" w:color="auto" w:fill="auto"/>
            <w:vAlign w:val="bottom"/>
            <w:hideMark/>
          </w:tcPr>
          <w:p w14:paraId="0390DE99" w14:textId="77777777" w:rsidR="00877E3A" w:rsidRPr="00226892" w:rsidRDefault="00877E3A" w:rsidP="00FD21B8">
            <w:pPr>
              <w:jc w:val="right"/>
              <w:rPr>
                <w:rFonts w:ascii="Arial" w:eastAsia="Times New Roman" w:hAnsi="Arial" w:cs="Arial"/>
                <w:lang w:val="sk-SK" w:eastAsia="sk-SK"/>
              </w:rPr>
            </w:pPr>
          </w:p>
        </w:tc>
      </w:tr>
      <w:tr w:rsidR="006836EB" w:rsidRPr="00226892" w14:paraId="0E5D9184" w14:textId="77777777" w:rsidTr="006836EB">
        <w:trPr>
          <w:trHeight w:val="227"/>
        </w:trPr>
        <w:tc>
          <w:tcPr>
            <w:tcW w:w="799" w:type="pct"/>
            <w:tcBorders>
              <w:top w:val="nil"/>
              <w:left w:val="nil"/>
              <w:bottom w:val="nil"/>
              <w:right w:val="nil"/>
            </w:tcBorders>
            <w:shd w:val="clear" w:color="auto" w:fill="auto"/>
            <w:vAlign w:val="bottom"/>
            <w:hideMark/>
          </w:tcPr>
          <w:p w14:paraId="7701D9F0" w14:textId="326CF63D" w:rsidR="00877E3A" w:rsidRPr="00226892" w:rsidRDefault="000E508D" w:rsidP="00FB3F19">
            <w:pPr>
              <w:rPr>
                <w:rFonts w:ascii="Arial" w:eastAsia="Times New Roman" w:hAnsi="Arial" w:cs="Arial"/>
                <w:color w:val="000000"/>
                <w:sz w:val="16"/>
                <w:szCs w:val="16"/>
                <w:lang w:val="sk-SK" w:eastAsia="sk-SK"/>
              </w:rPr>
            </w:pPr>
            <w:r w:rsidRPr="00226892">
              <w:rPr>
                <w:rFonts w:ascii="Arial" w:eastAsia="Times New Roman" w:hAnsi="Arial" w:cs="Arial"/>
                <w:color w:val="000000"/>
                <w:sz w:val="16"/>
                <w:szCs w:val="16"/>
                <w:lang w:val="sk-SK" w:eastAsia="sk-SK"/>
              </w:rPr>
              <w:t xml:space="preserve">DV, </w:t>
            </w:r>
            <w:proofErr w:type="spellStart"/>
            <w:r w:rsidRPr="00226892">
              <w:rPr>
                <w:rFonts w:ascii="Arial" w:eastAsia="Times New Roman" w:hAnsi="Arial" w:cs="Arial"/>
                <w:color w:val="000000"/>
                <w:sz w:val="16"/>
                <w:szCs w:val="16"/>
                <w:lang w:val="sk-SK" w:eastAsia="sk-SK"/>
              </w:rPr>
              <w:t>s.r.o</w:t>
            </w:r>
            <w:proofErr w:type="spellEnd"/>
            <w:r w:rsidRPr="00226892">
              <w:rPr>
                <w:rFonts w:ascii="Arial" w:eastAsia="Times New Roman" w:hAnsi="Arial" w:cs="Arial"/>
                <w:color w:val="000000"/>
                <w:sz w:val="16"/>
                <w:szCs w:val="16"/>
                <w:lang w:val="sk-SK" w:eastAsia="sk-SK"/>
              </w:rPr>
              <w:t>.</w:t>
            </w:r>
          </w:p>
        </w:tc>
        <w:tc>
          <w:tcPr>
            <w:tcW w:w="102" w:type="pct"/>
            <w:tcBorders>
              <w:top w:val="nil"/>
              <w:left w:val="nil"/>
              <w:bottom w:val="nil"/>
              <w:right w:val="nil"/>
            </w:tcBorders>
            <w:shd w:val="clear" w:color="auto" w:fill="auto"/>
            <w:noWrap/>
            <w:vAlign w:val="bottom"/>
            <w:hideMark/>
          </w:tcPr>
          <w:p w14:paraId="1D12C1D4" w14:textId="77777777" w:rsidR="00877E3A" w:rsidRPr="00226892" w:rsidRDefault="00877E3A" w:rsidP="00877E3A">
            <w:pPr>
              <w:rPr>
                <w:rFonts w:ascii="Arial" w:eastAsia="Times New Roman" w:hAnsi="Arial" w:cs="Arial"/>
                <w:color w:val="000000"/>
                <w:sz w:val="16"/>
                <w:szCs w:val="16"/>
                <w:lang w:val="sk-SK" w:eastAsia="sk-SK"/>
              </w:rPr>
            </w:pPr>
          </w:p>
        </w:tc>
        <w:tc>
          <w:tcPr>
            <w:tcW w:w="463" w:type="pct"/>
            <w:tcBorders>
              <w:top w:val="nil"/>
              <w:left w:val="nil"/>
              <w:bottom w:val="nil"/>
              <w:right w:val="nil"/>
            </w:tcBorders>
            <w:shd w:val="clear" w:color="auto" w:fill="auto"/>
            <w:vAlign w:val="bottom"/>
          </w:tcPr>
          <w:p w14:paraId="73A29C62" w14:textId="758EAE83" w:rsidR="00877E3A" w:rsidRPr="00226892" w:rsidRDefault="00192DA7" w:rsidP="00FD21B8">
            <w:pPr>
              <w:jc w:val="right"/>
              <w:rPr>
                <w:rFonts w:ascii="Arial" w:eastAsia="Times New Roman" w:hAnsi="Arial" w:cs="Arial"/>
                <w:color w:val="000000"/>
                <w:sz w:val="16"/>
                <w:szCs w:val="16"/>
                <w:lang w:val="sk-SK" w:eastAsia="sk-SK"/>
              </w:rPr>
            </w:pPr>
            <w:r w:rsidRPr="00226892">
              <w:rPr>
                <w:rFonts w:ascii="Arial" w:eastAsia="Times New Roman" w:hAnsi="Arial" w:cs="Arial"/>
                <w:color w:val="000000"/>
                <w:sz w:val="16"/>
                <w:szCs w:val="16"/>
                <w:lang w:val="sk-SK" w:eastAsia="sk-SK"/>
              </w:rPr>
              <w:t>10 135</w:t>
            </w:r>
          </w:p>
        </w:tc>
        <w:tc>
          <w:tcPr>
            <w:tcW w:w="83" w:type="pct"/>
            <w:tcBorders>
              <w:top w:val="nil"/>
              <w:left w:val="nil"/>
              <w:bottom w:val="nil"/>
              <w:right w:val="nil"/>
            </w:tcBorders>
            <w:shd w:val="clear" w:color="auto" w:fill="auto"/>
            <w:vAlign w:val="bottom"/>
          </w:tcPr>
          <w:p w14:paraId="4056488C" w14:textId="77777777" w:rsidR="00877E3A" w:rsidRPr="00226892" w:rsidRDefault="00877E3A" w:rsidP="00FD21B8">
            <w:pPr>
              <w:jc w:val="right"/>
              <w:rPr>
                <w:rFonts w:ascii="Arial" w:eastAsia="Times New Roman" w:hAnsi="Arial" w:cs="Arial"/>
                <w:color w:val="000000"/>
                <w:sz w:val="16"/>
                <w:szCs w:val="16"/>
                <w:lang w:val="sk-SK" w:eastAsia="sk-SK"/>
              </w:rPr>
            </w:pPr>
          </w:p>
        </w:tc>
        <w:tc>
          <w:tcPr>
            <w:tcW w:w="537" w:type="pct"/>
            <w:tcBorders>
              <w:top w:val="nil"/>
              <w:left w:val="nil"/>
              <w:bottom w:val="nil"/>
              <w:right w:val="nil"/>
            </w:tcBorders>
            <w:shd w:val="clear" w:color="auto" w:fill="auto"/>
            <w:vAlign w:val="bottom"/>
          </w:tcPr>
          <w:p w14:paraId="492A00E5" w14:textId="7A9ED9A5" w:rsidR="00877E3A" w:rsidRPr="00226892" w:rsidRDefault="00192DA7" w:rsidP="00FD21B8">
            <w:pPr>
              <w:jc w:val="right"/>
              <w:rPr>
                <w:rFonts w:ascii="Arial" w:eastAsia="Times New Roman" w:hAnsi="Arial" w:cs="Arial"/>
                <w:color w:val="000000"/>
                <w:sz w:val="16"/>
                <w:szCs w:val="16"/>
                <w:lang w:val="sk-SK" w:eastAsia="sk-SK"/>
              </w:rPr>
            </w:pPr>
            <w:r w:rsidRPr="00226892">
              <w:rPr>
                <w:rFonts w:ascii="Arial" w:eastAsia="Times New Roman" w:hAnsi="Arial" w:cs="Arial"/>
                <w:color w:val="000000"/>
                <w:sz w:val="16"/>
                <w:szCs w:val="16"/>
                <w:lang w:val="sk-SK" w:eastAsia="sk-SK"/>
              </w:rPr>
              <w:t>2 079</w:t>
            </w:r>
          </w:p>
        </w:tc>
        <w:tc>
          <w:tcPr>
            <w:tcW w:w="87" w:type="pct"/>
            <w:tcBorders>
              <w:top w:val="nil"/>
              <w:left w:val="nil"/>
              <w:bottom w:val="nil"/>
              <w:right w:val="nil"/>
            </w:tcBorders>
            <w:shd w:val="clear" w:color="auto" w:fill="auto"/>
            <w:vAlign w:val="bottom"/>
          </w:tcPr>
          <w:p w14:paraId="6B712974" w14:textId="77777777" w:rsidR="00877E3A" w:rsidRPr="00226892" w:rsidRDefault="00877E3A" w:rsidP="00FD21B8">
            <w:pPr>
              <w:jc w:val="right"/>
              <w:rPr>
                <w:rFonts w:ascii="Arial" w:eastAsia="Times New Roman" w:hAnsi="Arial" w:cs="Arial"/>
                <w:color w:val="000000"/>
                <w:sz w:val="16"/>
                <w:szCs w:val="16"/>
                <w:lang w:val="sk-SK" w:eastAsia="sk-SK"/>
              </w:rPr>
            </w:pPr>
          </w:p>
        </w:tc>
        <w:tc>
          <w:tcPr>
            <w:tcW w:w="523" w:type="pct"/>
            <w:tcBorders>
              <w:top w:val="nil"/>
              <w:left w:val="nil"/>
              <w:bottom w:val="nil"/>
              <w:right w:val="nil"/>
            </w:tcBorders>
            <w:shd w:val="clear" w:color="auto" w:fill="auto"/>
            <w:vAlign w:val="bottom"/>
          </w:tcPr>
          <w:p w14:paraId="6F50464B" w14:textId="13336F84" w:rsidR="00877E3A" w:rsidRPr="00226892" w:rsidRDefault="00192DA7" w:rsidP="00FD21B8">
            <w:pPr>
              <w:jc w:val="right"/>
              <w:rPr>
                <w:rFonts w:ascii="Arial" w:eastAsia="Times New Roman" w:hAnsi="Arial" w:cs="Arial"/>
                <w:color w:val="000000"/>
                <w:sz w:val="16"/>
                <w:szCs w:val="16"/>
                <w:lang w:val="sk-SK" w:eastAsia="sk-SK"/>
              </w:rPr>
            </w:pPr>
            <w:r w:rsidRPr="00226892">
              <w:rPr>
                <w:rFonts w:ascii="Arial" w:eastAsia="Times New Roman" w:hAnsi="Arial" w:cs="Arial"/>
                <w:color w:val="000000"/>
                <w:sz w:val="16"/>
                <w:szCs w:val="16"/>
                <w:lang w:val="sk-SK" w:eastAsia="sk-SK"/>
              </w:rPr>
              <w:t>6 586</w:t>
            </w:r>
          </w:p>
        </w:tc>
        <w:tc>
          <w:tcPr>
            <w:tcW w:w="87" w:type="pct"/>
            <w:tcBorders>
              <w:top w:val="nil"/>
              <w:left w:val="nil"/>
              <w:bottom w:val="nil"/>
              <w:right w:val="nil"/>
            </w:tcBorders>
            <w:shd w:val="clear" w:color="auto" w:fill="auto"/>
            <w:vAlign w:val="bottom"/>
          </w:tcPr>
          <w:p w14:paraId="75A58E86" w14:textId="77777777" w:rsidR="00877E3A" w:rsidRPr="00226892" w:rsidRDefault="00877E3A" w:rsidP="00FD21B8">
            <w:pPr>
              <w:jc w:val="right"/>
              <w:rPr>
                <w:rFonts w:ascii="Arial" w:eastAsia="Times New Roman" w:hAnsi="Arial" w:cs="Arial"/>
                <w:color w:val="000000"/>
                <w:sz w:val="16"/>
                <w:szCs w:val="16"/>
                <w:lang w:val="sk-SK" w:eastAsia="sk-SK"/>
              </w:rPr>
            </w:pPr>
          </w:p>
        </w:tc>
        <w:tc>
          <w:tcPr>
            <w:tcW w:w="552" w:type="pct"/>
            <w:tcBorders>
              <w:top w:val="nil"/>
              <w:left w:val="nil"/>
              <w:bottom w:val="nil"/>
              <w:right w:val="nil"/>
            </w:tcBorders>
            <w:shd w:val="clear" w:color="auto" w:fill="auto"/>
            <w:vAlign w:val="bottom"/>
          </w:tcPr>
          <w:p w14:paraId="6B599E71" w14:textId="768B8DAA" w:rsidR="00877E3A" w:rsidRPr="00226892" w:rsidRDefault="00192DA7" w:rsidP="00FD21B8">
            <w:pPr>
              <w:jc w:val="right"/>
              <w:rPr>
                <w:rFonts w:ascii="Arial" w:eastAsia="Times New Roman" w:hAnsi="Arial" w:cs="Arial"/>
                <w:color w:val="000000"/>
                <w:sz w:val="16"/>
                <w:szCs w:val="16"/>
                <w:lang w:val="sk-SK" w:eastAsia="sk-SK"/>
              </w:rPr>
            </w:pPr>
            <w:r w:rsidRPr="00226892">
              <w:rPr>
                <w:rFonts w:ascii="Arial" w:eastAsia="Times New Roman" w:hAnsi="Arial" w:cs="Arial"/>
                <w:color w:val="000000"/>
                <w:sz w:val="16"/>
                <w:szCs w:val="16"/>
                <w:lang w:val="sk-SK" w:eastAsia="sk-SK"/>
              </w:rPr>
              <w:t>5 242</w:t>
            </w:r>
          </w:p>
        </w:tc>
        <w:tc>
          <w:tcPr>
            <w:tcW w:w="109" w:type="pct"/>
            <w:tcBorders>
              <w:top w:val="nil"/>
              <w:left w:val="nil"/>
              <w:bottom w:val="nil"/>
              <w:right w:val="nil"/>
            </w:tcBorders>
            <w:shd w:val="clear" w:color="auto" w:fill="auto"/>
            <w:vAlign w:val="bottom"/>
          </w:tcPr>
          <w:p w14:paraId="68204750" w14:textId="77777777" w:rsidR="00877E3A" w:rsidRPr="00226892" w:rsidRDefault="00877E3A" w:rsidP="00FD21B8">
            <w:pPr>
              <w:jc w:val="right"/>
              <w:rPr>
                <w:rFonts w:ascii="Arial" w:eastAsia="Times New Roman" w:hAnsi="Arial" w:cs="Arial"/>
                <w:color w:val="000000"/>
                <w:sz w:val="16"/>
                <w:szCs w:val="16"/>
                <w:lang w:val="sk-SK" w:eastAsia="sk-SK"/>
              </w:rPr>
            </w:pPr>
          </w:p>
        </w:tc>
        <w:tc>
          <w:tcPr>
            <w:tcW w:w="537" w:type="pct"/>
            <w:tcBorders>
              <w:top w:val="nil"/>
              <w:left w:val="nil"/>
              <w:bottom w:val="nil"/>
              <w:right w:val="nil"/>
            </w:tcBorders>
            <w:shd w:val="clear" w:color="auto" w:fill="auto"/>
            <w:vAlign w:val="bottom"/>
          </w:tcPr>
          <w:p w14:paraId="395CC86A" w14:textId="02DD739C" w:rsidR="00877E3A" w:rsidRPr="00226892" w:rsidRDefault="00192DA7" w:rsidP="00FD21B8">
            <w:pPr>
              <w:jc w:val="right"/>
              <w:rPr>
                <w:rFonts w:ascii="Arial" w:eastAsia="Times New Roman" w:hAnsi="Arial" w:cs="Arial"/>
                <w:color w:val="000000"/>
                <w:sz w:val="16"/>
                <w:szCs w:val="16"/>
                <w:lang w:val="sk-SK" w:eastAsia="sk-SK"/>
              </w:rPr>
            </w:pPr>
            <w:r w:rsidRPr="00226892">
              <w:rPr>
                <w:rFonts w:ascii="Arial" w:eastAsia="Times New Roman" w:hAnsi="Arial" w:cs="Arial"/>
                <w:color w:val="000000"/>
                <w:sz w:val="16"/>
                <w:szCs w:val="16"/>
                <w:lang w:val="sk-SK" w:eastAsia="sk-SK"/>
              </w:rPr>
              <w:t>386</w:t>
            </w:r>
          </w:p>
        </w:tc>
        <w:tc>
          <w:tcPr>
            <w:tcW w:w="87" w:type="pct"/>
            <w:tcBorders>
              <w:top w:val="nil"/>
              <w:left w:val="nil"/>
              <w:bottom w:val="nil"/>
              <w:right w:val="nil"/>
            </w:tcBorders>
            <w:shd w:val="clear" w:color="auto" w:fill="auto"/>
            <w:vAlign w:val="bottom"/>
          </w:tcPr>
          <w:p w14:paraId="37816A1E" w14:textId="77777777" w:rsidR="00877E3A" w:rsidRPr="00226892" w:rsidRDefault="00877E3A" w:rsidP="00FD21B8">
            <w:pPr>
              <w:jc w:val="right"/>
              <w:rPr>
                <w:rFonts w:ascii="Arial" w:eastAsia="Times New Roman" w:hAnsi="Arial" w:cs="Arial"/>
                <w:color w:val="000000"/>
                <w:sz w:val="16"/>
                <w:szCs w:val="16"/>
                <w:lang w:val="sk-SK" w:eastAsia="sk-SK"/>
              </w:rPr>
            </w:pPr>
          </w:p>
        </w:tc>
        <w:tc>
          <w:tcPr>
            <w:tcW w:w="365" w:type="pct"/>
            <w:tcBorders>
              <w:top w:val="nil"/>
              <w:left w:val="nil"/>
              <w:bottom w:val="nil"/>
              <w:right w:val="nil"/>
            </w:tcBorders>
            <w:shd w:val="clear" w:color="auto" w:fill="auto"/>
            <w:vAlign w:val="bottom"/>
          </w:tcPr>
          <w:p w14:paraId="7AD0D20B" w14:textId="28E3B030" w:rsidR="00877E3A" w:rsidRPr="00226892" w:rsidRDefault="00192DA7" w:rsidP="00FD21B8">
            <w:pPr>
              <w:jc w:val="right"/>
              <w:rPr>
                <w:rFonts w:ascii="Arial" w:eastAsia="Times New Roman" w:hAnsi="Arial" w:cs="Arial"/>
                <w:color w:val="000000"/>
                <w:sz w:val="16"/>
                <w:szCs w:val="16"/>
                <w:lang w:val="sk-SK" w:eastAsia="sk-SK"/>
              </w:rPr>
            </w:pPr>
            <w:r w:rsidRPr="00226892">
              <w:rPr>
                <w:rFonts w:ascii="Arial" w:eastAsia="Times New Roman" w:hAnsi="Arial" w:cs="Arial"/>
                <w:color w:val="000000"/>
                <w:sz w:val="16"/>
                <w:szCs w:val="16"/>
                <w:lang w:val="sk-SK" w:eastAsia="sk-SK"/>
              </w:rPr>
              <w:t>100</w:t>
            </w:r>
          </w:p>
        </w:tc>
        <w:tc>
          <w:tcPr>
            <w:tcW w:w="98" w:type="pct"/>
            <w:tcBorders>
              <w:top w:val="nil"/>
              <w:left w:val="nil"/>
              <w:bottom w:val="nil"/>
              <w:right w:val="nil"/>
            </w:tcBorders>
            <w:shd w:val="clear" w:color="auto" w:fill="auto"/>
            <w:vAlign w:val="bottom"/>
          </w:tcPr>
          <w:p w14:paraId="3816E556" w14:textId="77777777" w:rsidR="00877E3A" w:rsidRPr="00226892" w:rsidRDefault="00877E3A" w:rsidP="00FD21B8">
            <w:pPr>
              <w:jc w:val="right"/>
              <w:rPr>
                <w:rFonts w:ascii="Arial" w:eastAsia="Times New Roman" w:hAnsi="Arial" w:cs="Arial"/>
                <w:color w:val="000000"/>
                <w:sz w:val="16"/>
                <w:szCs w:val="16"/>
                <w:lang w:val="sk-SK" w:eastAsia="sk-SK"/>
              </w:rPr>
            </w:pPr>
          </w:p>
        </w:tc>
        <w:tc>
          <w:tcPr>
            <w:tcW w:w="572" w:type="pct"/>
            <w:tcBorders>
              <w:top w:val="nil"/>
              <w:left w:val="nil"/>
              <w:bottom w:val="nil"/>
              <w:right w:val="nil"/>
            </w:tcBorders>
            <w:shd w:val="clear" w:color="auto" w:fill="auto"/>
            <w:vAlign w:val="bottom"/>
          </w:tcPr>
          <w:p w14:paraId="6168D919" w14:textId="02CCEF7B" w:rsidR="00877E3A" w:rsidRPr="00226892" w:rsidRDefault="00192DA7" w:rsidP="00FB3F19">
            <w:pPr>
              <w:jc w:val="right"/>
              <w:rPr>
                <w:rFonts w:ascii="Arial" w:eastAsia="Times New Roman" w:hAnsi="Arial" w:cs="Arial"/>
                <w:b/>
                <w:bCs/>
                <w:color w:val="000000"/>
                <w:sz w:val="16"/>
                <w:szCs w:val="16"/>
                <w:lang w:val="sk-SK" w:eastAsia="sk-SK"/>
              </w:rPr>
            </w:pPr>
            <w:r w:rsidRPr="00226892">
              <w:rPr>
                <w:rFonts w:ascii="Arial" w:eastAsia="Times New Roman" w:hAnsi="Arial" w:cs="Arial"/>
                <w:b/>
                <w:bCs/>
                <w:color w:val="000000"/>
                <w:sz w:val="16"/>
                <w:szCs w:val="16"/>
                <w:lang w:val="sk-SK" w:eastAsia="sk-SK"/>
              </w:rPr>
              <w:t>24%</w:t>
            </w:r>
          </w:p>
        </w:tc>
      </w:tr>
      <w:tr w:rsidR="006836EB" w:rsidRPr="00226892" w14:paraId="328D7009" w14:textId="77777777" w:rsidTr="006836EB">
        <w:trPr>
          <w:trHeight w:val="227"/>
        </w:trPr>
        <w:tc>
          <w:tcPr>
            <w:tcW w:w="799" w:type="pct"/>
            <w:tcBorders>
              <w:top w:val="nil"/>
              <w:left w:val="nil"/>
              <w:bottom w:val="nil"/>
              <w:right w:val="nil"/>
            </w:tcBorders>
            <w:shd w:val="clear" w:color="auto" w:fill="auto"/>
            <w:noWrap/>
            <w:vAlign w:val="bottom"/>
            <w:hideMark/>
          </w:tcPr>
          <w:p w14:paraId="00F86B91" w14:textId="77777777" w:rsidR="00877E3A" w:rsidRPr="00226892" w:rsidRDefault="00877E3A" w:rsidP="00FB3F19">
            <w:pPr>
              <w:rPr>
                <w:rFonts w:ascii="Arial" w:eastAsia="Times New Roman" w:hAnsi="Arial" w:cs="Arial"/>
                <w:b/>
                <w:bCs/>
                <w:color w:val="000000"/>
                <w:sz w:val="16"/>
                <w:szCs w:val="16"/>
                <w:lang w:val="sk-SK" w:eastAsia="sk-SK"/>
              </w:rPr>
            </w:pPr>
            <w:r w:rsidRPr="00226892">
              <w:rPr>
                <w:rFonts w:ascii="Arial" w:eastAsia="Times New Roman" w:hAnsi="Arial" w:cs="Arial"/>
                <w:b/>
                <w:bCs/>
                <w:color w:val="000000"/>
                <w:sz w:val="16"/>
                <w:szCs w:val="16"/>
                <w:lang w:val="sk-SK" w:eastAsia="sk-SK"/>
              </w:rPr>
              <w:t>Spolu</w:t>
            </w:r>
          </w:p>
        </w:tc>
        <w:tc>
          <w:tcPr>
            <w:tcW w:w="102" w:type="pct"/>
            <w:tcBorders>
              <w:top w:val="nil"/>
              <w:left w:val="nil"/>
              <w:bottom w:val="nil"/>
              <w:right w:val="nil"/>
            </w:tcBorders>
            <w:shd w:val="clear" w:color="auto" w:fill="auto"/>
            <w:noWrap/>
            <w:vAlign w:val="bottom"/>
            <w:hideMark/>
          </w:tcPr>
          <w:p w14:paraId="55435458" w14:textId="77777777" w:rsidR="00877E3A" w:rsidRPr="00226892" w:rsidRDefault="00877E3A" w:rsidP="00877E3A">
            <w:pPr>
              <w:rPr>
                <w:rFonts w:ascii="Arial" w:eastAsia="Times New Roman" w:hAnsi="Arial" w:cs="Arial"/>
                <w:b/>
                <w:bCs/>
                <w:color w:val="000000"/>
                <w:sz w:val="16"/>
                <w:szCs w:val="16"/>
                <w:lang w:val="sk-SK" w:eastAsia="sk-SK"/>
              </w:rPr>
            </w:pPr>
          </w:p>
        </w:tc>
        <w:tc>
          <w:tcPr>
            <w:tcW w:w="463" w:type="pct"/>
            <w:tcBorders>
              <w:top w:val="single" w:sz="4" w:space="0" w:color="auto"/>
              <w:left w:val="nil"/>
              <w:bottom w:val="double" w:sz="6" w:space="0" w:color="auto"/>
              <w:right w:val="nil"/>
            </w:tcBorders>
            <w:shd w:val="clear" w:color="auto" w:fill="auto"/>
            <w:vAlign w:val="bottom"/>
            <w:hideMark/>
          </w:tcPr>
          <w:p w14:paraId="1307966E" w14:textId="14EA3084" w:rsidR="00877E3A" w:rsidRPr="00226892" w:rsidRDefault="00877E3A" w:rsidP="00FD21B8">
            <w:pPr>
              <w:jc w:val="right"/>
              <w:rPr>
                <w:rFonts w:ascii="Arial" w:eastAsia="Times New Roman" w:hAnsi="Arial" w:cs="Arial"/>
                <w:b/>
                <w:bCs/>
                <w:color w:val="000000"/>
                <w:sz w:val="16"/>
                <w:szCs w:val="16"/>
                <w:lang w:val="sk-SK" w:eastAsia="sk-SK"/>
              </w:rPr>
            </w:pPr>
            <w:r w:rsidRPr="00226892">
              <w:rPr>
                <w:rFonts w:ascii="Arial" w:eastAsia="Times New Roman" w:hAnsi="Arial" w:cs="Arial"/>
                <w:b/>
                <w:bCs/>
                <w:color w:val="000000"/>
                <w:sz w:val="16"/>
                <w:szCs w:val="16"/>
                <w:lang w:val="sk-SK" w:eastAsia="sk-SK"/>
              </w:rPr>
              <w:t xml:space="preserve">       </w:t>
            </w:r>
            <w:r w:rsidR="00192DA7" w:rsidRPr="00226892">
              <w:rPr>
                <w:rFonts w:ascii="Arial" w:eastAsia="Times New Roman" w:hAnsi="Arial" w:cs="Arial"/>
                <w:b/>
                <w:bCs/>
                <w:color w:val="000000"/>
                <w:sz w:val="16"/>
                <w:szCs w:val="16"/>
                <w:lang w:val="sk-SK" w:eastAsia="sk-SK"/>
              </w:rPr>
              <w:br/>
              <w:t>10 135</w:t>
            </w:r>
            <w:r w:rsidRPr="00226892">
              <w:rPr>
                <w:rFonts w:ascii="Arial" w:eastAsia="Times New Roman" w:hAnsi="Arial" w:cs="Arial"/>
                <w:b/>
                <w:bCs/>
                <w:color w:val="000000"/>
                <w:sz w:val="16"/>
                <w:szCs w:val="16"/>
                <w:lang w:val="sk-SK" w:eastAsia="sk-SK"/>
              </w:rPr>
              <w:t xml:space="preserve">    </w:t>
            </w:r>
          </w:p>
        </w:tc>
        <w:tc>
          <w:tcPr>
            <w:tcW w:w="83" w:type="pct"/>
            <w:tcBorders>
              <w:top w:val="nil"/>
              <w:left w:val="nil"/>
              <w:bottom w:val="nil"/>
              <w:right w:val="nil"/>
            </w:tcBorders>
            <w:shd w:val="clear" w:color="auto" w:fill="auto"/>
            <w:noWrap/>
            <w:vAlign w:val="bottom"/>
            <w:hideMark/>
          </w:tcPr>
          <w:p w14:paraId="2522AC77" w14:textId="77777777" w:rsidR="00877E3A" w:rsidRPr="00226892" w:rsidRDefault="00877E3A" w:rsidP="00FD21B8">
            <w:pPr>
              <w:jc w:val="right"/>
              <w:rPr>
                <w:rFonts w:ascii="Arial" w:eastAsia="Times New Roman" w:hAnsi="Arial" w:cs="Arial"/>
                <w:b/>
                <w:bCs/>
                <w:color w:val="000000"/>
                <w:sz w:val="16"/>
                <w:szCs w:val="16"/>
                <w:lang w:val="sk-SK" w:eastAsia="sk-SK"/>
              </w:rPr>
            </w:pPr>
          </w:p>
        </w:tc>
        <w:tc>
          <w:tcPr>
            <w:tcW w:w="537" w:type="pct"/>
            <w:tcBorders>
              <w:top w:val="single" w:sz="4" w:space="0" w:color="auto"/>
              <w:left w:val="nil"/>
              <w:bottom w:val="double" w:sz="6" w:space="0" w:color="auto"/>
              <w:right w:val="nil"/>
            </w:tcBorders>
            <w:shd w:val="clear" w:color="auto" w:fill="auto"/>
            <w:vAlign w:val="bottom"/>
            <w:hideMark/>
          </w:tcPr>
          <w:p w14:paraId="3E3F150A" w14:textId="736757D8" w:rsidR="00877E3A" w:rsidRPr="00226892" w:rsidRDefault="00877E3A" w:rsidP="00FD21B8">
            <w:pPr>
              <w:jc w:val="right"/>
              <w:rPr>
                <w:rFonts w:ascii="Arial" w:eastAsia="Times New Roman" w:hAnsi="Arial" w:cs="Arial"/>
                <w:b/>
                <w:bCs/>
                <w:color w:val="000000"/>
                <w:sz w:val="16"/>
                <w:szCs w:val="16"/>
                <w:lang w:val="sk-SK" w:eastAsia="sk-SK"/>
              </w:rPr>
            </w:pPr>
            <w:r w:rsidRPr="00226892">
              <w:rPr>
                <w:rFonts w:ascii="Arial" w:eastAsia="Times New Roman" w:hAnsi="Arial" w:cs="Arial"/>
                <w:b/>
                <w:bCs/>
                <w:color w:val="000000"/>
                <w:sz w:val="16"/>
                <w:szCs w:val="16"/>
                <w:lang w:val="sk-SK" w:eastAsia="sk-SK"/>
              </w:rPr>
              <w:t xml:space="preserve">         </w:t>
            </w:r>
            <w:r w:rsidR="00192DA7" w:rsidRPr="00226892">
              <w:rPr>
                <w:rFonts w:ascii="Arial" w:eastAsia="Times New Roman" w:hAnsi="Arial" w:cs="Arial"/>
                <w:b/>
                <w:bCs/>
                <w:color w:val="000000"/>
                <w:sz w:val="16"/>
                <w:szCs w:val="16"/>
                <w:lang w:val="sk-SK" w:eastAsia="sk-SK"/>
              </w:rPr>
              <w:t>2 079</w:t>
            </w:r>
            <w:r w:rsidRPr="00226892">
              <w:rPr>
                <w:rFonts w:ascii="Arial" w:eastAsia="Times New Roman" w:hAnsi="Arial" w:cs="Arial"/>
                <w:b/>
                <w:bCs/>
                <w:color w:val="000000"/>
                <w:sz w:val="16"/>
                <w:szCs w:val="16"/>
                <w:lang w:val="sk-SK" w:eastAsia="sk-SK"/>
              </w:rPr>
              <w:t xml:space="preserve">    </w:t>
            </w:r>
          </w:p>
        </w:tc>
        <w:tc>
          <w:tcPr>
            <w:tcW w:w="87" w:type="pct"/>
            <w:tcBorders>
              <w:top w:val="nil"/>
              <w:left w:val="nil"/>
              <w:bottom w:val="nil"/>
              <w:right w:val="nil"/>
            </w:tcBorders>
            <w:shd w:val="clear" w:color="auto" w:fill="auto"/>
            <w:vAlign w:val="bottom"/>
            <w:hideMark/>
          </w:tcPr>
          <w:p w14:paraId="1517093C" w14:textId="77777777" w:rsidR="00877E3A" w:rsidRPr="00226892" w:rsidRDefault="00877E3A" w:rsidP="00FD21B8">
            <w:pPr>
              <w:jc w:val="right"/>
              <w:rPr>
                <w:rFonts w:ascii="Arial" w:eastAsia="Times New Roman" w:hAnsi="Arial" w:cs="Arial"/>
                <w:b/>
                <w:bCs/>
                <w:color w:val="000000"/>
                <w:sz w:val="16"/>
                <w:szCs w:val="16"/>
                <w:lang w:val="sk-SK" w:eastAsia="sk-SK"/>
              </w:rPr>
            </w:pPr>
          </w:p>
        </w:tc>
        <w:tc>
          <w:tcPr>
            <w:tcW w:w="523" w:type="pct"/>
            <w:tcBorders>
              <w:top w:val="single" w:sz="4" w:space="0" w:color="auto"/>
              <w:left w:val="nil"/>
              <w:bottom w:val="double" w:sz="6" w:space="0" w:color="auto"/>
              <w:right w:val="nil"/>
            </w:tcBorders>
            <w:shd w:val="clear" w:color="auto" w:fill="auto"/>
            <w:vAlign w:val="bottom"/>
            <w:hideMark/>
          </w:tcPr>
          <w:p w14:paraId="2FCA0C27" w14:textId="52F75B57" w:rsidR="00877E3A" w:rsidRPr="00226892" w:rsidRDefault="00192DA7" w:rsidP="00FD21B8">
            <w:pPr>
              <w:jc w:val="right"/>
              <w:rPr>
                <w:rFonts w:ascii="Arial" w:eastAsia="Times New Roman" w:hAnsi="Arial" w:cs="Arial"/>
                <w:b/>
                <w:bCs/>
                <w:color w:val="000000"/>
                <w:sz w:val="16"/>
                <w:szCs w:val="16"/>
                <w:lang w:val="sk-SK" w:eastAsia="sk-SK"/>
              </w:rPr>
            </w:pPr>
            <w:r w:rsidRPr="00226892">
              <w:rPr>
                <w:rFonts w:ascii="Arial" w:eastAsia="Times New Roman" w:hAnsi="Arial" w:cs="Arial"/>
                <w:b/>
                <w:bCs/>
                <w:color w:val="000000"/>
                <w:sz w:val="16"/>
                <w:szCs w:val="16"/>
                <w:lang w:val="sk-SK" w:eastAsia="sk-SK"/>
              </w:rPr>
              <w:t>6 586</w:t>
            </w:r>
            <w:r w:rsidR="00877E3A" w:rsidRPr="00226892">
              <w:rPr>
                <w:rFonts w:ascii="Arial" w:eastAsia="Times New Roman" w:hAnsi="Arial" w:cs="Arial"/>
                <w:b/>
                <w:bCs/>
                <w:color w:val="000000"/>
                <w:sz w:val="16"/>
                <w:szCs w:val="16"/>
                <w:lang w:val="sk-SK" w:eastAsia="sk-SK"/>
              </w:rPr>
              <w:t xml:space="preserve">    </w:t>
            </w:r>
          </w:p>
        </w:tc>
        <w:tc>
          <w:tcPr>
            <w:tcW w:w="87" w:type="pct"/>
            <w:tcBorders>
              <w:top w:val="nil"/>
              <w:left w:val="nil"/>
              <w:bottom w:val="nil"/>
              <w:right w:val="nil"/>
            </w:tcBorders>
            <w:shd w:val="clear" w:color="auto" w:fill="auto"/>
            <w:vAlign w:val="bottom"/>
            <w:hideMark/>
          </w:tcPr>
          <w:p w14:paraId="75410756" w14:textId="77777777" w:rsidR="00877E3A" w:rsidRPr="00226892" w:rsidRDefault="00877E3A" w:rsidP="00FD21B8">
            <w:pPr>
              <w:jc w:val="right"/>
              <w:rPr>
                <w:rFonts w:ascii="Arial" w:eastAsia="Times New Roman" w:hAnsi="Arial" w:cs="Arial"/>
                <w:b/>
                <w:bCs/>
                <w:color w:val="000000"/>
                <w:sz w:val="16"/>
                <w:szCs w:val="16"/>
                <w:lang w:val="sk-SK" w:eastAsia="sk-SK"/>
              </w:rPr>
            </w:pPr>
          </w:p>
        </w:tc>
        <w:tc>
          <w:tcPr>
            <w:tcW w:w="552" w:type="pct"/>
            <w:tcBorders>
              <w:top w:val="single" w:sz="4" w:space="0" w:color="auto"/>
              <w:left w:val="nil"/>
              <w:bottom w:val="double" w:sz="6" w:space="0" w:color="auto"/>
              <w:right w:val="nil"/>
            </w:tcBorders>
            <w:shd w:val="clear" w:color="auto" w:fill="auto"/>
            <w:vAlign w:val="bottom"/>
            <w:hideMark/>
          </w:tcPr>
          <w:p w14:paraId="5AC35FE8" w14:textId="383C33E8" w:rsidR="00877E3A" w:rsidRPr="00226892" w:rsidRDefault="00877E3A" w:rsidP="00FD21B8">
            <w:pPr>
              <w:jc w:val="right"/>
              <w:rPr>
                <w:rFonts w:ascii="Arial" w:eastAsia="Times New Roman" w:hAnsi="Arial" w:cs="Arial"/>
                <w:b/>
                <w:bCs/>
                <w:color w:val="000000"/>
                <w:sz w:val="16"/>
                <w:szCs w:val="16"/>
                <w:lang w:val="sk-SK" w:eastAsia="sk-SK"/>
              </w:rPr>
            </w:pPr>
            <w:r w:rsidRPr="00226892">
              <w:rPr>
                <w:rFonts w:ascii="Arial" w:eastAsia="Times New Roman" w:hAnsi="Arial" w:cs="Arial"/>
                <w:b/>
                <w:bCs/>
                <w:color w:val="000000"/>
                <w:sz w:val="16"/>
                <w:szCs w:val="16"/>
                <w:lang w:val="sk-SK" w:eastAsia="sk-SK"/>
              </w:rPr>
              <w:t xml:space="preserve">         </w:t>
            </w:r>
            <w:r w:rsidR="00192DA7" w:rsidRPr="00226892">
              <w:rPr>
                <w:rFonts w:ascii="Arial" w:eastAsia="Times New Roman" w:hAnsi="Arial" w:cs="Arial"/>
                <w:b/>
                <w:bCs/>
                <w:color w:val="000000"/>
                <w:sz w:val="16"/>
                <w:szCs w:val="16"/>
                <w:lang w:val="sk-SK" w:eastAsia="sk-SK"/>
              </w:rPr>
              <w:t>5 242</w:t>
            </w:r>
            <w:r w:rsidRPr="00226892">
              <w:rPr>
                <w:rFonts w:ascii="Arial" w:eastAsia="Times New Roman" w:hAnsi="Arial" w:cs="Arial"/>
                <w:b/>
                <w:bCs/>
                <w:color w:val="000000"/>
                <w:sz w:val="16"/>
                <w:szCs w:val="16"/>
                <w:lang w:val="sk-SK" w:eastAsia="sk-SK"/>
              </w:rPr>
              <w:t xml:space="preserve">    </w:t>
            </w:r>
          </w:p>
        </w:tc>
        <w:tc>
          <w:tcPr>
            <w:tcW w:w="109" w:type="pct"/>
            <w:tcBorders>
              <w:top w:val="nil"/>
              <w:left w:val="nil"/>
              <w:bottom w:val="nil"/>
              <w:right w:val="nil"/>
            </w:tcBorders>
            <w:shd w:val="clear" w:color="auto" w:fill="auto"/>
            <w:vAlign w:val="bottom"/>
            <w:hideMark/>
          </w:tcPr>
          <w:p w14:paraId="14433641" w14:textId="77777777" w:rsidR="00877E3A" w:rsidRPr="00226892" w:rsidRDefault="00877E3A" w:rsidP="00FD21B8">
            <w:pPr>
              <w:jc w:val="right"/>
              <w:rPr>
                <w:rFonts w:ascii="Arial" w:eastAsia="Times New Roman" w:hAnsi="Arial" w:cs="Arial"/>
                <w:b/>
                <w:bCs/>
                <w:color w:val="000000"/>
                <w:sz w:val="16"/>
                <w:szCs w:val="16"/>
                <w:lang w:val="sk-SK" w:eastAsia="sk-SK"/>
              </w:rPr>
            </w:pPr>
          </w:p>
        </w:tc>
        <w:tc>
          <w:tcPr>
            <w:tcW w:w="537" w:type="pct"/>
            <w:tcBorders>
              <w:top w:val="single" w:sz="4" w:space="0" w:color="auto"/>
              <w:left w:val="nil"/>
              <w:bottom w:val="double" w:sz="6" w:space="0" w:color="auto"/>
              <w:right w:val="nil"/>
            </w:tcBorders>
            <w:shd w:val="clear" w:color="auto" w:fill="auto"/>
            <w:vAlign w:val="bottom"/>
            <w:hideMark/>
          </w:tcPr>
          <w:p w14:paraId="71850F76" w14:textId="12CF63ED" w:rsidR="00877E3A" w:rsidRPr="00226892" w:rsidRDefault="00877E3A" w:rsidP="00FD21B8">
            <w:pPr>
              <w:jc w:val="right"/>
              <w:rPr>
                <w:rFonts w:ascii="Arial" w:eastAsia="Times New Roman" w:hAnsi="Arial" w:cs="Arial"/>
                <w:b/>
                <w:bCs/>
                <w:color w:val="000000"/>
                <w:sz w:val="16"/>
                <w:szCs w:val="16"/>
                <w:lang w:val="sk-SK" w:eastAsia="sk-SK"/>
              </w:rPr>
            </w:pPr>
            <w:r w:rsidRPr="00226892">
              <w:rPr>
                <w:rFonts w:ascii="Arial" w:eastAsia="Times New Roman" w:hAnsi="Arial" w:cs="Arial"/>
                <w:b/>
                <w:bCs/>
                <w:color w:val="000000"/>
                <w:sz w:val="16"/>
                <w:szCs w:val="16"/>
                <w:lang w:val="sk-SK" w:eastAsia="sk-SK"/>
              </w:rPr>
              <w:t xml:space="preserve">        </w:t>
            </w:r>
            <w:r w:rsidR="00192DA7" w:rsidRPr="00226892">
              <w:rPr>
                <w:rFonts w:ascii="Arial" w:eastAsia="Times New Roman" w:hAnsi="Arial" w:cs="Arial"/>
                <w:b/>
                <w:bCs/>
                <w:color w:val="000000"/>
                <w:sz w:val="16"/>
                <w:szCs w:val="16"/>
                <w:lang w:val="sk-SK" w:eastAsia="sk-SK"/>
              </w:rPr>
              <w:t>386</w:t>
            </w:r>
            <w:r w:rsidRPr="00226892">
              <w:rPr>
                <w:rFonts w:ascii="Arial" w:eastAsia="Times New Roman" w:hAnsi="Arial" w:cs="Arial"/>
                <w:b/>
                <w:bCs/>
                <w:color w:val="000000"/>
                <w:sz w:val="16"/>
                <w:szCs w:val="16"/>
                <w:lang w:val="sk-SK" w:eastAsia="sk-SK"/>
              </w:rPr>
              <w:t xml:space="preserve">    </w:t>
            </w:r>
          </w:p>
        </w:tc>
        <w:tc>
          <w:tcPr>
            <w:tcW w:w="87" w:type="pct"/>
            <w:tcBorders>
              <w:top w:val="nil"/>
              <w:left w:val="nil"/>
              <w:bottom w:val="nil"/>
              <w:right w:val="nil"/>
            </w:tcBorders>
            <w:shd w:val="clear" w:color="auto" w:fill="auto"/>
            <w:vAlign w:val="bottom"/>
            <w:hideMark/>
          </w:tcPr>
          <w:p w14:paraId="18AF1662" w14:textId="77777777" w:rsidR="00877E3A" w:rsidRPr="00226892" w:rsidRDefault="00877E3A" w:rsidP="00FD21B8">
            <w:pPr>
              <w:jc w:val="right"/>
              <w:rPr>
                <w:rFonts w:ascii="Arial" w:eastAsia="Times New Roman" w:hAnsi="Arial" w:cs="Arial"/>
                <w:b/>
                <w:bCs/>
                <w:color w:val="000000"/>
                <w:sz w:val="16"/>
                <w:szCs w:val="16"/>
                <w:lang w:val="sk-SK" w:eastAsia="sk-SK"/>
              </w:rPr>
            </w:pPr>
          </w:p>
        </w:tc>
        <w:tc>
          <w:tcPr>
            <w:tcW w:w="365" w:type="pct"/>
            <w:tcBorders>
              <w:top w:val="single" w:sz="4" w:space="0" w:color="auto"/>
              <w:left w:val="nil"/>
              <w:bottom w:val="double" w:sz="6" w:space="0" w:color="auto"/>
              <w:right w:val="nil"/>
            </w:tcBorders>
            <w:shd w:val="clear" w:color="auto" w:fill="auto"/>
            <w:vAlign w:val="bottom"/>
            <w:hideMark/>
          </w:tcPr>
          <w:p w14:paraId="0FFA7277" w14:textId="3A39CE3D" w:rsidR="00877E3A" w:rsidRPr="00226892" w:rsidRDefault="00877E3A" w:rsidP="00FD21B8">
            <w:pPr>
              <w:jc w:val="right"/>
              <w:rPr>
                <w:rFonts w:ascii="Arial" w:eastAsia="Times New Roman" w:hAnsi="Arial" w:cs="Arial"/>
                <w:b/>
                <w:bCs/>
                <w:color w:val="000000"/>
                <w:sz w:val="16"/>
                <w:szCs w:val="16"/>
                <w:lang w:val="sk-SK" w:eastAsia="sk-SK"/>
              </w:rPr>
            </w:pPr>
            <w:r w:rsidRPr="00226892">
              <w:rPr>
                <w:rFonts w:ascii="Arial" w:eastAsia="Times New Roman" w:hAnsi="Arial" w:cs="Arial"/>
                <w:b/>
                <w:bCs/>
                <w:color w:val="000000"/>
                <w:sz w:val="16"/>
                <w:szCs w:val="16"/>
                <w:lang w:val="sk-SK" w:eastAsia="sk-SK"/>
              </w:rPr>
              <w:t xml:space="preserve">   </w:t>
            </w:r>
            <w:r w:rsidR="00192DA7" w:rsidRPr="00226892">
              <w:rPr>
                <w:rFonts w:ascii="Arial" w:eastAsia="Times New Roman" w:hAnsi="Arial" w:cs="Arial"/>
                <w:b/>
                <w:bCs/>
                <w:color w:val="000000"/>
                <w:sz w:val="16"/>
                <w:szCs w:val="16"/>
                <w:lang w:val="sk-SK" w:eastAsia="sk-SK"/>
              </w:rPr>
              <w:t>100</w:t>
            </w:r>
            <w:r w:rsidRPr="00226892">
              <w:rPr>
                <w:rFonts w:ascii="Arial" w:eastAsia="Times New Roman" w:hAnsi="Arial" w:cs="Arial"/>
                <w:b/>
                <w:bCs/>
                <w:color w:val="000000"/>
                <w:sz w:val="16"/>
                <w:szCs w:val="16"/>
                <w:lang w:val="sk-SK" w:eastAsia="sk-SK"/>
              </w:rPr>
              <w:t xml:space="preserve">    </w:t>
            </w:r>
          </w:p>
        </w:tc>
        <w:tc>
          <w:tcPr>
            <w:tcW w:w="98" w:type="pct"/>
            <w:tcBorders>
              <w:top w:val="nil"/>
              <w:left w:val="nil"/>
              <w:bottom w:val="nil"/>
              <w:right w:val="nil"/>
            </w:tcBorders>
            <w:shd w:val="clear" w:color="auto" w:fill="auto"/>
            <w:vAlign w:val="bottom"/>
            <w:hideMark/>
          </w:tcPr>
          <w:p w14:paraId="1605EFF0" w14:textId="77777777" w:rsidR="00877E3A" w:rsidRPr="00226892" w:rsidRDefault="00877E3A" w:rsidP="00FD21B8">
            <w:pPr>
              <w:jc w:val="right"/>
              <w:rPr>
                <w:rFonts w:ascii="Arial" w:eastAsia="Times New Roman" w:hAnsi="Arial" w:cs="Arial"/>
                <w:b/>
                <w:bCs/>
                <w:color w:val="000000"/>
                <w:sz w:val="16"/>
                <w:szCs w:val="16"/>
                <w:lang w:val="sk-SK" w:eastAsia="sk-SK"/>
              </w:rPr>
            </w:pPr>
          </w:p>
        </w:tc>
        <w:tc>
          <w:tcPr>
            <w:tcW w:w="572" w:type="pct"/>
            <w:tcBorders>
              <w:left w:val="nil"/>
              <w:right w:val="nil"/>
            </w:tcBorders>
            <w:shd w:val="clear" w:color="auto" w:fill="auto"/>
            <w:vAlign w:val="bottom"/>
          </w:tcPr>
          <w:p w14:paraId="7CD28035" w14:textId="6FDEE292" w:rsidR="00877E3A" w:rsidRPr="00226892" w:rsidRDefault="00877E3A" w:rsidP="00FD21B8">
            <w:pPr>
              <w:jc w:val="right"/>
              <w:rPr>
                <w:rFonts w:ascii="Arial" w:eastAsia="Times New Roman" w:hAnsi="Arial" w:cs="Arial"/>
                <w:b/>
                <w:bCs/>
                <w:color w:val="000000"/>
                <w:sz w:val="16"/>
                <w:szCs w:val="16"/>
                <w:lang w:val="sk-SK" w:eastAsia="sk-SK"/>
              </w:rPr>
            </w:pPr>
          </w:p>
        </w:tc>
      </w:tr>
    </w:tbl>
    <w:p w14:paraId="0FE2972B" w14:textId="3D5E14B6" w:rsidR="00BB4AE1" w:rsidRPr="00226892" w:rsidRDefault="00BB4AE1" w:rsidP="00877E3A">
      <w:pPr>
        <w:ind w:left="426"/>
        <w:jc w:val="both"/>
        <w:rPr>
          <w:rFonts w:ascii="Arial" w:hAnsi="Arial" w:cs="Arial"/>
          <w:sz w:val="18"/>
          <w:szCs w:val="18"/>
          <w:lang w:val="sk-SK" w:eastAsia="sk-SK"/>
        </w:rPr>
      </w:pPr>
      <w:r w:rsidRPr="00226892">
        <w:rPr>
          <w:rFonts w:ascii="Arial" w:hAnsi="Arial" w:cs="Arial"/>
          <w:sz w:val="18"/>
          <w:szCs w:val="18"/>
          <w:lang w:val="sk-SK" w:eastAsia="sk-SK"/>
        </w:rPr>
        <w:t xml:space="preserve"> </w:t>
      </w:r>
      <w:bookmarkEnd w:id="386"/>
      <w:r w:rsidRPr="00226892">
        <w:rPr>
          <w:rFonts w:ascii="Arial" w:hAnsi="Arial" w:cs="Arial"/>
          <w:sz w:val="18"/>
          <w:szCs w:val="18"/>
          <w:lang w:val="sk-SK" w:eastAsia="sk-SK"/>
        </w:rPr>
        <w:t xml:space="preserve"> </w:t>
      </w:r>
    </w:p>
    <w:p w14:paraId="5D4D67B3" w14:textId="7CEB37BF" w:rsidR="00FB3F19" w:rsidRPr="00226892" w:rsidRDefault="00FB3F19" w:rsidP="00877E3A">
      <w:pPr>
        <w:ind w:left="426"/>
        <w:jc w:val="both"/>
        <w:rPr>
          <w:rFonts w:ascii="Arial" w:hAnsi="Arial" w:cs="Arial"/>
          <w:sz w:val="18"/>
          <w:szCs w:val="18"/>
          <w:lang w:val="sk-SK" w:eastAsia="sk-SK"/>
        </w:rPr>
      </w:pPr>
    </w:p>
    <w:p w14:paraId="1187B082" w14:textId="7844DA6D" w:rsidR="00877E3A" w:rsidRPr="00226892" w:rsidRDefault="00FB3F19" w:rsidP="00FE07F6">
      <w:pPr>
        <w:jc w:val="both"/>
        <w:rPr>
          <w:rFonts w:ascii="Arial" w:hAnsi="Arial" w:cs="Arial"/>
        </w:rPr>
      </w:pPr>
      <w:proofErr w:type="spellStart"/>
      <w:r w:rsidRPr="00226892">
        <w:rPr>
          <w:rFonts w:ascii="Arial" w:eastAsia="Times New Roman" w:hAnsi="Arial" w:cs="Arial"/>
          <w:bCs/>
          <w:color w:val="000000"/>
          <w:szCs w:val="18"/>
          <w:lang w:eastAsia="sk-SK"/>
        </w:rPr>
        <w:t>Rok</w:t>
      </w:r>
      <w:proofErr w:type="spellEnd"/>
      <w:r w:rsidRPr="00226892">
        <w:rPr>
          <w:rFonts w:ascii="Arial" w:eastAsia="Times New Roman" w:hAnsi="Arial" w:cs="Arial"/>
          <w:bCs/>
          <w:color w:val="000000"/>
          <w:szCs w:val="18"/>
          <w:lang w:eastAsia="sk-SK"/>
        </w:rPr>
        <w:t xml:space="preserve"> </w:t>
      </w:r>
      <w:r w:rsidR="00F63A77" w:rsidRPr="00226892">
        <w:rPr>
          <w:rFonts w:ascii="Arial" w:eastAsia="Times New Roman" w:hAnsi="Arial" w:cs="Arial"/>
          <w:bCs/>
          <w:color w:val="000000"/>
          <w:szCs w:val="18"/>
          <w:lang w:eastAsia="sk-SK"/>
        </w:rPr>
        <w:t>201</w:t>
      </w:r>
      <w:r w:rsidR="00922B65" w:rsidRPr="00226892">
        <w:rPr>
          <w:rFonts w:ascii="Arial" w:eastAsia="Times New Roman" w:hAnsi="Arial" w:cs="Arial"/>
          <w:bCs/>
          <w:color w:val="000000"/>
          <w:szCs w:val="18"/>
          <w:lang w:eastAsia="sk-SK"/>
        </w:rPr>
        <w:t>8</w:t>
      </w:r>
      <w:r w:rsidR="004866C9" w:rsidRPr="00226892">
        <w:rPr>
          <w:rFonts w:ascii="Arial" w:hAnsi="Arial" w:cs="Arial"/>
        </w:rPr>
        <w:t xml:space="preserve">  </w:t>
      </w:r>
      <w:bookmarkStart w:id="388" w:name="FWT_AssAndJointVentFinDataPY"/>
      <w:r w:rsidR="00BB4AE1" w:rsidRPr="00226892">
        <w:rPr>
          <w:rFonts w:ascii="Arial" w:hAnsi="Arial" w:cs="Arial"/>
        </w:rPr>
        <w:t xml:space="preserve"> </w:t>
      </w:r>
    </w:p>
    <w:tbl>
      <w:tblPr>
        <w:tblW w:w="5000" w:type="pct"/>
        <w:tblCellMar>
          <w:left w:w="70" w:type="dxa"/>
          <w:right w:w="70" w:type="dxa"/>
        </w:tblCellMar>
        <w:tblLook w:val="04A0" w:firstRow="1" w:lastRow="0" w:firstColumn="1" w:lastColumn="0" w:noHBand="0" w:noVBand="1"/>
      </w:tblPr>
      <w:tblGrid>
        <w:gridCol w:w="1556"/>
        <w:gridCol w:w="185"/>
        <w:gridCol w:w="896"/>
        <w:gridCol w:w="162"/>
        <w:gridCol w:w="1014"/>
        <w:gridCol w:w="166"/>
        <w:gridCol w:w="1020"/>
        <w:gridCol w:w="172"/>
        <w:gridCol w:w="1083"/>
        <w:gridCol w:w="177"/>
        <w:gridCol w:w="1053"/>
        <w:gridCol w:w="177"/>
        <w:gridCol w:w="752"/>
        <w:gridCol w:w="191"/>
        <w:gridCol w:w="1035"/>
      </w:tblGrid>
      <w:tr w:rsidR="00FB3F19" w:rsidRPr="00226892" w14:paraId="79DB6779" w14:textId="77777777" w:rsidTr="006836EB">
        <w:trPr>
          <w:trHeight w:val="227"/>
        </w:trPr>
        <w:tc>
          <w:tcPr>
            <w:tcW w:w="807" w:type="pct"/>
            <w:tcBorders>
              <w:top w:val="nil"/>
              <w:left w:val="nil"/>
              <w:bottom w:val="single" w:sz="4" w:space="0" w:color="auto"/>
              <w:right w:val="nil"/>
            </w:tcBorders>
            <w:shd w:val="clear" w:color="auto" w:fill="auto"/>
            <w:noWrap/>
            <w:vAlign w:val="bottom"/>
            <w:hideMark/>
          </w:tcPr>
          <w:p w14:paraId="1D8B1DA8" w14:textId="77777777" w:rsidR="00877E3A" w:rsidRPr="00226892" w:rsidRDefault="00877E3A" w:rsidP="006836EB">
            <w:pPr>
              <w:jc w:val="center"/>
              <w:rPr>
                <w:rFonts w:ascii="Arial" w:eastAsia="Times New Roman" w:hAnsi="Arial" w:cs="Arial"/>
                <w:b/>
                <w:bCs/>
                <w:color w:val="000000"/>
                <w:sz w:val="16"/>
                <w:szCs w:val="16"/>
                <w:lang w:val="sk-SK" w:eastAsia="sk-SK"/>
              </w:rPr>
            </w:pPr>
            <w:bookmarkStart w:id="389" w:name="RANGE!C17:Q28"/>
            <w:r w:rsidRPr="00226892">
              <w:rPr>
                <w:rFonts w:ascii="Arial" w:eastAsia="Times New Roman" w:hAnsi="Arial" w:cs="Arial"/>
                <w:b/>
                <w:bCs/>
                <w:color w:val="000000"/>
                <w:sz w:val="16"/>
                <w:szCs w:val="16"/>
                <w:lang w:val="sk-SK" w:eastAsia="sk-SK"/>
              </w:rPr>
              <w:t>Názov spoločnosti</w:t>
            </w:r>
            <w:bookmarkEnd w:id="389"/>
          </w:p>
        </w:tc>
        <w:tc>
          <w:tcPr>
            <w:tcW w:w="96" w:type="pct"/>
            <w:tcBorders>
              <w:top w:val="nil"/>
              <w:left w:val="nil"/>
              <w:bottom w:val="single" w:sz="4" w:space="0" w:color="auto"/>
              <w:right w:val="nil"/>
            </w:tcBorders>
            <w:shd w:val="clear" w:color="auto" w:fill="auto"/>
            <w:noWrap/>
            <w:vAlign w:val="bottom"/>
            <w:hideMark/>
          </w:tcPr>
          <w:p w14:paraId="7CFD72DF" w14:textId="094265EF" w:rsidR="00877E3A" w:rsidRPr="00226892" w:rsidRDefault="00877E3A" w:rsidP="006836EB">
            <w:pPr>
              <w:jc w:val="center"/>
              <w:rPr>
                <w:rFonts w:ascii="Arial" w:eastAsia="Times New Roman" w:hAnsi="Arial" w:cs="Arial"/>
                <w:color w:val="000000"/>
                <w:sz w:val="16"/>
                <w:szCs w:val="16"/>
                <w:lang w:val="sk-SK" w:eastAsia="sk-SK"/>
              </w:rPr>
            </w:pPr>
          </w:p>
        </w:tc>
        <w:tc>
          <w:tcPr>
            <w:tcW w:w="465" w:type="pct"/>
            <w:tcBorders>
              <w:top w:val="nil"/>
              <w:left w:val="nil"/>
              <w:bottom w:val="single" w:sz="4" w:space="0" w:color="auto"/>
              <w:right w:val="nil"/>
            </w:tcBorders>
            <w:shd w:val="clear" w:color="auto" w:fill="auto"/>
            <w:vAlign w:val="bottom"/>
            <w:hideMark/>
          </w:tcPr>
          <w:p w14:paraId="222CC1BC" w14:textId="54C0541C" w:rsidR="00877E3A" w:rsidRPr="00226892" w:rsidRDefault="00F77116" w:rsidP="006836EB">
            <w:pPr>
              <w:jc w:val="center"/>
              <w:rPr>
                <w:rFonts w:ascii="Arial" w:eastAsia="Times New Roman" w:hAnsi="Arial" w:cs="Arial"/>
                <w:b/>
                <w:bCs/>
                <w:color w:val="000000"/>
                <w:sz w:val="16"/>
                <w:szCs w:val="16"/>
                <w:lang w:val="sk-SK" w:eastAsia="sk-SK"/>
              </w:rPr>
            </w:pPr>
            <w:r w:rsidRPr="00226892">
              <w:rPr>
                <w:rFonts w:ascii="Arial" w:eastAsia="Times New Roman" w:hAnsi="Arial" w:cs="Arial"/>
                <w:b/>
                <w:bCs/>
                <w:color w:val="000000"/>
                <w:sz w:val="16"/>
                <w:szCs w:val="16"/>
                <w:lang w:val="sk-SK" w:eastAsia="sk-SK"/>
              </w:rPr>
              <w:t>Neobežné aktíva</w:t>
            </w:r>
          </w:p>
        </w:tc>
        <w:tc>
          <w:tcPr>
            <w:tcW w:w="84" w:type="pct"/>
            <w:tcBorders>
              <w:top w:val="nil"/>
              <w:left w:val="nil"/>
              <w:bottom w:val="single" w:sz="4" w:space="0" w:color="auto"/>
              <w:right w:val="nil"/>
            </w:tcBorders>
            <w:shd w:val="clear" w:color="auto" w:fill="auto"/>
            <w:noWrap/>
            <w:vAlign w:val="bottom"/>
            <w:hideMark/>
          </w:tcPr>
          <w:p w14:paraId="2A11125B" w14:textId="71678C1D" w:rsidR="00877E3A" w:rsidRPr="00226892" w:rsidRDefault="00877E3A" w:rsidP="006836EB">
            <w:pPr>
              <w:jc w:val="center"/>
              <w:rPr>
                <w:rFonts w:ascii="Arial" w:eastAsia="Times New Roman" w:hAnsi="Arial" w:cs="Arial"/>
                <w:color w:val="000000"/>
                <w:sz w:val="16"/>
                <w:szCs w:val="16"/>
                <w:lang w:val="sk-SK" w:eastAsia="sk-SK"/>
              </w:rPr>
            </w:pPr>
          </w:p>
        </w:tc>
        <w:tc>
          <w:tcPr>
            <w:tcW w:w="526" w:type="pct"/>
            <w:tcBorders>
              <w:top w:val="nil"/>
              <w:left w:val="nil"/>
              <w:bottom w:val="single" w:sz="4" w:space="0" w:color="auto"/>
              <w:right w:val="nil"/>
            </w:tcBorders>
            <w:shd w:val="clear" w:color="auto" w:fill="auto"/>
            <w:vAlign w:val="bottom"/>
            <w:hideMark/>
          </w:tcPr>
          <w:p w14:paraId="6BF9E45A" w14:textId="70665410" w:rsidR="00877E3A" w:rsidRPr="00226892" w:rsidRDefault="00877E3A" w:rsidP="006836EB">
            <w:pPr>
              <w:jc w:val="center"/>
              <w:rPr>
                <w:rFonts w:ascii="Arial" w:eastAsia="Times New Roman" w:hAnsi="Arial" w:cs="Arial"/>
                <w:b/>
                <w:bCs/>
                <w:color w:val="000000"/>
                <w:sz w:val="16"/>
                <w:szCs w:val="16"/>
                <w:lang w:val="sk-SK" w:eastAsia="sk-SK"/>
              </w:rPr>
            </w:pPr>
            <w:r w:rsidRPr="00226892">
              <w:rPr>
                <w:rFonts w:ascii="Arial" w:eastAsia="Times New Roman" w:hAnsi="Arial" w:cs="Arial"/>
                <w:b/>
                <w:bCs/>
                <w:color w:val="000000"/>
                <w:sz w:val="16"/>
                <w:szCs w:val="16"/>
                <w:lang w:val="sk-SK" w:eastAsia="sk-SK"/>
              </w:rPr>
              <w:t>Obežné aktíva</w:t>
            </w:r>
          </w:p>
        </w:tc>
        <w:tc>
          <w:tcPr>
            <w:tcW w:w="86" w:type="pct"/>
            <w:tcBorders>
              <w:top w:val="nil"/>
              <w:left w:val="nil"/>
              <w:bottom w:val="single" w:sz="4" w:space="0" w:color="auto"/>
              <w:right w:val="nil"/>
            </w:tcBorders>
            <w:shd w:val="clear" w:color="auto" w:fill="auto"/>
            <w:vAlign w:val="bottom"/>
            <w:hideMark/>
          </w:tcPr>
          <w:p w14:paraId="6CBA52D8" w14:textId="20B3D8DC" w:rsidR="00877E3A" w:rsidRPr="00226892" w:rsidRDefault="00877E3A" w:rsidP="006836EB">
            <w:pPr>
              <w:jc w:val="center"/>
              <w:rPr>
                <w:rFonts w:ascii="Arial" w:eastAsia="Times New Roman" w:hAnsi="Arial" w:cs="Arial"/>
                <w:b/>
                <w:bCs/>
                <w:color w:val="000000"/>
                <w:sz w:val="16"/>
                <w:szCs w:val="16"/>
                <w:lang w:val="sk-SK" w:eastAsia="sk-SK"/>
              </w:rPr>
            </w:pPr>
          </w:p>
        </w:tc>
        <w:tc>
          <w:tcPr>
            <w:tcW w:w="529" w:type="pct"/>
            <w:tcBorders>
              <w:top w:val="nil"/>
              <w:left w:val="nil"/>
              <w:bottom w:val="single" w:sz="4" w:space="0" w:color="auto"/>
              <w:right w:val="nil"/>
            </w:tcBorders>
            <w:shd w:val="clear" w:color="auto" w:fill="auto"/>
            <w:vAlign w:val="bottom"/>
            <w:hideMark/>
          </w:tcPr>
          <w:p w14:paraId="430915F0" w14:textId="5EE144CB" w:rsidR="00877E3A" w:rsidRPr="00226892" w:rsidRDefault="000937FE" w:rsidP="006836EB">
            <w:pPr>
              <w:jc w:val="center"/>
              <w:rPr>
                <w:rFonts w:ascii="Arial" w:eastAsia="Times New Roman" w:hAnsi="Arial" w:cs="Arial"/>
                <w:b/>
                <w:bCs/>
                <w:color w:val="000000"/>
                <w:sz w:val="16"/>
                <w:szCs w:val="16"/>
                <w:lang w:val="sk-SK" w:eastAsia="sk-SK"/>
              </w:rPr>
            </w:pPr>
            <w:r w:rsidRPr="00226892">
              <w:rPr>
                <w:rFonts w:ascii="Arial" w:eastAsia="Times New Roman" w:hAnsi="Arial" w:cs="Arial"/>
                <w:b/>
                <w:bCs/>
                <w:color w:val="000000"/>
                <w:sz w:val="16"/>
                <w:szCs w:val="16"/>
                <w:lang w:val="sk-SK" w:eastAsia="sk-SK"/>
              </w:rPr>
              <w:t xml:space="preserve">Dlhodobé </w:t>
            </w:r>
            <w:r w:rsidR="00877E3A" w:rsidRPr="00226892">
              <w:rPr>
                <w:rFonts w:ascii="Arial" w:eastAsia="Times New Roman" w:hAnsi="Arial" w:cs="Arial"/>
                <w:b/>
                <w:bCs/>
                <w:color w:val="000000"/>
                <w:sz w:val="16"/>
                <w:szCs w:val="16"/>
                <w:lang w:val="sk-SK" w:eastAsia="sk-SK"/>
              </w:rPr>
              <w:t>záväzky</w:t>
            </w:r>
          </w:p>
        </w:tc>
        <w:tc>
          <w:tcPr>
            <w:tcW w:w="89" w:type="pct"/>
            <w:tcBorders>
              <w:top w:val="nil"/>
              <w:left w:val="nil"/>
              <w:bottom w:val="single" w:sz="4" w:space="0" w:color="auto"/>
              <w:right w:val="nil"/>
            </w:tcBorders>
            <w:shd w:val="clear" w:color="auto" w:fill="auto"/>
            <w:vAlign w:val="bottom"/>
            <w:hideMark/>
          </w:tcPr>
          <w:p w14:paraId="4E9B8090" w14:textId="03190308" w:rsidR="00877E3A" w:rsidRPr="00226892" w:rsidRDefault="00877E3A" w:rsidP="006836EB">
            <w:pPr>
              <w:jc w:val="center"/>
              <w:rPr>
                <w:rFonts w:ascii="Arial" w:eastAsia="Times New Roman" w:hAnsi="Arial" w:cs="Arial"/>
                <w:b/>
                <w:bCs/>
                <w:color w:val="000000"/>
                <w:sz w:val="16"/>
                <w:szCs w:val="16"/>
                <w:lang w:val="sk-SK" w:eastAsia="sk-SK"/>
              </w:rPr>
            </w:pPr>
          </w:p>
        </w:tc>
        <w:tc>
          <w:tcPr>
            <w:tcW w:w="562" w:type="pct"/>
            <w:tcBorders>
              <w:top w:val="nil"/>
              <w:left w:val="nil"/>
              <w:bottom w:val="single" w:sz="4" w:space="0" w:color="auto"/>
              <w:right w:val="nil"/>
            </w:tcBorders>
            <w:shd w:val="clear" w:color="auto" w:fill="auto"/>
            <w:vAlign w:val="bottom"/>
            <w:hideMark/>
          </w:tcPr>
          <w:p w14:paraId="3E9FEF20" w14:textId="20465FE0" w:rsidR="00877E3A" w:rsidRPr="00226892" w:rsidRDefault="000937FE" w:rsidP="006836EB">
            <w:pPr>
              <w:jc w:val="center"/>
              <w:rPr>
                <w:rFonts w:ascii="Arial" w:eastAsia="Times New Roman" w:hAnsi="Arial" w:cs="Arial"/>
                <w:b/>
                <w:bCs/>
                <w:color w:val="000000"/>
                <w:sz w:val="16"/>
                <w:szCs w:val="16"/>
                <w:lang w:val="sk-SK" w:eastAsia="sk-SK"/>
              </w:rPr>
            </w:pPr>
            <w:r w:rsidRPr="00226892">
              <w:rPr>
                <w:rFonts w:ascii="Arial" w:eastAsia="Times New Roman" w:hAnsi="Arial" w:cs="Arial"/>
                <w:b/>
                <w:bCs/>
                <w:color w:val="000000"/>
                <w:sz w:val="16"/>
                <w:szCs w:val="16"/>
                <w:lang w:val="sk-SK" w:eastAsia="sk-SK"/>
              </w:rPr>
              <w:t>Krátkodobé záväzky</w:t>
            </w:r>
          </w:p>
        </w:tc>
        <w:tc>
          <w:tcPr>
            <w:tcW w:w="92" w:type="pct"/>
            <w:tcBorders>
              <w:top w:val="nil"/>
              <w:left w:val="nil"/>
              <w:bottom w:val="single" w:sz="4" w:space="0" w:color="auto"/>
              <w:right w:val="nil"/>
            </w:tcBorders>
            <w:shd w:val="clear" w:color="auto" w:fill="auto"/>
            <w:vAlign w:val="bottom"/>
            <w:hideMark/>
          </w:tcPr>
          <w:p w14:paraId="18A57E29" w14:textId="46D8DC15" w:rsidR="00877E3A" w:rsidRPr="00226892" w:rsidRDefault="00877E3A" w:rsidP="006836EB">
            <w:pPr>
              <w:jc w:val="center"/>
              <w:rPr>
                <w:rFonts w:ascii="Arial" w:eastAsia="Times New Roman" w:hAnsi="Arial" w:cs="Arial"/>
                <w:b/>
                <w:bCs/>
                <w:color w:val="000000"/>
                <w:sz w:val="16"/>
                <w:szCs w:val="16"/>
                <w:lang w:val="sk-SK" w:eastAsia="sk-SK"/>
              </w:rPr>
            </w:pPr>
          </w:p>
        </w:tc>
        <w:tc>
          <w:tcPr>
            <w:tcW w:w="546" w:type="pct"/>
            <w:tcBorders>
              <w:top w:val="nil"/>
              <w:left w:val="nil"/>
              <w:bottom w:val="single" w:sz="4" w:space="0" w:color="auto"/>
              <w:right w:val="nil"/>
            </w:tcBorders>
            <w:shd w:val="clear" w:color="auto" w:fill="auto"/>
            <w:vAlign w:val="bottom"/>
            <w:hideMark/>
          </w:tcPr>
          <w:p w14:paraId="1FE5B513" w14:textId="2D7F1785" w:rsidR="00877E3A" w:rsidRPr="00226892" w:rsidRDefault="000937FE" w:rsidP="006836EB">
            <w:pPr>
              <w:jc w:val="center"/>
              <w:rPr>
                <w:rFonts w:ascii="Arial" w:eastAsia="Times New Roman" w:hAnsi="Arial" w:cs="Arial"/>
                <w:b/>
                <w:bCs/>
                <w:color w:val="000000"/>
                <w:sz w:val="16"/>
                <w:szCs w:val="16"/>
                <w:lang w:val="sk-SK" w:eastAsia="sk-SK"/>
              </w:rPr>
            </w:pPr>
            <w:r w:rsidRPr="00226892">
              <w:rPr>
                <w:rFonts w:ascii="Arial" w:eastAsia="Times New Roman" w:hAnsi="Arial" w:cs="Arial"/>
                <w:b/>
                <w:bCs/>
                <w:color w:val="000000"/>
                <w:sz w:val="16"/>
                <w:szCs w:val="16"/>
                <w:lang w:val="sk-SK" w:eastAsia="sk-SK"/>
              </w:rPr>
              <w:t>Čisté aktíva</w:t>
            </w:r>
          </w:p>
        </w:tc>
        <w:tc>
          <w:tcPr>
            <w:tcW w:w="92" w:type="pct"/>
            <w:tcBorders>
              <w:top w:val="nil"/>
              <w:left w:val="nil"/>
              <w:bottom w:val="single" w:sz="4" w:space="0" w:color="auto"/>
              <w:right w:val="nil"/>
            </w:tcBorders>
            <w:shd w:val="clear" w:color="auto" w:fill="auto"/>
            <w:vAlign w:val="bottom"/>
            <w:hideMark/>
          </w:tcPr>
          <w:p w14:paraId="4A606CFF" w14:textId="7FB6099A" w:rsidR="00877E3A" w:rsidRPr="00226892" w:rsidRDefault="00877E3A" w:rsidP="006836EB">
            <w:pPr>
              <w:jc w:val="center"/>
              <w:rPr>
                <w:rFonts w:ascii="Arial" w:eastAsia="Times New Roman" w:hAnsi="Arial" w:cs="Arial"/>
                <w:b/>
                <w:bCs/>
                <w:color w:val="000000"/>
                <w:sz w:val="16"/>
                <w:szCs w:val="16"/>
                <w:lang w:val="sk-SK" w:eastAsia="sk-SK"/>
              </w:rPr>
            </w:pPr>
          </w:p>
        </w:tc>
        <w:tc>
          <w:tcPr>
            <w:tcW w:w="390" w:type="pct"/>
            <w:tcBorders>
              <w:top w:val="nil"/>
              <w:left w:val="nil"/>
              <w:bottom w:val="single" w:sz="4" w:space="0" w:color="auto"/>
              <w:right w:val="nil"/>
            </w:tcBorders>
            <w:shd w:val="clear" w:color="auto" w:fill="auto"/>
            <w:vAlign w:val="bottom"/>
            <w:hideMark/>
          </w:tcPr>
          <w:p w14:paraId="70425D55" w14:textId="32D7A2A4" w:rsidR="00877E3A" w:rsidRPr="00226892" w:rsidRDefault="00877E3A" w:rsidP="006836EB">
            <w:pPr>
              <w:ind w:right="-51"/>
              <w:jc w:val="center"/>
              <w:rPr>
                <w:rFonts w:ascii="Arial" w:eastAsia="Times New Roman" w:hAnsi="Arial" w:cs="Arial"/>
                <w:b/>
                <w:bCs/>
                <w:color w:val="000000"/>
                <w:sz w:val="16"/>
                <w:szCs w:val="16"/>
                <w:lang w:val="sk-SK" w:eastAsia="sk-SK"/>
              </w:rPr>
            </w:pPr>
            <w:r w:rsidRPr="00226892">
              <w:rPr>
                <w:rFonts w:ascii="Arial" w:eastAsia="Times New Roman" w:hAnsi="Arial" w:cs="Arial"/>
                <w:b/>
                <w:bCs/>
                <w:color w:val="000000"/>
                <w:sz w:val="16"/>
                <w:szCs w:val="16"/>
                <w:lang w:val="sk-SK" w:eastAsia="sk-SK"/>
              </w:rPr>
              <w:t>Zisk / (-) strata</w:t>
            </w:r>
          </w:p>
        </w:tc>
        <w:tc>
          <w:tcPr>
            <w:tcW w:w="99" w:type="pct"/>
            <w:tcBorders>
              <w:top w:val="nil"/>
              <w:left w:val="nil"/>
              <w:bottom w:val="single" w:sz="4" w:space="0" w:color="auto"/>
              <w:right w:val="nil"/>
            </w:tcBorders>
            <w:shd w:val="clear" w:color="auto" w:fill="auto"/>
            <w:vAlign w:val="bottom"/>
            <w:hideMark/>
          </w:tcPr>
          <w:p w14:paraId="3D0378E5" w14:textId="1587361D" w:rsidR="00877E3A" w:rsidRPr="00226892" w:rsidRDefault="00877E3A" w:rsidP="006836EB">
            <w:pPr>
              <w:jc w:val="center"/>
              <w:rPr>
                <w:rFonts w:ascii="Arial" w:eastAsia="Times New Roman" w:hAnsi="Arial" w:cs="Arial"/>
                <w:b/>
                <w:bCs/>
                <w:color w:val="000000"/>
                <w:sz w:val="16"/>
                <w:szCs w:val="16"/>
                <w:lang w:val="sk-SK" w:eastAsia="sk-SK"/>
              </w:rPr>
            </w:pPr>
          </w:p>
        </w:tc>
        <w:tc>
          <w:tcPr>
            <w:tcW w:w="537" w:type="pct"/>
            <w:tcBorders>
              <w:top w:val="nil"/>
              <w:left w:val="nil"/>
              <w:bottom w:val="single" w:sz="4" w:space="0" w:color="auto"/>
              <w:right w:val="nil"/>
            </w:tcBorders>
            <w:shd w:val="clear" w:color="auto" w:fill="auto"/>
            <w:vAlign w:val="bottom"/>
            <w:hideMark/>
          </w:tcPr>
          <w:p w14:paraId="4941BC23" w14:textId="7B111224" w:rsidR="00877E3A" w:rsidRPr="00226892" w:rsidRDefault="00877E3A" w:rsidP="006836EB">
            <w:pPr>
              <w:ind w:left="-101" w:right="-10"/>
              <w:jc w:val="center"/>
              <w:rPr>
                <w:rFonts w:ascii="Arial" w:eastAsia="Times New Roman" w:hAnsi="Arial" w:cs="Arial"/>
                <w:b/>
                <w:bCs/>
                <w:color w:val="000000"/>
                <w:sz w:val="16"/>
                <w:szCs w:val="16"/>
                <w:lang w:val="sk-SK" w:eastAsia="sk-SK"/>
              </w:rPr>
            </w:pPr>
            <w:r w:rsidRPr="00226892">
              <w:rPr>
                <w:rFonts w:ascii="Arial" w:eastAsia="Times New Roman" w:hAnsi="Arial" w:cs="Arial"/>
                <w:b/>
                <w:bCs/>
                <w:color w:val="000000"/>
                <w:sz w:val="16"/>
                <w:szCs w:val="16"/>
                <w:lang w:val="sk-SK" w:eastAsia="sk-SK"/>
              </w:rPr>
              <w:t>Majetkový podiel v % k 31-12-</w:t>
            </w:r>
            <w:r w:rsidR="00F63A77" w:rsidRPr="00226892">
              <w:rPr>
                <w:rFonts w:ascii="Arial" w:eastAsia="Times New Roman" w:hAnsi="Arial" w:cs="Arial"/>
                <w:b/>
                <w:bCs/>
                <w:color w:val="000000"/>
                <w:sz w:val="16"/>
                <w:szCs w:val="16"/>
                <w:lang w:val="sk-SK" w:eastAsia="sk-SK"/>
              </w:rPr>
              <w:t>2017</w:t>
            </w:r>
          </w:p>
        </w:tc>
      </w:tr>
      <w:tr w:rsidR="00FB3F19" w:rsidRPr="00226892" w14:paraId="6711E898" w14:textId="77777777" w:rsidTr="006836EB">
        <w:trPr>
          <w:trHeight w:val="227"/>
        </w:trPr>
        <w:tc>
          <w:tcPr>
            <w:tcW w:w="807" w:type="pct"/>
            <w:tcBorders>
              <w:top w:val="nil"/>
              <w:left w:val="nil"/>
              <w:bottom w:val="nil"/>
              <w:right w:val="nil"/>
            </w:tcBorders>
            <w:shd w:val="clear" w:color="auto" w:fill="auto"/>
            <w:vAlign w:val="bottom"/>
            <w:hideMark/>
          </w:tcPr>
          <w:p w14:paraId="5E95EFDC" w14:textId="77777777" w:rsidR="00877E3A" w:rsidRPr="00226892" w:rsidRDefault="00877E3A" w:rsidP="00877E3A">
            <w:pPr>
              <w:rPr>
                <w:rFonts w:ascii="Arial" w:eastAsia="Times New Roman" w:hAnsi="Arial" w:cs="Arial"/>
                <w:b/>
                <w:bCs/>
                <w:color w:val="000000"/>
                <w:sz w:val="16"/>
                <w:szCs w:val="16"/>
                <w:lang w:val="sk-SK" w:eastAsia="sk-SK"/>
              </w:rPr>
            </w:pPr>
            <w:proofErr w:type="spellStart"/>
            <w:r w:rsidRPr="00226892">
              <w:rPr>
                <w:rFonts w:ascii="Arial" w:eastAsia="Times New Roman" w:hAnsi="Arial" w:cs="Arial"/>
                <w:b/>
                <w:bCs/>
                <w:color w:val="000000"/>
                <w:sz w:val="16"/>
                <w:szCs w:val="16"/>
                <w:lang w:val="sk-SK" w:eastAsia="sk-SK"/>
              </w:rPr>
              <w:t>Priružené</w:t>
            </w:r>
            <w:proofErr w:type="spellEnd"/>
            <w:r w:rsidRPr="00226892">
              <w:rPr>
                <w:rFonts w:ascii="Arial" w:eastAsia="Times New Roman" w:hAnsi="Arial" w:cs="Arial"/>
                <w:b/>
                <w:bCs/>
                <w:color w:val="000000"/>
                <w:sz w:val="16"/>
                <w:szCs w:val="16"/>
                <w:lang w:val="sk-SK" w:eastAsia="sk-SK"/>
              </w:rPr>
              <w:t xml:space="preserve"> podniky</w:t>
            </w:r>
          </w:p>
        </w:tc>
        <w:tc>
          <w:tcPr>
            <w:tcW w:w="96" w:type="pct"/>
            <w:tcBorders>
              <w:top w:val="nil"/>
              <w:left w:val="nil"/>
              <w:bottom w:val="nil"/>
              <w:right w:val="nil"/>
            </w:tcBorders>
            <w:shd w:val="clear" w:color="auto" w:fill="auto"/>
            <w:noWrap/>
            <w:vAlign w:val="bottom"/>
            <w:hideMark/>
          </w:tcPr>
          <w:p w14:paraId="391FBDA3" w14:textId="77777777" w:rsidR="00877E3A" w:rsidRPr="00226892" w:rsidRDefault="00877E3A" w:rsidP="00877E3A">
            <w:pPr>
              <w:rPr>
                <w:rFonts w:ascii="Arial" w:eastAsia="Times New Roman" w:hAnsi="Arial" w:cs="Arial"/>
                <w:b/>
                <w:bCs/>
                <w:color w:val="000000"/>
                <w:sz w:val="16"/>
                <w:szCs w:val="16"/>
                <w:lang w:val="sk-SK" w:eastAsia="sk-SK"/>
              </w:rPr>
            </w:pPr>
          </w:p>
        </w:tc>
        <w:tc>
          <w:tcPr>
            <w:tcW w:w="465" w:type="pct"/>
            <w:tcBorders>
              <w:top w:val="nil"/>
              <w:left w:val="nil"/>
              <w:bottom w:val="nil"/>
              <w:right w:val="nil"/>
            </w:tcBorders>
            <w:shd w:val="clear" w:color="auto" w:fill="auto"/>
            <w:vAlign w:val="bottom"/>
            <w:hideMark/>
          </w:tcPr>
          <w:p w14:paraId="11BAF394" w14:textId="77777777" w:rsidR="00877E3A" w:rsidRPr="00226892" w:rsidRDefault="00877E3A" w:rsidP="00FD21B8">
            <w:pPr>
              <w:jc w:val="right"/>
              <w:rPr>
                <w:rFonts w:ascii="Arial" w:eastAsia="Times New Roman" w:hAnsi="Arial" w:cs="Arial"/>
                <w:lang w:val="sk-SK" w:eastAsia="sk-SK"/>
              </w:rPr>
            </w:pPr>
          </w:p>
        </w:tc>
        <w:tc>
          <w:tcPr>
            <w:tcW w:w="84" w:type="pct"/>
            <w:tcBorders>
              <w:top w:val="nil"/>
              <w:left w:val="nil"/>
              <w:bottom w:val="nil"/>
              <w:right w:val="nil"/>
            </w:tcBorders>
            <w:shd w:val="clear" w:color="auto" w:fill="auto"/>
            <w:noWrap/>
            <w:vAlign w:val="bottom"/>
            <w:hideMark/>
          </w:tcPr>
          <w:p w14:paraId="4C1F34AE" w14:textId="77777777" w:rsidR="00877E3A" w:rsidRPr="00226892" w:rsidRDefault="00877E3A" w:rsidP="00FD21B8">
            <w:pPr>
              <w:jc w:val="right"/>
              <w:rPr>
                <w:rFonts w:ascii="Arial" w:eastAsia="Times New Roman" w:hAnsi="Arial" w:cs="Arial"/>
                <w:lang w:val="sk-SK" w:eastAsia="sk-SK"/>
              </w:rPr>
            </w:pPr>
          </w:p>
        </w:tc>
        <w:tc>
          <w:tcPr>
            <w:tcW w:w="526" w:type="pct"/>
            <w:tcBorders>
              <w:top w:val="nil"/>
              <w:left w:val="nil"/>
              <w:bottom w:val="nil"/>
              <w:right w:val="nil"/>
            </w:tcBorders>
            <w:shd w:val="clear" w:color="auto" w:fill="auto"/>
            <w:vAlign w:val="bottom"/>
            <w:hideMark/>
          </w:tcPr>
          <w:p w14:paraId="6434CEBA" w14:textId="77777777" w:rsidR="00877E3A" w:rsidRPr="00226892" w:rsidRDefault="00877E3A" w:rsidP="00FD21B8">
            <w:pPr>
              <w:jc w:val="right"/>
              <w:rPr>
                <w:rFonts w:ascii="Arial" w:eastAsia="Times New Roman" w:hAnsi="Arial" w:cs="Arial"/>
                <w:lang w:val="sk-SK" w:eastAsia="sk-SK"/>
              </w:rPr>
            </w:pPr>
          </w:p>
        </w:tc>
        <w:tc>
          <w:tcPr>
            <w:tcW w:w="86" w:type="pct"/>
            <w:tcBorders>
              <w:top w:val="nil"/>
              <w:left w:val="nil"/>
              <w:bottom w:val="nil"/>
              <w:right w:val="nil"/>
            </w:tcBorders>
            <w:shd w:val="clear" w:color="auto" w:fill="auto"/>
            <w:vAlign w:val="bottom"/>
            <w:hideMark/>
          </w:tcPr>
          <w:p w14:paraId="58EB9567" w14:textId="77777777" w:rsidR="00877E3A" w:rsidRPr="00226892" w:rsidRDefault="00877E3A" w:rsidP="00FD21B8">
            <w:pPr>
              <w:jc w:val="right"/>
              <w:rPr>
                <w:rFonts w:ascii="Arial" w:eastAsia="Times New Roman" w:hAnsi="Arial" w:cs="Arial"/>
                <w:lang w:val="sk-SK" w:eastAsia="sk-SK"/>
              </w:rPr>
            </w:pPr>
          </w:p>
        </w:tc>
        <w:tc>
          <w:tcPr>
            <w:tcW w:w="529" w:type="pct"/>
            <w:tcBorders>
              <w:top w:val="nil"/>
              <w:left w:val="nil"/>
              <w:bottom w:val="nil"/>
              <w:right w:val="nil"/>
            </w:tcBorders>
            <w:shd w:val="clear" w:color="auto" w:fill="auto"/>
            <w:vAlign w:val="bottom"/>
            <w:hideMark/>
          </w:tcPr>
          <w:p w14:paraId="60CF7678" w14:textId="77777777" w:rsidR="00877E3A" w:rsidRPr="00226892" w:rsidRDefault="00877E3A" w:rsidP="00FD21B8">
            <w:pPr>
              <w:jc w:val="right"/>
              <w:rPr>
                <w:rFonts w:ascii="Arial" w:eastAsia="Times New Roman" w:hAnsi="Arial" w:cs="Arial"/>
                <w:lang w:val="sk-SK" w:eastAsia="sk-SK"/>
              </w:rPr>
            </w:pPr>
          </w:p>
        </w:tc>
        <w:tc>
          <w:tcPr>
            <w:tcW w:w="89" w:type="pct"/>
            <w:tcBorders>
              <w:top w:val="nil"/>
              <w:left w:val="nil"/>
              <w:bottom w:val="nil"/>
              <w:right w:val="nil"/>
            </w:tcBorders>
            <w:shd w:val="clear" w:color="auto" w:fill="auto"/>
            <w:vAlign w:val="bottom"/>
            <w:hideMark/>
          </w:tcPr>
          <w:p w14:paraId="1200C292" w14:textId="77777777" w:rsidR="00877E3A" w:rsidRPr="00226892" w:rsidRDefault="00877E3A" w:rsidP="00FD21B8">
            <w:pPr>
              <w:jc w:val="right"/>
              <w:rPr>
                <w:rFonts w:ascii="Arial" w:eastAsia="Times New Roman" w:hAnsi="Arial" w:cs="Arial"/>
                <w:lang w:val="sk-SK" w:eastAsia="sk-SK"/>
              </w:rPr>
            </w:pPr>
          </w:p>
        </w:tc>
        <w:tc>
          <w:tcPr>
            <w:tcW w:w="562" w:type="pct"/>
            <w:tcBorders>
              <w:top w:val="nil"/>
              <w:left w:val="nil"/>
              <w:bottom w:val="nil"/>
              <w:right w:val="nil"/>
            </w:tcBorders>
            <w:shd w:val="clear" w:color="auto" w:fill="auto"/>
            <w:vAlign w:val="bottom"/>
            <w:hideMark/>
          </w:tcPr>
          <w:p w14:paraId="423520DF" w14:textId="77777777" w:rsidR="00877E3A" w:rsidRPr="00226892" w:rsidRDefault="00877E3A" w:rsidP="00FD21B8">
            <w:pPr>
              <w:jc w:val="right"/>
              <w:rPr>
                <w:rFonts w:ascii="Arial" w:eastAsia="Times New Roman" w:hAnsi="Arial" w:cs="Arial"/>
                <w:lang w:val="sk-SK" w:eastAsia="sk-SK"/>
              </w:rPr>
            </w:pPr>
          </w:p>
        </w:tc>
        <w:tc>
          <w:tcPr>
            <w:tcW w:w="92" w:type="pct"/>
            <w:tcBorders>
              <w:top w:val="nil"/>
              <w:left w:val="nil"/>
              <w:bottom w:val="nil"/>
              <w:right w:val="nil"/>
            </w:tcBorders>
            <w:shd w:val="clear" w:color="auto" w:fill="auto"/>
            <w:vAlign w:val="bottom"/>
            <w:hideMark/>
          </w:tcPr>
          <w:p w14:paraId="0B3AEFF2" w14:textId="77777777" w:rsidR="00877E3A" w:rsidRPr="00226892" w:rsidRDefault="00877E3A" w:rsidP="00FD21B8">
            <w:pPr>
              <w:jc w:val="right"/>
              <w:rPr>
                <w:rFonts w:ascii="Arial" w:eastAsia="Times New Roman" w:hAnsi="Arial" w:cs="Arial"/>
                <w:lang w:val="sk-SK" w:eastAsia="sk-SK"/>
              </w:rPr>
            </w:pPr>
          </w:p>
        </w:tc>
        <w:tc>
          <w:tcPr>
            <w:tcW w:w="546" w:type="pct"/>
            <w:tcBorders>
              <w:top w:val="nil"/>
              <w:left w:val="nil"/>
              <w:bottom w:val="nil"/>
              <w:right w:val="nil"/>
            </w:tcBorders>
            <w:shd w:val="clear" w:color="auto" w:fill="auto"/>
            <w:vAlign w:val="bottom"/>
            <w:hideMark/>
          </w:tcPr>
          <w:p w14:paraId="6F13BDB9" w14:textId="77777777" w:rsidR="00877E3A" w:rsidRPr="00226892" w:rsidRDefault="00877E3A" w:rsidP="00FD21B8">
            <w:pPr>
              <w:jc w:val="right"/>
              <w:rPr>
                <w:rFonts w:ascii="Arial" w:eastAsia="Times New Roman" w:hAnsi="Arial" w:cs="Arial"/>
                <w:lang w:val="sk-SK" w:eastAsia="sk-SK"/>
              </w:rPr>
            </w:pPr>
          </w:p>
        </w:tc>
        <w:tc>
          <w:tcPr>
            <w:tcW w:w="92" w:type="pct"/>
            <w:tcBorders>
              <w:top w:val="nil"/>
              <w:left w:val="nil"/>
              <w:bottom w:val="nil"/>
              <w:right w:val="nil"/>
            </w:tcBorders>
            <w:shd w:val="clear" w:color="auto" w:fill="auto"/>
            <w:vAlign w:val="bottom"/>
            <w:hideMark/>
          </w:tcPr>
          <w:p w14:paraId="636265DB" w14:textId="77777777" w:rsidR="00877E3A" w:rsidRPr="00226892" w:rsidRDefault="00877E3A" w:rsidP="00FD21B8">
            <w:pPr>
              <w:jc w:val="right"/>
              <w:rPr>
                <w:rFonts w:ascii="Arial" w:eastAsia="Times New Roman" w:hAnsi="Arial" w:cs="Arial"/>
                <w:lang w:val="sk-SK" w:eastAsia="sk-SK"/>
              </w:rPr>
            </w:pPr>
          </w:p>
        </w:tc>
        <w:tc>
          <w:tcPr>
            <w:tcW w:w="390" w:type="pct"/>
            <w:tcBorders>
              <w:top w:val="nil"/>
              <w:left w:val="nil"/>
              <w:bottom w:val="nil"/>
              <w:right w:val="nil"/>
            </w:tcBorders>
            <w:shd w:val="clear" w:color="auto" w:fill="auto"/>
            <w:vAlign w:val="bottom"/>
            <w:hideMark/>
          </w:tcPr>
          <w:p w14:paraId="50EA61F1" w14:textId="77777777" w:rsidR="00877E3A" w:rsidRPr="00226892" w:rsidRDefault="00877E3A" w:rsidP="00FD21B8">
            <w:pPr>
              <w:jc w:val="right"/>
              <w:rPr>
                <w:rFonts w:ascii="Arial" w:eastAsia="Times New Roman" w:hAnsi="Arial" w:cs="Arial"/>
                <w:lang w:val="sk-SK" w:eastAsia="sk-SK"/>
              </w:rPr>
            </w:pPr>
          </w:p>
        </w:tc>
        <w:tc>
          <w:tcPr>
            <w:tcW w:w="99" w:type="pct"/>
            <w:tcBorders>
              <w:top w:val="nil"/>
              <w:left w:val="nil"/>
              <w:bottom w:val="nil"/>
              <w:right w:val="nil"/>
            </w:tcBorders>
            <w:shd w:val="clear" w:color="auto" w:fill="auto"/>
            <w:vAlign w:val="bottom"/>
            <w:hideMark/>
          </w:tcPr>
          <w:p w14:paraId="4ABC3D28" w14:textId="77777777" w:rsidR="00877E3A" w:rsidRPr="00226892" w:rsidRDefault="00877E3A" w:rsidP="00FD21B8">
            <w:pPr>
              <w:jc w:val="right"/>
              <w:rPr>
                <w:rFonts w:ascii="Arial" w:eastAsia="Times New Roman" w:hAnsi="Arial" w:cs="Arial"/>
                <w:lang w:val="sk-SK" w:eastAsia="sk-SK"/>
              </w:rPr>
            </w:pPr>
          </w:p>
        </w:tc>
        <w:tc>
          <w:tcPr>
            <w:tcW w:w="537" w:type="pct"/>
            <w:tcBorders>
              <w:top w:val="single" w:sz="4" w:space="0" w:color="auto"/>
              <w:left w:val="nil"/>
              <w:bottom w:val="nil"/>
              <w:right w:val="nil"/>
            </w:tcBorders>
            <w:shd w:val="clear" w:color="auto" w:fill="auto"/>
            <w:vAlign w:val="bottom"/>
            <w:hideMark/>
          </w:tcPr>
          <w:p w14:paraId="328302DF" w14:textId="77777777" w:rsidR="00877E3A" w:rsidRPr="00226892" w:rsidRDefault="00877E3A" w:rsidP="00FD21B8">
            <w:pPr>
              <w:jc w:val="right"/>
              <w:rPr>
                <w:rFonts w:ascii="Arial" w:eastAsia="Times New Roman" w:hAnsi="Arial" w:cs="Arial"/>
                <w:lang w:val="sk-SK" w:eastAsia="sk-SK"/>
              </w:rPr>
            </w:pPr>
          </w:p>
        </w:tc>
      </w:tr>
      <w:tr w:rsidR="004167DD" w:rsidRPr="00226892" w14:paraId="074E1CCE" w14:textId="77777777" w:rsidTr="006836EB">
        <w:trPr>
          <w:trHeight w:val="227"/>
        </w:trPr>
        <w:tc>
          <w:tcPr>
            <w:tcW w:w="807" w:type="pct"/>
            <w:tcBorders>
              <w:top w:val="nil"/>
              <w:left w:val="nil"/>
              <w:bottom w:val="nil"/>
              <w:right w:val="nil"/>
            </w:tcBorders>
            <w:shd w:val="clear" w:color="auto" w:fill="auto"/>
            <w:vAlign w:val="bottom"/>
            <w:hideMark/>
          </w:tcPr>
          <w:p w14:paraId="7456C06E" w14:textId="7AF8011A" w:rsidR="004167DD" w:rsidRPr="00226892" w:rsidRDefault="004167DD" w:rsidP="004167DD">
            <w:pPr>
              <w:rPr>
                <w:rFonts w:ascii="Arial" w:eastAsia="Times New Roman" w:hAnsi="Arial" w:cs="Arial"/>
                <w:color w:val="000000"/>
                <w:sz w:val="16"/>
                <w:szCs w:val="16"/>
                <w:lang w:val="sk-SK" w:eastAsia="sk-SK"/>
              </w:rPr>
            </w:pPr>
            <w:r w:rsidRPr="00226892">
              <w:rPr>
                <w:rFonts w:ascii="Arial" w:eastAsia="Times New Roman" w:hAnsi="Arial" w:cs="Arial"/>
                <w:color w:val="000000"/>
                <w:sz w:val="16"/>
                <w:szCs w:val="16"/>
                <w:lang w:val="sk-SK" w:eastAsia="sk-SK"/>
              </w:rPr>
              <w:t xml:space="preserve">DV, </w:t>
            </w:r>
            <w:proofErr w:type="spellStart"/>
            <w:r w:rsidRPr="00226892">
              <w:rPr>
                <w:rFonts w:ascii="Arial" w:eastAsia="Times New Roman" w:hAnsi="Arial" w:cs="Arial"/>
                <w:color w:val="000000"/>
                <w:sz w:val="16"/>
                <w:szCs w:val="16"/>
                <w:lang w:val="sk-SK" w:eastAsia="sk-SK"/>
              </w:rPr>
              <w:t>s.r.o</w:t>
            </w:r>
            <w:proofErr w:type="spellEnd"/>
            <w:r w:rsidRPr="00226892">
              <w:rPr>
                <w:rFonts w:ascii="Arial" w:eastAsia="Times New Roman" w:hAnsi="Arial" w:cs="Arial"/>
                <w:color w:val="000000"/>
                <w:sz w:val="16"/>
                <w:szCs w:val="16"/>
                <w:lang w:val="sk-SK" w:eastAsia="sk-SK"/>
              </w:rPr>
              <w:t>.</w:t>
            </w:r>
          </w:p>
        </w:tc>
        <w:tc>
          <w:tcPr>
            <w:tcW w:w="96" w:type="pct"/>
            <w:tcBorders>
              <w:top w:val="nil"/>
              <w:left w:val="nil"/>
              <w:bottom w:val="nil"/>
              <w:right w:val="nil"/>
            </w:tcBorders>
            <w:shd w:val="clear" w:color="auto" w:fill="auto"/>
            <w:noWrap/>
            <w:vAlign w:val="bottom"/>
            <w:hideMark/>
          </w:tcPr>
          <w:p w14:paraId="3F213BF0" w14:textId="77777777" w:rsidR="004167DD" w:rsidRPr="00226892" w:rsidRDefault="004167DD" w:rsidP="004167DD">
            <w:pPr>
              <w:rPr>
                <w:rFonts w:ascii="Arial" w:eastAsia="Times New Roman" w:hAnsi="Arial" w:cs="Arial"/>
                <w:color w:val="000000"/>
                <w:sz w:val="16"/>
                <w:szCs w:val="16"/>
                <w:lang w:val="sk-SK" w:eastAsia="sk-SK"/>
              </w:rPr>
            </w:pPr>
          </w:p>
        </w:tc>
        <w:tc>
          <w:tcPr>
            <w:tcW w:w="465" w:type="pct"/>
            <w:tcBorders>
              <w:top w:val="nil"/>
              <w:left w:val="nil"/>
              <w:bottom w:val="nil"/>
              <w:right w:val="nil"/>
            </w:tcBorders>
            <w:shd w:val="clear" w:color="auto" w:fill="auto"/>
            <w:vAlign w:val="bottom"/>
          </w:tcPr>
          <w:p w14:paraId="79054951" w14:textId="6CDCC0A8" w:rsidR="004167DD" w:rsidRPr="00226892" w:rsidRDefault="00922B65" w:rsidP="004167DD">
            <w:pPr>
              <w:jc w:val="right"/>
              <w:rPr>
                <w:rFonts w:ascii="Arial" w:eastAsia="Times New Roman" w:hAnsi="Arial" w:cs="Arial"/>
                <w:color w:val="000000"/>
                <w:sz w:val="16"/>
                <w:szCs w:val="16"/>
                <w:lang w:val="sk-SK" w:eastAsia="sk-SK"/>
              </w:rPr>
            </w:pPr>
            <w:r w:rsidRPr="00226892">
              <w:rPr>
                <w:rFonts w:ascii="Arial" w:eastAsia="Times New Roman" w:hAnsi="Arial" w:cs="Arial"/>
                <w:color w:val="000000"/>
                <w:sz w:val="16"/>
                <w:szCs w:val="16"/>
                <w:lang w:val="sk-SK" w:eastAsia="sk-SK"/>
              </w:rPr>
              <w:t>7 781</w:t>
            </w:r>
          </w:p>
        </w:tc>
        <w:tc>
          <w:tcPr>
            <w:tcW w:w="84" w:type="pct"/>
            <w:tcBorders>
              <w:top w:val="nil"/>
              <w:left w:val="nil"/>
              <w:bottom w:val="nil"/>
              <w:right w:val="nil"/>
            </w:tcBorders>
            <w:shd w:val="clear" w:color="auto" w:fill="auto"/>
            <w:noWrap/>
            <w:vAlign w:val="bottom"/>
          </w:tcPr>
          <w:p w14:paraId="5ADA8E2D" w14:textId="77777777" w:rsidR="004167DD" w:rsidRPr="00226892" w:rsidRDefault="004167DD" w:rsidP="004167DD">
            <w:pPr>
              <w:jc w:val="right"/>
              <w:rPr>
                <w:rFonts w:ascii="Arial" w:eastAsia="Times New Roman" w:hAnsi="Arial" w:cs="Arial"/>
                <w:color w:val="000000"/>
                <w:sz w:val="16"/>
                <w:szCs w:val="16"/>
                <w:lang w:val="sk-SK" w:eastAsia="sk-SK"/>
              </w:rPr>
            </w:pPr>
          </w:p>
        </w:tc>
        <w:tc>
          <w:tcPr>
            <w:tcW w:w="526" w:type="pct"/>
            <w:tcBorders>
              <w:top w:val="nil"/>
              <w:left w:val="nil"/>
              <w:bottom w:val="nil"/>
              <w:right w:val="nil"/>
            </w:tcBorders>
            <w:shd w:val="clear" w:color="auto" w:fill="auto"/>
            <w:vAlign w:val="bottom"/>
          </w:tcPr>
          <w:p w14:paraId="0D8D47F7" w14:textId="6BD7F0D4" w:rsidR="004167DD" w:rsidRPr="00226892" w:rsidRDefault="00922B65" w:rsidP="004167DD">
            <w:pPr>
              <w:jc w:val="right"/>
              <w:rPr>
                <w:rFonts w:ascii="Arial" w:eastAsia="Times New Roman" w:hAnsi="Arial" w:cs="Arial"/>
                <w:color w:val="000000"/>
                <w:sz w:val="16"/>
                <w:szCs w:val="16"/>
                <w:lang w:val="sk-SK" w:eastAsia="sk-SK"/>
              </w:rPr>
            </w:pPr>
            <w:r w:rsidRPr="00226892">
              <w:rPr>
                <w:rFonts w:ascii="Arial" w:eastAsia="Times New Roman" w:hAnsi="Arial" w:cs="Arial"/>
                <w:color w:val="000000"/>
                <w:sz w:val="16"/>
                <w:szCs w:val="16"/>
                <w:lang w:val="sk-SK" w:eastAsia="sk-SK"/>
              </w:rPr>
              <w:t>4 057</w:t>
            </w:r>
          </w:p>
        </w:tc>
        <w:tc>
          <w:tcPr>
            <w:tcW w:w="86" w:type="pct"/>
            <w:tcBorders>
              <w:top w:val="nil"/>
              <w:left w:val="nil"/>
              <w:bottom w:val="nil"/>
              <w:right w:val="nil"/>
            </w:tcBorders>
            <w:shd w:val="clear" w:color="auto" w:fill="auto"/>
            <w:vAlign w:val="bottom"/>
          </w:tcPr>
          <w:p w14:paraId="000E8CA0" w14:textId="77777777" w:rsidR="004167DD" w:rsidRPr="00226892" w:rsidRDefault="004167DD" w:rsidP="004167DD">
            <w:pPr>
              <w:jc w:val="right"/>
              <w:rPr>
                <w:rFonts w:ascii="Arial" w:eastAsia="Times New Roman" w:hAnsi="Arial" w:cs="Arial"/>
                <w:color w:val="000000"/>
                <w:sz w:val="16"/>
                <w:szCs w:val="16"/>
                <w:lang w:val="sk-SK" w:eastAsia="sk-SK"/>
              </w:rPr>
            </w:pPr>
          </w:p>
        </w:tc>
        <w:tc>
          <w:tcPr>
            <w:tcW w:w="529" w:type="pct"/>
            <w:tcBorders>
              <w:top w:val="nil"/>
              <w:left w:val="nil"/>
              <w:bottom w:val="nil"/>
              <w:right w:val="nil"/>
            </w:tcBorders>
            <w:shd w:val="clear" w:color="auto" w:fill="auto"/>
            <w:vAlign w:val="bottom"/>
          </w:tcPr>
          <w:p w14:paraId="49358AF3" w14:textId="563EE256" w:rsidR="004167DD" w:rsidRPr="00226892" w:rsidRDefault="00922B65" w:rsidP="004167DD">
            <w:pPr>
              <w:jc w:val="right"/>
              <w:rPr>
                <w:rFonts w:ascii="Arial" w:eastAsia="Times New Roman" w:hAnsi="Arial" w:cs="Arial"/>
                <w:color w:val="000000"/>
                <w:sz w:val="16"/>
                <w:szCs w:val="16"/>
                <w:lang w:val="sk-SK" w:eastAsia="sk-SK"/>
              </w:rPr>
            </w:pPr>
            <w:r w:rsidRPr="00226892">
              <w:rPr>
                <w:rFonts w:ascii="Arial" w:eastAsia="Times New Roman" w:hAnsi="Arial" w:cs="Arial"/>
                <w:color w:val="000000"/>
                <w:sz w:val="16"/>
                <w:szCs w:val="16"/>
                <w:lang w:val="sk-SK" w:eastAsia="sk-SK"/>
              </w:rPr>
              <w:t xml:space="preserve"> 3 256</w:t>
            </w:r>
          </w:p>
        </w:tc>
        <w:tc>
          <w:tcPr>
            <w:tcW w:w="89" w:type="pct"/>
            <w:tcBorders>
              <w:top w:val="nil"/>
              <w:left w:val="nil"/>
              <w:bottom w:val="nil"/>
              <w:right w:val="nil"/>
            </w:tcBorders>
            <w:shd w:val="clear" w:color="auto" w:fill="auto"/>
            <w:vAlign w:val="bottom"/>
          </w:tcPr>
          <w:p w14:paraId="2620684B" w14:textId="77777777" w:rsidR="004167DD" w:rsidRPr="00226892" w:rsidRDefault="004167DD" w:rsidP="004167DD">
            <w:pPr>
              <w:jc w:val="right"/>
              <w:rPr>
                <w:rFonts w:ascii="Arial" w:eastAsia="Times New Roman" w:hAnsi="Arial" w:cs="Arial"/>
                <w:color w:val="000000"/>
                <w:sz w:val="16"/>
                <w:szCs w:val="16"/>
                <w:lang w:val="sk-SK" w:eastAsia="sk-SK"/>
              </w:rPr>
            </w:pPr>
          </w:p>
        </w:tc>
        <w:tc>
          <w:tcPr>
            <w:tcW w:w="562" w:type="pct"/>
            <w:tcBorders>
              <w:top w:val="nil"/>
              <w:left w:val="nil"/>
              <w:bottom w:val="nil"/>
              <w:right w:val="nil"/>
            </w:tcBorders>
            <w:shd w:val="clear" w:color="auto" w:fill="auto"/>
            <w:vAlign w:val="bottom"/>
          </w:tcPr>
          <w:p w14:paraId="444DC875" w14:textId="4BA90694" w:rsidR="004167DD" w:rsidRPr="00226892" w:rsidRDefault="005B0F55" w:rsidP="004167DD">
            <w:pPr>
              <w:jc w:val="right"/>
              <w:rPr>
                <w:rFonts w:ascii="Arial" w:eastAsia="Times New Roman" w:hAnsi="Arial" w:cs="Arial"/>
                <w:color w:val="000000"/>
                <w:sz w:val="16"/>
                <w:szCs w:val="16"/>
                <w:lang w:val="sk-SK" w:eastAsia="sk-SK"/>
              </w:rPr>
            </w:pPr>
            <w:r w:rsidRPr="00226892">
              <w:rPr>
                <w:rFonts w:ascii="Arial" w:eastAsia="Times New Roman" w:hAnsi="Arial" w:cs="Arial"/>
                <w:color w:val="000000"/>
                <w:sz w:val="16"/>
                <w:szCs w:val="16"/>
                <w:lang w:val="sk-SK" w:eastAsia="sk-SK"/>
              </w:rPr>
              <w:t>407</w:t>
            </w:r>
          </w:p>
        </w:tc>
        <w:tc>
          <w:tcPr>
            <w:tcW w:w="92" w:type="pct"/>
            <w:tcBorders>
              <w:top w:val="nil"/>
              <w:left w:val="nil"/>
              <w:bottom w:val="nil"/>
              <w:right w:val="nil"/>
            </w:tcBorders>
            <w:shd w:val="clear" w:color="auto" w:fill="auto"/>
            <w:vAlign w:val="bottom"/>
          </w:tcPr>
          <w:p w14:paraId="771007B8" w14:textId="77777777" w:rsidR="004167DD" w:rsidRPr="00226892" w:rsidRDefault="004167DD" w:rsidP="004167DD">
            <w:pPr>
              <w:jc w:val="right"/>
              <w:rPr>
                <w:rFonts w:ascii="Arial" w:eastAsia="Times New Roman" w:hAnsi="Arial" w:cs="Arial"/>
                <w:color w:val="000000"/>
                <w:sz w:val="16"/>
                <w:szCs w:val="16"/>
                <w:lang w:val="sk-SK" w:eastAsia="sk-SK"/>
              </w:rPr>
            </w:pPr>
          </w:p>
        </w:tc>
        <w:tc>
          <w:tcPr>
            <w:tcW w:w="546" w:type="pct"/>
            <w:tcBorders>
              <w:top w:val="nil"/>
              <w:left w:val="nil"/>
              <w:bottom w:val="nil"/>
              <w:right w:val="nil"/>
            </w:tcBorders>
            <w:shd w:val="clear" w:color="auto" w:fill="auto"/>
            <w:vAlign w:val="bottom"/>
          </w:tcPr>
          <w:p w14:paraId="3D05082B" w14:textId="07C81145" w:rsidR="004167DD" w:rsidRPr="00226892" w:rsidRDefault="00922B65" w:rsidP="004167DD">
            <w:pPr>
              <w:jc w:val="right"/>
              <w:rPr>
                <w:rFonts w:ascii="Arial" w:eastAsia="Times New Roman" w:hAnsi="Arial" w:cs="Arial"/>
                <w:color w:val="000000"/>
                <w:sz w:val="16"/>
                <w:szCs w:val="16"/>
                <w:lang w:val="sk-SK" w:eastAsia="sk-SK"/>
              </w:rPr>
            </w:pPr>
            <w:r w:rsidRPr="00226892">
              <w:rPr>
                <w:rFonts w:ascii="Arial" w:eastAsia="Times New Roman" w:hAnsi="Arial" w:cs="Arial"/>
                <w:color w:val="000000"/>
                <w:sz w:val="16"/>
                <w:szCs w:val="16"/>
                <w:lang w:val="sk-SK" w:eastAsia="sk-SK"/>
              </w:rPr>
              <w:t>3 873</w:t>
            </w:r>
          </w:p>
        </w:tc>
        <w:tc>
          <w:tcPr>
            <w:tcW w:w="92" w:type="pct"/>
            <w:tcBorders>
              <w:top w:val="nil"/>
              <w:left w:val="nil"/>
              <w:bottom w:val="nil"/>
              <w:right w:val="nil"/>
            </w:tcBorders>
            <w:shd w:val="clear" w:color="auto" w:fill="auto"/>
            <w:vAlign w:val="bottom"/>
            <w:hideMark/>
          </w:tcPr>
          <w:p w14:paraId="051729E0" w14:textId="77777777" w:rsidR="004167DD" w:rsidRPr="00226892" w:rsidRDefault="004167DD" w:rsidP="004167DD">
            <w:pPr>
              <w:jc w:val="right"/>
              <w:rPr>
                <w:rFonts w:ascii="Arial" w:eastAsia="Times New Roman" w:hAnsi="Arial" w:cs="Arial"/>
                <w:color w:val="000000"/>
                <w:sz w:val="16"/>
                <w:szCs w:val="16"/>
                <w:lang w:val="sk-SK" w:eastAsia="sk-SK"/>
              </w:rPr>
            </w:pPr>
          </w:p>
        </w:tc>
        <w:tc>
          <w:tcPr>
            <w:tcW w:w="390" w:type="pct"/>
            <w:tcBorders>
              <w:top w:val="nil"/>
              <w:left w:val="nil"/>
              <w:bottom w:val="nil"/>
              <w:right w:val="nil"/>
            </w:tcBorders>
            <w:shd w:val="clear" w:color="auto" w:fill="auto"/>
            <w:vAlign w:val="bottom"/>
            <w:hideMark/>
          </w:tcPr>
          <w:p w14:paraId="64AE1817" w14:textId="214B3C7D" w:rsidR="004167DD" w:rsidRPr="00226892" w:rsidRDefault="004167DD" w:rsidP="004167DD">
            <w:pPr>
              <w:jc w:val="right"/>
              <w:rPr>
                <w:rFonts w:ascii="Arial" w:eastAsia="Times New Roman" w:hAnsi="Arial" w:cs="Arial"/>
                <w:color w:val="000000"/>
                <w:sz w:val="16"/>
                <w:szCs w:val="16"/>
                <w:lang w:val="sk-SK" w:eastAsia="sk-SK"/>
              </w:rPr>
            </w:pPr>
            <w:r w:rsidRPr="00226892">
              <w:rPr>
                <w:rFonts w:ascii="Arial" w:eastAsia="Times New Roman" w:hAnsi="Arial" w:cs="Arial"/>
                <w:color w:val="000000"/>
                <w:sz w:val="16"/>
                <w:szCs w:val="16"/>
                <w:lang w:val="sk-SK" w:eastAsia="sk-SK"/>
              </w:rPr>
              <w:t>1</w:t>
            </w:r>
            <w:r w:rsidR="00922B65" w:rsidRPr="00226892">
              <w:rPr>
                <w:rFonts w:ascii="Arial" w:eastAsia="Times New Roman" w:hAnsi="Arial" w:cs="Arial"/>
                <w:color w:val="000000"/>
                <w:sz w:val="16"/>
                <w:szCs w:val="16"/>
                <w:lang w:val="sk-SK" w:eastAsia="sk-SK"/>
              </w:rPr>
              <w:t>15</w:t>
            </w:r>
          </w:p>
        </w:tc>
        <w:tc>
          <w:tcPr>
            <w:tcW w:w="99" w:type="pct"/>
            <w:tcBorders>
              <w:top w:val="nil"/>
              <w:left w:val="nil"/>
              <w:bottom w:val="nil"/>
              <w:right w:val="nil"/>
            </w:tcBorders>
            <w:shd w:val="clear" w:color="auto" w:fill="auto"/>
            <w:vAlign w:val="bottom"/>
            <w:hideMark/>
          </w:tcPr>
          <w:p w14:paraId="05DF2085" w14:textId="77777777" w:rsidR="004167DD" w:rsidRPr="00226892" w:rsidRDefault="004167DD" w:rsidP="004167DD">
            <w:pPr>
              <w:jc w:val="right"/>
              <w:rPr>
                <w:rFonts w:ascii="Arial" w:eastAsia="Times New Roman" w:hAnsi="Arial" w:cs="Arial"/>
                <w:color w:val="000000"/>
                <w:sz w:val="16"/>
                <w:szCs w:val="16"/>
                <w:lang w:val="sk-SK" w:eastAsia="sk-SK"/>
              </w:rPr>
            </w:pPr>
          </w:p>
        </w:tc>
        <w:tc>
          <w:tcPr>
            <w:tcW w:w="537" w:type="pct"/>
            <w:tcBorders>
              <w:top w:val="nil"/>
              <w:left w:val="nil"/>
              <w:bottom w:val="nil"/>
              <w:right w:val="nil"/>
            </w:tcBorders>
            <w:shd w:val="clear" w:color="auto" w:fill="auto"/>
            <w:vAlign w:val="bottom"/>
            <w:hideMark/>
          </w:tcPr>
          <w:p w14:paraId="5BEF52F3" w14:textId="5E5C58A2" w:rsidR="004167DD" w:rsidRPr="00226892" w:rsidRDefault="004167DD" w:rsidP="004167DD">
            <w:pPr>
              <w:jc w:val="right"/>
              <w:rPr>
                <w:rFonts w:ascii="Arial" w:eastAsia="Times New Roman" w:hAnsi="Arial" w:cs="Arial"/>
                <w:b/>
                <w:bCs/>
                <w:color w:val="000000"/>
                <w:sz w:val="16"/>
                <w:szCs w:val="16"/>
                <w:lang w:val="sk-SK" w:eastAsia="sk-SK"/>
              </w:rPr>
            </w:pPr>
            <w:r w:rsidRPr="00226892">
              <w:rPr>
                <w:rFonts w:ascii="Arial" w:eastAsia="Times New Roman" w:hAnsi="Arial" w:cs="Arial"/>
                <w:b/>
                <w:bCs/>
                <w:color w:val="000000"/>
                <w:sz w:val="16"/>
                <w:szCs w:val="16"/>
                <w:lang w:val="sk-SK" w:eastAsia="sk-SK"/>
              </w:rPr>
              <w:t>24%</w:t>
            </w:r>
          </w:p>
        </w:tc>
      </w:tr>
      <w:tr w:rsidR="007649C3" w:rsidRPr="00226892" w14:paraId="02CFB83B" w14:textId="77777777" w:rsidTr="006836EB">
        <w:trPr>
          <w:trHeight w:val="227"/>
        </w:trPr>
        <w:tc>
          <w:tcPr>
            <w:tcW w:w="807" w:type="pct"/>
            <w:tcBorders>
              <w:top w:val="nil"/>
              <w:left w:val="nil"/>
              <w:bottom w:val="nil"/>
              <w:right w:val="nil"/>
            </w:tcBorders>
            <w:shd w:val="clear" w:color="auto" w:fill="auto"/>
            <w:noWrap/>
            <w:vAlign w:val="bottom"/>
            <w:hideMark/>
          </w:tcPr>
          <w:p w14:paraId="5AB3CD39" w14:textId="77777777" w:rsidR="004167DD" w:rsidRPr="00226892" w:rsidRDefault="004167DD" w:rsidP="004167DD">
            <w:pPr>
              <w:rPr>
                <w:rFonts w:ascii="Arial" w:eastAsia="Times New Roman" w:hAnsi="Arial" w:cs="Arial"/>
                <w:b/>
                <w:bCs/>
                <w:color w:val="000000"/>
                <w:sz w:val="16"/>
                <w:szCs w:val="16"/>
                <w:lang w:val="sk-SK" w:eastAsia="sk-SK"/>
              </w:rPr>
            </w:pPr>
            <w:r w:rsidRPr="00226892">
              <w:rPr>
                <w:rFonts w:ascii="Arial" w:eastAsia="Times New Roman" w:hAnsi="Arial" w:cs="Arial"/>
                <w:b/>
                <w:bCs/>
                <w:color w:val="000000"/>
                <w:sz w:val="16"/>
                <w:szCs w:val="16"/>
                <w:lang w:val="sk-SK" w:eastAsia="sk-SK"/>
              </w:rPr>
              <w:t>Spolu</w:t>
            </w:r>
          </w:p>
        </w:tc>
        <w:tc>
          <w:tcPr>
            <w:tcW w:w="96" w:type="pct"/>
            <w:tcBorders>
              <w:top w:val="nil"/>
              <w:left w:val="nil"/>
              <w:bottom w:val="nil"/>
              <w:right w:val="nil"/>
            </w:tcBorders>
            <w:shd w:val="clear" w:color="auto" w:fill="auto"/>
            <w:noWrap/>
            <w:vAlign w:val="bottom"/>
            <w:hideMark/>
          </w:tcPr>
          <w:p w14:paraId="3ED4DB00" w14:textId="77777777" w:rsidR="004167DD" w:rsidRPr="00226892" w:rsidRDefault="004167DD" w:rsidP="004167DD">
            <w:pPr>
              <w:rPr>
                <w:rFonts w:ascii="Arial" w:eastAsia="Times New Roman" w:hAnsi="Arial" w:cs="Arial"/>
                <w:b/>
                <w:bCs/>
                <w:color w:val="000000"/>
                <w:sz w:val="16"/>
                <w:szCs w:val="16"/>
                <w:lang w:val="sk-SK" w:eastAsia="sk-SK"/>
              </w:rPr>
            </w:pPr>
          </w:p>
        </w:tc>
        <w:tc>
          <w:tcPr>
            <w:tcW w:w="465" w:type="pct"/>
            <w:tcBorders>
              <w:top w:val="single" w:sz="4" w:space="0" w:color="auto"/>
              <w:left w:val="nil"/>
              <w:bottom w:val="double" w:sz="6" w:space="0" w:color="auto"/>
              <w:right w:val="nil"/>
            </w:tcBorders>
            <w:shd w:val="clear" w:color="auto" w:fill="auto"/>
            <w:vAlign w:val="bottom"/>
          </w:tcPr>
          <w:p w14:paraId="06E259EF" w14:textId="17C114CC" w:rsidR="004167DD" w:rsidRPr="00226892" w:rsidRDefault="00922B65" w:rsidP="004167DD">
            <w:pPr>
              <w:jc w:val="right"/>
              <w:rPr>
                <w:rFonts w:ascii="Arial" w:eastAsia="Times New Roman" w:hAnsi="Arial" w:cs="Arial"/>
                <w:b/>
                <w:bCs/>
                <w:color w:val="000000"/>
                <w:sz w:val="16"/>
                <w:szCs w:val="16"/>
                <w:lang w:val="sk-SK" w:eastAsia="sk-SK"/>
              </w:rPr>
            </w:pPr>
            <w:r w:rsidRPr="00226892">
              <w:rPr>
                <w:rFonts w:ascii="Arial" w:eastAsia="Times New Roman" w:hAnsi="Arial" w:cs="Arial"/>
                <w:b/>
                <w:bCs/>
                <w:color w:val="000000"/>
                <w:sz w:val="16"/>
                <w:szCs w:val="16"/>
                <w:lang w:val="sk-SK" w:eastAsia="sk-SK"/>
              </w:rPr>
              <w:t>7 781</w:t>
            </w:r>
          </w:p>
        </w:tc>
        <w:tc>
          <w:tcPr>
            <w:tcW w:w="84" w:type="pct"/>
            <w:tcBorders>
              <w:top w:val="nil"/>
              <w:left w:val="nil"/>
              <w:bottom w:val="nil"/>
              <w:right w:val="nil"/>
            </w:tcBorders>
            <w:shd w:val="clear" w:color="auto" w:fill="auto"/>
            <w:noWrap/>
            <w:vAlign w:val="bottom"/>
          </w:tcPr>
          <w:p w14:paraId="34A0CB84" w14:textId="77777777" w:rsidR="004167DD" w:rsidRPr="00226892" w:rsidRDefault="004167DD" w:rsidP="004167DD">
            <w:pPr>
              <w:jc w:val="right"/>
              <w:rPr>
                <w:rFonts w:ascii="Arial" w:eastAsia="Times New Roman" w:hAnsi="Arial" w:cs="Arial"/>
                <w:b/>
                <w:bCs/>
                <w:color w:val="000000"/>
                <w:sz w:val="16"/>
                <w:szCs w:val="16"/>
                <w:lang w:val="sk-SK" w:eastAsia="sk-SK"/>
              </w:rPr>
            </w:pPr>
          </w:p>
        </w:tc>
        <w:tc>
          <w:tcPr>
            <w:tcW w:w="526" w:type="pct"/>
            <w:tcBorders>
              <w:top w:val="single" w:sz="4" w:space="0" w:color="auto"/>
              <w:left w:val="nil"/>
              <w:bottom w:val="double" w:sz="6" w:space="0" w:color="auto"/>
              <w:right w:val="nil"/>
            </w:tcBorders>
            <w:shd w:val="clear" w:color="auto" w:fill="auto"/>
            <w:vAlign w:val="bottom"/>
          </w:tcPr>
          <w:p w14:paraId="17AC4871" w14:textId="229FB484" w:rsidR="004167DD" w:rsidRPr="00226892" w:rsidRDefault="00922B65" w:rsidP="004167DD">
            <w:pPr>
              <w:jc w:val="right"/>
              <w:rPr>
                <w:rFonts w:ascii="Arial" w:eastAsia="Times New Roman" w:hAnsi="Arial" w:cs="Arial"/>
                <w:b/>
                <w:bCs/>
                <w:color w:val="000000"/>
                <w:sz w:val="16"/>
                <w:szCs w:val="16"/>
                <w:lang w:val="sk-SK" w:eastAsia="sk-SK"/>
              </w:rPr>
            </w:pPr>
            <w:r w:rsidRPr="00226892">
              <w:rPr>
                <w:rFonts w:ascii="Arial" w:eastAsia="Times New Roman" w:hAnsi="Arial" w:cs="Arial"/>
                <w:b/>
                <w:bCs/>
                <w:color w:val="000000"/>
                <w:sz w:val="16"/>
                <w:szCs w:val="16"/>
                <w:lang w:val="sk-SK" w:eastAsia="sk-SK"/>
              </w:rPr>
              <w:t>4 057</w:t>
            </w:r>
          </w:p>
        </w:tc>
        <w:tc>
          <w:tcPr>
            <w:tcW w:w="86" w:type="pct"/>
            <w:tcBorders>
              <w:top w:val="nil"/>
              <w:left w:val="nil"/>
              <w:bottom w:val="nil"/>
              <w:right w:val="nil"/>
            </w:tcBorders>
            <w:shd w:val="clear" w:color="auto" w:fill="auto"/>
            <w:vAlign w:val="bottom"/>
          </w:tcPr>
          <w:p w14:paraId="4763E773" w14:textId="77777777" w:rsidR="004167DD" w:rsidRPr="00226892" w:rsidRDefault="004167DD" w:rsidP="004167DD">
            <w:pPr>
              <w:jc w:val="right"/>
              <w:rPr>
                <w:rFonts w:ascii="Arial" w:eastAsia="Times New Roman" w:hAnsi="Arial" w:cs="Arial"/>
                <w:b/>
                <w:bCs/>
                <w:color w:val="000000"/>
                <w:sz w:val="16"/>
                <w:szCs w:val="16"/>
                <w:lang w:val="sk-SK" w:eastAsia="sk-SK"/>
              </w:rPr>
            </w:pPr>
          </w:p>
        </w:tc>
        <w:tc>
          <w:tcPr>
            <w:tcW w:w="529" w:type="pct"/>
            <w:tcBorders>
              <w:top w:val="single" w:sz="4" w:space="0" w:color="auto"/>
              <w:left w:val="nil"/>
              <w:bottom w:val="double" w:sz="6" w:space="0" w:color="auto"/>
              <w:right w:val="nil"/>
            </w:tcBorders>
            <w:shd w:val="clear" w:color="auto" w:fill="auto"/>
            <w:vAlign w:val="bottom"/>
          </w:tcPr>
          <w:p w14:paraId="5EB2FCCB" w14:textId="2DCA35BC" w:rsidR="004167DD" w:rsidRPr="00226892" w:rsidRDefault="00922B65" w:rsidP="004167DD">
            <w:pPr>
              <w:jc w:val="right"/>
              <w:rPr>
                <w:rFonts w:ascii="Arial" w:eastAsia="Times New Roman" w:hAnsi="Arial" w:cs="Arial"/>
                <w:b/>
                <w:bCs/>
                <w:color w:val="000000"/>
                <w:sz w:val="16"/>
                <w:szCs w:val="16"/>
                <w:lang w:val="sk-SK" w:eastAsia="sk-SK"/>
              </w:rPr>
            </w:pPr>
            <w:r w:rsidRPr="00226892">
              <w:rPr>
                <w:rFonts w:ascii="Arial" w:eastAsia="Times New Roman" w:hAnsi="Arial" w:cs="Arial"/>
                <w:b/>
                <w:bCs/>
                <w:color w:val="000000"/>
                <w:sz w:val="16"/>
                <w:szCs w:val="16"/>
                <w:lang w:val="sk-SK" w:eastAsia="sk-SK"/>
              </w:rPr>
              <w:t>3 256</w:t>
            </w:r>
          </w:p>
        </w:tc>
        <w:tc>
          <w:tcPr>
            <w:tcW w:w="89" w:type="pct"/>
            <w:tcBorders>
              <w:top w:val="nil"/>
              <w:left w:val="nil"/>
              <w:bottom w:val="nil"/>
              <w:right w:val="nil"/>
            </w:tcBorders>
            <w:shd w:val="clear" w:color="auto" w:fill="auto"/>
            <w:vAlign w:val="bottom"/>
          </w:tcPr>
          <w:p w14:paraId="1398E5AB" w14:textId="77777777" w:rsidR="004167DD" w:rsidRPr="00226892" w:rsidRDefault="004167DD" w:rsidP="004167DD">
            <w:pPr>
              <w:jc w:val="right"/>
              <w:rPr>
                <w:rFonts w:ascii="Arial" w:eastAsia="Times New Roman" w:hAnsi="Arial" w:cs="Arial"/>
                <w:b/>
                <w:bCs/>
                <w:color w:val="000000"/>
                <w:sz w:val="16"/>
                <w:szCs w:val="16"/>
                <w:lang w:val="sk-SK" w:eastAsia="sk-SK"/>
              </w:rPr>
            </w:pPr>
          </w:p>
        </w:tc>
        <w:tc>
          <w:tcPr>
            <w:tcW w:w="562" w:type="pct"/>
            <w:tcBorders>
              <w:top w:val="single" w:sz="4" w:space="0" w:color="auto"/>
              <w:left w:val="nil"/>
              <w:bottom w:val="double" w:sz="6" w:space="0" w:color="auto"/>
              <w:right w:val="nil"/>
            </w:tcBorders>
            <w:shd w:val="clear" w:color="auto" w:fill="auto"/>
            <w:vAlign w:val="bottom"/>
          </w:tcPr>
          <w:p w14:paraId="6BAF9681" w14:textId="2E6E3FDF" w:rsidR="004167DD" w:rsidRPr="00226892" w:rsidRDefault="005B0F55" w:rsidP="004167DD">
            <w:pPr>
              <w:jc w:val="right"/>
              <w:rPr>
                <w:rFonts w:ascii="Arial" w:eastAsia="Times New Roman" w:hAnsi="Arial" w:cs="Arial"/>
                <w:b/>
                <w:bCs/>
                <w:color w:val="000000"/>
                <w:sz w:val="16"/>
                <w:szCs w:val="16"/>
                <w:lang w:val="sk-SK" w:eastAsia="sk-SK"/>
              </w:rPr>
            </w:pPr>
            <w:r w:rsidRPr="00226892">
              <w:rPr>
                <w:rFonts w:ascii="Arial" w:eastAsia="Times New Roman" w:hAnsi="Arial" w:cs="Arial"/>
                <w:b/>
                <w:bCs/>
                <w:color w:val="000000"/>
                <w:sz w:val="16"/>
                <w:szCs w:val="16"/>
                <w:lang w:val="sk-SK" w:eastAsia="sk-SK"/>
              </w:rPr>
              <w:t>407</w:t>
            </w:r>
          </w:p>
        </w:tc>
        <w:tc>
          <w:tcPr>
            <w:tcW w:w="92" w:type="pct"/>
            <w:tcBorders>
              <w:top w:val="nil"/>
              <w:left w:val="nil"/>
              <w:bottom w:val="nil"/>
              <w:right w:val="nil"/>
            </w:tcBorders>
            <w:shd w:val="clear" w:color="auto" w:fill="auto"/>
            <w:vAlign w:val="bottom"/>
          </w:tcPr>
          <w:p w14:paraId="4A2DB458" w14:textId="77777777" w:rsidR="004167DD" w:rsidRPr="00226892" w:rsidRDefault="004167DD" w:rsidP="004167DD">
            <w:pPr>
              <w:jc w:val="right"/>
              <w:rPr>
                <w:rFonts w:ascii="Arial" w:eastAsia="Times New Roman" w:hAnsi="Arial" w:cs="Arial"/>
                <w:b/>
                <w:bCs/>
                <w:color w:val="000000"/>
                <w:sz w:val="16"/>
                <w:szCs w:val="16"/>
                <w:lang w:val="sk-SK" w:eastAsia="sk-SK"/>
              </w:rPr>
            </w:pPr>
          </w:p>
        </w:tc>
        <w:tc>
          <w:tcPr>
            <w:tcW w:w="546" w:type="pct"/>
            <w:tcBorders>
              <w:top w:val="single" w:sz="4" w:space="0" w:color="auto"/>
              <w:left w:val="nil"/>
              <w:bottom w:val="double" w:sz="6" w:space="0" w:color="auto"/>
              <w:right w:val="nil"/>
            </w:tcBorders>
            <w:shd w:val="clear" w:color="auto" w:fill="auto"/>
            <w:vAlign w:val="bottom"/>
          </w:tcPr>
          <w:p w14:paraId="566C79F2" w14:textId="22C5F262" w:rsidR="004167DD" w:rsidRPr="00226892" w:rsidRDefault="00922B65" w:rsidP="004167DD">
            <w:pPr>
              <w:jc w:val="right"/>
              <w:rPr>
                <w:rFonts w:ascii="Arial" w:eastAsia="Times New Roman" w:hAnsi="Arial" w:cs="Arial"/>
                <w:b/>
                <w:bCs/>
                <w:color w:val="000000"/>
                <w:sz w:val="16"/>
                <w:szCs w:val="16"/>
                <w:lang w:val="sk-SK" w:eastAsia="sk-SK"/>
              </w:rPr>
            </w:pPr>
            <w:r w:rsidRPr="00226892">
              <w:rPr>
                <w:rFonts w:ascii="Arial" w:eastAsia="Times New Roman" w:hAnsi="Arial" w:cs="Arial"/>
                <w:b/>
                <w:bCs/>
                <w:color w:val="000000"/>
                <w:sz w:val="16"/>
                <w:szCs w:val="16"/>
                <w:lang w:val="sk-SK" w:eastAsia="sk-SK"/>
              </w:rPr>
              <w:t>3 873</w:t>
            </w:r>
          </w:p>
        </w:tc>
        <w:tc>
          <w:tcPr>
            <w:tcW w:w="92" w:type="pct"/>
            <w:tcBorders>
              <w:top w:val="nil"/>
              <w:left w:val="nil"/>
              <w:bottom w:val="nil"/>
              <w:right w:val="nil"/>
            </w:tcBorders>
            <w:shd w:val="clear" w:color="auto" w:fill="auto"/>
            <w:vAlign w:val="bottom"/>
            <w:hideMark/>
          </w:tcPr>
          <w:p w14:paraId="1A8F1AEC" w14:textId="77777777" w:rsidR="004167DD" w:rsidRPr="00226892" w:rsidRDefault="004167DD" w:rsidP="004167DD">
            <w:pPr>
              <w:jc w:val="right"/>
              <w:rPr>
                <w:rFonts w:ascii="Arial" w:eastAsia="Times New Roman" w:hAnsi="Arial" w:cs="Arial"/>
                <w:b/>
                <w:bCs/>
                <w:color w:val="000000"/>
                <w:sz w:val="16"/>
                <w:szCs w:val="16"/>
                <w:lang w:val="sk-SK" w:eastAsia="sk-SK"/>
              </w:rPr>
            </w:pPr>
          </w:p>
        </w:tc>
        <w:tc>
          <w:tcPr>
            <w:tcW w:w="390" w:type="pct"/>
            <w:tcBorders>
              <w:top w:val="single" w:sz="4" w:space="0" w:color="auto"/>
              <w:left w:val="nil"/>
              <w:bottom w:val="double" w:sz="6" w:space="0" w:color="auto"/>
              <w:right w:val="nil"/>
            </w:tcBorders>
            <w:shd w:val="clear" w:color="auto" w:fill="auto"/>
            <w:vAlign w:val="bottom"/>
            <w:hideMark/>
          </w:tcPr>
          <w:p w14:paraId="7F0899AF" w14:textId="1EF05A1E" w:rsidR="004167DD" w:rsidRPr="00226892" w:rsidRDefault="004167DD" w:rsidP="004167DD">
            <w:pPr>
              <w:jc w:val="right"/>
              <w:rPr>
                <w:rFonts w:ascii="Arial" w:eastAsia="Times New Roman" w:hAnsi="Arial" w:cs="Arial"/>
                <w:b/>
                <w:bCs/>
                <w:color w:val="000000"/>
                <w:sz w:val="16"/>
                <w:szCs w:val="16"/>
                <w:lang w:val="sk-SK" w:eastAsia="sk-SK"/>
              </w:rPr>
            </w:pPr>
            <w:r w:rsidRPr="00226892">
              <w:rPr>
                <w:rFonts w:ascii="Arial" w:eastAsia="Times New Roman" w:hAnsi="Arial" w:cs="Arial"/>
                <w:b/>
                <w:bCs/>
                <w:color w:val="000000"/>
                <w:sz w:val="16"/>
                <w:szCs w:val="16"/>
                <w:lang w:val="sk-SK" w:eastAsia="sk-SK"/>
              </w:rPr>
              <w:t xml:space="preserve">   1</w:t>
            </w:r>
            <w:r w:rsidR="00922B65" w:rsidRPr="00226892">
              <w:rPr>
                <w:rFonts w:ascii="Arial" w:eastAsia="Times New Roman" w:hAnsi="Arial" w:cs="Arial"/>
                <w:b/>
                <w:bCs/>
                <w:color w:val="000000"/>
                <w:sz w:val="16"/>
                <w:szCs w:val="16"/>
                <w:lang w:val="sk-SK" w:eastAsia="sk-SK"/>
              </w:rPr>
              <w:t>15</w:t>
            </w:r>
            <w:r w:rsidRPr="00226892">
              <w:rPr>
                <w:rFonts w:ascii="Arial" w:eastAsia="Times New Roman" w:hAnsi="Arial" w:cs="Arial"/>
                <w:b/>
                <w:bCs/>
                <w:color w:val="000000"/>
                <w:sz w:val="16"/>
                <w:szCs w:val="16"/>
                <w:lang w:val="sk-SK" w:eastAsia="sk-SK"/>
              </w:rPr>
              <w:t xml:space="preserve">    </w:t>
            </w:r>
          </w:p>
        </w:tc>
        <w:tc>
          <w:tcPr>
            <w:tcW w:w="99" w:type="pct"/>
            <w:tcBorders>
              <w:top w:val="nil"/>
              <w:left w:val="nil"/>
              <w:bottom w:val="nil"/>
              <w:right w:val="nil"/>
            </w:tcBorders>
            <w:shd w:val="clear" w:color="auto" w:fill="auto"/>
            <w:vAlign w:val="bottom"/>
            <w:hideMark/>
          </w:tcPr>
          <w:p w14:paraId="07FCD97F" w14:textId="77777777" w:rsidR="004167DD" w:rsidRPr="00226892" w:rsidRDefault="004167DD" w:rsidP="004167DD">
            <w:pPr>
              <w:jc w:val="right"/>
              <w:rPr>
                <w:rFonts w:ascii="Arial" w:eastAsia="Times New Roman" w:hAnsi="Arial" w:cs="Arial"/>
                <w:b/>
                <w:bCs/>
                <w:color w:val="000000"/>
                <w:sz w:val="16"/>
                <w:szCs w:val="16"/>
                <w:lang w:val="sk-SK" w:eastAsia="sk-SK"/>
              </w:rPr>
            </w:pPr>
          </w:p>
        </w:tc>
        <w:tc>
          <w:tcPr>
            <w:tcW w:w="537" w:type="pct"/>
            <w:tcBorders>
              <w:left w:val="nil"/>
              <w:right w:val="nil"/>
            </w:tcBorders>
            <w:shd w:val="clear" w:color="auto" w:fill="auto"/>
            <w:vAlign w:val="bottom"/>
            <w:hideMark/>
          </w:tcPr>
          <w:p w14:paraId="0A3087A0" w14:textId="6330CE8D" w:rsidR="004167DD" w:rsidRPr="00226892" w:rsidRDefault="004167DD" w:rsidP="004167DD">
            <w:pPr>
              <w:jc w:val="right"/>
              <w:rPr>
                <w:rFonts w:ascii="Arial" w:eastAsia="Times New Roman" w:hAnsi="Arial" w:cs="Arial"/>
                <w:b/>
                <w:bCs/>
                <w:color w:val="000000"/>
                <w:sz w:val="16"/>
                <w:szCs w:val="16"/>
                <w:lang w:val="sk-SK" w:eastAsia="sk-SK"/>
              </w:rPr>
            </w:pPr>
            <w:r w:rsidRPr="00226892">
              <w:rPr>
                <w:rFonts w:ascii="Arial" w:eastAsia="Times New Roman" w:hAnsi="Arial" w:cs="Arial"/>
                <w:b/>
                <w:bCs/>
                <w:color w:val="000000"/>
                <w:sz w:val="16"/>
                <w:szCs w:val="16"/>
                <w:lang w:val="sk-SK" w:eastAsia="sk-SK"/>
              </w:rPr>
              <w:t xml:space="preserve">                -      </w:t>
            </w:r>
          </w:p>
        </w:tc>
      </w:tr>
    </w:tbl>
    <w:p w14:paraId="64678235" w14:textId="6D14859D" w:rsidR="00BB4AE1" w:rsidRPr="00226892" w:rsidRDefault="00BB4AE1" w:rsidP="00877E3A">
      <w:pPr>
        <w:rPr>
          <w:rFonts w:ascii="Arial" w:hAnsi="Arial" w:cs="Arial"/>
        </w:rPr>
      </w:pPr>
      <w:r w:rsidRPr="00226892">
        <w:rPr>
          <w:rFonts w:ascii="Arial" w:hAnsi="Arial" w:cs="Arial"/>
        </w:rPr>
        <w:t xml:space="preserve"> </w:t>
      </w:r>
      <w:bookmarkEnd w:id="388"/>
      <w:r w:rsidRPr="00226892">
        <w:rPr>
          <w:rFonts w:ascii="Arial" w:hAnsi="Arial" w:cs="Arial"/>
        </w:rPr>
        <w:t xml:space="preserve"> </w:t>
      </w:r>
    </w:p>
    <w:p w14:paraId="626757E4" w14:textId="047C705A" w:rsidR="00730E03" w:rsidRPr="00226892" w:rsidRDefault="00730E03" w:rsidP="00877E3A">
      <w:pPr>
        <w:rPr>
          <w:rFonts w:ascii="Arial" w:hAnsi="Arial" w:cs="Arial"/>
        </w:rPr>
      </w:pPr>
    </w:p>
    <w:p w14:paraId="3C6234D2" w14:textId="3FEA38FD" w:rsidR="00C437F0" w:rsidRPr="00226892" w:rsidRDefault="00C437F0" w:rsidP="00FD21B8">
      <w:pPr>
        <w:pStyle w:val="Nadpis3"/>
        <w:keepNext w:val="0"/>
        <w:widowControl/>
        <w:numPr>
          <w:ilvl w:val="0"/>
          <w:numId w:val="34"/>
        </w:numPr>
        <w:tabs>
          <w:tab w:val="clear" w:pos="1069"/>
          <w:tab w:val="num" w:pos="392"/>
        </w:tabs>
        <w:suppressAutoHyphens/>
        <w:ind w:left="1077" w:hanging="1077"/>
        <w:rPr>
          <w:rFonts w:ascii="Arial" w:hAnsi="Arial" w:cs="Arial"/>
          <w:sz w:val="20"/>
        </w:rPr>
      </w:pPr>
      <w:bookmarkStart w:id="390" w:name="_Toc516654830"/>
      <w:bookmarkStart w:id="391" w:name="_Toc516654831"/>
      <w:bookmarkStart w:id="392" w:name="_Toc516654832"/>
      <w:bookmarkStart w:id="393" w:name="_Toc516654833"/>
      <w:bookmarkStart w:id="394" w:name="_Toc516654834"/>
      <w:bookmarkStart w:id="395" w:name="_Toc516654835"/>
      <w:bookmarkStart w:id="396" w:name="_Toc516654836"/>
      <w:bookmarkStart w:id="397" w:name="_Toc516654837"/>
      <w:bookmarkStart w:id="398" w:name="_Toc326330705"/>
      <w:bookmarkStart w:id="399" w:name="_Toc327260926"/>
      <w:bookmarkStart w:id="400" w:name="_Toc327263401"/>
      <w:bookmarkStart w:id="401" w:name="_Toc327953476"/>
      <w:bookmarkStart w:id="402" w:name="_Toc516654838"/>
      <w:bookmarkStart w:id="403" w:name="_Toc422151030"/>
      <w:bookmarkStart w:id="404" w:name="_Toc325985802"/>
      <w:bookmarkStart w:id="405" w:name="_Toc387812504"/>
      <w:bookmarkStart w:id="406" w:name="_Toc2740999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roofErr w:type="spellStart"/>
      <w:r w:rsidRPr="00226892">
        <w:rPr>
          <w:rFonts w:ascii="Arial" w:hAnsi="Arial" w:cs="Arial"/>
          <w:sz w:val="20"/>
        </w:rPr>
        <w:t>Finančné</w:t>
      </w:r>
      <w:proofErr w:type="spellEnd"/>
      <w:r w:rsidRPr="00226892">
        <w:rPr>
          <w:rFonts w:ascii="Arial" w:hAnsi="Arial" w:cs="Arial"/>
          <w:sz w:val="20"/>
        </w:rPr>
        <w:t xml:space="preserve"> </w:t>
      </w:r>
      <w:proofErr w:type="spellStart"/>
      <w:r w:rsidRPr="00226892">
        <w:rPr>
          <w:rFonts w:ascii="Arial" w:hAnsi="Arial" w:cs="Arial"/>
          <w:sz w:val="20"/>
        </w:rPr>
        <w:t>nástroje</w:t>
      </w:r>
      <w:proofErr w:type="spellEnd"/>
      <w:r w:rsidRPr="00226892">
        <w:rPr>
          <w:rFonts w:ascii="Arial" w:hAnsi="Arial" w:cs="Arial"/>
          <w:sz w:val="20"/>
        </w:rPr>
        <w:t xml:space="preserve"> </w:t>
      </w:r>
      <w:proofErr w:type="spellStart"/>
      <w:r w:rsidRPr="00226892">
        <w:rPr>
          <w:rFonts w:ascii="Arial" w:hAnsi="Arial" w:cs="Arial"/>
          <w:sz w:val="20"/>
        </w:rPr>
        <w:t>podľa</w:t>
      </w:r>
      <w:proofErr w:type="spellEnd"/>
      <w:r w:rsidRPr="00226892">
        <w:rPr>
          <w:rFonts w:ascii="Arial" w:hAnsi="Arial" w:cs="Arial"/>
          <w:sz w:val="20"/>
        </w:rPr>
        <w:t xml:space="preserve"> </w:t>
      </w:r>
      <w:proofErr w:type="spellStart"/>
      <w:r w:rsidRPr="00226892">
        <w:rPr>
          <w:rFonts w:ascii="Arial" w:hAnsi="Arial" w:cs="Arial"/>
          <w:sz w:val="20"/>
        </w:rPr>
        <w:t>kategórie</w:t>
      </w:r>
      <w:bookmarkEnd w:id="404"/>
      <w:bookmarkEnd w:id="405"/>
      <w:bookmarkEnd w:id="406"/>
      <w:proofErr w:type="spellEnd"/>
    </w:p>
    <w:p w14:paraId="179921E5" w14:textId="77777777" w:rsidR="00FB3F19" w:rsidRPr="00226892" w:rsidRDefault="00FB3F19" w:rsidP="00FD21B8">
      <w:pPr>
        <w:rPr>
          <w:rFonts w:ascii="Arial" w:hAnsi="Arial" w:cs="Arial"/>
        </w:rPr>
      </w:pPr>
    </w:p>
    <w:p w14:paraId="433568E7" w14:textId="77777777" w:rsidR="00837450" w:rsidRPr="00226892" w:rsidRDefault="00C437F0" w:rsidP="00F1483F">
      <w:pPr>
        <w:suppressAutoHyphens/>
        <w:rPr>
          <w:rFonts w:ascii="Arial" w:hAnsi="Arial" w:cs="Arial"/>
          <w:szCs w:val="18"/>
          <w:lang w:val="sk-SK"/>
        </w:rPr>
      </w:pPr>
      <w:r w:rsidRPr="00226892">
        <w:rPr>
          <w:rFonts w:ascii="Arial" w:hAnsi="Arial" w:cs="Arial"/>
          <w:szCs w:val="18"/>
          <w:lang w:val="sk-SK"/>
        </w:rPr>
        <w:t>Analýza finančných nástrojov podľa kategórií ocenenia v súlade s IAS 39 je nasledovná:</w:t>
      </w:r>
      <w:r w:rsidR="006A3B72" w:rsidRPr="00226892">
        <w:rPr>
          <w:rFonts w:ascii="Arial" w:hAnsi="Arial" w:cs="Arial"/>
          <w:szCs w:val="18"/>
          <w:lang w:val="sk-SK"/>
        </w:rPr>
        <w:t xml:space="preserve"> </w:t>
      </w:r>
    </w:p>
    <w:p w14:paraId="486B7421" w14:textId="77777777" w:rsidR="008E76A0" w:rsidRPr="00226892" w:rsidRDefault="00DF2B7E" w:rsidP="008E76A0">
      <w:pPr>
        <w:suppressAutoHyphens/>
        <w:rPr>
          <w:rFonts w:ascii="Arial" w:hAnsi="Arial" w:cs="Arial"/>
          <w:sz w:val="18"/>
          <w:szCs w:val="18"/>
        </w:rPr>
      </w:pPr>
      <w:bookmarkStart w:id="407" w:name="FWT_FinAssByCategory_CY"/>
      <w:r w:rsidRPr="00226892">
        <w:rPr>
          <w:rFonts w:ascii="Arial" w:hAnsi="Arial" w:cs="Arial"/>
          <w:sz w:val="18"/>
          <w:szCs w:val="18"/>
          <w:lang w:val="sk-SK"/>
        </w:rPr>
        <w:t xml:space="preserve"> </w:t>
      </w:r>
    </w:p>
    <w:tbl>
      <w:tblPr>
        <w:tblW w:w="5000" w:type="pct"/>
        <w:jc w:val="right"/>
        <w:tblCellMar>
          <w:left w:w="70" w:type="dxa"/>
          <w:right w:w="70" w:type="dxa"/>
        </w:tblCellMar>
        <w:tblLook w:val="04A0" w:firstRow="1" w:lastRow="0" w:firstColumn="1" w:lastColumn="0" w:noHBand="0" w:noVBand="1"/>
      </w:tblPr>
      <w:tblGrid>
        <w:gridCol w:w="3679"/>
        <w:gridCol w:w="1150"/>
        <w:gridCol w:w="190"/>
        <w:gridCol w:w="2137"/>
        <w:gridCol w:w="194"/>
        <w:gridCol w:w="1028"/>
        <w:gridCol w:w="195"/>
        <w:gridCol w:w="1066"/>
      </w:tblGrid>
      <w:tr w:rsidR="00CF1E03" w:rsidRPr="00226892" w14:paraId="4D726F80" w14:textId="77777777" w:rsidTr="00D438B7">
        <w:trPr>
          <w:trHeight w:val="227"/>
          <w:jc w:val="right"/>
        </w:trPr>
        <w:tc>
          <w:tcPr>
            <w:tcW w:w="1909" w:type="pct"/>
            <w:tcBorders>
              <w:top w:val="nil"/>
              <w:left w:val="nil"/>
              <w:bottom w:val="single" w:sz="4" w:space="0" w:color="auto"/>
              <w:right w:val="nil"/>
            </w:tcBorders>
            <w:shd w:val="clear" w:color="auto" w:fill="auto"/>
            <w:vAlign w:val="bottom"/>
            <w:hideMark/>
          </w:tcPr>
          <w:p w14:paraId="5D52FF90" w14:textId="6270E045" w:rsidR="00CF1E03" w:rsidRPr="00226892" w:rsidRDefault="00CF1E03" w:rsidP="00D438B7">
            <w:pPr>
              <w:jc w:val="center"/>
              <w:rPr>
                <w:rFonts w:ascii="Arial" w:eastAsia="Times New Roman" w:hAnsi="Arial" w:cs="Arial"/>
                <w:b/>
                <w:bCs/>
                <w:color w:val="000000"/>
                <w:sz w:val="18"/>
                <w:szCs w:val="18"/>
                <w:lang w:val="sk-SK" w:eastAsia="sk-SK"/>
              </w:rPr>
            </w:pPr>
            <w:bookmarkStart w:id="408" w:name="RANGE!C3:M10"/>
            <w:r w:rsidRPr="00226892">
              <w:rPr>
                <w:rFonts w:ascii="Arial" w:eastAsia="Times New Roman" w:hAnsi="Arial" w:cs="Arial"/>
                <w:b/>
                <w:bCs/>
                <w:color w:val="000000"/>
                <w:sz w:val="18"/>
                <w:szCs w:val="18"/>
                <w:lang w:val="sk-SK" w:eastAsia="sk-SK"/>
              </w:rPr>
              <w:t>K 31-12-</w:t>
            </w:r>
            <w:bookmarkEnd w:id="408"/>
            <w:r w:rsidR="00FD3AC5" w:rsidRPr="00226892">
              <w:rPr>
                <w:rFonts w:ascii="Arial" w:eastAsia="Times New Roman" w:hAnsi="Arial" w:cs="Arial"/>
                <w:b/>
                <w:bCs/>
                <w:color w:val="000000"/>
                <w:sz w:val="18"/>
                <w:szCs w:val="18"/>
                <w:lang w:val="sk-SK" w:eastAsia="sk-SK"/>
              </w:rPr>
              <w:t>2018</w:t>
            </w:r>
          </w:p>
        </w:tc>
        <w:tc>
          <w:tcPr>
            <w:tcW w:w="594" w:type="pct"/>
            <w:tcBorders>
              <w:top w:val="nil"/>
              <w:left w:val="nil"/>
              <w:bottom w:val="single" w:sz="4" w:space="0" w:color="auto"/>
              <w:right w:val="nil"/>
            </w:tcBorders>
            <w:shd w:val="clear" w:color="auto" w:fill="auto"/>
            <w:vAlign w:val="bottom"/>
            <w:hideMark/>
          </w:tcPr>
          <w:p w14:paraId="61A90794" w14:textId="2C8C0581" w:rsidR="00CF1E03" w:rsidRPr="00226892" w:rsidRDefault="00CF1E03" w:rsidP="00D438B7">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Pôžičky a pohľadávky</w:t>
            </w:r>
          </w:p>
        </w:tc>
        <w:tc>
          <w:tcPr>
            <w:tcW w:w="99" w:type="pct"/>
            <w:tcBorders>
              <w:top w:val="nil"/>
              <w:left w:val="nil"/>
              <w:bottom w:val="single" w:sz="4" w:space="0" w:color="auto"/>
              <w:right w:val="nil"/>
            </w:tcBorders>
            <w:shd w:val="clear" w:color="auto" w:fill="auto"/>
            <w:vAlign w:val="bottom"/>
            <w:hideMark/>
          </w:tcPr>
          <w:p w14:paraId="2C949E98" w14:textId="12BBFA89" w:rsidR="00CF1E03" w:rsidRPr="00226892" w:rsidRDefault="00CF1E03" w:rsidP="00D438B7">
            <w:pPr>
              <w:jc w:val="center"/>
              <w:rPr>
                <w:rFonts w:ascii="Arial" w:eastAsia="Times New Roman" w:hAnsi="Arial" w:cs="Arial"/>
                <w:b/>
                <w:bCs/>
                <w:color w:val="000000"/>
                <w:sz w:val="18"/>
                <w:szCs w:val="18"/>
                <w:lang w:val="sk-SK" w:eastAsia="sk-SK"/>
              </w:rPr>
            </w:pPr>
          </w:p>
        </w:tc>
        <w:tc>
          <w:tcPr>
            <w:tcW w:w="1109" w:type="pct"/>
            <w:tcBorders>
              <w:top w:val="nil"/>
              <w:left w:val="nil"/>
              <w:bottom w:val="single" w:sz="4" w:space="0" w:color="auto"/>
              <w:right w:val="nil"/>
            </w:tcBorders>
            <w:shd w:val="clear" w:color="auto" w:fill="auto"/>
            <w:vAlign w:val="bottom"/>
            <w:hideMark/>
          </w:tcPr>
          <w:p w14:paraId="5C950149" w14:textId="508716FC" w:rsidR="00CF1E03" w:rsidRPr="00226892" w:rsidRDefault="00CF1E03" w:rsidP="00D438B7">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Majetok účtovaný v reálnej hodnote cez Výkaz ziskov a strát</w:t>
            </w:r>
          </w:p>
        </w:tc>
        <w:tc>
          <w:tcPr>
            <w:tcW w:w="101" w:type="pct"/>
            <w:tcBorders>
              <w:top w:val="nil"/>
              <w:left w:val="nil"/>
              <w:bottom w:val="single" w:sz="4" w:space="0" w:color="auto"/>
              <w:right w:val="nil"/>
            </w:tcBorders>
            <w:shd w:val="clear" w:color="auto" w:fill="auto"/>
            <w:vAlign w:val="bottom"/>
            <w:hideMark/>
          </w:tcPr>
          <w:p w14:paraId="5B5F4614" w14:textId="6989AABE" w:rsidR="00CF1E03" w:rsidRPr="00226892" w:rsidRDefault="00CF1E03" w:rsidP="00D438B7">
            <w:pPr>
              <w:jc w:val="center"/>
              <w:rPr>
                <w:rFonts w:ascii="Arial" w:eastAsia="Times New Roman" w:hAnsi="Arial" w:cs="Arial"/>
                <w:b/>
                <w:bCs/>
                <w:color w:val="000000"/>
                <w:sz w:val="18"/>
                <w:szCs w:val="18"/>
                <w:lang w:val="sk-SK" w:eastAsia="sk-SK"/>
              </w:rPr>
            </w:pPr>
          </w:p>
        </w:tc>
        <w:tc>
          <w:tcPr>
            <w:tcW w:w="534" w:type="pct"/>
            <w:tcBorders>
              <w:top w:val="nil"/>
              <w:left w:val="nil"/>
              <w:bottom w:val="single" w:sz="4" w:space="0" w:color="auto"/>
              <w:right w:val="nil"/>
            </w:tcBorders>
            <w:shd w:val="clear" w:color="auto" w:fill="auto"/>
            <w:vAlign w:val="bottom"/>
            <w:hideMark/>
          </w:tcPr>
          <w:p w14:paraId="71105111" w14:textId="76D77030" w:rsidR="00CF1E03" w:rsidRPr="00226892" w:rsidRDefault="00CF1E03" w:rsidP="00D438B7">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Majetok určený na predaj</w:t>
            </w:r>
          </w:p>
        </w:tc>
        <w:tc>
          <w:tcPr>
            <w:tcW w:w="101" w:type="pct"/>
            <w:tcBorders>
              <w:top w:val="nil"/>
              <w:left w:val="nil"/>
              <w:bottom w:val="single" w:sz="4" w:space="0" w:color="auto"/>
              <w:right w:val="nil"/>
            </w:tcBorders>
            <w:shd w:val="clear" w:color="auto" w:fill="auto"/>
            <w:vAlign w:val="bottom"/>
            <w:hideMark/>
          </w:tcPr>
          <w:p w14:paraId="1A02F748" w14:textId="41F7D61A" w:rsidR="00CF1E03" w:rsidRPr="00226892" w:rsidRDefault="00CF1E03" w:rsidP="00D438B7">
            <w:pPr>
              <w:jc w:val="center"/>
              <w:rPr>
                <w:rFonts w:ascii="Arial" w:eastAsia="Times New Roman" w:hAnsi="Arial" w:cs="Arial"/>
                <w:b/>
                <w:bCs/>
                <w:color w:val="000000"/>
                <w:sz w:val="18"/>
                <w:szCs w:val="18"/>
                <w:lang w:val="sk-SK" w:eastAsia="sk-SK"/>
              </w:rPr>
            </w:pPr>
          </w:p>
        </w:tc>
        <w:tc>
          <w:tcPr>
            <w:tcW w:w="555" w:type="pct"/>
            <w:tcBorders>
              <w:top w:val="nil"/>
              <w:left w:val="nil"/>
              <w:bottom w:val="single" w:sz="4" w:space="0" w:color="auto"/>
              <w:right w:val="nil"/>
            </w:tcBorders>
            <w:shd w:val="clear" w:color="auto" w:fill="auto"/>
            <w:vAlign w:val="bottom"/>
            <w:hideMark/>
          </w:tcPr>
          <w:p w14:paraId="53F086DB" w14:textId="5A0DF759" w:rsidR="00CF1E03" w:rsidRPr="00226892" w:rsidRDefault="00CF1E03" w:rsidP="00D438B7">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Spolu</w:t>
            </w:r>
          </w:p>
        </w:tc>
      </w:tr>
      <w:tr w:rsidR="00CF1E03" w:rsidRPr="00226892" w14:paraId="171A005C" w14:textId="77777777" w:rsidTr="000405EF">
        <w:trPr>
          <w:trHeight w:val="227"/>
          <w:jc w:val="right"/>
        </w:trPr>
        <w:tc>
          <w:tcPr>
            <w:tcW w:w="1909" w:type="pct"/>
            <w:tcBorders>
              <w:top w:val="nil"/>
              <w:left w:val="nil"/>
              <w:bottom w:val="nil"/>
              <w:right w:val="nil"/>
            </w:tcBorders>
            <w:shd w:val="clear" w:color="auto" w:fill="auto"/>
            <w:vAlign w:val="bottom"/>
            <w:hideMark/>
          </w:tcPr>
          <w:p w14:paraId="3A2C6993" w14:textId="77777777" w:rsidR="00CF1E03" w:rsidRPr="00226892" w:rsidRDefault="00CF1E03" w:rsidP="008E76A0">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Finančné aktíva podľa súvahy</w:t>
            </w:r>
          </w:p>
        </w:tc>
        <w:tc>
          <w:tcPr>
            <w:tcW w:w="594" w:type="pct"/>
            <w:tcBorders>
              <w:top w:val="nil"/>
              <w:left w:val="nil"/>
              <w:bottom w:val="nil"/>
              <w:right w:val="nil"/>
            </w:tcBorders>
            <w:shd w:val="clear" w:color="auto" w:fill="auto"/>
            <w:vAlign w:val="bottom"/>
            <w:hideMark/>
          </w:tcPr>
          <w:p w14:paraId="73431668" w14:textId="77777777" w:rsidR="00CF1E03" w:rsidRPr="00226892" w:rsidRDefault="00CF1E03" w:rsidP="00FD21B8">
            <w:pPr>
              <w:jc w:val="right"/>
              <w:rPr>
                <w:rFonts w:ascii="Arial" w:eastAsia="Times New Roman" w:hAnsi="Arial" w:cs="Arial"/>
                <w:sz w:val="18"/>
                <w:szCs w:val="18"/>
                <w:lang w:val="sk-SK" w:eastAsia="sk-SK"/>
              </w:rPr>
            </w:pPr>
          </w:p>
        </w:tc>
        <w:tc>
          <w:tcPr>
            <w:tcW w:w="99" w:type="pct"/>
            <w:tcBorders>
              <w:top w:val="nil"/>
              <w:left w:val="nil"/>
              <w:bottom w:val="nil"/>
              <w:right w:val="nil"/>
            </w:tcBorders>
            <w:shd w:val="clear" w:color="auto" w:fill="auto"/>
            <w:vAlign w:val="bottom"/>
            <w:hideMark/>
          </w:tcPr>
          <w:p w14:paraId="6FBF82D3" w14:textId="77777777" w:rsidR="00CF1E03" w:rsidRPr="00226892" w:rsidRDefault="00CF1E03" w:rsidP="00FD21B8">
            <w:pPr>
              <w:jc w:val="right"/>
              <w:rPr>
                <w:rFonts w:ascii="Arial" w:eastAsia="Times New Roman" w:hAnsi="Arial" w:cs="Arial"/>
                <w:sz w:val="18"/>
                <w:szCs w:val="18"/>
                <w:lang w:val="sk-SK" w:eastAsia="sk-SK"/>
              </w:rPr>
            </w:pPr>
          </w:p>
        </w:tc>
        <w:tc>
          <w:tcPr>
            <w:tcW w:w="1109" w:type="pct"/>
            <w:tcBorders>
              <w:top w:val="nil"/>
              <w:left w:val="nil"/>
              <w:bottom w:val="nil"/>
              <w:right w:val="nil"/>
            </w:tcBorders>
            <w:shd w:val="clear" w:color="auto" w:fill="auto"/>
            <w:vAlign w:val="bottom"/>
            <w:hideMark/>
          </w:tcPr>
          <w:p w14:paraId="210AB9FD" w14:textId="77777777" w:rsidR="00CF1E03" w:rsidRPr="00226892" w:rsidRDefault="00CF1E03" w:rsidP="00FD21B8">
            <w:pPr>
              <w:jc w:val="right"/>
              <w:rPr>
                <w:rFonts w:ascii="Arial" w:eastAsia="Times New Roman" w:hAnsi="Arial" w:cs="Arial"/>
                <w:sz w:val="18"/>
                <w:szCs w:val="18"/>
                <w:lang w:val="sk-SK" w:eastAsia="sk-SK"/>
              </w:rPr>
            </w:pPr>
          </w:p>
        </w:tc>
        <w:tc>
          <w:tcPr>
            <w:tcW w:w="101" w:type="pct"/>
            <w:tcBorders>
              <w:top w:val="nil"/>
              <w:left w:val="nil"/>
              <w:bottom w:val="nil"/>
              <w:right w:val="nil"/>
            </w:tcBorders>
            <w:shd w:val="clear" w:color="auto" w:fill="auto"/>
            <w:vAlign w:val="bottom"/>
            <w:hideMark/>
          </w:tcPr>
          <w:p w14:paraId="338DD097" w14:textId="77777777" w:rsidR="00CF1E03" w:rsidRPr="00226892" w:rsidRDefault="00CF1E03" w:rsidP="00FD21B8">
            <w:pPr>
              <w:jc w:val="right"/>
              <w:rPr>
                <w:rFonts w:ascii="Arial" w:eastAsia="Times New Roman" w:hAnsi="Arial" w:cs="Arial"/>
                <w:sz w:val="18"/>
                <w:szCs w:val="18"/>
                <w:lang w:val="sk-SK" w:eastAsia="sk-SK"/>
              </w:rPr>
            </w:pPr>
          </w:p>
        </w:tc>
        <w:tc>
          <w:tcPr>
            <w:tcW w:w="534" w:type="pct"/>
            <w:tcBorders>
              <w:top w:val="nil"/>
              <w:left w:val="nil"/>
              <w:bottom w:val="nil"/>
              <w:right w:val="nil"/>
            </w:tcBorders>
            <w:shd w:val="clear" w:color="auto" w:fill="auto"/>
            <w:vAlign w:val="bottom"/>
            <w:hideMark/>
          </w:tcPr>
          <w:p w14:paraId="6287F4BD" w14:textId="77777777" w:rsidR="00CF1E03" w:rsidRPr="00226892" w:rsidRDefault="00CF1E03" w:rsidP="00FD21B8">
            <w:pPr>
              <w:jc w:val="right"/>
              <w:rPr>
                <w:rFonts w:ascii="Arial" w:eastAsia="Times New Roman" w:hAnsi="Arial" w:cs="Arial"/>
                <w:sz w:val="18"/>
                <w:szCs w:val="18"/>
                <w:lang w:val="sk-SK" w:eastAsia="sk-SK"/>
              </w:rPr>
            </w:pPr>
          </w:p>
        </w:tc>
        <w:tc>
          <w:tcPr>
            <w:tcW w:w="101" w:type="pct"/>
            <w:tcBorders>
              <w:top w:val="nil"/>
              <w:left w:val="nil"/>
              <w:bottom w:val="nil"/>
              <w:right w:val="nil"/>
            </w:tcBorders>
            <w:shd w:val="clear" w:color="auto" w:fill="auto"/>
            <w:vAlign w:val="bottom"/>
            <w:hideMark/>
          </w:tcPr>
          <w:p w14:paraId="14C4E63B" w14:textId="77777777" w:rsidR="00CF1E03" w:rsidRPr="00226892" w:rsidRDefault="00CF1E03" w:rsidP="00FD21B8">
            <w:pPr>
              <w:jc w:val="right"/>
              <w:rPr>
                <w:rFonts w:ascii="Arial" w:eastAsia="Times New Roman" w:hAnsi="Arial" w:cs="Arial"/>
                <w:sz w:val="18"/>
                <w:szCs w:val="18"/>
                <w:lang w:val="sk-SK" w:eastAsia="sk-SK"/>
              </w:rPr>
            </w:pPr>
          </w:p>
        </w:tc>
        <w:tc>
          <w:tcPr>
            <w:tcW w:w="555" w:type="pct"/>
            <w:tcBorders>
              <w:top w:val="nil"/>
              <w:left w:val="nil"/>
              <w:bottom w:val="nil"/>
              <w:right w:val="nil"/>
            </w:tcBorders>
            <w:shd w:val="clear" w:color="auto" w:fill="auto"/>
            <w:vAlign w:val="bottom"/>
            <w:hideMark/>
          </w:tcPr>
          <w:p w14:paraId="16DC28E8" w14:textId="77777777" w:rsidR="00CF1E03" w:rsidRPr="00226892" w:rsidRDefault="00CF1E03" w:rsidP="00FD21B8">
            <w:pPr>
              <w:jc w:val="right"/>
              <w:rPr>
                <w:rFonts w:ascii="Arial" w:eastAsia="Times New Roman" w:hAnsi="Arial" w:cs="Arial"/>
                <w:sz w:val="18"/>
                <w:szCs w:val="18"/>
                <w:lang w:val="sk-SK" w:eastAsia="sk-SK"/>
              </w:rPr>
            </w:pPr>
          </w:p>
        </w:tc>
      </w:tr>
      <w:tr w:rsidR="00672108" w:rsidRPr="00226892" w14:paraId="53B5BD4D" w14:textId="77777777" w:rsidTr="000405EF">
        <w:trPr>
          <w:trHeight w:val="227"/>
          <w:jc w:val="right"/>
        </w:trPr>
        <w:tc>
          <w:tcPr>
            <w:tcW w:w="1909" w:type="pct"/>
            <w:tcBorders>
              <w:top w:val="nil"/>
              <w:left w:val="nil"/>
              <w:bottom w:val="nil"/>
              <w:right w:val="nil"/>
            </w:tcBorders>
            <w:shd w:val="clear" w:color="auto" w:fill="auto"/>
            <w:vAlign w:val="bottom"/>
            <w:hideMark/>
          </w:tcPr>
          <w:p w14:paraId="643B2B38" w14:textId="2E53CE3B" w:rsidR="00672108" w:rsidRPr="00226892" w:rsidRDefault="00672108" w:rsidP="0067210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Pohľadávky z obchodného styku (krátkodobé a dlhodobé) (Pozn.1</w:t>
            </w:r>
            <w:r w:rsidR="007F4645" w:rsidRPr="00226892">
              <w:rPr>
                <w:rFonts w:ascii="Arial" w:eastAsia="Times New Roman" w:hAnsi="Arial" w:cs="Arial"/>
                <w:color w:val="000000"/>
                <w:sz w:val="18"/>
                <w:szCs w:val="18"/>
                <w:lang w:val="sk-SK" w:eastAsia="sk-SK"/>
              </w:rPr>
              <w:t>0</w:t>
            </w:r>
            <w:r w:rsidRPr="00226892">
              <w:rPr>
                <w:rFonts w:ascii="Arial" w:eastAsia="Times New Roman" w:hAnsi="Arial" w:cs="Arial"/>
                <w:color w:val="000000"/>
                <w:sz w:val="18"/>
                <w:szCs w:val="18"/>
                <w:lang w:val="sk-SK" w:eastAsia="sk-SK"/>
              </w:rPr>
              <w:t>)</w:t>
            </w:r>
          </w:p>
        </w:tc>
        <w:tc>
          <w:tcPr>
            <w:tcW w:w="594" w:type="pct"/>
            <w:tcBorders>
              <w:top w:val="nil"/>
              <w:left w:val="nil"/>
              <w:bottom w:val="nil"/>
              <w:right w:val="nil"/>
            </w:tcBorders>
            <w:shd w:val="clear" w:color="auto" w:fill="auto"/>
            <w:vAlign w:val="bottom"/>
          </w:tcPr>
          <w:p w14:paraId="1485A873" w14:textId="714FFBAF" w:rsidR="00672108" w:rsidRPr="00226892" w:rsidRDefault="00922B65" w:rsidP="0067210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w:t>
            </w:r>
            <w:r w:rsidR="00571169" w:rsidRPr="00226892">
              <w:rPr>
                <w:rFonts w:ascii="Arial" w:eastAsia="Times New Roman" w:hAnsi="Arial" w:cs="Arial"/>
                <w:color w:val="000000"/>
                <w:sz w:val="18"/>
                <w:szCs w:val="18"/>
                <w:lang w:val="sk-SK" w:eastAsia="sk-SK"/>
              </w:rPr>
              <w:t xml:space="preserve">4 </w:t>
            </w:r>
            <w:r w:rsidR="00AE05FE" w:rsidRPr="00226892">
              <w:rPr>
                <w:rFonts w:ascii="Arial" w:eastAsia="Times New Roman" w:hAnsi="Arial" w:cs="Arial"/>
                <w:color w:val="000000"/>
                <w:sz w:val="18"/>
                <w:szCs w:val="18"/>
                <w:lang w:val="sk-SK" w:eastAsia="sk-SK"/>
              </w:rPr>
              <w:t>722</w:t>
            </w:r>
          </w:p>
        </w:tc>
        <w:tc>
          <w:tcPr>
            <w:tcW w:w="99" w:type="pct"/>
            <w:tcBorders>
              <w:top w:val="nil"/>
              <w:left w:val="nil"/>
              <w:bottom w:val="nil"/>
              <w:right w:val="nil"/>
            </w:tcBorders>
            <w:shd w:val="clear" w:color="auto" w:fill="auto"/>
            <w:vAlign w:val="bottom"/>
          </w:tcPr>
          <w:p w14:paraId="669BF9F3" w14:textId="77777777" w:rsidR="00672108" w:rsidRPr="00226892" w:rsidRDefault="00672108" w:rsidP="00672108">
            <w:pPr>
              <w:jc w:val="right"/>
              <w:rPr>
                <w:rFonts w:ascii="Arial" w:eastAsia="Times New Roman" w:hAnsi="Arial" w:cs="Arial"/>
                <w:color w:val="000000"/>
                <w:sz w:val="18"/>
                <w:szCs w:val="18"/>
                <w:lang w:val="sk-SK" w:eastAsia="sk-SK"/>
              </w:rPr>
            </w:pPr>
          </w:p>
        </w:tc>
        <w:tc>
          <w:tcPr>
            <w:tcW w:w="1109" w:type="pct"/>
            <w:tcBorders>
              <w:top w:val="nil"/>
              <w:left w:val="nil"/>
              <w:bottom w:val="nil"/>
              <w:right w:val="nil"/>
            </w:tcBorders>
            <w:shd w:val="clear" w:color="auto" w:fill="auto"/>
            <w:vAlign w:val="bottom"/>
          </w:tcPr>
          <w:p w14:paraId="08D0C5A2" w14:textId="14F898B2" w:rsidR="00672108" w:rsidRPr="00226892" w:rsidRDefault="00672108" w:rsidP="0067210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01" w:type="pct"/>
            <w:tcBorders>
              <w:top w:val="nil"/>
              <w:left w:val="nil"/>
              <w:bottom w:val="nil"/>
              <w:right w:val="nil"/>
            </w:tcBorders>
            <w:shd w:val="clear" w:color="auto" w:fill="auto"/>
            <w:vAlign w:val="bottom"/>
          </w:tcPr>
          <w:p w14:paraId="4C3A8FF9" w14:textId="77777777" w:rsidR="00672108" w:rsidRPr="00226892" w:rsidRDefault="00672108" w:rsidP="00672108">
            <w:pPr>
              <w:jc w:val="right"/>
              <w:rPr>
                <w:rFonts w:ascii="Arial" w:eastAsia="Times New Roman" w:hAnsi="Arial" w:cs="Arial"/>
                <w:color w:val="000000"/>
                <w:sz w:val="18"/>
                <w:szCs w:val="18"/>
                <w:lang w:val="sk-SK" w:eastAsia="sk-SK"/>
              </w:rPr>
            </w:pPr>
          </w:p>
        </w:tc>
        <w:tc>
          <w:tcPr>
            <w:tcW w:w="534" w:type="pct"/>
            <w:tcBorders>
              <w:top w:val="nil"/>
              <w:left w:val="nil"/>
              <w:bottom w:val="nil"/>
              <w:right w:val="nil"/>
            </w:tcBorders>
            <w:shd w:val="clear" w:color="auto" w:fill="auto"/>
            <w:vAlign w:val="bottom"/>
          </w:tcPr>
          <w:p w14:paraId="7DB21F2A" w14:textId="56FC074E" w:rsidR="00672108" w:rsidRPr="00226892" w:rsidRDefault="00672108" w:rsidP="0067210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01" w:type="pct"/>
            <w:tcBorders>
              <w:top w:val="nil"/>
              <w:left w:val="nil"/>
              <w:bottom w:val="nil"/>
              <w:right w:val="nil"/>
            </w:tcBorders>
            <w:shd w:val="clear" w:color="auto" w:fill="auto"/>
            <w:vAlign w:val="bottom"/>
          </w:tcPr>
          <w:p w14:paraId="35629B0D" w14:textId="77777777" w:rsidR="00672108" w:rsidRPr="00226892" w:rsidRDefault="00672108" w:rsidP="00672108">
            <w:pPr>
              <w:jc w:val="right"/>
              <w:rPr>
                <w:rFonts w:ascii="Arial" w:eastAsia="Times New Roman" w:hAnsi="Arial" w:cs="Arial"/>
                <w:color w:val="000000"/>
                <w:sz w:val="18"/>
                <w:szCs w:val="18"/>
                <w:lang w:val="sk-SK" w:eastAsia="sk-SK"/>
              </w:rPr>
            </w:pPr>
          </w:p>
        </w:tc>
        <w:tc>
          <w:tcPr>
            <w:tcW w:w="555" w:type="pct"/>
            <w:tcBorders>
              <w:top w:val="nil"/>
              <w:left w:val="nil"/>
              <w:bottom w:val="nil"/>
              <w:right w:val="nil"/>
            </w:tcBorders>
            <w:shd w:val="clear" w:color="auto" w:fill="auto"/>
            <w:vAlign w:val="bottom"/>
          </w:tcPr>
          <w:p w14:paraId="6C033FDC" w14:textId="389E2924" w:rsidR="00672108" w:rsidRPr="00226892" w:rsidRDefault="00922B65" w:rsidP="00672108">
            <w:pPr>
              <w:jc w:val="right"/>
              <w:rPr>
                <w:rFonts w:ascii="Arial" w:eastAsia="Times New Roman" w:hAnsi="Arial" w:cs="Arial"/>
                <w:b/>
                <w:bCs/>
                <w:color w:val="000000"/>
                <w:sz w:val="18"/>
                <w:szCs w:val="18"/>
                <w:lang w:val="sk-SK" w:eastAsia="sk-SK"/>
              </w:rPr>
            </w:pPr>
            <w:r w:rsidRPr="00226892">
              <w:rPr>
                <w:rFonts w:ascii="Arial" w:eastAsia="Times New Roman" w:hAnsi="Arial" w:cs="Arial"/>
                <w:color w:val="000000"/>
                <w:sz w:val="18"/>
                <w:szCs w:val="18"/>
                <w:lang w:val="sk-SK" w:eastAsia="sk-SK"/>
              </w:rPr>
              <w:t>2</w:t>
            </w:r>
            <w:r w:rsidR="00571169" w:rsidRPr="00226892">
              <w:rPr>
                <w:rFonts w:ascii="Arial" w:eastAsia="Times New Roman" w:hAnsi="Arial" w:cs="Arial"/>
                <w:color w:val="000000"/>
                <w:sz w:val="18"/>
                <w:szCs w:val="18"/>
                <w:lang w:val="sk-SK" w:eastAsia="sk-SK"/>
              </w:rPr>
              <w:t xml:space="preserve">4 </w:t>
            </w:r>
            <w:r w:rsidR="00AE05FE" w:rsidRPr="00226892">
              <w:rPr>
                <w:rFonts w:ascii="Arial" w:eastAsia="Times New Roman" w:hAnsi="Arial" w:cs="Arial"/>
                <w:color w:val="000000"/>
                <w:sz w:val="18"/>
                <w:szCs w:val="18"/>
                <w:lang w:val="sk-SK" w:eastAsia="sk-SK"/>
              </w:rPr>
              <w:t>722</w:t>
            </w:r>
          </w:p>
        </w:tc>
      </w:tr>
      <w:tr w:rsidR="00672108" w:rsidRPr="00226892" w14:paraId="0FC1F2C8" w14:textId="77777777" w:rsidTr="000405EF">
        <w:trPr>
          <w:trHeight w:val="227"/>
          <w:jc w:val="right"/>
        </w:trPr>
        <w:tc>
          <w:tcPr>
            <w:tcW w:w="1909" w:type="pct"/>
            <w:tcBorders>
              <w:top w:val="nil"/>
              <w:left w:val="nil"/>
              <w:bottom w:val="nil"/>
              <w:right w:val="nil"/>
            </w:tcBorders>
            <w:shd w:val="clear" w:color="auto" w:fill="auto"/>
            <w:vAlign w:val="bottom"/>
          </w:tcPr>
          <w:p w14:paraId="27085936" w14:textId="19698DE4" w:rsidR="00672108" w:rsidRPr="00226892" w:rsidRDefault="00672108" w:rsidP="0067210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Iné pohľadávky (Pozn.1</w:t>
            </w:r>
            <w:r w:rsidR="007F4645" w:rsidRPr="00226892">
              <w:rPr>
                <w:rFonts w:ascii="Arial" w:eastAsia="Times New Roman" w:hAnsi="Arial" w:cs="Arial"/>
                <w:color w:val="000000"/>
                <w:sz w:val="18"/>
                <w:szCs w:val="18"/>
                <w:lang w:val="sk-SK" w:eastAsia="sk-SK"/>
              </w:rPr>
              <w:t>0</w:t>
            </w:r>
            <w:r w:rsidRPr="00226892">
              <w:rPr>
                <w:rFonts w:ascii="Arial" w:eastAsia="Times New Roman" w:hAnsi="Arial" w:cs="Arial"/>
                <w:color w:val="000000"/>
                <w:sz w:val="18"/>
                <w:szCs w:val="18"/>
                <w:lang w:val="sk-SK" w:eastAsia="sk-SK"/>
              </w:rPr>
              <w:t>)</w:t>
            </w:r>
          </w:p>
        </w:tc>
        <w:tc>
          <w:tcPr>
            <w:tcW w:w="594" w:type="pct"/>
            <w:tcBorders>
              <w:top w:val="nil"/>
              <w:left w:val="nil"/>
              <w:bottom w:val="nil"/>
              <w:right w:val="nil"/>
            </w:tcBorders>
            <w:shd w:val="clear" w:color="auto" w:fill="auto"/>
            <w:vAlign w:val="bottom"/>
          </w:tcPr>
          <w:p w14:paraId="4030B14D" w14:textId="6978D229" w:rsidR="00672108" w:rsidRPr="00226892" w:rsidRDefault="00922B65" w:rsidP="0067210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39</w:t>
            </w:r>
          </w:p>
        </w:tc>
        <w:tc>
          <w:tcPr>
            <w:tcW w:w="99" w:type="pct"/>
            <w:tcBorders>
              <w:top w:val="nil"/>
              <w:left w:val="nil"/>
              <w:bottom w:val="nil"/>
              <w:right w:val="nil"/>
            </w:tcBorders>
            <w:shd w:val="clear" w:color="auto" w:fill="auto"/>
            <w:vAlign w:val="bottom"/>
          </w:tcPr>
          <w:p w14:paraId="270EB682" w14:textId="3D8F8156" w:rsidR="00672108" w:rsidRPr="00226892" w:rsidRDefault="00672108" w:rsidP="00672108">
            <w:pPr>
              <w:jc w:val="right"/>
              <w:rPr>
                <w:rFonts w:ascii="Arial" w:eastAsia="Times New Roman" w:hAnsi="Arial" w:cs="Arial"/>
                <w:color w:val="000000"/>
                <w:sz w:val="18"/>
                <w:szCs w:val="18"/>
                <w:lang w:val="sk-SK" w:eastAsia="sk-SK"/>
              </w:rPr>
            </w:pPr>
          </w:p>
        </w:tc>
        <w:tc>
          <w:tcPr>
            <w:tcW w:w="1109" w:type="pct"/>
            <w:tcBorders>
              <w:top w:val="nil"/>
              <w:left w:val="nil"/>
              <w:bottom w:val="nil"/>
              <w:right w:val="nil"/>
            </w:tcBorders>
            <w:shd w:val="clear" w:color="auto" w:fill="auto"/>
            <w:vAlign w:val="bottom"/>
          </w:tcPr>
          <w:p w14:paraId="7A7C6367" w14:textId="255A9C0F" w:rsidR="00672108" w:rsidRPr="00226892" w:rsidRDefault="00672108" w:rsidP="0067210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01" w:type="pct"/>
            <w:tcBorders>
              <w:top w:val="nil"/>
              <w:left w:val="nil"/>
              <w:bottom w:val="nil"/>
              <w:right w:val="nil"/>
            </w:tcBorders>
            <w:shd w:val="clear" w:color="auto" w:fill="auto"/>
            <w:vAlign w:val="bottom"/>
          </w:tcPr>
          <w:p w14:paraId="10FE5FE1" w14:textId="34D8AFC4" w:rsidR="00672108" w:rsidRPr="00226892" w:rsidRDefault="00672108" w:rsidP="00672108">
            <w:pPr>
              <w:jc w:val="right"/>
              <w:rPr>
                <w:rFonts w:ascii="Arial" w:eastAsia="Times New Roman" w:hAnsi="Arial" w:cs="Arial"/>
                <w:color w:val="000000"/>
                <w:sz w:val="18"/>
                <w:szCs w:val="18"/>
                <w:lang w:val="sk-SK" w:eastAsia="sk-SK"/>
              </w:rPr>
            </w:pPr>
          </w:p>
        </w:tc>
        <w:tc>
          <w:tcPr>
            <w:tcW w:w="534" w:type="pct"/>
            <w:tcBorders>
              <w:top w:val="nil"/>
              <w:left w:val="nil"/>
              <w:bottom w:val="nil"/>
              <w:right w:val="nil"/>
            </w:tcBorders>
            <w:shd w:val="clear" w:color="auto" w:fill="auto"/>
            <w:vAlign w:val="bottom"/>
          </w:tcPr>
          <w:p w14:paraId="09B0FF27" w14:textId="1DB13060" w:rsidR="00672108" w:rsidRPr="00226892" w:rsidRDefault="00672108" w:rsidP="0067210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01" w:type="pct"/>
            <w:tcBorders>
              <w:top w:val="nil"/>
              <w:left w:val="nil"/>
              <w:bottom w:val="nil"/>
              <w:right w:val="nil"/>
            </w:tcBorders>
            <w:shd w:val="clear" w:color="auto" w:fill="auto"/>
            <w:vAlign w:val="bottom"/>
          </w:tcPr>
          <w:p w14:paraId="6639286C" w14:textId="0C07ABEE" w:rsidR="00672108" w:rsidRPr="00226892" w:rsidRDefault="00672108" w:rsidP="00672108">
            <w:pPr>
              <w:jc w:val="right"/>
              <w:rPr>
                <w:rFonts w:ascii="Arial" w:eastAsia="Times New Roman" w:hAnsi="Arial" w:cs="Arial"/>
                <w:color w:val="000000"/>
                <w:sz w:val="18"/>
                <w:szCs w:val="18"/>
                <w:lang w:val="sk-SK" w:eastAsia="sk-SK"/>
              </w:rPr>
            </w:pPr>
          </w:p>
        </w:tc>
        <w:tc>
          <w:tcPr>
            <w:tcW w:w="555" w:type="pct"/>
            <w:tcBorders>
              <w:top w:val="nil"/>
              <w:left w:val="nil"/>
              <w:bottom w:val="nil"/>
              <w:right w:val="nil"/>
            </w:tcBorders>
            <w:shd w:val="clear" w:color="auto" w:fill="auto"/>
            <w:vAlign w:val="bottom"/>
          </w:tcPr>
          <w:p w14:paraId="1DFD0BFF" w14:textId="779DF871" w:rsidR="00672108" w:rsidRPr="00226892" w:rsidRDefault="00922B65" w:rsidP="00672108">
            <w:pPr>
              <w:jc w:val="right"/>
              <w:rPr>
                <w:rFonts w:ascii="Arial" w:eastAsia="Times New Roman" w:hAnsi="Arial" w:cs="Arial"/>
                <w:b/>
                <w:color w:val="000000"/>
                <w:sz w:val="18"/>
                <w:szCs w:val="18"/>
                <w:lang w:val="sk-SK" w:eastAsia="sk-SK"/>
              </w:rPr>
            </w:pPr>
            <w:r w:rsidRPr="00226892">
              <w:rPr>
                <w:rFonts w:ascii="Arial" w:eastAsia="Times New Roman" w:hAnsi="Arial" w:cs="Arial"/>
                <w:color w:val="000000"/>
                <w:sz w:val="18"/>
                <w:szCs w:val="18"/>
                <w:lang w:val="sk-SK" w:eastAsia="sk-SK"/>
              </w:rPr>
              <w:t>39</w:t>
            </w:r>
          </w:p>
        </w:tc>
      </w:tr>
      <w:tr w:rsidR="00672108" w:rsidRPr="00226892" w14:paraId="462F7AB1" w14:textId="77777777" w:rsidTr="000405EF">
        <w:trPr>
          <w:trHeight w:val="227"/>
          <w:jc w:val="right"/>
        </w:trPr>
        <w:tc>
          <w:tcPr>
            <w:tcW w:w="1909" w:type="pct"/>
            <w:tcBorders>
              <w:top w:val="nil"/>
              <w:left w:val="nil"/>
              <w:bottom w:val="nil"/>
              <w:right w:val="nil"/>
            </w:tcBorders>
            <w:shd w:val="clear" w:color="auto" w:fill="auto"/>
            <w:vAlign w:val="bottom"/>
          </w:tcPr>
          <w:p w14:paraId="1FF46328" w14:textId="067BA0F3" w:rsidR="00672108" w:rsidRPr="00226892" w:rsidRDefault="007F4645" w:rsidP="0067210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Poskytnuté p</w:t>
            </w:r>
            <w:r w:rsidR="00672108" w:rsidRPr="00226892">
              <w:rPr>
                <w:rFonts w:ascii="Arial" w:eastAsia="Times New Roman" w:hAnsi="Arial" w:cs="Arial"/>
                <w:color w:val="000000"/>
                <w:sz w:val="18"/>
                <w:szCs w:val="18"/>
                <w:lang w:val="sk-SK" w:eastAsia="sk-SK"/>
              </w:rPr>
              <w:t>ôžičky (Pozn. 1</w:t>
            </w:r>
            <w:r w:rsidRPr="00226892">
              <w:rPr>
                <w:rFonts w:ascii="Arial" w:eastAsia="Times New Roman" w:hAnsi="Arial" w:cs="Arial"/>
                <w:color w:val="000000"/>
                <w:sz w:val="18"/>
                <w:szCs w:val="18"/>
                <w:lang w:val="sk-SK" w:eastAsia="sk-SK"/>
              </w:rPr>
              <w:t>0</w:t>
            </w:r>
            <w:r w:rsidR="00672108" w:rsidRPr="00226892">
              <w:rPr>
                <w:rFonts w:ascii="Arial" w:eastAsia="Times New Roman" w:hAnsi="Arial" w:cs="Arial"/>
                <w:color w:val="000000"/>
                <w:sz w:val="18"/>
                <w:szCs w:val="18"/>
                <w:lang w:val="sk-SK" w:eastAsia="sk-SK"/>
              </w:rPr>
              <w:t>)</w:t>
            </w:r>
          </w:p>
        </w:tc>
        <w:tc>
          <w:tcPr>
            <w:tcW w:w="594" w:type="pct"/>
            <w:tcBorders>
              <w:top w:val="nil"/>
              <w:left w:val="nil"/>
              <w:bottom w:val="nil"/>
              <w:right w:val="nil"/>
            </w:tcBorders>
            <w:shd w:val="clear" w:color="auto" w:fill="auto"/>
            <w:vAlign w:val="bottom"/>
          </w:tcPr>
          <w:p w14:paraId="7D8CA8B4" w14:textId="02510E00" w:rsidR="00672108" w:rsidRPr="00226892" w:rsidRDefault="00922B65" w:rsidP="0067210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470</w:t>
            </w:r>
          </w:p>
        </w:tc>
        <w:tc>
          <w:tcPr>
            <w:tcW w:w="99" w:type="pct"/>
            <w:tcBorders>
              <w:top w:val="nil"/>
              <w:left w:val="nil"/>
              <w:bottom w:val="nil"/>
              <w:right w:val="nil"/>
            </w:tcBorders>
            <w:shd w:val="clear" w:color="auto" w:fill="auto"/>
            <w:vAlign w:val="bottom"/>
          </w:tcPr>
          <w:p w14:paraId="183103EB" w14:textId="77777777" w:rsidR="00672108" w:rsidRPr="00226892" w:rsidRDefault="00672108" w:rsidP="00672108">
            <w:pPr>
              <w:jc w:val="right"/>
              <w:rPr>
                <w:rFonts w:ascii="Arial" w:eastAsia="Times New Roman" w:hAnsi="Arial" w:cs="Arial"/>
                <w:color w:val="000000"/>
                <w:sz w:val="18"/>
                <w:szCs w:val="18"/>
                <w:lang w:val="sk-SK" w:eastAsia="sk-SK"/>
              </w:rPr>
            </w:pPr>
          </w:p>
        </w:tc>
        <w:tc>
          <w:tcPr>
            <w:tcW w:w="1109" w:type="pct"/>
            <w:tcBorders>
              <w:top w:val="nil"/>
              <w:left w:val="nil"/>
              <w:bottom w:val="nil"/>
              <w:right w:val="nil"/>
            </w:tcBorders>
            <w:shd w:val="clear" w:color="auto" w:fill="auto"/>
            <w:vAlign w:val="bottom"/>
          </w:tcPr>
          <w:p w14:paraId="2B701208" w14:textId="2021AA3E" w:rsidR="00672108" w:rsidRPr="00226892" w:rsidRDefault="00672108" w:rsidP="0067210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01" w:type="pct"/>
            <w:tcBorders>
              <w:top w:val="nil"/>
              <w:left w:val="nil"/>
              <w:bottom w:val="nil"/>
              <w:right w:val="nil"/>
            </w:tcBorders>
            <w:shd w:val="clear" w:color="auto" w:fill="auto"/>
            <w:vAlign w:val="bottom"/>
          </w:tcPr>
          <w:p w14:paraId="05709793" w14:textId="77777777" w:rsidR="00672108" w:rsidRPr="00226892" w:rsidRDefault="00672108" w:rsidP="00672108">
            <w:pPr>
              <w:jc w:val="right"/>
              <w:rPr>
                <w:rFonts w:ascii="Arial" w:eastAsia="Times New Roman" w:hAnsi="Arial" w:cs="Arial"/>
                <w:color w:val="000000"/>
                <w:sz w:val="18"/>
                <w:szCs w:val="18"/>
                <w:lang w:val="sk-SK" w:eastAsia="sk-SK"/>
              </w:rPr>
            </w:pPr>
          </w:p>
        </w:tc>
        <w:tc>
          <w:tcPr>
            <w:tcW w:w="534" w:type="pct"/>
            <w:tcBorders>
              <w:top w:val="nil"/>
              <w:left w:val="nil"/>
              <w:bottom w:val="nil"/>
              <w:right w:val="nil"/>
            </w:tcBorders>
            <w:shd w:val="clear" w:color="auto" w:fill="auto"/>
            <w:vAlign w:val="bottom"/>
          </w:tcPr>
          <w:p w14:paraId="4B738DA3" w14:textId="3199A213" w:rsidR="00672108" w:rsidRPr="00226892" w:rsidRDefault="00672108" w:rsidP="0067210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01" w:type="pct"/>
            <w:tcBorders>
              <w:top w:val="nil"/>
              <w:left w:val="nil"/>
              <w:bottom w:val="nil"/>
              <w:right w:val="nil"/>
            </w:tcBorders>
            <w:shd w:val="clear" w:color="auto" w:fill="auto"/>
            <w:vAlign w:val="bottom"/>
          </w:tcPr>
          <w:p w14:paraId="2B0D78A3" w14:textId="77777777" w:rsidR="00672108" w:rsidRPr="00226892" w:rsidRDefault="00672108" w:rsidP="00672108">
            <w:pPr>
              <w:jc w:val="right"/>
              <w:rPr>
                <w:rFonts w:ascii="Arial" w:eastAsia="Times New Roman" w:hAnsi="Arial" w:cs="Arial"/>
                <w:color w:val="000000"/>
                <w:sz w:val="18"/>
                <w:szCs w:val="18"/>
                <w:lang w:val="sk-SK" w:eastAsia="sk-SK"/>
              </w:rPr>
            </w:pPr>
          </w:p>
        </w:tc>
        <w:tc>
          <w:tcPr>
            <w:tcW w:w="555" w:type="pct"/>
            <w:tcBorders>
              <w:top w:val="nil"/>
              <w:left w:val="nil"/>
              <w:bottom w:val="nil"/>
              <w:right w:val="nil"/>
            </w:tcBorders>
            <w:shd w:val="clear" w:color="auto" w:fill="auto"/>
            <w:vAlign w:val="bottom"/>
          </w:tcPr>
          <w:p w14:paraId="3ED9D790" w14:textId="7A92CEB8" w:rsidR="00672108" w:rsidRPr="00226892" w:rsidRDefault="00922B65" w:rsidP="00672108">
            <w:pPr>
              <w:jc w:val="right"/>
              <w:rPr>
                <w:rFonts w:ascii="Arial" w:eastAsia="Times New Roman" w:hAnsi="Arial" w:cs="Arial"/>
                <w:b/>
                <w:bCs/>
                <w:color w:val="000000"/>
                <w:sz w:val="18"/>
                <w:szCs w:val="18"/>
                <w:lang w:val="sk-SK" w:eastAsia="sk-SK"/>
              </w:rPr>
            </w:pPr>
            <w:r w:rsidRPr="00226892">
              <w:rPr>
                <w:rFonts w:ascii="Arial" w:eastAsia="Times New Roman" w:hAnsi="Arial" w:cs="Arial"/>
                <w:color w:val="000000"/>
                <w:sz w:val="18"/>
                <w:szCs w:val="18"/>
                <w:lang w:val="sk-SK" w:eastAsia="sk-SK"/>
              </w:rPr>
              <w:t>470</w:t>
            </w:r>
          </w:p>
        </w:tc>
      </w:tr>
      <w:tr w:rsidR="00FC74F8" w:rsidRPr="00226892" w14:paraId="6DC438E1" w14:textId="77777777" w:rsidTr="000405EF">
        <w:trPr>
          <w:trHeight w:val="227"/>
          <w:jc w:val="right"/>
        </w:trPr>
        <w:tc>
          <w:tcPr>
            <w:tcW w:w="1909" w:type="pct"/>
            <w:tcBorders>
              <w:top w:val="nil"/>
              <w:left w:val="nil"/>
              <w:bottom w:val="nil"/>
              <w:right w:val="nil"/>
            </w:tcBorders>
            <w:shd w:val="clear" w:color="auto" w:fill="auto"/>
            <w:vAlign w:val="bottom"/>
          </w:tcPr>
          <w:p w14:paraId="267D4E9A" w14:textId="3CCA18BF" w:rsidR="00FC74F8" w:rsidRPr="00226892" w:rsidRDefault="00FC74F8" w:rsidP="0067210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Príjmy budúcich období (Pozn. 11)</w:t>
            </w:r>
          </w:p>
        </w:tc>
        <w:tc>
          <w:tcPr>
            <w:tcW w:w="594" w:type="pct"/>
            <w:tcBorders>
              <w:top w:val="nil"/>
              <w:left w:val="nil"/>
              <w:bottom w:val="nil"/>
              <w:right w:val="nil"/>
            </w:tcBorders>
            <w:shd w:val="clear" w:color="auto" w:fill="auto"/>
            <w:vAlign w:val="bottom"/>
          </w:tcPr>
          <w:p w14:paraId="303D25AA" w14:textId="23197B93" w:rsidR="00FC74F8" w:rsidRPr="00226892" w:rsidRDefault="00FC74F8" w:rsidP="0067210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696</w:t>
            </w:r>
          </w:p>
        </w:tc>
        <w:tc>
          <w:tcPr>
            <w:tcW w:w="99" w:type="pct"/>
            <w:tcBorders>
              <w:top w:val="nil"/>
              <w:left w:val="nil"/>
              <w:bottom w:val="nil"/>
              <w:right w:val="nil"/>
            </w:tcBorders>
            <w:shd w:val="clear" w:color="auto" w:fill="auto"/>
            <w:vAlign w:val="bottom"/>
          </w:tcPr>
          <w:p w14:paraId="34DABBAE" w14:textId="77777777" w:rsidR="00FC74F8" w:rsidRPr="00226892" w:rsidRDefault="00FC74F8" w:rsidP="00672108">
            <w:pPr>
              <w:jc w:val="right"/>
              <w:rPr>
                <w:rFonts w:ascii="Arial" w:eastAsia="Times New Roman" w:hAnsi="Arial" w:cs="Arial"/>
                <w:color w:val="000000"/>
                <w:sz w:val="18"/>
                <w:szCs w:val="18"/>
                <w:lang w:val="sk-SK" w:eastAsia="sk-SK"/>
              </w:rPr>
            </w:pPr>
          </w:p>
        </w:tc>
        <w:tc>
          <w:tcPr>
            <w:tcW w:w="1109" w:type="pct"/>
            <w:tcBorders>
              <w:top w:val="nil"/>
              <w:left w:val="nil"/>
              <w:bottom w:val="nil"/>
              <w:right w:val="nil"/>
            </w:tcBorders>
            <w:shd w:val="clear" w:color="auto" w:fill="auto"/>
            <w:vAlign w:val="bottom"/>
          </w:tcPr>
          <w:p w14:paraId="465EE2A5" w14:textId="77227402" w:rsidR="00FC74F8" w:rsidRPr="00226892" w:rsidRDefault="00FC74F8" w:rsidP="0067210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01" w:type="pct"/>
            <w:tcBorders>
              <w:top w:val="nil"/>
              <w:left w:val="nil"/>
              <w:bottom w:val="nil"/>
              <w:right w:val="nil"/>
            </w:tcBorders>
            <w:shd w:val="clear" w:color="auto" w:fill="auto"/>
            <w:vAlign w:val="bottom"/>
          </w:tcPr>
          <w:p w14:paraId="4129A504" w14:textId="77777777" w:rsidR="00FC74F8" w:rsidRPr="00226892" w:rsidRDefault="00FC74F8" w:rsidP="00672108">
            <w:pPr>
              <w:jc w:val="right"/>
              <w:rPr>
                <w:rFonts w:ascii="Arial" w:eastAsia="Times New Roman" w:hAnsi="Arial" w:cs="Arial"/>
                <w:color w:val="000000"/>
                <w:sz w:val="18"/>
                <w:szCs w:val="18"/>
                <w:lang w:val="sk-SK" w:eastAsia="sk-SK"/>
              </w:rPr>
            </w:pPr>
          </w:p>
        </w:tc>
        <w:tc>
          <w:tcPr>
            <w:tcW w:w="534" w:type="pct"/>
            <w:tcBorders>
              <w:top w:val="nil"/>
              <w:left w:val="nil"/>
              <w:bottom w:val="nil"/>
              <w:right w:val="nil"/>
            </w:tcBorders>
            <w:shd w:val="clear" w:color="auto" w:fill="auto"/>
            <w:vAlign w:val="bottom"/>
          </w:tcPr>
          <w:p w14:paraId="75AC5275" w14:textId="7FC95F04" w:rsidR="00FC74F8" w:rsidRPr="00226892" w:rsidRDefault="00FC74F8" w:rsidP="0067210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01" w:type="pct"/>
            <w:tcBorders>
              <w:top w:val="nil"/>
              <w:left w:val="nil"/>
              <w:bottom w:val="nil"/>
              <w:right w:val="nil"/>
            </w:tcBorders>
            <w:shd w:val="clear" w:color="auto" w:fill="auto"/>
            <w:vAlign w:val="bottom"/>
          </w:tcPr>
          <w:p w14:paraId="6EE441B2" w14:textId="77777777" w:rsidR="00FC74F8" w:rsidRPr="00226892" w:rsidRDefault="00FC74F8" w:rsidP="00672108">
            <w:pPr>
              <w:jc w:val="right"/>
              <w:rPr>
                <w:rFonts w:ascii="Arial" w:eastAsia="Times New Roman" w:hAnsi="Arial" w:cs="Arial"/>
                <w:color w:val="000000"/>
                <w:sz w:val="18"/>
                <w:szCs w:val="18"/>
                <w:lang w:val="sk-SK" w:eastAsia="sk-SK"/>
              </w:rPr>
            </w:pPr>
          </w:p>
        </w:tc>
        <w:tc>
          <w:tcPr>
            <w:tcW w:w="555" w:type="pct"/>
            <w:tcBorders>
              <w:top w:val="nil"/>
              <w:left w:val="nil"/>
              <w:bottom w:val="nil"/>
              <w:right w:val="nil"/>
            </w:tcBorders>
            <w:shd w:val="clear" w:color="auto" w:fill="auto"/>
            <w:vAlign w:val="bottom"/>
          </w:tcPr>
          <w:p w14:paraId="45B938C8" w14:textId="4FB48C95" w:rsidR="00FC74F8" w:rsidRPr="00226892" w:rsidRDefault="00FC74F8" w:rsidP="0067210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696</w:t>
            </w:r>
          </w:p>
        </w:tc>
      </w:tr>
      <w:tr w:rsidR="00672108" w:rsidRPr="00226892" w14:paraId="20AE6489" w14:textId="77777777" w:rsidTr="000405EF">
        <w:trPr>
          <w:trHeight w:val="227"/>
          <w:jc w:val="right"/>
        </w:trPr>
        <w:tc>
          <w:tcPr>
            <w:tcW w:w="1909" w:type="pct"/>
            <w:tcBorders>
              <w:top w:val="nil"/>
              <w:left w:val="nil"/>
              <w:bottom w:val="nil"/>
              <w:right w:val="nil"/>
            </w:tcBorders>
            <w:shd w:val="clear" w:color="auto" w:fill="auto"/>
            <w:vAlign w:val="bottom"/>
            <w:hideMark/>
          </w:tcPr>
          <w:p w14:paraId="7E2C1FD7" w14:textId="598A9912" w:rsidR="00672108" w:rsidRPr="00226892" w:rsidRDefault="00672108" w:rsidP="0067210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Peňažné prostriedky a peňažné ekvivalenty (Pozn. 1</w:t>
            </w:r>
            <w:r w:rsidR="00522218" w:rsidRPr="00226892">
              <w:rPr>
                <w:rFonts w:ascii="Arial" w:eastAsia="Times New Roman" w:hAnsi="Arial" w:cs="Arial"/>
                <w:color w:val="000000"/>
                <w:sz w:val="18"/>
                <w:szCs w:val="18"/>
                <w:lang w:val="sk-SK" w:eastAsia="sk-SK"/>
              </w:rPr>
              <w:t>3</w:t>
            </w:r>
            <w:r w:rsidRPr="00226892">
              <w:rPr>
                <w:rFonts w:ascii="Arial" w:eastAsia="Times New Roman" w:hAnsi="Arial" w:cs="Arial"/>
                <w:color w:val="000000"/>
                <w:sz w:val="18"/>
                <w:szCs w:val="18"/>
                <w:lang w:val="sk-SK" w:eastAsia="sk-SK"/>
              </w:rPr>
              <w:t>)</w:t>
            </w:r>
          </w:p>
        </w:tc>
        <w:tc>
          <w:tcPr>
            <w:tcW w:w="594" w:type="pct"/>
            <w:tcBorders>
              <w:top w:val="nil"/>
              <w:left w:val="nil"/>
              <w:bottom w:val="nil"/>
              <w:right w:val="nil"/>
            </w:tcBorders>
            <w:shd w:val="clear" w:color="auto" w:fill="auto"/>
            <w:vAlign w:val="bottom"/>
          </w:tcPr>
          <w:p w14:paraId="74ED3C69" w14:textId="6D1155F0" w:rsidR="00672108" w:rsidRPr="00226892" w:rsidRDefault="00922B65" w:rsidP="0067210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9 606</w:t>
            </w:r>
          </w:p>
        </w:tc>
        <w:tc>
          <w:tcPr>
            <w:tcW w:w="99" w:type="pct"/>
            <w:tcBorders>
              <w:top w:val="nil"/>
              <w:left w:val="nil"/>
              <w:bottom w:val="nil"/>
              <w:right w:val="nil"/>
            </w:tcBorders>
            <w:shd w:val="clear" w:color="auto" w:fill="auto"/>
            <w:vAlign w:val="bottom"/>
          </w:tcPr>
          <w:p w14:paraId="4C338F3D" w14:textId="77777777" w:rsidR="00672108" w:rsidRPr="00226892" w:rsidRDefault="00672108" w:rsidP="00672108">
            <w:pPr>
              <w:jc w:val="right"/>
              <w:rPr>
                <w:rFonts w:ascii="Arial" w:eastAsia="Times New Roman" w:hAnsi="Arial" w:cs="Arial"/>
                <w:color w:val="000000"/>
                <w:sz w:val="18"/>
                <w:szCs w:val="18"/>
                <w:lang w:val="sk-SK" w:eastAsia="sk-SK"/>
              </w:rPr>
            </w:pPr>
          </w:p>
        </w:tc>
        <w:tc>
          <w:tcPr>
            <w:tcW w:w="1109" w:type="pct"/>
            <w:tcBorders>
              <w:top w:val="nil"/>
              <w:left w:val="nil"/>
              <w:bottom w:val="nil"/>
              <w:right w:val="nil"/>
            </w:tcBorders>
            <w:shd w:val="clear" w:color="auto" w:fill="auto"/>
            <w:vAlign w:val="bottom"/>
          </w:tcPr>
          <w:p w14:paraId="710B042E" w14:textId="468CC83E" w:rsidR="00672108" w:rsidRPr="00226892" w:rsidRDefault="00672108" w:rsidP="0067210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01" w:type="pct"/>
            <w:tcBorders>
              <w:top w:val="nil"/>
              <w:left w:val="nil"/>
              <w:bottom w:val="nil"/>
              <w:right w:val="nil"/>
            </w:tcBorders>
            <w:shd w:val="clear" w:color="auto" w:fill="auto"/>
            <w:vAlign w:val="bottom"/>
          </w:tcPr>
          <w:p w14:paraId="4EAC3D90" w14:textId="77777777" w:rsidR="00672108" w:rsidRPr="00226892" w:rsidRDefault="00672108" w:rsidP="00672108">
            <w:pPr>
              <w:jc w:val="right"/>
              <w:rPr>
                <w:rFonts w:ascii="Arial" w:eastAsia="Times New Roman" w:hAnsi="Arial" w:cs="Arial"/>
                <w:color w:val="000000"/>
                <w:sz w:val="18"/>
                <w:szCs w:val="18"/>
                <w:lang w:val="sk-SK" w:eastAsia="sk-SK"/>
              </w:rPr>
            </w:pPr>
          </w:p>
        </w:tc>
        <w:tc>
          <w:tcPr>
            <w:tcW w:w="534" w:type="pct"/>
            <w:tcBorders>
              <w:top w:val="nil"/>
              <w:left w:val="nil"/>
              <w:bottom w:val="nil"/>
              <w:right w:val="nil"/>
            </w:tcBorders>
            <w:shd w:val="clear" w:color="auto" w:fill="auto"/>
            <w:vAlign w:val="bottom"/>
          </w:tcPr>
          <w:p w14:paraId="40C2AA09" w14:textId="6DEB8C84" w:rsidR="00672108" w:rsidRPr="00226892" w:rsidRDefault="00672108" w:rsidP="0067210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01" w:type="pct"/>
            <w:tcBorders>
              <w:top w:val="nil"/>
              <w:left w:val="nil"/>
              <w:bottom w:val="nil"/>
              <w:right w:val="nil"/>
            </w:tcBorders>
            <w:shd w:val="clear" w:color="auto" w:fill="auto"/>
            <w:vAlign w:val="bottom"/>
          </w:tcPr>
          <w:p w14:paraId="0701E441" w14:textId="77777777" w:rsidR="00672108" w:rsidRPr="00226892" w:rsidRDefault="00672108" w:rsidP="00672108">
            <w:pPr>
              <w:jc w:val="right"/>
              <w:rPr>
                <w:rFonts w:ascii="Arial" w:eastAsia="Times New Roman" w:hAnsi="Arial" w:cs="Arial"/>
                <w:color w:val="000000"/>
                <w:sz w:val="18"/>
                <w:szCs w:val="18"/>
                <w:lang w:val="sk-SK" w:eastAsia="sk-SK"/>
              </w:rPr>
            </w:pPr>
          </w:p>
        </w:tc>
        <w:tc>
          <w:tcPr>
            <w:tcW w:w="555" w:type="pct"/>
            <w:tcBorders>
              <w:top w:val="nil"/>
              <w:left w:val="nil"/>
              <w:bottom w:val="nil"/>
              <w:right w:val="nil"/>
            </w:tcBorders>
            <w:shd w:val="clear" w:color="auto" w:fill="auto"/>
            <w:vAlign w:val="bottom"/>
          </w:tcPr>
          <w:p w14:paraId="70B66786" w14:textId="4D1ADB16" w:rsidR="00672108" w:rsidRPr="00226892" w:rsidRDefault="00922B65" w:rsidP="00672108">
            <w:pPr>
              <w:jc w:val="right"/>
              <w:rPr>
                <w:rFonts w:ascii="Arial" w:eastAsia="Times New Roman" w:hAnsi="Arial" w:cs="Arial"/>
                <w:b/>
                <w:bCs/>
                <w:color w:val="000000"/>
                <w:sz w:val="18"/>
                <w:szCs w:val="18"/>
                <w:lang w:val="sk-SK" w:eastAsia="sk-SK"/>
              </w:rPr>
            </w:pPr>
            <w:r w:rsidRPr="00226892">
              <w:rPr>
                <w:rFonts w:ascii="Arial" w:eastAsia="Times New Roman" w:hAnsi="Arial" w:cs="Arial"/>
                <w:color w:val="000000"/>
                <w:sz w:val="18"/>
                <w:szCs w:val="18"/>
                <w:lang w:val="sk-SK" w:eastAsia="sk-SK"/>
              </w:rPr>
              <w:t>9 606</w:t>
            </w:r>
          </w:p>
        </w:tc>
      </w:tr>
      <w:tr w:rsidR="00672108" w:rsidRPr="00226892" w14:paraId="66D84D04" w14:textId="77777777" w:rsidTr="000405EF">
        <w:trPr>
          <w:trHeight w:val="227"/>
          <w:jc w:val="right"/>
        </w:trPr>
        <w:tc>
          <w:tcPr>
            <w:tcW w:w="1909" w:type="pct"/>
            <w:tcBorders>
              <w:top w:val="nil"/>
              <w:left w:val="nil"/>
              <w:bottom w:val="nil"/>
              <w:right w:val="nil"/>
            </w:tcBorders>
            <w:shd w:val="clear" w:color="auto" w:fill="auto"/>
            <w:vAlign w:val="bottom"/>
            <w:hideMark/>
          </w:tcPr>
          <w:p w14:paraId="5D53A220" w14:textId="77777777" w:rsidR="00672108" w:rsidRPr="00226892" w:rsidRDefault="00672108" w:rsidP="00672108">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Spolu</w:t>
            </w:r>
          </w:p>
        </w:tc>
        <w:tc>
          <w:tcPr>
            <w:tcW w:w="594" w:type="pct"/>
            <w:tcBorders>
              <w:top w:val="single" w:sz="4" w:space="0" w:color="auto"/>
              <w:left w:val="nil"/>
              <w:bottom w:val="double" w:sz="6" w:space="0" w:color="auto"/>
              <w:right w:val="nil"/>
            </w:tcBorders>
            <w:shd w:val="clear" w:color="auto" w:fill="auto"/>
            <w:vAlign w:val="bottom"/>
          </w:tcPr>
          <w:p w14:paraId="7582C4C8" w14:textId="1C6EC820" w:rsidR="00672108" w:rsidRPr="00226892" w:rsidRDefault="00922B65" w:rsidP="0067210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w:t>
            </w:r>
            <w:r w:rsidR="00FC74F8" w:rsidRPr="00226892">
              <w:rPr>
                <w:rFonts w:ascii="Arial" w:eastAsia="Times New Roman" w:hAnsi="Arial" w:cs="Arial"/>
                <w:b/>
                <w:bCs/>
                <w:color w:val="000000"/>
                <w:sz w:val="18"/>
                <w:szCs w:val="18"/>
                <w:lang w:val="sk-SK" w:eastAsia="sk-SK"/>
              </w:rPr>
              <w:t>5</w:t>
            </w:r>
            <w:r w:rsidR="00571169" w:rsidRPr="00226892">
              <w:rPr>
                <w:rFonts w:ascii="Arial" w:eastAsia="Times New Roman" w:hAnsi="Arial" w:cs="Arial"/>
                <w:b/>
                <w:bCs/>
                <w:color w:val="000000"/>
                <w:sz w:val="18"/>
                <w:szCs w:val="18"/>
                <w:lang w:val="sk-SK" w:eastAsia="sk-SK"/>
              </w:rPr>
              <w:t xml:space="preserve"> </w:t>
            </w:r>
            <w:r w:rsidR="00FC74F8" w:rsidRPr="00226892">
              <w:rPr>
                <w:rFonts w:ascii="Arial" w:eastAsia="Times New Roman" w:hAnsi="Arial" w:cs="Arial"/>
                <w:b/>
                <w:bCs/>
                <w:color w:val="000000"/>
                <w:sz w:val="18"/>
                <w:szCs w:val="18"/>
                <w:lang w:val="sk-SK" w:eastAsia="sk-SK"/>
              </w:rPr>
              <w:t>533</w:t>
            </w:r>
          </w:p>
        </w:tc>
        <w:tc>
          <w:tcPr>
            <w:tcW w:w="99" w:type="pct"/>
            <w:tcBorders>
              <w:top w:val="nil"/>
              <w:left w:val="nil"/>
              <w:bottom w:val="nil"/>
              <w:right w:val="nil"/>
            </w:tcBorders>
            <w:shd w:val="clear" w:color="auto" w:fill="auto"/>
            <w:vAlign w:val="bottom"/>
          </w:tcPr>
          <w:p w14:paraId="34C43301" w14:textId="77777777" w:rsidR="00672108" w:rsidRPr="00226892" w:rsidRDefault="00672108" w:rsidP="00672108">
            <w:pPr>
              <w:jc w:val="right"/>
              <w:rPr>
                <w:rFonts w:ascii="Arial" w:eastAsia="Times New Roman" w:hAnsi="Arial" w:cs="Arial"/>
                <w:b/>
                <w:bCs/>
                <w:color w:val="000000"/>
                <w:sz w:val="18"/>
                <w:szCs w:val="18"/>
                <w:lang w:val="sk-SK" w:eastAsia="sk-SK"/>
              </w:rPr>
            </w:pPr>
          </w:p>
        </w:tc>
        <w:tc>
          <w:tcPr>
            <w:tcW w:w="1109" w:type="pct"/>
            <w:tcBorders>
              <w:top w:val="single" w:sz="4" w:space="0" w:color="auto"/>
              <w:left w:val="nil"/>
              <w:bottom w:val="double" w:sz="6" w:space="0" w:color="auto"/>
              <w:right w:val="nil"/>
            </w:tcBorders>
            <w:shd w:val="clear" w:color="auto" w:fill="auto"/>
            <w:vAlign w:val="bottom"/>
          </w:tcPr>
          <w:p w14:paraId="65E57B10" w14:textId="21EAC373" w:rsidR="00672108" w:rsidRPr="00226892" w:rsidRDefault="00672108" w:rsidP="0067210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w:t>
            </w:r>
          </w:p>
        </w:tc>
        <w:tc>
          <w:tcPr>
            <w:tcW w:w="101" w:type="pct"/>
            <w:tcBorders>
              <w:top w:val="nil"/>
              <w:left w:val="nil"/>
              <w:bottom w:val="nil"/>
              <w:right w:val="nil"/>
            </w:tcBorders>
            <w:shd w:val="clear" w:color="auto" w:fill="auto"/>
            <w:vAlign w:val="bottom"/>
          </w:tcPr>
          <w:p w14:paraId="2FAEFC84" w14:textId="77777777" w:rsidR="00672108" w:rsidRPr="00226892" w:rsidRDefault="00672108" w:rsidP="00672108">
            <w:pPr>
              <w:jc w:val="right"/>
              <w:rPr>
                <w:rFonts w:ascii="Arial" w:eastAsia="Times New Roman" w:hAnsi="Arial" w:cs="Arial"/>
                <w:b/>
                <w:bCs/>
                <w:color w:val="000000"/>
                <w:sz w:val="18"/>
                <w:szCs w:val="18"/>
                <w:lang w:val="sk-SK" w:eastAsia="sk-SK"/>
              </w:rPr>
            </w:pPr>
          </w:p>
        </w:tc>
        <w:tc>
          <w:tcPr>
            <w:tcW w:w="534" w:type="pct"/>
            <w:tcBorders>
              <w:top w:val="single" w:sz="4" w:space="0" w:color="auto"/>
              <w:left w:val="nil"/>
              <w:bottom w:val="double" w:sz="6" w:space="0" w:color="auto"/>
              <w:right w:val="nil"/>
            </w:tcBorders>
            <w:shd w:val="clear" w:color="auto" w:fill="auto"/>
            <w:vAlign w:val="bottom"/>
          </w:tcPr>
          <w:p w14:paraId="671A166A" w14:textId="007A8716" w:rsidR="00672108" w:rsidRPr="00226892" w:rsidRDefault="00672108" w:rsidP="0067210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w:t>
            </w:r>
          </w:p>
        </w:tc>
        <w:tc>
          <w:tcPr>
            <w:tcW w:w="101" w:type="pct"/>
            <w:tcBorders>
              <w:top w:val="nil"/>
              <w:left w:val="nil"/>
              <w:bottom w:val="nil"/>
              <w:right w:val="nil"/>
            </w:tcBorders>
            <w:shd w:val="clear" w:color="auto" w:fill="auto"/>
            <w:vAlign w:val="bottom"/>
          </w:tcPr>
          <w:p w14:paraId="6EDABEC4" w14:textId="77777777" w:rsidR="00672108" w:rsidRPr="00226892" w:rsidRDefault="00672108" w:rsidP="00672108">
            <w:pPr>
              <w:jc w:val="right"/>
              <w:rPr>
                <w:rFonts w:ascii="Arial" w:eastAsia="Times New Roman" w:hAnsi="Arial" w:cs="Arial"/>
                <w:b/>
                <w:bCs/>
                <w:color w:val="000000"/>
                <w:sz w:val="18"/>
                <w:szCs w:val="18"/>
                <w:lang w:val="sk-SK" w:eastAsia="sk-SK"/>
              </w:rPr>
            </w:pPr>
          </w:p>
        </w:tc>
        <w:tc>
          <w:tcPr>
            <w:tcW w:w="555" w:type="pct"/>
            <w:tcBorders>
              <w:top w:val="single" w:sz="4" w:space="0" w:color="auto"/>
              <w:left w:val="nil"/>
              <w:bottom w:val="double" w:sz="6" w:space="0" w:color="auto"/>
              <w:right w:val="nil"/>
            </w:tcBorders>
            <w:shd w:val="clear" w:color="auto" w:fill="auto"/>
            <w:vAlign w:val="bottom"/>
          </w:tcPr>
          <w:p w14:paraId="67FCC32C" w14:textId="04C208DB" w:rsidR="00672108" w:rsidRPr="00226892" w:rsidRDefault="00571169" w:rsidP="0067210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w:t>
            </w:r>
            <w:r w:rsidR="00FC74F8" w:rsidRPr="00226892">
              <w:rPr>
                <w:rFonts w:ascii="Arial" w:eastAsia="Times New Roman" w:hAnsi="Arial" w:cs="Arial"/>
                <w:b/>
                <w:bCs/>
                <w:color w:val="000000"/>
                <w:sz w:val="18"/>
                <w:szCs w:val="18"/>
                <w:lang w:val="sk-SK" w:eastAsia="sk-SK"/>
              </w:rPr>
              <w:t>5</w:t>
            </w:r>
            <w:r w:rsidRPr="00226892">
              <w:rPr>
                <w:rFonts w:ascii="Arial" w:eastAsia="Times New Roman" w:hAnsi="Arial" w:cs="Arial"/>
                <w:b/>
                <w:bCs/>
                <w:color w:val="000000"/>
                <w:sz w:val="18"/>
                <w:szCs w:val="18"/>
                <w:lang w:val="sk-SK" w:eastAsia="sk-SK"/>
              </w:rPr>
              <w:t xml:space="preserve"> </w:t>
            </w:r>
            <w:r w:rsidR="00FC74F8" w:rsidRPr="00226892">
              <w:rPr>
                <w:rFonts w:ascii="Arial" w:eastAsia="Times New Roman" w:hAnsi="Arial" w:cs="Arial"/>
                <w:b/>
                <w:bCs/>
                <w:color w:val="000000"/>
                <w:sz w:val="18"/>
                <w:szCs w:val="18"/>
                <w:lang w:val="sk-SK" w:eastAsia="sk-SK"/>
              </w:rPr>
              <w:t>533</w:t>
            </w:r>
          </w:p>
        </w:tc>
      </w:tr>
    </w:tbl>
    <w:p w14:paraId="5B806249" w14:textId="0108C49D" w:rsidR="00EE23C9" w:rsidRPr="00226892" w:rsidRDefault="00DF2B7E" w:rsidP="008E76A0">
      <w:pPr>
        <w:suppressAutoHyphens/>
        <w:rPr>
          <w:rFonts w:ascii="Arial" w:hAnsi="Arial" w:cs="Arial"/>
          <w:szCs w:val="18"/>
        </w:rPr>
      </w:pPr>
      <w:r w:rsidRPr="00226892">
        <w:rPr>
          <w:rFonts w:ascii="Arial" w:hAnsi="Arial" w:cs="Arial"/>
          <w:sz w:val="18"/>
          <w:szCs w:val="18"/>
        </w:rPr>
        <w:t xml:space="preserve"> </w:t>
      </w:r>
      <w:bookmarkEnd w:id="407"/>
      <w:r w:rsidRPr="00226892">
        <w:rPr>
          <w:rFonts w:ascii="Arial" w:hAnsi="Arial" w:cs="Arial"/>
          <w:sz w:val="18"/>
          <w:szCs w:val="18"/>
        </w:rPr>
        <w:t xml:space="preserve"> </w:t>
      </w:r>
    </w:p>
    <w:p w14:paraId="644CEB73" w14:textId="77777777" w:rsidR="008E76A0" w:rsidRPr="00226892" w:rsidRDefault="00DF2B7E" w:rsidP="008E76A0">
      <w:pPr>
        <w:suppressAutoHyphens/>
        <w:rPr>
          <w:rFonts w:ascii="Arial" w:hAnsi="Arial" w:cs="Arial"/>
          <w:szCs w:val="18"/>
        </w:rPr>
      </w:pPr>
      <w:bookmarkStart w:id="409" w:name="FWT_FinLiabByCategory_CY"/>
      <w:r w:rsidRPr="00226892">
        <w:rPr>
          <w:rFonts w:ascii="Arial" w:hAnsi="Arial" w:cs="Arial"/>
          <w:szCs w:val="18"/>
        </w:rPr>
        <w:t xml:space="preserve"> </w:t>
      </w:r>
    </w:p>
    <w:tbl>
      <w:tblPr>
        <w:tblW w:w="5000" w:type="pct"/>
        <w:tblCellMar>
          <w:left w:w="70" w:type="dxa"/>
          <w:right w:w="70" w:type="dxa"/>
        </w:tblCellMar>
        <w:tblLook w:val="04A0" w:firstRow="1" w:lastRow="0" w:firstColumn="1" w:lastColumn="0" w:noHBand="0" w:noVBand="1"/>
      </w:tblPr>
      <w:tblGrid>
        <w:gridCol w:w="5142"/>
        <w:gridCol w:w="2529"/>
        <w:gridCol w:w="191"/>
        <w:gridCol w:w="1777"/>
      </w:tblGrid>
      <w:tr w:rsidR="00293308" w:rsidRPr="00226892" w14:paraId="0D5B68FA" w14:textId="77777777" w:rsidTr="00D438B7">
        <w:trPr>
          <w:trHeight w:val="227"/>
        </w:trPr>
        <w:tc>
          <w:tcPr>
            <w:tcW w:w="2667" w:type="pct"/>
            <w:tcBorders>
              <w:top w:val="nil"/>
              <w:left w:val="nil"/>
              <w:bottom w:val="single" w:sz="4" w:space="0" w:color="auto"/>
              <w:right w:val="nil"/>
            </w:tcBorders>
            <w:shd w:val="clear" w:color="auto" w:fill="auto"/>
            <w:vAlign w:val="bottom"/>
            <w:hideMark/>
          </w:tcPr>
          <w:p w14:paraId="75F17DD4" w14:textId="3688B28E" w:rsidR="00293308" w:rsidRPr="00226892" w:rsidRDefault="00293308" w:rsidP="00D438B7">
            <w:pPr>
              <w:jc w:val="center"/>
              <w:rPr>
                <w:rFonts w:ascii="Arial" w:eastAsia="Times New Roman" w:hAnsi="Arial" w:cs="Arial"/>
                <w:b/>
                <w:bCs/>
                <w:color w:val="000000"/>
                <w:sz w:val="18"/>
                <w:szCs w:val="18"/>
                <w:lang w:val="sk-SK" w:eastAsia="sk-SK"/>
              </w:rPr>
            </w:pPr>
            <w:bookmarkStart w:id="410" w:name="RANGE!C12:G17"/>
            <w:r w:rsidRPr="00226892">
              <w:rPr>
                <w:rFonts w:ascii="Arial" w:eastAsia="Times New Roman" w:hAnsi="Arial" w:cs="Arial"/>
                <w:b/>
                <w:bCs/>
                <w:color w:val="000000"/>
                <w:sz w:val="18"/>
                <w:szCs w:val="18"/>
                <w:lang w:val="sk-SK" w:eastAsia="sk-SK"/>
              </w:rPr>
              <w:t>K 31-12-</w:t>
            </w:r>
            <w:bookmarkEnd w:id="410"/>
            <w:r w:rsidR="00FD3AC5" w:rsidRPr="00226892">
              <w:rPr>
                <w:rFonts w:ascii="Arial" w:eastAsia="Times New Roman" w:hAnsi="Arial" w:cs="Arial"/>
                <w:b/>
                <w:bCs/>
                <w:color w:val="000000"/>
                <w:sz w:val="18"/>
                <w:szCs w:val="18"/>
                <w:lang w:val="sk-SK" w:eastAsia="sk-SK"/>
              </w:rPr>
              <w:t>2018</w:t>
            </w:r>
          </w:p>
        </w:tc>
        <w:tc>
          <w:tcPr>
            <w:tcW w:w="1312" w:type="pct"/>
            <w:tcBorders>
              <w:top w:val="nil"/>
              <w:left w:val="nil"/>
              <w:bottom w:val="single" w:sz="4" w:space="0" w:color="auto"/>
              <w:right w:val="nil"/>
            </w:tcBorders>
            <w:shd w:val="clear" w:color="auto" w:fill="auto"/>
            <w:vAlign w:val="bottom"/>
            <w:hideMark/>
          </w:tcPr>
          <w:p w14:paraId="37C78C3B" w14:textId="77777777" w:rsidR="00452DB3" w:rsidRPr="00226892" w:rsidRDefault="00293308" w:rsidP="00D438B7">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Ostatné finančné záväzky </w:t>
            </w:r>
          </w:p>
          <w:p w14:paraId="4738A38E" w14:textId="68CA6668" w:rsidR="00293308" w:rsidRPr="00226892" w:rsidRDefault="00293308" w:rsidP="00D438B7">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v </w:t>
            </w:r>
            <w:r w:rsidR="000937FE" w:rsidRPr="00226892">
              <w:rPr>
                <w:rFonts w:ascii="Arial" w:eastAsia="Times New Roman" w:hAnsi="Arial" w:cs="Arial"/>
                <w:b/>
                <w:bCs/>
                <w:color w:val="000000"/>
                <w:sz w:val="18"/>
                <w:szCs w:val="18"/>
                <w:lang w:val="sk-SK" w:eastAsia="sk-SK"/>
              </w:rPr>
              <w:t>umorovanej</w:t>
            </w:r>
            <w:r w:rsidRPr="00226892">
              <w:rPr>
                <w:rFonts w:ascii="Arial" w:eastAsia="Times New Roman" w:hAnsi="Arial" w:cs="Arial"/>
                <w:b/>
                <w:bCs/>
                <w:color w:val="000000"/>
                <w:sz w:val="18"/>
                <w:szCs w:val="18"/>
                <w:lang w:val="sk-SK" w:eastAsia="sk-SK"/>
              </w:rPr>
              <w:t xml:space="preserve"> hodnote</w:t>
            </w:r>
          </w:p>
        </w:tc>
        <w:tc>
          <w:tcPr>
            <w:tcW w:w="99" w:type="pct"/>
            <w:tcBorders>
              <w:top w:val="nil"/>
              <w:left w:val="nil"/>
              <w:bottom w:val="single" w:sz="4" w:space="0" w:color="auto"/>
              <w:right w:val="nil"/>
            </w:tcBorders>
            <w:shd w:val="clear" w:color="auto" w:fill="auto"/>
            <w:vAlign w:val="bottom"/>
            <w:hideMark/>
          </w:tcPr>
          <w:p w14:paraId="62E75B7F" w14:textId="7420E19B" w:rsidR="00293308" w:rsidRPr="00226892" w:rsidRDefault="00293308" w:rsidP="00D438B7">
            <w:pPr>
              <w:jc w:val="center"/>
              <w:rPr>
                <w:rFonts w:ascii="Arial" w:eastAsia="Times New Roman" w:hAnsi="Arial" w:cs="Arial"/>
                <w:b/>
                <w:bCs/>
                <w:color w:val="000000"/>
                <w:sz w:val="18"/>
                <w:szCs w:val="18"/>
                <w:lang w:val="sk-SK" w:eastAsia="sk-SK"/>
              </w:rPr>
            </w:pPr>
          </w:p>
        </w:tc>
        <w:tc>
          <w:tcPr>
            <w:tcW w:w="922" w:type="pct"/>
            <w:tcBorders>
              <w:top w:val="nil"/>
              <w:left w:val="nil"/>
              <w:bottom w:val="single" w:sz="4" w:space="0" w:color="auto"/>
              <w:right w:val="nil"/>
            </w:tcBorders>
            <w:shd w:val="clear" w:color="auto" w:fill="auto"/>
            <w:vAlign w:val="bottom"/>
            <w:hideMark/>
          </w:tcPr>
          <w:p w14:paraId="60ADF9F7" w14:textId="2B8E05DB" w:rsidR="00293308" w:rsidRPr="00226892" w:rsidRDefault="00293308" w:rsidP="00D438B7">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Spolu</w:t>
            </w:r>
          </w:p>
        </w:tc>
      </w:tr>
      <w:tr w:rsidR="00293308" w:rsidRPr="00226892" w14:paraId="1A319094" w14:textId="77777777" w:rsidTr="000405EF">
        <w:trPr>
          <w:trHeight w:val="227"/>
        </w:trPr>
        <w:tc>
          <w:tcPr>
            <w:tcW w:w="2667" w:type="pct"/>
            <w:tcBorders>
              <w:top w:val="nil"/>
              <w:left w:val="nil"/>
              <w:bottom w:val="nil"/>
              <w:right w:val="nil"/>
            </w:tcBorders>
            <w:shd w:val="clear" w:color="auto" w:fill="auto"/>
            <w:vAlign w:val="bottom"/>
            <w:hideMark/>
          </w:tcPr>
          <w:p w14:paraId="06D6F60C" w14:textId="77777777" w:rsidR="00293308" w:rsidRPr="00226892" w:rsidRDefault="00293308" w:rsidP="008E76A0">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Záväzky podľa súvahy</w:t>
            </w:r>
          </w:p>
        </w:tc>
        <w:tc>
          <w:tcPr>
            <w:tcW w:w="1312" w:type="pct"/>
            <w:tcBorders>
              <w:top w:val="nil"/>
              <w:left w:val="nil"/>
              <w:bottom w:val="nil"/>
              <w:right w:val="nil"/>
            </w:tcBorders>
            <w:shd w:val="clear" w:color="auto" w:fill="auto"/>
            <w:vAlign w:val="bottom"/>
            <w:hideMark/>
          </w:tcPr>
          <w:p w14:paraId="31EF9514" w14:textId="77777777" w:rsidR="00293308" w:rsidRPr="00226892" w:rsidRDefault="00293308" w:rsidP="00FD21B8">
            <w:pPr>
              <w:jc w:val="right"/>
              <w:rPr>
                <w:rFonts w:ascii="Arial" w:eastAsia="Times New Roman" w:hAnsi="Arial" w:cs="Arial"/>
                <w:sz w:val="18"/>
                <w:szCs w:val="18"/>
                <w:lang w:val="sk-SK" w:eastAsia="sk-SK"/>
              </w:rPr>
            </w:pPr>
          </w:p>
        </w:tc>
        <w:tc>
          <w:tcPr>
            <w:tcW w:w="99" w:type="pct"/>
            <w:tcBorders>
              <w:top w:val="nil"/>
              <w:left w:val="nil"/>
              <w:bottom w:val="nil"/>
              <w:right w:val="nil"/>
            </w:tcBorders>
            <w:shd w:val="clear" w:color="auto" w:fill="auto"/>
            <w:vAlign w:val="bottom"/>
            <w:hideMark/>
          </w:tcPr>
          <w:p w14:paraId="4F37014C" w14:textId="77777777" w:rsidR="00293308" w:rsidRPr="00226892" w:rsidRDefault="00293308" w:rsidP="00FD21B8">
            <w:pPr>
              <w:jc w:val="right"/>
              <w:rPr>
                <w:rFonts w:ascii="Arial" w:eastAsia="Times New Roman" w:hAnsi="Arial" w:cs="Arial"/>
                <w:sz w:val="18"/>
                <w:szCs w:val="18"/>
                <w:lang w:val="sk-SK" w:eastAsia="sk-SK"/>
              </w:rPr>
            </w:pPr>
          </w:p>
        </w:tc>
        <w:tc>
          <w:tcPr>
            <w:tcW w:w="922" w:type="pct"/>
            <w:tcBorders>
              <w:top w:val="nil"/>
              <w:left w:val="nil"/>
              <w:bottom w:val="nil"/>
              <w:right w:val="nil"/>
            </w:tcBorders>
            <w:shd w:val="clear" w:color="auto" w:fill="auto"/>
            <w:vAlign w:val="bottom"/>
            <w:hideMark/>
          </w:tcPr>
          <w:p w14:paraId="0C39A312" w14:textId="77777777" w:rsidR="00293308" w:rsidRPr="00226892" w:rsidRDefault="00293308" w:rsidP="00FD21B8">
            <w:pPr>
              <w:jc w:val="right"/>
              <w:rPr>
                <w:rFonts w:ascii="Arial" w:eastAsia="Times New Roman" w:hAnsi="Arial" w:cs="Arial"/>
                <w:sz w:val="18"/>
                <w:szCs w:val="18"/>
                <w:lang w:val="sk-SK" w:eastAsia="sk-SK"/>
              </w:rPr>
            </w:pPr>
          </w:p>
        </w:tc>
      </w:tr>
      <w:tr w:rsidR="0082592C" w:rsidRPr="00226892" w14:paraId="012A5434" w14:textId="77777777" w:rsidTr="000405EF">
        <w:trPr>
          <w:trHeight w:val="227"/>
        </w:trPr>
        <w:tc>
          <w:tcPr>
            <w:tcW w:w="2667" w:type="pct"/>
            <w:tcBorders>
              <w:top w:val="nil"/>
              <w:left w:val="nil"/>
              <w:bottom w:val="nil"/>
              <w:right w:val="nil"/>
            </w:tcBorders>
            <w:shd w:val="clear" w:color="auto" w:fill="auto"/>
            <w:vAlign w:val="bottom"/>
            <w:hideMark/>
          </w:tcPr>
          <w:p w14:paraId="7A844997" w14:textId="08C01BDA" w:rsidR="0082592C" w:rsidRPr="00226892" w:rsidRDefault="0082592C" w:rsidP="0082592C">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Záväzky z obchodného styku a ostatné záväzky (Pozn. 1</w:t>
            </w:r>
            <w:r w:rsidR="00522218" w:rsidRPr="00226892">
              <w:rPr>
                <w:rFonts w:ascii="Arial" w:eastAsia="Times New Roman" w:hAnsi="Arial" w:cs="Arial"/>
                <w:color w:val="000000"/>
                <w:sz w:val="18"/>
                <w:szCs w:val="18"/>
                <w:lang w:val="sk-SK" w:eastAsia="sk-SK"/>
              </w:rPr>
              <w:t>8</w:t>
            </w:r>
            <w:r w:rsidRPr="00226892">
              <w:rPr>
                <w:rFonts w:ascii="Arial" w:eastAsia="Times New Roman" w:hAnsi="Arial" w:cs="Arial"/>
                <w:color w:val="000000"/>
                <w:sz w:val="18"/>
                <w:szCs w:val="18"/>
                <w:lang w:val="sk-SK" w:eastAsia="sk-SK"/>
              </w:rPr>
              <w:t>)</w:t>
            </w:r>
          </w:p>
        </w:tc>
        <w:tc>
          <w:tcPr>
            <w:tcW w:w="1312" w:type="pct"/>
            <w:tcBorders>
              <w:top w:val="nil"/>
              <w:left w:val="nil"/>
              <w:bottom w:val="nil"/>
              <w:right w:val="nil"/>
            </w:tcBorders>
            <w:shd w:val="clear" w:color="auto" w:fill="auto"/>
            <w:vAlign w:val="bottom"/>
          </w:tcPr>
          <w:p w14:paraId="12A06B19" w14:textId="22CA973C" w:rsidR="0082592C" w:rsidRPr="00226892" w:rsidRDefault="0082592C" w:rsidP="0082592C">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w:t>
            </w:r>
            <w:r w:rsidR="0049047A" w:rsidRPr="00226892">
              <w:rPr>
                <w:rFonts w:ascii="Arial" w:eastAsia="Times New Roman" w:hAnsi="Arial" w:cs="Arial"/>
                <w:color w:val="000000"/>
                <w:sz w:val="18"/>
                <w:szCs w:val="18"/>
                <w:lang w:val="sk-SK" w:eastAsia="sk-SK"/>
              </w:rPr>
              <w:t>4 988</w:t>
            </w:r>
          </w:p>
        </w:tc>
        <w:tc>
          <w:tcPr>
            <w:tcW w:w="99" w:type="pct"/>
            <w:tcBorders>
              <w:top w:val="nil"/>
              <w:left w:val="nil"/>
              <w:bottom w:val="nil"/>
              <w:right w:val="nil"/>
            </w:tcBorders>
            <w:shd w:val="clear" w:color="auto" w:fill="auto"/>
            <w:vAlign w:val="bottom"/>
          </w:tcPr>
          <w:p w14:paraId="2F395395" w14:textId="77777777" w:rsidR="0082592C" w:rsidRPr="00226892" w:rsidRDefault="0082592C" w:rsidP="0082592C">
            <w:pPr>
              <w:jc w:val="right"/>
              <w:rPr>
                <w:rFonts w:ascii="Arial" w:eastAsia="Times New Roman" w:hAnsi="Arial" w:cs="Arial"/>
                <w:color w:val="000000"/>
                <w:sz w:val="18"/>
                <w:szCs w:val="18"/>
                <w:lang w:val="sk-SK" w:eastAsia="sk-SK"/>
              </w:rPr>
            </w:pPr>
          </w:p>
        </w:tc>
        <w:tc>
          <w:tcPr>
            <w:tcW w:w="922" w:type="pct"/>
            <w:tcBorders>
              <w:top w:val="nil"/>
              <w:left w:val="nil"/>
              <w:bottom w:val="nil"/>
              <w:right w:val="nil"/>
            </w:tcBorders>
            <w:shd w:val="clear" w:color="auto" w:fill="auto"/>
            <w:vAlign w:val="bottom"/>
          </w:tcPr>
          <w:p w14:paraId="45484921" w14:textId="2F86C43B" w:rsidR="0082592C" w:rsidRPr="00226892" w:rsidRDefault="0082592C" w:rsidP="0082592C">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w:t>
            </w:r>
            <w:r w:rsidR="0049047A" w:rsidRPr="00226892">
              <w:rPr>
                <w:rFonts w:ascii="Arial" w:eastAsia="Times New Roman" w:hAnsi="Arial" w:cs="Arial"/>
                <w:b/>
                <w:bCs/>
                <w:color w:val="000000"/>
                <w:sz w:val="18"/>
                <w:szCs w:val="18"/>
                <w:lang w:val="sk-SK" w:eastAsia="sk-SK"/>
              </w:rPr>
              <w:t>4</w:t>
            </w:r>
            <w:r w:rsidRPr="00226892">
              <w:rPr>
                <w:rFonts w:ascii="Arial" w:eastAsia="Times New Roman" w:hAnsi="Arial" w:cs="Arial"/>
                <w:b/>
                <w:bCs/>
                <w:color w:val="000000"/>
                <w:sz w:val="18"/>
                <w:szCs w:val="18"/>
                <w:lang w:val="sk-SK" w:eastAsia="sk-SK"/>
              </w:rPr>
              <w:t xml:space="preserve"> </w:t>
            </w:r>
            <w:r w:rsidR="0049047A" w:rsidRPr="00226892">
              <w:rPr>
                <w:rFonts w:ascii="Arial" w:eastAsia="Times New Roman" w:hAnsi="Arial" w:cs="Arial"/>
                <w:b/>
                <w:bCs/>
                <w:color w:val="000000"/>
                <w:sz w:val="18"/>
                <w:szCs w:val="18"/>
                <w:lang w:val="sk-SK" w:eastAsia="sk-SK"/>
              </w:rPr>
              <w:t>988</w:t>
            </w:r>
          </w:p>
        </w:tc>
      </w:tr>
      <w:tr w:rsidR="0082592C" w:rsidRPr="00226892" w14:paraId="3F8F90ED" w14:textId="77777777" w:rsidTr="000405EF">
        <w:trPr>
          <w:trHeight w:val="227"/>
        </w:trPr>
        <w:tc>
          <w:tcPr>
            <w:tcW w:w="2667" w:type="pct"/>
            <w:tcBorders>
              <w:top w:val="nil"/>
              <w:left w:val="nil"/>
              <w:bottom w:val="nil"/>
              <w:right w:val="nil"/>
            </w:tcBorders>
            <w:shd w:val="clear" w:color="auto" w:fill="auto"/>
            <w:vAlign w:val="bottom"/>
            <w:hideMark/>
          </w:tcPr>
          <w:p w14:paraId="0C33C42F" w14:textId="0C7FA680" w:rsidR="0082592C" w:rsidRPr="00226892" w:rsidRDefault="0082592C" w:rsidP="0082592C">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Úvery a pôžičky – okrem finančného lízingu (Pozn. 1</w:t>
            </w:r>
            <w:r w:rsidR="00522218" w:rsidRPr="00226892">
              <w:rPr>
                <w:rFonts w:ascii="Arial" w:eastAsia="Times New Roman" w:hAnsi="Arial" w:cs="Arial"/>
                <w:color w:val="000000"/>
                <w:sz w:val="18"/>
                <w:szCs w:val="18"/>
                <w:lang w:val="sk-SK" w:eastAsia="sk-SK"/>
              </w:rPr>
              <w:t>5</w:t>
            </w:r>
            <w:r w:rsidRPr="00226892">
              <w:rPr>
                <w:rFonts w:ascii="Arial" w:eastAsia="Times New Roman" w:hAnsi="Arial" w:cs="Arial"/>
                <w:color w:val="000000"/>
                <w:sz w:val="18"/>
                <w:szCs w:val="18"/>
                <w:lang w:val="sk-SK" w:eastAsia="sk-SK"/>
              </w:rPr>
              <w:t>)</w:t>
            </w:r>
          </w:p>
        </w:tc>
        <w:tc>
          <w:tcPr>
            <w:tcW w:w="1312" w:type="pct"/>
            <w:tcBorders>
              <w:top w:val="nil"/>
              <w:left w:val="nil"/>
              <w:bottom w:val="nil"/>
              <w:right w:val="nil"/>
            </w:tcBorders>
            <w:shd w:val="clear" w:color="auto" w:fill="auto"/>
            <w:vAlign w:val="bottom"/>
          </w:tcPr>
          <w:p w14:paraId="38F9E6F0" w14:textId="4693549F" w:rsidR="0082592C" w:rsidRPr="00226892" w:rsidRDefault="0082592C" w:rsidP="0082592C">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37 323</w:t>
            </w:r>
          </w:p>
        </w:tc>
        <w:tc>
          <w:tcPr>
            <w:tcW w:w="99" w:type="pct"/>
            <w:tcBorders>
              <w:top w:val="nil"/>
              <w:left w:val="nil"/>
              <w:bottom w:val="nil"/>
              <w:right w:val="nil"/>
            </w:tcBorders>
            <w:shd w:val="clear" w:color="auto" w:fill="auto"/>
            <w:vAlign w:val="bottom"/>
          </w:tcPr>
          <w:p w14:paraId="661D50F0" w14:textId="77777777" w:rsidR="0082592C" w:rsidRPr="00226892" w:rsidRDefault="0082592C" w:rsidP="0082592C">
            <w:pPr>
              <w:jc w:val="right"/>
              <w:rPr>
                <w:rFonts w:ascii="Arial" w:eastAsia="Times New Roman" w:hAnsi="Arial" w:cs="Arial"/>
                <w:color w:val="000000"/>
                <w:sz w:val="18"/>
                <w:szCs w:val="18"/>
                <w:lang w:val="sk-SK" w:eastAsia="sk-SK"/>
              </w:rPr>
            </w:pPr>
          </w:p>
        </w:tc>
        <w:tc>
          <w:tcPr>
            <w:tcW w:w="922" w:type="pct"/>
            <w:tcBorders>
              <w:top w:val="nil"/>
              <w:left w:val="nil"/>
              <w:bottom w:val="nil"/>
              <w:right w:val="nil"/>
            </w:tcBorders>
            <w:shd w:val="clear" w:color="auto" w:fill="auto"/>
            <w:vAlign w:val="bottom"/>
          </w:tcPr>
          <w:p w14:paraId="0DB6F988" w14:textId="1D221FEC" w:rsidR="0082592C" w:rsidRPr="00226892" w:rsidRDefault="0082592C" w:rsidP="0082592C">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37 323</w:t>
            </w:r>
          </w:p>
        </w:tc>
      </w:tr>
      <w:tr w:rsidR="0082592C" w:rsidRPr="00226892" w14:paraId="6293623C" w14:textId="77777777" w:rsidTr="000405EF">
        <w:trPr>
          <w:trHeight w:val="227"/>
        </w:trPr>
        <w:tc>
          <w:tcPr>
            <w:tcW w:w="2667" w:type="pct"/>
            <w:tcBorders>
              <w:top w:val="nil"/>
              <w:left w:val="nil"/>
              <w:bottom w:val="nil"/>
              <w:right w:val="nil"/>
            </w:tcBorders>
            <w:shd w:val="clear" w:color="auto" w:fill="auto"/>
            <w:vAlign w:val="bottom"/>
            <w:hideMark/>
          </w:tcPr>
          <w:p w14:paraId="073C57DF" w14:textId="174DCE82" w:rsidR="0082592C" w:rsidRPr="00226892" w:rsidRDefault="0082592C" w:rsidP="0082592C">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Finančný lízing (Pozn. 1</w:t>
            </w:r>
            <w:r w:rsidR="00522218" w:rsidRPr="00226892">
              <w:rPr>
                <w:rFonts w:ascii="Arial" w:eastAsia="Times New Roman" w:hAnsi="Arial" w:cs="Arial"/>
                <w:color w:val="000000"/>
                <w:sz w:val="18"/>
                <w:szCs w:val="18"/>
                <w:lang w:val="sk-SK" w:eastAsia="sk-SK"/>
              </w:rPr>
              <w:t>5</w:t>
            </w:r>
            <w:r w:rsidRPr="00226892">
              <w:rPr>
                <w:rFonts w:ascii="Arial" w:eastAsia="Times New Roman" w:hAnsi="Arial" w:cs="Arial"/>
                <w:color w:val="000000"/>
                <w:sz w:val="18"/>
                <w:szCs w:val="18"/>
                <w:lang w:val="sk-SK" w:eastAsia="sk-SK"/>
              </w:rPr>
              <w:t>)</w:t>
            </w:r>
          </w:p>
        </w:tc>
        <w:tc>
          <w:tcPr>
            <w:tcW w:w="1312" w:type="pct"/>
            <w:tcBorders>
              <w:top w:val="nil"/>
              <w:left w:val="nil"/>
              <w:bottom w:val="nil"/>
              <w:right w:val="nil"/>
            </w:tcBorders>
            <w:shd w:val="clear" w:color="auto" w:fill="auto"/>
            <w:vAlign w:val="bottom"/>
          </w:tcPr>
          <w:p w14:paraId="7731DF1B" w14:textId="412F5123" w:rsidR="0082592C" w:rsidRPr="00226892" w:rsidRDefault="0082592C" w:rsidP="0082592C">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538</w:t>
            </w:r>
          </w:p>
        </w:tc>
        <w:tc>
          <w:tcPr>
            <w:tcW w:w="99" w:type="pct"/>
            <w:tcBorders>
              <w:top w:val="nil"/>
              <w:left w:val="nil"/>
              <w:bottom w:val="nil"/>
              <w:right w:val="nil"/>
            </w:tcBorders>
            <w:shd w:val="clear" w:color="auto" w:fill="auto"/>
            <w:vAlign w:val="bottom"/>
          </w:tcPr>
          <w:p w14:paraId="4F48FC81" w14:textId="77777777" w:rsidR="0082592C" w:rsidRPr="00226892" w:rsidRDefault="0082592C" w:rsidP="0082592C">
            <w:pPr>
              <w:jc w:val="right"/>
              <w:rPr>
                <w:rFonts w:ascii="Arial" w:eastAsia="Times New Roman" w:hAnsi="Arial" w:cs="Arial"/>
                <w:color w:val="000000"/>
                <w:sz w:val="18"/>
                <w:szCs w:val="18"/>
                <w:lang w:val="sk-SK" w:eastAsia="sk-SK"/>
              </w:rPr>
            </w:pPr>
          </w:p>
        </w:tc>
        <w:tc>
          <w:tcPr>
            <w:tcW w:w="922" w:type="pct"/>
            <w:tcBorders>
              <w:top w:val="nil"/>
              <w:left w:val="nil"/>
              <w:bottom w:val="nil"/>
              <w:right w:val="nil"/>
            </w:tcBorders>
            <w:shd w:val="clear" w:color="auto" w:fill="auto"/>
            <w:vAlign w:val="bottom"/>
          </w:tcPr>
          <w:p w14:paraId="3E0BB7B5" w14:textId="4F489297" w:rsidR="0082592C" w:rsidRPr="00226892" w:rsidRDefault="0082592C" w:rsidP="0082592C">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538</w:t>
            </w:r>
          </w:p>
        </w:tc>
      </w:tr>
      <w:tr w:rsidR="0082592C" w:rsidRPr="00226892" w14:paraId="03110540" w14:textId="77777777" w:rsidTr="000405EF">
        <w:trPr>
          <w:trHeight w:val="227"/>
        </w:trPr>
        <w:tc>
          <w:tcPr>
            <w:tcW w:w="2667" w:type="pct"/>
            <w:tcBorders>
              <w:top w:val="nil"/>
              <w:left w:val="nil"/>
              <w:bottom w:val="nil"/>
              <w:right w:val="nil"/>
            </w:tcBorders>
            <w:shd w:val="clear" w:color="auto" w:fill="auto"/>
            <w:vAlign w:val="bottom"/>
            <w:hideMark/>
          </w:tcPr>
          <w:p w14:paraId="4B2C7C93" w14:textId="77777777" w:rsidR="0082592C" w:rsidRPr="00226892" w:rsidRDefault="0082592C" w:rsidP="0082592C">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Spolu</w:t>
            </w:r>
          </w:p>
        </w:tc>
        <w:tc>
          <w:tcPr>
            <w:tcW w:w="1312" w:type="pct"/>
            <w:tcBorders>
              <w:top w:val="single" w:sz="4" w:space="0" w:color="auto"/>
              <w:left w:val="nil"/>
              <w:bottom w:val="double" w:sz="6" w:space="0" w:color="auto"/>
              <w:right w:val="nil"/>
            </w:tcBorders>
            <w:shd w:val="clear" w:color="auto" w:fill="auto"/>
            <w:vAlign w:val="bottom"/>
          </w:tcPr>
          <w:p w14:paraId="076480E5" w14:textId="21BC5139" w:rsidR="0082592C" w:rsidRPr="00226892" w:rsidRDefault="0082592C" w:rsidP="0082592C">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72 8</w:t>
            </w:r>
            <w:r w:rsidR="0049047A" w:rsidRPr="00226892">
              <w:rPr>
                <w:rFonts w:ascii="Arial" w:eastAsia="Times New Roman" w:hAnsi="Arial" w:cs="Arial"/>
                <w:b/>
                <w:bCs/>
                <w:color w:val="000000"/>
                <w:sz w:val="18"/>
                <w:szCs w:val="18"/>
                <w:lang w:val="sk-SK" w:eastAsia="sk-SK"/>
              </w:rPr>
              <w:t>49</w:t>
            </w:r>
          </w:p>
        </w:tc>
        <w:tc>
          <w:tcPr>
            <w:tcW w:w="99" w:type="pct"/>
            <w:tcBorders>
              <w:top w:val="nil"/>
              <w:left w:val="nil"/>
              <w:bottom w:val="nil"/>
              <w:right w:val="nil"/>
            </w:tcBorders>
            <w:shd w:val="clear" w:color="auto" w:fill="auto"/>
            <w:vAlign w:val="bottom"/>
          </w:tcPr>
          <w:p w14:paraId="35B18963" w14:textId="77777777" w:rsidR="0082592C" w:rsidRPr="00226892" w:rsidRDefault="0082592C" w:rsidP="0082592C">
            <w:pPr>
              <w:jc w:val="right"/>
              <w:rPr>
                <w:rFonts w:ascii="Arial" w:eastAsia="Times New Roman" w:hAnsi="Arial" w:cs="Arial"/>
                <w:b/>
                <w:bCs/>
                <w:color w:val="000000"/>
                <w:sz w:val="18"/>
                <w:szCs w:val="18"/>
                <w:lang w:val="sk-SK" w:eastAsia="sk-SK"/>
              </w:rPr>
            </w:pPr>
          </w:p>
        </w:tc>
        <w:tc>
          <w:tcPr>
            <w:tcW w:w="922" w:type="pct"/>
            <w:tcBorders>
              <w:top w:val="single" w:sz="4" w:space="0" w:color="auto"/>
              <w:left w:val="nil"/>
              <w:bottom w:val="double" w:sz="6" w:space="0" w:color="auto"/>
              <w:right w:val="nil"/>
            </w:tcBorders>
            <w:shd w:val="clear" w:color="auto" w:fill="auto"/>
            <w:vAlign w:val="bottom"/>
          </w:tcPr>
          <w:p w14:paraId="76F07DA4" w14:textId="5FBF48C4" w:rsidR="0082592C" w:rsidRPr="00226892" w:rsidRDefault="0082592C" w:rsidP="0082592C">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72 8</w:t>
            </w:r>
            <w:r w:rsidR="0049047A" w:rsidRPr="00226892">
              <w:rPr>
                <w:rFonts w:ascii="Arial" w:eastAsia="Times New Roman" w:hAnsi="Arial" w:cs="Arial"/>
                <w:b/>
                <w:bCs/>
                <w:color w:val="000000"/>
                <w:sz w:val="18"/>
                <w:szCs w:val="18"/>
                <w:lang w:val="sk-SK" w:eastAsia="sk-SK"/>
              </w:rPr>
              <w:t>49</w:t>
            </w:r>
          </w:p>
        </w:tc>
      </w:tr>
    </w:tbl>
    <w:p w14:paraId="2DA9F7D6" w14:textId="08BE4590" w:rsidR="00A9071C" w:rsidRPr="00226892" w:rsidRDefault="00DF2B7E" w:rsidP="00FD21B8">
      <w:pPr>
        <w:suppressAutoHyphens/>
        <w:rPr>
          <w:rFonts w:ascii="Arial" w:hAnsi="Arial" w:cs="Arial"/>
          <w:szCs w:val="18"/>
        </w:rPr>
      </w:pPr>
      <w:r w:rsidRPr="00226892">
        <w:rPr>
          <w:rFonts w:ascii="Arial" w:hAnsi="Arial" w:cs="Arial"/>
          <w:sz w:val="18"/>
          <w:szCs w:val="18"/>
        </w:rPr>
        <w:t xml:space="preserve"> </w:t>
      </w:r>
      <w:bookmarkEnd w:id="409"/>
      <w:r w:rsidRPr="00226892">
        <w:rPr>
          <w:rFonts w:ascii="Arial" w:hAnsi="Arial" w:cs="Arial"/>
          <w:sz w:val="18"/>
          <w:szCs w:val="18"/>
        </w:rPr>
        <w:t xml:space="preserve"> </w:t>
      </w:r>
    </w:p>
    <w:p w14:paraId="645E9915" w14:textId="35073FB5" w:rsidR="008E76A0" w:rsidRPr="00226892" w:rsidRDefault="008E76A0" w:rsidP="008E76A0">
      <w:pPr>
        <w:rPr>
          <w:rFonts w:ascii="Arial" w:hAnsi="Arial" w:cs="Arial"/>
          <w:szCs w:val="18"/>
        </w:rPr>
      </w:pPr>
      <w:bookmarkStart w:id="411" w:name="FWT_FinAssByCategory_PY"/>
      <w:r w:rsidRPr="00226892">
        <w:rPr>
          <w:rFonts w:ascii="Arial" w:hAnsi="Arial" w:cs="Arial"/>
          <w:szCs w:val="18"/>
        </w:rPr>
        <w:t xml:space="preserve"> </w:t>
      </w:r>
    </w:p>
    <w:p w14:paraId="7223DC37" w14:textId="64C42589" w:rsidR="00C951BB" w:rsidRPr="00226892" w:rsidRDefault="00C951BB" w:rsidP="008E76A0">
      <w:pPr>
        <w:rPr>
          <w:rFonts w:ascii="Arial" w:hAnsi="Arial" w:cs="Arial"/>
          <w:szCs w:val="18"/>
        </w:rPr>
      </w:pPr>
    </w:p>
    <w:p w14:paraId="53E0E6D7" w14:textId="7F2BCF77" w:rsidR="00C951BB" w:rsidRPr="00226892" w:rsidRDefault="00C951BB" w:rsidP="008E76A0">
      <w:pPr>
        <w:rPr>
          <w:rFonts w:ascii="Arial" w:hAnsi="Arial" w:cs="Arial"/>
          <w:szCs w:val="18"/>
        </w:rPr>
      </w:pPr>
    </w:p>
    <w:p w14:paraId="4EC3098E" w14:textId="77777777" w:rsidR="00C951BB" w:rsidRPr="00226892" w:rsidRDefault="00C951BB" w:rsidP="008E76A0">
      <w:pPr>
        <w:rPr>
          <w:rFonts w:ascii="Arial" w:hAnsi="Arial" w:cs="Arial"/>
          <w:szCs w:val="18"/>
        </w:rPr>
      </w:pPr>
    </w:p>
    <w:tbl>
      <w:tblPr>
        <w:tblW w:w="5000" w:type="pct"/>
        <w:tblCellMar>
          <w:left w:w="70" w:type="dxa"/>
          <w:right w:w="70" w:type="dxa"/>
        </w:tblCellMar>
        <w:tblLook w:val="04A0" w:firstRow="1" w:lastRow="0" w:firstColumn="1" w:lastColumn="0" w:noHBand="0" w:noVBand="1"/>
      </w:tblPr>
      <w:tblGrid>
        <w:gridCol w:w="4912"/>
        <w:gridCol w:w="1253"/>
        <w:gridCol w:w="206"/>
        <w:gridCol w:w="2142"/>
        <w:gridCol w:w="206"/>
        <w:gridCol w:w="920"/>
      </w:tblGrid>
      <w:tr w:rsidR="00EF7066" w:rsidRPr="00226892" w14:paraId="7957D2C2" w14:textId="77777777" w:rsidTr="00EF7066">
        <w:trPr>
          <w:trHeight w:val="224"/>
        </w:trPr>
        <w:tc>
          <w:tcPr>
            <w:tcW w:w="2547" w:type="pct"/>
            <w:tcBorders>
              <w:top w:val="nil"/>
              <w:left w:val="nil"/>
              <w:bottom w:val="single" w:sz="4" w:space="0" w:color="auto"/>
              <w:right w:val="nil"/>
            </w:tcBorders>
            <w:shd w:val="clear" w:color="auto" w:fill="auto"/>
            <w:vAlign w:val="bottom"/>
            <w:hideMark/>
          </w:tcPr>
          <w:p w14:paraId="1C239C90" w14:textId="04D74AA9" w:rsidR="00EF7066" w:rsidRPr="00226892" w:rsidRDefault="00EF7066" w:rsidP="00452DB3">
            <w:pPr>
              <w:jc w:val="center"/>
              <w:rPr>
                <w:rFonts w:ascii="Arial" w:eastAsia="Times New Roman" w:hAnsi="Arial" w:cs="Arial"/>
                <w:b/>
                <w:bCs/>
                <w:color w:val="000000"/>
                <w:sz w:val="18"/>
                <w:szCs w:val="18"/>
                <w:lang w:val="sk-SK" w:eastAsia="sk-SK"/>
              </w:rPr>
            </w:pPr>
            <w:bookmarkStart w:id="412" w:name="RANGE!C19:M26"/>
            <w:r w:rsidRPr="00226892">
              <w:rPr>
                <w:rFonts w:ascii="Arial" w:eastAsia="Times New Roman" w:hAnsi="Arial" w:cs="Arial"/>
                <w:b/>
                <w:bCs/>
                <w:color w:val="000000"/>
                <w:sz w:val="18"/>
                <w:szCs w:val="18"/>
                <w:lang w:val="sk-SK" w:eastAsia="sk-SK"/>
              </w:rPr>
              <w:lastRenderedPageBreak/>
              <w:t>K 31-12-</w:t>
            </w:r>
            <w:bookmarkEnd w:id="412"/>
            <w:r w:rsidRPr="00226892">
              <w:rPr>
                <w:rFonts w:ascii="Arial" w:eastAsia="Times New Roman" w:hAnsi="Arial" w:cs="Arial"/>
                <w:b/>
                <w:bCs/>
                <w:color w:val="000000"/>
                <w:sz w:val="18"/>
                <w:szCs w:val="18"/>
                <w:lang w:val="sk-SK" w:eastAsia="sk-SK"/>
              </w:rPr>
              <w:t>2017</w:t>
            </w:r>
          </w:p>
        </w:tc>
        <w:tc>
          <w:tcPr>
            <w:tcW w:w="650" w:type="pct"/>
            <w:tcBorders>
              <w:top w:val="nil"/>
              <w:left w:val="nil"/>
              <w:bottom w:val="single" w:sz="4" w:space="0" w:color="auto"/>
              <w:right w:val="nil"/>
            </w:tcBorders>
            <w:shd w:val="clear" w:color="auto" w:fill="auto"/>
            <w:vAlign w:val="bottom"/>
            <w:hideMark/>
          </w:tcPr>
          <w:p w14:paraId="559D6349" w14:textId="3D783A65" w:rsidR="00EF7066" w:rsidRPr="00226892" w:rsidRDefault="00EF7066" w:rsidP="00452DB3">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Pôžičky a pohľadávky</w:t>
            </w:r>
          </w:p>
        </w:tc>
        <w:tc>
          <w:tcPr>
            <w:tcW w:w="107" w:type="pct"/>
            <w:tcBorders>
              <w:top w:val="nil"/>
              <w:left w:val="nil"/>
              <w:bottom w:val="single" w:sz="4" w:space="0" w:color="auto"/>
              <w:right w:val="nil"/>
            </w:tcBorders>
            <w:shd w:val="clear" w:color="auto" w:fill="auto"/>
            <w:vAlign w:val="bottom"/>
            <w:hideMark/>
          </w:tcPr>
          <w:p w14:paraId="11F6B7D9" w14:textId="4864FF3F" w:rsidR="00EF7066" w:rsidRPr="00226892" w:rsidRDefault="00EF7066" w:rsidP="00452DB3">
            <w:pPr>
              <w:jc w:val="center"/>
              <w:rPr>
                <w:rFonts w:ascii="Arial" w:eastAsia="Times New Roman" w:hAnsi="Arial" w:cs="Arial"/>
                <w:b/>
                <w:bCs/>
                <w:color w:val="000000"/>
                <w:sz w:val="18"/>
                <w:szCs w:val="18"/>
                <w:lang w:val="sk-SK" w:eastAsia="sk-SK"/>
              </w:rPr>
            </w:pPr>
          </w:p>
        </w:tc>
        <w:tc>
          <w:tcPr>
            <w:tcW w:w="1111" w:type="pct"/>
            <w:tcBorders>
              <w:top w:val="nil"/>
              <w:left w:val="nil"/>
              <w:bottom w:val="single" w:sz="4" w:space="0" w:color="auto"/>
              <w:right w:val="nil"/>
            </w:tcBorders>
            <w:shd w:val="clear" w:color="auto" w:fill="auto"/>
            <w:vAlign w:val="bottom"/>
            <w:hideMark/>
          </w:tcPr>
          <w:p w14:paraId="40F7A885" w14:textId="65A0E375" w:rsidR="00EF7066" w:rsidRPr="00226892" w:rsidRDefault="00EF7066" w:rsidP="00452DB3">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Majetok účtovaný v reálnej hodnote cez Výkaz ziskov a strát</w:t>
            </w:r>
          </w:p>
        </w:tc>
        <w:tc>
          <w:tcPr>
            <w:tcW w:w="107" w:type="pct"/>
            <w:tcBorders>
              <w:top w:val="nil"/>
              <w:left w:val="nil"/>
              <w:bottom w:val="single" w:sz="4" w:space="0" w:color="auto"/>
              <w:right w:val="nil"/>
            </w:tcBorders>
            <w:shd w:val="clear" w:color="auto" w:fill="auto"/>
            <w:vAlign w:val="bottom"/>
            <w:hideMark/>
          </w:tcPr>
          <w:p w14:paraId="42495705" w14:textId="6CC8DAE4" w:rsidR="00EF7066" w:rsidRPr="00226892" w:rsidRDefault="00EF7066" w:rsidP="00452DB3">
            <w:pPr>
              <w:jc w:val="center"/>
              <w:rPr>
                <w:rFonts w:ascii="Arial" w:eastAsia="Times New Roman" w:hAnsi="Arial" w:cs="Arial"/>
                <w:b/>
                <w:bCs/>
                <w:color w:val="000000"/>
                <w:sz w:val="18"/>
                <w:szCs w:val="18"/>
                <w:lang w:val="sk-SK" w:eastAsia="sk-SK"/>
              </w:rPr>
            </w:pPr>
          </w:p>
        </w:tc>
        <w:tc>
          <w:tcPr>
            <w:tcW w:w="477" w:type="pct"/>
            <w:tcBorders>
              <w:top w:val="nil"/>
              <w:left w:val="nil"/>
              <w:bottom w:val="single" w:sz="4" w:space="0" w:color="auto"/>
              <w:right w:val="nil"/>
            </w:tcBorders>
            <w:shd w:val="clear" w:color="auto" w:fill="auto"/>
            <w:vAlign w:val="bottom"/>
            <w:hideMark/>
          </w:tcPr>
          <w:p w14:paraId="2CD16D38" w14:textId="5088F812" w:rsidR="00EF7066" w:rsidRPr="00226892" w:rsidRDefault="00EF7066" w:rsidP="00452DB3">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Spolu</w:t>
            </w:r>
          </w:p>
        </w:tc>
      </w:tr>
      <w:tr w:rsidR="00EF7066" w:rsidRPr="00226892" w14:paraId="7C936A51" w14:textId="77777777" w:rsidTr="00EF7066">
        <w:trPr>
          <w:trHeight w:val="224"/>
        </w:trPr>
        <w:tc>
          <w:tcPr>
            <w:tcW w:w="2547" w:type="pct"/>
            <w:tcBorders>
              <w:top w:val="nil"/>
              <w:left w:val="nil"/>
              <w:bottom w:val="nil"/>
              <w:right w:val="nil"/>
            </w:tcBorders>
            <w:shd w:val="clear" w:color="auto" w:fill="auto"/>
            <w:vAlign w:val="bottom"/>
            <w:hideMark/>
          </w:tcPr>
          <w:p w14:paraId="393D5F61" w14:textId="77777777" w:rsidR="00EF7066" w:rsidRPr="00226892" w:rsidRDefault="00EF7066" w:rsidP="008E76A0">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Finančné aktíva podľa súvahy</w:t>
            </w:r>
          </w:p>
        </w:tc>
        <w:tc>
          <w:tcPr>
            <w:tcW w:w="650" w:type="pct"/>
            <w:tcBorders>
              <w:top w:val="nil"/>
              <w:left w:val="nil"/>
              <w:bottom w:val="nil"/>
              <w:right w:val="nil"/>
            </w:tcBorders>
            <w:shd w:val="clear" w:color="auto" w:fill="auto"/>
            <w:vAlign w:val="bottom"/>
            <w:hideMark/>
          </w:tcPr>
          <w:p w14:paraId="222A8B6D" w14:textId="77777777" w:rsidR="00EF7066" w:rsidRPr="00226892" w:rsidRDefault="00EF7066" w:rsidP="00FD21B8">
            <w:pPr>
              <w:jc w:val="right"/>
              <w:rPr>
                <w:rFonts w:ascii="Arial" w:eastAsia="Times New Roman" w:hAnsi="Arial" w:cs="Arial"/>
                <w:sz w:val="18"/>
                <w:szCs w:val="18"/>
                <w:lang w:val="sk-SK" w:eastAsia="sk-SK"/>
              </w:rPr>
            </w:pPr>
          </w:p>
        </w:tc>
        <w:tc>
          <w:tcPr>
            <w:tcW w:w="107" w:type="pct"/>
            <w:tcBorders>
              <w:top w:val="nil"/>
              <w:left w:val="nil"/>
              <w:bottom w:val="nil"/>
              <w:right w:val="nil"/>
            </w:tcBorders>
            <w:shd w:val="clear" w:color="auto" w:fill="auto"/>
            <w:vAlign w:val="bottom"/>
            <w:hideMark/>
          </w:tcPr>
          <w:p w14:paraId="5533AC31" w14:textId="77777777" w:rsidR="00EF7066" w:rsidRPr="00226892" w:rsidRDefault="00EF7066" w:rsidP="00FD21B8">
            <w:pPr>
              <w:jc w:val="right"/>
              <w:rPr>
                <w:rFonts w:ascii="Arial" w:eastAsia="Times New Roman" w:hAnsi="Arial" w:cs="Arial"/>
                <w:sz w:val="18"/>
                <w:szCs w:val="18"/>
                <w:lang w:val="sk-SK" w:eastAsia="sk-SK"/>
              </w:rPr>
            </w:pPr>
          </w:p>
        </w:tc>
        <w:tc>
          <w:tcPr>
            <w:tcW w:w="1111" w:type="pct"/>
            <w:tcBorders>
              <w:top w:val="nil"/>
              <w:left w:val="nil"/>
              <w:bottom w:val="nil"/>
              <w:right w:val="nil"/>
            </w:tcBorders>
            <w:shd w:val="clear" w:color="auto" w:fill="auto"/>
            <w:vAlign w:val="bottom"/>
            <w:hideMark/>
          </w:tcPr>
          <w:p w14:paraId="3A61AB3E" w14:textId="77777777" w:rsidR="00EF7066" w:rsidRPr="00226892" w:rsidRDefault="00EF7066" w:rsidP="00FD21B8">
            <w:pPr>
              <w:jc w:val="right"/>
              <w:rPr>
                <w:rFonts w:ascii="Arial" w:eastAsia="Times New Roman" w:hAnsi="Arial" w:cs="Arial"/>
                <w:sz w:val="18"/>
                <w:szCs w:val="18"/>
                <w:lang w:val="sk-SK" w:eastAsia="sk-SK"/>
              </w:rPr>
            </w:pPr>
          </w:p>
        </w:tc>
        <w:tc>
          <w:tcPr>
            <w:tcW w:w="107" w:type="pct"/>
            <w:tcBorders>
              <w:top w:val="nil"/>
              <w:left w:val="nil"/>
              <w:bottom w:val="nil"/>
              <w:right w:val="nil"/>
            </w:tcBorders>
            <w:shd w:val="clear" w:color="auto" w:fill="auto"/>
            <w:vAlign w:val="bottom"/>
            <w:hideMark/>
          </w:tcPr>
          <w:p w14:paraId="2E5FB951" w14:textId="77777777" w:rsidR="00EF7066" w:rsidRPr="00226892" w:rsidRDefault="00EF7066" w:rsidP="00FD21B8">
            <w:pPr>
              <w:jc w:val="right"/>
              <w:rPr>
                <w:rFonts w:ascii="Arial" w:eastAsia="Times New Roman" w:hAnsi="Arial" w:cs="Arial"/>
                <w:sz w:val="18"/>
                <w:szCs w:val="18"/>
                <w:lang w:val="sk-SK" w:eastAsia="sk-SK"/>
              </w:rPr>
            </w:pPr>
          </w:p>
        </w:tc>
        <w:tc>
          <w:tcPr>
            <w:tcW w:w="477" w:type="pct"/>
            <w:tcBorders>
              <w:top w:val="nil"/>
              <w:left w:val="nil"/>
              <w:bottom w:val="nil"/>
              <w:right w:val="nil"/>
            </w:tcBorders>
            <w:shd w:val="clear" w:color="auto" w:fill="auto"/>
            <w:vAlign w:val="bottom"/>
            <w:hideMark/>
          </w:tcPr>
          <w:p w14:paraId="400E3852" w14:textId="77777777" w:rsidR="00EF7066" w:rsidRPr="00226892" w:rsidRDefault="00EF7066" w:rsidP="00FD21B8">
            <w:pPr>
              <w:jc w:val="right"/>
              <w:rPr>
                <w:rFonts w:ascii="Arial" w:eastAsia="Times New Roman" w:hAnsi="Arial" w:cs="Arial"/>
                <w:sz w:val="18"/>
                <w:szCs w:val="18"/>
                <w:lang w:val="sk-SK" w:eastAsia="sk-SK"/>
              </w:rPr>
            </w:pPr>
          </w:p>
        </w:tc>
      </w:tr>
      <w:tr w:rsidR="00EF7066" w:rsidRPr="00226892" w14:paraId="7F9885DC" w14:textId="77777777" w:rsidTr="00EF7066">
        <w:trPr>
          <w:trHeight w:val="224"/>
        </w:trPr>
        <w:tc>
          <w:tcPr>
            <w:tcW w:w="2547" w:type="pct"/>
            <w:tcBorders>
              <w:top w:val="nil"/>
              <w:left w:val="nil"/>
              <w:bottom w:val="nil"/>
              <w:right w:val="nil"/>
            </w:tcBorders>
            <w:shd w:val="clear" w:color="auto" w:fill="auto"/>
            <w:vAlign w:val="bottom"/>
            <w:hideMark/>
          </w:tcPr>
          <w:p w14:paraId="2BCDC6CB" w14:textId="50AA43A8" w:rsidR="00EF7066" w:rsidRPr="00226892" w:rsidRDefault="00EF7066" w:rsidP="00922B6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Pohľadávky z obchodného styku a ostatné pohľadávky (pred opravnou položkou) (Pozn.10)</w:t>
            </w:r>
          </w:p>
        </w:tc>
        <w:tc>
          <w:tcPr>
            <w:tcW w:w="650" w:type="pct"/>
            <w:tcBorders>
              <w:top w:val="nil"/>
              <w:left w:val="nil"/>
              <w:bottom w:val="nil"/>
              <w:right w:val="nil"/>
            </w:tcBorders>
            <w:shd w:val="clear" w:color="auto" w:fill="auto"/>
            <w:vAlign w:val="bottom"/>
          </w:tcPr>
          <w:p w14:paraId="6B6B461E" w14:textId="79BFA67C" w:rsidR="00EF7066" w:rsidRPr="00226892" w:rsidRDefault="00EF7066" w:rsidP="00922B6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19 16</w:t>
            </w:r>
            <w:r w:rsidR="00AE05FE" w:rsidRPr="00226892">
              <w:rPr>
                <w:rFonts w:ascii="Arial" w:eastAsia="Times New Roman" w:hAnsi="Arial" w:cs="Arial"/>
                <w:color w:val="000000"/>
                <w:sz w:val="18"/>
                <w:szCs w:val="18"/>
                <w:lang w:val="sk-SK" w:eastAsia="sk-SK"/>
              </w:rPr>
              <w:t>4</w:t>
            </w:r>
          </w:p>
        </w:tc>
        <w:tc>
          <w:tcPr>
            <w:tcW w:w="107" w:type="pct"/>
            <w:tcBorders>
              <w:top w:val="nil"/>
              <w:left w:val="nil"/>
              <w:bottom w:val="nil"/>
              <w:right w:val="nil"/>
            </w:tcBorders>
            <w:shd w:val="clear" w:color="auto" w:fill="auto"/>
            <w:vAlign w:val="bottom"/>
          </w:tcPr>
          <w:p w14:paraId="0D6DD2BB" w14:textId="77777777" w:rsidR="00EF7066" w:rsidRPr="00226892" w:rsidRDefault="00EF7066" w:rsidP="00922B65">
            <w:pPr>
              <w:jc w:val="right"/>
              <w:rPr>
                <w:rFonts w:ascii="Arial" w:eastAsia="Times New Roman" w:hAnsi="Arial" w:cs="Arial"/>
                <w:color w:val="000000"/>
                <w:sz w:val="18"/>
                <w:szCs w:val="18"/>
                <w:lang w:val="sk-SK" w:eastAsia="sk-SK"/>
              </w:rPr>
            </w:pPr>
          </w:p>
        </w:tc>
        <w:tc>
          <w:tcPr>
            <w:tcW w:w="1111" w:type="pct"/>
            <w:tcBorders>
              <w:top w:val="nil"/>
              <w:left w:val="nil"/>
              <w:bottom w:val="nil"/>
              <w:right w:val="nil"/>
            </w:tcBorders>
            <w:shd w:val="clear" w:color="auto" w:fill="auto"/>
            <w:vAlign w:val="bottom"/>
          </w:tcPr>
          <w:p w14:paraId="4939FDB7" w14:textId="0F9F1AEE" w:rsidR="00EF7066" w:rsidRPr="00226892" w:rsidRDefault="00EF7066" w:rsidP="00922B6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07" w:type="pct"/>
            <w:tcBorders>
              <w:top w:val="nil"/>
              <w:left w:val="nil"/>
              <w:bottom w:val="nil"/>
              <w:right w:val="nil"/>
            </w:tcBorders>
            <w:shd w:val="clear" w:color="auto" w:fill="auto"/>
            <w:vAlign w:val="bottom"/>
          </w:tcPr>
          <w:p w14:paraId="57DC853D" w14:textId="77777777" w:rsidR="00EF7066" w:rsidRPr="00226892" w:rsidRDefault="00EF7066" w:rsidP="00922B65">
            <w:pPr>
              <w:jc w:val="right"/>
              <w:rPr>
                <w:rFonts w:ascii="Arial" w:eastAsia="Times New Roman" w:hAnsi="Arial" w:cs="Arial"/>
                <w:color w:val="000000"/>
                <w:sz w:val="18"/>
                <w:szCs w:val="18"/>
                <w:lang w:val="sk-SK" w:eastAsia="sk-SK"/>
              </w:rPr>
            </w:pPr>
          </w:p>
        </w:tc>
        <w:tc>
          <w:tcPr>
            <w:tcW w:w="477" w:type="pct"/>
            <w:tcBorders>
              <w:top w:val="nil"/>
              <w:left w:val="nil"/>
              <w:bottom w:val="nil"/>
              <w:right w:val="nil"/>
            </w:tcBorders>
            <w:shd w:val="clear" w:color="auto" w:fill="auto"/>
            <w:vAlign w:val="bottom"/>
          </w:tcPr>
          <w:p w14:paraId="5CA6A1C2" w14:textId="6066DE7F" w:rsidR="00EF7066" w:rsidRPr="00226892" w:rsidRDefault="00EF7066" w:rsidP="00922B6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19 16</w:t>
            </w:r>
            <w:r w:rsidR="00AE05FE" w:rsidRPr="00226892">
              <w:rPr>
                <w:rFonts w:ascii="Arial" w:eastAsia="Times New Roman" w:hAnsi="Arial" w:cs="Arial"/>
                <w:b/>
                <w:bCs/>
                <w:color w:val="000000"/>
                <w:sz w:val="18"/>
                <w:szCs w:val="18"/>
                <w:lang w:val="sk-SK" w:eastAsia="sk-SK"/>
              </w:rPr>
              <w:t>4</w:t>
            </w:r>
          </w:p>
        </w:tc>
      </w:tr>
      <w:tr w:rsidR="00EF7066" w:rsidRPr="00226892" w14:paraId="26AACD5F" w14:textId="77777777" w:rsidTr="00EF7066">
        <w:trPr>
          <w:trHeight w:val="224"/>
        </w:trPr>
        <w:tc>
          <w:tcPr>
            <w:tcW w:w="2547" w:type="pct"/>
            <w:tcBorders>
              <w:top w:val="nil"/>
              <w:left w:val="nil"/>
              <w:bottom w:val="nil"/>
              <w:right w:val="nil"/>
            </w:tcBorders>
            <w:shd w:val="clear" w:color="auto" w:fill="auto"/>
            <w:vAlign w:val="bottom"/>
          </w:tcPr>
          <w:p w14:paraId="502C95F7" w14:textId="05F0796F" w:rsidR="00EF7066" w:rsidRPr="00226892" w:rsidRDefault="00EF7066" w:rsidP="00922B6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Iné pohľadávky</w:t>
            </w:r>
          </w:p>
        </w:tc>
        <w:tc>
          <w:tcPr>
            <w:tcW w:w="650" w:type="pct"/>
            <w:tcBorders>
              <w:top w:val="nil"/>
              <w:left w:val="nil"/>
              <w:bottom w:val="nil"/>
              <w:right w:val="nil"/>
            </w:tcBorders>
            <w:shd w:val="clear" w:color="auto" w:fill="auto"/>
            <w:vAlign w:val="bottom"/>
          </w:tcPr>
          <w:p w14:paraId="598205C3" w14:textId="381A724A" w:rsidR="00EF7066" w:rsidRPr="00226892" w:rsidRDefault="00EF7066" w:rsidP="00922B6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45</w:t>
            </w:r>
          </w:p>
        </w:tc>
        <w:tc>
          <w:tcPr>
            <w:tcW w:w="107" w:type="pct"/>
            <w:tcBorders>
              <w:top w:val="nil"/>
              <w:left w:val="nil"/>
              <w:bottom w:val="nil"/>
              <w:right w:val="nil"/>
            </w:tcBorders>
            <w:shd w:val="clear" w:color="auto" w:fill="auto"/>
            <w:vAlign w:val="bottom"/>
          </w:tcPr>
          <w:p w14:paraId="6C23EC4B" w14:textId="77777777" w:rsidR="00EF7066" w:rsidRPr="00226892" w:rsidRDefault="00EF7066" w:rsidP="00922B65">
            <w:pPr>
              <w:jc w:val="right"/>
              <w:rPr>
                <w:rFonts w:ascii="Arial" w:eastAsia="Times New Roman" w:hAnsi="Arial" w:cs="Arial"/>
                <w:color w:val="000000"/>
                <w:sz w:val="18"/>
                <w:szCs w:val="18"/>
                <w:lang w:val="sk-SK" w:eastAsia="sk-SK"/>
              </w:rPr>
            </w:pPr>
          </w:p>
        </w:tc>
        <w:tc>
          <w:tcPr>
            <w:tcW w:w="1111" w:type="pct"/>
            <w:tcBorders>
              <w:top w:val="nil"/>
              <w:left w:val="nil"/>
              <w:bottom w:val="nil"/>
              <w:right w:val="nil"/>
            </w:tcBorders>
            <w:shd w:val="clear" w:color="auto" w:fill="auto"/>
            <w:vAlign w:val="bottom"/>
          </w:tcPr>
          <w:p w14:paraId="392CED03" w14:textId="699F5B8B" w:rsidR="00EF7066" w:rsidRPr="00226892" w:rsidRDefault="00EF7066" w:rsidP="00922B65">
            <w:pPr>
              <w:jc w:val="right"/>
              <w:rPr>
                <w:rFonts w:ascii="Arial" w:eastAsia="Times New Roman" w:hAnsi="Arial" w:cs="Arial"/>
                <w:color w:val="000000"/>
                <w:sz w:val="18"/>
                <w:szCs w:val="18"/>
                <w:lang w:val="en-US" w:eastAsia="sk-SK"/>
              </w:rPr>
            </w:pPr>
            <w:r w:rsidRPr="00226892">
              <w:rPr>
                <w:rFonts w:ascii="Arial" w:eastAsia="Times New Roman" w:hAnsi="Arial" w:cs="Arial"/>
                <w:color w:val="000000"/>
                <w:sz w:val="18"/>
                <w:szCs w:val="18"/>
                <w:lang w:val="sk-SK" w:eastAsia="sk-SK"/>
              </w:rPr>
              <w:t>-</w:t>
            </w:r>
          </w:p>
        </w:tc>
        <w:tc>
          <w:tcPr>
            <w:tcW w:w="107" w:type="pct"/>
            <w:tcBorders>
              <w:top w:val="nil"/>
              <w:left w:val="nil"/>
              <w:bottom w:val="nil"/>
              <w:right w:val="nil"/>
            </w:tcBorders>
            <w:shd w:val="clear" w:color="auto" w:fill="auto"/>
            <w:vAlign w:val="bottom"/>
          </w:tcPr>
          <w:p w14:paraId="5F835B13" w14:textId="77777777" w:rsidR="00EF7066" w:rsidRPr="00226892" w:rsidRDefault="00EF7066" w:rsidP="00922B65">
            <w:pPr>
              <w:jc w:val="right"/>
              <w:rPr>
                <w:rFonts w:ascii="Arial" w:eastAsia="Times New Roman" w:hAnsi="Arial" w:cs="Arial"/>
                <w:color w:val="000000"/>
                <w:sz w:val="18"/>
                <w:szCs w:val="18"/>
                <w:lang w:val="sk-SK" w:eastAsia="sk-SK"/>
              </w:rPr>
            </w:pPr>
          </w:p>
        </w:tc>
        <w:tc>
          <w:tcPr>
            <w:tcW w:w="477" w:type="pct"/>
            <w:tcBorders>
              <w:top w:val="nil"/>
              <w:left w:val="nil"/>
              <w:bottom w:val="nil"/>
              <w:right w:val="nil"/>
            </w:tcBorders>
            <w:shd w:val="clear" w:color="auto" w:fill="auto"/>
            <w:vAlign w:val="bottom"/>
          </w:tcPr>
          <w:p w14:paraId="4D49E389" w14:textId="73FAE9EC" w:rsidR="00EF7066" w:rsidRPr="00226892" w:rsidRDefault="00EF7066" w:rsidP="00922B6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45</w:t>
            </w:r>
          </w:p>
        </w:tc>
      </w:tr>
      <w:tr w:rsidR="00EF7066" w:rsidRPr="00226892" w14:paraId="04DEA3C5" w14:textId="77777777" w:rsidTr="00EF7066">
        <w:trPr>
          <w:trHeight w:val="224"/>
        </w:trPr>
        <w:tc>
          <w:tcPr>
            <w:tcW w:w="2547" w:type="pct"/>
            <w:tcBorders>
              <w:top w:val="nil"/>
              <w:left w:val="nil"/>
              <w:bottom w:val="nil"/>
              <w:right w:val="nil"/>
            </w:tcBorders>
            <w:shd w:val="clear" w:color="auto" w:fill="auto"/>
            <w:vAlign w:val="bottom"/>
          </w:tcPr>
          <w:p w14:paraId="5DA72CD7" w14:textId="36D23A5C" w:rsidR="00EF7066" w:rsidRPr="00226892" w:rsidRDefault="00EF7066" w:rsidP="005020AA">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Príjmy budúcich období (Pozn. 11)</w:t>
            </w:r>
          </w:p>
        </w:tc>
        <w:tc>
          <w:tcPr>
            <w:tcW w:w="650" w:type="pct"/>
            <w:tcBorders>
              <w:top w:val="nil"/>
              <w:left w:val="nil"/>
              <w:bottom w:val="nil"/>
              <w:right w:val="nil"/>
            </w:tcBorders>
            <w:shd w:val="clear" w:color="auto" w:fill="auto"/>
            <w:vAlign w:val="bottom"/>
          </w:tcPr>
          <w:p w14:paraId="71700FAA" w14:textId="7BF84CC0" w:rsidR="00EF7066" w:rsidRPr="00226892" w:rsidRDefault="00EF7066" w:rsidP="005020AA">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8 267</w:t>
            </w:r>
          </w:p>
        </w:tc>
        <w:tc>
          <w:tcPr>
            <w:tcW w:w="107" w:type="pct"/>
            <w:tcBorders>
              <w:top w:val="nil"/>
              <w:left w:val="nil"/>
              <w:bottom w:val="nil"/>
              <w:right w:val="nil"/>
            </w:tcBorders>
            <w:shd w:val="clear" w:color="auto" w:fill="auto"/>
            <w:vAlign w:val="bottom"/>
          </w:tcPr>
          <w:p w14:paraId="7315EB9C" w14:textId="77777777" w:rsidR="00EF7066" w:rsidRPr="00226892" w:rsidRDefault="00EF7066" w:rsidP="005020AA">
            <w:pPr>
              <w:jc w:val="right"/>
              <w:rPr>
                <w:rFonts w:ascii="Arial" w:eastAsia="Times New Roman" w:hAnsi="Arial" w:cs="Arial"/>
                <w:color w:val="000000"/>
                <w:sz w:val="18"/>
                <w:szCs w:val="18"/>
                <w:lang w:val="sk-SK" w:eastAsia="sk-SK"/>
              </w:rPr>
            </w:pPr>
          </w:p>
        </w:tc>
        <w:tc>
          <w:tcPr>
            <w:tcW w:w="1111" w:type="pct"/>
            <w:tcBorders>
              <w:top w:val="nil"/>
              <w:left w:val="nil"/>
              <w:bottom w:val="nil"/>
              <w:right w:val="nil"/>
            </w:tcBorders>
            <w:shd w:val="clear" w:color="auto" w:fill="auto"/>
            <w:vAlign w:val="bottom"/>
          </w:tcPr>
          <w:p w14:paraId="2AFCAD72" w14:textId="5DD5B4D9" w:rsidR="00EF7066" w:rsidRPr="00226892" w:rsidRDefault="00EF7066" w:rsidP="005020AA">
            <w:pPr>
              <w:jc w:val="right"/>
              <w:rPr>
                <w:rFonts w:ascii="Arial" w:eastAsia="Times New Roman" w:hAnsi="Arial" w:cs="Arial"/>
                <w:color w:val="000000"/>
                <w:sz w:val="18"/>
                <w:szCs w:val="18"/>
                <w:lang w:val="en-US" w:eastAsia="sk-SK"/>
              </w:rPr>
            </w:pPr>
          </w:p>
        </w:tc>
        <w:tc>
          <w:tcPr>
            <w:tcW w:w="107" w:type="pct"/>
            <w:tcBorders>
              <w:top w:val="nil"/>
              <w:left w:val="nil"/>
              <w:bottom w:val="nil"/>
              <w:right w:val="nil"/>
            </w:tcBorders>
            <w:shd w:val="clear" w:color="auto" w:fill="auto"/>
            <w:vAlign w:val="bottom"/>
          </w:tcPr>
          <w:p w14:paraId="0B9552FD" w14:textId="77777777" w:rsidR="00EF7066" w:rsidRPr="00226892" w:rsidRDefault="00EF7066" w:rsidP="005020AA">
            <w:pPr>
              <w:jc w:val="right"/>
              <w:rPr>
                <w:rFonts w:ascii="Arial" w:eastAsia="Times New Roman" w:hAnsi="Arial" w:cs="Arial"/>
                <w:color w:val="000000"/>
                <w:sz w:val="18"/>
                <w:szCs w:val="18"/>
                <w:lang w:val="sk-SK" w:eastAsia="sk-SK"/>
              </w:rPr>
            </w:pPr>
          </w:p>
        </w:tc>
        <w:tc>
          <w:tcPr>
            <w:tcW w:w="477" w:type="pct"/>
            <w:tcBorders>
              <w:top w:val="nil"/>
              <w:left w:val="nil"/>
              <w:bottom w:val="nil"/>
              <w:right w:val="nil"/>
            </w:tcBorders>
            <w:shd w:val="clear" w:color="auto" w:fill="auto"/>
            <w:vAlign w:val="bottom"/>
          </w:tcPr>
          <w:p w14:paraId="7A9D7000" w14:textId="319C6240" w:rsidR="00EF7066" w:rsidRPr="00226892" w:rsidRDefault="00EF7066" w:rsidP="005020AA">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8 267</w:t>
            </w:r>
          </w:p>
        </w:tc>
      </w:tr>
      <w:tr w:rsidR="00EF7066" w:rsidRPr="00226892" w14:paraId="3113FF2A" w14:textId="77777777" w:rsidTr="00EF7066">
        <w:trPr>
          <w:trHeight w:val="224"/>
        </w:trPr>
        <w:tc>
          <w:tcPr>
            <w:tcW w:w="2547" w:type="pct"/>
            <w:tcBorders>
              <w:top w:val="nil"/>
              <w:left w:val="nil"/>
              <w:bottom w:val="nil"/>
              <w:right w:val="nil"/>
            </w:tcBorders>
            <w:shd w:val="clear" w:color="auto" w:fill="auto"/>
            <w:vAlign w:val="bottom"/>
          </w:tcPr>
          <w:p w14:paraId="33A8CE28" w14:textId="2A946DAE" w:rsidR="00EF7066" w:rsidRPr="00226892" w:rsidRDefault="00EF7066" w:rsidP="00922B6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Poskytnuté pôžičky (Pozn. 10, 31)</w:t>
            </w:r>
          </w:p>
        </w:tc>
        <w:tc>
          <w:tcPr>
            <w:tcW w:w="650" w:type="pct"/>
            <w:tcBorders>
              <w:top w:val="nil"/>
              <w:left w:val="nil"/>
              <w:bottom w:val="nil"/>
              <w:right w:val="nil"/>
            </w:tcBorders>
            <w:shd w:val="clear" w:color="auto" w:fill="auto"/>
            <w:vAlign w:val="bottom"/>
          </w:tcPr>
          <w:p w14:paraId="6DF99CAF" w14:textId="7BECFB71" w:rsidR="00EF7066" w:rsidRPr="00226892" w:rsidRDefault="00EF7066" w:rsidP="00922B6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370</w:t>
            </w:r>
          </w:p>
        </w:tc>
        <w:tc>
          <w:tcPr>
            <w:tcW w:w="107" w:type="pct"/>
            <w:tcBorders>
              <w:top w:val="nil"/>
              <w:left w:val="nil"/>
              <w:bottom w:val="nil"/>
              <w:right w:val="nil"/>
            </w:tcBorders>
            <w:shd w:val="clear" w:color="auto" w:fill="auto"/>
            <w:vAlign w:val="bottom"/>
          </w:tcPr>
          <w:p w14:paraId="1BFCE2B5" w14:textId="77777777" w:rsidR="00EF7066" w:rsidRPr="00226892" w:rsidRDefault="00EF7066" w:rsidP="00922B65">
            <w:pPr>
              <w:jc w:val="right"/>
              <w:rPr>
                <w:rFonts w:ascii="Arial" w:eastAsia="Times New Roman" w:hAnsi="Arial" w:cs="Arial"/>
                <w:color w:val="000000"/>
                <w:sz w:val="18"/>
                <w:szCs w:val="18"/>
                <w:lang w:val="sk-SK" w:eastAsia="sk-SK"/>
              </w:rPr>
            </w:pPr>
          </w:p>
        </w:tc>
        <w:tc>
          <w:tcPr>
            <w:tcW w:w="1111" w:type="pct"/>
            <w:tcBorders>
              <w:top w:val="nil"/>
              <w:left w:val="nil"/>
              <w:bottom w:val="nil"/>
              <w:right w:val="nil"/>
            </w:tcBorders>
            <w:shd w:val="clear" w:color="auto" w:fill="auto"/>
            <w:vAlign w:val="bottom"/>
          </w:tcPr>
          <w:p w14:paraId="4F91FA6B" w14:textId="4D770FDE" w:rsidR="00EF7066" w:rsidRPr="00226892" w:rsidRDefault="00EF7066" w:rsidP="00922B65">
            <w:pPr>
              <w:jc w:val="right"/>
              <w:rPr>
                <w:rFonts w:ascii="Arial" w:eastAsia="Times New Roman" w:hAnsi="Arial" w:cs="Arial"/>
                <w:color w:val="000000"/>
                <w:sz w:val="18"/>
                <w:szCs w:val="18"/>
                <w:lang w:val="en-US" w:eastAsia="sk-SK"/>
              </w:rPr>
            </w:pPr>
            <w:r w:rsidRPr="00226892">
              <w:rPr>
                <w:rFonts w:ascii="Arial" w:eastAsia="Times New Roman" w:hAnsi="Arial" w:cs="Arial"/>
                <w:color w:val="000000"/>
                <w:sz w:val="18"/>
                <w:szCs w:val="18"/>
                <w:lang w:val="sk-SK" w:eastAsia="sk-SK"/>
              </w:rPr>
              <w:t>-</w:t>
            </w:r>
          </w:p>
        </w:tc>
        <w:tc>
          <w:tcPr>
            <w:tcW w:w="107" w:type="pct"/>
            <w:tcBorders>
              <w:top w:val="nil"/>
              <w:left w:val="nil"/>
              <w:bottom w:val="nil"/>
              <w:right w:val="nil"/>
            </w:tcBorders>
            <w:shd w:val="clear" w:color="auto" w:fill="auto"/>
            <w:vAlign w:val="bottom"/>
          </w:tcPr>
          <w:p w14:paraId="75751970" w14:textId="77777777" w:rsidR="00EF7066" w:rsidRPr="00226892" w:rsidRDefault="00EF7066" w:rsidP="00922B65">
            <w:pPr>
              <w:jc w:val="right"/>
              <w:rPr>
                <w:rFonts w:ascii="Arial" w:eastAsia="Times New Roman" w:hAnsi="Arial" w:cs="Arial"/>
                <w:color w:val="000000"/>
                <w:sz w:val="18"/>
                <w:szCs w:val="18"/>
                <w:lang w:val="sk-SK" w:eastAsia="sk-SK"/>
              </w:rPr>
            </w:pPr>
          </w:p>
        </w:tc>
        <w:tc>
          <w:tcPr>
            <w:tcW w:w="477" w:type="pct"/>
            <w:tcBorders>
              <w:top w:val="nil"/>
              <w:left w:val="nil"/>
              <w:bottom w:val="nil"/>
              <w:right w:val="nil"/>
            </w:tcBorders>
            <w:shd w:val="clear" w:color="auto" w:fill="auto"/>
            <w:vAlign w:val="bottom"/>
          </w:tcPr>
          <w:p w14:paraId="285DC9D0" w14:textId="3C63BFC6" w:rsidR="00EF7066" w:rsidRPr="00226892" w:rsidRDefault="00EF7066" w:rsidP="00922B6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370</w:t>
            </w:r>
          </w:p>
        </w:tc>
      </w:tr>
      <w:tr w:rsidR="00EF7066" w:rsidRPr="00226892" w14:paraId="7056418B" w14:textId="77777777" w:rsidTr="00EF7066">
        <w:trPr>
          <w:trHeight w:val="224"/>
        </w:trPr>
        <w:tc>
          <w:tcPr>
            <w:tcW w:w="2547" w:type="pct"/>
            <w:tcBorders>
              <w:top w:val="nil"/>
              <w:left w:val="nil"/>
              <w:bottom w:val="nil"/>
              <w:right w:val="nil"/>
            </w:tcBorders>
            <w:shd w:val="clear" w:color="auto" w:fill="auto"/>
            <w:noWrap/>
            <w:vAlign w:val="bottom"/>
            <w:hideMark/>
          </w:tcPr>
          <w:p w14:paraId="195448D4" w14:textId="105E8C35" w:rsidR="00EF7066" w:rsidRPr="00226892" w:rsidRDefault="00EF7066" w:rsidP="00922B6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Peňažné prostriedky a peňažné ekvivalenty (Pozn. 13)</w:t>
            </w:r>
          </w:p>
        </w:tc>
        <w:tc>
          <w:tcPr>
            <w:tcW w:w="650" w:type="pct"/>
            <w:tcBorders>
              <w:top w:val="nil"/>
              <w:left w:val="nil"/>
              <w:bottom w:val="nil"/>
              <w:right w:val="nil"/>
            </w:tcBorders>
            <w:shd w:val="clear" w:color="auto" w:fill="auto"/>
            <w:vAlign w:val="bottom"/>
          </w:tcPr>
          <w:p w14:paraId="68C7CF4E" w14:textId="59C0DDFA" w:rsidR="00EF7066" w:rsidRPr="00226892" w:rsidRDefault="00EF7066" w:rsidP="00922B6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3 002</w:t>
            </w:r>
          </w:p>
        </w:tc>
        <w:tc>
          <w:tcPr>
            <w:tcW w:w="107" w:type="pct"/>
            <w:tcBorders>
              <w:top w:val="nil"/>
              <w:left w:val="nil"/>
              <w:bottom w:val="nil"/>
              <w:right w:val="nil"/>
            </w:tcBorders>
            <w:shd w:val="clear" w:color="auto" w:fill="auto"/>
            <w:vAlign w:val="bottom"/>
          </w:tcPr>
          <w:p w14:paraId="5468D24E" w14:textId="77777777" w:rsidR="00EF7066" w:rsidRPr="00226892" w:rsidRDefault="00EF7066" w:rsidP="00922B65">
            <w:pPr>
              <w:jc w:val="right"/>
              <w:rPr>
                <w:rFonts w:ascii="Arial" w:eastAsia="Times New Roman" w:hAnsi="Arial" w:cs="Arial"/>
                <w:color w:val="000000"/>
                <w:sz w:val="18"/>
                <w:szCs w:val="18"/>
                <w:lang w:val="sk-SK" w:eastAsia="sk-SK"/>
              </w:rPr>
            </w:pPr>
          </w:p>
        </w:tc>
        <w:tc>
          <w:tcPr>
            <w:tcW w:w="1111" w:type="pct"/>
            <w:tcBorders>
              <w:top w:val="nil"/>
              <w:left w:val="nil"/>
              <w:bottom w:val="nil"/>
              <w:right w:val="nil"/>
            </w:tcBorders>
            <w:shd w:val="clear" w:color="auto" w:fill="auto"/>
            <w:vAlign w:val="bottom"/>
          </w:tcPr>
          <w:p w14:paraId="5458D48C" w14:textId="5710B1DC" w:rsidR="00EF7066" w:rsidRPr="00226892" w:rsidRDefault="00EF7066" w:rsidP="00922B6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07" w:type="pct"/>
            <w:tcBorders>
              <w:top w:val="nil"/>
              <w:left w:val="nil"/>
              <w:bottom w:val="nil"/>
              <w:right w:val="nil"/>
            </w:tcBorders>
            <w:shd w:val="clear" w:color="auto" w:fill="auto"/>
            <w:vAlign w:val="bottom"/>
          </w:tcPr>
          <w:p w14:paraId="6F4119A4" w14:textId="77777777" w:rsidR="00EF7066" w:rsidRPr="00226892" w:rsidRDefault="00EF7066" w:rsidP="00922B65">
            <w:pPr>
              <w:jc w:val="right"/>
              <w:rPr>
                <w:rFonts w:ascii="Arial" w:eastAsia="Times New Roman" w:hAnsi="Arial" w:cs="Arial"/>
                <w:color w:val="000000"/>
                <w:sz w:val="18"/>
                <w:szCs w:val="18"/>
                <w:lang w:val="sk-SK" w:eastAsia="sk-SK"/>
              </w:rPr>
            </w:pPr>
          </w:p>
        </w:tc>
        <w:tc>
          <w:tcPr>
            <w:tcW w:w="477" w:type="pct"/>
            <w:tcBorders>
              <w:top w:val="nil"/>
              <w:left w:val="nil"/>
              <w:bottom w:val="nil"/>
              <w:right w:val="nil"/>
            </w:tcBorders>
            <w:shd w:val="clear" w:color="auto" w:fill="auto"/>
            <w:vAlign w:val="bottom"/>
          </w:tcPr>
          <w:p w14:paraId="088EFB95" w14:textId="083D9241" w:rsidR="00EF7066" w:rsidRPr="00226892" w:rsidRDefault="00EF7066" w:rsidP="00922B6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3 002</w:t>
            </w:r>
          </w:p>
        </w:tc>
      </w:tr>
      <w:tr w:rsidR="00EF7066" w:rsidRPr="00226892" w14:paraId="43F38464" w14:textId="77777777" w:rsidTr="00EF7066">
        <w:trPr>
          <w:trHeight w:val="224"/>
        </w:trPr>
        <w:tc>
          <w:tcPr>
            <w:tcW w:w="2547" w:type="pct"/>
            <w:tcBorders>
              <w:top w:val="nil"/>
              <w:left w:val="nil"/>
              <w:bottom w:val="nil"/>
              <w:right w:val="nil"/>
            </w:tcBorders>
            <w:shd w:val="clear" w:color="auto" w:fill="auto"/>
            <w:noWrap/>
            <w:vAlign w:val="bottom"/>
            <w:hideMark/>
          </w:tcPr>
          <w:p w14:paraId="381D571A" w14:textId="77777777" w:rsidR="00EF7066" w:rsidRPr="00226892" w:rsidRDefault="00EF7066" w:rsidP="00922B65">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Spolu</w:t>
            </w:r>
          </w:p>
        </w:tc>
        <w:tc>
          <w:tcPr>
            <w:tcW w:w="650" w:type="pct"/>
            <w:tcBorders>
              <w:top w:val="single" w:sz="4" w:space="0" w:color="auto"/>
              <w:left w:val="nil"/>
              <w:bottom w:val="double" w:sz="6" w:space="0" w:color="auto"/>
              <w:right w:val="nil"/>
            </w:tcBorders>
            <w:shd w:val="clear" w:color="auto" w:fill="auto"/>
            <w:vAlign w:val="bottom"/>
          </w:tcPr>
          <w:p w14:paraId="09CC223C" w14:textId="1115CD69" w:rsidR="00EF7066" w:rsidRPr="00226892" w:rsidRDefault="00EF7066" w:rsidP="00922B6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30 84</w:t>
            </w:r>
            <w:r w:rsidR="00AE05FE" w:rsidRPr="00226892">
              <w:rPr>
                <w:rFonts w:ascii="Arial" w:eastAsia="Times New Roman" w:hAnsi="Arial" w:cs="Arial"/>
                <w:b/>
                <w:bCs/>
                <w:color w:val="000000"/>
                <w:sz w:val="18"/>
                <w:szCs w:val="18"/>
                <w:lang w:val="sk-SK" w:eastAsia="sk-SK"/>
              </w:rPr>
              <w:t>8</w:t>
            </w:r>
          </w:p>
        </w:tc>
        <w:tc>
          <w:tcPr>
            <w:tcW w:w="107" w:type="pct"/>
            <w:tcBorders>
              <w:top w:val="nil"/>
              <w:left w:val="nil"/>
              <w:bottom w:val="nil"/>
              <w:right w:val="nil"/>
            </w:tcBorders>
            <w:shd w:val="clear" w:color="auto" w:fill="auto"/>
            <w:vAlign w:val="bottom"/>
          </w:tcPr>
          <w:p w14:paraId="774A141C" w14:textId="77777777" w:rsidR="00EF7066" w:rsidRPr="00226892" w:rsidRDefault="00EF7066" w:rsidP="00922B65">
            <w:pPr>
              <w:jc w:val="right"/>
              <w:rPr>
                <w:rFonts w:ascii="Arial" w:eastAsia="Times New Roman" w:hAnsi="Arial" w:cs="Arial"/>
                <w:b/>
                <w:bCs/>
                <w:color w:val="000000"/>
                <w:sz w:val="18"/>
                <w:szCs w:val="18"/>
                <w:lang w:val="sk-SK" w:eastAsia="sk-SK"/>
              </w:rPr>
            </w:pPr>
          </w:p>
        </w:tc>
        <w:tc>
          <w:tcPr>
            <w:tcW w:w="1111" w:type="pct"/>
            <w:tcBorders>
              <w:top w:val="single" w:sz="4" w:space="0" w:color="auto"/>
              <w:left w:val="nil"/>
              <w:bottom w:val="double" w:sz="6" w:space="0" w:color="auto"/>
              <w:right w:val="nil"/>
            </w:tcBorders>
            <w:shd w:val="clear" w:color="auto" w:fill="auto"/>
            <w:vAlign w:val="bottom"/>
          </w:tcPr>
          <w:p w14:paraId="6FF27ED7" w14:textId="21447CDC" w:rsidR="00EF7066" w:rsidRPr="00226892" w:rsidRDefault="00EF7066" w:rsidP="00922B6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w:t>
            </w:r>
          </w:p>
        </w:tc>
        <w:tc>
          <w:tcPr>
            <w:tcW w:w="107" w:type="pct"/>
            <w:tcBorders>
              <w:top w:val="nil"/>
              <w:left w:val="nil"/>
              <w:bottom w:val="nil"/>
              <w:right w:val="nil"/>
            </w:tcBorders>
            <w:shd w:val="clear" w:color="auto" w:fill="auto"/>
            <w:vAlign w:val="bottom"/>
          </w:tcPr>
          <w:p w14:paraId="7836D241" w14:textId="77777777" w:rsidR="00EF7066" w:rsidRPr="00226892" w:rsidRDefault="00EF7066" w:rsidP="00922B65">
            <w:pPr>
              <w:jc w:val="right"/>
              <w:rPr>
                <w:rFonts w:ascii="Arial" w:eastAsia="Times New Roman" w:hAnsi="Arial" w:cs="Arial"/>
                <w:b/>
                <w:bCs/>
                <w:color w:val="000000"/>
                <w:sz w:val="18"/>
                <w:szCs w:val="18"/>
                <w:lang w:val="sk-SK" w:eastAsia="sk-SK"/>
              </w:rPr>
            </w:pPr>
          </w:p>
        </w:tc>
        <w:tc>
          <w:tcPr>
            <w:tcW w:w="477" w:type="pct"/>
            <w:tcBorders>
              <w:top w:val="single" w:sz="4" w:space="0" w:color="auto"/>
              <w:left w:val="nil"/>
              <w:bottom w:val="double" w:sz="6" w:space="0" w:color="auto"/>
              <w:right w:val="nil"/>
            </w:tcBorders>
            <w:shd w:val="clear" w:color="auto" w:fill="auto"/>
            <w:vAlign w:val="bottom"/>
          </w:tcPr>
          <w:p w14:paraId="755B2050" w14:textId="31281B78" w:rsidR="00EF7066" w:rsidRPr="00226892" w:rsidRDefault="00EF7066" w:rsidP="00922B6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30 84</w:t>
            </w:r>
            <w:r w:rsidR="00AE05FE" w:rsidRPr="00226892">
              <w:rPr>
                <w:rFonts w:ascii="Arial" w:eastAsia="Times New Roman" w:hAnsi="Arial" w:cs="Arial"/>
                <w:b/>
                <w:bCs/>
                <w:color w:val="000000"/>
                <w:sz w:val="18"/>
                <w:szCs w:val="18"/>
                <w:lang w:val="sk-SK" w:eastAsia="sk-SK"/>
              </w:rPr>
              <w:t>8</w:t>
            </w:r>
          </w:p>
        </w:tc>
      </w:tr>
    </w:tbl>
    <w:p w14:paraId="682193D8" w14:textId="1483B4DB" w:rsidR="00EF611A" w:rsidRPr="00226892" w:rsidRDefault="008E76A0" w:rsidP="008E76A0">
      <w:pPr>
        <w:rPr>
          <w:rFonts w:ascii="Arial" w:hAnsi="Arial" w:cs="Arial"/>
        </w:rPr>
      </w:pPr>
      <w:r w:rsidRPr="00226892">
        <w:rPr>
          <w:rFonts w:ascii="Arial" w:hAnsi="Arial" w:cs="Arial"/>
          <w:sz w:val="18"/>
          <w:szCs w:val="18"/>
        </w:rPr>
        <w:t xml:space="preserve"> </w:t>
      </w:r>
      <w:bookmarkEnd w:id="411"/>
      <w:r w:rsidRPr="00226892">
        <w:rPr>
          <w:rFonts w:ascii="Arial" w:hAnsi="Arial" w:cs="Arial"/>
          <w:sz w:val="18"/>
          <w:szCs w:val="18"/>
        </w:rPr>
        <w:t xml:space="preserve"> </w:t>
      </w:r>
    </w:p>
    <w:p w14:paraId="1BBDFEC4" w14:textId="77777777" w:rsidR="00293308" w:rsidRPr="00226892" w:rsidRDefault="00293308" w:rsidP="008E76A0">
      <w:pPr>
        <w:rPr>
          <w:rFonts w:ascii="Arial" w:hAnsi="Arial" w:cs="Arial"/>
        </w:rPr>
      </w:pPr>
    </w:p>
    <w:tbl>
      <w:tblPr>
        <w:tblW w:w="5000" w:type="pct"/>
        <w:tblCellMar>
          <w:left w:w="70" w:type="dxa"/>
          <w:right w:w="70" w:type="dxa"/>
        </w:tblCellMar>
        <w:tblLook w:val="04A0" w:firstRow="1" w:lastRow="0" w:firstColumn="1" w:lastColumn="0" w:noHBand="0" w:noVBand="1"/>
      </w:tblPr>
      <w:tblGrid>
        <w:gridCol w:w="4963"/>
        <w:gridCol w:w="3543"/>
        <w:gridCol w:w="283"/>
        <w:gridCol w:w="850"/>
      </w:tblGrid>
      <w:tr w:rsidR="00293308" w:rsidRPr="00226892" w14:paraId="234F3FA5" w14:textId="77777777" w:rsidTr="00EF7066">
        <w:trPr>
          <w:trHeight w:val="227"/>
        </w:trPr>
        <w:tc>
          <w:tcPr>
            <w:tcW w:w="2574" w:type="pct"/>
            <w:tcBorders>
              <w:top w:val="nil"/>
              <w:left w:val="nil"/>
              <w:bottom w:val="single" w:sz="4" w:space="0" w:color="auto"/>
              <w:right w:val="nil"/>
            </w:tcBorders>
            <w:shd w:val="clear" w:color="auto" w:fill="auto"/>
            <w:noWrap/>
            <w:vAlign w:val="bottom"/>
            <w:hideMark/>
          </w:tcPr>
          <w:p w14:paraId="692BF62D" w14:textId="5118F07B" w:rsidR="00293308" w:rsidRPr="00226892" w:rsidRDefault="00293308" w:rsidP="00452DB3">
            <w:pPr>
              <w:jc w:val="center"/>
              <w:rPr>
                <w:rFonts w:ascii="Arial" w:eastAsia="Times New Roman" w:hAnsi="Arial" w:cs="Arial"/>
                <w:b/>
                <w:bCs/>
                <w:color w:val="000000"/>
                <w:sz w:val="18"/>
                <w:szCs w:val="18"/>
                <w:lang w:val="sk-SK" w:eastAsia="sk-SK"/>
              </w:rPr>
            </w:pPr>
            <w:bookmarkStart w:id="413" w:name="RANGE!C28:G33"/>
            <w:bookmarkStart w:id="414" w:name="_Toc325985803"/>
            <w:bookmarkStart w:id="415" w:name="_Toc387812505"/>
            <w:r w:rsidRPr="00226892">
              <w:rPr>
                <w:rFonts w:ascii="Arial" w:eastAsia="Times New Roman" w:hAnsi="Arial" w:cs="Arial"/>
                <w:b/>
                <w:bCs/>
                <w:color w:val="000000"/>
                <w:sz w:val="18"/>
                <w:szCs w:val="18"/>
                <w:lang w:val="sk-SK" w:eastAsia="sk-SK"/>
              </w:rPr>
              <w:t>K 31-12-</w:t>
            </w:r>
            <w:bookmarkEnd w:id="413"/>
            <w:r w:rsidR="00F63A77" w:rsidRPr="00226892">
              <w:rPr>
                <w:rFonts w:ascii="Arial" w:eastAsia="Times New Roman" w:hAnsi="Arial" w:cs="Arial"/>
                <w:b/>
                <w:bCs/>
                <w:color w:val="000000"/>
                <w:sz w:val="18"/>
                <w:szCs w:val="18"/>
                <w:lang w:val="sk-SK" w:eastAsia="sk-SK"/>
              </w:rPr>
              <w:t>2017</w:t>
            </w:r>
          </w:p>
        </w:tc>
        <w:tc>
          <w:tcPr>
            <w:tcW w:w="1838" w:type="pct"/>
            <w:tcBorders>
              <w:top w:val="nil"/>
              <w:left w:val="nil"/>
              <w:bottom w:val="single" w:sz="4" w:space="0" w:color="auto"/>
              <w:right w:val="nil"/>
            </w:tcBorders>
            <w:shd w:val="clear" w:color="auto" w:fill="auto"/>
            <w:vAlign w:val="bottom"/>
            <w:hideMark/>
          </w:tcPr>
          <w:p w14:paraId="6F6258E3" w14:textId="2381D403" w:rsidR="00293308" w:rsidRPr="00226892" w:rsidRDefault="00293308" w:rsidP="00452DB3">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Ostatné finančné záväzky - v </w:t>
            </w:r>
            <w:r w:rsidR="000937FE" w:rsidRPr="00226892">
              <w:rPr>
                <w:rFonts w:ascii="Arial" w:eastAsia="Times New Roman" w:hAnsi="Arial" w:cs="Arial"/>
                <w:b/>
                <w:bCs/>
                <w:color w:val="000000"/>
                <w:sz w:val="18"/>
                <w:szCs w:val="18"/>
                <w:lang w:val="sk-SK" w:eastAsia="sk-SK"/>
              </w:rPr>
              <w:t xml:space="preserve">umorovanej </w:t>
            </w:r>
            <w:r w:rsidRPr="00226892">
              <w:rPr>
                <w:rFonts w:ascii="Arial" w:eastAsia="Times New Roman" w:hAnsi="Arial" w:cs="Arial"/>
                <w:b/>
                <w:bCs/>
                <w:color w:val="000000"/>
                <w:sz w:val="18"/>
                <w:szCs w:val="18"/>
                <w:lang w:val="sk-SK" w:eastAsia="sk-SK"/>
              </w:rPr>
              <w:t>hodnote</w:t>
            </w:r>
          </w:p>
        </w:tc>
        <w:tc>
          <w:tcPr>
            <w:tcW w:w="147" w:type="pct"/>
            <w:tcBorders>
              <w:top w:val="nil"/>
              <w:left w:val="nil"/>
              <w:bottom w:val="single" w:sz="4" w:space="0" w:color="auto"/>
              <w:right w:val="nil"/>
            </w:tcBorders>
            <w:shd w:val="clear" w:color="auto" w:fill="auto"/>
            <w:vAlign w:val="bottom"/>
            <w:hideMark/>
          </w:tcPr>
          <w:p w14:paraId="2AF8EC8F" w14:textId="46AF434B" w:rsidR="00293308" w:rsidRPr="00226892" w:rsidRDefault="00293308" w:rsidP="00452DB3">
            <w:pPr>
              <w:jc w:val="center"/>
              <w:rPr>
                <w:rFonts w:ascii="Arial" w:eastAsia="Times New Roman" w:hAnsi="Arial" w:cs="Arial"/>
                <w:b/>
                <w:bCs/>
                <w:color w:val="000000"/>
                <w:sz w:val="18"/>
                <w:szCs w:val="18"/>
                <w:lang w:val="sk-SK" w:eastAsia="sk-SK"/>
              </w:rPr>
            </w:pPr>
          </w:p>
        </w:tc>
        <w:tc>
          <w:tcPr>
            <w:tcW w:w="441" w:type="pct"/>
            <w:tcBorders>
              <w:top w:val="nil"/>
              <w:left w:val="nil"/>
              <w:bottom w:val="single" w:sz="4" w:space="0" w:color="auto"/>
              <w:right w:val="nil"/>
            </w:tcBorders>
            <w:shd w:val="clear" w:color="auto" w:fill="auto"/>
            <w:vAlign w:val="bottom"/>
            <w:hideMark/>
          </w:tcPr>
          <w:p w14:paraId="2A97F99A" w14:textId="65BD85A3" w:rsidR="00293308" w:rsidRPr="00226892" w:rsidRDefault="00293308" w:rsidP="00452DB3">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Spolu</w:t>
            </w:r>
          </w:p>
        </w:tc>
      </w:tr>
      <w:tr w:rsidR="00293308" w:rsidRPr="00226892" w14:paraId="203FF570" w14:textId="77777777" w:rsidTr="00EF7066">
        <w:trPr>
          <w:trHeight w:val="227"/>
        </w:trPr>
        <w:tc>
          <w:tcPr>
            <w:tcW w:w="2574" w:type="pct"/>
            <w:tcBorders>
              <w:top w:val="nil"/>
              <w:left w:val="nil"/>
              <w:bottom w:val="nil"/>
              <w:right w:val="nil"/>
            </w:tcBorders>
            <w:shd w:val="clear" w:color="auto" w:fill="auto"/>
            <w:vAlign w:val="bottom"/>
            <w:hideMark/>
          </w:tcPr>
          <w:p w14:paraId="32496759" w14:textId="77777777" w:rsidR="00293308" w:rsidRPr="00226892" w:rsidRDefault="00293308" w:rsidP="008E76A0">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Záväzky podľa súvahy</w:t>
            </w:r>
          </w:p>
        </w:tc>
        <w:tc>
          <w:tcPr>
            <w:tcW w:w="1838" w:type="pct"/>
            <w:tcBorders>
              <w:top w:val="nil"/>
              <w:left w:val="nil"/>
              <w:bottom w:val="nil"/>
              <w:right w:val="nil"/>
            </w:tcBorders>
            <w:shd w:val="clear" w:color="auto" w:fill="auto"/>
            <w:vAlign w:val="bottom"/>
            <w:hideMark/>
          </w:tcPr>
          <w:p w14:paraId="58C3426D" w14:textId="77777777" w:rsidR="00293308" w:rsidRPr="00226892" w:rsidRDefault="00293308" w:rsidP="008E76A0">
            <w:pPr>
              <w:rPr>
                <w:rFonts w:ascii="Arial" w:eastAsia="Times New Roman" w:hAnsi="Arial" w:cs="Arial"/>
                <w:sz w:val="18"/>
                <w:szCs w:val="18"/>
                <w:lang w:val="sk-SK" w:eastAsia="sk-SK"/>
              </w:rPr>
            </w:pPr>
          </w:p>
        </w:tc>
        <w:tc>
          <w:tcPr>
            <w:tcW w:w="147" w:type="pct"/>
            <w:tcBorders>
              <w:top w:val="nil"/>
              <w:left w:val="nil"/>
              <w:bottom w:val="nil"/>
              <w:right w:val="nil"/>
            </w:tcBorders>
            <w:shd w:val="clear" w:color="auto" w:fill="auto"/>
            <w:vAlign w:val="bottom"/>
            <w:hideMark/>
          </w:tcPr>
          <w:p w14:paraId="55D843BC" w14:textId="77777777" w:rsidR="00293308" w:rsidRPr="00226892" w:rsidRDefault="00293308" w:rsidP="008E76A0">
            <w:pPr>
              <w:rPr>
                <w:rFonts w:ascii="Arial" w:eastAsia="Times New Roman" w:hAnsi="Arial" w:cs="Arial"/>
                <w:sz w:val="18"/>
                <w:szCs w:val="18"/>
                <w:lang w:val="sk-SK" w:eastAsia="sk-SK"/>
              </w:rPr>
            </w:pPr>
          </w:p>
        </w:tc>
        <w:tc>
          <w:tcPr>
            <w:tcW w:w="441" w:type="pct"/>
            <w:tcBorders>
              <w:top w:val="nil"/>
              <w:left w:val="nil"/>
              <w:bottom w:val="nil"/>
              <w:right w:val="nil"/>
            </w:tcBorders>
            <w:shd w:val="clear" w:color="auto" w:fill="auto"/>
            <w:vAlign w:val="bottom"/>
            <w:hideMark/>
          </w:tcPr>
          <w:p w14:paraId="64AB71F7" w14:textId="77777777" w:rsidR="00293308" w:rsidRPr="00226892" w:rsidRDefault="00293308" w:rsidP="008E76A0">
            <w:pPr>
              <w:rPr>
                <w:rFonts w:ascii="Arial" w:eastAsia="Times New Roman" w:hAnsi="Arial" w:cs="Arial"/>
                <w:sz w:val="18"/>
                <w:szCs w:val="18"/>
                <w:lang w:val="sk-SK" w:eastAsia="sk-SK"/>
              </w:rPr>
            </w:pPr>
          </w:p>
        </w:tc>
      </w:tr>
      <w:tr w:rsidR="00922B65" w:rsidRPr="00226892" w14:paraId="2D4266E7" w14:textId="77777777" w:rsidTr="00EF7066">
        <w:trPr>
          <w:trHeight w:val="227"/>
        </w:trPr>
        <w:tc>
          <w:tcPr>
            <w:tcW w:w="2574" w:type="pct"/>
            <w:tcBorders>
              <w:top w:val="nil"/>
              <w:left w:val="nil"/>
              <w:bottom w:val="nil"/>
              <w:right w:val="nil"/>
            </w:tcBorders>
            <w:shd w:val="clear" w:color="auto" w:fill="auto"/>
            <w:noWrap/>
            <w:vAlign w:val="bottom"/>
            <w:hideMark/>
          </w:tcPr>
          <w:p w14:paraId="50B781F5" w14:textId="1DA0F738" w:rsidR="00922B65" w:rsidRPr="00226892" w:rsidRDefault="00922B65" w:rsidP="00922B6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Záväzky z obchodného styku a ostatné záväzky (Pozn. 1</w:t>
            </w:r>
            <w:r w:rsidR="00522218" w:rsidRPr="00226892">
              <w:rPr>
                <w:rFonts w:ascii="Arial" w:eastAsia="Times New Roman" w:hAnsi="Arial" w:cs="Arial"/>
                <w:color w:val="000000"/>
                <w:sz w:val="18"/>
                <w:szCs w:val="18"/>
                <w:lang w:val="sk-SK" w:eastAsia="sk-SK"/>
              </w:rPr>
              <w:t>8</w:t>
            </w:r>
            <w:r w:rsidRPr="00226892">
              <w:rPr>
                <w:rFonts w:ascii="Arial" w:eastAsia="Times New Roman" w:hAnsi="Arial" w:cs="Arial"/>
                <w:color w:val="000000"/>
                <w:sz w:val="18"/>
                <w:szCs w:val="18"/>
                <w:lang w:val="sk-SK" w:eastAsia="sk-SK"/>
              </w:rPr>
              <w:t>)</w:t>
            </w:r>
          </w:p>
        </w:tc>
        <w:tc>
          <w:tcPr>
            <w:tcW w:w="1838" w:type="pct"/>
            <w:tcBorders>
              <w:top w:val="nil"/>
              <w:left w:val="nil"/>
              <w:bottom w:val="nil"/>
              <w:right w:val="nil"/>
            </w:tcBorders>
            <w:shd w:val="clear" w:color="auto" w:fill="auto"/>
            <w:vAlign w:val="bottom"/>
          </w:tcPr>
          <w:p w14:paraId="733E4DDA" w14:textId="44CE91A0" w:rsidR="00922B65" w:rsidRPr="00226892" w:rsidRDefault="00922B65" w:rsidP="00922B6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29 317</w:t>
            </w:r>
          </w:p>
        </w:tc>
        <w:tc>
          <w:tcPr>
            <w:tcW w:w="147" w:type="pct"/>
            <w:tcBorders>
              <w:top w:val="nil"/>
              <w:left w:val="nil"/>
              <w:bottom w:val="nil"/>
              <w:right w:val="nil"/>
            </w:tcBorders>
            <w:shd w:val="clear" w:color="auto" w:fill="auto"/>
            <w:vAlign w:val="bottom"/>
          </w:tcPr>
          <w:p w14:paraId="383D8A66" w14:textId="77777777" w:rsidR="00922B65" w:rsidRPr="00226892" w:rsidRDefault="00922B65" w:rsidP="00922B65">
            <w:pPr>
              <w:jc w:val="right"/>
              <w:rPr>
                <w:rFonts w:ascii="Arial" w:eastAsia="Times New Roman" w:hAnsi="Arial" w:cs="Arial"/>
                <w:color w:val="000000"/>
                <w:sz w:val="18"/>
                <w:szCs w:val="18"/>
                <w:lang w:val="sk-SK" w:eastAsia="sk-SK"/>
              </w:rPr>
            </w:pPr>
          </w:p>
        </w:tc>
        <w:tc>
          <w:tcPr>
            <w:tcW w:w="441" w:type="pct"/>
            <w:tcBorders>
              <w:top w:val="nil"/>
              <w:left w:val="nil"/>
              <w:bottom w:val="nil"/>
              <w:right w:val="nil"/>
            </w:tcBorders>
            <w:shd w:val="clear" w:color="auto" w:fill="auto"/>
            <w:vAlign w:val="bottom"/>
          </w:tcPr>
          <w:p w14:paraId="2BF33B9B" w14:textId="43B57307" w:rsidR="00922B65" w:rsidRPr="00226892" w:rsidRDefault="00922B65" w:rsidP="00922B6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29 317</w:t>
            </w:r>
          </w:p>
        </w:tc>
      </w:tr>
      <w:tr w:rsidR="00922B65" w:rsidRPr="00226892" w14:paraId="4B0FBCBA" w14:textId="77777777" w:rsidTr="00EF7066">
        <w:trPr>
          <w:trHeight w:val="227"/>
        </w:trPr>
        <w:tc>
          <w:tcPr>
            <w:tcW w:w="2574" w:type="pct"/>
            <w:tcBorders>
              <w:top w:val="nil"/>
              <w:left w:val="nil"/>
              <w:bottom w:val="nil"/>
              <w:right w:val="nil"/>
            </w:tcBorders>
            <w:shd w:val="clear" w:color="auto" w:fill="auto"/>
            <w:noWrap/>
            <w:vAlign w:val="bottom"/>
            <w:hideMark/>
          </w:tcPr>
          <w:p w14:paraId="67726B3B" w14:textId="79D0C7DC" w:rsidR="00922B65" w:rsidRPr="00226892" w:rsidRDefault="00922B65" w:rsidP="00922B6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Úvery a pôžičky – okrem finančného lízingu (Pozn. 1</w:t>
            </w:r>
            <w:r w:rsidR="00522218" w:rsidRPr="00226892">
              <w:rPr>
                <w:rFonts w:ascii="Arial" w:eastAsia="Times New Roman" w:hAnsi="Arial" w:cs="Arial"/>
                <w:color w:val="000000"/>
                <w:sz w:val="18"/>
                <w:szCs w:val="18"/>
                <w:lang w:val="sk-SK" w:eastAsia="sk-SK"/>
              </w:rPr>
              <w:t>5</w:t>
            </w:r>
            <w:r w:rsidRPr="00226892">
              <w:rPr>
                <w:rFonts w:ascii="Arial" w:eastAsia="Times New Roman" w:hAnsi="Arial" w:cs="Arial"/>
                <w:color w:val="000000"/>
                <w:sz w:val="18"/>
                <w:szCs w:val="18"/>
                <w:lang w:val="sk-SK" w:eastAsia="sk-SK"/>
              </w:rPr>
              <w:t>)</w:t>
            </w:r>
          </w:p>
        </w:tc>
        <w:tc>
          <w:tcPr>
            <w:tcW w:w="1838" w:type="pct"/>
            <w:tcBorders>
              <w:top w:val="nil"/>
              <w:left w:val="nil"/>
              <w:bottom w:val="nil"/>
              <w:right w:val="nil"/>
            </w:tcBorders>
            <w:shd w:val="clear" w:color="auto" w:fill="auto"/>
            <w:vAlign w:val="bottom"/>
          </w:tcPr>
          <w:p w14:paraId="33DF5EE7" w14:textId="230AAD76" w:rsidR="00922B65" w:rsidRPr="00226892" w:rsidRDefault="00922B65" w:rsidP="00922B6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57 734</w:t>
            </w:r>
          </w:p>
        </w:tc>
        <w:tc>
          <w:tcPr>
            <w:tcW w:w="147" w:type="pct"/>
            <w:tcBorders>
              <w:top w:val="nil"/>
              <w:left w:val="nil"/>
              <w:bottom w:val="nil"/>
              <w:right w:val="nil"/>
            </w:tcBorders>
            <w:shd w:val="clear" w:color="auto" w:fill="auto"/>
            <w:vAlign w:val="bottom"/>
          </w:tcPr>
          <w:p w14:paraId="1B48809D" w14:textId="77777777" w:rsidR="00922B65" w:rsidRPr="00226892" w:rsidRDefault="00922B65" w:rsidP="00922B65">
            <w:pPr>
              <w:jc w:val="right"/>
              <w:rPr>
                <w:rFonts w:ascii="Arial" w:eastAsia="Times New Roman" w:hAnsi="Arial" w:cs="Arial"/>
                <w:color w:val="000000"/>
                <w:sz w:val="18"/>
                <w:szCs w:val="18"/>
                <w:lang w:val="sk-SK" w:eastAsia="sk-SK"/>
              </w:rPr>
            </w:pPr>
          </w:p>
        </w:tc>
        <w:tc>
          <w:tcPr>
            <w:tcW w:w="441" w:type="pct"/>
            <w:tcBorders>
              <w:top w:val="nil"/>
              <w:left w:val="nil"/>
              <w:bottom w:val="nil"/>
              <w:right w:val="nil"/>
            </w:tcBorders>
            <w:shd w:val="clear" w:color="auto" w:fill="auto"/>
            <w:vAlign w:val="bottom"/>
          </w:tcPr>
          <w:p w14:paraId="477ABF75" w14:textId="6BAD3A24" w:rsidR="00922B65" w:rsidRPr="00226892" w:rsidRDefault="00922B65" w:rsidP="00922B6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57 734</w:t>
            </w:r>
          </w:p>
        </w:tc>
      </w:tr>
      <w:tr w:rsidR="00922B65" w:rsidRPr="00226892" w14:paraId="2D1A7C14" w14:textId="77777777" w:rsidTr="00EF7066">
        <w:trPr>
          <w:trHeight w:val="227"/>
        </w:trPr>
        <w:tc>
          <w:tcPr>
            <w:tcW w:w="2574" w:type="pct"/>
            <w:tcBorders>
              <w:top w:val="nil"/>
              <w:left w:val="nil"/>
              <w:bottom w:val="nil"/>
              <w:right w:val="nil"/>
            </w:tcBorders>
            <w:shd w:val="clear" w:color="auto" w:fill="auto"/>
            <w:noWrap/>
            <w:vAlign w:val="bottom"/>
            <w:hideMark/>
          </w:tcPr>
          <w:p w14:paraId="35C80184" w14:textId="0ABA3F00" w:rsidR="00922B65" w:rsidRPr="00226892" w:rsidRDefault="00922B65" w:rsidP="00922B6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Finančný lízing (Pozn. 1</w:t>
            </w:r>
            <w:r w:rsidR="00522218" w:rsidRPr="00226892">
              <w:rPr>
                <w:rFonts w:ascii="Arial" w:eastAsia="Times New Roman" w:hAnsi="Arial" w:cs="Arial"/>
                <w:color w:val="000000"/>
                <w:sz w:val="18"/>
                <w:szCs w:val="18"/>
                <w:lang w:val="sk-SK" w:eastAsia="sk-SK"/>
              </w:rPr>
              <w:t>5</w:t>
            </w:r>
            <w:r w:rsidRPr="00226892">
              <w:rPr>
                <w:rFonts w:ascii="Arial" w:eastAsia="Times New Roman" w:hAnsi="Arial" w:cs="Arial"/>
                <w:color w:val="000000"/>
                <w:sz w:val="18"/>
                <w:szCs w:val="18"/>
                <w:lang w:val="sk-SK" w:eastAsia="sk-SK"/>
              </w:rPr>
              <w:t>)</w:t>
            </w:r>
          </w:p>
        </w:tc>
        <w:tc>
          <w:tcPr>
            <w:tcW w:w="1838" w:type="pct"/>
            <w:tcBorders>
              <w:top w:val="nil"/>
              <w:left w:val="nil"/>
              <w:bottom w:val="nil"/>
              <w:right w:val="nil"/>
            </w:tcBorders>
            <w:shd w:val="clear" w:color="auto" w:fill="auto"/>
            <w:vAlign w:val="bottom"/>
          </w:tcPr>
          <w:p w14:paraId="6BE8CF00" w14:textId="6F9C72B5" w:rsidR="00922B65" w:rsidRPr="00226892" w:rsidRDefault="00922B65" w:rsidP="00922B6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849</w:t>
            </w:r>
          </w:p>
        </w:tc>
        <w:tc>
          <w:tcPr>
            <w:tcW w:w="147" w:type="pct"/>
            <w:tcBorders>
              <w:top w:val="nil"/>
              <w:left w:val="nil"/>
              <w:bottom w:val="nil"/>
              <w:right w:val="nil"/>
            </w:tcBorders>
            <w:shd w:val="clear" w:color="auto" w:fill="auto"/>
            <w:vAlign w:val="bottom"/>
          </w:tcPr>
          <w:p w14:paraId="5D5A141B" w14:textId="77777777" w:rsidR="00922B65" w:rsidRPr="00226892" w:rsidRDefault="00922B65" w:rsidP="00922B65">
            <w:pPr>
              <w:jc w:val="right"/>
              <w:rPr>
                <w:rFonts w:ascii="Arial" w:eastAsia="Times New Roman" w:hAnsi="Arial" w:cs="Arial"/>
                <w:color w:val="000000"/>
                <w:sz w:val="18"/>
                <w:szCs w:val="18"/>
                <w:lang w:val="sk-SK" w:eastAsia="sk-SK"/>
              </w:rPr>
            </w:pPr>
          </w:p>
        </w:tc>
        <w:tc>
          <w:tcPr>
            <w:tcW w:w="441" w:type="pct"/>
            <w:tcBorders>
              <w:top w:val="nil"/>
              <w:left w:val="nil"/>
              <w:bottom w:val="nil"/>
              <w:right w:val="nil"/>
            </w:tcBorders>
            <w:shd w:val="clear" w:color="auto" w:fill="auto"/>
            <w:vAlign w:val="bottom"/>
          </w:tcPr>
          <w:p w14:paraId="63C2393B" w14:textId="5FE97EDD" w:rsidR="00922B65" w:rsidRPr="00226892" w:rsidRDefault="00922B65" w:rsidP="00922B6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849</w:t>
            </w:r>
          </w:p>
        </w:tc>
      </w:tr>
      <w:tr w:rsidR="00922B65" w:rsidRPr="00226892" w14:paraId="59745207" w14:textId="77777777" w:rsidTr="00EF7066">
        <w:trPr>
          <w:trHeight w:val="227"/>
        </w:trPr>
        <w:tc>
          <w:tcPr>
            <w:tcW w:w="2574" w:type="pct"/>
            <w:tcBorders>
              <w:top w:val="nil"/>
              <w:left w:val="nil"/>
              <w:bottom w:val="nil"/>
              <w:right w:val="nil"/>
            </w:tcBorders>
            <w:shd w:val="clear" w:color="auto" w:fill="auto"/>
            <w:noWrap/>
            <w:vAlign w:val="bottom"/>
            <w:hideMark/>
          </w:tcPr>
          <w:p w14:paraId="6C16D777" w14:textId="77777777" w:rsidR="00922B65" w:rsidRPr="00226892" w:rsidRDefault="00922B65" w:rsidP="00922B65">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Spolu</w:t>
            </w:r>
          </w:p>
        </w:tc>
        <w:tc>
          <w:tcPr>
            <w:tcW w:w="1838" w:type="pct"/>
            <w:tcBorders>
              <w:top w:val="single" w:sz="4" w:space="0" w:color="auto"/>
              <w:left w:val="nil"/>
              <w:bottom w:val="double" w:sz="6" w:space="0" w:color="auto"/>
              <w:right w:val="nil"/>
            </w:tcBorders>
            <w:shd w:val="clear" w:color="auto" w:fill="auto"/>
            <w:vAlign w:val="bottom"/>
          </w:tcPr>
          <w:p w14:paraId="2B0915F9" w14:textId="1BB4E0E5" w:rsidR="00922B65" w:rsidRPr="00226892" w:rsidRDefault="00922B65" w:rsidP="00922B6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87 900</w:t>
            </w:r>
          </w:p>
        </w:tc>
        <w:tc>
          <w:tcPr>
            <w:tcW w:w="147" w:type="pct"/>
            <w:tcBorders>
              <w:top w:val="nil"/>
              <w:left w:val="nil"/>
              <w:bottom w:val="nil"/>
              <w:right w:val="nil"/>
            </w:tcBorders>
            <w:shd w:val="clear" w:color="auto" w:fill="auto"/>
            <w:vAlign w:val="bottom"/>
          </w:tcPr>
          <w:p w14:paraId="169CC83A" w14:textId="77777777" w:rsidR="00922B65" w:rsidRPr="00226892" w:rsidRDefault="00922B65" w:rsidP="00922B65">
            <w:pPr>
              <w:jc w:val="right"/>
              <w:rPr>
                <w:rFonts w:ascii="Arial" w:eastAsia="Times New Roman" w:hAnsi="Arial" w:cs="Arial"/>
                <w:b/>
                <w:bCs/>
                <w:color w:val="000000"/>
                <w:sz w:val="18"/>
                <w:szCs w:val="18"/>
                <w:lang w:val="sk-SK" w:eastAsia="sk-SK"/>
              </w:rPr>
            </w:pPr>
          </w:p>
        </w:tc>
        <w:tc>
          <w:tcPr>
            <w:tcW w:w="441" w:type="pct"/>
            <w:tcBorders>
              <w:top w:val="single" w:sz="4" w:space="0" w:color="auto"/>
              <w:left w:val="nil"/>
              <w:bottom w:val="double" w:sz="6" w:space="0" w:color="auto"/>
              <w:right w:val="nil"/>
            </w:tcBorders>
            <w:shd w:val="clear" w:color="auto" w:fill="auto"/>
            <w:vAlign w:val="bottom"/>
          </w:tcPr>
          <w:p w14:paraId="17BA1996" w14:textId="0524674B" w:rsidR="00922B65" w:rsidRPr="00226892" w:rsidRDefault="00922B65" w:rsidP="00922B6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87 900</w:t>
            </w:r>
          </w:p>
        </w:tc>
      </w:tr>
    </w:tbl>
    <w:p w14:paraId="0D9DE745" w14:textId="2B607CDA" w:rsidR="00293308" w:rsidRPr="00226892" w:rsidRDefault="00293308" w:rsidP="008E76A0">
      <w:pPr>
        <w:rPr>
          <w:rFonts w:ascii="Arial" w:hAnsi="Arial" w:cs="Arial"/>
        </w:rPr>
      </w:pPr>
    </w:p>
    <w:p w14:paraId="2FA28D5D" w14:textId="34EEDDC6" w:rsidR="00293308" w:rsidRPr="00226892" w:rsidRDefault="00293308">
      <w:pPr>
        <w:rPr>
          <w:rFonts w:ascii="Arial" w:hAnsi="Arial" w:cs="Arial"/>
        </w:rPr>
      </w:pPr>
    </w:p>
    <w:p w14:paraId="283B12E5" w14:textId="32FA53A5" w:rsidR="00C437F0" w:rsidRPr="00226892" w:rsidRDefault="00C437F0" w:rsidP="003578C0">
      <w:pPr>
        <w:pStyle w:val="Nadpis3"/>
        <w:keepNext w:val="0"/>
        <w:widowControl/>
        <w:numPr>
          <w:ilvl w:val="0"/>
          <w:numId w:val="34"/>
        </w:numPr>
        <w:tabs>
          <w:tab w:val="clear" w:pos="1069"/>
          <w:tab w:val="num" w:pos="392"/>
        </w:tabs>
        <w:suppressAutoHyphens/>
        <w:spacing w:after="120"/>
        <w:ind w:left="1077" w:hanging="1077"/>
        <w:rPr>
          <w:rFonts w:ascii="Arial" w:hAnsi="Arial" w:cs="Arial"/>
          <w:szCs w:val="18"/>
        </w:rPr>
      </w:pPr>
      <w:bookmarkStart w:id="416" w:name="_Toc516654840"/>
      <w:bookmarkStart w:id="417" w:name="_Toc516654841"/>
      <w:bookmarkStart w:id="418" w:name="_Toc27410000"/>
      <w:bookmarkEnd w:id="416"/>
      <w:bookmarkEnd w:id="417"/>
      <w:proofErr w:type="spellStart"/>
      <w:r w:rsidRPr="00226892">
        <w:rPr>
          <w:rFonts w:ascii="Arial" w:hAnsi="Arial" w:cs="Arial"/>
          <w:sz w:val="20"/>
        </w:rPr>
        <w:t>Pohľadávky</w:t>
      </w:r>
      <w:proofErr w:type="spellEnd"/>
      <w:r w:rsidRPr="00226892">
        <w:rPr>
          <w:rFonts w:ascii="Arial" w:hAnsi="Arial" w:cs="Arial"/>
          <w:sz w:val="20"/>
        </w:rPr>
        <w:t xml:space="preserve"> z </w:t>
      </w:r>
      <w:proofErr w:type="spellStart"/>
      <w:r w:rsidRPr="00226892">
        <w:rPr>
          <w:rFonts w:ascii="Arial" w:hAnsi="Arial" w:cs="Arial"/>
          <w:sz w:val="20"/>
        </w:rPr>
        <w:t>obchodného</w:t>
      </w:r>
      <w:proofErr w:type="spellEnd"/>
      <w:r w:rsidRPr="00226892">
        <w:rPr>
          <w:rFonts w:ascii="Arial" w:hAnsi="Arial" w:cs="Arial"/>
          <w:sz w:val="20"/>
        </w:rPr>
        <w:t xml:space="preserve"> </w:t>
      </w:r>
      <w:proofErr w:type="spellStart"/>
      <w:r w:rsidRPr="00226892">
        <w:rPr>
          <w:rFonts w:ascii="Arial" w:hAnsi="Arial" w:cs="Arial"/>
          <w:sz w:val="20"/>
        </w:rPr>
        <w:t>styku</w:t>
      </w:r>
      <w:proofErr w:type="spellEnd"/>
      <w:r w:rsidRPr="00226892">
        <w:rPr>
          <w:rFonts w:ascii="Arial" w:hAnsi="Arial" w:cs="Arial"/>
          <w:sz w:val="20"/>
        </w:rPr>
        <w:t xml:space="preserve"> </w:t>
      </w:r>
      <w:proofErr w:type="gramStart"/>
      <w:r w:rsidRPr="00226892">
        <w:rPr>
          <w:rFonts w:ascii="Arial" w:hAnsi="Arial" w:cs="Arial"/>
          <w:sz w:val="20"/>
        </w:rPr>
        <w:t>a</w:t>
      </w:r>
      <w:proofErr w:type="gramEnd"/>
      <w:r w:rsidRPr="00226892">
        <w:rPr>
          <w:rFonts w:ascii="Arial" w:hAnsi="Arial" w:cs="Arial"/>
          <w:sz w:val="20"/>
        </w:rPr>
        <w:t> </w:t>
      </w:r>
      <w:proofErr w:type="spellStart"/>
      <w:r w:rsidR="00963F83" w:rsidRPr="00226892">
        <w:rPr>
          <w:rFonts w:ascii="Arial" w:hAnsi="Arial" w:cs="Arial"/>
          <w:sz w:val="20"/>
        </w:rPr>
        <w:t>ostatn</w:t>
      </w:r>
      <w:r w:rsidRPr="00226892">
        <w:rPr>
          <w:rFonts w:ascii="Arial" w:hAnsi="Arial" w:cs="Arial"/>
          <w:sz w:val="20"/>
        </w:rPr>
        <w:t>é</w:t>
      </w:r>
      <w:proofErr w:type="spellEnd"/>
      <w:r w:rsidRPr="00226892">
        <w:rPr>
          <w:rFonts w:ascii="Arial" w:hAnsi="Arial" w:cs="Arial"/>
          <w:sz w:val="20"/>
        </w:rPr>
        <w:t xml:space="preserve"> </w:t>
      </w:r>
      <w:proofErr w:type="spellStart"/>
      <w:r w:rsidRPr="00226892">
        <w:rPr>
          <w:rFonts w:ascii="Arial" w:hAnsi="Arial" w:cs="Arial"/>
          <w:sz w:val="20"/>
        </w:rPr>
        <w:t>pohľadávky</w:t>
      </w:r>
      <w:bookmarkEnd w:id="414"/>
      <w:bookmarkEnd w:id="415"/>
      <w:bookmarkEnd w:id="418"/>
      <w:proofErr w:type="spellEnd"/>
    </w:p>
    <w:tbl>
      <w:tblPr>
        <w:tblW w:w="5000" w:type="pct"/>
        <w:tblCellMar>
          <w:left w:w="70" w:type="dxa"/>
          <w:right w:w="70" w:type="dxa"/>
        </w:tblCellMar>
        <w:tblLook w:val="04A0" w:firstRow="1" w:lastRow="0" w:firstColumn="1" w:lastColumn="0" w:noHBand="0" w:noVBand="1"/>
      </w:tblPr>
      <w:tblGrid>
        <w:gridCol w:w="5342"/>
        <w:gridCol w:w="202"/>
        <w:gridCol w:w="1961"/>
        <w:gridCol w:w="187"/>
        <w:gridCol w:w="1947"/>
      </w:tblGrid>
      <w:tr w:rsidR="00A8347A" w:rsidRPr="00226892" w14:paraId="72DE2EA7" w14:textId="77777777" w:rsidTr="00452DB3">
        <w:trPr>
          <w:trHeight w:val="227"/>
        </w:trPr>
        <w:tc>
          <w:tcPr>
            <w:tcW w:w="2771" w:type="pct"/>
            <w:tcBorders>
              <w:top w:val="nil"/>
              <w:left w:val="nil"/>
              <w:bottom w:val="single" w:sz="4" w:space="0" w:color="auto"/>
              <w:right w:val="nil"/>
            </w:tcBorders>
            <w:shd w:val="clear" w:color="auto" w:fill="auto"/>
            <w:vAlign w:val="bottom"/>
          </w:tcPr>
          <w:p w14:paraId="3EA9E180" w14:textId="0C475152" w:rsidR="00A8347A" w:rsidRPr="00226892" w:rsidRDefault="0002034F" w:rsidP="000520F7">
            <w:pPr>
              <w:rPr>
                <w:rFonts w:ascii="Arial" w:eastAsia="Times New Roman" w:hAnsi="Arial" w:cs="Arial"/>
                <w:color w:val="000000"/>
                <w:sz w:val="18"/>
                <w:szCs w:val="18"/>
                <w:lang w:val="sk-SK" w:eastAsia="sk-SK"/>
              </w:rPr>
            </w:pPr>
            <w:bookmarkStart w:id="419" w:name="FWT_TradeAndOthReceivables"/>
            <w:r w:rsidRPr="00226892">
              <w:rPr>
                <w:rFonts w:ascii="Arial" w:hAnsi="Arial" w:cs="Arial"/>
              </w:rPr>
              <w:t xml:space="preserve"> </w:t>
            </w:r>
          </w:p>
        </w:tc>
        <w:tc>
          <w:tcPr>
            <w:tcW w:w="105" w:type="pct"/>
            <w:tcBorders>
              <w:top w:val="nil"/>
              <w:left w:val="nil"/>
              <w:bottom w:val="single" w:sz="4" w:space="0" w:color="auto"/>
              <w:right w:val="nil"/>
            </w:tcBorders>
            <w:shd w:val="clear" w:color="auto" w:fill="auto"/>
            <w:vAlign w:val="bottom"/>
          </w:tcPr>
          <w:p w14:paraId="163CC318" w14:textId="77777777" w:rsidR="00A8347A" w:rsidRPr="00226892" w:rsidRDefault="00A8347A" w:rsidP="000520F7">
            <w:pPr>
              <w:rPr>
                <w:rFonts w:ascii="Arial" w:eastAsia="Times New Roman" w:hAnsi="Arial" w:cs="Arial"/>
                <w:color w:val="000000"/>
                <w:sz w:val="18"/>
                <w:szCs w:val="18"/>
                <w:lang w:val="sk-SK" w:eastAsia="sk-SK"/>
              </w:rPr>
            </w:pPr>
          </w:p>
        </w:tc>
        <w:tc>
          <w:tcPr>
            <w:tcW w:w="1017" w:type="pct"/>
            <w:tcBorders>
              <w:top w:val="nil"/>
              <w:left w:val="nil"/>
              <w:bottom w:val="single" w:sz="4" w:space="0" w:color="auto"/>
              <w:right w:val="nil"/>
            </w:tcBorders>
            <w:shd w:val="clear" w:color="auto" w:fill="auto"/>
            <w:vAlign w:val="bottom"/>
          </w:tcPr>
          <w:p w14:paraId="34153028" w14:textId="609B6144" w:rsidR="00A8347A" w:rsidRPr="00226892" w:rsidRDefault="00A8347A" w:rsidP="00452DB3">
            <w:pPr>
              <w:jc w:val="center"/>
              <w:rPr>
                <w:rFonts w:ascii="Arial" w:hAnsi="Arial" w:cs="Arial"/>
                <w:color w:val="000000"/>
                <w:sz w:val="18"/>
                <w:szCs w:val="18"/>
              </w:rPr>
            </w:pPr>
            <w:r w:rsidRPr="00226892">
              <w:rPr>
                <w:rFonts w:ascii="Arial" w:eastAsia="Times New Roman" w:hAnsi="Arial" w:cs="Arial"/>
                <w:b/>
                <w:bCs/>
                <w:color w:val="000000"/>
                <w:sz w:val="18"/>
                <w:szCs w:val="18"/>
                <w:lang w:val="sk-SK" w:eastAsia="sk-SK"/>
              </w:rPr>
              <w:t xml:space="preserve">31. december </w:t>
            </w:r>
            <w:r w:rsidR="00FD3AC5" w:rsidRPr="00226892">
              <w:rPr>
                <w:rFonts w:ascii="Arial" w:eastAsia="Times New Roman" w:hAnsi="Arial" w:cs="Arial"/>
                <w:b/>
                <w:bCs/>
                <w:color w:val="000000"/>
                <w:sz w:val="18"/>
                <w:szCs w:val="18"/>
                <w:lang w:val="sk-SK" w:eastAsia="sk-SK"/>
              </w:rPr>
              <w:t>2018</w:t>
            </w:r>
          </w:p>
        </w:tc>
        <w:tc>
          <w:tcPr>
            <w:tcW w:w="97" w:type="pct"/>
            <w:tcBorders>
              <w:top w:val="nil"/>
              <w:left w:val="nil"/>
              <w:bottom w:val="single" w:sz="4" w:space="0" w:color="auto"/>
              <w:right w:val="nil"/>
            </w:tcBorders>
            <w:shd w:val="clear" w:color="auto" w:fill="auto"/>
            <w:vAlign w:val="bottom"/>
          </w:tcPr>
          <w:p w14:paraId="2BE55077" w14:textId="77777777" w:rsidR="00A8347A" w:rsidRPr="00226892" w:rsidRDefault="00A8347A" w:rsidP="00452DB3">
            <w:pPr>
              <w:jc w:val="center"/>
              <w:rPr>
                <w:rFonts w:ascii="Arial" w:eastAsia="Times New Roman" w:hAnsi="Arial" w:cs="Arial"/>
                <w:color w:val="000000"/>
                <w:sz w:val="18"/>
                <w:szCs w:val="18"/>
                <w:lang w:val="sk-SK" w:eastAsia="sk-SK"/>
              </w:rPr>
            </w:pPr>
          </w:p>
        </w:tc>
        <w:tc>
          <w:tcPr>
            <w:tcW w:w="1010" w:type="pct"/>
            <w:tcBorders>
              <w:top w:val="nil"/>
              <w:left w:val="nil"/>
              <w:bottom w:val="single" w:sz="4" w:space="0" w:color="auto"/>
              <w:right w:val="nil"/>
            </w:tcBorders>
            <w:shd w:val="clear" w:color="auto" w:fill="auto"/>
            <w:vAlign w:val="bottom"/>
          </w:tcPr>
          <w:p w14:paraId="174CA838" w14:textId="4EE8C209" w:rsidR="00A8347A" w:rsidRPr="00226892" w:rsidRDefault="00A8347A" w:rsidP="00452DB3">
            <w:pPr>
              <w:jc w:val="center"/>
              <w:rPr>
                <w:rFonts w:ascii="Arial" w:eastAsia="Times New Roman" w:hAnsi="Arial" w:cs="Arial"/>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63A77" w:rsidRPr="00226892">
              <w:rPr>
                <w:rFonts w:ascii="Arial" w:eastAsia="Times New Roman" w:hAnsi="Arial" w:cs="Arial"/>
                <w:b/>
                <w:bCs/>
                <w:color w:val="000000"/>
                <w:sz w:val="18"/>
                <w:szCs w:val="18"/>
                <w:lang w:val="sk-SK" w:eastAsia="sk-SK"/>
              </w:rPr>
              <w:t>2017</w:t>
            </w:r>
          </w:p>
        </w:tc>
      </w:tr>
      <w:tr w:rsidR="00922B65" w:rsidRPr="00226892" w14:paraId="00131915" w14:textId="77777777" w:rsidTr="000405EF">
        <w:trPr>
          <w:trHeight w:val="227"/>
        </w:trPr>
        <w:tc>
          <w:tcPr>
            <w:tcW w:w="2771" w:type="pct"/>
            <w:tcBorders>
              <w:top w:val="single" w:sz="4" w:space="0" w:color="auto"/>
              <w:left w:val="nil"/>
              <w:bottom w:val="nil"/>
              <w:right w:val="nil"/>
            </w:tcBorders>
            <w:shd w:val="clear" w:color="auto" w:fill="auto"/>
            <w:vAlign w:val="bottom"/>
            <w:hideMark/>
          </w:tcPr>
          <w:p w14:paraId="497D50EB" w14:textId="77777777" w:rsidR="00922B65" w:rsidRPr="00226892" w:rsidRDefault="00922B65" w:rsidP="00922B6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Pohľadávky z obchodného styku, ktoré nie sú ani po splatnosti ani znehodnotené</w:t>
            </w:r>
          </w:p>
        </w:tc>
        <w:tc>
          <w:tcPr>
            <w:tcW w:w="105" w:type="pct"/>
            <w:tcBorders>
              <w:top w:val="single" w:sz="4" w:space="0" w:color="auto"/>
              <w:left w:val="nil"/>
              <w:bottom w:val="nil"/>
              <w:right w:val="nil"/>
            </w:tcBorders>
            <w:shd w:val="clear" w:color="auto" w:fill="auto"/>
            <w:vAlign w:val="bottom"/>
            <w:hideMark/>
          </w:tcPr>
          <w:p w14:paraId="67961751" w14:textId="77777777" w:rsidR="00922B65" w:rsidRPr="00226892" w:rsidRDefault="00922B65" w:rsidP="00922B65">
            <w:pPr>
              <w:rPr>
                <w:rFonts w:ascii="Arial" w:eastAsia="Times New Roman" w:hAnsi="Arial" w:cs="Arial"/>
                <w:color w:val="000000"/>
                <w:sz w:val="18"/>
                <w:szCs w:val="18"/>
                <w:lang w:val="sk-SK" w:eastAsia="sk-SK"/>
              </w:rPr>
            </w:pPr>
          </w:p>
        </w:tc>
        <w:tc>
          <w:tcPr>
            <w:tcW w:w="1017" w:type="pct"/>
            <w:tcBorders>
              <w:top w:val="single" w:sz="4" w:space="0" w:color="auto"/>
              <w:left w:val="nil"/>
              <w:bottom w:val="nil"/>
              <w:right w:val="nil"/>
            </w:tcBorders>
            <w:shd w:val="clear" w:color="auto" w:fill="auto"/>
            <w:vAlign w:val="bottom"/>
          </w:tcPr>
          <w:p w14:paraId="0409775D" w14:textId="53C8DBE4" w:rsidR="00922B65" w:rsidRPr="00226892" w:rsidRDefault="00922B65" w:rsidP="00922B6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20 8</w:t>
            </w:r>
            <w:r w:rsidR="00460273" w:rsidRPr="00226892">
              <w:rPr>
                <w:rFonts w:ascii="Arial" w:eastAsia="Times New Roman" w:hAnsi="Arial" w:cs="Arial"/>
                <w:color w:val="000000"/>
                <w:sz w:val="18"/>
                <w:szCs w:val="18"/>
                <w:lang w:val="sk-SK" w:eastAsia="sk-SK"/>
              </w:rPr>
              <w:t>20</w:t>
            </w:r>
          </w:p>
        </w:tc>
        <w:tc>
          <w:tcPr>
            <w:tcW w:w="97" w:type="pct"/>
            <w:tcBorders>
              <w:top w:val="single" w:sz="4" w:space="0" w:color="auto"/>
              <w:left w:val="nil"/>
              <w:bottom w:val="nil"/>
              <w:right w:val="nil"/>
            </w:tcBorders>
            <w:shd w:val="clear" w:color="auto" w:fill="auto"/>
            <w:vAlign w:val="bottom"/>
          </w:tcPr>
          <w:p w14:paraId="7A34E4B4" w14:textId="77777777" w:rsidR="00922B65" w:rsidRPr="00226892" w:rsidRDefault="00922B65" w:rsidP="00922B65">
            <w:pPr>
              <w:jc w:val="right"/>
              <w:rPr>
                <w:rFonts w:ascii="Arial" w:eastAsia="Times New Roman" w:hAnsi="Arial" w:cs="Arial"/>
                <w:color w:val="000000"/>
                <w:sz w:val="18"/>
                <w:szCs w:val="18"/>
                <w:lang w:val="sk-SK" w:eastAsia="sk-SK"/>
              </w:rPr>
            </w:pPr>
          </w:p>
        </w:tc>
        <w:tc>
          <w:tcPr>
            <w:tcW w:w="1010" w:type="pct"/>
            <w:tcBorders>
              <w:top w:val="single" w:sz="4" w:space="0" w:color="auto"/>
              <w:left w:val="nil"/>
              <w:bottom w:val="nil"/>
              <w:right w:val="nil"/>
            </w:tcBorders>
            <w:shd w:val="clear" w:color="auto" w:fill="auto"/>
            <w:vAlign w:val="bottom"/>
          </w:tcPr>
          <w:p w14:paraId="5A36B6E3" w14:textId="4B012A5C" w:rsidR="00922B65" w:rsidRPr="00226892" w:rsidRDefault="00922B65" w:rsidP="00922B6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12 </w:t>
            </w:r>
            <w:r w:rsidR="00D5562C" w:rsidRPr="00226892">
              <w:rPr>
                <w:rFonts w:ascii="Arial" w:eastAsia="Times New Roman" w:hAnsi="Arial" w:cs="Arial"/>
                <w:color w:val="000000"/>
                <w:sz w:val="18"/>
                <w:szCs w:val="18"/>
                <w:lang w:val="sk-SK" w:eastAsia="sk-SK"/>
              </w:rPr>
              <w:t>061</w:t>
            </w:r>
          </w:p>
        </w:tc>
      </w:tr>
      <w:tr w:rsidR="00922B65" w:rsidRPr="00226892" w14:paraId="6AE9023E" w14:textId="77777777" w:rsidTr="000405EF">
        <w:trPr>
          <w:trHeight w:val="227"/>
        </w:trPr>
        <w:tc>
          <w:tcPr>
            <w:tcW w:w="2771" w:type="pct"/>
            <w:tcBorders>
              <w:top w:val="nil"/>
              <w:left w:val="nil"/>
              <w:bottom w:val="nil"/>
              <w:right w:val="nil"/>
            </w:tcBorders>
            <w:shd w:val="clear" w:color="auto" w:fill="auto"/>
            <w:vAlign w:val="bottom"/>
            <w:hideMark/>
          </w:tcPr>
          <w:p w14:paraId="3A7E040C" w14:textId="3D494C4C" w:rsidR="00922B65" w:rsidRPr="00226892" w:rsidRDefault="00922B65" w:rsidP="00922B6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Pohľadávky voči spriazneným stranám z obchodného styku (nie sú po splatnosti, ani znehodnotené) (Pozn. 3</w:t>
            </w:r>
            <w:r w:rsidR="00522218" w:rsidRPr="00226892">
              <w:rPr>
                <w:rFonts w:ascii="Arial" w:eastAsia="Times New Roman" w:hAnsi="Arial" w:cs="Arial"/>
                <w:color w:val="000000"/>
                <w:sz w:val="18"/>
                <w:szCs w:val="18"/>
                <w:lang w:val="sk-SK" w:eastAsia="sk-SK"/>
              </w:rPr>
              <w:t>1</w:t>
            </w:r>
            <w:r w:rsidRPr="00226892">
              <w:rPr>
                <w:rFonts w:ascii="Arial" w:eastAsia="Times New Roman" w:hAnsi="Arial" w:cs="Arial"/>
                <w:color w:val="000000"/>
                <w:sz w:val="18"/>
                <w:szCs w:val="18"/>
                <w:lang w:val="sk-SK" w:eastAsia="sk-SK"/>
              </w:rPr>
              <w:t>)</w:t>
            </w:r>
          </w:p>
        </w:tc>
        <w:tc>
          <w:tcPr>
            <w:tcW w:w="105" w:type="pct"/>
            <w:tcBorders>
              <w:top w:val="nil"/>
              <w:left w:val="nil"/>
              <w:bottom w:val="nil"/>
              <w:right w:val="nil"/>
            </w:tcBorders>
            <w:shd w:val="clear" w:color="auto" w:fill="auto"/>
            <w:vAlign w:val="bottom"/>
            <w:hideMark/>
          </w:tcPr>
          <w:p w14:paraId="0F6E151B" w14:textId="77777777" w:rsidR="00922B65" w:rsidRPr="00226892" w:rsidRDefault="00922B65" w:rsidP="00922B65">
            <w:pPr>
              <w:rPr>
                <w:rFonts w:ascii="Arial" w:eastAsia="Times New Roman" w:hAnsi="Arial" w:cs="Arial"/>
                <w:color w:val="000000"/>
                <w:sz w:val="18"/>
                <w:szCs w:val="18"/>
                <w:lang w:val="sk-SK" w:eastAsia="sk-SK"/>
              </w:rPr>
            </w:pPr>
          </w:p>
        </w:tc>
        <w:tc>
          <w:tcPr>
            <w:tcW w:w="1017" w:type="pct"/>
            <w:tcBorders>
              <w:top w:val="nil"/>
              <w:left w:val="nil"/>
              <w:bottom w:val="nil"/>
              <w:right w:val="nil"/>
            </w:tcBorders>
            <w:shd w:val="clear" w:color="auto" w:fill="auto"/>
            <w:vAlign w:val="bottom"/>
          </w:tcPr>
          <w:p w14:paraId="0D2C70FF" w14:textId="22D9125A" w:rsidR="00922B65" w:rsidRPr="00226892" w:rsidRDefault="00922B65" w:rsidP="00922B6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2 272</w:t>
            </w:r>
          </w:p>
        </w:tc>
        <w:tc>
          <w:tcPr>
            <w:tcW w:w="97" w:type="pct"/>
            <w:tcBorders>
              <w:top w:val="nil"/>
              <w:left w:val="nil"/>
              <w:bottom w:val="nil"/>
              <w:right w:val="nil"/>
            </w:tcBorders>
            <w:shd w:val="clear" w:color="auto" w:fill="auto"/>
            <w:vAlign w:val="bottom"/>
          </w:tcPr>
          <w:p w14:paraId="7CF7A559" w14:textId="77777777" w:rsidR="00922B65" w:rsidRPr="00226892" w:rsidRDefault="00922B65" w:rsidP="00922B65">
            <w:pPr>
              <w:jc w:val="right"/>
              <w:rPr>
                <w:rFonts w:ascii="Arial" w:eastAsia="Times New Roman" w:hAnsi="Arial" w:cs="Arial"/>
                <w:color w:val="000000"/>
                <w:sz w:val="18"/>
                <w:szCs w:val="18"/>
                <w:lang w:val="sk-SK" w:eastAsia="sk-SK"/>
              </w:rPr>
            </w:pPr>
          </w:p>
        </w:tc>
        <w:tc>
          <w:tcPr>
            <w:tcW w:w="1010" w:type="pct"/>
            <w:tcBorders>
              <w:top w:val="nil"/>
              <w:left w:val="nil"/>
              <w:bottom w:val="nil"/>
              <w:right w:val="nil"/>
            </w:tcBorders>
            <w:shd w:val="clear" w:color="auto" w:fill="auto"/>
            <w:vAlign w:val="bottom"/>
          </w:tcPr>
          <w:p w14:paraId="438F48CF" w14:textId="75138CA2" w:rsidR="00922B65" w:rsidRPr="00226892" w:rsidRDefault="00D5562C" w:rsidP="00922B6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747</w:t>
            </w:r>
          </w:p>
        </w:tc>
      </w:tr>
      <w:tr w:rsidR="00922B65" w:rsidRPr="00226892" w14:paraId="51E09C48" w14:textId="77777777" w:rsidTr="000405EF">
        <w:trPr>
          <w:trHeight w:val="227"/>
        </w:trPr>
        <w:tc>
          <w:tcPr>
            <w:tcW w:w="2771" w:type="pct"/>
            <w:tcBorders>
              <w:top w:val="nil"/>
              <w:left w:val="nil"/>
              <w:bottom w:val="nil"/>
              <w:right w:val="nil"/>
            </w:tcBorders>
            <w:shd w:val="clear" w:color="auto" w:fill="auto"/>
            <w:vAlign w:val="bottom"/>
            <w:hideMark/>
          </w:tcPr>
          <w:p w14:paraId="77B5DC58" w14:textId="77777777" w:rsidR="00922B65" w:rsidRPr="00226892" w:rsidRDefault="00922B65" w:rsidP="00922B6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Pohľadávky z obchodného styku, ktoré sú po splatnosti, ale nie znehodnotené</w:t>
            </w:r>
          </w:p>
        </w:tc>
        <w:tc>
          <w:tcPr>
            <w:tcW w:w="105" w:type="pct"/>
            <w:tcBorders>
              <w:top w:val="nil"/>
              <w:left w:val="nil"/>
              <w:bottom w:val="nil"/>
              <w:right w:val="nil"/>
            </w:tcBorders>
            <w:shd w:val="clear" w:color="auto" w:fill="auto"/>
            <w:vAlign w:val="bottom"/>
            <w:hideMark/>
          </w:tcPr>
          <w:p w14:paraId="16D31223" w14:textId="77777777" w:rsidR="00922B65" w:rsidRPr="00226892" w:rsidRDefault="00922B65" w:rsidP="00922B65">
            <w:pPr>
              <w:rPr>
                <w:rFonts w:ascii="Arial" w:eastAsia="Times New Roman" w:hAnsi="Arial" w:cs="Arial"/>
                <w:color w:val="000000"/>
                <w:sz w:val="18"/>
                <w:szCs w:val="18"/>
                <w:lang w:val="sk-SK" w:eastAsia="sk-SK"/>
              </w:rPr>
            </w:pPr>
          </w:p>
        </w:tc>
        <w:tc>
          <w:tcPr>
            <w:tcW w:w="1017" w:type="pct"/>
            <w:tcBorders>
              <w:top w:val="nil"/>
              <w:left w:val="nil"/>
              <w:bottom w:val="nil"/>
              <w:right w:val="nil"/>
            </w:tcBorders>
            <w:shd w:val="clear" w:color="auto" w:fill="auto"/>
            <w:vAlign w:val="bottom"/>
          </w:tcPr>
          <w:p w14:paraId="3A6B74B3" w14:textId="6804C6E4" w:rsidR="00922B65" w:rsidRPr="00226892" w:rsidRDefault="00922B65" w:rsidP="00922B6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1 586</w:t>
            </w:r>
          </w:p>
        </w:tc>
        <w:tc>
          <w:tcPr>
            <w:tcW w:w="97" w:type="pct"/>
            <w:tcBorders>
              <w:top w:val="nil"/>
              <w:left w:val="nil"/>
              <w:bottom w:val="nil"/>
              <w:right w:val="nil"/>
            </w:tcBorders>
            <w:shd w:val="clear" w:color="auto" w:fill="auto"/>
            <w:vAlign w:val="bottom"/>
          </w:tcPr>
          <w:p w14:paraId="4768C268" w14:textId="77777777" w:rsidR="00922B65" w:rsidRPr="00226892" w:rsidRDefault="00922B65" w:rsidP="00922B65">
            <w:pPr>
              <w:jc w:val="right"/>
              <w:rPr>
                <w:rFonts w:ascii="Arial" w:eastAsia="Times New Roman" w:hAnsi="Arial" w:cs="Arial"/>
                <w:color w:val="000000"/>
                <w:sz w:val="18"/>
                <w:szCs w:val="18"/>
                <w:lang w:val="sk-SK" w:eastAsia="sk-SK"/>
              </w:rPr>
            </w:pPr>
          </w:p>
        </w:tc>
        <w:tc>
          <w:tcPr>
            <w:tcW w:w="1010" w:type="pct"/>
            <w:tcBorders>
              <w:top w:val="nil"/>
              <w:left w:val="nil"/>
              <w:bottom w:val="nil"/>
              <w:right w:val="nil"/>
            </w:tcBorders>
            <w:shd w:val="clear" w:color="auto" w:fill="auto"/>
            <w:vAlign w:val="bottom"/>
          </w:tcPr>
          <w:p w14:paraId="18F6DF48" w14:textId="1A4EF8F7" w:rsidR="00922B65" w:rsidRPr="00226892" w:rsidRDefault="00922B65" w:rsidP="00922B6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6 356</w:t>
            </w:r>
          </w:p>
        </w:tc>
      </w:tr>
      <w:tr w:rsidR="00922B65" w:rsidRPr="00226892" w14:paraId="569C9AF3" w14:textId="77777777" w:rsidTr="000405EF">
        <w:trPr>
          <w:trHeight w:val="227"/>
        </w:trPr>
        <w:tc>
          <w:tcPr>
            <w:tcW w:w="2771" w:type="pct"/>
            <w:tcBorders>
              <w:top w:val="nil"/>
              <w:left w:val="nil"/>
              <w:bottom w:val="nil"/>
              <w:right w:val="nil"/>
            </w:tcBorders>
            <w:shd w:val="clear" w:color="auto" w:fill="auto"/>
            <w:vAlign w:val="bottom"/>
            <w:hideMark/>
          </w:tcPr>
          <w:p w14:paraId="30D848CE" w14:textId="77777777" w:rsidR="00922B65" w:rsidRPr="00226892" w:rsidRDefault="00922B65" w:rsidP="00922B6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Znehodnotené pohľadávky</w:t>
            </w:r>
          </w:p>
        </w:tc>
        <w:tc>
          <w:tcPr>
            <w:tcW w:w="105" w:type="pct"/>
            <w:tcBorders>
              <w:top w:val="nil"/>
              <w:left w:val="nil"/>
              <w:bottom w:val="nil"/>
              <w:right w:val="nil"/>
            </w:tcBorders>
            <w:shd w:val="clear" w:color="auto" w:fill="auto"/>
            <w:vAlign w:val="bottom"/>
            <w:hideMark/>
          </w:tcPr>
          <w:p w14:paraId="746DC7B9" w14:textId="77777777" w:rsidR="00922B65" w:rsidRPr="00226892" w:rsidRDefault="00922B65" w:rsidP="00922B65">
            <w:pPr>
              <w:rPr>
                <w:rFonts w:ascii="Arial" w:eastAsia="Times New Roman" w:hAnsi="Arial" w:cs="Arial"/>
                <w:color w:val="000000"/>
                <w:sz w:val="18"/>
                <w:szCs w:val="18"/>
                <w:lang w:val="sk-SK" w:eastAsia="sk-SK"/>
              </w:rPr>
            </w:pPr>
          </w:p>
        </w:tc>
        <w:tc>
          <w:tcPr>
            <w:tcW w:w="1017" w:type="pct"/>
            <w:tcBorders>
              <w:top w:val="nil"/>
              <w:left w:val="nil"/>
              <w:bottom w:val="nil"/>
              <w:right w:val="nil"/>
            </w:tcBorders>
            <w:shd w:val="clear" w:color="auto" w:fill="auto"/>
            <w:vAlign w:val="bottom"/>
          </w:tcPr>
          <w:p w14:paraId="3293E996" w14:textId="62B1D0EE" w:rsidR="00922B65" w:rsidRPr="00226892" w:rsidRDefault="00922B65" w:rsidP="00922B6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7" w:type="pct"/>
            <w:tcBorders>
              <w:top w:val="nil"/>
              <w:left w:val="nil"/>
              <w:bottom w:val="nil"/>
              <w:right w:val="nil"/>
            </w:tcBorders>
            <w:shd w:val="clear" w:color="auto" w:fill="auto"/>
            <w:vAlign w:val="bottom"/>
          </w:tcPr>
          <w:p w14:paraId="6F74F030" w14:textId="77777777" w:rsidR="00922B65" w:rsidRPr="00226892" w:rsidRDefault="00922B65" w:rsidP="00922B65">
            <w:pPr>
              <w:jc w:val="right"/>
              <w:rPr>
                <w:rFonts w:ascii="Arial" w:eastAsia="Times New Roman" w:hAnsi="Arial" w:cs="Arial"/>
                <w:color w:val="000000"/>
                <w:sz w:val="18"/>
                <w:szCs w:val="18"/>
                <w:lang w:val="sk-SK" w:eastAsia="sk-SK"/>
              </w:rPr>
            </w:pPr>
          </w:p>
        </w:tc>
        <w:tc>
          <w:tcPr>
            <w:tcW w:w="1010" w:type="pct"/>
            <w:tcBorders>
              <w:top w:val="nil"/>
              <w:left w:val="nil"/>
              <w:bottom w:val="nil"/>
              <w:right w:val="nil"/>
            </w:tcBorders>
            <w:shd w:val="clear" w:color="auto" w:fill="auto"/>
            <w:vAlign w:val="bottom"/>
          </w:tcPr>
          <w:p w14:paraId="742F5353" w14:textId="5AA912F3" w:rsidR="00922B65" w:rsidRPr="00226892" w:rsidRDefault="00922B65" w:rsidP="00922B6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w:t>
            </w:r>
          </w:p>
        </w:tc>
      </w:tr>
      <w:tr w:rsidR="00922B65" w:rsidRPr="00226892" w14:paraId="5EA90A73" w14:textId="77777777" w:rsidTr="000405EF">
        <w:trPr>
          <w:trHeight w:val="227"/>
        </w:trPr>
        <w:tc>
          <w:tcPr>
            <w:tcW w:w="2771" w:type="pct"/>
            <w:tcBorders>
              <w:top w:val="nil"/>
              <w:left w:val="nil"/>
              <w:bottom w:val="nil"/>
              <w:right w:val="nil"/>
            </w:tcBorders>
            <w:shd w:val="clear" w:color="auto" w:fill="auto"/>
            <w:vAlign w:val="bottom"/>
            <w:hideMark/>
          </w:tcPr>
          <w:p w14:paraId="50F14999" w14:textId="77777777" w:rsidR="00922B65" w:rsidRPr="00226892" w:rsidRDefault="00922B65" w:rsidP="00922B6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Znížené o: Opravná položka na zníženie hodnoty pohľadávok z obchodného styku</w:t>
            </w:r>
          </w:p>
        </w:tc>
        <w:tc>
          <w:tcPr>
            <w:tcW w:w="105" w:type="pct"/>
            <w:tcBorders>
              <w:top w:val="nil"/>
              <w:left w:val="nil"/>
              <w:bottom w:val="nil"/>
              <w:right w:val="nil"/>
            </w:tcBorders>
            <w:shd w:val="clear" w:color="auto" w:fill="auto"/>
            <w:vAlign w:val="bottom"/>
            <w:hideMark/>
          </w:tcPr>
          <w:p w14:paraId="53A14CF2" w14:textId="77777777" w:rsidR="00922B65" w:rsidRPr="00226892" w:rsidRDefault="00922B65" w:rsidP="00922B65">
            <w:pPr>
              <w:rPr>
                <w:rFonts w:ascii="Arial" w:eastAsia="Times New Roman" w:hAnsi="Arial" w:cs="Arial"/>
                <w:color w:val="000000"/>
                <w:sz w:val="18"/>
                <w:szCs w:val="18"/>
                <w:lang w:val="sk-SK" w:eastAsia="sk-SK"/>
              </w:rPr>
            </w:pPr>
          </w:p>
        </w:tc>
        <w:tc>
          <w:tcPr>
            <w:tcW w:w="1017" w:type="pct"/>
            <w:tcBorders>
              <w:top w:val="nil"/>
              <w:left w:val="nil"/>
              <w:bottom w:val="nil"/>
              <w:right w:val="nil"/>
            </w:tcBorders>
            <w:shd w:val="clear" w:color="auto" w:fill="auto"/>
            <w:vAlign w:val="bottom"/>
          </w:tcPr>
          <w:p w14:paraId="6E11BC00" w14:textId="2348E1F9" w:rsidR="00922B65" w:rsidRPr="00226892" w:rsidRDefault="00922B65" w:rsidP="00922B6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7" w:type="pct"/>
            <w:tcBorders>
              <w:top w:val="nil"/>
              <w:left w:val="nil"/>
              <w:bottom w:val="nil"/>
              <w:right w:val="nil"/>
            </w:tcBorders>
            <w:shd w:val="clear" w:color="auto" w:fill="auto"/>
            <w:vAlign w:val="bottom"/>
          </w:tcPr>
          <w:p w14:paraId="39662EE8" w14:textId="77777777" w:rsidR="00922B65" w:rsidRPr="00226892" w:rsidRDefault="00922B65" w:rsidP="00922B65">
            <w:pPr>
              <w:jc w:val="right"/>
              <w:rPr>
                <w:rFonts w:ascii="Arial" w:eastAsia="Times New Roman" w:hAnsi="Arial" w:cs="Arial"/>
                <w:color w:val="000000"/>
                <w:sz w:val="18"/>
                <w:szCs w:val="18"/>
                <w:lang w:val="sk-SK" w:eastAsia="sk-SK"/>
              </w:rPr>
            </w:pPr>
          </w:p>
        </w:tc>
        <w:tc>
          <w:tcPr>
            <w:tcW w:w="1010" w:type="pct"/>
            <w:tcBorders>
              <w:top w:val="nil"/>
              <w:left w:val="nil"/>
              <w:bottom w:val="nil"/>
              <w:right w:val="nil"/>
            </w:tcBorders>
            <w:shd w:val="clear" w:color="auto" w:fill="auto"/>
            <w:vAlign w:val="bottom"/>
          </w:tcPr>
          <w:p w14:paraId="20224B22" w14:textId="3E11E44D" w:rsidR="00922B65" w:rsidRPr="00226892" w:rsidRDefault="00922B65" w:rsidP="00922B6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w:t>
            </w:r>
          </w:p>
        </w:tc>
      </w:tr>
      <w:tr w:rsidR="00922B65" w:rsidRPr="00226892" w14:paraId="6BDD9640" w14:textId="77777777" w:rsidTr="000405EF">
        <w:trPr>
          <w:trHeight w:val="227"/>
        </w:trPr>
        <w:tc>
          <w:tcPr>
            <w:tcW w:w="2771" w:type="pct"/>
            <w:tcBorders>
              <w:top w:val="nil"/>
              <w:left w:val="nil"/>
              <w:bottom w:val="nil"/>
              <w:right w:val="nil"/>
            </w:tcBorders>
            <w:shd w:val="clear" w:color="auto" w:fill="auto"/>
            <w:vAlign w:val="bottom"/>
            <w:hideMark/>
          </w:tcPr>
          <w:p w14:paraId="1602D956" w14:textId="77777777" w:rsidR="00922B65" w:rsidRPr="00226892" w:rsidRDefault="00922B65" w:rsidP="00922B65">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Krátkodobé pohľadávky z obchodného styku – netto</w:t>
            </w:r>
          </w:p>
        </w:tc>
        <w:tc>
          <w:tcPr>
            <w:tcW w:w="105" w:type="pct"/>
            <w:tcBorders>
              <w:top w:val="nil"/>
              <w:left w:val="nil"/>
              <w:bottom w:val="nil"/>
              <w:right w:val="nil"/>
            </w:tcBorders>
            <w:shd w:val="clear" w:color="auto" w:fill="auto"/>
            <w:vAlign w:val="bottom"/>
            <w:hideMark/>
          </w:tcPr>
          <w:p w14:paraId="06587FE1" w14:textId="77777777" w:rsidR="00922B65" w:rsidRPr="00226892" w:rsidRDefault="00922B65" w:rsidP="00922B65">
            <w:pPr>
              <w:rPr>
                <w:rFonts w:ascii="Arial" w:eastAsia="Times New Roman" w:hAnsi="Arial" w:cs="Arial"/>
                <w:b/>
                <w:bCs/>
                <w:color w:val="000000"/>
                <w:sz w:val="18"/>
                <w:szCs w:val="18"/>
                <w:lang w:val="sk-SK" w:eastAsia="sk-SK"/>
              </w:rPr>
            </w:pPr>
          </w:p>
        </w:tc>
        <w:tc>
          <w:tcPr>
            <w:tcW w:w="1017" w:type="pct"/>
            <w:tcBorders>
              <w:top w:val="single" w:sz="4" w:space="0" w:color="auto"/>
              <w:left w:val="nil"/>
              <w:bottom w:val="double" w:sz="6" w:space="0" w:color="auto"/>
              <w:right w:val="nil"/>
            </w:tcBorders>
            <w:shd w:val="clear" w:color="auto" w:fill="auto"/>
            <w:vAlign w:val="bottom"/>
          </w:tcPr>
          <w:p w14:paraId="0C2E80BB" w14:textId="0177D546" w:rsidR="00922B65" w:rsidRPr="00226892" w:rsidRDefault="00922B65" w:rsidP="00922B6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24 </w:t>
            </w:r>
            <w:r w:rsidR="00460273" w:rsidRPr="00226892">
              <w:rPr>
                <w:rFonts w:ascii="Arial" w:eastAsia="Times New Roman" w:hAnsi="Arial" w:cs="Arial"/>
                <w:b/>
                <w:bCs/>
                <w:color w:val="000000"/>
                <w:sz w:val="18"/>
                <w:szCs w:val="18"/>
                <w:lang w:val="sk-SK" w:eastAsia="sk-SK"/>
              </w:rPr>
              <w:t>678</w:t>
            </w:r>
          </w:p>
        </w:tc>
        <w:tc>
          <w:tcPr>
            <w:tcW w:w="97" w:type="pct"/>
            <w:tcBorders>
              <w:top w:val="nil"/>
              <w:left w:val="nil"/>
              <w:bottom w:val="nil"/>
              <w:right w:val="nil"/>
            </w:tcBorders>
            <w:shd w:val="clear" w:color="auto" w:fill="auto"/>
            <w:vAlign w:val="bottom"/>
          </w:tcPr>
          <w:p w14:paraId="6F0D3CEE" w14:textId="77777777" w:rsidR="00922B65" w:rsidRPr="00226892" w:rsidRDefault="00922B65" w:rsidP="00922B65">
            <w:pPr>
              <w:jc w:val="right"/>
              <w:rPr>
                <w:rFonts w:ascii="Arial" w:eastAsia="Times New Roman" w:hAnsi="Arial" w:cs="Arial"/>
                <w:b/>
                <w:bCs/>
                <w:color w:val="000000"/>
                <w:sz w:val="18"/>
                <w:szCs w:val="18"/>
                <w:lang w:val="sk-SK" w:eastAsia="sk-SK"/>
              </w:rPr>
            </w:pPr>
          </w:p>
        </w:tc>
        <w:tc>
          <w:tcPr>
            <w:tcW w:w="1010" w:type="pct"/>
            <w:tcBorders>
              <w:top w:val="single" w:sz="4" w:space="0" w:color="auto"/>
              <w:left w:val="nil"/>
              <w:bottom w:val="double" w:sz="6" w:space="0" w:color="auto"/>
              <w:right w:val="nil"/>
            </w:tcBorders>
            <w:shd w:val="clear" w:color="auto" w:fill="auto"/>
            <w:vAlign w:val="bottom"/>
          </w:tcPr>
          <w:p w14:paraId="69E75CBC" w14:textId="1C59B7EC" w:rsidR="00922B65" w:rsidRPr="00226892" w:rsidRDefault="00922B65" w:rsidP="00922B6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19 164</w:t>
            </w:r>
          </w:p>
        </w:tc>
      </w:tr>
      <w:tr w:rsidR="00922B65" w:rsidRPr="00226892" w14:paraId="6AFD3BE4" w14:textId="77777777" w:rsidTr="000405EF">
        <w:trPr>
          <w:trHeight w:val="227"/>
        </w:trPr>
        <w:tc>
          <w:tcPr>
            <w:tcW w:w="2771" w:type="pct"/>
            <w:tcBorders>
              <w:top w:val="nil"/>
              <w:left w:val="nil"/>
              <w:bottom w:val="nil"/>
              <w:right w:val="nil"/>
            </w:tcBorders>
            <w:shd w:val="clear" w:color="auto" w:fill="auto"/>
            <w:vAlign w:val="bottom"/>
            <w:hideMark/>
          </w:tcPr>
          <w:p w14:paraId="2ED9FC0E" w14:textId="77777777" w:rsidR="00922B65" w:rsidRPr="00226892" w:rsidRDefault="00922B65" w:rsidP="00922B65">
            <w:pPr>
              <w:rPr>
                <w:rFonts w:ascii="Arial" w:eastAsia="Times New Roman" w:hAnsi="Arial" w:cs="Arial"/>
                <w:b/>
                <w:bCs/>
                <w:color w:val="000000"/>
                <w:sz w:val="18"/>
                <w:szCs w:val="18"/>
                <w:lang w:val="sk-SK" w:eastAsia="sk-SK"/>
              </w:rPr>
            </w:pPr>
          </w:p>
        </w:tc>
        <w:tc>
          <w:tcPr>
            <w:tcW w:w="105" w:type="pct"/>
            <w:tcBorders>
              <w:top w:val="nil"/>
              <w:left w:val="nil"/>
              <w:bottom w:val="nil"/>
              <w:right w:val="nil"/>
            </w:tcBorders>
            <w:shd w:val="clear" w:color="auto" w:fill="auto"/>
            <w:vAlign w:val="bottom"/>
            <w:hideMark/>
          </w:tcPr>
          <w:p w14:paraId="7BA760A7" w14:textId="77777777" w:rsidR="00922B65" w:rsidRPr="00226892" w:rsidRDefault="00922B65" w:rsidP="00922B65">
            <w:pPr>
              <w:rPr>
                <w:rFonts w:ascii="Arial" w:eastAsia="Times New Roman" w:hAnsi="Arial" w:cs="Arial"/>
                <w:sz w:val="18"/>
                <w:szCs w:val="18"/>
                <w:lang w:val="sk-SK" w:eastAsia="sk-SK"/>
              </w:rPr>
            </w:pPr>
          </w:p>
        </w:tc>
        <w:tc>
          <w:tcPr>
            <w:tcW w:w="1017" w:type="pct"/>
            <w:tcBorders>
              <w:top w:val="nil"/>
              <w:left w:val="nil"/>
              <w:bottom w:val="nil"/>
              <w:right w:val="nil"/>
            </w:tcBorders>
            <w:shd w:val="clear" w:color="auto" w:fill="auto"/>
            <w:vAlign w:val="bottom"/>
          </w:tcPr>
          <w:p w14:paraId="5F33D004" w14:textId="77777777" w:rsidR="00922B65" w:rsidRPr="00226892" w:rsidRDefault="00922B65" w:rsidP="00922B65">
            <w:pPr>
              <w:jc w:val="right"/>
              <w:rPr>
                <w:rFonts w:ascii="Arial" w:eastAsia="Times New Roman" w:hAnsi="Arial" w:cs="Arial"/>
                <w:sz w:val="18"/>
                <w:szCs w:val="18"/>
                <w:lang w:val="sk-SK" w:eastAsia="sk-SK"/>
              </w:rPr>
            </w:pPr>
          </w:p>
        </w:tc>
        <w:tc>
          <w:tcPr>
            <w:tcW w:w="97" w:type="pct"/>
            <w:tcBorders>
              <w:top w:val="nil"/>
              <w:left w:val="nil"/>
              <w:bottom w:val="nil"/>
              <w:right w:val="nil"/>
            </w:tcBorders>
            <w:shd w:val="clear" w:color="auto" w:fill="auto"/>
            <w:vAlign w:val="bottom"/>
          </w:tcPr>
          <w:p w14:paraId="61C01247" w14:textId="77777777" w:rsidR="00922B65" w:rsidRPr="00226892" w:rsidRDefault="00922B65" w:rsidP="00922B65">
            <w:pPr>
              <w:jc w:val="right"/>
              <w:rPr>
                <w:rFonts w:ascii="Arial" w:eastAsia="Times New Roman" w:hAnsi="Arial" w:cs="Arial"/>
                <w:sz w:val="18"/>
                <w:szCs w:val="18"/>
                <w:lang w:val="sk-SK" w:eastAsia="sk-SK"/>
              </w:rPr>
            </w:pPr>
          </w:p>
        </w:tc>
        <w:tc>
          <w:tcPr>
            <w:tcW w:w="1010" w:type="pct"/>
            <w:tcBorders>
              <w:top w:val="nil"/>
              <w:left w:val="nil"/>
              <w:bottom w:val="nil"/>
              <w:right w:val="nil"/>
            </w:tcBorders>
            <w:shd w:val="clear" w:color="auto" w:fill="auto"/>
            <w:vAlign w:val="bottom"/>
          </w:tcPr>
          <w:p w14:paraId="208A0C0E" w14:textId="77777777" w:rsidR="00922B65" w:rsidRPr="00226892" w:rsidRDefault="00922B65" w:rsidP="00922B65">
            <w:pPr>
              <w:jc w:val="right"/>
              <w:rPr>
                <w:rFonts w:ascii="Arial" w:eastAsia="Times New Roman" w:hAnsi="Arial" w:cs="Arial"/>
                <w:sz w:val="18"/>
                <w:szCs w:val="18"/>
                <w:lang w:val="sk-SK" w:eastAsia="sk-SK"/>
              </w:rPr>
            </w:pPr>
          </w:p>
        </w:tc>
      </w:tr>
      <w:tr w:rsidR="00922B65" w:rsidRPr="00226892" w14:paraId="09C779F1" w14:textId="77777777" w:rsidTr="000405EF">
        <w:trPr>
          <w:trHeight w:val="227"/>
        </w:trPr>
        <w:tc>
          <w:tcPr>
            <w:tcW w:w="2771" w:type="pct"/>
            <w:tcBorders>
              <w:top w:val="nil"/>
              <w:left w:val="nil"/>
              <w:bottom w:val="nil"/>
              <w:right w:val="nil"/>
            </w:tcBorders>
            <w:shd w:val="clear" w:color="auto" w:fill="auto"/>
            <w:vAlign w:val="bottom"/>
            <w:hideMark/>
          </w:tcPr>
          <w:p w14:paraId="0FEF8C9F" w14:textId="77777777" w:rsidR="00922B65" w:rsidRPr="00226892" w:rsidRDefault="00922B65" w:rsidP="00922B6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DPH – pohľadávka</w:t>
            </w:r>
          </w:p>
        </w:tc>
        <w:tc>
          <w:tcPr>
            <w:tcW w:w="105" w:type="pct"/>
            <w:tcBorders>
              <w:top w:val="nil"/>
              <w:left w:val="nil"/>
              <w:bottom w:val="nil"/>
              <w:right w:val="nil"/>
            </w:tcBorders>
            <w:shd w:val="clear" w:color="auto" w:fill="auto"/>
            <w:vAlign w:val="bottom"/>
            <w:hideMark/>
          </w:tcPr>
          <w:p w14:paraId="73F26DB9" w14:textId="77777777" w:rsidR="00922B65" w:rsidRPr="00226892" w:rsidRDefault="00922B65" w:rsidP="00922B65">
            <w:pPr>
              <w:rPr>
                <w:rFonts w:ascii="Arial" w:eastAsia="Times New Roman" w:hAnsi="Arial" w:cs="Arial"/>
                <w:color w:val="000000"/>
                <w:sz w:val="18"/>
                <w:szCs w:val="18"/>
                <w:lang w:val="sk-SK" w:eastAsia="sk-SK"/>
              </w:rPr>
            </w:pPr>
          </w:p>
        </w:tc>
        <w:tc>
          <w:tcPr>
            <w:tcW w:w="1017" w:type="pct"/>
            <w:tcBorders>
              <w:top w:val="nil"/>
              <w:left w:val="nil"/>
              <w:bottom w:val="nil"/>
              <w:right w:val="nil"/>
            </w:tcBorders>
            <w:shd w:val="clear" w:color="auto" w:fill="auto"/>
            <w:vAlign w:val="bottom"/>
          </w:tcPr>
          <w:p w14:paraId="36685ABA" w14:textId="38F197FA" w:rsidR="00922B65" w:rsidRPr="00226892" w:rsidRDefault="00922B65" w:rsidP="00922B6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w:t>
            </w:r>
          </w:p>
        </w:tc>
        <w:tc>
          <w:tcPr>
            <w:tcW w:w="97" w:type="pct"/>
            <w:tcBorders>
              <w:top w:val="nil"/>
              <w:left w:val="nil"/>
              <w:bottom w:val="nil"/>
              <w:right w:val="nil"/>
            </w:tcBorders>
            <w:shd w:val="clear" w:color="auto" w:fill="auto"/>
            <w:vAlign w:val="bottom"/>
          </w:tcPr>
          <w:p w14:paraId="5C6D699C" w14:textId="77777777" w:rsidR="00922B65" w:rsidRPr="00226892" w:rsidRDefault="00922B65" w:rsidP="00922B65">
            <w:pPr>
              <w:jc w:val="right"/>
              <w:rPr>
                <w:rFonts w:ascii="Arial" w:eastAsia="Times New Roman" w:hAnsi="Arial" w:cs="Arial"/>
                <w:color w:val="000000"/>
                <w:sz w:val="18"/>
                <w:szCs w:val="18"/>
                <w:lang w:val="sk-SK" w:eastAsia="sk-SK"/>
              </w:rPr>
            </w:pPr>
          </w:p>
        </w:tc>
        <w:tc>
          <w:tcPr>
            <w:tcW w:w="1010" w:type="pct"/>
            <w:tcBorders>
              <w:top w:val="nil"/>
              <w:left w:val="nil"/>
              <w:bottom w:val="nil"/>
              <w:right w:val="nil"/>
            </w:tcBorders>
            <w:shd w:val="clear" w:color="auto" w:fill="auto"/>
            <w:vAlign w:val="bottom"/>
          </w:tcPr>
          <w:p w14:paraId="6C796FEB" w14:textId="4B914798" w:rsidR="00922B65" w:rsidRPr="00226892" w:rsidRDefault="00922B65" w:rsidP="00922B6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31</w:t>
            </w:r>
            <w:r w:rsidR="00D5562C" w:rsidRPr="00226892">
              <w:rPr>
                <w:rFonts w:ascii="Arial" w:eastAsia="Times New Roman" w:hAnsi="Arial" w:cs="Arial"/>
                <w:color w:val="000000"/>
                <w:sz w:val="18"/>
                <w:szCs w:val="18"/>
                <w:lang w:val="sk-SK" w:eastAsia="sk-SK"/>
              </w:rPr>
              <w:t>0</w:t>
            </w:r>
          </w:p>
        </w:tc>
      </w:tr>
      <w:tr w:rsidR="00922B65" w:rsidRPr="00226892" w14:paraId="5DF40B1B" w14:textId="77777777" w:rsidTr="000405EF">
        <w:trPr>
          <w:trHeight w:val="227"/>
        </w:trPr>
        <w:tc>
          <w:tcPr>
            <w:tcW w:w="2771" w:type="pct"/>
            <w:tcBorders>
              <w:top w:val="nil"/>
              <w:left w:val="nil"/>
              <w:bottom w:val="nil"/>
              <w:right w:val="nil"/>
            </w:tcBorders>
            <w:shd w:val="clear" w:color="auto" w:fill="auto"/>
            <w:vAlign w:val="bottom"/>
            <w:hideMark/>
          </w:tcPr>
          <w:p w14:paraId="449DD7DC" w14:textId="5BAA428A" w:rsidR="00922B65" w:rsidRPr="00226892" w:rsidRDefault="00922B65" w:rsidP="00922B6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Pohľadávky z dotácií</w:t>
            </w:r>
          </w:p>
        </w:tc>
        <w:tc>
          <w:tcPr>
            <w:tcW w:w="105" w:type="pct"/>
            <w:tcBorders>
              <w:top w:val="nil"/>
              <w:left w:val="nil"/>
              <w:bottom w:val="nil"/>
              <w:right w:val="nil"/>
            </w:tcBorders>
            <w:shd w:val="clear" w:color="auto" w:fill="auto"/>
            <w:vAlign w:val="bottom"/>
            <w:hideMark/>
          </w:tcPr>
          <w:p w14:paraId="766EED6F" w14:textId="77777777" w:rsidR="00922B65" w:rsidRPr="00226892" w:rsidRDefault="00922B65" w:rsidP="00922B65">
            <w:pPr>
              <w:rPr>
                <w:rFonts w:ascii="Arial" w:eastAsia="Times New Roman" w:hAnsi="Arial" w:cs="Arial"/>
                <w:color w:val="000000"/>
                <w:sz w:val="18"/>
                <w:szCs w:val="18"/>
                <w:lang w:val="sk-SK" w:eastAsia="sk-SK"/>
              </w:rPr>
            </w:pPr>
          </w:p>
        </w:tc>
        <w:tc>
          <w:tcPr>
            <w:tcW w:w="1017" w:type="pct"/>
            <w:tcBorders>
              <w:top w:val="nil"/>
              <w:left w:val="nil"/>
              <w:bottom w:val="nil"/>
              <w:right w:val="nil"/>
            </w:tcBorders>
            <w:shd w:val="clear" w:color="auto" w:fill="auto"/>
            <w:vAlign w:val="bottom"/>
          </w:tcPr>
          <w:p w14:paraId="1897A55A" w14:textId="2B78721C" w:rsidR="00922B65" w:rsidRPr="00226892" w:rsidRDefault="00922B65" w:rsidP="00922B6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7" w:type="pct"/>
            <w:tcBorders>
              <w:top w:val="nil"/>
              <w:left w:val="nil"/>
              <w:bottom w:val="nil"/>
              <w:right w:val="nil"/>
            </w:tcBorders>
            <w:shd w:val="clear" w:color="auto" w:fill="auto"/>
            <w:vAlign w:val="bottom"/>
          </w:tcPr>
          <w:p w14:paraId="0CAF2213" w14:textId="77777777" w:rsidR="00922B65" w:rsidRPr="00226892" w:rsidRDefault="00922B65" w:rsidP="00922B65">
            <w:pPr>
              <w:jc w:val="right"/>
              <w:rPr>
                <w:rFonts w:ascii="Arial" w:eastAsia="Times New Roman" w:hAnsi="Arial" w:cs="Arial"/>
                <w:color w:val="000000"/>
                <w:sz w:val="18"/>
                <w:szCs w:val="18"/>
                <w:lang w:val="sk-SK" w:eastAsia="sk-SK"/>
              </w:rPr>
            </w:pPr>
          </w:p>
        </w:tc>
        <w:tc>
          <w:tcPr>
            <w:tcW w:w="1010" w:type="pct"/>
            <w:tcBorders>
              <w:top w:val="nil"/>
              <w:left w:val="nil"/>
              <w:bottom w:val="nil"/>
              <w:right w:val="nil"/>
            </w:tcBorders>
            <w:shd w:val="clear" w:color="auto" w:fill="auto"/>
            <w:vAlign w:val="bottom"/>
          </w:tcPr>
          <w:p w14:paraId="35BAE51B" w14:textId="46BE587D" w:rsidR="00922B65" w:rsidRPr="00226892" w:rsidRDefault="00922B65" w:rsidP="00922B6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r>
      <w:tr w:rsidR="00AB1E70" w:rsidRPr="00226892" w14:paraId="2A600E5E" w14:textId="77777777" w:rsidTr="000405EF">
        <w:trPr>
          <w:trHeight w:val="227"/>
        </w:trPr>
        <w:tc>
          <w:tcPr>
            <w:tcW w:w="2771" w:type="pct"/>
            <w:tcBorders>
              <w:top w:val="nil"/>
              <w:left w:val="nil"/>
              <w:bottom w:val="nil"/>
              <w:right w:val="nil"/>
            </w:tcBorders>
            <w:shd w:val="clear" w:color="auto" w:fill="auto"/>
            <w:vAlign w:val="bottom"/>
          </w:tcPr>
          <w:p w14:paraId="49FF39A3" w14:textId="4213F55B" w:rsidR="00AB1E70" w:rsidRPr="00226892" w:rsidRDefault="00AB1E70" w:rsidP="00922B65">
            <w:pPr>
              <w:rPr>
                <w:rFonts w:ascii="Arial" w:eastAsia="Times New Roman" w:hAnsi="Arial" w:cs="Arial"/>
                <w:color w:val="000000"/>
                <w:sz w:val="18"/>
                <w:szCs w:val="18"/>
                <w:lang w:val="sk-SK" w:eastAsia="sk-SK"/>
              </w:rPr>
            </w:pPr>
            <w:bookmarkStart w:id="420" w:name="OLE_LINK10"/>
            <w:proofErr w:type="spellStart"/>
            <w:r w:rsidRPr="00226892">
              <w:rPr>
                <w:rFonts w:ascii="Arial" w:eastAsia="Times New Roman" w:hAnsi="Arial" w:cs="Arial"/>
                <w:color w:val="000000"/>
                <w:sz w:val="18"/>
                <w:szCs w:val="18"/>
                <w:lang w:eastAsia="sk-SK"/>
              </w:rPr>
              <w:t>Poskytnuté</w:t>
            </w:r>
            <w:proofErr w:type="spellEnd"/>
            <w:r w:rsidRPr="00226892">
              <w:rPr>
                <w:rFonts w:ascii="Arial" w:eastAsia="Times New Roman" w:hAnsi="Arial" w:cs="Arial"/>
                <w:color w:val="000000"/>
                <w:sz w:val="18"/>
                <w:szCs w:val="18"/>
                <w:lang w:eastAsia="sk-SK"/>
              </w:rPr>
              <w:t xml:space="preserve"> </w:t>
            </w:r>
            <w:proofErr w:type="spellStart"/>
            <w:r w:rsidRPr="00226892">
              <w:rPr>
                <w:rFonts w:ascii="Arial" w:eastAsia="Times New Roman" w:hAnsi="Arial" w:cs="Arial"/>
                <w:color w:val="000000"/>
                <w:sz w:val="18"/>
                <w:szCs w:val="18"/>
                <w:lang w:eastAsia="sk-SK"/>
              </w:rPr>
              <w:t>úvery</w:t>
            </w:r>
            <w:proofErr w:type="spellEnd"/>
            <w:r w:rsidRPr="00226892">
              <w:rPr>
                <w:rFonts w:ascii="Arial" w:eastAsia="Times New Roman" w:hAnsi="Arial" w:cs="Arial"/>
                <w:color w:val="000000"/>
                <w:sz w:val="18"/>
                <w:szCs w:val="18"/>
                <w:lang w:eastAsia="sk-SK"/>
              </w:rPr>
              <w:t xml:space="preserve"> (</w:t>
            </w:r>
            <w:proofErr w:type="spellStart"/>
            <w:r w:rsidRPr="00226892">
              <w:rPr>
                <w:rFonts w:ascii="Arial" w:eastAsia="Times New Roman" w:hAnsi="Arial" w:cs="Arial"/>
                <w:color w:val="000000"/>
                <w:sz w:val="18"/>
                <w:szCs w:val="18"/>
                <w:lang w:eastAsia="sk-SK"/>
              </w:rPr>
              <w:t>Pozn</w:t>
            </w:r>
            <w:proofErr w:type="spellEnd"/>
            <w:r w:rsidRPr="00226892">
              <w:rPr>
                <w:rFonts w:ascii="Arial" w:eastAsia="Times New Roman" w:hAnsi="Arial" w:cs="Arial"/>
                <w:color w:val="000000"/>
                <w:sz w:val="18"/>
                <w:szCs w:val="18"/>
                <w:lang w:eastAsia="sk-SK"/>
              </w:rPr>
              <w:t>. 31)</w:t>
            </w:r>
            <w:bookmarkEnd w:id="420"/>
          </w:p>
        </w:tc>
        <w:tc>
          <w:tcPr>
            <w:tcW w:w="105" w:type="pct"/>
            <w:tcBorders>
              <w:top w:val="nil"/>
              <w:left w:val="nil"/>
              <w:bottom w:val="nil"/>
              <w:right w:val="nil"/>
            </w:tcBorders>
            <w:shd w:val="clear" w:color="auto" w:fill="auto"/>
            <w:vAlign w:val="bottom"/>
          </w:tcPr>
          <w:p w14:paraId="5F530D5C" w14:textId="77777777" w:rsidR="00AB1E70" w:rsidRPr="00226892" w:rsidRDefault="00AB1E70" w:rsidP="00922B65">
            <w:pPr>
              <w:rPr>
                <w:rFonts w:ascii="Arial" w:eastAsia="Times New Roman" w:hAnsi="Arial" w:cs="Arial"/>
                <w:color w:val="000000"/>
                <w:sz w:val="18"/>
                <w:szCs w:val="18"/>
                <w:lang w:val="sk-SK" w:eastAsia="sk-SK"/>
              </w:rPr>
            </w:pPr>
          </w:p>
        </w:tc>
        <w:tc>
          <w:tcPr>
            <w:tcW w:w="1017" w:type="pct"/>
            <w:tcBorders>
              <w:top w:val="nil"/>
              <w:left w:val="nil"/>
              <w:bottom w:val="nil"/>
              <w:right w:val="nil"/>
            </w:tcBorders>
            <w:shd w:val="clear" w:color="auto" w:fill="auto"/>
            <w:vAlign w:val="bottom"/>
          </w:tcPr>
          <w:p w14:paraId="103478E3" w14:textId="5A021763" w:rsidR="00AB1E70" w:rsidRPr="00226892" w:rsidRDefault="00C57EDA" w:rsidP="00922B6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470</w:t>
            </w:r>
          </w:p>
        </w:tc>
        <w:tc>
          <w:tcPr>
            <w:tcW w:w="97" w:type="pct"/>
            <w:tcBorders>
              <w:top w:val="nil"/>
              <w:left w:val="nil"/>
              <w:bottom w:val="nil"/>
              <w:right w:val="nil"/>
            </w:tcBorders>
            <w:shd w:val="clear" w:color="auto" w:fill="auto"/>
            <w:vAlign w:val="bottom"/>
          </w:tcPr>
          <w:p w14:paraId="480E569C" w14:textId="77777777" w:rsidR="00AB1E70" w:rsidRPr="00226892" w:rsidRDefault="00AB1E70" w:rsidP="00922B65">
            <w:pPr>
              <w:jc w:val="right"/>
              <w:rPr>
                <w:rFonts w:ascii="Arial" w:eastAsia="Times New Roman" w:hAnsi="Arial" w:cs="Arial"/>
                <w:color w:val="000000"/>
                <w:sz w:val="18"/>
                <w:szCs w:val="18"/>
                <w:lang w:val="sk-SK" w:eastAsia="sk-SK"/>
              </w:rPr>
            </w:pPr>
          </w:p>
        </w:tc>
        <w:tc>
          <w:tcPr>
            <w:tcW w:w="1010" w:type="pct"/>
            <w:tcBorders>
              <w:top w:val="nil"/>
              <w:left w:val="nil"/>
              <w:bottom w:val="nil"/>
              <w:right w:val="nil"/>
            </w:tcBorders>
            <w:shd w:val="clear" w:color="auto" w:fill="auto"/>
            <w:vAlign w:val="bottom"/>
          </w:tcPr>
          <w:p w14:paraId="691D76B6" w14:textId="449346FF" w:rsidR="00AB1E70" w:rsidRPr="00226892" w:rsidRDefault="00AB1E70" w:rsidP="00922B6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370</w:t>
            </w:r>
          </w:p>
        </w:tc>
      </w:tr>
      <w:tr w:rsidR="00922B65" w:rsidRPr="00226892" w14:paraId="57CC0AF6" w14:textId="77777777" w:rsidTr="000405EF">
        <w:trPr>
          <w:trHeight w:val="227"/>
        </w:trPr>
        <w:tc>
          <w:tcPr>
            <w:tcW w:w="2771" w:type="pct"/>
            <w:tcBorders>
              <w:top w:val="nil"/>
              <w:left w:val="nil"/>
              <w:bottom w:val="nil"/>
              <w:right w:val="nil"/>
            </w:tcBorders>
            <w:shd w:val="clear" w:color="auto" w:fill="auto"/>
            <w:vAlign w:val="bottom"/>
          </w:tcPr>
          <w:p w14:paraId="164E755B" w14:textId="761ABD39" w:rsidR="00922B65" w:rsidRPr="00226892" w:rsidRDefault="00922B65" w:rsidP="00922B6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Poskytnuté preddavky</w:t>
            </w:r>
          </w:p>
        </w:tc>
        <w:tc>
          <w:tcPr>
            <w:tcW w:w="105" w:type="pct"/>
            <w:tcBorders>
              <w:top w:val="nil"/>
              <w:left w:val="nil"/>
              <w:bottom w:val="nil"/>
              <w:right w:val="nil"/>
            </w:tcBorders>
            <w:shd w:val="clear" w:color="auto" w:fill="auto"/>
            <w:vAlign w:val="bottom"/>
          </w:tcPr>
          <w:p w14:paraId="5AF8D117" w14:textId="77777777" w:rsidR="00922B65" w:rsidRPr="00226892" w:rsidRDefault="00922B65" w:rsidP="00922B65">
            <w:pPr>
              <w:rPr>
                <w:rFonts w:ascii="Arial" w:eastAsia="Times New Roman" w:hAnsi="Arial" w:cs="Arial"/>
                <w:color w:val="000000"/>
                <w:sz w:val="18"/>
                <w:szCs w:val="18"/>
                <w:lang w:val="sk-SK" w:eastAsia="sk-SK"/>
              </w:rPr>
            </w:pPr>
          </w:p>
        </w:tc>
        <w:tc>
          <w:tcPr>
            <w:tcW w:w="1017" w:type="pct"/>
            <w:tcBorders>
              <w:top w:val="nil"/>
              <w:left w:val="nil"/>
              <w:bottom w:val="nil"/>
              <w:right w:val="nil"/>
            </w:tcBorders>
            <w:shd w:val="clear" w:color="auto" w:fill="auto"/>
            <w:vAlign w:val="bottom"/>
          </w:tcPr>
          <w:p w14:paraId="167A3F91" w14:textId="1028D366" w:rsidR="00922B65" w:rsidRPr="00226892" w:rsidRDefault="00922B65" w:rsidP="00922B6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18</w:t>
            </w:r>
            <w:r w:rsidR="0049047A" w:rsidRPr="00226892">
              <w:rPr>
                <w:rFonts w:ascii="Arial" w:eastAsia="Times New Roman" w:hAnsi="Arial" w:cs="Arial"/>
                <w:color w:val="000000"/>
                <w:sz w:val="18"/>
                <w:szCs w:val="18"/>
                <w:lang w:val="sk-SK" w:eastAsia="sk-SK"/>
              </w:rPr>
              <w:t>7</w:t>
            </w:r>
          </w:p>
        </w:tc>
        <w:tc>
          <w:tcPr>
            <w:tcW w:w="97" w:type="pct"/>
            <w:tcBorders>
              <w:top w:val="nil"/>
              <w:left w:val="nil"/>
              <w:bottom w:val="nil"/>
              <w:right w:val="nil"/>
            </w:tcBorders>
            <w:shd w:val="clear" w:color="auto" w:fill="auto"/>
            <w:vAlign w:val="bottom"/>
          </w:tcPr>
          <w:p w14:paraId="6AE559D7" w14:textId="77777777" w:rsidR="00922B65" w:rsidRPr="00226892" w:rsidRDefault="00922B65" w:rsidP="00922B65">
            <w:pPr>
              <w:jc w:val="right"/>
              <w:rPr>
                <w:rFonts w:ascii="Arial" w:eastAsia="Times New Roman" w:hAnsi="Arial" w:cs="Arial"/>
                <w:color w:val="000000"/>
                <w:sz w:val="18"/>
                <w:szCs w:val="18"/>
                <w:lang w:val="sk-SK" w:eastAsia="sk-SK"/>
              </w:rPr>
            </w:pPr>
          </w:p>
        </w:tc>
        <w:tc>
          <w:tcPr>
            <w:tcW w:w="1010" w:type="pct"/>
            <w:tcBorders>
              <w:top w:val="nil"/>
              <w:left w:val="nil"/>
              <w:bottom w:val="nil"/>
              <w:right w:val="nil"/>
            </w:tcBorders>
            <w:shd w:val="clear" w:color="auto" w:fill="auto"/>
            <w:vAlign w:val="bottom"/>
          </w:tcPr>
          <w:p w14:paraId="7BB487D6" w14:textId="615D734E" w:rsidR="00922B65" w:rsidRPr="00226892" w:rsidRDefault="00922B65" w:rsidP="00922B6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390</w:t>
            </w:r>
          </w:p>
        </w:tc>
      </w:tr>
      <w:tr w:rsidR="00922B65" w:rsidRPr="00226892" w14:paraId="337D531F" w14:textId="77777777" w:rsidTr="000405EF">
        <w:trPr>
          <w:trHeight w:val="227"/>
        </w:trPr>
        <w:tc>
          <w:tcPr>
            <w:tcW w:w="2771" w:type="pct"/>
            <w:tcBorders>
              <w:top w:val="nil"/>
              <w:left w:val="nil"/>
              <w:bottom w:val="nil"/>
              <w:right w:val="nil"/>
            </w:tcBorders>
            <w:shd w:val="clear" w:color="auto" w:fill="auto"/>
            <w:vAlign w:val="bottom"/>
            <w:hideMark/>
          </w:tcPr>
          <w:p w14:paraId="2A26143C" w14:textId="77777777" w:rsidR="00922B65" w:rsidRPr="00226892" w:rsidRDefault="00922B65" w:rsidP="00922B6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Ostatné pohľadávky</w:t>
            </w:r>
          </w:p>
        </w:tc>
        <w:tc>
          <w:tcPr>
            <w:tcW w:w="105" w:type="pct"/>
            <w:tcBorders>
              <w:top w:val="nil"/>
              <w:left w:val="nil"/>
              <w:bottom w:val="nil"/>
              <w:right w:val="nil"/>
            </w:tcBorders>
            <w:shd w:val="clear" w:color="auto" w:fill="auto"/>
            <w:vAlign w:val="bottom"/>
            <w:hideMark/>
          </w:tcPr>
          <w:p w14:paraId="11E318DE" w14:textId="77777777" w:rsidR="00922B65" w:rsidRPr="00226892" w:rsidRDefault="00922B65" w:rsidP="00922B65">
            <w:pPr>
              <w:rPr>
                <w:rFonts w:ascii="Arial" w:eastAsia="Times New Roman" w:hAnsi="Arial" w:cs="Arial"/>
                <w:color w:val="000000"/>
                <w:sz w:val="18"/>
                <w:szCs w:val="18"/>
                <w:lang w:val="sk-SK" w:eastAsia="sk-SK"/>
              </w:rPr>
            </w:pPr>
          </w:p>
        </w:tc>
        <w:tc>
          <w:tcPr>
            <w:tcW w:w="1017" w:type="pct"/>
            <w:tcBorders>
              <w:top w:val="nil"/>
              <w:left w:val="nil"/>
              <w:bottom w:val="nil"/>
              <w:right w:val="nil"/>
            </w:tcBorders>
            <w:shd w:val="clear" w:color="auto" w:fill="auto"/>
            <w:vAlign w:val="bottom"/>
          </w:tcPr>
          <w:p w14:paraId="503DB2AC" w14:textId="591D71C4" w:rsidR="00922B65" w:rsidRPr="00226892" w:rsidRDefault="00922B65" w:rsidP="00922B6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39</w:t>
            </w:r>
          </w:p>
        </w:tc>
        <w:tc>
          <w:tcPr>
            <w:tcW w:w="97" w:type="pct"/>
            <w:tcBorders>
              <w:top w:val="nil"/>
              <w:left w:val="nil"/>
              <w:bottom w:val="nil"/>
              <w:right w:val="nil"/>
            </w:tcBorders>
            <w:shd w:val="clear" w:color="auto" w:fill="auto"/>
            <w:vAlign w:val="bottom"/>
          </w:tcPr>
          <w:p w14:paraId="69FC48E6" w14:textId="77777777" w:rsidR="00922B65" w:rsidRPr="00226892" w:rsidRDefault="00922B65" w:rsidP="00922B65">
            <w:pPr>
              <w:jc w:val="right"/>
              <w:rPr>
                <w:rFonts w:ascii="Arial" w:eastAsia="Times New Roman" w:hAnsi="Arial" w:cs="Arial"/>
                <w:color w:val="000000"/>
                <w:sz w:val="18"/>
                <w:szCs w:val="18"/>
                <w:lang w:val="sk-SK" w:eastAsia="sk-SK"/>
              </w:rPr>
            </w:pPr>
          </w:p>
        </w:tc>
        <w:tc>
          <w:tcPr>
            <w:tcW w:w="1010" w:type="pct"/>
            <w:tcBorders>
              <w:top w:val="nil"/>
              <w:left w:val="nil"/>
              <w:bottom w:val="nil"/>
              <w:right w:val="nil"/>
            </w:tcBorders>
            <w:shd w:val="clear" w:color="auto" w:fill="auto"/>
            <w:vAlign w:val="bottom"/>
          </w:tcPr>
          <w:p w14:paraId="0E858649" w14:textId="5378C98E" w:rsidR="00922B65" w:rsidRPr="00226892" w:rsidRDefault="00922B65" w:rsidP="00922B6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4</w:t>
            </w:r>
            <w:r w:rsidR="00D5562C" w:rsidRPr="00226892">
              <w:rPr>
                <w:rFonts w:ascii="Arial" w:eastAsia="Times New Roman" w:hAnsi="Arial" w:cs="Arial"/>
                <w:color w:val="000000"/>
                <w:sz w:val="18"/>
                <w:szCs w:val="18"/>
                <w:lang w:val="sk-SK" w:eastAsia="sk-SK"/>
              </w:rPr>
              <w:t>5</w:t>
            </w:r>
          </w:p>
        </w:tc>
      </w:tr>
      <w:tr w:rsidR="00922B65" w:rsidRPr="00226892" w14:paraId="4E2A93A3" w14:textId="77777777" w:rsidTr="000405EF">
        <w:trPr>
          <w:trHeight w:val="227"/>
        </w:trPr>
        <w:tc>
          <w:tcPr>
            <w:tcW w:w="2771" w:type="pct"/>
            <w:tcBorders>
              <w:top w:val="nil"/>
              <w:left w:val="nil"/>
              <w:bottom w:val="nil"/>
              <w:right w:val="nil"/>
            </w:tcBorders>
            <w:shd w:val="clear" w:color="auto" w:fill="auto"/>
            <w:vAlign w:val="bottom"/>
            <w:hideMark/>
          </w:tcPr>
          <w:p w14:paraId="587D8DF3" w14:textId="77777777" w:rsidR="00922B65" w:rsidRPr="00226892" w:rsidRDefault="00922B65" w:rsidP="00922B6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Znížené o: Opravná položka na zníženie hodnoty ostatných pohľadávok</w:t>
            </w:r>
          </w:p>
        </w:tc>
        <w:tc>
          <w:tcPr>
            <w:tcW w:w="105" w:type="pct"/>
            <w:tcBorders>
              <w:top w:val="nil"/>
              <w:left w:val="nil"/>
              <w:bottom w:val="nil"/>
              <w:right w:val="nil"/>
            </w:tcBorders>
            <w:shd w:val="clear" w:color="auto" w:fill="auto"/>
            <w:vAlign w:val="bottom"/>
            <w:hideMark/>
          </w:tcPr>
          <w:p w14:paraId="63BB952B" w14:textId="77777777" w:rsidR="00922B65" w:rsidRPr="00226892" w:rsidRDefault="00922B65" w:rsidP="00922B65">
            <w:pPr>
              <w:rPr>
                <w:rFonts w:ascii="Arial" w:eastAsia="Times New Roman" w:hAnsi="Arial" w:cs="Arial"/>
                <w:color w:val="000000"/>
                <w:sz w:val="18"/>
                <w:szCs w:val="18"/>
                <w:lang w:val="sk-SK" w:eastAsia="sk-SK"/>
              </w:rPr>
            </w:pPr>
          </w:p>
        </w:tc>
        <w:tc>
          <w:tcPr>
            <w:tcW w:w="1017" w:type="pct"/>
            <w:tcBorders>
              <w:top w:val="nil"/>
              <w:left w:val="nil"/>
              <w:bottom w:val="nil"/>
              <w:right w:val="nil"/>
            </w:tcBorders>
            <w:shd w:val="clear" w:color="auto" w:fill="auto"/>
            <w:vAlign w:val="bottom"/>
          </w:tcPr>
          <w:p w14:paraId="2E56700F" w14:textId="460070A5" w:rsidR="00922B65" w:rsidRPr="00226892" w:rsidRDefault="00922B65" w:rsidP="00922B65">
            <w:pPr>
              <w:pStyle w:val="Odsekzoznamu"/>
              <w:jc w:val="right"/>
              <w:rPr>
                <w:rFonts w:ascii="Arial" w:hAnsi="Arial" w:cs="Arial"/>
                <w:color w:val="000000"/>
                <w:sz w:val="18"/>
                <w:szCs w:val="18"/>
                <w:lang w:val="sk-SK" w:eastAsia="sk-SK"/>
              </w:rPr>
            </w:pPr>
            <w:r w:rsidRPr="00226892">
              <w:rPr>
                <w:rFonts w:ascii="Arial" w:hAnsi="Arial" w:cs="Arial"/>
                <w:color w:val="000000"/>
                <w:sz w:val="18"/>
                <w:szCs w:val="18"/>
                <w:lang w:val="sk-SK" w:eastAsia="sk-SK"/>
              </w:rPr>
              <w:t>-</w:t>
            </w:r>
          </w:p>
        </w:tc>
        <w:tc>
          <w:tcPr>
            <w:tcW w:w="97" w:type="pct"/>
            <w:tcBorders>
              <w:top w:val="nil"/>
              <w:left w:val="nil"/>
              <w:bottom w:val="nil"/>
              <w:right w:val="nil"/>
            </w:tcBorders>
            <w:shd w:val="clear" w:color="auto" w:fill="auto"/>
            <w:vAlign w:val="bottom"/>
          </w:tcPr>
          <w:p w14:paraId="4515B655" w14:textId="77777777" w:rsidR="00922B65" w:rsidRPr="00226892" w:rsidRDefault="00922B65" w:rsidP="00922B65">
            <w:pPr>
              <w:jc w:val="right"/>
              <w:rPr>
                <w:rFonts w:ascii="Arial" w:eastAsia="Times New Roman" w:hAnsi="Arial" w:cs="Arial"/>
                <w:color w:val="000000"/>
                <w:sz w:val="18"/>
                <w:szCs w:val="18"/>
                <w:lang w:val="sk-SK" w:eastAsia="sk-SK"/>
              </w:rPr>
            </w:pPr>
          </w:p>
        </w:tc>
        <w:tc>
          <w:tcPr>
            <w:tcW w:w="1010" w:type="pct"/>
            <w:tcBorders>
              <w:top w:val="nil"/>
              <w:left w:val="nil"/>
              <w:bottom w:val="nil"/>
              <w:right w:val="nil"/>
            </w:tcBorders>
            <w:shd w:val="clear" w:color="auto" w:fill="auto"/>
            <w:vAlign w:val="bottom"/>
          </w:tcPr>
          <w:p w14:paraId="6D00AE46" w14:textId="19EE41AF" w:rsidR="00922B65" w:rsidRPr="00226892" w:rsidRDefault="00922B65" w:rsidP="00922B6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r>
      <w:tr w:rsidR="00922B65" w:rsidRPr="00226892" w14:paraId="0DC61B02" w14:textId="77777777" w:rsidTr="000405EF">
        <w:trPr>
          <w:trHeight w:val="227"/>
        </w:trPr>
        <w:tc>
          <w:tcPr>
            <w:tcW w:w="2771" w:type="pct"/>
            <w:tcBorders>
              <w:top w:val="nil"/>
              <w:left w:val="nil"/>
              <w:bottom w:val="nil"/>
              <w:right w:val="nil"/>
            </w:tcBorders>
            <w:shd w:val="clear" w:color="auto" w:fill="auto"/>
            <w:vAlign w:val="bottom"/>
            <w:hideMark/>
          </w:tcPr>
          <w:p w14:paraId="526EB6BF" w14:textId="6317FA17" w:rsidR="00922B65" w:rsidRPr="00226892" w:rsidRDefault="00922B65" w:rsidP="00922B65">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Spolu pohľadávky z obchodného styku a ostatné pohľadávky – krátkodobé</w:t>
            </w:r>
          </w:p>
        </w:tc>
        <w:tc>
          <w:tcPr>
            <w:tcW w:w="105" w:type="pct"/>
            <w:tcBorders>
              <w:top w:val="nil"/>
              <w:left w:val="nil"/>
              <w:bottom w:val="nil"/>
              <w:right w:val="nil"/>
            </w:tcBorders>
            <w:shd w:val="clear" w:color="auto" w:fill="auto"/>
            <w:vAlign w:val="bottom"/>
            <w:hideMark/>
          </w:tcPr>
          <w:p w14:paraId="7C6591C1" w14:textId="77777777" w:rsidR="00922B65" w:rsidRPr="00226892" w:rsidRDefault="00922B65" w:rsidP="00922B65">
            <w:pPr>
              <w:rPr>
                <w:rFonts w:ascii="Arial" w:eastAsia="Times New Roman" w:hAnsi="Arial" w:cs="Arial"/>
                <w:b/>
                <w:bCs/>
                <w:color w:val="000000"/>
                <w:sz w:val="18"/>
                <w:szCs w:val="18"/>
                <w:lang w:val="sk-SK" w:eastAsia="sk-SK"/>
              </w:rPr>
            </w:pPr>
          </w:p>
        </w:tc>
        <w:tc>
          <w:tcPr>
            <w:tcW w:w="1017" w:type="pct"/>
            <w:tcBorders>
              <w:top w:val="single" w:sz="4" w:space="0" w:color="auto"/>
              <w:left w:val="nil"/>
              <w:bottom w:val="double" w:sz="6" w:space="0" w:color="auto"/>
              <w:right w:val="nil"/>
            </w:tcBorders>
            <w:shd w:val="clear" w:color="auto" w:fill="auto"/>
            <w:vAlign w:val="bottom"/>
          </w:tcPr>
          <w:p w14:paraId="5F95872E" w14:textId="30623D60" w:rsidR="00922B65" w:rsidRPr="00226892" w:rsidRDefault="00922B65" w:rsidP="00922B6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w:t>
            </w:r>
            <w:r w:rsidR="00C57EDA" w:rsidRPr="00226892">
              <w:rPr>
                <w:rFonts w:ascii="Arial" w:eastAsia="Times New Roman" w:hAnsi="Arial" w:cs="Arial"/>
                <w:b/>
                <w:bCs/>
                <w:color w:val="000000"/>
                <w:sz w:val="18"/>
                <w:szCs w:val="18"/>
                <w:lang w:val="sk-SK" w:eastAsia="sk-SK"/>
              </w:rPr>
              <w:t>5</w:t>
            </w:r>
            <w:r w:rsidRPr="00226892">
              <w:rPr>
                <w:rFonts w:ascii="Arial" w:eastAsia="Times New Roman" w:hAnsi="Arial" w:cs="Arial"/>
                <w:b/>
                <w:bCs/>
                <w:color w:val="000000"/>
                <w:sz w:val="18"/>
                <w:szCs w:val="18"/>
                <w:lang w:val="sk-SK" w:eastAsia="sk-SK"/>
              </w:rPr>
              <w:t xml:space="preserve"> </w:t>
            </w:r>
            <w:r w:rsidR="00C57EDA" w:rsidRPr="00226892">
              <w:rPr>
                <w:rFonts w:ascii="Arial" w:eastAsia="Times New Roman" w:hAnsi="Arial" w:cs="Arial"/>
                <w:b/>
                <w:bCs/>
                <w:color w:val="000000"/>
                <w:sz w:val="18"/>
                <w:szCs w:val="18"/>
                <w:lang w:val="sk-SK" w:eastAsia="sk-SK"/>
              </w:rPr>
              <w:t>375</w:t>
            </w:r>
          </w:p>
        </w:tc>
        <w:tc>
          <w:tcPr>
            <w:tcW w:w="97" w:type="pct"/>
            <w:tcBorders>
              <w:top w:val="nil"/>
              <w:left w:val="nil"/>
              <w:bottom w:val="nil"/>
              <w:right w:val="nil"/>
            </w:tcBorders>
            <w:shd w:val="clear" w:color="auto" w:fill="auto"/>
            <w:vAlign w:val="bottom"/>
          </w:tcPr>
          <w:p w14:paraId="066FE979" w14:textId="77777777" w:rsidR="00922B65" w:rsidRPr="00226892" w:rsidRDefault="00922B65" w:rsidP="00922B65">
            <w:pPr>
              <w:jc w:val="right"/>
              <w:rPr>
                <w:rFonts w:ascii="Arial" w:eastAsia="Times New Roman" w:hAnsi="Arial" w:cs="Arial"/>
                <w:b/>
                <w:bCs/>
                <w:color w:val="000000"/>
                <w:sz w:val="18"/>
                <w:szCs w:val="18"/>
                <w:lang w:val="sk-SK" w:eastAsia="sk-SK"/>
              </w:rPr>
            </w:pPr>
          </w:p>
        </w:tc>
        <w:tc>
          <w:tcPr>
            <w:tcW w:w="1010" w:type="pct"/>
            <w:tcBorders>
              <w:top w:val="single" w:sz="4" w:space="0" w:color="auto"/>
              <w:left w:val="nil"/>
              <w:bottom w:val="double" w:sz="6" w:space="0" w:color="auto"/>
              <w:right w:val="nil"/>
            </w:tcBorders>
            <w:shd w:val="clear" w:color="auto" w:fill="auto"/>
            <w:vAlign w:val="bottom"/>
          </w:tcPr>
          <w:p w14:paraId="0E5C80CE" w14:textId="21C9DAB7" w:rsidR="00922B65" w:rsidRPr="00226892" w:rsidRDefault="00AB1E70" w:rsidP="00922B6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20 279</w:t>
            </w:r>
          </w:p>
        </w:tc>
      </w:tr>
      <w:tr w:rsidR="002A21B9" w:rsidRPr="00226892" w14:paraId="7C02E3F9" w14:textId="77777777" w:rsidTr="000405EF">
        <w:trPr>
          <w:trHeight w:val="227"/>
        </w:trPr>
        <w:tc>
          <w:tcPr>
            <w:tcW w:w="2771" w:type="pct"/>
            <w:tcBorders>
              <w:top w:val="nil"/>
              <w:left w:val="nil"/>
              <w:bottom w:val="nil"/>
              <w:right w:val="nil"/>
            </w:tcBorders>
            <w:shd w:val="clear" w:color="auto" w:fill="auto"/>
            <w:vAlign w:val="bottom"/>
            <w:hideMark/>
          </w:tcPr>
          <w:p w14:paraId="0406C9BD" w14:textId="77777777" w:rsidR="002A21B9" w:rsidRPr="00226892" w:rsidRDefault="002A21B9" w:rsidP="002A21B9">
            <w:pPr>
              <w:rPr>
                <w:rFonts w:ascii="Arial" w:eastAsia="Times New Roman" w:hAnsi="Arial" w:cs="Arial"/>
                <w:b/>
                <w:bCs/>
                <w:color w:val="000000"/>
                <w:sz w:val="18"/>
                <w:szCs w:val="18"/>
                <w:lang w:val="sk-SK" w:eastAsia="sk-SK"/>
              </w:rPr>
            </w:pPr>
          </w:p>
        </w:tc>
        <w:tc>
          <w:tcPr>
            <w:tcW w:w="105" w:type="pct"/>
            <w:tcBorders>
              <w:top w:val="nil"/>
              <w:left w:val="nil"/>
              <w:bottom w:val="nil"/>
              <w:right w:val="nil"/>
            </w:tcBorders>
            <w:shd w:val="clear" w:color="auto" w:fill="auto"/>
            <w:vAlign w:val="bottom"/>
            <w:hideMark/>
          </w:tcPr>
          <w:p w14:paraId="1375F902" w14:textId="77777777" w:rsidR="002A21B9" w:rsidRPr="00226892" w:rsidRDefault="002A21B9" w:rsidP="002A21B9">
            <w:pPr>
              <w:rPr>
                <w:rFonts w:ascii="Arial" w:eastAsia="Times New Roman" w:hAnsi="Arial" w:cs="Arial"/>
                <w:sz w:val="18"/>
                <w:szCs w:val="18"/>
                <w:lang w:val="sk-SK" w:eastAsia="sk-SK"/>
              </w:rPr>
            </w:pPr>
          </w:p>
        </w:tc>
        <w:tc>
          <w:tcPr>
            <w:tcW w:w="1017" w:type="pct"/>
            <w:tcBorders>
              <w:top w:val="nil"/>
              <w:left w:val="nil"/>
              <w:bottom w:val="nil"/>
              <w:right w:val="nil"/>
            </w:tcBorders>
            <w:shd w:val="clear" w:color="auto" w:fill="auto"/>
            <w:vAlign w:val="bottom"/>
          </w:tcPr>
          <w:p w14:paraId="2FDE6EAF" w14:textId="77777777" w:rsidR="002A21B9" w:rsidRPr="00226892" w:rsidRDefault="002A21B9" w:rsidP="002A21B9">
            <w:pPr>
              <w:jc w:val="right"/>
              <w:rPr>
                <w:rFonts w:ascii="Arial" w:eastAsia="Times New Roman" w:hAnsi="Arial" w:cs="Arial"/>
                <w:sz w:val="18"/>
                <w:szCs w:val="18"/>
                <w:lang w:val="sk-SK" w:eastAsia="sk-SK"/>
              </w:rPr>
            </w:pPr>
          </w:p>
        </w:tc>
        <w:tc>
          <w:tcPr>
            <w:tcW w:w="97" w:type="pct"/>
            <w:tcBorders>
              <w:top w:val="nil"/>
              <w:left w:val="nil"/>
              <w:bottom w:val="nil"/>
              <w:right w:val="nil"/>
            </w:tcBorders>
            <w:shd w:val="clear" w:color="auto" w:fill="auto"/>
            <w:vAlign w:val="bottom"/>
          </w:tcPr>
          <w:p w14:paraId="034908D1" w14:textId="77777777" w:rsidR="002A21B9" w:rsidRPr="00226892" w:rsidRDefault="002A21B9" w:rsidP="002A21B9">
            <w:pPr>
              <w:jc w:val="right"/>
              <w:rPr>
                <w:rFonts w:ascii="Arial" w:eastAsia="Times New Roman" w:hAnsi="Arial" w:cs="Arial"/>
                <w:sz w:val="18"/>
                <w:szCs w:val="18"/>
                <w:lang w:val="sk-SK" w:eastAsia="sk-SK"/>
              </w:rPr>
            </w:pPr>
          </w:p>
        </w:tc>
        <w:tc>
          <w:tcPr>
            <w:tcW w:w="1010" w:type="pct"/>
            <w:tcBorders>
              <w:top w:val="nil"/>
              <w:left w:val="nil"/>
              <w:bottom w:val="nil"/>
              <w:right w:val="nil"/>
            </w:tcBorders>
            <w:shd w:val="clear" w:color="auto" w:fill="auto"/>
            <w:vAlign w:val="bottom"/>
          </w:tcPr>
          <w:p w14:paraId="23E3FA37" w14:textId="77777777" w:rsidR="002A21B9" w:rsidRPr="00226892" w:rsidRDefault="002A21B9" w:rsidP="002A21B9">
            <w:pPr>
              <w:jc w:val="right"/>
              <w:rPr>
                <w:rFonts w:ascii="Arial" w:eastAsia="Times New Roman" w:hAnsi="Arial" w:cs="Arial"/>
                <w:sz w:val="18"/>
                <w:szCs w:val="18"/>
                <w:lang w:val="sk-SK" w:eastAsia="sk-SK"/>
              </w:rPr>
            </w:pPr>
          </w:p>
        </w:tc>
      </w:tr>
      <w:tr w:rsidR="002A21B9" w:rsidRPr="00226892" w14:paraId="5121055A" w14:textId="77777777" w:rsidTr="000405EF">
        <w:trPr>
          <w:trHeight w:val="227"/>
        </w:trPr>
        <w:tc>
          <w:tcPr>
            <w:tcW w:w="2771" w:type="pct"/>
            <w:tcBorders>
              <w:top w:val="nil"/>
              <w:left w:val="nil"/>
              <w:bottom w:val="nil"/>
              <w:right w:val="nil"/>
            </w:tcBorders>
            <w:shd w:val="clear" w:color="auto" w:fill="auto"/>
            <w:vAlign w:val="bottom"/>
            <w:hideMark/>
          </w:tcPr>
          <w:p w14:paraId="15F0D00E" w14:textId="77777777" w:rsidR="002A21B9" w:rsidRPr="00226892" w:rsidRDefault="002A21B9" w:rsidP="002A21B9">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Pohľadávky z obchodného styku, ktoré nie sú ani po splatnosti ani znehodnotené</w:t>
            </w:r>
          </w:p>
        </w:tc>
        <w:tc>
          <w:tcPr>
            <w:tcW w:w="105" w:type="pct"/>
            <w:tcBorders>
              <w:top w:val="nil"/>
              <w:left w:val="nil"/>
              <w:bottom w:val="nil"/>
              <w:right w:val="nil"/>
            </w:tcBorders>
            <w:shd w:val="clear" w:color="auto" w:fill="auto"/>
            <w:vAlign w:val="bottom"/>
            <w:hideMark/>
          </w:tcPr>
          <w:p w14:paraId="526A61A8" w14:textId="77777777" w:rsidR="002A21B9" w:rsidRPr="00226892" w:rsidRDefault="002A21B9" w:rsidP="002A21B9">
            <w:pPr>
              <w:rPr>
                <w:rFonts w:ascii="Arial" w:eastAsia="Times New Roman" w:hAnsi="Arial" w:cs="Arial"/>
                <w:color w:val="000000"/>
                <w:sz w:val="18"/>
                <w:szCs w:val="18"/>
                <w:lang w:val="sk-SK" w:eastAsia="sk-SK"/>
              </w:rPr>
            </w:pPr>
          </w:p>
        </w:tc>
        <w:tc>
          <w:tcPr>
            <w:tcW w:w="1017" w:type="pct"/>
            <w:tcBorders>
              <w:top w:val="nil"/>
              <w:left w:val="nil"/>
              <w:bottom w:val="nil"/>
              <w:right w:val="nil"/>
            </w:tcBorders>
            <w:shd w:val="clear" w:color="auto" w:fill="auto"/>
            <w:vAlign w:val="bottom"/>
          </w:tcPr>
          <w:p w14:paraId="56314930" w14:textId="52A6F9BE" w:rsidR="002A21B9" w:rsidRPr="00226892" w:rsidRDefault="002A21B9" w:rsidP="002A21B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7" w:type="pct"/>
            <w:tcBorders>
              <w:top w:val="nil"/>
              <w:left w:val="nil"/>
              <w:bottom w:val="nil"/>
              <w:right w:val="nil"/>
            </w:tcBorders>
            <w:shd w:val="clear" w:color="auto" w:fill="auto"/>
            <w:vAlign w:val="bottom"/>
          </w:tcPr>
          <w:p w14:paraId="3BD1AA81" w14:textId="77777777" w:rsidR="002A21B9" w:rsidRPr="00226892" w:rsidRDefault="002A21B9" w:rsidP="002A21B9">
            <w:pPr>
              <w:jc w:val="right"/>
              <w:rPr>
                <w:rFonts w:ascii="Arial" w:eastAsia="Times New Roman" w:hAnsi="Arial" w:cs="Arial"/>
                <w:color w:val="000000"/>
                <w:sz w:val="18"/>
                <w:szCs w:val="18"/>
                <w:lang w:val="sk-SK" w:eastAsia="sk-SK"/>
              </w:rPr>
            </w:pPr>
          </w:p>
        </w:tc>
        <w:tc>
          <w:tcPr>
            <w:tcW w:w="1010" w:type="pct"/>
            <w:tcBorders>
              <w:top w:val="nil"/>
              <w:left w:val="nil"/>
              <w:bottom w:val="nil"/>
              <w:right w:val="nil"/>
            </w:tcBorders>
            <w:shd w:val="clear" w:color="auto" w:fill="auto"/>
            <w:vAlign w:val="bottom"/>
          </w:tcPr>
          <w:p w14:paraId="7586D833" w14:textId="1BDBF1CC" w:rsidR="002A21B9" w:rsidRPr="00226892" w:rsidRDefault="002A21B9" w:rsidP="002A21B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r>
      <w:tr w:rsidR="002A21B9" w:rsidRPr="00226892" w14:paraId="3E4279A1" w14:textId="77777777" w:rsidTr="000405EF">
        <w:trPr>
          <w:trHeight w:val="227"/>
        </w:trPr>
        <w:tc>
          <w:tcPr>
            <w:tcW w:w="2771" w:type="pct"/>
            <w:tcBorders>
              <w:top w:val="nil"/>
              <w:left w:val="nil"/>
              <w:bottom w:val="nil"/>
              <w:right w:val="nil"/>
            </w:tcBorders>
            <w:shd w:val="clear" w:color="auto" w:fill="auto"/>
            <w:vAlign w:val="bottom"/>
            <w:hideMark/>
          </w:tcPr>
          <w:p w14:paraId="7AD72C07" w14:textId="77777777" w:rsidR="002A21B9" w:rsidRPr="00226892" w:rsidRDefault="002A21B9" w:rsidP="002A21B9">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Dlhodobé pohľadávky z obchodného styku – netto</w:t>
            </w:r>
          </w:p>
        </w:tc>
        <w:tc>
          <w:tcPr>
            <w:tcW w:w="105" w:type="pct"/>
            <w:tcBorders>
              <w:top w:val="nil"/>
              <w:left w:val="nil"/>
              <w:bottom w:val="nil"/>
              <w:right w:val="nil"/>
            </w:tcBorders>
            <w:shd w:val="clear" w:color="auto" w:fill="auto"/>
            <w:vAlign w:val="bottom"/>
            <w:hideMark/>
          </w:tcPr>
          <w:p w14:paraId="2BC0FCAF" w14:textId="77777777" w:rsidR="002A21B9" w:rsidRPr="00226892" w:rsidRDefault="002A21B9" w:rsidP="002A21B9">
            <w:pPr>
              <w:rPr>
                <w:rFonts w:ascii="Arial" w:eastAsia="Times New Roman" w:hAnsi="Arial" w:cs="Arial"/>
                <w:b/>
                <w:bCs/>
                <w:color w:val="000000"/>
                <w:sz w:val="18"/>
                <w:szCs w:val="18"/>
                <w:lang w:val="sk-SK" w:eastAsia="sk-SK"/>
              </w:rPr>
            </w:pPr>
          </w:p>
        </w:tc>
        <w:tc>
          <w:tcPr>
            <w:tcW w:w="1017" w:type="pct"/>
            <w:tcBorders>
              <w:top w:val="single" w:sz="4" w:space="0" w:color="auto"/>
              <w:left w:val="nil"/>
              <w:bottom w:val="double" w:sz="6" w:space="0" w:color="auto"/>
              <w:right w:val="nil"/>
            </w:tcBorders>
            <w:shd w:val="clear" w:color="auto" w:fill="auto"/>
            <w:vAlign w:val="bottom"/>
          </w:tcPr>
          <w:p w14:paraId="25AA8E08" w14:textId="6AC7BE0B" w:rsidR="002A21B9" w:rsidRPr="00226892" w:rsidRDefault="002A21B9" w:rsidP="002A21B9">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w:t>
            </w:r>
          </w:p>
        </w:tc>
        <w:tc>
          <w:tcPr>
            <w:tcW w:w="97" w:type="pct"/>
            <w:tcBorders>
              <w:top w:val="nil"/>
              <w:left w:val="nil"/>
              <w:bottom w:val="nil"/>
              <w:right w:val="nil"/>
            </w:tcBorders>
            <w:shd w:val="clear" w:color="auto" w:fill="auto"/>
            <w:vAlign w:val="bottom"/>
          </w:tcPr>
          <w:p w14:paraId="1B179530" w14:textId="77777777" w:rsidR="002A21B9" w:rsidRPr="00226892" w:rsidRDefault="002A21B9" w:rsidP="002A21B9">
            <w:pPr>
              <w:jc w:val="right"/>
              <w:rPr>
                <w:rFonts w:ascii="Arial" w:eastAsia="Times New Roman" w:hAnsi="Arial" w:cs="Arial"/>
                <w:b/>
                <w:bCs/>
                <w:color w:val="000000"/>
                <w:sz w:val="18"/>
                <w:szCs w:val="18"/>
                <w:lang w:val="sk-SK" w:eastAsia="sk-SK"/>
              </w:rPr>
            </w:pPr>
          </w:p>
        </w:tc>
        <w:tc>
          <w:tcPr>
            <w:tcW w:w="1010" w:type="pct"/>
            <w:tcBorders>
              <w:top w:val="single" w:sz="4" w:space="0" w:color="auto"/>
              <w:left w:val="nil"/>
              <w:bottom w:val="double" w:sz="6" w:space="0" w:color="auto"/>
              <w:right w:val="nil"/>
            </w:tcBorders>
            <w:shd w:val="clear" w:color="auto" w:fill="auto"/>
            <w:vAlign w:val="bottom"/>
          </w:tcPr>
          <w:p w14:paraId="72C30277" w14:textId="5FD7CF83" w:rsidR="002A21B9" w:rsidRPr="00226892" w:rsidRDefault="002A21B9" w:rsidP="002A21B9">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w:t>
            </w:r>
          </w:p>
        </w:tc>
      </w:tr>
      <w:tr w:rsidR="002A21B9" w:rsidRPr="00226892" w14:paraId="64F1CD23" w14:textId="77777777" w:rsidTr="000405EF">
        <w:trPr>
          <w:trHeight w:val="227"/>
        </w:trPr>
        <w:tc>
          <w:tcPr>
            <w:tcW w:w="2771" w:type="pct"/>
            <w:tcBorders>
              <w:top w:val="nil"/>
              <w:left w:val="nil"/>
              <w:bottom w:val="nil"/>
              <w:right w:val="nil"/>
            </w:tcBorders>
            <w:shd w:val="clear" w:color="auto" w:fill="auto"/>
            <w:vAlign w:val="bottom"/>
            <w:hideMark/>
          </w:tcPr>
          <w:p w14:paraId="1740ECA2" w14:textId="77777777" w:rsidR="002A21B9" w:rsidRPr="00226892" w:rsidRDefault="002A21B9" w:rsidP="002A21B9">
            <w:pPr>
              <w:rPr>
                <w:rFonts w:ascii="Arial" w:eastAsia="Times New Roman" w:hAnsi="Arial" w:cs="Arial"/>
                <w:b/>
                <w:bCs/>
                <w:color w:val="000000"/>
                <w:sz w:val="18"/>
                <w:szCs w:val="18"/>
                <w:lang w:val="sk-SK" w:eastAsia="sk-SK"/>
              </w:rPr>
            </w:pPr>
          </w:p>
        </w:tc>
        <w:tc>
          <w:tcPr>
            <w:tcW w:w="105" w:type="pct"/>
            <w:tcBorders>
              <w:top w:val="nil"/>
              <w:left w:val="nil"/>
              <w:bottom w:val="nil"/>
              <w:right w:val="nil"/>
            </w:tcBorders>
            <w:shd w:val="clear" w:color="auto" w:fill="auto"/>
            <w:vAlign w:val="bottom"/>
            <w:hideMark/>
          </w:tcPr>
          <w:p w14:paraId="30C2BFD8" w14:textId="77777777" w:rsidR="002A21B9" w:rsidRPr="00226892" w:rsidRDefault="002A21B9" w:rsidP="002A21B9">
            <w:pPr>
              <w:rPr>
                <w:rFonts w:ascii="Arial" w:eastAsia="Times New Roman" w:hAnsi="Arial" w:cs="Arial"/>
                <w:sz w:val="18"/>
                <w:szCs w:val="18"/>
                <w:lang w:val="sk-SK" w:eastAsia="sk-SK"/>
              </w:rPr>
            </w:pPr>
          </w:p>
        </w:tc>
        <w:tc>
          <w:tcPr>
            <w:tcW w:w="1017" w:type="pct"/>
            <w:tcBorders>
              <w:top w:val="nil"/>
              <w:left w:val="nil"/>
              <w:bottom w:val="nil"/>
              <w:right w:val="nil"/>
            </w:tcBorders>
            <w:shd w:val="clear" w:color="auto" w:fill="auto"/>
            <w:vAlign w:val="bottom"/>
          </w:tcPr>
          <w:p w14:paraId="3A4695C4" w14:textId="77777777" w:rsidR="002A21B9" w:rsidRPr="00226892" w:rsidRDefault="002A21B9" w:rsidP="002A21B9">
            <w:pPr>
              <w:jc w:val="right"/>
              <w:rPr>
                <w:rFonts w:ascii="Arial" w:eastAsia="Times New Roman" w:hAnsi="Arial" w:cs="Arial"/>
                <w:sz w:val="18"/>
                <w:szCs w:val="18"/>
                <w:lang w:val="sk-SK" w:eastAsia="sk-SK"/>
              </w:rPr>
            </w:pPr>
          </w:p>
        </w:tc>
        <w:tc>
          <w:tcPr>
            <w:tcW w:w="97" w:type="pct"/>
            <w:tcBorders>
              <w:top w:val="nil"/>
              <w:left w:val="nil"/>
              <w:bottom w:val="nil"/>
              <w:right w:val="nil"/>
            </w:tcBorders>
            <w:shd w:val="clear" w:color="auto" w:fill="auto"/>
            <w:vAlign w:val="bottom"/>
          </w:tcPr>
          <w:p w14:paraId="40EC40F1" w14:textId="77777777" w:rsidR="002A21B9" w:rsidRPr="00226892" w:rsidRDefault="002A21B9" w:rsidP="002A21B9">
            <w:pPr>
              <w:jc w:val="right"/>
              <w:rPr>
                <w:rFonts w:ascii="Arial" w:eastAsia="Times New Roman" w:hAnsi="Arial" w:cs="Arial"/>
                <w:sz w:val="18"/>
                <w:szCs w:val="18"/>
                <w:lang w:val="sk-SK" w:eastAsia="sk-SK"/>
              </w:rPr>
            </w:pPr>
          </w:p>
        </w:tc>
        <w:tc>
          <w:tcPr>
            <w:tcW w:w="1010" w:type="pct"/>
            <w:tcBorders>
              <w:top w:val="nil"/>
              <w:left w:val="nil"/>
              <w:bottom w:val="nil"/>
              <w:right w:val="nil"/>
            </w:tcBorders>
            <w:shd w:val="clear" w:color="auto" w:fill="auto"/>
            <w:vAlign w:val="bottom"/>
          </w:tcPr>
          <w:p w14:paraId="428434FE" w14:textId="77777777" w:rsidR="002A21B9" w:rsidRPr="00226892" w:rsidRDefault="002A21B9" w:rsidP="002A21B9">
            <w:pPr>
              <w:jc w:val="right"/>
              <w:rPr>
                <w:rFonts w:ascii="Arial" w:eastAsia="Times New Roman" w:hAnsi="Arial" w:cs="Arial"/>
                <w:sz w:val="18"/>
                <w:szCs w:val="18"/>
                <w:lang w:val="sk-SK" w:eastAsia="sk-SK"/>
              </w:rPr>
            </w:pPr>
          </w:p>
        </w:tc>
      </w:tr>
      <w:tr w:rsidR="002A21B9" w:rsidRPr="00226892" w14:paraId="6FEAF711" w14:textId="77777777" w:rsidTr="000405EF">
        <w:trPr>
          <w:trHeight w:val="227"/>
        </w:trPr>
        <w:tc>
          <w:tcPr>
            <w:tcW w:w="2771" w:type="pct"/>
            <w:tcBorders>
              <w:top w:val="nil"/>
              <w:left w:val="nil"/>
              <w:bottom w:val="nil"/>
              <w:right w:val="nil"/>
            </w:tcBorders>
            <w:shd w:val="clear" w:color="auto" w:fill="auto"/>
            <w:vAlign w:val="bottom"/>
            <w:hideMark/>
          </w:tcPr>
          <w:p w14:paraId="2B57A1E4" w14:textId="77777777" w:rsidR="002A21B9" w:rsidRPr="00226892" w:rsidRDefault="002A21B9" w:rsidP="002A21B9">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Ostatné dlhodobé pohľadávky </w:t>
            </w:r>
          </w:p>
        </w:tc>
        <w:tc>
          <w:tcPr>
            <w:tcW w:w="105" w:type="pct"/>
            <w:tcBorders>
              <w:top w:val="nil"/>
              <w:left w:val="nil"/>
              <w:bottom w:val="nil"/>
              <w:right w:val="nil"/>
            </w:tcBorders>
            <w:shd w:val="clear" w:color="auto" w:fill="auto"/>
            <w:vAlign w:val="bottom"/>
            <w:hideMark/>
          </w:tcPr>
          <w:p w14:paraId="5BEA6A10" w14:textId="77777777" w:rsidR="002A21B9" w:rsidRPr="00226892" w:rsidRDefault="002A21B9" w:rsidP="002A21B9">
            <w:pPr>
              <w:rPr>
                <w:rFonts w:ascii="Arial" w:eastAsia="Times New Roman" w:hAnsi="Arial" w:cs="Arial"/>
                <w:color w:val="000000"/>
                <w:sz w:val="18"/>
                <w:szCs w:val="18"/>
                <w:lang w:val="sk-SK" w:eastAsia="sk-SK"/>
              </w:rPr>
            </w:pPr>
          </w:p>
        </w:tc>
        <w:tc>
          <w:tcPr>
            <w:tcW w:w="1017" w:type="pct"/>
            <w:tcBorders>
              <w:top w:val="nil"/>
              <w:left w:val="nil"/>
              <w:bottom w:val="nil"/>
              <w:right w:val="nil"/>
            </w:tcBorders>
            <w:shd w:val="clear" w:color="auto" w:fill="auto"/>
            <w:vAlign w:val="bottom"/>
          </w:tcPr>
          <w:p w14:paraId="4AF3D788" w14:textId="0BD2ABE7" w:rsidR="002A21B9" w:rsidRPr="00226892" w:rsidRDefault="002A21B9" w:rsidP="002A21B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7" w:type="pct"/>
            <w:tcBorders>
              <w:top w:val="nil"/>
              <w:left w:val="nil"/>
              <w:bottom w:val="nil"/>
              <w:right w:val="nil"/>
            </w:tcBorders>
            <w:shd w:val="clear" w:color="auto" w:fill="auto"/>
            <w:vAlign w:val="bottom"/>
          </w:tcPr>
          <w:p w14:paraId="07A04F95" w14:textId="77777777" w:rsidR="002A21B9" w:rsidRPr="00226892" w:rsidRDefault="002A21B9" w:rsidP="002A21B9">
            <w:pPr>
              <w:jc w:val="right"/>
              <w:rPr>
                <w:rFonts w:ascii="Arial" w:eastAsia="Times New Roman" w:hAnsi="Arial" w:cs="Arial"/>
                <w:color w:val="000000"/>
                <w:sz w:val="18"/>
                <w:szCs w:val="18"/>
                <w:lang w:val="sk-SK" w:eastAsia="sk-SK"/>
              </w:rPr>
            </w:pPr>
          </w:p>
        </w:tc>
        <w:tc>
          <w:tcPr>
            <w:tcW w:w="1010" w:type="pct"/>
            <w:tcBorders>
              <w:top w:val="nil"/>
              <w:left w:val="nil"/>
              <w:bottom w:val="nil"/>
              <w:right w:val="nil"/>
            </w:tcBorders>
            <w:shd w:val="clear" w:color="auto" w:fill="auto"/>
            <w:vAlign w:val="bottom"/>
          </w:tcPr>
          <w:p w14:paraId="2C19AC12" w14:textId="7540BB77" w:rsidR="002A21B9" w:rsidRPr="00226892" w:rsidRDefault="002A21B9" w:rsidP="002A21B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r>
      <w:tr w:rsidR="002A21B9" w:rsidRPr="00226892" w14:paraId="2DE21D69" w14:textId="77777777" w:rsidTr="000405EF">
        <w:trPr>
          <w:trHeight w:val="227"/>
        </w:trPr>
        <w:tc>
          <w:tcPr>
            <w:tcW w:w="2771" w:type="pct"/>
            <w:tcBorders>
              <w:top w:val="nil"/>
              <w:left w:val="nil"/>
              <w:bottom w:val="nil"/>
              <w:right w:val="nil"/>
            </w:tcBorders>
            <w:shd w:val="clear" w:color="auto" w:fill="auto"/>
            <w:vAlign w:val="bottom"/>
            <w:hideMark/>
          </w:tcPr>
          <w:p w14:paraId="241540C9" w14:textId="29E24070" w:rsidR="002A21B9" w:rsidRPr="00226892" w:rsidRDefault="002A21B9" w:rsidP="002A21B9">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Spolu pohľadávky z obchodného styku a ostatné pohľadávky – dlhodobé</w:t>
            </w:r>
          </w:p>
        </w:tc>
        <w:tc>
          <w:tcPr>
            <w:tcW w:w="105" w:type="pct"/>
            <w:tcBorders>
              <w:top w:val="nil"/>
              <w:left w:val="nil"/>
              <w:bottom w:val="nil"/>
              <w:right w:val="nil"/>
            </w:tcBorders>
            <w:shd w:val="clear" w:color="auto" w:fill="auto"/>
            <w:vAlign w:val="bottom"/>
            <w:hideMark/>
          </w:tcPr>
          <w:p w14:paraId="5E63315D" w14:textId="77777777" w:rsidR="002A21B9" w:rsidRPr="00226892" w:rsidRDefault="002A21B9" w:rsidP="002A21B9">
            <w:pPr>
              <w:rPr>
                <w:rFonts w:ascii="Arial" w:eastAsia="Times New Roman" w:hAnsi="Arial" w:cs="Arial"/>
                <w:b/>
                <w:bCs/>
                <w:color w:val="000000"/>
                <w:sz w:val="18"/>
                <w:szCs w:val="18"/>
                <w:lang w:val="sk-SK" w:eastAsia="sk-SK"/>
              </w:rPr>
            </w:pPr>
          </w:p>
        </w:tc>
        <w:tc>
          <w:tcPr>
            <w:tcW w:w="1017" w:type="pct"/>
            <w:tcBorders>
              <w:top w:val="single" w:sz="4" w:space="0" w:color="auto"/>
              <w:left w:val="nil"/>
              <w:bottom w:val="double" w:sz="6" w:space="0" w:color="auto"/>
              <w:right w:val="nil"/>
            </w:tcBorders>
            <w:shd w:val="clear" w:color="auto" w:fill="auto"/>
            <w:vAlign w:val="bottom"/>
          </w:tcPr>
          <w:p w14:paraId="1E69AE87" w14:textId="2C1972CB" w:rsidR="002A21B9" w:rsidRPr="00226892" w:rsidRDefault="002A21B9" w:rsidP="002A21B9">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w:t>
            </w:r>
          </w:p>
        </w:tc>
        <w:tc>
          <w:tcPr>
            <w:tcW w:w="97" w:type="pct"/>
            <w:tcBorders>
              <w:top w:val="nil"/>
              <w:left w:val="nil"/>
              <w:bottom w:val="nil"/>
              <w:right w:val="nil"/>
            </w:tcBorders>
            <w:shd w:val="clear" w:color="auto" w:fill="auto"/>
            <w:vAlign w:val="bottom"/>
          </w:tcPr>
          <w:p w14:paraId="5759408A" w14:textId="77777777" w:rsidR="002A21B9" w:rsidRPr="00226892" w:rsidRDefault="002A21B9" w:rsidP="002A21B9">
            <w:pPr>
              <w:jc w:val="right"/>
              <w:rPr>
                <w:rFonts w:ascii="Arial" w:eastAsia="Times New Roman" w:hAnsi="Arial" w:cs="Arial"/>
                <w:b/>
                <w:bCs/>
                <w:color w:val="000000"/>
                <w:sz w:val="18"/>
                <w:szCs w:val="18"/>
                <w:lang w:val="sk-SK" w:eastAsia="sk-SK"/>
              </w:rPr>
            </w:pPr>
          </w:p>
        </w:tc>
        <w:tc>
          <w:tcPr>
            <w:tcW w:w="1010" w:type="pct"/>
            <w:tcBorders>
              <w:top w:val="single" w:sz="4" w:space="0" w:color="auto"/>
              <w:left w:val="nil"/>
              <w:bottom w:val="double" w:sz="6" w:space="0" w:color="auto"/>
              <w:right w:val="nil"/>
            </w:tcBorders>
            <w:shd w:val="clear" w:color="auto" w:fill="auto"/>
            <w:vAlign w:val="bottom"/>
          </w:tcPr>
          <w:p w14:paraId="160DE3A0" w14:textId="4F64AD21" w:rsidR="002A21B9" w:rsidRPr="00226892" w:rsidRDefault="002A21B9" w:rsidP="002A21B9">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w:t>
            </w:r>
          </w:p>
        </w:tc>
      </w:tr>
    </w:tbl>
    <w:p w14:paraId="14464169" w14:textId="6678ABA0" w:rsidR="00F05733" w:rsidRPr="00226892" w:rsidRDefault="0002034F" w:rsidP="000405EF">
      <w:pPr>
        <w:pStyle w:val="Head3"/>
        <w:rPr>
          <w:lang w:eastAsia="sk-SK"/>
        </w:rPr>
      </w:pPr>
      <w:r w:rsidRPr="00226892">
        <w:t xml:space="preserve"> </w:t>
      </w:r>
      <w:bookmarkEnd w:id="419"/>
      <w:r w:rsidRPr="00226892">
        <w:t xml:space="preserve"> </w:t>
      </w:r>
      <w:r w:rsidR="00DF2B7E" w:rsidRPr="00226892">
        <w:t xml:space="preserve"> </w:t>
      </w:r>
    </w:p>
    <w:p w14:paraId="345AD3FC" w14:textId="77777777" w:rsidR="002000CE" w:rsidRPr="00226892" w:rsidRDefault="002000CE" w:rsidP="000405EF">
      <w:pPr>
        <w:suppressAutoHyphens/>
        <w:jc w:val="both"/>
        <w:rPr>
          <w:rFonts w:ascii="Arial" w:hAnsi="Arial" w:cs="Arial"/>
          <w:szCs w:val="18"/>
          <w:lang w:val="sk-SK"/>
        </w:rPr>
      </w:pPr>
    </w:p>
    <w:p w14:paraId="16F01F8C" w14:textId="77777777" w:rsidR="002000CE" w:rsidRPr="00226892" w:rsidRDefault="002000CE" w:rsidP="000405EF">
      <w:pPr>
        <w:suppressAutoHyphens/>
        <w:jc w:val="both"/>
        <w:rPr>
          <w:rFonts w:ascii="Arial" w:hAnsi="Arial" w:cs="Arial"/>
          <w:szCs w:val="18"/>
          <w:lang w:val="sk-SK"/>
        </w:rPr>
      </w:pPr>
    </w:p>
    <w:p w14:paraId="6323347E" w14:textId="239A3FE5" w:rsidR="002000CE" w:rsidRDefault="002000CE" w:rsidP="000405EF">
      <w:pPr>
        <w:suppressAutoHyphens/>
        <w:jc w:val="both"/>
        <w:rPr>
          <w:rFonts w:ascii="Arial" w:hAnsi="Arial" w:cs="Arial"/>
          <w:szCs w:val="18"/>
          <w:lang w:val="sk-SK"/>
        </w:rPr>
      </w:pPr>
    </w:p>
    <w:p w14:paraId="6F9201AA" w14:textId="77777777" w:rsidR="00184B8D" w:rsidRPr="00226892" w:rsidRDefault="00184B8D" w:rsidP="000405EF">
      <w:pPr>
        <w:suppressAutoHyphens/>
        <w:jc w:val="both"/>
        <w:rPr>
          <w:rFonts w:ascii="Arial" w:hAnsi="Arial" w:cs="Arial"/>
          <w:szCs w:val="18"/>
          <w:lang w:val="sk-SK"/>
        </w:rPr>
      </w:pPr>
    </w:p>
    <w:p w14:paraId="4BBE6872" w14:textId="77777777" w:rsidR="002000CE" w:rsidRPr="00226892" w:rsidRDefault="002000CE" w:rsidP="000405EF">
      <w:pPr>
        <w:suppressAutoHyphens/>
        <w:jc w:val="both"/>
        <w:rPr>
          <w:rFonts w:ascii="Arial" w:hAnsi="Arial" w:cs="Arial"/>
          <w:szCs w:val="18"/>
          <w:lang w:val="sk-SK"/>
        </w:rPr>
      </w:pPr>
    </w:p>
    <w:p w14:paraId="0BAC33C9" w14:textId="77777777" w:rsidR="002000CE" w:rsidRPr="00226892" w:rsidRDefault="002000CE" w:rsidP="000405EF">
      <w:pPr>
        <w:suppressAutoHyphens/>
        <w:jc w:val="both"/>
        <w:rPr>
          <w:rFonts w:ascii="Arial" w:hAnsi="Arial" w:cs="Arial"/>
          <w:szCs w:val="18"/>
          <w:lang w:val="sk-SK"/>
        </w:rPr>
      </w:pPr>
    </w:p>
    <w:p w14:paraId="2F6A1B27" w14:textId="77777777" w:rsidR="002000CE" w:rsidRPr="00226892" w:rsidRDefault="002000CE" w:rsidP="000405EF">
      <w:pPr>
        <w:suppressAutoHyphens/>
        <w:jc w:val="both"/>
        <w:rPr>
          <w:rFonts w:ascii="Arial" w:hAnsi="Arial" w:cs="Arial"/>
          <w:szCs w:val="18"/>
          <w:lang w:val="sk-SK"/>
        </w:rPr>
      </w:pPr>
    </w:p>
    <w:p w14:paraId="6A8DD1E6" w14:textId="77777777" w:rsidR="002000CE" w:rsidRPr="00226892" w:rsidRDefault="002000CE" w:rsidP="000405EF">
      <w:pPr>
        <w:suppressAutoHyphens/>
        <w:jc w:val="both"/>
        <w:rPr>
          <w:rFonts w:ascii="Arial" w:hAnsi="Arial" w:cs="Arial"/>
          <w:szCs w:val="18"/>
          <w:lang w:val="sk-SK"/>
        </w:rPr>
      </w:pPr>
    </w:p>
    <w:p w14:paraId="50E0CD5B" w14:textId="77777777" w:rsidR="002000CE" w:rsidRPr="00226892" w:rsidRDefault="002000CE" w:rsidP="000405EF">
      <w:pPr>
        <w:suppressAutoHyphens/>
        <w:jc w:val="both"/>
        <w:rPr>
          <w:rFonts w:ascii="Arial" w:hAnsi="Arial" w:cs="Arial"/>
          <w:szCs w:val="18"/>
          <w:lang w:val="sk-SK"/>
        </w:rPr>
      </w:pPr>
    </w:p>
    <w:p w14:paraId="5E8B670F" w14:textId="5B330D20" w:rsidR="00270980" w:rsidRPr="00226892" w:rsidRDefault="00270980" w:rsidP="000405EF">
      <w:pPr>
        <w:suppressAutoHyphens/>
        <w:jc w:val="both"/>
        <w:rPr>
          <w:rFonts w:ascii="Arial" w:hAnsi="Arial" w:cs="Arial"/>
          <w:sz w:val="18"/>
          <w:szCs w:val="18"/>
          <w:lang w:val="sk-SK"/>
        </w:rPr>
      </w:pPr>
      <w:r w:rsidRPr="00226892">
        <w:rPr>
          <w:rFonts w:ascii="Arial" w:hAnsi="Arial" w:cs="Arial"/>
          <w:szCs w:val="18"/>
          <w:lang w:val="sk-SK"/>
        </w:rPr>
        <w:lastRenderedPageBreak/>
        <w:t>Pohľadávky, ktoré nie sú po splatnosti ani znehodnotené:</w:t>
      </w:r>
    </w:p>
    <w:p w14:paraId="60C0E679" w14:textId="77777777" w:rsidR="00270980" w:rsidRPr="00226892" w:rsidRDefault="00C248B8">
      <w:pPr>
        <w:suppressAutoHyphens/>
        <w:jc w:val="both"/>
        <w:rPr>
          <w:rFonts w:ascii="Arial" w:hAnsi="Arial" w:cs="Arial"/>
          <w:sz w:val="14"/>
          <w:lang w:val="sk-SK"/>
        </w:rPr>
      </w:pPr>
      <w:r w:rsidRPr="00226892">
        <w:rPr>
          <w:rFonts w:ascii="Arial" w:hAnsi="Arial" w:cs="Arial"/>
          <w:lang w:val="sk-SK"/>
        </w:rPr>
        <w:t xml:space="preserve"> </w:t>
      </w:r>
    </w:p>
    <w:tbl>
      <w:tblPr>
        <w:tblW w:w="5000" w:type="pct"/>
        <w:tblLayout w:type="fixed"/>
        <w:tblCellMar>
          <w:left w:w="70" w:type="dxa"/>
          <w:right w:w="70" w:type="dxa"/>
        </w:tblCellMar>
        <w:tblLook w:val="04A0" w:firstRow="1" w:lastRow="0" w:firstColumn="1" w:lastColumn="0" w:noHBand="0" w:noVBand="1"/>
      </w:tblPr>
      <w:tblGrid>
        <w:gridCol w:w="2415"/>
        <w:gridCol w:w="1844"/>
        <w:gridCol w:w="1132"/>
        <w:gridCol w:w="1274"/>
        <w:gridCol w:w="1274"/>
        <w:gridCol w:w="1700"/>
      </w:tblGrid>
      <w:tr w:rsidR="00DC15D5" w:rsidRPr="00226892" w14:paraId="01D88678" w14:textId="77777777" w:rsidTr="00DC15D5">
        <w:trPr>
          <w:trHeight w:val="231"/>
        </w:trPr>
        <w:tc>
          <w:tcPr>
            <w:tcW w:w="1252" w:type="pct"/>
            <w:shd w:val="clear" w:color="auto" w:fill="auto"/>
            <w:vAlign w:val="bottom"/>
            <w:hideMark/>
          </w:tcPr>
          <w:p w14:paraId="032B29C2" w14:textId="43EDA735" w:rsidR="00DC15D5" w:rsidRPr="00226892" w:rsidRDefault="00DC15D5" w:rsidP="00040BD9">
            <w:pPr>
              <w:ind w:left="-57" w:right="-57"/>
              <w:jc w:val="center"/>
              <w:rPr>
                <w:rFonts w:ascii="Arial" w:eastAsia="Times New Roman" w:hAnsi="Arial" w:cs="Arial"/>
                <w:b/>
                <w:bCs/>
                <w:color w:val="000000"/>
                <w:sz w:val="18"/>
                <w:szCs w:val="18"/>
                <w:lang w:val="sk-SK" w:eastAsia="sk-SK"/>
              </w:rPr>
            </w:pPr>
          </w:p>
        </w:tc>
        <w:tc>
          <w:tcPr>
            <w:tcW w:w="956" w:type="pct"/>
            <w:shd w:val="clear" w:color="auto" w:fill="auto"/>
            <w:vAlign w:val="bottom"/>
            <w:hideMark/>
          </w:tcPr>
          <w:p w14:paraId="29EDAE07" w14:textId="77777777" w:rsidR="00DC15D5" w:rsidRPr="00226892" w:rsidRDefault="00DC15D5" w:rsidP="00040BD9">
            <w:pPr>
              <w:ind w:left="-57" w:right="-57"/>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Pohľadávky z obchodného styku, ktoré nie sú ani po splatnosti ani znehodnotené</w:t>
            </w:r>
          </w:p>
        </w:tc>
        <w:tc>
          <w:tcPr>
            <w:tcW w:w="587" w:type="pct"/>
            <w:shd w:val="clear" w:color="auto" w:fill="auto"/>
            <w:vAlign w:val="bottom"/>
            <w:hideMark/>
          </w:tcPr>
          <w:p w14:paraId="1E39FF04" w14:textId="77777777" w:rsidR="00DC15D5" w:rsidRPr="00226892" w:rsidRDefault="00DC15D5" w:rsidP="00040BD9">
            <w:pPr>
              <w:ind w:left="-57" w:right="-57"/>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Poskytnuté úvery</w:t>
            </w:r>
          </w:p>
        </w:tc>
        <w:tc>
          <w:tcPr>
            <w:tcW w:w="661" w:type="pct"/>
            <w:vAlign w:val="bottom"/>
          </w:tcPr>
          <w:p w14:paraId="4F9A620E" w14:textId="7ACB4C25" w:rsidR="00DC15D5" w:rsidRPr="00226892" w:rsidRDefault="00DC15D5" w:rsidP="00040BD9">
            <w:pPr>
              <w:ind w:left="-57" w:right="-57"/>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Pohľadávky voči spriazneným stranám (pozn. 31)</w:t>
            </w:r>
          </w:p>
        </w:tc>
        <w:tc>
          <w:tcPr>
            <w:tcW w:w="661" w:type="pct"/>
            <w:vAlign w:val="bottom"/>
          </w:tcPr>
          <w:p w14:paraId="0582B1EF" w14:textId="77777777" w:rsidR="00DC15D5" w:rsidRPr="00226892" w:rsidRDefault="00DC15D5" w:rsidP="00040BD9">
            <w:pPr>
              <w:ind w:left="-57" w:right="-57"/>
              <w:jc w:val="center"/>
              <w:rPr>
                <w:rFonts w:ascii="Arial" w:eastAsia="Times New Roman" w:hAnsi="Arial" w:cs="Arial"/>
                <w:b/>
                <w:bCs/>
                <w:color w:val="000000"/>
                <w:sz w:val="18"/>
                <w:szCs w:val="18"/>
                <w:lang w:val="sk-SK" w:eastAsia="sk-SK"/>
              </w:rPr>
            </w:pPr>
          </w:p>
          <w:p w14:paraId="0FE4D9C6" w14:textId="77777777" w:rsidR="00DC15D5" w:rsidRPr="00226892" w:rsidRDefault="00DC15D5" w:rsidP="00040BD9">
            <w:pPr>
              <w:ind w:left="-57" w:right="-57"/>
              <w:jc w:val="center"/>
              <w:rPr>
                <w:rFonts w:ascii="Arial" w:eastAsia="Times New Roman" w:hAnsi="Arial" w:cs="Arial"/>
                <w:b/>
                <w:bCs/>
                <w:color w:val="000000"/>
                <w:sz w:val="18"/>
                <w:szCs w:val="18"/>
                <w:lang w:val="sk-SK" w:eastAsia="sk-SK"/>
              </w:rPr>
            </w:pPr>
          </w:p>
          <w:p w14:paraId="1D24986D" w14:textId="77777777" w:rsidR="00DC15D5" w:rsidRPr="00226892" w:rsidRDefault="00DC15D5" w:rsidP="00040BD9">
            <w:pPr>
              <w:ind w:left="-57" w:right="-57"/>
              <w:jc w:val="center"/>
              <w:rPr>
                <w:rFonts w:ascii="Arial" w:eastAsia="Times New Roman" w:hAnsi="Arial" w:cs="Arial"/>
                <w:b/>
                <w:bCs/>
                <w:color w:val="000000"/>
                <w:sz w:val="18"/>
                <w:szCs w:val="18"/>
                <w:lang w:val="sk-SK" w:eastAsia="sk-SK"/>
              </w:rPr>
            </w:pPr>
          </w:p>
          <w:p w14:paraId="439C4AE1" w14:textId="1FF8614B" w:rsidR="00DC15D5" w:rsidRPr="00226892" w:rsidRDefault="00DC15D5" w:rsidP="00040BD9">
            <w:pPr>
              <w:ind w:left="-57" w:right="-57"/>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Ostatné pohľadávky</w:t>
            </w:r>
          </w:p>
        </w:tc>
        <w:tc>
          <w:tcPr>
            <w:tcW w:w="882" w:type="pct"/>
            <w:shd w:val="clear" w:color="auto" w:fill="auto"/>
            <w:vAlign w:val="bottom"/>
            <w:hideMark/>
          </w:tcPr>
          <w:p w14:paraId="372782FA" w14:textId="37AEAFD5" w:rsidR="00DC15D5" w:rsidRPr="00226892" w:rsidRDefault="00DC15D5" w:rsidP="00040BD9">
            <w:pPr>
              <w:ind w:left="-57" w:right="-57"/>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Spolu</w:t>
            </w:r>
          </w:p>
        </w:tc>
      </w:tr>
      <w:tr w:rsidR="00DC15D5" w:rsidRPr="00226892" w14:paraId="0869085A" w14:textId="77777777" w:rsidTr="00DC15D5">
        <w:trPr>
          <w:trHeight w:val="231"/>
        </w:trPr>
        <w:tc>
          <w:tcPr>
            <w:tcW w:w="1252" w:type="pct"/>
            <w:shd w:val="clear" w:color="auto" w:fill="auto"/>
            <w:vAlign w:val="center"/>
            <w:hideMark/>
          </w:tcPr>
          <w:p w14:paraId="6AAB4E4E" w14:textId="5E4808D4" w:rsidR="00DC15D5" w:rsidRPr="00226892" w:rsidRDefault="00DC15D5" w:rsidP="00E24072">
            <w:pPr>
              <w:rPr>
                <w:rFonts w:ascii="Arial" w:eastAsia="Times New Roman" w:hAnsi="Arial" w:cs="Arial"/>
                <w:bCs/>
                <w:color w:val="000000"/>
                <w:sz w:val="18"/>
                <w:szCs w:val="18"/>
                <w:lang w:val="en-US" w:eastAsia="sk-SK"/>
              </w:rPr>
            </w:pPr>
            <w:r w:rsidRPr="00226892">
              <w:rPr>
                <w:rFonts w:ascii="Arial" w:eastAsia="Times New Roman" w:hAnsi="Arial" w:cs="Arial"/>
                <w:bCs/>
                <w:color w:val="000000"/>
                <w:sz w:val="18"/>
                <w:szCs w:val="18"/>
                <w:lang w:val="sk-SK" w:eastAsia="sk-SK"/>
              </w:rPr>
              <w:t>Stav k 31. decembru 2018</w:t>
            </w:r>
          </w:p>
        </w:tc>
        <w:tc>
          <w:tcPr>
            <w:tcW w:w="956" w:type="pct"/>
            <w:shd w:val="clear" w:color="auto" w:fill="auto"/>
            <w:vAlign w:val="bottom"/>
          </w:tcPr>
          <w:p w14:paraId="48E806B1" w14:textId="3F811950" w:rsidR="00DC15D5" w:rsidRPr="00226892" w:rsidRDefault="00DC15D5" w:rsidP="00E24072">
            <w:pPr>
              <w:jc w:val="right"/>
              <w:rPr>
                <w:rFonts w:ascii="Arial" w:eastAsia="Times New Roman" w:hAnsi="Arial" w:cs="Arial"/>
                <w:bCs/>
                <w:color w:val="000000"/>
                <w:sz w:val="18"/>
                <w:szCs w:val="18"/>
                <w:lang w:val="sk-SK" w:eastAsia="sk-SK"/>
              </w:rPr>
            </w:pPr>
            <w:r w:rsidRPr="00226892">
              <w:rPr>
                <w:rFonts w:ascii="Arial" w:eastAsia="Times New Roman" w:hAnsi="Arial" w:cs="Arial"/>
                <w:bCs/>
                <w:color w:val="000000"/>
                <w:sz w:val="18"/>
                <w:szCs w:val="18"/>
                <w:lang w:val="sk-SK" w:eastAsia="sk-SK"/>
              </w:rPr>
              <w:t>20 820</w:t>
            </w:r>
          </w:p>
        </w:tc>
        <w:tc>
          <w:tcPr>
            <w:tcW w:w="587" w:type="pct"/>
            <w:shd w:val="clear" w:color="auto" w:fill="auto"/>
            <w:vAlign w:val="bottom"/>
          </w:tcPr>
          <w:p w14:paraId="0855848D" w14:textId="477843C8" w:rsidR="00DC15D5" w:rsidRPr="00226892" w:rsidRDefault="00DC15D5" w:rsidP="00E24072">
            <w:pPr>
              <w:jc w:val="right"/>
              <w:rPr>
                <w:rFonts w:ascii="Arial" w:eastAsia="Times New Roman" w:hAnsi="Arial" w:cs="Arial"/>
                <w:bCs/>
                <w:color w:val="000000"/>
                <w:sz w:val="18"/>
                <w:szCs w:val="18"/>
                <w:lang w:val="sk-SK" w:eastAsia="sk-SK"/>
              </w:rPr>
            </w:pPr>
            <w:r w:rsidRPr="00226892">
              <w:rPr>
                <w:rFonts w:ascii="Arial" w:eastAsia="Times New Roman" w:hAnsi="Arial" w:cs="Arial"/>
                <w:bCs/>
                <w:color w:val="000000"/>
                <w:sz w:val="18"/>
                <w:szCs w:val="18"/>
                <w:lang w:val="sk-SK" w:eastAsia="sk-SK"/>
              </w:rPr>
              <w:t>470</w:t>
            </w:r>
          </w:p>
        </w:tc>
        <w:tc>
          <w:tcPr>
            <w:tcW w:w="661" w:type="pct"/>
            <w:vAlign w:val="bottom"/>
          </w:tcPr>
          <w:p w14:paraId="41434473" w14:textId="6BCD2273" w:rsidR="00DC15D5" w:rsidRPr="00226892" w:rsidRDefault="00DC15D5" w:rsidP="00E24072">
            <w:pPr>
              <w:jc w:val="right"/>
              <w:rPr>
                <w:rFonts w:ascii="Arial" w:eastAsia="Times New Roman" w:hAnsi="Arial" w:cs="Arial"/>
                <w:bCs/>
                <w:color w:val="000000"/>
                <w:sz w:val="18"/>
                <w:szCs w:val="18"/>
                <w:lang w:val="sk-SK" w:eastAsia="sk-SK"/>
              </w:rPr>
            </w:pPr>
            <w:r w:rsidRPr="00226892">
              <w:rPr>
                <w:rFonts w:ascii="Arial" w:eastAsia="Times New Roman" w:hAnsi="Arial" w:cs="Arial"/>
                <w:bCs/>
                <w:color w:val="000000"/>
                <w:sz w:val="18"/>
                <w:szCs w:val="18"/>
                <w:lang w:val="sk-SK" w:eastAsia="sk-SK"/>
              </w:rPr>
              <w:t>2 272</w:t>
            </w:r>
          </w:p>
        </w:tc>
        <w:tc>
          <w:tcPr>
            <w:tcW w:w="661" w:type="pct"/>
          </w:tcPr>
          <w:p w14:paraId="37E6B759" w14:textId="77777777" w:rsidR="00DC15D5" w:rsidRPr="00226892" w:rsidRDefault="00DC15D5" w:rsidP="00EB1B0A">
            <w:pPr>
              <w:jc w:val="right"/>
              <w:rPr>
                <w:rFonts w:ascii="Arial" w:eastAsia="Times New Roman" w:hAnsi="Arial" w:cs="Arial"/>
                <w:b/>
                <w:bCs/>
                <w:color w:val="000000"/>
                <w:sz w:val="18"/>
                <w:szCs w:val="18"/>
                <w:lang w:val="sk-SK" w:eastAsia="sk-SK"/>
              </w:rPr>
            </w:pPr>
          </w:p>
          <w:p w14:paraId="1589884F" w14:textId="1A8716AF" w:rsidR="00DC15D5" w:rsidRPr="00226892" w:rsidRDefault="00DC15D5" w:rsidP="00EB1B0A">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39</w:t>
            </w:r>
          </w:p>
        </w:tc>
        <w:tc>
          <w:tcPr>
            <w:tcW w:w="882" w:type="pct"/>
            <w:shd w:val="clear" w:color="auto" w:fill="auto"/>
            <w:vAlign w:val="bottom"/>
          </w:tcPr>
          <w:p w14:paraId="2898C923" w14:textId="7C01BA7C" w:rsidR="00DC15D5" w:rsidRPr="00226892" w:rsidRDefault="00DC15D5" w:rsidP="00EB1B0A">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23 601</w:t>
            </w:r>
          </w:p>
        </w:tc>
      </w:tr>
      <w:tr w:rsidR="00DC15D5" w:rsidRPr="00226892" w14:paraId="4739292A" w14:textId="77777777" w:rsidTr="00DC15D5">
        <w:trPr>
          <w:trHeight w:val="231"/>
        </w:trPr>
        <w:tc>
          <w:tcPr>
            <w:tcW w:w="1252" w:type="pct"/>
            <w:shd w:val="clear" w:color="auto" w:fill="auto"/>
            <w:vAlign w:val="center"/>
            <w:hideMark/>
          </w:tcPr>
          <w:p w14:paraId="407226DB" w14:textId="77777777" w:rsidR="00DC15D5" w:rsidRPr="00226892" w:rsidRDefault="00DC15D5" w:rsidP="00E24072">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Splatené do dňa zostavenia účtovnej závierky</w:t>
            </w:r>
          </w:p>
        </w:tc>
        <w:tc>
          <w:tcPr>
            <w:tcW w:w="956" w:type="pct"/>
            <w:shd w:val="clear" w:color="auto" w:fill="auto"/>
            <w:vAlign w:val="bottom"/>
          </w:tcPr>
          <w:p w14:paraId="7649884E" w14:textId="14058F3D" w:rsidR="00DC15D5" w:rsidRPr="00226892" w:rsidRDefault="00DC15D5" w:rsidP="003E3222">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18 323</w:t>
            </w:r>
          </w:p>
        </w:tc>
        <w:tc>
          <w:tcPr>
            <w:tcW w:w="587" w:type="pct"/>
            <w:shd w:val="clear" w:color="auto" w:fill="auto"/>
            <w:vAlign w:val="bottom"/>
          </w:tcPr>
          <w:p w14:paraId="7DFF15FD" w14:textId="16D633B3" w:rsidR="00DC15D5" w:rsidRPr="00226892" w:rsidRDefault="00DC15D5" w:rsidP="00E24072">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100</w:t>
            </w:r>
          </w:p>
        </w:tc>
        <w:tc>
          <w:tcPr>
            <w:tcW w:w="661" w:type="pct"/>
            <w:vAlign w:val="bottom"/>
          </w:tcPr>
          <w:p w14:paraId="0EC748FD" w14:textId="328A1260" w:rsidR="00DC15D5" w:rsidRPr="00226892" w:rsidRDefault="00DC15D5" w:rsidP="00E24072">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2 272</w:t>
            </w:r>
          </w:p>
        </w:tc>
        <w:tc>
          <w:tcPr>
            <w:tcW w:w="661" w:type="pct"/>
          </w:tcPr>
          <w:p w14:paraId="39027FA5" w14:textId="77777777" w:rsidR="00DC15D5" w:rsidRPr="00226892" w:rsidRDefault="00DC15D5" w:rsidP="003E3222">
            <w:pPr>
              <w:jc w:val="right"/>
              <w:rPr>
                <w:rFonts w:ascii="Arial" w:eastAsia="Times New Roman" w:hAnsi="Arial" w:cs="Arial"/>
                <w:b/>
                <w:bCs/>
                <w:color w:val="000000"/>
                <w:sz w:val="18"/>
                <w:szCs w:val="18"/>
                <w:lang w:val="sk-SK" w:eastAsia="sk-SK"/>
              </w:rPr>
            </w:pPr>
          </w:p>
          <w:p w14:paraId="66A110BB" w14:textId="77777777" w:rsidR="00DC15D5" w:rsidRPr="00226892" w:rsidRDefault="00DC15D5" w:rsidP="003E3222">
            <w:pPr>
              <w:jc w:val="right"/>
              <w:rPr>
                <w:rFonts w:ascii="Arial" w:eastAsia="Times New Roman" w:hAnsi="Arial" w:cs="Arial"/>
                <w:b/>
                <w:bCs/>
                <w:color w:val="000000"/>
                <w:sz w:val="18"/>
                <w:szCs w:val="18"/>
                <w:lang w:val="sk-SK" w:eastAsia="sk-SK"/>
              </w:rPr>
            </w:pPr>
          </w:p>
          <w:p w14:paraId="01A11CBD" w14:textId="7CF7B053" w:rsidR="00DC15D5" w:rsidRPr="00226892" w:rsidRDefault="00DC15D5" w:rsidP="003E3222">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39</w:t>
            </w:r>
          </w:p>
        </w:tc>
        <w:tc>
          <w:tcPr>
            <w:tcW w:w="882" w:type="pct"/>
            <w:shd w:val="clear" w:color="auto" w:fill="auto"/>
            <w:vAlign w:val="bottom"/>
          </w:tcPr>
          <w:p w14:paraId="73DB82E3" w14:textId="31F4181E" w:rsidR="00DC15D5" w:rsidRPr="00226892" w:rsidRDefault="00DC15D5" w:rsidP="003E3222">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20 734</w:t>
            </w:r>
          </w:p>
        </w:tc>
      </w:tr>
      <w:tr w:rsidR="00DC15D5" w:rsidRPr="00226892" w14:paraId="6ECA94C8" w14:textId="77777777" w:rsidTr="00DC15D5">
        <w:trPr>
          <w:trHeight w:val="231"/>
        </w:trPr>
        <w:tc>
          <w:tcPr>
            <w:tcW w:w="1252" w:type="pct"/>
            <w:shd w:val="clear" w:color="auto" w:fill="auto"/>
            <w:vAlign w:val="center"/>
            <w:hideMark/>
          </w:tcPr>
          <w:p w14:paraId="76ECFCE8" w14:textId="77777777" w:rsidR="00DC15D5" w:rsidRPr="00226892" w:rsidRDefault="00DC15D5" w:rsidP="00E24072">
            <w:pPr>
              <w:rPr>
                <w:rFonts w:ascii="Arial" w:eastAsia="Times New Roman" w:hAnsi="Arial" w:cs="Arial"/>
                <w:b/>
                <w:color w:val="000000"/>
                <w:sz w:val="18"/>
                <w:szCs w:val="18"/>
                <w:lang w:val="sk-SK" w:eastAsia="sk-SK"/>
              </w:rPr>
            </w:pPr>
            <w:r w:rsidRPr="00226892">
              <w:rPr>
                <w:rFonts w:ascii="Arial" w:eastAsia="Times New Roman" w:hAnsi="Arial" w:cs="Arial"/>
                <w:b/>
                <w:color w:val="000000"/>
                <w:sz w:val="18"/>
                <w:szCs w:val="18"/>
                <w:lang w:val="sk-SK" w:eastAsia="sk-SK"/>
              </w:rPr>
              <w:t>Nesplatené do dňa zostavenia účtovnej závierky</w:t>
            </w:r>
          </w:p>
        </w:tc>
        <w:tc>
          <w:tcPr>
            <w:tcW w:w="956" w:type="pct"/>
            <w:shd w:val="clear" w:color="auto" w:fill="auto"/>
            <w:vAlign w:val="bottom"/>
          </w:tcPr>
          <w:p w14:paraId="7CAF4983" w14:textId="3278F743" w:rsidR="00DC15D5" w:rsidRPr="00226892" w:rsidRDefault="00DC15D5" w:rsidP="00E24072">
            <w:pPr>
              <w:jc w:val="right"/>
              <w:rPr>
                <w:rFonts w:ascii="Arial" w:eastAsia="Times New Roman" w:hAnsi="Arial" w:cs="Arial"/>
                <w:b/>
                <w:color w:val="000000"/>
                <w:sz w:val="18"/>
                <w:szCs w:val="18"/>
                <w:lang w:val="sk-SK" w:eastAsia="sk-SK"/>
              </w:rPr>
            </w:pPr>
            <w:r w:rsidRPr="00226892">
              <w:rPr>
                <w:rFonts w:ascii="Arial" w:eastAsia="Times New Roman" w:hAnsi="Arial" w:cs="Arial"/>
                <w:b/>
                <w:color w:val="000000"/>
                <w:sz w:val="18"/>
                <w:szCs w:val="18"/>
                <w:lang w:val="sk-SK" w:eastAsia="sk-SK"/>
              </w:rPr>
              <w:t>2 497</w:t>
            </w:r>
          </w:p>
        </w:tc>
        <w:tc>
          <w:tcPr>
            <w:tcW w:w="587" w:type="pct"/>
            <w:shd w:val="clear" w:color="auto" w:fill="auto"/>
            <w:vAlign w:val="bottom"/>
          </w:tcPr>
          <w:p w14:paraId="6BA422E5" w14:textId="36470222" w:rsidR="00DC15D5" w:rsidRPr="00226892" w:rsidRDefault="00DC15D5" w:rsidP="00E24072">
            <w:pPr>
              <w:jc w:val="right"/>
              <w:rPr>
                <w:rFonts w:ascii="Arial" w:eastAsia="Times New Roman" w:hAnsi="Arial" w:cs="Arial"/>
                <w:b/>
                <w:color w:val="000000"/>
                <w:sz w:val="18"/>
                <w:szCs w:val="18"/>
                <w:lang w:val="sk-SK" w:eastAsia="sk-SK"/>
              </w:rPr>
            </w:pPr>
            <w:r w:rsidRPr="00226892">
              <w:rPr>
                <w:rFonts w:ascii="Arial" w:eastAsia="Times New Roman" w:hAnsi="Arial" w:cs="Arial"/>
                <w:b/>
                <w:color w:val="000000"/>
                <w:sz w:val="18"/>
                <w:szCs w:val="18"/>
                <w:lang w:val="sk-SK" w:eastAsia="sk-SK"/>
              </w:rPr>
              <w:t>370</w:t>
            </w:r>
          </w:p>
        </w:tc>
        <w:tc>
          <w:tcPr>
            <w:tcW w:w="661" w:type="pct"/>
            <w:vAlign w:val="bottom"/>
          </w:tcPr>
          <w:p w14:paraId="72D3B3FA" w14:textId="5D299449" w:rsidR="00DC15D5" w:rsidRPr="00226892" w:rsidRDefault="00DC15D5" w:rsidP="00E24072">
            <w:pPr>
              <w:jc w:val="right"/>
              <w:rPr>
                <w:rFonts w:ascii="Arial" w:eastAsia="Times New Roman" w:hAnsi="Arial" w:cs="Arial"/>
                <w:b/>
                <w:color w:val="000000"/>
                <w:sz w:val="18"/>
                <w:szCs w:val="18"/>
                <w:lang w:val="sk-SK" w:eastAsia="sk-SK"/>
              </w:rPr>
            </w:pPr>
            <w:r w:rsidRPr="00226892">
              <w:rPr>
                <w:rFonts w:ascii="Arial" w:eastAsia="Times New Roman" w:hAnsi="Arial" w:cs="Arial"/>
                <w:b/>
                <w:color w:val="000000"/>
                <w:sz w:val="18"/>
                <w:szCs w:val="18"/>
                <w:lang w:val="sk-SK" w:eastAsia="sk-SK"/>
              </w:rPr>
              <w:t>-</w:t>
            </w:r>
          </w:p>
        </w:tc>
        <w:tc>
          <w:tcPr>
            <w:tcW w:w="661" w:type="pct"/>
          </w:tcPr>
          <w:p w14:paraId="03140F65" w14:textId="77777777" w:rsidR="00DC15D5" w:rsidRPr="00226892" w:rsidRDefault="00DC15D5" w:rsidP="00E24072">
            <w:pPr>
              <w:jc w:val="right"/>
              <w:rPr>
                <w:rFonts w:ascii="Arial" w:eastAsia="Times New Roman" w:hAnsi="Arial" w:cs="Arial"/>
                <w:b/>
                <w:bCs/>
                <w:color w:val="000000"/>
                <w:sz w:val="18"/>
                <w:szCs w:val="18"/>
                <w:lang w:val="sk-SK" w:eastAsia="sk-SK"/>
              </w:rPr>
            </w:pPr>
          </w:p>
          <w:p w14:paraId="02EBCF99" w14:textId="77777777" w:rsidR="00DC15D5" w:rsidRPr="00226892" w:rsidRDefault="00DC15D5" w:rsidP="00E24072">
            <w:pPr>
              <w:jc w:val="right"/>
              <w:rPr>
                <w:rFonts w:ascii="Arial" w:eastAsia="Times New Roman" w:hAnsi="Arial" w:cs="Arial"/>
                <w:b/>
                <w:bCs/>
                <w:color w:val="000000"/>
                <w:sz w:val="18"/>
                <w:szCs w:val="18"/>
                <w:lang w:val="sk-SK" w:eastAsia="sk-SK"/>
              </w:rPr>
            </w:pPr>
          </w:p>
          <w:p w14:paraId="2E6F8A39" w14:textId="2B87D6C2" w:rsidR="00DC15D5" w:rsidRPr="00226892" w:rsidRDefault="00DC15D5" w:rsidP="00E24072">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w:t>
            </w:r>
          </w:p>
        </w:tc>
        <w:tc>
          <w:tcPr>
            <w:tcW w:w="882" w:type="pct"/>
            <w:shd w:val="clear" w:color="auto" w:fill="auto"/>
            <w:vAlign w:val="bottom"/>
          </w:tcPr>
          <w:p w14:paraId="0C853EE5" w14:textId="298A0B51" w:rsidR="00DC15D5" w:rsidRPr="00226892" w:rsidRDefault="00DC15D5" w:rsidP="00E24072">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2 867</w:t>
            </w:r>
          </w:p>
        </w:tc>
      </w:tr>
    </w:tbl>
    <w:p w14:paraId="14E9CEEC" w14:textId="68B3F5F8" w:rsidR="00551537" w:rsidRPr="00226892" w:rsidRDefault="00551537" w:rsidP="003D0AD5">
      <w:pPr>
        <w:suppressAutoHyphens/>
        <w:jc w:val="both"/>
        <w:rPr>
          <w:rFonts w:ascii="Arial" w:hAnsi="Arial" w:cs="Arial"/>
          <w:lang w:val="sk-SK"/>
        </w:rPr>
      </w:pPr>
    </w:p>
    <w:p w14:paraId="5AF01ACF" w14:textId="484170BC" w:rsidR="00551537" w:rsidRPr="00226892" w:rsidRDefault="00551537" w:rsidP="003D0AD5">
      <w:pPr>
        <w:suppressAutoHyphens/>
        <w:jc w:val="both"/>
        <w:rPr>
          <w:rFonts w:ascii="Arial" w:hAnsi="Arial" w:cs="Arial"/>
          <w:sz w:val="14"/>
          <w:lang w:val="sk-SK"/>
        </w:rPr>
      </w:pPr>
    </w:p>
    <w:tbl>
      <w:tblPr>
        <w:tblW w:w="5000" w:type="pct"/>
        <w:tblLayout w:type="fixed"/>
        <w:tblCellMar>
          <w:left w:w="70" w:type="dxa"/>
          <w:right w:w="70" w:type="dxa"/>
        </w:tblCellMar>
        <w:tblLook w:val="04A0" w:firstRow="1" w:lastRow="0" w:firstColumn="1" w:lastColumn="0" w:noHBand="0" w:noVBand="1"/>
      </w:tblPr>
      <w:tblGrid>
        <w:gridCol w:w="2414"/>
        <w:gridCol w:w="1839"/>
        <w:gridCol w:w="1134"/>
        <w:gridCol w:w="1276"/>
        <w:gridCol w:w="1276"/>
        <w:gridCol w:w="1700"/>
      </w:tblGrid>
      <w:tr w:rsidR="00DC15D5" w:rsidRPr="00226892" w14:paraId="02ED0A9C" w14:textId="77777777" w:rsidTr="00104A05">
        <w:trPr>
          <w:trHeight w:val="231"/>
        </w:trPr>
        <w:tc>
          <w:tcPr>
            <w:tcW w:w="1252" w:type="pct"/>
            <w:shd w:val="clear" w:color="auto" w:fill="auto"/>
            <w:vAlign w:val="center"/>
            <w:hideMark/>
          </w:tcPr>
          <w:p w14:paraId="55D09A2B" w14:textId="77777777" w:rsidR="00DC15D5" w:rsidRPr="00226892" w:rsidRDefault="00DC15D5" w:rsidP="005020AA">
            <w:pPr>
              <w:rPr>
                <w:rFonts w:ascii="Arial" w:eastAsia="Times New Roman" w:hAnsi="Arial" w:cs="Arial"/>
                <w:b/>
                <w:bCs/>
                <w:color w:val="000000"/>
                <w:sz w:val="18"/>
                <w:szCs w:val="18"/>
                <w:lang w:eastAsia="sk-SK"/>
              </w:rPr>
            </w:pPr>
            <w:r w:rsidRPr="00226892">
              <w:rPr>
                <w:rFonts w:ascii="Arial" w:eastAsia="Times New Roman" w:hAnsi="Arial" w:cs="Arial"/>
                <w:b/>
                <w:bCs/>
                <w:color w:val="000000"/>
                <w:sz w:val="18"/>
                <w:szCs w:val="18"/>
                <w:lang w:eastAsia="sk-SK"/>
              </w:rPr>
              <w:t> </w:t>
            </w:r>
          </w:p>
        </w:tc>
        <w:tc>
          <w:tcPr>
            <w:tcW w:w="954" w:type="pct"/>
            <w:shd w:val="clear" w:color="auto" w:fill="auto"/>
            <w:vAlign w:val="bottom"/>
            <w:hideMark/>
          </w:tcPr>
          <w:p w14:paraId="3EB74E2B" w14:textId="77777777" w:rsidR="00DC15D5" w:rsidRPr="00226892" w:rsidRDefault="00DC15D5" w:rsidP="00040BD9">
            <w:pPr>
              <w:ind w:left="-57" w:right="-57"/>
              <w:jc w:val="center"/>
              <w:rPr>
                <w:rFonts w:ascii="Arial" w:eastAsia="Times New Roman" w:hAnsi="Arial" w:cs="Arial"/>
                <w:b/>
                <w:bCs/>
                <w:color w:val="000000"/>
                <w:sz w:val="18"/>
                <w:szCs w:val="18"/>
                <w:lang w:eastAsia="sk-SK"/>
              </w:rPr>
            </w:pPr>
            <w:proofErr w:type="spellStart"/>
            <w:r w:rsidRPr="00226892">
              <w:rPr>
                <w:rFonts w:ascii="Arial" w:eastAsia="Times New Roman" w:hAnsi="Arial" w:cs="Arial"/>
                <w:b/>
                <w:bCs/>
                <w:color w:val="000000"/>
                <w:sz w:val="18"/>
                <w:szCs w:val="18"/>
                <w:lang w:eastAsia="sk-SK"/>
              </w:rPr>
              <w:t>Pohľadávky</w:t>
            </w:r>
            <w:proofErr w:type="spellEnd"/>
            <w:r w:rsidRPr="00226892">
              <w:rPr>
                <w:rFonts w:ascii="Arial" w:eastAsia="Times New Roman" w:hAnsi="Arial" w:cs="Arial"/>
                <w:b/>
                <w:bCs/>
                <w:color w:val="000000"/>
                <w:sz w:val="18"/>
                <w:szCs w:val="18"/>
                <w:lang w:eastAsia="sk-SK"/>
              </w:rPr>
              <w:t xml:space="preserve"> z </w:t>
            </w:r>
            <w:proofErr w:type="spellStart"/>
            <w:r w:rsidRPr="00226892">
              <w:rPr>
                <w:rFonts w:ascii="Arial" w:eastAsia="Times New Roman" w:hAnsi="Arial" w:cs="Arial"/>
                <w:b/>
                <w:bCs/>
                <w:color w:val="000000"/>
                <w:sz w:val="18"/>
                <w:szCs w:val="18"/>
                <w:lang w:eastAsia="sk-SK"/>
              </w:rPr>
              <w:t>obchodného</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styku</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ktoré</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nie</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sú</w:t>
            </w:r>
            <w:proofErr w:type="spellEnd"/>
            <w:r w:rsidRPr="00226892">
              <w:rPr>
                <w:rFonts w:ascii="Arial" w:eastAsia="Times New Roman" w:hAnsi="Arial" w:cs="Arial"/>
                <w:b/>
                <w:bCs/>
                <w:color w:val="000000"/>
                <w:sz w:val="18"/>
                <w:szCs w:val="18"/>
                <w:lang w:eastAsia="sk-SK"/>
              </w:rPr>
              <w:t xml:space="preserve"> ani po </w:t>
            </w:r>
            <w:proofErr w:type="spellStart"/>
            <w:r w:rsidRPr="00226892">
              <w:rPr>
                <w:rFonts w:ascii="Arial" w:eastAsia="Times New Roman" w:hAnsi="Arial" w:cs="Arial"/>
                <w:b/>
                <w:bCs/>
                <w:color w:val="000000"/>
                <w:sz w:val="18"/>
                <w:szCs w:val="18"/>
                <w:lang w:eastAsia="sk-SK"/>
              </w:rPr>
              <w:t>splatnosti</w:t>
            </w:r>
            <w:proofErr w:type="spellEnd"/>
            <w:r w:rsidRPr="00226892">
              <w:rPr>
                <w:rFonts w:ascii="Arial" w:eastAsia="Times New Roman" w:hAnsi="Arial" w:cs="Arial"/>
                <w:b/>
                <w:bCs/>
                <w:color w:val="000000"/>
                <w:sz w:val="18"/>
                <w:szCs w:val="18"/>
                <w:lang w:eastAsia="sk-SK"/>
              </w:rPr>
              <w:t xml:space="preserve"> ani </w:t>
            </w:r>
            <w:proofErr w:type="spellStart"/>
            <w:r w:rsidRPr="00226892">
              <w:rPr>
                <w:rFonts w:ascii="Arial" w:eastAsia="Times New Roman" w:hAnsi="Arial" w:cs="Arial"/>
                <w:b/>
                <w:bCs/>
                <w:color w:val="000000"/>
                <w:sz w:val="18"/>
                <w:szCs w:val="18"/>
                <w:lang w:eastAsia="sk-SK"/>
              </w:rPr>
              <w:t>znehodnotené</w:t>
            </w:r>
            <w:proofErr w:type="spellEnd"/>
          </w:p>
        </w:tc>
        <w:tc>
          <w:tcPr>
            <w:tcW w:w="588" w:type="pct"/>
            <w:shd w:val="clear" w:color="auto" w:fill="auto"/>
            <w:vAlign w:val="bottom"/>
            <w:hideMark/>
          </w:tcPr>
          <w:p w14:paraId="193EACB4" w14:textId="77777777" w:rsidR="00DC15D5" w:rsidRPr="00226892" w:rsidRDefault="00DC15D5" w:rsidP="00040BD9">
            <w:pPr>
              <w:ind w:left="-57" w:right="-57"/>
              <w:jc w:val="center"/>
              <w:rPr>
                <w:rFonts w:ascii="Arial" w:eastAsia="Times New Roman" w:hAnsi="Arial" w:cs="Arial"/>
                <w:b/>
                <w:bCs/>
                <w:color w:val="000000"/>
                <w:sz w:val="18"/>
                <w:szCs w:val="18"/>
                <w:lang w:eastAsia="sk-SK"/>
              </w:rPr>
            </w:pPr>
            <w:proofErr w:type="spellStart"/>
            <w:r w:rsidRPr="00226892">
              <w:rPr>
                <w:rFonts w:ascii="Arial" w:eastAsia="Times New Roman" w:hAnsi="Arial" w:cs="Arial"/>
                <w:b/>
                <w:bCs/>
                <w:color w:val="000000"/>
                <w:sz w:val="18"/>
                <w:szCs w:val="18"/>
                <w:lang w:eastAsia="sk-SK"/>
              </w:rPr>
              <w:t>Poskytnuté</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úvery</w:t>
            </w:r>
            <w:proofErr w:type="spellEnd"/>
          </w:p>
        </w:tc>
        <w:tc>
          <w:tcPr>
            <w:tcW w:w="662" w:type="pct"/>
            <w:vAlign w:val="bottom"/>
          </w:tcPr>
          <w:p w14:paraId="14742A25" w14:textId="6680D3C9" w:rsidR="00DC15D5" w:rsidRPr="00226892" w:rsidRDefault="00DC15D5" w:rsidP="00040BD9">
            <w:pPr>
              <w:ind w:left="-57" w:right="-57"/>
              <w:jc w:val="center"/>
              <w:rPr>
                <w:rFonts w:ascii="Arial" w:eastAsia="Times New Roman" w:hAnsi="Arial" w:cs="Arial"/>
                <w:b/>
                <w:bCs/>
                <w:color w:val="000000"/>
                <w:sz w:val="18"/>
                <w:szCs w:val="18"/>
                <w:lang w:eastAsia="sk-SK"/>
              </w:rPr>
            </w:pPr>
            <w:proofErr w:type="spellStart"/>
            <w:r w:rsidRPr="00226892">
              <w:rPr>
                <w:rFonts w:ascii="Arial" w:eastAsia="Times New Roman" w:hAnsi="Arial" w:cs="Arial"/>
                <w:b/>
                <w:bCs/>
                <w:color w:val="000000"/>
                <w:sz w:val="18"/>
                <w:szCs w:val="18"/>
                <w:lang w:eastAsia="sk-SK"/>
              </w:rPr>
              <w:t>Pohľadávky</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voči</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spriazneným</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stranám</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pozn</w:t>
            </w:r>
            <w:proofErr w:type="spellEnd"/>
            <w:r w:rsidRPr="00226892">
              <w:rPr>
                <w:rFonts w:ascii="Arial" w:eastAsia="Times New Roman" w:hAnsi="Arial" w:cs="Arial"/>
                <w:b/>
                <w:bCs/>
                <w:color w:val="000000"/>
                <w:sz w:val="18"/>
                <w:szCs w:val="18"/>
                <w:lang w:eastAsia="sk-SK"/>
              </w:rPr>
              <w:t>. 31)</w:t>
            </w:r>
          </w:p>
        </w:tc>
        <w:tc>
          <w:tcPr>
            <w:tcW w:w="662" w:type="pct"/>
            <w:vAlign w:val="bottom"/>
          </w:tcPr>
          <w:p w14:paraId="4B6ACB62" w14:textId="77777777" w:rsidR="00DC15D5" w:rsidRPr="00226892" w:rsidRDefault="00DC15D5" w:rsidP="00040BD9">
            <w:pPr>
              <w:ind w:left="-57" w:right="-57"/>
              <w:jc w:val="center"/>
              <w:rPr>
                <w:rFonts w:ascii="Arial" w:eastAsia="Times New Roman" w:hAnsi="Arial" w:cs="Arial"/>
                <w:b/>
                <w:bCs/>
                <w:color w:val="000000"/>
                <w:sz w:val="18"/>
                <w:szCs w:val="18"/>
                <w:lang w:eastAsia="sk-SK"/>
              </w:rPr>
            </w:pPr>
          </w:p>
          <w:p w14:paraId="5B094B36" w14:textId="77777777" w:rsidR="00DC15D5" w:rsidRPr="00226892" w:rsidRDefault="00DC15D5" w:rsidP="00040BD9">
            <w:pPr>
              <w:ind w:left="-57" w:right="-57"/>
              <w:jc w:val="center"/>
              <w:rPr>
                <w:rFonts w:ascii="Arial" w:eastAsia="Times New Roman" w:hAnsi="Arial" w:cs="Arial"/>
                <w:b/>
                <w:bCs/>
                <w:color w:val="000000"/>
                <w:sz w:val="18"/>
                <w:szCs w:val="18"/>
                <w:lang w:eastAsia="sk-SK"/>
              </w:rPr>
            </w:pPr>
          </w:p>
          <w:p w14:paraId="0E9743F1" w14:textId="77777777" w:rsidR="00DC15D5" w:rsidRPr="00226892" w:rsidRDefault="00DC15D5" w:rsidP="00040BD9">
            <w:pPr>
              <w:ind w:left="-57" w:right="-57"/>
              <w:jc w:val="center"/>
              <w:rPr>
                <w:rFonts w:ascii="Arial" w:eastAsia="Times New Roman" w:hAnsi="Arial" w:cs="Arial"/>
                <w:b/>
                <w:bCs/>
                <w:color w:val="000000"/>
                <w:sz w:val="18"/>
                <w:szCs w:val="18"/>
                <w:lang w:eastAsia="sk-SK"/>
              </w:rPr>
            </w:pPr>
          </w:p>
          <w:p w14:paraId="5C16288D" w14:textId="77777777" w:rsidR="00DC15D5" w:rsidRPr="00226892" w:rsidRDefault="00DC15D5" w:rsidP="00040BD9">
            <w:pPr>
              <w:ind w:left="-57" w:right="-57"/>
              <w:jc w:val="center"/>
              <w:rPr>
                <w:rFonts w:ascii="Arial" w:eastAsia="Times New Roman" w:hAnsi="Arial" w:cs="Arial"/>
                <w:b/>
                <w:bCs/>
                <w:color w:val="000000"/>
                <w:sz w:val="18"/>
                <w:szCs w:val="18"/>
                <w:lang w:eastAsia="sk-SK"/>
              </w:rPr>
            </w:pPr>
            <w:proofErr w:type="spellStart"/>
            <w:r w:rsidRPr="00226892">
              <w:rPr>
                <w:rFonts w:ascii="Arial" w:eastAsia="Times New Roman" w:hAnsi="Arial" w:cs="Arial"/>
                <w:b/>
                <w:bCs/>
                <w:color w:val="000000"/>
                <w:sz w:val="18"/>
                <w:szCs w:val="18"/>
                <w:lang w:eastAsia="sk-SK"/>
              </w:rPr>
              <w:t>Ostatné</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pohľadávky</w:t>
            </w:r>
            <w:proofErr w:type="spellEnd"/>
          </w:p>
        </w:tc>
        <w:tc>
          <w:tcPr>
            <w:tcW w:w="882" w:type="pct"/>
            <w:shd w:val="clear" w:color="auto" w:fill="auto"/>
            <w:vAlign w:val="bottom"/>
            <w:hideMark/>
          </w:tcPr>
          <w:p w14:paraId="591E854F" w14:textId="77777777" w:rsidR="00DC15D5" w:rsidRPr="00226892" w:rsidRDefault="00DC15D5" w:rsidP="00040BD9">
            <w:pPr>
              <w:ind w:left="-57" w:right="-57"/>
              <w:jc w:val="center"/>
              <w:rPr>
                <w:rFonts w:ascii="Arial" w:eastAsia="Times New Roman" w:hAnsi="Arial" w:cs="Arial"/>
                <w:b/>
                <w:bCs/>
                <w:color w:val="000000"/>
                <w:sz w:val="18"/>
                <w:szCs w:val="18"/>
                <w:lang w:eastAsia="sk-SK"/>
              </w:rPr>
            </w:pPr>
            <w:proofErr w:type="spellStart"/>
            <w:r w:rsidRPr="00226892">
              <w:rPr>
                <w:rFonts w:ascii="Arial" w:eastAsia="Times New Roman" w:hAnsi="Arial" w:cs="Arial"/>
                <w:b/>
                <w:bCs/>
                <w:color w:val="000000"/>
                <w:sz w:val="18"/>
                <w:szCs w:val="18"/>
                <w:lang w:eastAsia="sk-SK"/>
              </w:rPr>
              <w:t>Spolu</w:t>
            </w:r>
            <w:proofErr w:type="spellEnd"/>
          </w:p>
        </w:tc>
      </w:tr>
      <w:tr w:rsidR="00DC15D5" w:rsidRPr="00226892" w14:paraId="3076D9F6" w14:textId="77777777" w:rsidTr="00104A05">
        <w:trPr>
          <w:trHeight w:val="231"/>
        </w:trPr>
        <w:tc>
          <w:tcPr>
            <w:tcW w:w="1252" w:type="pct"/>
            <w:shd w:val="clear" w:color="auto" w:fill="auto"/>
            <w:vAlign w:val="center"/>
            <w:hideMark/>
          </w:tcPr>
          <w:p w14:paraId="5ABCAD28" w14:textId="77777777" w:rsidR="00DC15D5" w:rsidRPr="00226892" w:rsidRDefault="00DC15D5" w:rsidP="005020AA">
            <w:pPr>
              <w:rPr>
                <w:rFonts w:ascii="Arial" w:eastAsia="Times New Roman" w:hAnsi="Arial" w:cs="Arial"/>
                <w:bCs/>
                <w:color w:val="000000"/>
                <w:sz w:val="18"/>
                <w:szCs w:val="18"/>
                <w:lang w:val="sk-SK" w:eastAsia="sk-SK"/>
              </w:rPr>
            </w:pPr>
            <w:proofErr w:type="spellStart"/>
            <w:r w:rsidRPr="00226892">
              <w:rPr>
                <w:rFonts w:ascii="Arial" w:eastAsia="Times New Roman" w:hAnsi="Arial" w:cs="Arial"/>
                <w:bCs/>
                <w:color w:val="000000"/>
                <w:sz w:val="18"/>
                <w:szCs w:val="18"/>
                <w:lang w:eastAsia="sk-SK"/>
              </w:rPr>
              <w:t>Stav</w:t>
            </w:r>
            <w:proofErr w:type="spellEnd"/>
            <w:r w:rsidRPr="00226892">
              <w:rPr>
                <w:rFonts w:ascii="Arial" w:eastAsia="Times New Roman" w:hAnsi="Arial" w:cs="Arial"/>
                <w:bCs/>
                <w:color w:val="000000"/>
                <w:sz w:val="18"/>
                <w:szCs w:val="18"/>
                <w:lang w:eastAsia="sk-SK"/>
              </w:rPr>
              <w:t xml:space="preserve"> k 31. </w:t>
            </w:r>
            <w:proofErr w:type="spellStart"/>
            <w:r w:rsidRPr="00226892">
              <w:rPr>
                <w:rFonts w:ascii="Arial" w:eastAsia="Times New Roman" w:hAnsi="Arial" w:cs="Arial"/>
                <w:bCs/>
                <w:color w:val="000000"/>
                <w:sz w:val="18"/>
                <w:szCs w:val="18"/>
                <w:lang w:eastAsia="sk-SK"/>
              </w:rPr>
              <w:t>decembru</w:t>
            </w:r>
            <w:proofErr w:type="spellEnd"/>
            <w:r w:rsidRPr="00226892">
              <w:rPr>
                <w:rFonts w:ascii="Arial" w:eastAsia="Times New Roman" w:hAnsi="Arial" w:cs="Arial"/>
                <w:bCs/>
                <w:color w:val="000000"/>
                <w:sz w:val="18"/>
                <w:szCs w:val="18"/>
                <w:lang w:eastAsia="sk-SK"/>
              </w:rPr>
              <w:t xml:space="preserve"> 2017</w:t>
            </w:r>
          </w:p>
        </w:tc>
        <w:tc>
          <w:tcPr>
            <w:tcW w:w="954" w:type="pct"/>
            <w:shd w:val="clear" w:color="auto" w:fill="auto"/>
            <w:vAlign w:val="bottom"/>
          </w:tcPr>
          <w:p w14:paraId="134BB100" w14:textId="77777777" w:rsidR="00DC15D5" w:rsidRPr="00226892" w:rsidRDefault="00DC15D5" w:rsidP="005020AA">
            <w:pPr>
              <w:jc w:val="right"/>
              <w:rPr>
                <w:rFonts w:ascii="Arial" w:eastAsia="Times New Roman" w:hAnsi="Arial" w:cs="Arial"/>
                <w:bCs/>
                <w:color w:val="000000"/>
                <w:sz w:val="18"/>
                <w:szCs w:val="18"/>
                <w:lang w:eastAsia="sk-SK"/>
              </w:rPr>
            </w:pPr>
            <w:r w:rsidRPr="00226892">
              <w:rPr>
                <w:rFonts w:ascii="Arial" w:eastAsia="Times New Roman" w:hAnsi="Arial" w:cs="Arial"/>
                <w:bCs/>
                <w:color w:val="000000"/>
                <w:sz w:val="18"/>
                <w:szCs w:val="18"/>
                <w:lang w:eastAsia="sk-SK"/>
              </w:rPr>
              <w:t>12 061</w:t>
            </w:r>
          </w:p>
        </w:tc>
        <w:tc>
          <w:tcPr>
            <w:tcW w:w="588" w:type="pct"/>
            <w:shd w:val="clear" w:color="auto" w:fill="auto"/>
            <w:vAlign w:val="bottom"/>
          </w:tcPr>
          <w:p w14:paraId="59D212D5" w14:textId="77777777" w:rsidR="00DC15D5" w:rsidRPr="00226892" w:rsidRDefault="00DC15D5" w:rsidP="005020AA">
            <w:pPr>
              <w:jc w:val="right"/>
              <w:rPr>
                <w:rFonts w:ascii="Arial" w:eastAsia="Times New Roman" w:hAnsi="Arial" w:cs="Arial"/>
                <w:bCs/>
                <w:color w:val="000000"/>
                <w:sz w:val="18"/>
                <w:szCs w:val="18"/>
                <w:lang w:eastAsia="sk-SK"/>
              </w:rPr>
            </w:pPr>
            <w:r w:rsidRPr="00226892">
              <w:rPr>
                <w:rFonts w:ascii="Arial" w:eastAsia="Times New Roman" w:hAnsi="Arial" w:cs="Arial"/>
                <w:bCs/>
                <w:color w:val="000000"/>
                <w:sz w:val="18"/>
                <w:szCs w:val="18"/>
                <w:lang w:eastAsia="sk-SK"/>
              </w:rPr>
              <w:t>370</w:t>
            </w:r>
          </w:p>
        </w:tc>
        <w:tc>
          <w:tcPr>
            <w:tcW w:w="662" w:type="pct"/>
            <w:vAlign w:val="bottom"/>
          </w:tcPr>
          <w:p w14:paraId="6B295A4E" w14:textId="77777777" w:rsidR="00DC15D5" w:rsidRPr="00226892" w:rsidRDefault="00DC15D5" w:rsidP="005020AA">
            <w:pPr>
              <w:jc w:val="right"/>
              <w:rPr>
                <w:rFonts w:ascii="Arial" w:eastAsia="Times New Roman" w:hAnsi="Arial" w:cs="Arial"/>
                <w:bCs/>
                <w:color w:val="000000"/>
                <w:sz w:val="18"/>
                <w:szCs w:val="18"/>
                <w:lang w:eastAsia="sk-SK"/>
              </w:rPr>
            </w:pPr>
            <w:r w:rsidRPr="00226892">
              <w:rPr>
                <w:rFonts w:ascii="Arial" w:eastAsia="Times New Roman" w:hAnsi="Arial" w:cs="Arial"/>
                <w:bCs/>
                <w:color w:val="000000"/>
                <w:sz w:val="18"/>
                <w:szCs w:val="18"/>
                <w:lang w:eastAsia="sk-SK"/>
              </w:rPr>
              <w:t>747</w:t>
            </w:r>
          </w:p>
        </w:tc>
        <w:tc>
          <w:tcPr>
            <w:tcW w:w="662" w:type="pct"/>
            <w:vAlign w:val="bottom"/>
          </w:tcPr>
          <w:p w14:paraId="6C3D4FCF" w14:textId="77777777" w:rsidR="00DC15D5" w:rsidRPr="00226892" w:rsidRDefault="00DC15D5" w:rsidP="005020AA">
            <w:pPr>
              <w:jc w:val="right"/>
              <w:rPr>
                <w:rFonts w:ascii="Arial" w:eastAsia="Times New Roman" w:hAnsi="Arial" w:cs="Arial"/>
                <w:b/>
                <w:bCs/>
                <w:color w:val="000000"/>
                <w:sz w:val="18"/>
                <w:szCs w:val="18"/>
                <w:lang w:eastAsia="sk-SK"/>
              </w:rPr>
            </w:pPr>
            <w:r w:rsidRPr="00226892">
              <w:rPr>
                <w:rFonts w:ascii="Arial" w:eastAsia="Times New Roman" w:hAnsi="Arial" w:cs="Arial"/>
                <w:bCs/>
                <w:color w:val="000000"/>
                <w:sz w:val="18"/>
                <w:szCs w:val="18"/>
                <w:lang w:eastAsia="sk-SK"/>
              </w:rPr>
              <w:t>45</w:t>
            </w:r>
          </w:p>
        </w:tc>
        <w:tc>
          <w:tcPr>
            <w:tcW w:w="882" w:type="pct"/>
            <w:shd w:val="clear" w:color="auto" w:fill="auto"/>
            <w:vAlign w:val="bottom"/>
          </w:tcPr>
          <w:p w14:paraId="072BA573" w14:textId="77777777" w:rsidR="00DC15D5" w:rsidRPr="00226892" w:rsidRDefault="00DC15D5" w:rsidP="005020AA">
            <w:pPr>
              <w:jc w:val="right"/>
              <w:rPr>
                <w:rFonts w:ascii="Arial" w:eastAsia="Times New Roman" w:hAnsi="Arial" w:cs="Arial"/>
                <w:b/>
                <w:bCs/>
                <w:color w:val="000000"/>
                <w:sz w:val="18"/>
                <w:szCs w:val="18"/>
                <w:lang w:eastAsia="sk-SK"/>
              </w:rPr>
            </w:pPr>
            <w:r w:rsidRPr="00226892">
              <w:rPr>
                <w:rFonts w:ascii="Arial" w:eastAsia="Times New Roman" w:hAnsi="Arial" w:cs="Arial"/>
                <w:b/>
                <w:bCs/>
                <w:color w:val="000000"/>
                <w:sz w:val="18"/>
                <w:szCs w:val="18"/>
                <w:lang w:eastAsia="sk-SK"/>
              </w:rPr>
              <w:t>13 223</w:t>
            </w:r>
          </w:p>
        </w:tc>
      </w:tr>
      <w:tr w:rsidR="00DC15D5" w:rsidRPr="00226892" w14:paraId="106E8E7E" w14:textId="77777777" w:rsidTr="00104A05">
        <w:trPr>
          <w:trHeight w:val="231"/>
        </w:trPr>
        <w:tc>
          <w:tcPr>
            <w:tcW w:w="1252" w:type="pct"/>
            <w:shd w:val="clear" w:color="auto" w:fill="auto"/>
            <w:vAlign w:val="center"/>
            <w:hideMark/>
          </w:tcPr>
          <w:p w14:paraId="5A947A26" w14:textId="77777777" w:rsidR="00DC15D5" w:rsidRPr="00226892" w:rsidRDefault="00DC15D5" w:rsidP="005020AA">
            <w:pPr>
              <w:rPr>
                <w:rFonts w:ascii="Arial" w:eastAsia="Times New Roman" w:hAnsi="Arial" w:cs="Arial"/>
                <w:color w:val="000000"/>
                <w:sz w:val="18"/>
                <w:szCs w:val="18"/>
                <w:lang w:eastAsia="sk-SK"/>
              </w:rPr>
            </w:pPr>
            <w:proofErr w:type="spellStart"/>
            <w:r w:rsidRPr="00226892">
              <w:rPr>
                <w:rFonts w:ascii="Arial" w:eastAsia="Times New Roman" w:hAnsi="Arial" w:cs="Arial"/>
                <w:color w:val="000000"/>
                <w:sz w:val="18"/>
                <w:szCs w:val="18"/>
                <w:lang w:eastAsia="sk-SK"/>
              </w:rPr>
              <w:t>Splatené</w:t>
            </w:r>
            <w:proofErr w:type="spellEnd"/>
            <w:r w:rsidRPr="00226892">
              <w:rPr>
                <w:rFonts w:ascii="Arial" w:eastAsia="Times New Roman" w:hAnsi="Arial" w:cs="Arial"/>
                <w:color w:val="000000"/>
                <w:sz w:val="18"/>
                <w:szCs w:val="18"/>
                <w:lang w:eastAsia="sk-SK"/>
              </w:rPr>
              <w:t xml:space="preserve"> do </w:t>
            </w:r>
            <w:proofErr w:type="spellStart"/>
            <w:r w:rsidRPr="00226892">
              <w:rPr>
                <w:rFonts w:ascii="Arial" w:eastAsia="Times New Roman" w:hAnsi="Arial" w:cs="Arial"/>
                <w:color w:val="000000"/>
                <w:sz w:val="18"/>
                <w:szCs w:val="18"/>
                <w:lang w:eastAsia="sk-SK"/>
              </w:rPr>
              <w:t>dňa</w:t>
            </w:r>
            <w:proofErr w:type="spellEnd"/>
            <w:r w:rsidRPr="00226892">
              <w:rPr>
                <w:rFonts w:ascii="Arial" w:eastAsia="Times New Roman" w:hAnsi="Arial" w:cs="Arial"/>
                <w:color w:val="000000"/>
                <w:sz w:val="18"/>
                <w:szCs w:val="18"/>
                <w:lang w:eastAsia="sk-SK"/>
              </w:rPr>
              <w:t xml:space="preserve"> </w:t>
            </w:r>
            <w:proofErr w:type="spellStart"/>
            <w:r w:rsidRPr="00226892">
              <w:rPr>
                <w:rFonts w:ascii="Arial" w:eastAsia="Times New Roman" w:hAnsi="Arial" w:cs="Arial"/>
                <w:color w:val="000000"/>
                <w:sz w:val="18"/>
                <w:szCs w:val="18"/>
                <w:lang w:eastAsia="sk-SK"/>
              </w:rPr>
              <w:t>zostavenia</w:t>
            </w:r>
            <w:proofErr w:type="spellEnd"/>
            <w:r w:rsidRPr="00226892">
              <w:rPr>
                <w:rFonts w:ascii="Arial" w:eastAsia="Times New Roman" w:hAnsi="Arial" w:cs="Arial"/>
                <w:color w:val="000000"/>
                <w:sz w:val="18"/>
                <w:szCs w:val="18"/>
                <w:lang w:eastAsia="sk-SK"/>
              </w:rPr>
              <w:t xml:space="preserve"> </w:t>
            </w:r>
            <w:proofErr w:type="spellStart"/>
            <w:r w:rsidRPr="00226892">
              <w:rPr>
                <w:rFonts w:ascii="Arial" w:eastAsia="Times New Roman" w:hAnsi="Arial" w:cs="Arial"/>
                <w:color w:val="000000"/>
                <w:sz w:val="18"/>
                <w:szCs w:val="18"/>
                <w:lang w:eastAsia="sk-SK"/>
              </w:rPr>
              <w:t>účtovnej</w:t>
            </w:r>
            <w:proofErr w:type="spellEnd"/>
            <w:r w:rsidRPr="00226892">
              <w:rPr>
                <w:rFonts w:ascii="Arial" w:eastAsia="Times New Roman" w:hAnsi="Arial" w:cs="Arial"/>
                <w:color w:val="000000"/>
                <w:sz w:val="18"/>
                <w:szCs w:val="18"/>
                <w:lang w:eastAsia="sk-SK"/>
              </w:rPr>
              <w:t xml:space="preserve"> </w:t>
            </w:r>
            <w:proofErr w:type="spellStart"/>
            <w:r w:rsidRPr="00226892">
              <w:rPr>
                <w:rFonts w:ascii="Arial" w:eastAsia="Times New Roman" w:hAnsi="Arial" w:cs="Arial"/>
                <w:color w:val="000000"/>
                <w:sz w:val="18"/>
                <w:szCs w:val="18"/>
                <w:lang w:eastAsia="sk-SK"/>
              </w:rPr>
              <w:t>závierky</w:t>
            </w:r>
            <w:proofErr w:type="spellEnd"/>
          </w:p>
        </w:tc>
        <w:tc>
          <w:tcPr>
            <w:tcW w:w="954" w:type="pct"/>
            <w:shd w:val="clear" w:color="auto" w:fill="auto"/>
            <w:vAlign w:val="bottom"/>
          </w:tcPr>
          <w:p w14:paraId="0D1EDE19" w14:textId="77777777" w:rsidR="00DC15D5" w:rsidRPr="00226892" w:rsidRDefault="00DC15D5"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12 061</w:t>
            </w:r>
          </w:p>
        </w:tc>
        <w:tc>
          <w:tcPr>
            <w:tcW w:w="588" w:type="pct"/>
            <w:shd w:val="clear" w:color="auto" w:fill="auto"/>
            <w:vAlign w:val="bottom"/>
          </w:tcPr>
          <w:p w14:paraId="743B13D6" w14:textId="77777777" w:rsidR="00DC15D5" w:rsidRPr="00226892" w:rsidRDefault="00DC15D5"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100</w:t>
            </w:r>
          </w:p>
        </w:tc>
        <w:tc>
          <w:tcPr>
            <w:tcW w:w="662" w:type="pct"/>
            <w:vAlign w:val="bottom"/>
          </w:tcPr>
          <w:p w14:paraId="1974DFC5" w14:textId="77777777" w:rsidR="00DC15D5" w:rsidRPr="00226892" w:rsidRDefault="00DC15D5"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747</w:t>
            </w:r>
          </w:p>
        </w:tc>
        <w:tc>
          <w:tcPr>
            <w:tcW w:w="662" w:type="pct"/>
            <w:vAlign w:val="bottom"/>
          </w:tcPr>
          <w:p w14:paraId="689C917D" w14:textId="77777777" w:rsidR="00DC15D5" w:rsidRPr="00226892" w:rsidRDefault="00DC15D5" w:rsidP="005020AA">
            <w:pPr>
              <w:jc w:val="right"/>
              <w:rPr>
                <w:rFonts w:ascii="Arial" w:eastAsia="Times New Roman" w:hAnsi="Arial" w:cs="Arial"/>
                <w:b/>
                <w:bCs/>
                <w:color w:val="000000"/>
                <w:sz w:val="18"/>
                <w:szCs w:val="18"/>
                <w:lang w:eastAsia="sk-SK"/>
              </w:rPr>
            </w:pPr>
            <w:r w:rsidRPr="00226892">
              <w:rPr>
                <w:rFonts w:ascii="Arial" w:eastAsia="Times New Roman" w:hAnsi="Arial" w:cs="Arial"/>
                <w:color w:val="000000"/>
                <w:sz w:val="18"/>
                <w:szCs w:val="18"/>
                <w:lang w:eastAsia="sk-SK"/>
              </w:rPr>
              <w:t>45</w:t>
            </w:r>
          </w:p>
        </w:tc>
        <w:tc>
          <w:tcPr>
            <w:tcW w:w="882" w:type="pct"/>
            <w:shd w:val="clear" w:color="auto" w:fill="auto"/>
            <w:vAlign w:val="bottom"/>
          </w:tcPr>
          <w:p w14:paraId="59864E16" w14:textId="2DB00708" w:rsidR="00DC15D5" w:rsidRPr="00226892" w:rsidRDefault="00DC15D5" w:rsidP="005020AA">
            <w:pPr>
              <w:jc w:val="right"/>
              <w:rPr>
                <w:rFonts w:ascii="Arial" w:eastAsia="Times New Roman" w:hAnsi="Arial" w:cs="Arial"/>
                <w:b/>
                <w:bCs/>
                <w:color w:val="000000"/>
                <w:sz w:val="18"/>
                <w:szCs w:val="18"/>
                <w:lang w:eastAsia="sk-SK"/>
              </w:rPr>
            </w:pPr>
            <w:r w:rsidRPr="00226892">
              <w:rPr>
                <w:rFonts w:ascii="Arial" w:eastAsia="Times New Roman" w:hAnsi="Arial" w:cs="Arial"/>
                <w:b/>
                <w:bCs/>
                <w:color w:val="000000"/>
                <w:sz w:val="18"/>
                <w:szCs w:val="18"/>
                <w:lang w:eastAsia="sk-SK"/>
              </w:rPr>
              <w:t>12 953</w:t>
            </w:r>
          </w:p>
        </w:tc>
      </w:tr>
      <w:tr w:rsidR="00DC15D5" w:rsidRPr="00226892" w14:paraId="173766DB" w14:textId="77777777" w:rsidTr="00104A05">
        <w:trPr>
          <w:trHeight w:val="231"/>
        </w:trPr>
        <w:tc>
          <w:tcPr>
            <w:tcW w:w="1252" w:type="pct"/>
            <w:shd w:val="clear" w:color="auto" w:fill="auto"/>
            <w:vAlign w:val="center"/>
            <w:hideMark/>
          </w:tcPr>
          <w:p w14:paraId="7C5D2BD8" w14:textId="77777777" w:rsidR="00DC15D5" w:rsidRPr="00226892" w:rsidRDefault="00DC15D5" w:rsidP="005020AA">
            <w:pPr>
              <w:rPr>
                <w:rFonts w:ascii="Arial" w:eastAsia="Times New Roman" w:hAnsi="Arial" w:cs="Arial"/>
                <w:b/>
                <w:color w:val="000000"/>
                <w:sz w:val="18"/>
                <w:szCs w:val="18"/>
                <w:lang w:eastAsia="sk-SK"/>
              </w:rPr>
            </w:pPr>
            <w:proofErr w:type="spellStart"/>
            <w:r w:rsidRPr="00226892">
              <w:rPr>
                <w:rFonts w:ascii="Arial" w:eastAsia="Times New Roman" w:hAnsi="Arial" w:cs="Arial"/>
                <w:b/>
                <w:color w:val="000000"/>
                <w:sz w:val="18"/>
                <w:szCs w:val="18"/>
                <w:lang w:eastAsia="sk-SK"/>
              </w:rPr>
              <w:t>Nesplatené</w:t>
            </w:r>
            <w:proofErr w:type="spellEnd"/>
            <w:r w:rsidRPr="00226892">
              <w:rPr>
                <w:rFonts w:ascii="Arial" w:eastAsia="Times New Roman" w:hAnsi="Arial" w:cs="Arial"/>
                <w:b/>
                <w:color w:val="000000"/>
                <w:sz w:val="18"/>
                <w:szCs w:val="18"/>
                <w:lang w:eastAsia="sk-SK"/>
              </w:rPr>
              <w:t xml:space="preserve"> do </w:t>
            </w:r>
            <w:proofErr w:type="spellStart"/>
            <w:r w:rsidRPr="00226892">
              <w:rPr>
                <w:rFonts w:ascii="Arial" w:eastAsia="Times New Roman" w:hAnsi="Arial" w:cs="Arial"/>
                <w:b/>
                <w:color w:val="000000"/>
                <w:sz w:val="18"/>
                <w:szCs w:val="18"/>
                <w:lang w:eastAsia="sk-SK"/>
              </w:rPr>
              <w:t>dňa</w:t>
            </w:r>
            <w:proofErr w:type="spellEnd"/>
            <w:r w:rsidRPr="00226892">
              <w:rPr>
                <w:rFonts w:ascii="Arial" w:eastAsia="Times New Roman" w:hAnsi="Arial" w:cs="Arial"/>
                <w:b/>
                <w:color w:val="000000"/>
                <w:sz w:val="18"/>
                <w:szCs w:val="18"/>
                <w:lang w:eastAsia="sk-SK"/>
              </w:rPr>
              <w:t xml:space="preserve"> </w:t>
            </w:r>
            <w:proofErr w:type="spellStart"/>
            <w:r w:rsidRPr="00226892">
              <w:rPr>
                <w:rFonts w:ascii="Arial" w:eastAsia="Times New Roman" w:hAnsi="Arial" w:cs="Arial"/>
                <w:b/>
                <w:color w:val="000000"/>
                <w:sz w:val="18"/>
                <w:szCs w:val="18"/>
                <w:lang w:eastAsia="sk-SK"/>
              </w:rPr>
              <w:t>zostavenia</w:t>
            </w:r>
            <w:proofErr w:type="spellEnd"/>
            <w:r w:rsidRPr="00226892">
              <w:rPr>
                <w:rFonts w:ascii="Arial" w:eastAsia="Times New Roman" w:hAnsi="Arial" w:cs="Arial"/>
                <w:b/>
                <w:color w:val="000000"/>
                <w:sz w:val="18"/>
                <w:szCs w:val="18"/>
                <w:lang w:eastAsia="sk-SK"/>
              </w:rPr>
              <w:t xml:space="preserve"> </w:t>
            </w:r>
            <w:proofErr w:type="spellStart"/>
            <w:r w:rsidRPr="00226892">
              <w:rPr>
                <w:rFonts w:ascii="Arial" w:eastAsia="Times New Roman" w:hAnsi="Arial" w:cs="Arial"/>
                <w:b/>
                <w:color w:val="000000"/>
                <w:sz w:val="18"/>
                <w:szCs w:val="18"/>
                <w:lang w:eastAsia="sk-SK"/>
              </w:rPr>
              <w:t>účtovnej</w:t>
            </w:r>
            <w:proofErr w:type="spellEnd"/>
            <w:r w:rsidRPr="00226892">
              <w:rPr>
                <w:rFonts w:ascii="Arial" w:eastAsia="Times New Roman" w:hAnsi="Arial" w:cs="Arial"/>
                <w:b/>
                <w:color w:val="000000"/>
                <w:sz w:val="18"/>
                <w:szCs w:val="18"/>
                <w:lang w:eastAsia="sk-SK"/>
              </w:rPr>
              <w:t xml:space="preserve"> </w:t>
            </w:r>
            <w:proofErr w:type="spellStart"/>
            <w:r w:rsidRPr="00226892">
              <w:rPr>
                <w:rFonts w:ascii="Arial" w:eastAsia="Times New Roman" w:hAnsi="Arial" w:cs="Arial"/>
                <w:b/>
                <w:color w:val="000000"/>
                <w:sz w:val="18"/>
                <w:szCs w:val="18"/>
                <w:lang w:eastAsia="sk-SK"/>
              </w:rPr>
              <w:t>závierky</w:t>
            </w:r>
            <w:proofErr w:type="spellEnd"/>
          </w:p>
        </w:tc>
        <w:tc>
          <w:tcPr>
            <w:tcW w:w="954" w:type="pct"/>
            <w:shd w:val="clear" w:color="auto" w:fill="auto"/>
            <w:vAlign w:val="bottom"/>
          </w:tcPr>
          <w:p w14:paraId="1D6806E4" w14:textId="77777777" w:rsidR="00DC15D5" w:rsidRPr="00226892" w:rsidRDefault="00DC15D5" w:rsidP="005020AA">
            <w:pPr>
              <w:jc w:val="right"/>
              <w:rPr>
                <w:rFonts w:ascii="Arial" w:eastAsia="Times New Roman" w:hAnsi="Arial" w:cs="Arial"/>
                <w:b/>
                <w:color w:val="000000"/>
                <w:sz w:val="18"/>
                <w:szCs w:val="18"/>
                <w:lang w:eastAsia="sk-SK"/>
              </w:rPr>
            </w:pPr>
            <w:r w:rsidRPr="00226892">
              <w:rPr>
                <w:rFonts w:ascii="Arial" w:eastAsia="Times New Roman" w:hAnsi="Arial" w:cs="Arial"/>
                <w:b/>
                <w:color w:val="000000"/>
                <w:sz w:val="18"/>
                <w:szCs w:val="18"/>
                <w:lang w:eastAsia="sk-SK"/>
              </w:rPr>
              <w:t>-</w:t>
            </w:r>
          </w:p>
        </w:tc>
        <w:tc>
          <w:tcPr>
            <w:tcW w:w="588" w:type="pct"/>
            <w:shd w:val="clear" w:color="auto" w:fill="auto"/>
            <w:vAlign w:val="bottom"/>
          </w:tcPr>
          <w:p w14:paraId="3ADD1166" w14:textId="77777777" w:rsidR="00DC15D5" w:rsidRPr="00226892" w:rsidRDefault="00DC15D5" w:rsidP="005020AA">
            <w:pPr>
              <w:jc w:val="right"/>
              <w:rPr>
                <w:rFonts w:ascii="Arial" w:eastAsia="Times New Roman" w:hAnsi="Arial" w:cs="Arial"/>
                <w:b/>
                <w:color w:val="000000"/>
                <w:sz w:val="18"/>
                <w:szCs w:val="18"/>
                <w:lang w:eastAsia="sk-SK"/>
              </w:rPr>
            </w:pPr>
            <w:r w:rsidRPr="00226892">
              <w:rPr>
                <w:rFonts w:ascii="Arial" w:eastAsia="Times New Roman" w:hAnsi="Arial" w:cs="Arial"/>
                <w:b/>
                <w:color w:val="000000"/>
                <w:sz w:val="18"/>
                <w:szCs w:val="18"/>
                <w:lang w:eastAsia="sk-SK"/>
              </w:rPr>
              <w:t>270</w:t>
            </w:r>
          </w:p>
        </w:tc>
        <w:tc>
          <w:tcPr>
            <w:tcW w:w="662" w:type="pct"/>
            <w:vAlign w:val="bottom"/>
          </w:tcPr>
          <w:p w14:paraId="4DF15537" w14:textId="77777777" w:rsidR="00DC15D5" w:rsidRPr="00226892" w:rsidRDefault="00DC15D5" w:rsidP="005020AA">
            <w:pPr>
              <w:jc w:val="right"/>
              <w:rPr>
                <w:rFonts w:ascii="Arial" w:eastAsia="Times New Roman" w:hAnsi="Arial" w:cs="Arial"/>
                <w:b/>
                <w:color w:val="000000"/>
                <w:sz w:val="18"/>
                <w:szCs w:val="18"/>
                <w:lang w:eastAsia="sk-SK"/>
              </w:rPr>
            </w:pPr>
            <w:r w:rsidRPr="00226892">
              <w:rPr>
                <w:rFonts w:ascii="Arial" w:eastAsia="Times New Roman" w:hAnsi="Arial" w:cs="Arial"/>
                <w:b/>
                <w:color w:val="000000"/>
                <w:sz w:val="18"/>
                <w:szCs w:val="18"/>
                <w:lang w:eastAsia="sk-SK"/>
              </w:rPr>
              <w:t>-</w:t>
            </w:r>
          </w:p>
        </w:tc>
        <w:tc>
          <w:tcPr>
            <w:tcW w:w="662" w:type="pct"/>
            <w:vAlign w:val="bottom"/>
          </w:tcPr>
          <w:p w14:paraId="5AAAB6E9" w14:textId="77777777" w:rsidR="00DC15D5" w:rsidRPr="00226892" w:rsidRDefault="00DC15D5" w:rsidP="005020AA">
            <w:pPr>
              <w:jc w:val="right"/>
              <w:rPr>
                <w:rFonts w:ascii="Arial" w:eastAsia="Times New Roman" w:hAnsi="Arial" w:cs="Arial"/>
                <w:b/>
                <w:bCs/>
                <w:color w:val="000000"/>
                <w:sz w:val="18"/>
                <w:szCs w:val="18"/>
                <w:lang w:eastAsia="sk-SK"/>
              </w:rPr>
            </w:pPr>
            <w:r w:rsidRPr="00226892">
              <w:rPr>
                <w:rFonts w:ascii="Arial" w:eastAsia="Times New Roman" w:hAnsi="Arial" w:cs="Arial"/>
                <w:b/>
                <w:bCs/>
                <w:color w:val="000000"/>
                <w:sz w:val="18"/>
                <w:szCs w:val="18"/>
                <w:lang w:eastAsia="sk-SK"/>
              </w:rPr>
              <w:t>-</w:t>
            </w:r>
          </w:p>
        </w:tc>
        <w:tc>
          <w:tcPr>
            <w:tcW w:w="882" w:type="pct"/>
            <w:shd w:val="clear" w:color="auto" w:fill="auto"/>
            <w:vAlign w:val="bottom"/>
          </w:tcPr>
          <w:p w14:paraId="6237F178" w14:textId="77777777" w:rsidR="00DC15D5" w:rsidRPr="00226892" w:rsidRDefault="00DC15D5" w:rsidP="005020AA">
            <w:pPr>
              <w:jc w:val="right"/>
              <w:rPr>
                <w:rFonts w:ascii="Arial" w:eastAsia="Times New Roman" w:hAnsi="Arial" w:cs="Arial"/>
                <w:b/>
                <w:bCs/>
                <w:color w:val="000000"/>
                <w:sz w:val="18"/>
                <w:szCs w:val="18"/>
                <w:lang w:eastAsia="sk-SK"/>
              </w:rPr>
            </w:pPr>
            <w:r w:rsidRPr="00226892">
              <w:rPr>
                <w:rFonts w:ascii="Arial" w:eastAsia="Times New Roman" w:hAnsi="Arial" w:cs="Arial"/>
                <w:b/>
                <w:bCs/>
                <w:color w:val="000000"/>
                <w:sz w:val="18"/>
                <w:szCs w:val="18"/>
                <w:lang w:eastAsia="sk-SK"/>
              </w:rPr>
              <w:t>270</w:t>
            </w:r>
          </w:p>
        </w:tc>
      </w:tr>
    </w:tbl>
    <w:p w14:paraId="5BDF54E6" w14:textId="77777777" w:rsidR="003E3222" w:rsidRPr="00226892" w:rsidRDefault="003E3222" w:rsidP="005943D4">
      <w:pPr>
        <w:rPr>
          <w:rFonts w:ascii="Arial" w:hAnsi="Arial" w:cs="Arial"/>
        </w:rPr>
      </w:pPr>
    </w:p>
    <w:p w14:paraId="5FC7F946" w14:textId="45BCA95B" w:rsidR="000520F7" w:rsidRPr="00226892" w:rsidRDefault="0002034F" w:rsidP="000405EF">
      <w:pPr>
        <w:rPr>
          <w:rFonts w:ascii="Arial" w:hAnsi="Arial" w:cs="Arial"/>
          <w:sz w:val="18"/>
          <w:szCs w:val="18"/>
          <w:lang w:val="sk-SK"/>
        </w:rPr>
      </w:pPr>
      <w:r w:rsidRPr="00226892">
        <w:rPr>
          <w:rFonts w:ascii="Arial" w:hAnsi="Arial" w:cs="Arial"/>
          <w:lang w:val="sk-SK"/>
        </w:rPr>
        <w:t xml:space="preserve">Štruktúra pohľadávok z obchodného styku, ktoré sú po splatnosti </w:t>
      </w:r>
      <w:r w:rsidR="00784012" w:rsidRPr="00226892">
        <w:rPr>
          <w:rFonts w:ascii="Arial" w:hAnsi="Arial" w:cs="Arial"/>
          <w:lang w:val="sk-SK"/>
        </w:rPr>
        <w:t xml:space="preserve">ale nie sú </w:t>
      </w:r>
      <w:r w:rsidRPr="00226892">
        <w:rPr>
          <w:rFonts w:ascii="Arial" w:hAnsi="Arial" w:cs="Arial"/>
          <w:lang w:val="sk-SK"/>
        </w:rPr>
        <w:t>znehodnotené podľa ich úverovej kvality je nasledovná:</w:t>
      </w:r>
      <w:bookmarkStart w:id="421" w:name="FWT_TradeReceivOverdue"/>
      <w:r w:rsidRPr="00226892">
        <w:rPr>
          <w:rFonts w:ascii="Arial" w:hAnsi="Arial" w:cs="Arial"/>
          <w:sz w:val="18"/>
          <w:szCs w:val="18"/>
          <w:lang w:val="sk-SK"/>
        </w:rPr>
        <w:t xml:space="preserve"> </w:t>
      </w:r>
    </w:p>
    <w:p w14:paraId="71B9E006" w14:textId="77777777" w:rsidR="00AD592C" w:rsidRPr="00226892" w:rsidRDefault="00AD592C" w:rsidP="000405EF">
      <w:pPr>
        <w:rPr>
          <w:rFonts w:ascii="Arial" w:hAnsi="Arial" w:cs="Arial"/>
          <w:szCs w:val="18"/>
          <w:lang w:val="sk-SK"/>
        </w:rPr>
      </w:pPr>
    </w:p>
    <w:tbl>
      <w:tblPr>
        <w:tblW w:w="5000" w:type="pct"/>
        <w:tblCellMar>
          <w:left w:w="70" w:type="dxa"/>
          <w:right w:w="70" w:type="dxa"/>
        </w:tblCellMar>
        <w:tblLook w:val="04A0" w:firstRow="1" w:lastRow="0" w:firstColumn="1" w:lastColumn="0" w:noHBand="0" w:noVBand="1"/>
      </w:tblPr>
      <w:tblGrid>
        <w:gridCol w:w="5246"/>
        <w:gridCol w:w="200"/>
        <w:gridCol w:w="2018"/>
        <w:gridCol w:w="191"/>
        <w:gridCol w:w="1984"/>
      </w:tblGrid>
      <w:tr w:rsidR="000520F7" w:rsidRPr="00226892" w14:paraId="659181A9" w14:textId="77777777" w:rsidTr="00040BD9">
        <w:trPr>
          <w:trHeight w:val="225"/>
        </w:trPr>
        <w:tc>
          <w:tcPr>
            <w:tcW w:w="2721" w:type="pct"/>
            <w:tcBorders>
              <w:top w:val="nil"/>
              <w:left w:val="nil"/>
              <w:bottom w:val="single" w:sz="4" w:space="0" w:color="auto"/>
              <w:right w:val="nil"/>
            </w:tcBorders>
            <w:shd w:val="clear" w:color="auto" w:fill="auto"/>
            <w:noWrap/>
            <w:vAlign w:val="bottom"/>
            <w:hideMark/>
          </w:tcPr>
          <w:p w14:paraId="15B2EBBE" w14:textId="77777777" w:rsidR="000520F7" w:rsidRPr="00226892" w:rsidRDefault="000520F7" w:rsidP="000520F7">
            <w:pPr>
              <w:rPr>
                <w:rFonts w:ascii="Arial" w:eastAsia="Times New Roman" w:hAnsi="Arial" w:cs="Arial"/>
                <w:color w:val="000000"/>
                <w:sz w:val="18"/>
                <w:szCs w:val="18"/>
                <w:lang w:val="sk-SK" w:eastAsia="sk-SK"/>
              </w:rPr>
            </w:pPr>
            <w:bookmarkStart w:id="422" w:name="RANGE!C51:G56"/>
            <w:r w:rsidRPr="00226892">
              <w:rPr>
                <w:rFonts w:ascii="Arial" w:eastAsia="Times New Roman" w:hAnsi="Arial" w:cs="Arial"/>
                <w:color w:val="000000"/>
                <w:sz w:val="18"/>
                <w:szCs w:val="18"/>
                <w:lang w:val="sk-SK" w:eastAsia="sk-SK"/>
              </w:rPr>
              <w:t> </w:t>
            </w:r>
            <w:bookmarkEnd w:id="422"/>
          </w:p>
        </w:tc>
        <w:tc>
          <w:tcPr>
            <w:tcW w:w="104" w:type="pct"/>
            <w:tcBorders>
              <w:top w:val="nil"/>
              <w:left w:val="nil"/>
              <w:bottom w:val="single" w:sz="4" w:space="0" w:color="auto"/>
              <w:right w:val="nil"/>
            </w:tcBorders>
            <w:shd w:val="clear" w:color="auto" w:fill="auto"/>
            <w:noWrap/>
            <w:vAlign w:val="bottom"/>
            <w:hideMark/>
          </w:tcPr>
          <w:p w14:paraId="0C0A8E6D" w14:textId="77777777" w:rsidR="000520F7" w:rsidRPr="00226892" w:rsidRDefault="000520F7" w:rsidP="000520F7">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047" w:type="pct"/>
            <w:tcBorders>
              <w:top w:val="nil"/>
              <w:left w:val="nil"/>
              <w:bottom w:val="single" w:sz="4" w:space="0" w:color="auto"/>
              <w:right w:val="nil"/>
            </w:tcBorders>
            <w:shd w:val="clear" w:color="auto" w:fill="auto"/>
            <w:vAlign w:val="bottom"/>
            <w:hideMark/>
          </w:tcPr>
          <w:p w14:paraId="0C069A22" w14:textId="320A1DAA" w:rsidR="000520F7" w:rsidRPr="00226892" w:rsidRDefault="000520F7" w:rsidP="00040BD9">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D3AC5" w:rsidRPr="00226892">
              <w:rPr>
                <w:rFonts w:ascii="Arial" w:eastAsia="Times New Roman" w:hAnsi="Arial" w:cs="Arial"/>
                <w:b/>
                <w:bCs/>
                <w:color w:val="000000"/>
                <w:sz w:val="18"/>
                <w:szCs w:val="18"/>
                <w:lang w:val="sk-SK" w:eastAsia="sk-SK"/>
              </w:rPr>
              <w:t>2018</w:t>
            </w:r>
          </w:p>
        </w:tc>
        <w:tc>
          <w:tcPr>
            <w:tcW w:w="99" w:type="pct"/>
            <w:tcBorders>
              <w:top w:val="nil"/>
              <w:left w:val="nil"/>
              <w:bottom w:val="single" w:sz="4" w:space="0" w:color="auto"/>
              <w:right w:val="nil"/>
            </w:tcBorders>
            <w:shd w:val="clear" w:color="auto" w:fill="auto"/>
            <w:vAlign w:val="bottom"/>
            <w:hideMark/>
          </w:tcPr>
          <w:p w14:paraId="7453B61B" w14:textId="216E10A3" w:rsidR="000520F7" w:rsidRPr="00226892" w:rsidRDefault="000520F7" w:rsidP="00040BD9">
            <w:pPr>
              <w:jc w:val="center"/>
              <w:rPr>
                <w:rFonts w:ascii="Arial" w:eastAsia="Times New Roman" w:hAnsi="Arial" w:cs="Arial"/>
                <w:b/>
                <w:bCs/>
                <w:color w:val="000000"/>
                <w:sz w:val="18"/>
                <w:szCs w:val="18"/>
                <w:lang w:val="sk-SK" w:eastAsia="sk-SK"/>
              </w:rPr>
            </w:pPr>
          </w:p>
        </w:tc>
        <w:tc>
          <w:tcPr>
            <w:tcW w:w="1029" w:type="pct"/>
            <w:tcBorders>
              <w:top w:val="nil"/>
              <w:left w:val="nil"/>
              <w:bottom w:val="single" w:sz="4" w:space="0" w:color="auto"/>
              <w:right w:val="nil"/>
            </w:tcBorders>
            <w:shd w:val="clear" w:color="auto" w:fill="auto"/>
            <w:vAlign w:val="bottom"/>
            <w:hideMark/>
          </w:tcPr>
          <w:p w14:paraId="4A7E2D02" w14:textId="4920E18B" w:rsidR="000520F7" w:rsidRPr="00226892" w:rsidRDefault="000520F7" w:rsidP="00040BD9">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63A77" w:rsidRPr="00226892">
              <w:rPr>
                <w:rFonts w:ascii="Arial" w:eastAsia="Times New Roman" w:hAnsi="Arial" w:cs="Arial"/>
                <w:b/>
                <w:bCs/>
                <w:color w:val="000000"/>
                <w:sz w:val="18"/>
                <w:szCs w:val="18"/>
                <w:lang w:val="sk-SK" w:eastAsia="sk-SK"/>
              </w:rPr>
              <w:t>2017</w:t>
            </w:r>
          </w:p>
        </w:tc>
      </w:tr>
      <w:tr w:rsidR="007832C8" w:rsidRPr="00226892" w14:paraId="174851BC" w14:textId="77777777" w:rsidTr="00040BD9">
        <w:trPr>
          <w:trHeight w:val="225"/>
        </w:trPr>
        <w:tc>
          <w:tcPr>
            <w:tcW w:w="2721" w:type="pct"/>
            <w:tcBorders>
              <w:top w:val="nil"/>
              <w:left w:val="nil"/>
              <w:bottom w:val="nil"/>
              <w:right w:val="nil"/>
            </w:tcBorders>
            <w:shd w:val="clear" w:color="auto" w:fill="auto"/>
            <w:noWrap/>
            <w:vAlign w:val="bottom"/>
            <w:hideMark/>
          </w:tcPr>
          <w:p w14:paraId="1A282BBB" w14:textId="77777777" w:rsidR="007832C8" w:rsidRPr="00226892" w:rsidRDefault="007832C8" w:rsidP="007832C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Od 1 do 90 dní</w:t>
            </w:r>
          </w:p>
        </w:tc>
        <w:tc>
          <w:tcPr>
            <w:tcW w:w="104" w:type="pct"/>
            <w:tcBorders>
              <w:top w:val="nil"/>
              <w:left w:val="nil"/>
              <w:bottom w:val="nil"/>
              <w:right w:val="nil"/>
            </w:tcBorders>
            <w:shd w:val="clear" w:color="auto" w:fill="auto"/>
            <w:noWrap/>
            <w:vAlign w:val="bottom"/>
            <w:hideMark/>
          </w:tcPr>
          <w:p w14:paraId="122257AA" w14:textId="77777777" w:rsidR="007832C8" w:rsidRPr="00226892" w:rsidRDefault="007832C8" w:rsidP="007832C8">
            <w:pPr>
              <w:rPr>
                <w:rFonts w:ascii="Arial" w:eastAsia="Times New Roman" w:hAnsi="Arial" w:cs="Arial"/>
                <w:color w:val="000000"/>
                <w:sz w:val="18"/>
                <w:szCs w:val="18"/>
                <w:lang w:val="sk-SK" w:eastAsia="sk-SK"/>
              </w:rPr>
            </w:pPr>
          </w:p>
        </w:tc>
        <w:tc>
          <w:tcPr>
            <w:tcW w:w="1047" w:type="pct"/>
            <w:tcBorders>
              <w:top w:val="nil"/>
              <w:left w:val="nil"/>
              <w:bottom w:val="nil"/>
              <w:right w:val="nil"/>
            </w:tcBorders>
            <w:shd w:val="clear" w:color="auto" w:fill="auto"/>
            <w:vAlign w:val="bottom"/>
          </w:tcPr>
          <w:p w14:paraId="4A89C71C" w14:textId="0D7962B9" w:rsidR="007832C8" w:rsidRPr="00226892" w:rsidRDefault="007832C8" w:rsidP="007832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1 116</w:t>
            </w:r>
          </w:p>
        </w:tc>
        <w:tc>
          <w:tcPr>
            <w:tcW w:w="99" w:type="pct"/>
            <w:tcBorders>
              <w:top w:val="nil"/>
              <w:left w:val="nil"/>
              <w:bottom w:val="nil"/>
              <w:right w:val="nil"/>
            </w:tcBorders>
            <w:shd w:val="clear" w:color="auto" w:fill="auto"/>
            <w:vAlign w:val="bottom"/>
          </w:tcPr>
          <w:p w14:paraId="22A85969" w14:textId="77777777" w:rsidR="007832C8" w:rsidRPr="00226892" w:rsidRDefault="007832C8" w:rsidP="007832C8">
            <w:pPr>
              <w:jc w:val="right"/>
              <w:rPr>
                <w:rFonts w:ascii="Arial" w:eastAsia="Times New Roman" w:hAnsi="Arial" w:cs="Arial"/>
                <w:color w:val="000000"/>
                <w:sz w:val="18"/>
                <w:szCs w:val="18"/>
                <w:lang w:val="sk-SK" w:eastAsia="sk-SK"/>
              </w:rPr>
            </w:pPr>
          </w:p>
        </w:tc>
        <w:tc>
          <w:tcPr>
            <w:tcW w:w="1029" w:type="pct"/>
            <w:tcBorders>
              <w:top w:val="nil"/>
              <w:left w:val="nil"/>
              <w:bottom w:val="nil"/>
              <w:right w:val="nil"/>
            </w:tcBorders>
            <w:shd w:val="clear" w:color="auto" w:fill="auto"/>
            <w:vAlign w:val="bottom"/>
          </w:tcPr>
          <w:p w14:paraId="2F7ADBA0" w14:textId="04CD02CA" w:rsidR="007832C8" w:rsidRPr="00226892" w:rsidRDefault="007832C8" w:rsidP="007832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6 037</w:t>
            </w:r>
          </w:p>
        </w:tc>
      </w:tr>
      <w:tr w:rsidR="007832C8" w:rsidRPr="00226892" w14:paraId="6BFBBED7" w14:textId="77777777" w:rsidTr="00040BD9">
        <w:trPr>
          <w:trHeight w:val="225"/>
        </w:trPr>
        <w:tc>
          <w:tcPr>
            <w:tcW w:w="2721" w:type="pct"/>
            <w:tcBorders>
              <w:top w:val="nil"/>
              <w:left w:val="nil"/>
              <w:bottom w:val="nil"/>
              <w:right w:val="nil"/>
            </w:tcBorders>
            <w:shd w:val="clear" w:color="auto" w:fill="auto"/>
            <w:noWrap/>
            <w:vAlign w:val="bottom"/>
            <w:hideMark/>
          </w:tcPr>
          <w:p w14:paraId="4C744D26" w14:textId="77777777" w:rsidR="007832C8" w:rsidRPr="00226892" w:rsidRDefault="007832C8" w:rsidP="007832C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Od 91 do 180 dní</w:t>
            </w:r>
          </w:p>
        </w:tc>
        <w:tc>
          <w:tcPr>
            <w:tcW w:w="104" w:type="pct"/>
            <w:tcBorders>
              <w:top w:val="nil"/>
              <w:left w:val="nil"/>
              <w:bottom w:val="nil"/>
              <w:right w:val="nil"/>
            </w:tcBorders>
            <w:shd w:val="clear" w:color="auto" w:fill="auto"/>
            <w:noWrap/>
            <w:vAlign w:val="bottom"/>
            <w:hideMark/>
          </w:tcPr>
          <w:p w14:paraId="24C078F5" w14:textId="77777777" w:rsidR="007832C8" w:rsidRPr="00226892" w:rsidRDefault="007832C8" w:rsidP="007832C8">
            <w:pPr>
              <w:rPr>
                <w:rFonts w:ascii="Arial" w:eastAsia="Times New Roman" w:hAnsi="Arial" w:cs="Arial"/>
                <w:color w:val="000000"/>
                <w:sz w:val="18"/>
                <w:szCs w:val="18"/>
                <w:lang w:val="sk-SK" w:eastAsia="sk-SK"/>
              </w:rPr>
            </w:pPr>
          </w:p>
        </w:tc>
        <w:tc>
          <w:tcPr>
            <w:tcW w:w="1047" w:type="pct"/>
            <w:tcBorders>
              <w:top w:val="nil"/>
              <w:left w:val="nil"/>
              <w:bottom w:val="nil"/>
              <w:right w:val="nil"/>
            </w:tcBorders>
            <w:shd w:val="clear" w:color="auto" w:fill="auto"/>
            <w:vAlign w:val="bottom"/>
          </w:tcPr>
          <w:p w14:paraId="06ED13CB" w14:textId="47F0BFF9" w:rsidR="007832C8" w:rsidRPr="00226892" w:rsidRDefault="007832C8" w:rsidP="007832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466</w:t>
            </w:r>
          </w:p>
        </w:tc>
        <w:tc>
          <w:tcPr>
            <w:tcW w:w="99" w:type="pct"/>
            <w:tcBorders>
              <w:top w:val="nil"/>
              <w:left w:val="nil"/>
              <w:bottom w:val="nil"/>
              <w:right w:val="nil"/>
            </w:tcBorders>
            <w:shd w:val="clear" w:color="auto" w:fill="auto"/>
            <w:vAlign w:val="bottom"/>
          </w:tcPr>
          <w:p w14:paraId="501CFC7B" w14:textId="77777777" w:rsidR="007832C8" w:rsidRPr="00226892" w:rsidRDefault="007832C8" w:rsidP="007832C8">
            <w:pPr>
              <w:jc w:val="right"/>
              <w:rPr>
                <w:rFonts w:ascii="Arial" w:eastAsia="Times New Roman" w:hAnsi="Arial" w:cs="Arial"/>
                <w:color w:val="000000"/>
                <w:sz w:val="18"/>
                <w:szCs w:val="18"/>
                <w:lang w:val="sk-SK" w:eastAsia="sk-SK"/>
              </w:rPr>
            </w:pPr>
          </w:p>
        </w:tc>
        <w:tc>
          <w:tcPr>
            <w:tcW w:w="1029" w:type="pct"/>
            <w:tcBorders>
              <w:top w:val="nil"/>
              <w:left w:val="nil"/>
              <w:bottom w:val="nil"/>
              <w:right w:val="nil"/>
            </w:tcBorders>
            <w:shd w:val="clear" w:color="auto" w:fill="auto"/>
            <w:vAlign w:val="bottom"/>
          </w:tcPr>
          <w:p w14:paraId="030EDB32" w14:textId="7A017CF5" w:rsidR="007832C8" w:rsidRPr="00226892" w:rsidRDefault="007832C8" w:rsidP="007832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296</w:t>
            </w:r>
          </w:p>
        </w:tc>
      </w:tr>
      <w:tr w:rsidR="007832C8" w:rsidRPr="00226892" w14:paraId="78B33234" w14:textId="77777777" w:rsidTr="00040BD9">
        <w:trPr>
          <w:trHeight w:val="225"/>
        </w:trPr>
        <w:tc>
          <w:tcPr>
            <w:tcW w:w="2721" w:type="pct"/>
            <w:tcBorders>
              <w:top w:val="nil"/>
              <w:left w:val="nil"/>
              <w:bottom w:val="nil"/>
              <w:right w:val="nil"/>
            </w:tcBorders>
            <w:shd w:val="clear" w:color="auto" w:fill="auto"/>
            <w:noWrap/>
            <w:vAlign w:val="bottom"/>
            <w:hideMark/>
          </w:tcPr>
          <w:p w14:paraId="33D5285B" w14:textId="1E408186" w:rsidR="007832C8" w:rsidRPr="00226892" w:rsidRDefault="007832C8" w:rsidP="007832C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Od 181 do 360 dní</w:t>
            </w:r>
          </w:p>
        </w:tc>
        <w:tc>
          <w:tcPr>
            <w:tcW w:w="104" w:type="pct"/>
            <w:tcBorders>
              <w:top w:val="nil"/>
              <w:left w:val="nil"/>
              <w:bottom w:val="nil"/>
              <w:right w:val="nil"/>
            </w:tcBorders>
            <w:shd w:val="clear" w:color="auto" w:fill="auto"/>
            <w:noWrap/>
            <w:vAlign w:val="bottom"/>
            <w:hideMark/>
          </w:tcPr>
          <w:p w14:paraId="137A0B58" w14:textId="77777777" w:rsidR="007832C8" w:rsidRPr="00226892" w:rsidRDefault="007832C8" w:rsidP="007832C8">
            <w:pPr>
              <w:rPr>
                <w:rFonts w:ascii="Arial" w:eastAsia="Times New Roman" w:hAnsi="Arial" w:cs="Arial"/>
                <w:color w:val="000000"/>
                <w:sz w:val="18"/>
                <w:szCs w:val="18"/>
                <w:lang w:val="sk-SK" w:eastAsia="sk-SK"/>
              </w:rPr>
            </w:pPr>
          </w:p>
        </w:tc>
        <w:tc>
          <w:tcPr>
            <w:tcW w:w="1047" w:type="pct"/>
            <w:tcBorders>
              <w:top w:val="nil"/>
              <w:left w:val="nil"/>
              <w:bottom w:val="nil"/>
              <w:right w:val="nil"/>
            </w:tcBorders>
            <w:shd w:val="clear" w:color="auto" w:fill="auto"/>
            <w:vAlign w:val="bottom"/>
          </w:tcPr>
          <w:p w14:paraId="4C11F21B" w14:textId="2623CA7A" w:rsidR="007832C8" w:rsidRPr="00226892" w:rsidRDefault="007832C8" w:rsidP="007832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4</w:t>
            </w:r>
          </w:p>
        </w:tc>
        <w:tc>
          <w:tcPr>
            <w:tcW w:w="99" w:type="pct"/>
            <w:tcBorders>
              <w:top w:val="nil"/>
              <w:left w:val="nil"/>
              <w:bottom w:val="nil"/>
              <w:right w:val="nil"/>
            </w:tcBorders>
            <w:shd w:val="clear" w:color="auto" w:fill="auto"/>
            <w:vAlign w:val="bottom"/>
          </w:tcPr>
          <w:p w14:paraId="6781C60E" w14:textId="77777777" w:rsidR="007832C8" w:rsidRPr="00226892" w:rsidRDefault="007832C8" w:rsidP="007832C8">
            <w:pPr>
              <w:jc w:val="right"/>
              <w:rPr>
                <w:rFonts w:ascii="Arial" w:eastAsia="Times New Roman" w:hAnsi="Arial" w:cs="Arial"/>
                <w:color w:val="000000"/>
                <w:sz w:val="18"/>
                <w:szCs w:val="18"/>
                <w:lang w:val="sk-SK" w:eastAsia="sk-SK"/>
              </w:rPr>
            </w:pPr>
          </w:p>
        </w:tc>
        <w:tc>
          <w:tcPr>
            <w:tcW w:w="1029" w:type="pct"/>
            <w:tcBorders>
              <w:top w:val="nil"/>
              <w:left w:val="nil"/>
              <w:bottom w:val="nil"/>
              <w:right w:val="nil"/>
            </w:tcBorders>
            <w:shd w:val="clear" w:color="auto" w:fill="auto"/>
            <w:vAlign w:val="bottom"/>
          </w:tcPr>
          <w:p w14:paraId="7897F587" w14:textId="461B6D62" w:rsidR="007832C8" w:rsidRPr="00226892" w:rsidRDefault="007832C8" w:rsidP="007832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15</w:t>
            </w:r>
          </w:p>
        </w:tc>
      </w:tr>
      <w:tr w:rsidR="007832C8" w:rsidRPr="00226892" w14:paraId="792C9FF9" w14:textId="77777777" w:rsidTr="00040BD9">
        <w:trPr>
          <w:trHeight w:val="225"/>
        </w:trPr>
        <w:tc>
          <w:tcPr>
            <w:tcW w:w="2721" w:type="pct"/>
            <w:tcBorders>
              <w:top w:val="nil"/>
              <w:left w:val="nil"/>
              <w:bottom w:val="nil"/>
              <w:right w:val="nil"/>
            </w:tcBorders>
            <w:shd w:val="clear" w:color="auto" w:fill="auto"/>
            <w:noWrap/>
            <w:vAlign w:val="bottom"/>
            <w:hideMark/>
          </w:tcPr>
          <w:p w14:paraId="0D99DFF7" w14:textId="77777777" w:rsidR="007832C8" w:rsidRPr="00226892" w:rsidRDefault="007832C8" w:rsidP="007832C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Viac ako 361 dní</w:t>
            </w:r>
          </w:p>
        </w:tc>
        <w:tc>
          <w:tcPr>
            <w:tcW w:w="104" w:type="pct"/>
            <w:tcBorders>
              <w:top w:val="nil"/>
              <w:left w:val="nil"/>
              <w:bottom w:val="nil"/>
              <w:right w:val="nil"/>
            </w:tcBorders>
            <w:shd w:val="clear" w:color="auto" w:fill="auto"/>
            <w:noWrap/>
            <w:vAlign w:val="bottom"/>
            <w:hideMark/>
          </w:tcPr>
          <w:p w14:paraId="6331CFEF" w14:textId="77777777" w:rsidR="007832C8" w:rsidRPr="00226892" w:rsidRDefault="007832C8" w:rsidP="007832C8">
            <w:pPr>
              <w:rPr>
                <w:rFonts w:ascii="Arial" w:eastAsia="Times New Roman" w:hAnsi="Arial" w:cs="Arial"/>
                <w:color w:val="000000"/>
                <w:sz w:val="18"/>
                <w:szCs w:val="18"/>
                <w:lang w:val="sk-SK" w:eastAsia="sk-SK"/>
              </w:rPr>
            </w:pPr>
          </w:p>
        </w:tc>
        <w:tc>
          <w:tcPr>
            <w:tcW w:w="1047" w:type="pct"/>
            <w:tcBorders>
              <w:top w:val="nil"/>
              <w:left w:val="nil"/>
              <w:bottom w:val="nil"/>
              <w:right w:val="nil"/>
            </w:tcBorders>
            <w:shd w:val="clear" w:color="auto" w:fill="auto"/>
            <w:vAlign w:val="bottom"/>
          </w:tcPr>
          <w:p w14:paraId="0902EF6D" w14:textId="254011E2" w:rsidR="007832C8" w:rsidRPr="00226892" w:rsidRDefault="007832C8" w:rsidP="007832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9" w:type="pct"/>
            <w:tcBorders>
              <w:top w:val="nil"/>
              <w:left w:val="nil"/>
              <w:bottom w:val="nil"/>
              <w:right w:val="nil"/>
            </w:tcBorders>
            <w:shd w:val="clear" w:color="auto" w:fill="auto"/>
            <w:vAlign w:val="bottom"/>
          </w:tcPr>
          <w:p w14:paraId="50A7D5C7" w14:textId="77777777" w:rsidR="007832C8" w:rsidRPr="00226892" w:rsidRDefault="007832C8" w:rsidP="007832C8">
            <w:pPr>
              <w:jc w:val="right"/>
              <w:rPr>
                <w:rFonts w:ascii="Arial" w:eastAsia="Times New Roman" w:hAnsi="Arial" w:cs="Arial"/>
                <w:color w:val="000000"/>
                <w:sz w:val="18"/>
                <w:szCs w:val="18"/>
                <w:lang w:val="sk-SK" w:eastAsia="sk-SK"/>
              </w:rPr>
            </w:pPr>
          </w:p>
        </w:tc>
        <w:tc>
          <w:tcPr>
            <w:tcW w:w="1029" w:type="pct"/>
            <w:tcBorders>
              <w:top w:val="nil"/>
              <w:left w:val="nil"/>
              <w:bottom w:val="nil"/>
              <w:right w:val="nil"/>
            </w:tcBorders>
            <w:shd w:val="clear" w:color="auto" w:fill="auto"/>
            <w:vAlign w:val="bottom"/>
          </w:tcPr>
          <w:p w14:paraId="51C12170" w14:textId="25FAD74E" w:rsidR="007832C8" w:rsidRPr="00226892" w:rsidRDefault="007832C8" w:rsidP="007832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8</w:t>
            </w:r>
          </w:p>
        </w:tc>
      </w:tr>
      <w:tr w:rsidR="007832C8" w:rsidRPr="00226892" w14:paraId="1A6EAD3B" w14:textId="77777777" w:rsidTr="00040BD9">
        <w:trPr>
          <w:trHeight w:val="225"/>
        </w:trPr>
        <w:tc>
          <w:tcPr>
            <w:tcW w:w="2721" w:type="pct"/>
            <w:tcBorders>
              <w:top w:val="nil"/>
              <w:left w:val="nil"/>
              <w:bottom w:val="nil"/>
              <w:right w:val="nil"/>
            </w:tcBorders>
            <w:shd w:val="clear" w:color="auto" w:fill="auto"/>
            <w:vAlign w:val="bottom"/>
            <w:hideMark/>
          </w:tcPr>
          <w:p w14:paraId="40020EF0" w14:textId="77777777" w:rsidR="007832C8" w:rsidRPr="00226892" w:rsidRDefault="007832C8" w:rsidP="007832C8">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Pohľadávky z obchodného styku, ktoré sú po splatnosti ale nie znehodnotené</w:t>
            </w:r>
          </w:p>
        </w:tc>
        <w:tc>
          <w:tcPr>
            <w:tcW w:w="104" w:type="pct"/>
            <w:tcBorders>
              <w:top w:val="nil"/>
              <w:left w:val="nil"/>
              <w:bottom w:val="nil"/>
              <w:right w:val="nil"/>
            </w:tcBorders>
            <w:shd w:val="clear" w:color="auto" w:fill="auto"/>
            <w:noWrap/>
            <w:vAlign w:val="bottom"/>
            <w:hideMark/>
          </w:tcPr>
          <w:p w14:paraId="2A03F437" w14:textId="77777777" w:rsidR="007832C8" w:rsidRPr="00226892" w:rsidRDefault="007832C8" w:rsidP="007832C8">
            <w:pPr>
              <w:rPr>
                <w:rFonts w:ascii="Arial" w:eastAsia="Times New Roman" w:hAnsi="Arial" w:cs="Arial"/>
                <w:b/>
                <w:bCs/>
                <w:color w:val="000000"/>
                <w:sz w:val="18"/>
                <w:szCs w:val="18"/>
                <w:lang w:val="sk-SK" w:eastAsia="sk-SK"/>
              </w:rPr>
            </w:pPr>
          </w:p>
        </w:tc>
        <w:tc>
          <w:tcPr>
            <w:tcW w:w="1047" w:type="pct"/>
            <w:tcBorders>
              <w:top w:val="single" w:sz="4" w:space="0" w:color="auto"/>
              <w:left w:val="nil"/>
              <w:bottom w:val="double" w:sz="6" w:space="0" w:color="auto"/>
              <w:right w:val="nil"/>
            </w:tcBorders>
            <w:shd w:val="clear" w:color="auto" w:fill="auto"/>
            <w:vAlign w:val="bottom"/>
          </w:tcPr>
          <w:p w14:paraId="74BCB273" w14:textId="23229AC3" w:rsidR="007832C8" w:rsidRPr="00226892" w:rsidRDefault="007832C8" w:rsidP="007832C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1 586</w:t>
            </w:r>
          </w:p>
        </w:tc>
        <w:tc>
          <w:tcPr>
            <w:tcW w:w="99" w:type="pct"/>
            <w:tcBorders>
              <w:top w:val="nil"/>
              <w:left w:val="nil"/>
              <w:bottom w:val="nil"/>
              <w:right w:val="nil"/>
            </w:tcBorders>
            <w:shd w:val="clear" w:color="auto" w:fill="auto"/>
            <w:vAlign w:val="bottom"/>
          </w:tcPr>
          <w:p w14:paraId="0616E921" w14:textId="77777777" w:rsidR="007832C8" w:rsidRPr="00226892" w:rsidRDefault="007832C8" w:rsidP="007832C8">
            <w:pPr>
              <w:jc w:val="right"/>
              <w:rPr>
                <w:rFonts w:ascii="Arial" w:eastAsia="Times New Roman" w:hAnsi="Arial" w:cs="Arial"/>
                <w:b/>
                <w:bCs/>
                <w:color w:val="000000"/>
                <w:sz w:val="18"/>
                <w:szCs w:val="18"/>
                <w:lang w:val="sk-SK" w:eastAsia="sk-SK"/>
              </w:rPr>
            </w:pPr>
          </w:p>
        </w:tc>
        <w:tc>
          <w:tcPr>
            <w:tcW w:w="1029" w:type="pct"/>
            <w:tcBorders>
              <w:top w:val="single" w:sz="4" w:space="0" w:color="auto"/>
              <w:left w:val="nil"/>
              <w:bottom w:val="double" w:sz="6" w:space="0" w:color="auto"/>
              <w:right w:val="nil"/>
            </w:tcBorders>
            <w:shd w:val="clear" w:color="auto" w:fill="auto"/>
            <w:vAlign w:val="bottom"/>
          </w:tcPr>
          <w:p w14:paraId="37FA5A80" w14:textId="0197F300" w:rsidR="007832C8" w:rsidRPr="00226892" w:rsidRDefault="007832C8" w:rsidP="007832C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6 356</w:t>
            </w:r>
          </w:p>
        </w:tc>
      </w:tr>
    </w:tbl>
    <w:p w14:paraId="234DB723" w14:textId="7547D51F" w:rsidR="0002034F" w:rsidRPr="00226892" w:rsidRDefault="0002034F" w:rsidP="000520F7">
      <w:pPr>
        <w:suppressAutoHyphens/>
        <w:jc w:val="both"/>
        <w:rPr>
          <w:rFonts w:ascii="Arial" w:hAnsi="Arial" w:cs="Arial"/>
          <w:szCs w:val="18"/>
          <w:lang w:val="sk-SK"/>
        </w:rPr>
      </w:pPr>
      <w:r w:rsidRPr="00226892">
        <w:rPr>
          <w:rFonts w:ascii="Arial" w:hAnsi="Arial" w:cs="Arial"/>
          <w:sz w:val="18"/>
          <w:szCs w:val="18"/>
          <w:lang w:val="sk-SK"/>
        </w:rPr>
        <w:t xml:space="preserve"> </w:t>
      </w:r>
      <w:bookmarkEnd w:id="421"/>
      <w:r w:rsidRPr="00226892">
        <w:rPr>
          <w:rFonts w:ascii="Arial" w:hAnsi="Arial" w:cs="Arial"/>
          <w:sz w:val="18"/>
          <w:szCs w:val="18"/>
          <w:lang w:val="sk-SK"/>
        </w:rPr>
        <w:t xml:space="preserve"> </w:t>
      </w:r>
    </w:p>
    <w:p w14:paraId="45A7E68A" w14:textId="77777777" w:rsidR="000520F7" w:rsidRPr="00226892" w:rsidRDefault="00DF2B7E" w:rsidP="000520F7">
      <w:pPr>
        <w:suppressAutoHyphens/>
        <w:jc w:val="both"/>
        <w:rPr>
          <w:rFonts w:ascii="Arial" w:hAnsi="Arial" w:cs="Arial"/>
          <w:sz w:val="12"/>
          <w:szCs w:val="18"/>
          <w:lang w:val="sk-SK"/>
        </w:rPr>
      </w:pPr>
      <w:r w:rsidRPr="00226892">
        <w:rPr>
          <w:rFonts w:ascii="Arial" w:hAnsi="Arial" w:cs="Arial"/>
          <w:szCs w:val="18"/>
          <w:lang w:val="sk-SK"/>
        </w:rPr>
        <w:t xml:space="preserve"> </w:t>
      </w:r>
      <w:bookmarkStart w:id="423" w:name="FWT_ImpairedTradeReceivables"/>
      <w:r w:rsidR="00F96D6C" w:rsidRPr="00226892">
        <w:rPr>
          <w:rFonts w:ascii="Arial" w:hAnsi="Arial" w:cs="Arial"/>
          <w:szCs w:val="18"/>
          <w:lang w:val="sk-SK"/>
        </w:rPr>
        <w:t xml:space="preserve"> </w:t>
      </w:r>
    </w:p>
    <w:tbl>
      <w:tblPr>
        <w:tblW w:w="5000" w:type="pct"/>
        <w:tblCellMar>
          <w:left w:w="70" w:type="dxa"/>
          <w:right w:w="70" w:type="dxa"/>
        </w:tblCellMar>
        <w:tblLook w:val="04A0" w:firstRow="1" w:lastRow="0" w:firstColumn="1" w:lastColumn="0" w:noHBand="0" w:noVBand="1"/>
      </w:tblPr>
      <w:tblGrid>
        <w:gridCol w:w="5260"/>
        <w:gridCol w:w="191"/>
        <w:gridCol w:w="2014"/>
        <w:gridCol w:w="190"/>
        <w:gridCol w:w="1984"/>
      </w:tblGrid>
      <w:tr w:rsidR="000520F7" w:rsidRPr="00226892" w14:paraId="2A169F8C" w14:textId="77777777" w:rsidTr="00040BD9">
        <w:trPr>
          <w:trHeight w:val="225"/>
        </w:trPr>
        <w:tc>
          <w:tcPr>
            <w:tcW w:w="2728" w:type="pct"/>
            <w:tcBorders>
              <w:top w:val="nil"/>
              <w:left w:val="nil"/>
              <w:bottom w:val="single" w:sz="4" w:space="0" w:color="auto"/>
              <w:right w:val="nil"/>
            </w:tcBorders>
            <w:shd w:val="clear" w:color="auto" w:fill="auto"/>
            <w:noWrap/>
            <w:vAlign w:val="bottom"/>
            <w:hideMark/>
          </w:tcPr>
          <w:p w14:paraId="55442149" w14:textId="77777777" w:rsidR="000520F7" w:rsidRPr="00226892" w:rsidRDefault="000520F7" w:rsidP="000520F7">
            <w:pPr>
              <w:rPr>
                <w:rFonts w:ascii="Arial" w:eastAsia="Times New Roman" w:hAnsi="Arial" w:cs="Arial"/>
                <w:color w:val="000000"/>
                <w:sz w:val="18"/>
                <w:szCs w:val="18"/>
                <w:lang w:val="sk-SK" w:eastAsia="sk-SK"/>
              </w:rPr>
            </w:pPr>
            <w:bookmarkStart w:id="424" w:name="RANGE!C58:G61"/>
            <w:r w:rsidRPr="00226892">
              <w:rPr>
                <w:rFonts w:ascii="Arial" w:eastAsia="Times New Roman" w:hAnsi="Arial" w:cs="Arial"/>
                <w:color w:val="000000"/>
                <w:sz w:val="18"/>
                <w:szCs w:val="18"/>
                <w:lang w:val="sk-SK" w:eastAsia="sk-SK"/>
              </w:rPr>
              <w:t> </w:t>
            </w:r>
            <w:bookmarkEnd w:id="424"/>
          </w:p>
        </w:tc>
        <w:tc>
          <w:tcPr>
            <w:tcW w:w="99" w:type="pct"/>
            <w:tcBorders>
              <w:top w:val="nil"/>
              <w:left w:val="nil"/>
              <w:bottom w:val="single" w:sz="4" w:space="0" w:color="auto"/>
              <w:right w:val="nil"/>
            </w:tcBorders>
            <w:shd w:val="clear" w:color="auto" w:fill="auto"/>
            <w:noWrap/>
            <w:vAlign w:val="bottom"/>
            <w:hideMark/>
          </w:tcPr>
          <w:p w14:paraId="31BDCF9A" w14:textId="77777777" w:rsidR="000520F7" w:rsidRPr="00226892" w:rsidRDefault="000520F7" w:rsidP="000520F7">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045" w:type="pct"/>
            <w:tcBorders>
              <w:top w:val="nil"/>
              <w:left w:val="nil"/>
              <w:bottom w:val="single" w:sz="4" w:space="0" w:color="auto"/>
              <w:right w:val="nil"/>
            </w:tcBorders>
            <w:shd w:val="clear" w:color="auto" w:fill="auto"/>
            <w:vAlign w:val="bottom"/>
            <w:hideMark/>
          </w:tcPr>
          <w:p w14:paraId="59D217DE" w14:textId="3D51F767" w:rsidR="000520F7" w:rsidRPr="00226892" w:rsidRDefault="000520F7" w:rsidP="00040BD9">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D3AC5" w:rsidRPr="00226892">
              <w:rPr>
                <w:rFonts w:ascii="Arial" w:eastAsia="Times New Roman" w:hAnsi="Arial" w:cs="Arial"/>
                <w:b/>
                <w:bCs/>
                <w:color w:val="000000"/>
                <w:sz w:val="18"/>
                <w:szCs w:val="18"/>
                <w:lang w:val="sk-SK" w:eastAsia="sk-SK"/>
              </w:rPr>
              <w:t>2018</w:t>
            </w:r>
          </w:p>
        </w:tc>
        <w:tc>
          <w:tcPr>
            <w:tcW w:w="99" w:type="pct"/>
            <w:tcBorders>
              <w:top w:val="nil"/>
              <w:left w:val="nil"/>
              <w:bottom w:val="single" w:sz="4" w:space="0" w:color="auto"/>
              <w:right w:val="nil"/>
            </w:tcBorders>
            <w:shd w:val="clear" w:color="auto" w:fill="auto"/>
            <w:vAlign w:val="bottom"/>
            <w:hideMark/>
          </w:tcPr>
          <w:p w14:paraId="6BEA8014" w14:textId="16810839" w:rsidR="000520F7" w:rsidRPr="00226892" w:rsidRDefault="000520F7" w:rsidP="00040BD9">
            <w:pPr>
              <w:jc w:val="center"/>
              <w:rPr>
                <w:rFonts w:ascii="Arial" w:eastAsia="Times New Roman" w:hAnsi="Arial" w:cs="Arial"/>
                <w:b/>
                <w:bCs/>
                <w:color w:val="000000"/>
                <w:sz w:val="18"/>
                <w:szCs w:val="18"/>
                <w:lang w:val="sk-SK" w:eastAsia="sk-SK"/>
              </w:rPr>
            </w:pPr>
          </w:p>
        </w:tc>
        <w:tc>
          <w:tcPr>
            <w:tcW w:w="1029" w:type="pct"/>
            <w:tcBorders>
              <w:top w:val="nil"/>
              <w:left w:val="nil"/>
              <w:bottom w:val="single" w:sz="4" w:space="0" w:color="auto"/>
              <w:right w:val="nil"/>
            </w:tcBorders>
            <w:shd w:val="clear" w:color="auto" w:fill="auto"/>
            <w:vAlign w:val="bottom"/>
            <w:hideMark/>
          </w:tcPr>
          <w:p w14:paraId="1E4076B4" w14:textId="0C8D114D" w:rsidR="000520F7" w:rsidRPr="00226892" w:rsidRDefault="000520F7" w:rsidP="00040BD9">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63A77" w:rsidRPr="00226892">
              <w:rPr>
                <w:rFonts w:ascii="Arial" w:eastAsia="Times New Roman" w:hAnsi="Arial" w:cs="Arial"/>
                <w:b/>
                <w:bCs/>
                <w:color w:val="000000"/>
                <w:sz w:val="18"/>
                <w:szCs w:val="18"/>
                <w:lang w:val="sk-SK" w:eastAsia="sk-SK"/>
              </w:rPr>
              <w:t>2017</w:t>
            </w:r>
          </w:p>
        </w:tc>
      </w:tr>
      <w:tr w:rsidR="007832C8" w:rsidRPr="00226892" w14:paraId="5890228E" w14:textId="77777777" w:rsidTr="00056115">
        <w:trPr>
          <w:trHeight w:val="225"/>
        </w:trPr>
        <w:tc>
          <w:tcPr>
            <w:tcW w:w="2728" w:type="pct"/>
            <w:tcBorders>
              <w:top w:val="nil"/>
              <w:left w:val="nil"/>
              <w:bottom w:val="nil"/>
              <w:right w:val="nil"/>
            </w:tcBorders>
            <w:shd w:val="clear" w:color="auto" w:fill="auto"/>
            <w:noWrap/>
            <w:vAlign w:val="bottom"/>
            <w:hideMark/>
          </w:tcPr>
          <w:p w14:paraId="40F394A0" w14:textId="77777777" w:rsidR="007832C8" w:rsidRPr="00226892" w:rsidRDefault="007832C8" w:rsidP="007832C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Od 181 do 360 dní</w:t>
            </w:r>
          </w:p>
        </w:tc>
        <w:tc>
          <w:tcPr>
            <w:tcW w:w="99" w:type="pct"/>
            <w:tcBorders>
              <w:top w:val="nil"/>
              <w:left w:val="nil"/>
              <w:bottom w:val="nil"/>
              <w:right w:val="nil"/>
            </w:tcBorders>
            <w:shd w:val="clear" w:color="auto" w:fill="auto"/>
            <w:noWrap/>
            <w:vAlign w:val="bottom"/>
            <w:hideMark/>
          </w:tcPr>
          <w:p w14:paraId="5B99A500" w14:textId="77777777" w:rsidR="007832C8" w:rsidRPr="00226892" w:rsidRDefault="007832C8" w:rsidP="007832C8">
            <w:pPr>
              <w:rPr>
                <w:rFonts w:ascii="Arial" w:eastAsia="Times New Roman" w:hAnsi="Arial" w:cs="Arial"/>
                <w:color w:val="000000"/>
                <w:sz w:val="18"/>
                <w:szCs w:val="18"/>
                <w:lang w:val="sk-SK" w:eastAsia="sk-SK"/>
              </w:rPr>
            </w:pPr>
          </w:p>
        </w:tc>
        <w:tc>
          <w:tcPr>
            <w:tcW w:w="1045" w:type="pct"/>
            <w:tcBorders>
              <w:top w:val="nil"/>
              <w:left w:val="nil"/>
              <w:bottom w:val="nil"/>
              <w:right w:val="nil"/>
            </w:tcBorders>
            <w:shd w:val="clear" w:color="auto" w:fill="auto"/>
            <w:vAlign w:val="bottom"/>
          </w:tcPr>
          <w:p w14:paraId="305BD9E7" w14:textId="5A7D245F" w:rsidR="007832C8" w:rsidRPr="00226892" w:rsidRDefault="007832C8" w:rsidP="007832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9" w:type="pct"/>
            <w:tcBorders>
              <w:top w:val="nil"/>
              <w:left w:val="nil"/>
              <w:bottom w:val="nil"/>
              <w:right w:val="nil"/>
            </w:tcBorders>
            <w:shd w:val="clear" w:color="auto" w:fill="auto"/>
            <w:vAlign w:val="bottom"/>
          </w:tcPr>
          <w:p w14:paraId="4EC331C8" w14:textId="77777777" w:rsidR="007832C8" w:rsidRPr="00226892" w:rsidRDefault="007832C8" w:rsidP="007832C8">
            <w:pPr>
              <w:jc w:val="right"/>
              <w:rPr>
                <w:rFonts w:ascii="Arial" w:eastAsia="Times New Roman" w:hAnsi="Arial" w:cs="Arial"/>
                <w:color w:val="000000"/>
                <w:sz w:val="18"/>
                <w:szCs w:val="18"/>
                <w:lang w:val="sk-SK" w:eastAsia="sk-SK"/>
              </w:rPr>
            </w:pPr>
          </w:p>
        </w:tc>
        <w:tc>
          <w:tcPr>
            <w:tcW w:w="1029" w:type="pct"/>
            <w:tcBorders>
              <w:top w:val="nil"/>
              <w:left w:val="nil"/>
              <w:bottom w:val="nil"/>
              <w:right w:val="nil"/>
            </w:tcBorders>
            <w:shd w:val="clear" w:color="auto" w:fill="auto"/>
            <w:vAlign w:val="bottom"/>
          </w:tcPr>
          <w:p w14:paraId="3159AEB5" w14:textId="1ADD5E9D" w:rsidR="007832C8" w:rsidRPr="00226892" w:rsidRDefault="007832C8" w:rsidP="007832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r>
      <w:tr w:rsidR="007832C8" w:rsidRPr="00226892" w14:paraId="2A709337" w14:textId="77777777" w:rsidTr="00056115">
        <w:trPr>
          <w:trHeight w:val="225"/>
        </w:trPr>
        <w:tc>
          <w:tcPr>
            <w:tcW w:w="2728" w:type="pct"/>
            <w:tcBorders>
              <w:top w:val="nil"/>
              <w:left w:val="nil"/>
              <w:bottom w:val="nil"/>
              <w:right w:val="nil"/>
            </w:tcBorders>
            <w:shd w:val="clear" w:color="auto" w:fill="auto"/>
            <w:noWrap/>
            <w:vAlign w:val="bottom"/>
            <w:hideMark/>
          </w:tcPr>
          <w:p w14:paraId="2C8A8265" w14:textId="77777777" w:rsidR="007832C8" w:rsidRPr="00226892" w:rsidRDefault="007832C8" w:rsidP="007832C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Viac ako 361 dní</w:t>
            </w:r>
          </w:p>
        </w:tc>
        <w:tc>
          <w:tcPr>
            <w:tcW w:w="99" w:type="pct"/>
            <w:tcBorders>
              <w:top w:val="nil"/>
              <w:left w:val="nil"/>
              <w:bottom w:val="nil"/>
              <w:right w:val="nil"/>
            </w:tcBorders>
            <w:shd w:val="clear" w:color="auto" w:fill="auto"/>
            <w:noWrap/>
            <w:vAlign w:val="bottom"/>
            <w:hideMark/>
          </w:tcPr>
          <w:p w14:paraId="58B92A3E" w14:textId="77777777" w:rsidR="007832C8" w:rsidRPr="00226892" w:rsidRDefault="007832C8" w:rsidP="007832C8">
            <w:pPr>
              <w:rPr>
                <w:rFonts w:ascii="Arial" w:eastAsia="Times New Roman" w:hAnsi="Arial" w:cs="Arial"/>
                <w:color w:val="000000"/>
                <w:sz w:val="18"/>
                <w:szCs w:val="18"/>
                <w:lang w:val="sk-SK" w:eastAsia="sk-SK"/>
              </w:rPr>
            </w:pPr>
          </w:p>
        </w:tc>
        <w:tc>
          <w:tcPr>
            <w:tcW w:w="1045" w:type="pct"/>
            <w:tcBorders>
              <w:top w:val="nil"/>
              <w:left w:val="nil"/>
              <w:bottom w:val="nil"/>
              <w:right w:val="nil"/>
            </w:tcBorders>
            <w:shd w:val="clear" w:color="auto" w:fill="auto"/>
            <w:vAlign w:val="bottom"/>
          </w:tcPr>
          <w:p w14:paraId="52966649" w14:textId="398363E2" w:rsidR="007832C8" w:rsidRPr="00226892" w:rsidRDefault="007832C8" w:rsidP="007832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9" w:type="pct"/>
            <w:tcBorders>
              <w:top w:val="nil"/>
              <w:left w:val="nil"/>
              <w:bottom w:val="nil"/>
              <w:right w:val="nil"/>
            </w:tcBorders>
            <w:shd w:val="clear" w:color="auto" w:fill="auto"/>
            <w:vAlign w:val="bottom"/>
          </w:tcPr>
          <w:p w14:paraId="6EDEEF95" w14:textId="77777777" w:rsidR="007832C8" w:rsidRPr="00226892" w:rsidRDefault="007832C8" w:rsidP="007832C8">
            <w:pPr>
              <w:jc w:val="right"/>
              <w:rPr>
                <w:rFonts w:ascii="Arial" w:eastAsia="Times New Roman" w:hAnsi="Arial" w:cs="Arial"/>
                <w:color w:val="000000"/>
                <w:sz w:val="18"/>
                <w:szCs w:val="18"/>
                <w:lang w:val="sk-SK" w:eastAsia="sk-SK"/>
              </w:rPr>
            </w:pPr>
          </w:p>
        </w:tc>
        <w:tc>
          <w:tcPr>
            <w:tcW w:w="1029" w:type="pct"/>
            <w:tcBorders>
              <w:top w:val="nil"/>
              <w:left w:val="nil"/>
              <w:bottom w:val="nil"/>
              <w:right w:val="nil"/>
            </w:tcBorders>
            <w:shd w:val="clear" w:color="auto" w:fill="auto"/>
            <w:vAlign w:val="bottom"/>
          </w:tcPr>
          <w:p w14:paraId="799A2B00" w14:textId="009BAD72" w:rsidR="007832C8" w:rsidRPr="00226892" w:rsidRDefault="007832C8" w:rsidP="007832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w:t>
            </w:r>
          </w:p>
        </w:tc>
      </w:tr>
      <w:tr w:rsidR="007832C8" w:rsidRPr="00226892" w14:paraId="539EFE84" w14:textId="77777777" w:rsidTr="00056115">
        <w:trPr>
          <w:trHeight w:val="225"/>
        </w:trPr>
        <w:tc>
          <w:tcPr>
            <w:tcW w:w="2728" w:type="pct"/>
            <w:tcBorders>
              <w:top w:val="nil"/>
              <w:left w:val="nil"/>
              <w:bottom w:val="nil"/>
              <w:right w:val="nil"/>
            </w:tcBorders>
            <w:shd w:val="clear" w:color="auto" w:fill="auto"/>
            <w:noWrap/>
            <w:vAlign w:val="bottom"/>
            <w:hideMark/>
          </w:tcPr>
          <w:p w14:paraId="3BCC7455" w14:textId="2471B776" w:rsidR="007832C8" w:rsidRPr="00226892" w:rsidRDefault="007832C8" w:rsidP="007832C8">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Znehodnotené pohľadávky pred opravnou položkou celkom</w:t>
            </w:r>
          </w:p>
        </w:tc>
        <w:tc>
          <w:tcPr>
            <w:tcW w:w="99" w:type="pct"/>
            <w:tcBorders>
              <w:top w:val="nil"/>
              <w:left w:val="nil"/>
              <w:bottom w:val="nil"/>
              <w:right w:val="nil"/>
            </w:tcBorders>
            <w:shd w:val="clear" w:color="auto" w:fill="auto"/>
            <w:noWrap/>
            <w:vAlign w:val="bottom"/>
            <w:hideMark/>
          </w:tcPr>
          <w:p w14:paraId="2D97A211" w14:textId="77777777" w:rsidR="007832C8" w:rsidRPr="00226892" w:rsidRDefault="007832C8" w:rsidP="007832C8">
            <w:pPr>
              <w:rPr>
                <w:rFonts w:ascii="Arial" w:eastAsia="Times New Roman" w:hAnsi="Arial" w:cs="Arial"/>
                <w:b/>
                <w:bCs/>
                <w:color w:val="000000"/>
                <w:sz w:val="18"/>
                <w:szCs w:val="18"/>
                <w:lang w:val="sk-SK" w:eastAsia="sk-SK"/>
              </w:rPr>
            </w:pPr>
          </w:p>
        </w:tc>
        <w:tc>
          <w:tcPr>
            <w:tcW w:w="1045" w:type="pct"/>
            <w:tcBorders>
              <w:top w:val="single" w:sz="4" w:space="0" w:color="auto"/>
              <w:left w:val="nil"/>
              <w:bottom w:val="double" w:sz="6" w:space="0" w:color="auto"/>
              <w:right w:val="nil"/>
            </w:tcBorders>
            <w:shd w:val="clear" w:color="auto" w:fill="auto"/>
            <w:vAlign w:val="bottom"/>
          </w:tcPr>
          <w:p w14:paraId="2D314111" w14:textId="6F59A7CE" w:rsidR="007832C8" w:rsidRPr="00226892" w:rsidRDefault="007832C8" w:rsidP="007832C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w:t>
            </w:r>
          </w:p>
        </w:tc>
        <w:tc>
          <w:tcPr>
            <w:tcW w:w="99" w:type="pct"/>
            <w:tcBorders>
              <w:top w:val="nil"/>
              <w:left w:val="nil"/>
              <w:bottom w:val="nil"/>
              <w:right w:val="nil"/>
            </w:tcBorders>
            <w:shd w:val="clear" w:color="auto" w:fill="auto"/>
            <w:vAlign w:val="bottom"/>
          </w:tcPr>
          <w:p w14:paraId="5599E950" w14:textId="77777777" w:rsidR="007832C8" w:rsidRPr="00226892" w:rsidRDefault="007832C8" w:rsidP="007832C8">
            <w:pPr>
              <w:jc w:val="right"/>
              <w:rPr>
                <w:rFonts w:ascii="Arial" w:eastAsia="Times New Roman" w:hAnsi="Arial" w:cs="Arial"/>
                <w:b/>
                <w:bCs/>
                <w:color w:val="000000"/>
                <w:sz w:val="18"/>
                <w:szCs w:val="18"/>
                <w:lang w:val="sk-SK" w:eastAsia="sk-SK"/>
              </w:rPr>
            </w:pPr>
          </w:p>
        </w:tc>
        <w:tc>
          <w:tcPr>
            <w:tcW w:w="1029" w:type="pct"/>
            <w:tcBorders>
              <w:top w:val="single" w:sz="4" w:space="0" w:color="auto"/>
              <w:left w:val="nil"/>
              <w:bottom w:val="double" w:sz="6" w:space="0" w:color="auto"/>
              <w:right w:val="nil"/>
            </w:tcBorders>
            <w:shd w:val="clear" w:color="auto" w:fill="auto"/>
            <w:vAlign w:val="bottom"/>
          </w:tcPr>
          <w:p w14:paraId="0C988E7D" w14:textId="5D878F48" w:rsidR="007832C8" w:rsidRPr="00226892" w:rsidRDefault="007832C8" w:rsidP="007832C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w:t>
            </w:r>
          </w:p>
        </w:tc>
      </w:tr>
    </w:tbl>
    <w:p w14:paraId="3D2B798D" w14:textId="2F13AAF6" w:rsidR="00F96D6C" w:rsidRPr="00226892" w:rsidRDefault="00F96D6C" w:rsidP="007B66EE">
      <w:pPr>
        <w:suppressAutoHyphens/>
        <w:jc w:val="both"/>
        <w:rPr>
          <w:rFonts w:ascii="Arial" w:hAnsi="Arial" w:cs="Arial"/>
          <w:lang w:val="sk-SK"/>
        </w:rPr>
      </w:pPr>
      <w:r w:rsidRPr="00226892">
        <w:rPr>
          <w:rFonts w:ascii="Arial" w:hAnsi="Arial" w:cs="Arial"/>
          <w:sz w:val="18"/>
          <w:szCs w:val="18"/>
          <w:lang w:val="sk-SK"/>
        </w:rPr>
        <w:t xml:space="preserve"> </w:t>
      </w:r>
      <w:bookmarkEnd w:id="423"/>
      <w:r w:rsidRPr="00226892">
        <w:rPr>
          <w:rFonts w:ascii="Arial" w:hAnsi="Arial" w:cs="Arial"/>
          <w:sz w:val="18"/>
          <w:szCs w:val="18"/>
          <w:lang w:val="sk-SK"/>
        </w:rPr>
        <w:t xml:space="preserve"> </w:t>
      </w:r>
    </w:p>
    <w:p w14:paraId="7B22FA73" w14:textId="09F57A20" w:rsidR="007B66EE" w:rsidRPr="00226892" w:rsidRDefault="007B66EE" w:rsidP="000405EF">
      <w:pPr>
        <w:suppressAutoHyphens/>
        <w:jc w:val="both"/>
        <w:rPr>
          <w:rFonts w:ascii="Arial" w:hAnsi="Arial" w:cs="Arial"/>
          <w:lang w:val="sk-SK"/>
        </w:rPr>
      </w:pPr>
      <w:r w:rsidRPr="00226892">
        <w:rPr>
          <w:rFonts w:ascii="Arial" w:hAnsi="Arial" w:cs="Arial"/>
          <w:lang w:val="sk-SK" w:eastAsia="sk-SK"/>
        </w:rPr>
        <w:t xml:space="preserve">Účtovná hodnota pohľadávok z obchodného styku a iných pohľadávok k 31. decembru </w:t>
      </w:r>
      <w:r w:rsidR="00FD3AC5" w:rsidRPr="00226892">
        <w:rPr>
          <w:rFonts w:ascii="Arial" w:hAnsi="Arial" w:cs="Arial"/>
          <w:lang w:val="sk-SK" w:eastAsia="sk-SK"/>
        </w:rPr>
        <w:t>2018</w:t>
      </w:r>
      <w:r w:rsidR="00AD1766" w:rsidRPr="00226892">
        <w:rPr>
          <w:rFonts w:ascii="Arial" w:hAnsi="Arial" w:cs="Arial"/>
          <w:lang w:val="sk-SK" w:eastAsia="sk-SK"/>
        </w:rPr>
        <w:t xml:space="preserve"> </w:t>
      </w:r>
      <w:r w:rsidRPr="00226892">
        <w:rPr>
          <w:rFonts w:ascii="Arial" w:hAnsi="Arial" w:cs="Arial"/>
          <w:lang w:val="sk-SK" w:eastAsia="sk-SK"/>
        </w:rPr>
        <w:t xml:space="preserve">a k 31. decembru </w:t>
      </w:r>
      <w:r w:rsidR="00F63A77" w:rsidRPr="00226892">
        <w:rPr>
          <w:rFonts w:ascii="Arial" w:hAnsi="Arial" w:cs="Arial"/>
          <w:lang w:val="sk-SK" w:eastAsia="sk-SK"/>
        </w:rPr>
        <w:t>2017</w:t>
      </w:r>
      <w:r w:rsidR="00AD1766" w:rsidRPr="00226892">
        <w:rPr>
          <w:rFonts w:ascii="Arial" w:hAnsi="Arial" w:cs="Arial"/>
          <w:lang w:val="sk-SK" w:eastAsia="sk-SK"/>
        </w:rPr>
        <w:t xml:space="preserve"> </w:t>
      </w:r>
      <w:r w:rsidRPr="00226892">
        <w:rPr>
          <w:rFonts w:ascii="Arial" w:hAnsi="Arial" w:cs="Arial"/>
          <w:lang w:val="sk-SK" w:eastAsia="sk-SK"/>
        </w:rPr>
        <w:t xml:space="preserve">nie je významne odlišná od ich reálnej hodnoty. Maximálna výška kreditného rizika je limitovaná </w:t>
      </w:r>
      <w:r w:rsidR="00511599" w:rsidRPr="00226892">
        <w:rPr>
          <w:rFonts w:ascii="Arial" w:hAnsi="Arial" w:cs="Arial"/>
          <w:lang w:val="sk-SK" w:eastAsia="sk-SK"/>
        </w:rPr>
        <w:t xml:space="preserve">účtovnou </w:t>
      </w:r>
      <w:r w:rsidRPr="00226892">
        <w:rPr>
          <w:rFonts w:ascii="Arial" w:hAnsi="Arial" w:cs="Arial"/>
          <w:lang w:val="sk-SK" w:eastAsia="sk-SK"/>
        </w:rPr>
        <w:t xml:space="preserve">hodnotou pohľadávok. </w:t>
      </w:r>
      <w:r w:rsidRPr="00226892">
        <w:rPr>
          <w:rFonts w:ascii="Arial" w:hAnsi="Arial" w:cs="Arial"/>
          <w:lang w:val="sk-SK"/>
        </w:rPr>
        <w:t>V súvislosti s pohľadávkami z obchodného styku nie je spojená koncentrácia úverového rizika, pretože Skupina má vysoký počet odberateľov. Skupina zaisťuje pohľadávky z obchodného styku formou poistenia.</w:t>
      </w:r>
    </w:p>
    <w:p w14:paraId="1F216E61" w14:textId="77777777" w:rsidR="00132562" w:rsidRDefault="00132562" w:rsidP="000405EF">
      <w:pPr>
        <w:suppressAutoHyphens/>
        <w:jc w:val="both"/>
        <w:rPr>
          <w:rFonts w:ascii="Arial" w:hAnsi="Arial" w:cs="Arial"/>
          <w:lang w:val="sk-SK"/>
        </w:rPr>
      </w:pPr>
    </w:p>
    <w:p w14:paraId="7A5C97E4" w14:textId="4A7900D3" w:rsidR="00837450" w:rsidRPr="00226892" w:rsidRDefault="007B66EE" w:rsidP="000405EF">
      <w:pPr>
        <w:suppressAutoHyphens/>
        <w:jc w:val="both"/>
        <w:rPr>
          <w:rFonts w:ascii="Arial" w:hAnsi="Arial" w:cs="Arial"/>
          <w:bCs/>
        </w:rPr>
      </w:pPr>
      <w:r w:rsidRPr="00226892">
        <w:rPr>
          <w:rFonts w:ascii="Arial" w:hAnsi="Arial" w:cs="Arial"/>
          <w:lang w:val="sk-SK"/>
        </w:rPr>
        <w:t>Pohyby opravných položiek k pohľadávkam sú vykázané vo výkaze súhrnných ziskov a strát v riadku Ostatné prevádzkové náklady. Sú prezentované v nasledovnej tabuľke:</w:t>
      </w:r>
    </w:p>
    <w:p w14:paraId="417796FA" w14:textId="77777777" w:rsidR="000520F7" w:rsidRPr="00226892" w:rsidRDefault="00DF2B7E" w:rsidP="000520F7">
      <w:pPr>
        <w:suppressAutoHyphens/>
        <w:ind w:left="426"/>
        <w:jc w:val="both"/>
        <w:rPr>
          <w:rFonts w:ascii="Arial" w:hAnsi="Arial" w:cs="Arial"/>
          <w:bCs/>
          <w:szCs w:val="18"/>
        </w:rPr>
      </w:pPr>
      <w:bookmarkStart w:id="425" w:name="FWT_ImpairmentProvisionMovements"/>
      <w:r w:rsidRPr="00226892">
        <w:rPr>
          <w:rFonts w:ascii="Arial" w:hAnsi="Arial" w:cs="Arial"/>
          <w:bCs/>
          <w:sz w:val="18"/>
          <w:szCs w:val="18"/>
        </w:rPr>
        <w:t xml:space="preserve"> </w:t>
      </w:r>
    </w:p>
    <w:tbl>
      <w:tblPr>
        <w:tblW w:w="5000" w:type="pct"/>
        <w:tblCellMar>
          <w:left w:w="70" w:type="dxa"/>
          <w:right w:w="70" w:type="dxa"/>
        </w:tblCellMar>
        <w:tblLook w:val="04A0" w:firstRow="1" w:lastRow="0" w:firstColumn="1" w:lastColumn="0" w:noHBand="0" w:noVBand="1"/>
      </w:tblPr>
      <w:tblGrid>
        <w:gridCol w:w="4590"/>
        <w:gridCol w:w="199"/>
        <w:gridCol w:w="2184"/>
        <w:gridCol w:w="204"/>
        <w:gridCol w:w="2462"/>
      </w:tblGrid>
      <w:tr w:rsidR="000520F7" w:rsidRPr="00226892" w14:paraId="1E3A8C2C" w14:textId="77777777" w:rsidTr="00040BD9">
        <w:trPr>
          <w:trHeight w:val="225"/>
        </w:trPr>
        <w:tc>
          <w:tcPr>
            <w:tcW w:w="2381" w:type="pct"/>
            <w:tcBorders>
              <w:top w:val="nil"/>
              <w:left w:val="nil"/>
              <w:bottom w:val="single" w:sz="4" w:space="0" w:color="auto"/>
              <w:right w:val="nil"/>
            </w:tcBorders>
            <w:shd w:val="clear" w:color="auto" w:fill="auto"/>
            <w:noWrap/>
            <w:vAlign w:val="bottom"/>
            <w:hideMark/>
          </w:tcPr>
          <w:p w14:paraId="23E7CB97" w14:textId="77777777" w:rsidR="000520F7" w:rsidRPr="00226892" w:rsidRDefault="000520F7" w:rsidP="000520F7">
            <w:pPr>
              <w:rPr>
                <w:rFonts w:ascii="Arial" w:eastAsia="Times New Roman" w:hAnsi="Arial" w:cs="Arial"/>
                <w:color w:val="000000"/>
                <w:sz w:val="18"/>
                <w:szCs w:val="18"/>
                <w:lang w:val="sk-SK" w:eastAsia="sk-SK"/>
              </w:rPr>
            </w:pPr>
            <w:bookmarkStart w:id="426" w:name="RANGE!C65:G70"/>
            <w:r w:rsidRPr="00226892">
              <w:rPr>
                <w:rFonts w:ascii="Arial" w:eastAsia="Times New Roman" w:hAnsi="Arial" w:cs="Arial"/>
                <w:color w:val="000000"/>
                <w:sz w:val="18"/>
                <w:szCs w:val="18"/>
                <w:lang w:val="sk-SK" w:eastAsia="sk-SK"/>
              </w:rPr>
              <w:t> </w:t>
            </w:r>
            <w:bookmarkEnd w:id="426"/>
          </w:p>
        </w:tc>
        <w:tc>
          <w:tcPr>
            <w:tcW w:w="103" w:type="pct"/>
            <w:tcBorders>
              <w:top w:val="nil"/>
              <w:left w:val="nil"/>
              <w:bottom w:val="single" w:sz="4" w:space="0" w:color="auto"/>
              <w:right w:val="nil"/>
            </w:tcBorders>
            <w:shd w:val="clear" w:color="auto" w:fill="auto"/>
            <w:noWrap/>
            <w:vAlign w:val="bottom"/>
            <w:hideMark/>
          </w:tcPr>
          <w:p w14:paraId="0E7A205F" w14:textId="77777777" w:rsidR="000520F7" w:rsidRPr="00226892" w:rsidRDefault="000520F7" w:rsidP="000520F7">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133" w:type="pct"/>
            <w:tcBorders>
              <w:top w:val="nil"/>
              <w:left w:val="nil"/>
              <w:bottom w:val="single" w:sz="4" w:space="0" w:color="auto"/>
              <w:right w:val="nil"/>
            </w:tcBorders>
            <w:shd w:val="clear" w:color="auto" w:fill="auto"/>
            <w:vAlign w:val="bottom"/>
            <w:hideMark/>
          </w:tcPr>
          <w:p w14:paraId="7E389F0B" w14:textId="295AC9E9" w:rsidR="000520F7" w:rsidRPr="00226892" w:rsidRDefault="000520F7" w:rsidP="00040BD9">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D3AC5" w:rsidRPr="00226892">
              <w:rPr>
                <w:rFonts w:ascii="Arial" w:eastAsia="Times New Roman" w:hAnsi="Arial" w:cs="Arial"/>
                <w:b/>
                <w:bCs/>
                <w:color w:val="000000"/>
                <w:sz w:val="18"/>
                <w:szCs w:val="18"/>
                <w:lang w:val="sk-SK" w:eastAsia="sk-SK"/>
              </w:rPr>
              <w:t>2018</w:t>
            </w:r>
          </w:p>
        </w:tc>
        <w:tc>
          <w:tcPr>
            <w:tcW w:w="106" w:type="pct"/>
            <w:tcBorders>
              <w:top w:val="nil"/>
              <w:left w:val="nil"/>
              <w:bottom w:val="single" w:sz="4" w:space="0" w:color="auto"/>
              <w:right w:val="nil"/>
            </w:tcBorders>
            <w:shd w:val="clear" w:color="auto" w:fill="auto"/>
            <w:vAlign w:val="bottom"/>
            <w:hideMark/>
          </w:tcPr>
          <w:p w14:paraId="5D3A7496" w14:textId="6F251F5D" w:rsidR="000520F7" w:rsidRPr="00226892" w:rsidRDefault="000520F7" w:rsidP="00040BD9">
            <w:pPr>
              <w:jc w:val="center"/>
              <w:rPr>
                <w:rFonts w:ascii="Arial" w:eastAsia="Times New Roman" w:hAnsi="Arial" w:cs="Arial"/>
                <w:b/>
                <w:bCs/>
                <w:color w:val="000000"/>
                <w:sz w:val="18"/>
                <w:szCs w:val="18"/>
                <w:lang w:val="sk-SK" w:eastAsia="sk-SK"/>
              </w:rPr>
            </w:pPr>
          </w:p>
        </w:tc>
        <w:tc>
          <w:tcPr>
            <w:tcW w:w="1277" w:type="pct"/>
            <w:tcBorders>
              <w:top w:val="nil"/>
              <w:left w:val="nil"/>
              <w:bottom w:val="single" w:sz="4" w:space="0" w:color="auto"/>
              <w:right w:val="nil"/>
            </w:tcBorders>
            <w:shd w:val="clear" w:color="auto" w:fill="auto"/>
            <w:vAlign w:val="bottom"/>
            <w:hideMark/>
          </w:tcPr>
          <w:p w14:paraId="2697879E" w14:textId="1B00B089" w:rsidR="000520F7" w:rsidRPr="00226892" w:rsidRDefault="000520F7" w:rsidP="00040BD9">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63A77" w:rsidRPr="00226892">
              <w:rPr>
                <w:rFonts w:ascii="Arial" w:eastAsia="Times New Roman" w:hAnsi="Arial" w:cs="Arial"/>
                <w:b/>
                <w:bCs/>
                <w:color w:val="000000"/>
                <w:sz w:val="18"/>
                <w:szCs w:val="18"/>
                <w:lang w:val="sk-SK" w:eastAsia="sk-SK"/>
              </w:rPr>
              <w:t>2017</w:t>
            </w:r>
          </w:p>
        </w:tc>
      </w:tr>
      <w:tr w:rsidR="007832C8" w:rsidRPr="00226892" w14:paraId="5A7D13B1" w14:textId="77777777" w:rsidTr="000405EF">
        <w:trPr>
          <w:trHeight w:val="225"/>
        </w:trPr>
        <w:tc>
          <w:tcPr>
            <w:tcW w:w="2381" w:type="pct"/>
            <w:tcBorders>
              <w:top w:val="nil"/>
              <w:left w:val="nil"/>
              <w:bottom w:val="nil"/>
              <w:right w:val="nil"/>
            </w:tcBorders>
            <w:shd w:val="clear" w:color="auto" w:fill="auto"/>
            <w:noWrap/>
            <w:vAlign w:val="bottom"/>
            <w:hideMark/>
          </w:tcPr>
          <w:p w14:paraId="47202A4F" w14:textId="77777777" w:rsidR="007832C8" w:rsidRPr="00226892" w:rsidRDefault="007832C8" w:rsidP="007832C8">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Začiatočný stav</w:t>
            </w:r>
          </w:p>
        </w:tc>
        <w:tc>
          <w:tcPr>
            <w:tcW w:w="103" w:type="pct"/>
            <w:tcBorders>
              <w:top w:val="nil"/>
              <w:left w:val="nil"/>
              <w:bottom w:val="nil"/>
              <w:right w:val="nil"/>
            </w:tcBorders>
            <w:shd w:val="clear" w:color="auto" w:fill="auto"/>
            <w:noWrap/>
            <w:vAlign w:val="bottom"/>
            <w:hideMark/>
          </w:tcPr>
          <w:p w14:paraId="3803E6A0" w14:textId="77777777" w:rsidR="007832C8" w:rsidRPr="00226892" w:rsidRDefault="007832C8" w:rsidP="007832C8">
            <w:pPr>
              <w:rPr>
                <w:rFonts w:ascii="Arial" w:eastAsia="Times New Roman" w:hAnsi="Arial" w:cs="Arial"/>
                <w:b/>
                <w:bCs/>
                <w:color w:val="000000"/>
                <w:sz w:val="18"/>
                <w:szCs w:val="18"/>
                <w:lang w:val="sk-SK" w:eastAsia="sk-SK"/>
              </w:rPr>
            </w:pPr>
          </w:p>
        </w:tc>
        <w:tc>
          <w:tcPr>
            <w:tcW w:w="1133" w:type="pct"/>
            <w:tcBorders>
              <w:top w:val="nil"/>
              <w:left w:val="nil"/>
              <w:bottom w:val="nil"/>
              <w:right w:val="nil"/>
            </w:tcBorders>
            <w:shd w:val="clear" w:color="auto" w:fill="auto"/>
            <w:vAlign w:val="bottom"/>
          </w:tcPr>
          <w:p w14:paraId="08B35E5F" w14:textId="048136CA" w:rsidR="007832C8" w:rsidRPr="00226892" w:rsidRDefault="007832C8" w:rsidP="007832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w:t>
            </w:r>
          </w:p>
        </w:tc>
        <w:tc>
          <w:tcPr>
            <w:tcW w:w="106" w:type="pct"/>
            <w:tcBorders>
              <w:top w:val="nil"/>
              <w:left w:val="nil"/>
              <w:bottom w:val="nil"/>
              <w:right w:val="nil"/>
            </w:tcBorders>
            <w:shd w:val="clear" w:color="auto" w:fill="auto"/>
            <w:vAlign w:val="bottom"/>
          </w:tcPr>
          <w:p w14:paraId="6438189C" w14:textId="77777777" w:rsidR="007832C8" w:rsidRPr="00226892" w:rsidRDefault="007832C8" w:rsidP="007832C8">
            <w:pPr>
              <w:jc w:val="right"/>
              <w:rPr>
                <w:rFonts w:ascii="Arial" w:eastAsia="Times New Roman" w:hAnsi="Arial" w:cs="Arial"/>
                <w:color w:val="000000"/>
                <w:sz w:val="18"/>
                <w:szCs w:val="18"/>
                <w:lang w:val="sk-SK" w:eastAsia="sk-SK"/>
              </w:rPr>
            </w:pPr>
          </w:p>
        </w:tc>
        <w:tc>
          <w:tcPr>
            <w:tcW w:w="1277" w:type="pct"/>
            <w:tcBorders>
              <w:top w:val="nil"/>
              <w:left w:val="nil"/>
              <w:bottom w:val="nil"/>
              <w:right w:val="nil"/>
            </w:tcBorders>
            <w:shd w:val="clear" w:color="auto" w:fill="auto"/>
            <w:vAlign w:val="bottom"/>
          </w:tcPr>
          <w:p w14:paraId="5714F80E" w14:textId="6C1F8DA4" w:rsidR="007832C8" w:rsidRPr="00226892" w:rsidRDefault="007832C8" w:rsidP="007832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148</w:t>
            </w:r>
          </w:p>
        </w:tc>
      </w:tr>
      <w:tr w:rsidR="007832C8" w:rsidRPr="00226892" w14:paraId="64867B76" w14:textId="77777777" w:rsidTr="000405EF">
        <w:trPr>
          <w:trHeight w:val="225"/>
        </w:trPr>
        <w:tc>
          <w:tcPr>
            <w:tcW w:w="2381" w:type="pct"/>
            <w:tcBorders>
              <w:top w:val="nil"/>
              <w:left w:val="nil"/>
              <w:bottom w:val="nil"/>
              <w:right w:val="nil"/>
            </w:tcBorders>
            <w:shd w:val="clear" w:color="auto" w:fill="auto"/>
            <w:noWrap/>
            <w:vAlign w:val="bottom"/>
            <w:hideMark/>
          </w:tcPr>
          <w:p w14:paraId="0B6948A4" w14:textId="77777777" w:rsidR="007832C8" w:rsidRPr="00226892" w:rsidRDefault="007832C8" w:rsidP="007832C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Tvorba opravnej položky k pohľadávkam </w:t>
            </w:r>
          </w:p>
        </w:tc>
        <w:tc>
          <w:tcPr>
            <w:tcW w:w="103" w:type="pct"/>
            <w:tcBorders>
              <w:top w:val="nil"/>
              <w:left w:val="nil"/>
              <w:bottom w:val="nil"/>
              <w:right w:val="nil"/>
            </w:tcBorders>
            <w:shd w:val="clear" w:color="auto" w:fill="auto"/>
            <w:noWrap/>
            <w:vAlign w:val="bottom"/>
            <w:hideMark/>
          </w:tcPr>
          <w:p w14:paraId="61147F29" w14:textId="77777777" w:rsidR="007832C8" w:rsidRPr="00226892" w:rsidRDefault="007832C8" w:rsidP="007832C8">
            <w:pPr>
              <w:rPr>
                <w:rFonts w:ascii="Arial" w:eastAsia="Times New Roman" w:hAnsi="Arial" w:cs="Arial"/>
                <w:color w:val="000000"/>
                <w:sz w:val="18"/>
                <w:szCs w:val="18"/>
                <w:lang w:val="sk-SK" w:eastAsia="sk-SK"/>
              </w:rPr>
            </w:pPr>
          </w:p>
        </w:tc>
        <w:tc>
          <w:tcPr>
            <w:tcW w:w="1133" w:type="pct"/>
            <w:tcBorders>
              <w:top w:val="nil"/>
              <w:left w:val="nil"/>
              <w:bottom w:val="nil"/>
              <w:right w:val="nil"/>
            </w:tcBorders>
            <w:shd w:val="clear" w:color="auto" w:fill="auto"/>
            <w:vAlign w:val="bottom"/>
          </w:tcPr>
          <w:p w14:paraId="6A5F41F3" w14:textId="1189B781" w:rsidR="007832C8" w:rsidRPr="00226892" w:rsidRDefault="007832C8" w:rsidP="007832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06" w:type="pct"/>
            <w:tcBorders>
              <w:top w:val="nil"/>
              <w:left w:val="nil"/>
              <w:bottom w:val="nil"/>
              <w:right w:val="nil"/>
            </w:tcBorders>
            <w:shd w:val="clear" w:color="auto" w:fill="auto"/>
            <w:vAlign w:val="bottom"/>
          </w:tcPr>
          <w:p w14:paraId="6372035B" w14:textId="77777777" w:rsidR="007832C8" w:rsidRPr="00226892" w:rsidRDefault="007832C8" w:rsidP="007832C8">
            <w:pPr>
              <w:jc w:val="right"/>
              <w:rPr>
                <w:rFonts w:ascii="Arial" w:eastAsia="Times New Roman" w:hAnsi="Arial" w:cs="Arial"/>
                <w:color w:val="000000"/>
                <w:sz w:val="18"/>
                <w:szCs w:val="18"/>
                <w:lang w:val="sk-SK" w:eastAsia="sk-SK"/>
              </w:rPr>
            </w:pPr>
          </w:p>
        </w:tc>
        <w:tc>
          <w:tcPr>
            <w:tcW w:w="1277" w:type="pct"/>
            <w:tcBorders>
              <w:top w:val="nil"/>
              <w:left w:val="nil"/>
              <w:bottom w:val="nil"/>
              <w:right w:val="nil"/>
            </w:tcBorders>
            <w:shd w:val="clear" w:color="auto" w:fill="auto"/>
            <w:vAlign w:val="bottom"/>
          </w:tcPr>
          <w:p w14:paraId="27F7B278" w14:textId="6B518B21" w:rsidR="007832C8" w:rsidRPr="00226892" w:rsidRDefault="007832C8" w:rsidP="007832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w:t>
            </w:r>
          </w:p>
        </w:tc>
      </w:tr>
      <w:tr w:rsidR="007832C8" w:rsidRPr="00226892" w14:paraId="60282BBC" w14:textId="77777777" w:rsidTr="000405EF">
        <w:trPr>
          <w:trHeight w:val="225"/>
        </w:trPr>
        <w:tc>
          <w:tcPr>
            <w:tcW w:w="2381" w:type="pct"/>
            <w:tcBorders>
              <w:top w:val="nil"/>
              <w:left w:val="nil"/>
              <w:bottom w:val="nil"/>
              <w:right w:val="nil"/>
            </w:tcBorders>
            <w:shd w:val="clear" w:color="auto" w:fill="auto"/>
            <w:noWrap/>
            <w:vAlign w:val="bottom"/>
            <w:hideMark/>
          </w:tcPr>
          <w:p w14:paraId="163B3DDA" w14:textId="77777777" w:rsidR="007832C8" w:rsidRPr="00226892" w:rsidRDefault="007832C8" w:rsidP="007832C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Odpis pohľadávok z dôvodu nevymožiteľnosti </w:t>
            </w:r>
          </w:p>
        </w:tc>
        <w:tc>
          <w:tcPr>
            <w:tcW w:w="103" w:type="pct"/>
            <w:tcBorders>
              <w:top w:val="nil"/>
              <w:left w:val="nil"/>
              <w:bottom w:val="nil"/>
              <w:right w:val="nil"/>
            </w:tcBorders>
            <w:shd w:val="clear" w:color="auto" w:fill="auto"/>
            <w:noWrap/>
            <w:vAlign w:val="bottom"/>
            <w:hideMark/>
          </w:tcPr>
          <w:p w14:paraId="79C0A1D1" w14:textId="77777777" w:rsidR="007832C8" w:rsidRPr="00226892" w:rsidRDefault="007832C8" w:rsidP="007832C8">
            <w:pPr>
              <w:rPr>
                <w:rFonts w:ascii="Arial" w:eastAsia="Times New Roman" w:hAnsi="Arial" w:cs="Arial"/>
                <w:color w:val="000000"/>
                <w:sz w:val="18"/>
                <w:szCs w:val="18"/>
                <w:lang w:val="sk-SK" w:eastAsia="sk-SK"/>
              </w:rPr>
            </w:pPr>
          </w:p>
        </w:tc>
        <w:tc>
          <w:tcPr>
            <w:tcW w:w="1133" w:type="pct"/>
            <w:tcBorders>
              <w:top w:val="nil"/>
              <w:left w:val="nil"/>
              <w:bottom w:val="nil"/>
              <w:right w:val="nil"/>
            </w:tcBorders>
            <w:shd w:val="clear" w:color="auto" w:fill="auto"/>
            <w:vAlign w:val="bottom"/>
          </w:tcPr>
          <w:p w14:paraId="6E0CD605" w14:textId="325364D4" w:rsidR="007832C8" w:rsidRPr="00226892" w:rsidRDefault="007832C8" w:rsidP="007832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w:t>
            </w:r>
          </w:p>
        </w:tc>
        <w:tc>
          <w:tcPr>
            <w:tcW w:w="106" w:type="pct"/>
            <w:tcBorders>
              <w:top w:val="nil"/>
              <w:left w:val="nil"/>
              <w:bottom w:val="nil"/>
              <w:right w:val="nil"/>
            </w:tcBorders>
            <w:shd w:val="clear" w:color="auto" w:fill="auto"/>
            <w:vAlign w:val="bottom"/>
          </w:tcPr>
          <w:p w14:paraId="7D7B6AD5" w14:textId="77777777" w:rsidR="007832C8" w:rsidRPr="00226892" w:rsidRDefault="007832C8" w:rsidP="007832C8">
            <w:pPr>
              <w:jc w:val="right"/>
              <w:rPr>
                <w:rFonts w:ascii="Arial" w:eastAsia="Times New Roman" w:hAnsi="Arial" w:cs="Arial"/>
                <w:color w:val="000000"/>
                <w:sz w:val="18"/>
                <w:szCs w:val="18"/>
                <w:lang w:val="sk-SK" w:eastAsia="sk-SK"/>
              </w:rPr>
            </w:pPr>
          </w:p>
        </w:tc>
        <w:tc>
          <w:tcPr>
            <w:tcW w:w="1277" w:type="pct"/>
            <w:tcBorders>
              <w:top w:val="nil"/>
              <w:left w:val="nil"/>
              <w:bottom w:val="nil"/>
              <w:right w:val="nil"/>
            </w:tcBorders>
            <w:shd w:val="clear" w:color="auto" w:fill="auto"/>
            <w:vAlign w:val="bottom"/>
          </w:tcPr>
          <w:p w14:paraId="02BE78AD" w14:textId="444FEBF6" w:rsidR="007832C8" w:rsidRPr="00226892" w:rsidRDefault="007832C8" w:rsidP="007832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w:t>
            </w:r>
          </w:p>
        </w:tc>
      </w:tr>
      <w:tr w:rsidR="007832C8" w:rsidRPr="00226892" w14:paraId="06B68FB2" w14:textId="77777777" w:rsidTr="000405EF">
        <w:trPr>
          <w:trHeight w:val="225"/>
        </w:trPr>
        <w:tc>
          <w:tcPr>
            <w:tcW w:w="2381" w:type="pct"/>
            <w:tcBorders>
              <w:top w:val="nil"/>
              <w:left w:val="nil"/>
              <w:bottom w:val="nil"/>
              <w:right w:val="nil"/>
            </w:tcBorders>
            <w:shd w:val="clear" w:color="auto" w:fill="auto"/>
            <w:noWrap/>
            <w:vAlign w:val="bottom"/>
            <w:hideMark/>
          </w:tcPr>
          <w:p w14:paraId="0022AF8F" w14:textId="0701B115" w:rsidR="007832C8" w:rsidRPr="00226892" w:rsidRDefault="00D5562C" w:rsidP="007832C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Použitie</w:t>
            </w:r>
            <w:r w:rsidR="007832C8" w:rsidRPr="00226892">
              <w:rPr>
                <w:rFonts w:ascii="Arial" w:eastAsia="Times New Roman" w:hAnsi="Arial" w:cs="Arial"/>
                <w:color w:val="000000"/>
                <w:sz w:val="18"/>
                <w:szCs w:val="18"/>
                <w:lang w:val="sk-SK" w:eastAsia="sk-SK"/>
              </w:rPr>
              <w:t xml:space="preserve"> opravnej položky </w:t>
            </w:r>
          </w:p>
        </w:tc>
        <w:tc>
          <w:tcPr>
            <w:tcW w:w="103" w:type="pct"/>
            <w:tcBorders>
              <w:top w:val="nil"/>
              <w:left w:val="nil"/>
              <w:bottom w:val="nil"/>
              <w:right w:val="nil"/>
            </w:tcBorders>
            <w:shd w:val="clear" w:color="auto" w:fill="auto"/>
            <w:noWrap/>
            <w:vAlign w:val="bottom"/>
            <w:hideMark/>
          </w:tcPr>
          <w:p w14:paraId="4DB5A66A" w14:textId="77777777" w:rsidR="007832C8" w:rsidRPr="00226892" w:rsidRDefault="007832C8" w:rsidP="007832C8">
            <w:pPr>
              <w:rPr>
                <w:rFonts w:ascii="Arial" w:eastAsia="Times New Roman" w:hAnsi="Arial" w:cs="Arial"/>
                <w:color w:val="000000"/>
                <w:sz w:val="18"/>
                <w:szCs w:val="18"/>
                <w:lang w:val="sk-SK" w:eastAsia="sk-SK"/>
              </w:rPr>
            </w:pPr>
          </w:p>
        </w:tc>
        <w:tc>
          <w:tcPr>
            <w:tcW w:w="1133" w:type="pct"/>
            <w:tcBorders>
              <w:top w:val="nil"/>
              <w:left w:val="nil"/>
              <w:bottom w:val="nil"/>
              <w:right w:val="nil"/>
            </w:tcBorders>
            <w:shd w:val="clear" w:color="auto" w:fill="auto"/>
            <w:vAlign w:val="bottom"/>
          </w:tcPr>
          <w:p w14:paraId="4CBE0374" w14:textId="491C1921" w:rsidR="007832C8" w:rsidRPr="00226892" w:rsidRDefault="007832C8" w:rsidP="007832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06" w:type="pct"/>
            <w:tcBorders>
              <w:top w:val="nil"/>
              <w:left w:val="nil"/>
              <w:bottom w:val="nil"/>
              <w:right w:val="nil"/>
            </w:tcBorders>
            <w:shd w:val="clear" w:color="auto" w:fill="auto"/>
            <w:vAlign w:val="bottom"/>
          </w:tcPr>
          <w:p w14:paraId="3097644A" w14:textId="77777777" w:rsidR="007832C8" w:rsidRPr="00226892" w:rsidRDefault="007832C8" w:rsidP="007832C8">
            <w:pPr>
              <w:jc w:val="right"/>
              <w:rPr>
                <w:rFonts w:ascii="Arial" w:eastAsia="Times New Roman" w:hAnsi="Arial" w:cs="Arial"/>
                <w:color w:val="000000"/>
                <w:sz w:val="18"/>
                <w:szCs w:val="18"/>
                <w:lang w:val="sk-SK" w:eastAsia="sk-SK"/>
              </w:rPr>
            </w:pPr>
          </w:p>
        </w:tc>
        <w:tc>
          <w:tcPr>
            <w:tcW w:w="1277" w:type="pct"/>
            <w:tcBorders>
              <w:top w:val="nil"/>
              <w:left w:val="nil"/>
              <w:bottom w:val="nil"/>
              <w:right w:val="nil"/>
            </w:tcBorders>
            <w:shd w:val="clear" w:color="auto" w:fill="auto"/>
            <w:vAlign w:val="bottom"/>
          </w:tcPr>
          <w:p w14:paraId="3AEF3AFB" w14:textId="55FCDBE2" w:rsidR="007832C8" w:rsidRPr="00226892" w:rsidRDefault="007832C8" w:rsidP="007832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-148</w:t>
            </w:r>
          </w:p>
        </w:tc>
      </w:tr>
      <w:tr w:rsidR="007832C8" w:rsidRPr="00226892" w14:paraId="65501794" w14:textId="77777777" w:rsidTr="000405EF">
        <w:trPr>
          <w:trHeight w:val="225"/>
        </w:trPr>
        <w:tc>
          <w:tcPr>
            <w:tcW w:w="2381" w:type="pct"/>
            <w:tcBorders>
              <w:top w:val="nil"/>
              <w:left w:val="nil"/>
              <w:bottom w:val="nil"/>
              <w:right w:val="nil"/>
            </w:tcBorders>
            <w:shd w:val="clear" w:color="auto" w:fill="auto"/>
            <w:noWrap/>
            <w:vAlign w:val="bottom"/>
            <w:hideMark/>
          </w:tcPr>
          <w:p w14:paraId="24B35158" w14:textId="77777777" w:rsidR="007832C8" w:rsidRPr="00226892" w:rsidRDefault="007832C8" w:rsidP="007832C8">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Konečný zostatok</w:t>
            </w:r>
          </w:p>
        </w:tc>
        <w:tc>
          <w:tcPr>
            <w:tcW w:w="103" w:type="pct"/>
            <w:tcBorders>
              <w:top w:val="nil"/>
              <w:left w:val="nil"/>
              <w:bottom w:val="nil"/>
              <w:right w:val="nil"/>
            </w:tcBorders>
            <w:shd w:val="clear" w:color="auto" w:fill="auto"/>
            <w:noWrap/>
            <w:vAlign w:val="bottom"/>
            <w:hideMark/>
          </w:tcPr>
          <w:p w14:paraId="0E4460DB" w14:textId="77777777" w:rsidR="007832C8" w:rsidRPr="00226892" w:rsidRDefault="007832C8" w:rsidP="007832C8">
            <w:pPr>
              <w:rPr>
                <w:rFonts w:ascii="Arial" w:eastAsia="Times New Roman" w:hAnsi="Arial" w:cs="Arial"/>
                <w:b/>
                <w:bCs/>
                <w:color w:val="000000"/>
                <w:sz w:val="18"/>
                <w:szCs w:val="18"/>
                <w:lang w:val="sk-SK" w:eastAsia="sk-SK"/>
              </w:rPr>
            </w:pPr>
          </w:p>
        </w:tc>
        <w:tc>
          <w:tcPr>
            <w:tcW w:w="1133" w:type="pct"/>
            <w:tcBorders>
              <w:top w:val="single" w:sz="4" w:space="0" w:color="auto"/>
              <w:left w:val="nil"/>
              <w:bottom w:val="double" w:sz="6" w:space="0" w:color="auto"/>
              <w:right w:val="nil"/>
            </w:tcBorders>
            <w:shd w:val="clear" w:color="auto" w:fill="auto"/>
            <w:vAlign w:val="bottom"/>
          </w:tcPr>
          <w:p w14:paraId="70447AC3" w14:textId="608C3F39" w:rsidR="007832C8" w:rsidRPr="00226892" w:rsidRDefault="007832C8" w:rsidP="007832C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w:t>
            </w:r>
          </w:p>
        </w:tc>
        <w:tc>
          <w:tcPr>
            <w:tcW w:w="106" w:type="pct"/>
            <w:tcBorders>
              <w:top w:val="nil"/>
              <w:left w:val="nil"/>
              <w:bottom w:val="nil"/>
              <w:right w:val="nil"/>
            </w:tcBorders>
            <w:shd w:val="clear" w:color="auto" w:fill="auto"/>
            <w:vAlign w:val="bottom"/>
          </w:tcPr>
          <w:p w14:paraId="0E267671" w14:textId="77777777" w:rsidR="007832C8" w:rsidRPr="00226892" w:rsidRDefault="007832C8" w:rsidP="007832C8">
            <w:pPr>
              <w:jc w:val="right"/>
              <w:rPr>
                <w:rFonts w:ascii="Arial" w:eastAsia="Times New Roman" w:hAnsi="Arial" w:cs="Arial"/>
                <w:b/>
                <w:bCs/>
                <w:color w:val="000000"/>
                <w:sz w:val="18"/>
                <w:szCs w:val="18"/>
                <w:lang w:val="sk-SK" w:eastAsia="sk-SK"/>
              </w:rPr>
            </w:pPr>
          </w:p>
        </w:tc>
        <w:tc>
          <w:tcPr>
            <w:tcW w:w="1277" w:type="pct"/>
            <w:tcBorders>
              <w:top w:val="single" w:sz="4" w:space="0" w:color="auto"/>
              <w:left w:val="nil"/>
              <w:bottom w:val="double" w:sz="6" w:space="0" w:color="auto"/>
              <w:right w:val="nil"/>
            </w:tcBorders>
            <w:shd w:val="clear" w:color="auto" w:fill="auto"/>
            <w:vAlign w:val="bottom"/>
          </w:tcPr>
          <w:p w14:paraId="749A7A3B" w14:textId="7F624A8A" w:rsidR="007832C8" w:rsidRPr="00226892" w:rsidRDefault="007832C8" w:rsidP="007832C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w:t>
            </w:r>
          </w:p>
        </w:tc>
      </w:tr>
      <w:bookmarkEnd w:id="425"/>
    </w:tbl>
    <w:p w14:paraId="47458C7F" w14:textId="77777777" w:rsidR="002000CE" w:rsidRPr="00226892" w:rsidRDefault="002000CE" w:rsidP="000405EF">
      <w:pPr>
        <w:suppressAutoHyphens/>
        <w:jc w:val="both"/>
        <w:rPr>
          <w:rFonts w:ascii="Arial" w:hAnsi="Arial" w:cs="Arial"/>
          <w:lang w:val="sk-SK"/>
        </w:rPr>
      </w:pPr>
    </w:p>
    <w:p w14:paraId="752C3A15" w14:textId="77777777" w:rsidR="002000CE" w:rsidRPr="00226892" w:rsidRDefault="002000CE" w:rsidP="000405EF">
      <w:pPr>
        <w:suppressAutoHyphens/>
        <w:jc w:val="both"/>
        <w:rPr>
          <w:rFonts w:ascii="Arial" w:hAnsi="Arial" w:cs="Arial"/>
          <w:lang w:val="sk-SK"/>
        </w:rPr>
      </w:pPr>
    </w:p>
    <w:p w14:paraId="3BFC1101" w14:textId="522BCB89" w:rsidR="007B66EE" w:rsidRPr="00226892" w:rsidRDefault="007B66EE" w:rsidP="000405EF">
      <w:pPr>
        <w:suppressAutoHyphens/>
        <w:jc w:val="both"/>
        <w:rPr>
          <w:rFonts w:ascii="Arial" w:hAnsi="Arial" w:cs="Arial"/>
          <w:lang w:val="sk-SK"/>
        </w:rPr>
      </w:pPr>
      <w:r w:rsidRPr="00226892">
        <w:rPr>
          <w:rFonts w:ascii="Arial" w:hAnsi="Arial" w:cs="Arial"/>
          <w:lang w:val="sk-SK"/>
        </w:rPr>
        <w:lastRenderedPageBreak/>
        <w:t>Tvorba opravnej položky k pohľadávkam súvisí s poklesom ich hodnoty, ak existuje objektívny dôkaz, že Skupina nebude schopná zinkasovať všetky dlžné čiastky podľa pôvodných podmienok vzniku pohľadávky. Významné finančné problémy dlžníka, pravdepodobnosť, že na dlžníka bude vyhlásené konkurzné konanie alebo finančná reorganizácia, platobná neschopnosť alebo omeškanie platieb sa považujú za indikátory toho, že došlo k poklesu hodnoty pohľadávky. Výška</w:t>
      </w:r>
      <w:r w:rsidRPr="00226892">
        <w:rPr>
          <w:rFonts w:ascii="Arial" w:hAnsi="Arial" w:cs="Arial"/>
          <w:color w:val="999999"/>
          <w:lang w:val="sk-SK"/>
        </w:rPr>
        <w:t xml:space="preserve"> </w:t>
      </w:r>
      <w:r w:rsidRPr="00226892">
        <w:rPr>
          <w:rFonts w:ascii="Arial" w:hAnsi="Arial" w:cs="Arial"/>
          <w:lang w:val="sk-SK"/>
        </w:rPr>
        <w:t>opravnej položky predstavuje rozdiel medzi účtovnou hodnotou aktíva a súčasnou hodnotou predpokladaných budúcich peňažných tokov diskontovaných efektívnou úrokovou sadzbou.</w:t>
      </w:r>
    </w:p>
    <w:p w14:paraId="50253811" w14:textId="77777777" w:rsidR="007B66EE" w:rsidRPr="00226892" w:rsidRDefault="007B66EE" w:rsidP="000405EF">
      <w:pPr>
        <w:suppressAutoHyphens/>
        <w:jc w:val="both"/>
        <w:rPr>
          <w:rFonts w:ascii="Arial" w:hAnsi="Arial" w:cs="Arial"/>
          <w:sz w:val="16"/>
          <w:lang w:val="sk-SK"/>
        </w:rPr>
      </w:pPr>
    </w:p>
    <w:p w14:paraId="3EE4C2D0" w14:textId="678B6668" w:rsidR="00C930C9" w:rsidRPr="00226892" w:rsidRDefault="007B66EE" w:rsidP="000405EF">
      <w:pPr>
        <w:suppressAutoHyphens/>
        <w:jc w:val="both"/>
        <w:rPr>
          <w:rFonts w:ascii="Arial" w:hAnsi="Arial" w:cs="Arial"/>
          <w:lang w:val="sk-SK"/>
        </w:rPr>
      </w:pPr>
      <w:r w:rsidRPr="00226892">
        <w:rPr>
          <w:rFonts w:ascii="Arial" w:hAnsi="Arial" w:cs="Arial"/>
          <w:lang w:val="sk-SK"/>
        </w:rPr>
        <w:t xml:space="preserve">Zrušenie opravných položiek k pohľadávkam súvisí s odpisom tých pohľadávok, ku ktorým v minulosti bola tvorená opravná položka, resp. pohľadávka bola splatená a riziko nevymožiteľnosti pominulo. K pohľadávkam z obchodného styku voči spriazneným stranám nebola k 31. decembru </w:t>
      </w:r>
      <w:r w:rsidR="00FD3AC5" w:rsidRPr="00226892">
        <w:rPr>
          <w:rFonts w:ascii="Arial" w:hAnsi="Arial" w:cs="Arial"/>
          <w:lang w:val="sk-SK"/>
        </w:rPr>
        <w:t>2018</w:t>
      </w:r>
      <w:r w:rsidR="00AD1766" w:rsidRPr="00226892">
        <w:rPr>
          <w:rFonts w:ascii="Arial" w:hAnsi="Arial" w:cs="Arial"/>
          <w:lang w:val="sk-SK"/>
        </w:rPr>
        <w:t xml:space="preserve"> </w:t>
      </w:r>
      <w:r w:rsidRPr="00226892">
        <w:rPr>
          <w:rFonts w:ascii="Arial" w:hAnsi="Arial" w:cs="Arial"/>
          <w:lang w:val="sk-SK"/>
        </w:rPr>
        <w:t xml:space="preserve">ani 31. decembru </w:t>
      </w:r>
      <w:r w:rsidR="00F63A77" w:rsidRPr="00226892">
        <w:rPr>
          <w:rFonts w:ascii="Arial" w:hAnsi="Arial" w:cs="Arial"/>
          <w:lang w:val="sk-SK"/>
        </w:rPr>
        <w:t>2017</w:t>
      </w:r>
      <w:r w:rsidR="00AD1766" w:rsidRPr="00226892">
        <w:rPr>
          <w:rFonts w:ascii="Arial" w:hAnsi="Arial" w:cs="Arial"/>
          <w:lang w:val="sk-SK"/>
        </w:rPr>
        <w:t xml:space="preserve"> </w:t>
      </w:r>
      <w:r w:rsidRPr="00226892">
        <w:rPr>
          <w:rFonts w:ascii="Arial" w:hAnsi="Arial" w:cs="Arial"/>
          <w:lang w:val="sk-SK"/>
        </w:rPr>
        <w:t xml:space="preserve">vytvorená opravná položka. </w:t>
      </w:r>
    </w:p>
    <w:p w14:paraId="3F75F655" w14:textId="77777777" w:rsidR="002000CE" w:rsidRPr="00226892" w:rsidRDefault="002000CE" w:rsidP="000405EF">
      <w:pPr>
        <w:suppressAutoHyphens/>
        <w:jc w:val="both"/>
        <w:rPr>
          <w:rFonts w:ascii="Arial" w:hAnsi="Arial" w:cs="Arial"/>
          <w:lang w:val="sk-SK"/>
        </w:rPr>
      </w:pPr>
    </w:p>
    <w:p w14:paraId="024D2B05" w14:textId="3CBD2660" w:rsidR="00837450" w:rsidRPr="00226892" w:rsidRDefault="007B66EE" w:rsidP="000405EF">
      <w:pPr>
        <w:suppressAutoHyphens/>
        <w:jc w:val="both"/>
        <w:rPr>
          <w:rFonts w:ascii="Arial" w:hAnsi="Arial" w:cs="Arial"/>
          <w:sz w:val="18"/>
          <w:szCs w:val="18"/>
          <w:lang w:val="sk-SK"/>
        </w:rPr>
      </w:pPr>
      <w:r w:rsidRPr="00226892">
        <w:rPr>
          <w:rFonts w:ascii="Arial" w:hAnsi="Arial" w:cs="Arial"/>
          <w:lang w:val="sk-SK"/>
        </w:rPr>
        <w:t>Veková štruktúra pohľadávok je uvedená v nasledujúcej tabuľke</w:t>
      </w:r>
      <w:r w:rsidRPr="00226892">
        <w:rPr>
          <w:rFonts w:ascii="Arial" w:hAnsi="Arial" w:cs="Arial"/>
          <w:sz w:val="18"/>
          <w:szCs w:val="18"/>
          <w:lang w:val="sk-SK"/>
        </w:rPr>
        <w:t>:</w:t>
      </w:r>
    </w:p>
    <w:p w14:paraId="2F532377" w14:textId="77777777" w:rsidR="00F1483F" w:rsidRPr="00226892" w:rsidRDefault="00F1483F" w:rsidP="00D807DD">
      <w:pPr>
        <w:suppressAutoHyphens/>
        <w:ind w:left="426"/>
        <w:jc w:val="both"/>
        <w:rPr>
          <w:rFonts w:ascii="Arial" w:hAnsi="Arial" w:cs="Arial"/>
          <w:sz w:val="18"/>
          <w:szCs w:val="18"/>
          <w:lang w:val="sk-SK"/>
        </w:rPr>
      </w:pPr>
    </w:p>
    <w:tbl>
      <w:tblPr>
        <w:tblW w:w="5000" w:type="pct"/>
        <w:tblCellMar>
          <w:left w:w="70" w:type="dxa"/>
          <w:right w:w="70" w:type="dxa"/>
        </w:tblCellMar>
        <w:tblLook w:val="04A0" w:firstRow="1" w:lastRow="0" w:firstColumn="1" w:lastColumn="0" w:noHBand="0" w:noVBand="1"/>
      </w:tblPr>
      <w:tblGrid>
        <w:gridCol w:w="5000"/>
        <w:gridCol w:w="163"/>
        <w:gridCol w:w="2251"/>
        <w:gridCol w:w="146"/>
        <w:gridCol w:w="2079"/>
      </w:tblGrid>
      <w:tr w:rsidR="00F1483F" w:rsidRPr="00226892" w14:paraId="54C9ACEB" w14:textId="77777777" w:rsidTr="004E0EBA">
        <w:trPr>
          <w:trHeight w:val="227"/>
        </w:trPr>
        <w:tc>
          <w:tcPr>
            <w:tcW w:w="2229" w:type="pct"/>
            <w:tcBorders>
              <w:top w:val="nil"/>
              <w:left w:val="nil"/>
              <w:bottom w:val="single" w:sz="4" w:space="0" w:color="auto"/>
              <w:right w:val="nil"/>
            </w:tcBorders>
            <w:shd w:val="clear" w:color="auto" w:fill="auto"/>
            <w:noWrap/>
            <w:vAlign w:val="bottom"/>
          </w:tcPr>
          <w:p w14:paraId="2E868DD2" w14:textId="77777777" w:rsidR="00F1483F" w:rsidRPr="00226892" w:rsidRDefault="00F1483F" w:rsidP="00470283">
            <w:pPr>
              <w:jc w:val="center"/>
              <w:rPr>
                <w:rFonts w:ascii="Arial" w:eastAsia="Times New Roman" w:hAnsi="Arial" w:cs="Arial"/>
                <w:color w:val="000000"/>
                <w:sz w:val="18"/>
                <w:szCs w:val="18"/>
                <w:lang w:val="sk-SK" w:eastAsia="sk-SK"/>
              </w:rPr>
            </w:pPr>
          </w:p>
        </w:tc>
        <w:tc>
          <w:tcPr>
            <w:tcW w:w="176" w:type="pct"/>
            <w:tcBorders>
              <w:top w:val="nil"/>
              <w:left w:val="nil"/>
              <w:bottom w:val="single" w:sz="4" w:space="0" w:color="auto"/>
              <w:right w:val="nil"/>
            </w:tcBorders>
            <w:shd w:val="clear" w:color="auto" w:fill="auto"/>
            <w:noWrap/>
            <w:vAlign w:val="bottom"/>
          </w:tcPr>
          <w:p w14:paraId="7AFB79E4" w14:textId="77777777" w:rsidR="00F1483F" w:rsidRPr="00226892" w:rsidRDefault="00F1483F" w:rsidP="00470283">
            <w:pPr>
              <w:jc w:val="center"/>
              <w:rPr>
                <w:rFonts w:ascii="Arial" w:eastAsia="Times New Roman" w:hAnsi="Arial" w:cs="Arial"/>
                <w:color w:val="000000"/>
                <w:sz w:val="18"/>
                <w:szCs w:val="18"/>
                <w:lang w:val="sk-SK" w:eastAsia="sk-SK"/>
              </w:rPr>
            </w:pPr>
          </w:p>
        </w:tc>
        <w:tc>
          <w:tcPr>
            <w:tcW w:w="1259" w:type="pct"/>
            <w:tcBorders>
              <w:top w:val="nil"/>
              <w:left w:val="nil"/>
              <w:bottom w:val="single" w:sz="4" w:space="0" w:color="auto"/>
              <w:right w:val="nil"/>
            </w:tcBorders>
            <w:shd w:val="clear" w:color="auto" w:fill="auto"/>
            <w:vAlign w:val="bottom"/>
          </w:tcPr>
          <w:p w14:paraId="1C802068" w14:textId="69E4802A" w:rsidR="00F1483F" w:rsidRPr="00226892" w:rsidRDefault="00F1483F" w:rsidP="00470283">
            <w:pPr>
              <w:jc w:val="center"/>
              <w:rPr>
                <w:rFonts w:ascii="Arial" w:eastAsia="Times New Roman" w:hAnsi="Arial" w:cs="Arial"/>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D3AC5" w:rsidRPr="00226892">
              <w:rPr>
                <w:rFonts w:ascii="Arial" w:eastAsia="Times New Roman" w:hAnsi="Arial" w:cs="Arial"/>
                <w:b/>
                <w:bCs/>
                <w:color w:val="000000"/>
                <w:sz w:val="18"/>
                <w:szCs w:val="18"/>
                <w:lang w:val="sk-SK" w:eastAsia="sk-SK"/>
              </w:rPr>
              <w:t>2018</w:t>
            </w:r>
          </w:p>
        </w:tc>
        <w:tc>
          <w:tcPr>
            <w:tcW w:w="130" w:type="pct"/>
            <w:tcBorders>
              <w:top w:val="nil"/>
              <w:left w:val="nil"/>
              <w:bottom w:val="single" w:sz="4" w:space="0" w:color="auto"/>
              <w:right w:val="nil"/>
            </w:tcBorders>
            <w:shd w:val="clear" w:color="auto" w:fill="auto"/>
            <w:vAlign w:val="bottom"/>
          </w:tcPr>
          <w:p w14:paraId="7A6803EE" w14:textId="44570740" w:rsidR="00F1483F" w:rsidRPr="00226892" w:rsidRDefault="00F1483F" w:rsidP="00470283">
            <w:pPr>
              <w:jc w:val="center"/>
              <w:rPr>
                <w:rFonts w:ascii="Arial" w:eastAsia="Times New Roman" w:hAnsi="Arial" w:cs="Arial"/>
                <w:color w:val="000000"/>
                <w:sz w:val="18"/>
                <w:szCs w:val="18"/>
                <w:lang w:val="sk-SK" w:eastAsia="sk-SK"/>
              </w:rPr>
            </w:pPr>
          </w:p>
        </w:tc>
        <w:tc>
          <w:tcPr>
            <w:tcW w:w="1206" w:type="pct"/>
            <w:tcBorders>
              <w:top w:val="nil"/>
              <w:left w:val="nil"/>
              <w:bottom w:val="single" w:sz="4" w:space="0" w:color="auto"/>
              <w:right w:val="nil"/>
            </w:tcBorders>
            <w:shd w:val="clear" w:color="auto" w:fill="auto"/>
            <w:vAlign w:val="bottom"/>
          </w:tcPr>
          <w:p w14:paraId="036BAC9D" w14:textId="7E15CA08" w:rsidR="00F1483F" w:rsidRPr="00226892" w:rsidRDefault="00F1483F" w:rsidP="00470283">
            <w:pPr>
              <w:jc w:val="center"/>
              <w:rPr>
                <w:rFonts w:ascii="Arial" w:eastAsia="Times New Roman" w:hAnsi="Arial" w:cs="Arial"/>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63A77" w:rsidRPr="00226892">
              <w:rPr>
                <w:rFonts w:ascii="Arial" w:eastAsia="Times New Roman" w:hAnsi="Arial" w:cs="Arial"/>
                <w:b/>
                <w:bCs/>
                <w:color w:val="000000"/>
                <w:sz w:val="18"/>
                <w:szCs w:val="18"/>
                <w:lang w:val="sk-SK" w:eastAsia="sk-SK"/>
              </w:rPr>
              <w:t>2017</w:t>
            </w:r>
          </w:p>
        </w:tc>
      </w:tr>
      <w:tr w:rsidR="007832C8" w:rsidRPr="00226892" w14:paraId="037F42C6" w14:textId="77777777" w:rsidTr="004E0EBA">
        <w:trPr>
          <w:trHeight w:val="227"/>
        </w:trPr>
        <w:tc>
          <w:tcPr>
            <w:tcW w:w="2229" w:type="pct"/>
            <w:tcBorders>
              <w:top w:val="single" w:sz="4" w:space="0" w:color="auto"/>
              <w:left w:val="nil"/>
              <w:bottom w:val="nil"/>
              <w:right w:val="nil"/>
            </w:tcBorders>
            <w:shd w:val="clear" w:color="auto" w:fill="auto"/>
            <w:noWrap/>
            <w:vAlign w:val="bottom"/>
            <w:hideMark/>
          </w:tcPr>
          <w:p w14:paraId="57FBA1D0" w14:textId="77777777" w:rsidR="007832C8" w:rsidRPr="00226892" w:rsidRDefault="007832C8" w:rsidP="007832C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Pohľadávky do lehoty splatnosti</w:t>
            </w:r>
          </w:p>
        </w:tc>
        <w:tc>
          <w:tcPr>
            <w:tcW w:w="176" w:type="pct"/>
            <w:tcBorders>
              <w:top w:val="single" w:sz="4" w:space="0" w:color="auto"/>
              <w:left w:val="nil"/>
              <w:bottom w:val="nil"/>
              <w:right w:val="nil"/>
            </w:tcBorders>
            <w:shd w:val="clear" w:color="auto" w:fill="auto"/>
            <w:noWrap/>
            <w:vAlign w:val="bottom"/>
            <w:hideMark/>
          </w:tcPr>
          <w:p w14:paraId="6B7B9EB9" w14:textId="77777777" w:rsidR="007832C8" w:rsidRPr="00226892" w:rsidRDefault="007832C8" w:rsidP="007832C8">
            <w:pPr>
              <w:rPr>
                <w:rFonts w:ascii="Arial" w:eastAsia="Times New Roman" w:hAnsi="Arial" w:cs="Arial"/>
                <w:color w:val="000000"/>
                <w:sz w:val="18"/>
                <w:szCs w:val="18"/>
                <w:lang w:val="sk-SK" w:eastAsia="sk-SK"/>
              </w:rPr>
            </w:pPr>
          </w:p>
        </w:tc>
        <w:tc>
          <w:tcPr>
            <w:tcW w:w="1259" w:type="pct"/>
            <w:tcBorders>
              <w:top w:val="single" w:sz="4" w:space="0" w:color="auto"/>
              <w:left w:val="nil"/>
              <w:bottom w:val="nil"/>
              <w:right w:val="nil"/>
            </w:tcBorders>
            <w:shd w:val="clear" w:color="auto" w:fill="auto"/>
            <w:vAlign w:val="bottom"/>
          </w:tcPr>
          <w:p w14:paraId="00850A35" w14:textId="2984258B" w:rsidR="007832C8" w:rsidRPr="00226892" w:rsidRDefault="007832C8" w:rsidP="007832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23 </w:t>
            </w:r>
            <w:r w:rsidR="00C57EDA" w:rsidRPr="00226892">
              <w:rPr>
                <w:rFonts w:ascii="Arial" w:eastAsia="Times New Roman" w:hAnsi="Arial" w:cs="Arial"/>
                <w:color w:val="000000"/>
                <w:sz w:val="18"/>
                <w:szCs w:val="18"/>
                <w:lang w:val="sk-SK" w:eastAsia="sk-SK"/>
              </w:rPr>
              <w:t>789</w:t>
            </w:r>
          </w:p>
        </w:tc>
        <w:tc>
          <w:tcPr>
            <w:tcW w:w="130" w:type="pct"/>
            <w:tcBorders>
              <w:top w:val="single" w:sz="4" w:space="0" w:color="auto"/>
              <w:left w:val="nil"/>
              <w:bottom w:val="nil"/>
              <w:right w:val="nil"/>
            </w:tcBorders>
            <w:shd w:val="clear" w:color="auto" w:fill="auto"/>
            <w:vAlign w:val="bottom"/>
          </w:tcPr>
          <w:p w14:paraId="0AE5556B" w14:textId="77777777" w:rsidR="007832C8" w:rsidRPr="00226892" w:rsidRDefault="007832C8" w:rsidP="007832C8">
            <w:pPr>
              <w:jc w:val="right"/>
              <w:rPr>
                <w:rFonts w:ascii="Arial" w:eastAsia="Times New Roman" w:hAnsi="Arial" w:cs="Arial"/>
                <w:color w:val="000000"/>
                <w:sz w:val="18"/>
                <w:szCs w:val="18"/>
                <w:lang w:val="sk-SK" w:eastAsia="sk-SK"/>
              </w:rPr>
            </w:pPr>
          </w:p>
        </w:tc>
        <w:tc>
          <w:tcPr>
            <w:tcW w:w="1206" w:type="pct"/>
            <w:tcBorders>
              <w:top w:val="single" w:sz="4" w:space="0" w:color="auto"/>
              <w:left w:val="nil"/>
              <w:bottom w:val="nil"/>
              <w:right w:val="nil"/>
            </w:tcBorders>
            <w:shd w:val="clear" w:color="auto" w:fill="auto"/>
            <w:vAlign w:val="bottom"/>
          </w:tcPr>
          <w:p w14:paraId="1B0AAC43" w14:textId="693F4978" w:rsidR="007832C8" w:rsidRPr="00226892" w:rsidRDefault="007832C8" w:rsidP="007832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13 </w:t>
            </w:r>
            <w:r w:rsidR="00C57EDA" w:rsidRPr="00226892">
              <w:rPr>
                <w:rFonts w:ascii="Arial" w:eastAsia="Times New Roman" w:hAnsi="Arial" w:cs="Arial"/>
                <w:color w:val="000000"/>
                <w:sz w:val="18"/>
                <w:szCs w:val="18"/>
                <w:lang w:val="sk-SK" w:eastAsia="sk-SK"/>
              </w:rPr>
              <w:t>92</w:t>
            </w:r>
            <w:r w:rsidRPr="00226892">
              <w:rPr>
                <w:rFonts w:ascii="Arial" w:eastAsia="Times New Roman" w:hAnsi="Arial" w:cs="Arial"/>
                <w:color w:val="000000"/>
                <w:sz w:val="18"/>
                <w:szCs w:val="18"/>
                <w:lang w:val="sk-SK" w:eastAsia="sk-SK"/>
              </w:rPr>
              <w:t>3</w:t>
            </w:r>
          </w:p>
        </w:tc>
      </w:tr>
      <w:tr w:rsidR="007832C8" w:rsidRPr="00226892" w14:paraId="2DA45837" w14:textId="77777777" w:rsidTr="004E0EBA">
        <w:trPr>
          <w:trHeight w:val="227"/>
        </w:trPr>
        <w:tc>
          <w:tcPr>
            <w:tcW w:w="2229" w:type="pct"/>
            <w:tcBorders>
              <w:top w:val="nil"/>
              <w:left w:val="nil"/>
              <w:bottom w:val="nil"/>
              <w:right w:val="nil"/>
            </w:tcBorders>
            <w:shd w:val="clear" w:color="auto" w:fill="auto"/>
            <w:noWrap/>
            <w:vAlign w:val="bottom"/>
            <w:hideMark/>
          </w:tcPr>
          <w:p w14:paraId="44315925" w14:textId="77777777" w:rsidR="007832C8" w:rsidRPr="00226892" w:rsidRDefault="007832C8" w:rsidP="007832C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Pohľadávky po lehote splatnosti</w:t>
            </w:r>
          </w:p>
        </w:tc>
        <w:tc>
          <w:tcPr>
            <w:tcW w:w="176" w:type="pct"/>
            <w:tcBorders>
              <w:top w:val="nil"/>
              <w:left w:val="nil"/>
              <w:bottom w:val="nil"/>
              <w:right w:val="nil"/>
            </w:tcBorders>
            <w:shd w:val="clear" w:color="auto" w:fill="auto"/>
            <w:noWrap/>
            <w:vAlign w:val="bottom"/>
            <w:hideMark/>
          </w:tcPr>
          <w:p w14:paraId="3435ACE8" w14:textId="77777777" w:rsidR="007832C8" w:rsidRPr="00226892" w:rsidRDefault="007832C8" w:rsidP="007832C8">
            <w:pPr>
              <w:rPr>
                <w:rFonts w:ascii="Arial" w:eastAsia="Times New Roman" w:hAnsi="Arial" w:cs="Arial"/>
                <w:color w:val="000000"/>
                <w:sz w:val="18"/>
                <w:szCs w:val="18"/>
                <w:lang w:val="sk-SK" w:eastAsia="sk-SK"/>
              </w:rPr>
            </w:pPr>
          </w:p>
        </w:tc>
        <w:tc>
          <w:tcPr>
            <w:tcW w:w="1259" w:type="pct"/>
            <w:tcBorders>
              <w:top w:val="nil"/>
              <w:left w:val="nil"/>
              <w:bottom w:val="nil"/>
              <w:right w:val="nil"/>
            </w:tcBorders>
            <w:shd w:val="clear" w:color="auto" w:fill="auto"/>
            <w:vAlign w:val="bottom"/>
          </w:tcPr>
          <w:p w14:paraId="0A3714F4" w14:textId="7F1251E9" w:rsidR="007832C8" w:rsidRPr="00226892" w:rsidRDefault="007832C8" w:rsidP="007832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1 586</w:t>
            </w:r>
          </w:p>
        </w:tc>
        <w:tc>
          <w:tcPr>
            <w:tcW w:w="130" w:type="pct"/>
            <w:tcBorders>
              <w:top w:val="nil"/>
              <w:left w:val="nil"/>
              <w:bottom w:val="nil"/>
              <w:right w:val="nil"/>
            </w:tcBorders>
            <w:shd w:val="clear" w:color="auto" w:fill="auto"/>
            <w:vAlign w:val="bottom"/>
          </w:tcPr>
          <w:p w14:paraId="7E2B91DB" w14:textId="77777777" w:rsidR="007832C8" w:rsidRPr="00226892" w:rsidRDefault="007832C8" w:rsidP="007832C8">
            <w:pPr>
              <w:jc w:val="right"/>
              <w:rPr>
                <w:rFonts w:ascii="Arial" w:eastAsia="Times New Roman" w:hAnsi="Arial" w:cs="Arial"/>
                <w:color w:val="000000"/>
                <w:sz w:val="18"/>
                <w:szCs w:val="18"/>
                <w:lang w:val="sk-SK" w:eastAsia="sk-SK"/>
              </w:rPr>
            </w:pPr>
          </w:p>
        </w:tc>
        <w:tc>
          <w:tcPr>
            <w:tcW w:w="1206" w:type="pct"/>
            <w:tcBorders>
              <w:top w:val="nil"/>
              <w:left w:val="nil"/>
              <w:bottom w:val="nil"/>
              <w:right w:val="nil"/>
            </w:tcBorders>
            <w:shd w:val="clear" w:color="auto" w:fill="auto"/>
            <w:vAlign w:val="bottom"/>
          </w:tcPr>
          <w:p w14:paraId="688767C1" w14:textId="7CDD5239" w:rsidR="007832C8" w:rsidRPr="00226892" w:rsidRDefault="007832C8" w:rsidP="007832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6 356</w:t>
            </w:r>
          </w:p>
        </w:tc>
      </w:tr>
      <w:tr w:rsidR="007832C8" w:rsidRPr="00226892" w14:paraId="55DF6128" w14:textId="77777777" w:rsidTr="004E0EBA">
        <w:trPr>
          <w:trHeight w:val="227"/>
        </w:trPr>
        <w:tc>
          <w:tcPr>
            <w:tcW w:w="2229" w:type="pct"/>
            <w:tcBorders>
              <w:top w:val="nil"/>
              <w:left w:val="nil"/>
              <w:bottom w:val="nil"/>
              <w:right w:val="nil"/>
            </w:tcBorders>
            <w:shd w:val="clear" w:color="auto" w:fill="auto"/>
            <w:noWrap/>
            <w:vAlign w:val="bottom"/>
            <w:hideMark/>
          </w:tcPr>
          <w:p w14:paraId="14D90E8C" w14:textId="77777777" w:rsidR="007832C8" w:rsidRPr="00226892" w:rsidRDefault="007832C8" w:rsidP="007832C8">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Pohľadávky z obchodného styku a iné pohľadávky spolu</w:t>
            </w:r>
          </w:p>
        </w:tc>
        <w:tc>
          <w:tcPr>
            <w:tcW w:w="176" w:type="pct"/>
            <w:tcBorders>
              <w:top w:val="nil"/>
              <w:left w:val="nil"/>
              <w:bottom w:val="nil"/>
              <w:right w:val="nil"/>
            </w:tcBorders>
            <w:shd w:val="clear" w:color="auto" w:fill="auto"/>
            <w:noWrap/>
            <w:vAlign w:val="bottom"/>
            <w:hideMark/>
          </w:tcPr>
          <w:p w14:paraId="660FDF28" w14:textId="77777777" w:rsidR="007832C8" w:rsidRPr="00226892" w:rsidRDefault="007832C8" w:rsidP="007832C8">
            <w:pPr>
              <w:rPr>
                <w:rFonts w:ascii="Arial" w:eastAsia="Times New Roman" w:hAnsi="Arial" w:cs="Arial"/>
                <w:b/>
                <w:bCs/>
                <w:color w:val="000000"/>
                <w:sz w:val="18"/>
                <w:szCs w:val="18"/>
                <w:lang w:val="sk-SK" w:eastAsia="sk-SK"/>
              </w:rPr>
            </w:pPr>
          </w:p>
        </w:tc>
        <w:tc>
          <w:tcPr>
            <w:tcW w:w="1259" w:type="pct"/>
            <w:tcBorders>
              <w:top w:val="single" w:sz="4" w:space="0" w:color="auto"/>
              <w:left w:val="nil"/>
              <w:bottom w:val="double" w:sz="6" w:space="0" w:color="auto"/>
              <w:right w:val="nil"/>
            </w:tcBorders>
            <w:shd w:val="clear" w:color="auto" w:fill="auto"/>
            <w:vAlign w:val="bottom"/>
          </w:tcPr>
          <w:p w14:paraId="09F0FA9E" w14:textId="1DA54CA0" w:rsidR="007832C8" w:rsidRPr="00226892" w:rsidRDefault="007832C8" w:rsidP="007832C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w:t>
            </w:r>
            <w:r w:rsidR="00C57EDA" w:rsidRPr="00226892">
              <w:rPr>
                <w:rFonts w:ascii="Arial" w:eastAsia="Times New Roman" w:hAnsi="Arial" w:cs="Arial"/>
                <w:b/>
                <w:bCs/>
                <w:color w:val="000000"/>
                <w:sz w:val="18"/>
                <w:szCs w:val="18"/>
                <w:lang w:val="sk-SK" w:eastAsia="sk-SK"/>
              </w:rPr>
              <w:t>5</w:t>
            </w:r>
            <w:r w:rsidR="00005FF3" w:rsidRPr="00226892">
              <w:rPr>
                <w:rFonts w:ascii="Arial" w:eastAsia="Times New Roman" w:hAnsi="Arial" w:cs="Arial"/>
                <w:b/>
                <w:bCs/>
                <w:color w:val="000000"/>
                <w:sz w:val="18"/>
                <w:szCs w:val="18"/>
                <w:lang w:val="sk-SK" w:eastAsia="sk-SK"/>
              </w:rPr>
              <w:t xml:space="preserve"> </w:t>
            </w:r>
            <w:r w:rsidR="00C57EDA" w:rsidRPr="00226892">
              <w:rPr>
                <w:rFonts w:ascii="Arial" w:eastAsia="Times New Roman" w:hAnsi="Arial" w:cs="Arial"/>
                <w:b/>
                <w:bCs/>
                <w:color w:val="000000"/>
                <w:sz w:val="18"/>
                <w:szCs w:val="18"/>
                <w:lang w:val="sk-SK" w:eastAsia="sk-SK"/>
              </w:rPr>
              <w:t>375</w:t>
            </w:r>
          </w:p>
        </w:tc>
        <w:tc>
          <w:tcPr>
            <w:tcW w:w="130" w:type="pct"/>
            <w:tcBorders>
              <w:top w:val="nil"/>
              <w:left w:val="nil"/>
              <w:bottom w:val="nil"/>
              <w:right w:val="nil"/>
            </w:tcBorders>
            <w:shd w:val="clear" w:color="auto" w:fill="auto"/>
            <w:vAlign w:val="bottom"/>
          </w:tcPr>
          <w:p w14:paraId="7CCB4740" w14:textId="77777777" w:rsidR="007832C8" w:rsidRPr="00226892" w:rsidRDefault="007832C8" w:rsidP="007832C8">
            <w:pPr>
              <w:jc w:val="right"/>
              <w:rPr>
                <w:rFonts w:ascii="Arial" w:eastAsia="Times New Roman" w:hAnsi="Arial" w:cs="Arial"/>
                <w:b/>
                <w:bCs/>
                <w:color w:val="000000"/>
                <w:sz w:val="18"/>
                <w:szCs w:val="18"/>
                <w:lang w:val="sk-SK" w:eastAsia="sk-SK"/>
              </w:rPr>
            </w:pPr>
          </w:p>
        </w:tc>
        <w:tc>
          <w:tcPr>
            <w:tcW w:w="1206" w:type="pct"/>
            <w:tcBorders>
              <w:top w:val="single" w:sz="4" w:space="0" w:color="auto"/>
              <w:left w:val="nil"/>
              <w:bottom w:val="double" w:sz="6" w:space="0" w:color="auto"/>
              <w:right w:val="nil"/>
            </w:tcBorders>
            <w:shd w:val="clear" w:color="auto" w:fill="auto"/>
            <w:vAlign w:val="bottom"/>
          </w:tcPr>
          <w:p w14:paraId="1D7969DF" w14:textId="50BC6C2B" w:rsidR="007832C8" w:rsidRPr="00226892" w:rsidRDefault="00C57EDA" w:rsidP="007832C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20</w:t>
            </w:r>
            <w:r w:rsidR="007832C8" w:rsidRPr="00226892">
              <w:rPr>
                <w:rFonts w:ascii="Arial" w:eastAsia="Times New Roman" w:hAnsi="Arial" w:cs="Arial"/>
                <w:b/>
                <w:bCs/>
                <w:color w:val="000000"/>
                <w:sz w:val="18"/>
                <w:szCs w:val="18"/>
                <w:lang w:val="sk-SK" w:eastAsia="sk-SK"/>
              </w:rPr>
              <w:t xml:space="preserve"> </w:t>
            </w:r>
            <w:r w:rsidRPr="00226892">
              <w:rPr>
                <w:rFonts w:ascii="Arial" w:eastAsia="Times New Roman" w:hAnsi="Arial" w:cs="Arial"/>
                <w:b/>
                <w:bCs/>
                <w:color w:val="000000"/>
                <w:sz w:val="18"/>
                <w:szCs w:val="18"/>
                <w:lang w:val="sk-SK" w:eastAsia="sk-SK"/>
              </w:rPr>
              <w:t>279</w:t>
            </w:r>
          </w:p>
        </w:tc>
      </w:tr>
    </w:tbl>
    <w:p w14:paraId="3D8D5360" w14:textId="77777777" w:rsidR="00551537" w:rsidRPr="00226892" w:rsidRDefault="00551537" w:rsidP="00551537">
      <w:pPr>
        <w:suppressAutoHyphens/>
        <w:jc w:val="both"/>
        <w:rPr>
          <w:rFonts w:ascii="Arial" w:hAnsi="Arial" w:cs="Arial"/>
          <w:sz w:val="18"/>
          <w:szCs w:val="18"/>
          <w:lang w:val="sk-SK"/>
        </w:rPr>
      </w:pPr>
    </w:p>
    <w:p w14:paraId="0F164857" w14:textId="7B4280F5" w:rsidR="004C37E7" w:rsidRPr="00226892" w:rsidRDefault="007B66EE" w:rsidP="000405EF">
      <w:pPr>
        <w:suppressAutoHyphens/>
        <w:jc w:val="both"/>
        <w:rPr>
          <w:rFonts w:ascii="Arial" w:hAnsi="Arial" w:cs="Arial"/>
          <w:lang w:val="sk-SK"/>
        </w:rPr>
      </w:pPr>
      <w:r w:rsidRPr="00226892">
        <w:rPr>
          <w:rFonts w:ascii="Arial" w:hAnsi="Arial" w:cs="Arial"/>
          <w:lang w:val="sk-SK"/>
        </w:rPr>
        <w:t>Účtovná hodnota pohľadávok z obchodného styku a iných pohľadávok je denominovaná v nasledujúcich menách:</w:t>
      </w:r>
      <w:bookmarkStart w:id="427" w:name="FWT_ReceivablesCurrencies"/>
      <w:r w:rsidR="004C37E7" w:rsidRPr="00226892">
        <w:rPr>
          <w:rFonts w:ascii="Arial" w:hAnsi="Arial" w:cs="Arial"/>
          <w:lang w:val="sk-SK"/>
        </w:rPr>
        <w:t xml:space="preserve"> </w:t>
      </w:r>
    </w:p>
    <w:p w14:paraId="415A1DF5" w14:textId="77777777" w:rsidR="00470283" w:rsidRPr="00226892" w:rsidRDefault="00470283" w:rsidP="000405EF">
      <w:pPr>
        <w:suppressAutoHyphens/>
        <w:jc w:val="both"/>
        <w:rPr>
          <w:rFonts w:ascii="Arial" w:hAnsi="Arial" w:cs="Arial"/>
          <w:lang w:val="sk-SK"/>
        </w:rPr>
      </w:pPr>
    </w:p>
    <w:tbl>
      <w:tblPr>
        <w:tblW w:w="5000" w:type="pct"/>
        <w:tblCellMar>
          <w:left w:w="70" w:type="dxa"/>
          <w:right w:w="70" w:type="dxa"/>
        </w:tblCellMar>
        <w:tblLook w:val="04A0" w:firstRow="1" w:lastRow="0" w:firstColumn="1" w:lastColumn="0" w:noHBand="0" w:noVBand="1"/>
      </w:tblPr>
      <w:tblGrid>
        <w:gridCol w:w="4984"/>
        <w:gridCol w:w="195"/>
        <w:gridCol w:w="2225"/>
        <w:gridCol w:w="168"/>
        <w:gridCol w:w="2067"/>
      </w:tblGrid>
      <w:tr w:rsidR="00C930C9" w:rsidRPr="00226892" w14:paraId="4F7F3DB3" w14:textId="77777777" w:rsidTr="004E0EBA">
        <w:trPr>
          <w:trHeight w:val="227"/>
        </w:trPr>
        <w:tc>
          <w:tcPr>
            <w:tcW w:w="2585" w:type="pct"/>
            <w:tcBorders>
              <w:top w:val="nil"/>
              <w:left w:val="nil"/>
              <w:bottom w:val="single" w:sz="4" w:space="0" w:color="auto"/>
              <w:right w:val="nil"/>
            </w:tcBorders>
            <w:shd w:val="clear" w:color="auto" w:fill="auto"/>
            <w:noWrap/>
            <w:vAlign w:val="bottom"/>
            <w:hideMark/>
          </w:tcPr>
          <w:p w14:paraId="64E1F27E" w14:textId="77777777" w:rsidR="00C930C9" w:rsidRPr="00226892" w:rsidRDefault="00C930C9" w:rsidP="004C37E7">
            <w:pPr>
              <w:rPr>
                <w:rFonts w:ascii="Arial" w:eastAsia="Times New Roman" w:hAnsi="Arial" w:cs="Arial"/>
                <w:color w:val="000000"/>
                <w:sz w:val="18"/>
                <w:szCs w:val="18"/>
                <w:lang w:val="sk-SK" w:eastAsia="sk-SK"/>
              </w:rPr>
            </w:pPr>
            <w:bookmarkStart w:id="428" w:name="RANGE!C81:G90"/>
            <w:r w:rsidRPr="00226892">
              <w:rPr>
                <w:rFonts w:ascii="Arial" w:eastAsia="Times New Roman" w:hAnsi="Arial" w:cs="Arial"/>
                <w:color w:val="000000"/>
                <w:sz w:val="18"/>
                <w:szCs w:val="18"/>
                <w:lang w:val="sk-SK" w:eastAsia="sk-SK"/>
              </w:rPr>
              <w:t> </w:t>
            </w:r>
            <w:bookmarkEnd w:id="428"/>
          </w:p>
        </w:tc>
        <w:tc>
          <w:tcPr>
            <w:tcW w:w="101" w:type="pct"/>
            <w:tcBorders>
              <w:top w:val="nil"/>
              <w:left w:val="nil"/>
              <w:bottom w:val="single" w:sz="4" w:space="0" w:color="auto"/>
              <w:right w:val="nil"/>
            </w:tcBorders>
            <w:shd w:val="clear" w:color="auto" w:fill="auto"/>
            <w:noWrap/>
            <w:vAlign w:val="bottom"/>
            <w:hideMark/>
          </w:tcPr>
          <w:p w14:paraId="4B20B127" w14:textId="77777777" w:rsidR="00C930C9" w:rsidRPr="00226892" w:rsidRDefault="00C930C9" w:rsidP="004C37E7">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154" w:type="pct"/>
            <w:tcBorders>
              <w:top w:val="nil"/>
              <w:left w:val="nil"/>
              <w:bottom w:val="single" w:sz="4" w:space="0" w:color="auto"/>
              <w:right w:val="nil"/>
            </w:tcBorders>
            <w:shd w:val="clear" w:color="auto" w:fill="auto"/>
            <w:vAlign w:val="bottom"/>
            <w:hideMark/>
          </w:tcPr>
          <w:p w14:paraId="4038F5CB" w14:textId="1E9E5B1F" w:rsidR="00C930C9" w:rsidRPr="00226892" w:rsidRDefault="00C930C9" w:rsidP="00470283">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D3AC5" w:rsidRPr="00226892">
              <w:rPr>
                <w:rFonts w:ascii="Arial" w:eastAsia="Times New Roman" w:hAnsi="Arial" w:cs="Arial"/>
                <w:b/>
                <w:bCs/>
                <w:color w:val="000000"/>
                <w:sz w:val="18"/>
                <w:szCs w:val="18"/>
                <w:lang w:val="sk-SK" w:eastAsia="sk-SK"/>
              </w:rPr>
              <w:t>2018</w:t>
            </w:r>
          </w:p>
        </w:tc>
        <w:tc>
          <w:tcPr>
            <w:tcW w:w="87" w:type="pct"/>
            <w:tcBorders>
              <w:top w:val="nil"/>
              <w:left w:val="nil"/>
              <w:bottom w:val="single" w:sz="4" w:space="0" w:color="auto"/>
              <w:right w:val="nil"/>
            </w:tcBorders>
            <w:vAlign w:val="bottom"/>
          </w:tcPr>
          <w:p w14:paraId="6D40753B" w14:textId="77777777" w:rsidR="00C930C9" w:rsidRPr="00226892" w:rsidRDefault="00C930C9" w:rsidP="00470283">
            <w:pPr>
              <w:jc w:val="center"/>
              <w:rPr>
                <w:rFonts w:ascii="Arial" w:eastAsia="Times New Roman" w:hAnsi="Arial" w:cs="Arial"/>
                <w:b/>
                <w:bCs/>
                <w:color w:val="000000"/>
                <w:sz w:val="18"/>
                <w:szCs w:val="18"/>
                <w:lang w:val="sk-SK" w:eastAsia="sk-SK"/>
              </w:rPr>
            </w:pPr>
          </w:p>
        </w:tc>
        <w:tc>
          <w:tcPr>
            <w:tcW w:w="1072" w:type="pct"/>
            <w:tcBorders>
              <w:top w:val="nil"/>
              <w:left w:val="nil"/>
              <w:bottom w:val="single" w:sz="4" w:space="0" w:color="auto"/>
              <w:right w:val="nil"/>
            </w:tcBorders>
            <w:shd w:val="clear" w:color="auto" w:fill="auto"/>
            <w:vAlign w:val="bottom"/>
            <w:hideMark/>
          </w:tcPr>
          <w:p w14:paraId="27825EE5" w14:textId="5E82F2E1" w:rsidR="00C930C9" w:rsidRPr="00226892" w:rsidRDefault="00C930C9" w:rsidP="00470283">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63A77" w:rsidRPr="00226892">
              <w:rPr>
                <w:rFonts w:ascii="Arial" w:eastAsia="Times New Roman" w:hAnsi="Arial" w:cs="Arial"/>
                <w:b/>
                <w:bCs/>
                <w:color w:val="000000"/>
                <w:sz w:val="18"/>
                <w:szCs w:val="18"/>
                <w:lang w:val="sk-SK" w:eastAsia="sk-SK"/>
              </w:rPr>
              <w:t>2017</w:t>
            </w:r>
          </w:p>
        </w:tc>
      </w:tr>
      <w:tr w:rsidR="007832C8" w:rsidRPr="00226892" w14:paraId="4F56CA2D" w14:textId="77777777" w:rsidTr="004E0EBA">
        <w:trPr>
          <w:trHeight w:val="227"/>
        </w:trPr>
        <w:tc>
          <w:tcPr>
            <w:tcW w:w="2585" w:type="pct"/>
            <w:tcBorders>
              <w:top w:val="nil"/>
              <w:left w:val="nil"/>
              <w:bottom w:val="nil"/>
              <w:right w:val="nil"/>
            </w:tcBorders>
            <w:shd w:val="clear" w:color="auto" w:fill="auto"/>
            <w:noWrap/>
            <w:vAlign w:val="bottom"/>
            <w:hideMark/>
          </w:tcPr>
          <w:p w14:paraId="5F6ED2F1" w14:textId="77777777" w:rsidR="007832C8" w:rsidRPr="00226892" w:rsidRDefault="007832C8" w:rsidP="007832C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EUR</w:t>
            </w:r>
          </w:p>
        </w:tc>
        <w:tc>
          <w:tcPr>
            <w:tcW w:w="101" w:type="pct"/>
            <w:tcBorders>
              <w:top w:val="nil"/>
              <w:left w:val="nil"/>
              <w:bottom w:val="nil"/>
              <w:right w:val="nil"/>
            </w:tcBorders>
            <w:shd w:val="clear" w:color="auto" w:fill="auto"/>
            <w:noWrap/>
            <w:vAlign w:val="bottom"/>
            <w:hideMark/>
          </w:tcPr>
          <w:p w14:paraId="399F5C5D" w14:textId="77777777" w:rsidR="007832C8" w:rsidRPr="00226892" w:rsidRDefault="007832C8" w:rsidP="007832C8">
            <w:pPr>
              <w:rPr>
                <w:rFonts w:ascii="Arial" w:eastAsia="Times New Roman" w:hAnsi="Arial" w:cs="Arial"/>
                <w:color w:val="000000"/>
                <w:sz w:val="18"/>
                <w:szCs w:val="18"/>
                <w:lang w:val="sk-SK" w:eastAsia="sk-SK"/>
              </w:rPr>
            </w:pPr>
          </w:p>
        </w:tc>
        <w:tc>
          <w:tcPr>
            <w:tcW w:w="1154" w:type="pct"/>
            <w:tcBorders>
              <w:top w:val="nil"/>
              <w:left w:val="nil"/>
              <w:bottom w:val="nil"/>
              <w:right w:val="nil"/>
            </w:tcBorders>
            <w:shd w:val="clear" w:color="auto" w:fill="auto"/>
            <w:vAlign w:val="bottom"/>
          </w:tcPr>
          <w:p w14:paraId="31A73C72" w14:textId="00DD8D59" w:rsidR="007832C8" w:rsidRPr="00226892" w:rsidRDefault="00C57EDA" w:rsidP="007832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25</w:t>
            </w:r>
            <w:r w:rsidR="007832C8" w:rsidRPr="00226892">
              <w:rPr>
                <w:rFonts w:ascii="Arial" w:eastAsia="Times New Roman" w:hAnsi="Arial" w:cs="Arial"/>
                <w:color w:val="000000"/>
                <w:sz w:val="18"/>
                <w:szCs w:val="18"/>
                <w:lang w:val="sk-SK" w:eastAsia="sk-SK"/>
              </w:rPr>
              <w:t xml:space="preserve"> </w:t>
            </w:r>
            <w:r w:rsidRPr="00226892">
              <w:rPr>
                <w:rFonts w:ascii="Arial" w:eastAsia="Times New Roman" w:hAnsi="Arial" w:cs="Arial"/>
                <w:color w:val="000000"/>
                <w:sz w:val="18"/>
                <w:szCs w:val="18"/>
                <w:lang w:val="sk-SK" w:eastAsia="sk-SK"/>
              </w:rPr>
              <w:t>369</w:t>
            </w:r>
          </w:p>
        </w:tc>
        <w:tc>
          <w:tcPr>
            <w:tcW w:w="87" w:type="pct"/>
            <w:tcBorders>
              <w:top w:val="nil"/>
              <w:left w:val="nil"/>
              <w:bottom w:val="nil"/>
              <w:right w:val="nil"/>
            </w:tcBorders>
          </w:tcPr>
          <w:p w14:paraId="58E717CA" w14:textId="77777777" w:rsidR="007832C8" w:rsidRPr="00226892" w:rsidRDefault="007832C8" w:rsidP="007832C8">
            <w:pPr>
              <w:jc w:val="right"/>
              <w:rPr>
                <w:rFonts w:ascii="Arial" w:eastAsia="Times New Roman" w:hAnsi="Arial" w:cs="Arial"/>
                <w:color w:val="000000"/>
                <w:sz w:val="18"/>
                <w:szCs w:val="18"/>
                <w:lang w:val="sk-SK" w:eastAsia="sk-SK"/>
              </w:rPr>
            </w:pPr>
          </w:p>
        </w:tc>
        <w:tc>
          <w:tcPr>
            <w:tcW w:w="1072" w:type="pct"/>
            <w:tcBorders>
              <w:top w:val="nil"/>
              <w:left w:val="nil"/>
              <w:bottom w:val="nil"/>
              <w:right w:val="nil"/>
            </w:tcBorders>
            <w:shd w:val="clear" w:color="auto" w:fill="auto"/>
            <w:vAlign w:val="bottom"/>
          </w:tcPr>
          <w:p w14:paraId="1A1C6B8D" w14:textId="0314867B" w:rsidR="007832C8" w:rsidRPr="00226892" w:rsidRDefault="00C57EDA" w:rsidP="007832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20 276</w:t>
            </w:r>
          </w:p>
        </w:tc>
      </w:tr>
      <w:tr w:rsidR="007832C8" w:rsidRPr="00226892" w14:paraId="54497B2B" w14:textId="77777777" w:rsidTr="004E0EBA">
        <w:trPr>
          <w:trHeight w:val="227"/>
        </w:trPr>
        <w:tc>
          <w:tcPr>
            <w:tcW w:w="2585" w:type="pct"/>
            <w:tcBorders>
              <w:top w:val="nil"/>
              <w:left w:val="nil"/>
              <w:bottom w:val="nil"/>
              <w:right w:val="nil"/>
            </w:tcBorders>
            <w:shd w:val="clear" w:color="auto" w:fill="auto"/>
            <w:noWrap/>
            <w:vAlign w:val="bottom"/>
            <w:hideMark/>
          </w:tcPr>
          <w:p w14:paraId="714AE472" w14:textId="452430F5" w:rsidR="007832C8" w:rsidRPr="00226892" w:rsidRDefault="007832C8" w:rsidP="007832C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CZK</w:t>
            </w:r>
          </w:p>
        </w:tc>
        <w:tc>
          <w:tcPr>
            <w:tcW w:w="101" w:type="pct"/>
            <w:tcBorders>
              <w:top w:val="nil"/>
              <w:left w:val="nil"/>
              <w:bottom w:val="nil"/>
              <w:right w:val="nil"/>
            </w:tcBorders>
            <w:shd w:val="clear" w:color="auto" w:fill="auto"/>
            <w:noWrap/>
            <w:vAlign w:val="bottom"/>
            <w:hideMark/>
          </w:tcPr>
          <w:p w14:paraId="612AD78F" w14:textId="77777777" w:rsidR="007832C8" w:rsidRPr="00226892" w:rsidRDefault="007832C8" w:rsidP="007832C8">
            <w:pPr>
              <w:rPr>
                <w:rFonts w:ascii="Arial" w:eastAsia="Times New Roman" w:hAnsi="Arial" w:cs="Arial"/>
                <w:color w:val="000000"/>
                <w:sz w:val="18"/>
                <w:szCs w:val="18"/>
                <w:lang w:val="sk-SK" w:eastAsia="sk-SK"/>
              </w:rPr>
            </w:pPr>
          </w:p>
        </w:tc>
        <w:tc>
          <w:tcPr>
            <w:tcW w:w="1154" w:type="pct"/>
            <w:tcBorders>
              <w:top w:val="nil"/>
              <w:left w:val="nil"/>
              <w:bottom w:val="nil"/>
              <w:right w:val="nil"/>
            </w:tcBorders>
            <w:shd w:val="clear" w:color="auto" w:fill="auto"/>
            <w:vAlign w:val="bottom"/>
          </w:tcPr>
          <w:p w14:paraId="439C6363" w14:textId="11F9202E" w:rsidR="007832C8" w:rsidRPr="00226892" w:rsidRDefault="007832C8" w:rsidP="007832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6</w:t>
            </w:r>
          </w:p>
        </w:tc>
        <w:tc>
          <w:tcPr>
            <w:tcW w:w="87" w:type="pct"/>
            <w:tcBorders>
              <w:top w:val="nil"/>
              <w:left w:val="nil"/>
              <w:bottom w:val="nil"/>
              <w:right w:val="nil"/>
            </w:tcBorders>
          </w:tcPr>
          <w:p w14:paraId="2491ACE3" w14:textId="77777777" w:rsidR="007832C8" w:rsidRPr="00226892" w:rsidRDefault="007832C8" w:rsidP="007832C8">
            <w:pPr>
              <w:jc w:val="right"/>
              <w:rPr>
                <w:rFonts w:ascii="Arial" w:eastAsia="Times New Roman" w:hAnsi="Arial" w:cs="Arial"/>
                <w:color w:val="000000"/>
                <w:sz w:val="18"/>
                <w:szCs w:val="18"/>
                <w:lang w:val="sk-SK" w:eastAsia="sk-SK"/>
              </w:rPr>
            </w:pPr>
          </w:p>
        </w:tc>
        <w:tc>
          <w:tcPr>
            <w:tcW w:w="1072" w:type="pct"/>
            <w:tcBorders>
              <w:top w:val="nil"/>
              <w:left w:val="nil"/>
              <w:bottom w:val="nil"/>
              <w:right w:val="nil"/>
            </w:tcBorders>
            <w:shd w:val="clear" w:color="auto" w:fill="auto"/>
            <w:vAlign w:val="bottom"/>
          </w:tcPr>
          <w:p w14:paraId="79768E99" w14:textId="1D544A66" w:rsidR="007832C8" w:rsidRPr="00226892" w:rsidRDefault="007832C8" w:rsidP="007832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w:t>
            </w:r>
          </w:p>
        </w:tc>
      </w:tr>
      <w:tr w:rsidR="007832C8" w:rsidRPr="00226892" w14:paraId="054DE512" w14:textId="77777777" w:rsidTr="004E0EBA">
        <w:trPr>
          <w:trHeight w:val="227"/>
        </w:trPr>
        <w:tc>
          <w:tcPr>
            <w:tcW w:w="2585" w:type="pct"/>
            <w:tcBorders>
              <w:top w:val="nil"/>
              <w:left w:val="nil"/>
              <w:bottom w:val="nil"/>
              <w:right w:val="nil"/>
            </w:tcBorders>
            <w:shd w:val="clear" w:color="auto" w:fill="auto"/>
            <w:vAlign w:val="bottom"/>
            <w:hideMark/>
          </w:tcPr>
          <w:p w14:paraId="30EE62F8" w14:textId="77777777" w:rsidR="007832C8" w:rsidRPr="00226892" w:rsidRDefault="007832C8" w:rsidP="004E0EBA">
            <w:pPr>
              <w:ind w:right="-57"/>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Pohľadávky z obchodného styku a iné pohľadávky spolu</w:t>
            </w:r>
          </w:p>
        </w:tc>
        <w:tc>
          <w:tcPr>
            <w:tcW w:w="101" w:type="pct"/>
            <w:tcBorders>
              <w:top w:val="nil"/>
              <w:left w:val="nil"/>
              <w:bottom w:val="nil"/>
              <w:right w:val="nil"/>
            </w:tcBorders>
            <w:shd w:val="clear" w:color="auto" w:fill="auto"/>
            <w:noWrap/>
            <w:vAlign w:val="bottom"/>
            <w:hideMark/>
          </w:tcPr>
          <w:p w14:paraId="44578774" w14:textId="77777777" w:rsidR="007832C8" w:rsidRPr="00226892" w:rsidRDefault="007832C8" w:rsidP="007832C8">
            <w:pPr>
              <w:rPr>
                <w:rFonts w:ascii="Arial" w:eastAsia="Times New Roman" w:hAnsi="Arial" w:cs="Arial"/>
                <w:b/>
                <w:bCs/>
                <w:color w:val="000000"/>
                <w:sz w:val="18"/>
                <w:szCs w:val="18"/>
                <w:lang w:val="sk-SK" w:eastAsia="sk-SK"/>
              </w:rPr>
            </w:pPr>
          </w:p>
        </w:tc>
        <w:tc>
          <w:tcPr>
            <w:tcW w:w="1154" w:type="pct"/>
            <w:tcBorders>
              <w:top w:val="single" w:sz="4" w:space="0" w:color="auto"/>
              <w:left w:val="nil"/>
              <w:bottom w:val="double" w:sz="6" w:space="0" w:color="auto"/>
              <w:right w:val="nil"/>
            </w:tcBorders>
            <w:shd w:val="clear" w:color="auto" w:fill="auto"/>
            <w:vAlign w:val="bottom"/>
          </w:tcPr>
          <w:p w14:paraId="6CF4524B" w14:textId="57C7C9BA" w:rsidR="007832C8" w:rsidRPr="00226892" w:rsidRDefault="007832C8" w:rsidP="007832C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w:t>
            </w:r>
            <w:r w:rsidR="00C57EDA" w:rsidRPr="00226892">
              <w:rPr>
                <w:rFonts w:ascii="Arial" w:eastAsia="Times New Roman" w:hAnsi="Arial" w:cs="Arial"/>
                <w:b/>
                <w:bCs/>
                <w:color w:val="000000"/>
                <w:sz w:val="18"/>
                <w:szCs w:val="18"/>
                <w:lang w:val="sk-SK" w:eastAsia="sk-SK"/>
              </w:rPr>
              <w:t>5 375</w:t>
            </w:r>
          </w:p>
        </w:tc>
        <w:tc>
          <w:tcPr>
            <w:tcW w:w="87" w:type="pct"/>
            <w:tcBorders>
              <w:left w:val="nil"/>
              <w:right w:val="nil"/>
            </w:tcBorders>
          </w:tcPr>
          <w:p w14:paraId="01814CC9" w14:textId="77777777" w:rsidR="007832C8" w:rsidRPr="00226892" w:rsidRDefault="007832C8" w:rsidP="007832C8">
            <w:pPr>
              <w:jc w:val="right"/>
              <w:rPr>
                <w:rFonts w:ascii="Arial" w:eastAsia="Times New Roman" w:hAnsi="Arial" w:cs="Arial"/>
                <w:b/>
                <w:bCs/>
                <w:color w:val="000000"/>
                <w:sz w:val="18"/>
                <w:szCs w:val="18"/>
                <w:lang w:val="sk-SK" w:eastAsia="sk-SK"/>
              </w:rPr>
            </w:pPr>
          </w:p>
        </w:tc>
        <w:tc>
          <w:tcPr>
            <w:tcW w:w="1072" w:type="pct"/>
            <w:tcBorders>
              <w:top w:val="single" w:sz="4" w:space="0" w:color="auto"/>
              <w:left w:val="nil"/>
              <w:bottom w:val="double" w:sz="6" w:space="0" w:color="auto"/>
              <w:right w:val="nil"/>
            </w:tcBorders>
            <w:shd w:val="clear" w:color="auto" w:fill="auto"/>
            <w:vAlign w:val="bottom"/>
          </w:tcPr>
          <w:p w14:paraId="21D50C84" w14:textId="2AFA2A06" w:rsidR="007832C8" w:rsidRPr="00226892" w:rsidRDefault="00C57EDA" w:rsidP="007832C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20 279</w:t>
            </w:r>
          </w:p>
        </w:tc>
      </w:tr>
    </w:tbl>
    <w:p w14:paraId="5BBFC61A" w14:textId="2912CF71" w:rsidR="00C930C9" w:rsidRPr="00226892" w:rsidRDefault="004C37E7" w:rsidP="004C37E7">
      <w:pPr>
        <w:suppressAutoHyphens/>
        <w:jc w:val="both"/>
        <w:rPr>
          <w:rFonts w:ascii="Arial" w:hAnsi="Arial" w:cs="Arial"/>
          <w:szCs w:val="18"/>
        </w:rPr>
      </w:pPr>
      <w:r w:rsidRPr="00226892">
        <w:rPr>
          <w:rFonts w:ascii="Arial" w:hAnsi="Arial" w:cs="Arial"/>
          <w:sz w:val="18"/>
          <w:szCs w:val="18"/>
        </w:rPr>
        <w:t xml:space="preserve"> </w:t>
      </w:r>
      <w:bookmarkEnd w:id="427"/>
      <w:r w:rsidRPr="00226892">
        <w:rPr>
          <w:rFonts w:ascii="Arial" w:hAnsi="Arial" w:cs="Arial"/>
          <w:sz w:val="18"/>
          <w:szCs w:val="18"/>
        </w:rPr>
        <w:t xml:space="preserve"> </w:t>
      </w:r>
    </w:p>
    <w:p w14:paraId="0F291696" w14:textId="2F293CFE" w:rsidR="005C43BA" w:rsidRPr="00226892" w:rsidRDefault="005C43BA" w:rsidP="000405EF">
      <w:pPr>
        <w:suppressAutoHyphens/>
        <w:jc w:val="both"/>
        <w:rPr>
          <w:rFonts w:ascii="Arial" w:hAnsi="Arial" w:cs="Arial"/>
          <w:lang w:val="sk-SK"/>
        </w:rPr>
      </w:pPr>
      <w:r w:rsidRPr="00226892">
        <w:rPr>
          <w:rFonts w:ascii="Arial" w:hAnsi="Arial" w:cs="Arial"/>
          <w:lang w:val="sk-SK"/>
        </w:rPr>
        <w:t xml:space="preserve">Informácie o záložnom práve prípadne </w:t>
      </w:r>
      <w:proofErr w:type="spellStart"/>
      <w:r w:rsidRPr="00226892">
        <w:rPr>
          <w:rFonts w:ascii="Arial" w:hAnsi="Arial" w:cs="Arial"/>
          <w:lang w:val="sk-SK"/>
        </w:rPr>
        <w:t>omedzenom</w:t>
      </w:r>
      <w:proofErr w:type="spellEnd"/>
      <w:r w:rsidRPr="00226892">
        <w:rPr>
          <w:rFonts w:ascii="Arial" w:hAnsi="Arial" w:cs="Arial"/>
          <w:lang w:val="sk-SK"/>
        </w:rPr>
        <w:t xml:space="preserve"> práve disponovať s pohľadávkami a informácie o pohľadávkach krytých záložným právom sú uvedené v nasledujúcej tabuľke:</w:t>
      </w:r>
    </w:p>
    <w:p w14:paraId="5E9C52F4" w14:textId="77777777" w:rsidR="005C43BA" w:rsidRPr="00226892" w:rsidRDefault="005C43BA" w:rsidP="005C43BA">
      <w:pPr>
        <w:suppressAutoHyphens/>
        <w:jc w:val="both"/>
        <w:rPr>
          <w:rFonts w:ascii="Arial" w:hAnsi="Arial" w:cs="Arial"/>
          <w:szCs w:val="18"/>
          <w:lang w:val="sk-SK"/>
        </w:rPr>
      </w:pPr>
      <w:r w:rsidRPr="00226892">
        <w:rPr>
          <w:rFonts w:ascii="Arial" w:hAnsi="Arial" w:cs="Arial"/>
          <w:lang w:val="sk-SK"/>
        </w:rPr>
        <w:t xml:space="preserve"> </w:t>
      </w:r>
    </w:p>
    <w:tbl>
      <w:tblPr>
        <w:tblW w:w="5000" w:type="pct"/>
        <w:tblCellMar>
          <w:left w:w="70" w:type="dxa"/>
          <w:right w:w="70" w:type="dxa"/>
        </w:tblCellMar>
        <w:tblLook w:val="04A0" w:firstRow="1" w:lastRow="0" w:firstColumn="1" w:lastColumn="0" w:noHBand="0" w:noVBand="1"/>
      </w:tblPr>
      <w:tblGrid>
        <w:gridCol w:w="4971"/>
        <w:gridCol w:w="208"/>
        <w:gridCol w:w="2225"/>
        <w:gridCol w:w="168"/>
        <w:gridCol w:w="2067"/>
      </w:tblGrid>
      <w:tr w:rsidR="005C43BA" w:rsidRPr="00226892" w14:paraId="7A492FC9" w14:textId="77777777" w:rsidTr="00332902">
        <w:trPr>
          <w:trHeight w:val="170"/>
        </w:trPr>
        <w:tc>
          <w:tcPr>
            <w:tcW w:w="2578" w:type="pct"/>
            <w:tcBorders>
              <w:top w:val="nil"/>
              <w:left w:val="nil"/>
              <w:bottom w:val="single" w:sz="4" w:space="0" w:color="auto"/>
              <w:right w:val="nil"/>
            </w:tcBorders>
            <w:shd w:val="clear" w:color="auto" w:fill="auto"/>
            <w:noWrap/>
            <w:vAlign w:val="bottom"/>
            <w:hideMark/>
          </w:tcPr>
          <w:p w14:paraId="2E2743C4" w14:textId="77777777" w:rsidR="005C43BA" w:rsidRPr="00226892" w:rsidRDefault="005C43BA" w:rsidP="00734402">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08" w:type="pct"/>
            <w:tcBorders>
              <w:top w:val="nil"/>
              <w:left w:val="nil"/>
              <w:bottom w:val="single" w:sz="4" w:space="0" w:color="auto"/>
              <w:right w:val="nil"/>
            </w:tcBorders>
            <w:shd w:val="clear" w:color="auto" w:fill="auto"/>
            <w:noWrap/>
            <w:vAlign w:val="bottom"/>
            <w:hideMark/>
          </w:tcPr>
          <w:p w14:paraId="335F89F9" w14:textId="77777777" w:rsidR="005C43BA" w:rsidRPr="00226892" w:rsidRDefault="005C43BA" w:rsidP="00734402">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154" w:type="pct"/>
            <w:tcBorders>
              <w:top w:val="nil"/>
              <w:left w:val="nil"/>
              <w:bottom w:val="single" w:sz="4" w:space="0" w:color="auto"/>
              <w:right w:val="nil"/>
            </w:tcBorders>
            <w:shd w:val="clear" w:color="auto" w:fill="auto"/>
            <w:vAlign w:val="bottom"/>
            <w:hideMark/>
          </w:tcPr>
          <w:p w14:paraId="733CF224" w14:textId="5D5DEC8D" w:rsidR="005C43BA" w:rsidRPr="00226892" w:rsidRDefault="005C43BA" w:rsidP="00470283">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D3AC5" w:rsidRPr="00226892">
              <w:rPr>
                <w:rFonts w:ascii="Arial" w:eastAsia="Times New Roman" w:hAnsi="Arial" w:cs="Arial"/>
                <w:b/>
                <w:bCs/>
                <w:color w:val="000000"/>
                <w:sz w:val="18"/>
                <w:szCs w:val="18"/>
                <w:lang w:val="sk-SK" w:eastAsia="sk-SK"/>
              </w:rPr>
              <w:t>2018</w:t>
            </w:r>
          </w:p>
        </w:tc>
        <w:tc>
          <w:tcPr>
            <w:tcW w:w="87" w:type="pct"/>
            <w:tcBorders>
              <w:top w:val="nil"/>
              <w:left w:val="nil"/>
              <w:bottom w:val="single" w:sz="4" w:space="0" w:color="auto"/>
              <w:right w:val="nil"/>
            </w:tcBorders>
            <w:vAlign w:val="bottom"/>
          </w:tcPr>
          <w:p w14:paraId="0422435F" w14:textId="77777777" w:rsidR="005C43BA" w:rsidRPr="00226892" w:rsidRDefault="005C43BA" w:rsidP="00470283">
            <w:pPr>
              <w:jc w:val="center"/>
              <w:rPr>
                <w:rFonts w:ascii="Arial" w:eastAsia="Times New Roman" w:hAnsi="Arial" w:cs="Arial"/>
                <w:b/>
                <w:bCs/>
                <w:color w:val="000000"/>
                <w:sz w:val="18"/>
                <w:szCs w:val="18"/>
                <w:lang w:val="sk-SK" w:eastAsia="sk-SK"/>
              </w:rPr>
            </w:pPr>
          </w:p>
        </w:tc>
        <w:tc>
          <w:tcPr>
            <w:tcW w:w="1072" w:type="pct"/>
            <w:tcBorders>
              <w:top w:val="nil"/>
              <w:left w:val="nil"/>
              <w:bottom w:val="single" w:sz="4" w:space="0" w:color="auto"/>
              <w:right w:val="nil"/>
            </w:tcBorders>
            <w:shd w:val="clear" w:color="auto" w:fill="auto"/>
            <w:vAlign w:val="bottom"/>
            <w:hideMark/>
          </w:tcPr>
          <w:p w14:paraId="317F4364" w14:textId="3C55EA77" w:rsidR="005C43BA" w:rsidRPr="00226892" w:rsidRDefault="005C43BA" w:rsidP="00470283">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63A77" w:rsidRPr="00226892">
              <w:rPr>
                <w:rFonts w:ascii="Arial" w:eastAsia="Times New Roman" w:hAnsi="Arial" w:cs="Arial"/>
                <w:b/>
                <w:bCs/>
                <w:color w:val="000000"/>
                <w:sz w:val="18"/>
                <w:szCs w:val="18"/>
                <w:lang w:val="sk-SK" w:eastAsia="sk-SK"/>
              </w:rPr>
              <w:t>2017</w:t>
            </w:r>
          </w:p>
        </w:tc>
      </w:tr>
      <w:tr w:rsidR="007832C8" w:rsidRPr="00226892" w14:paraId="27797E39" w14:textId="77777777" w:rsidTr="00332902">
        <w:trPr>
          <w:trHeight w:val="170"/>
        </w:trPr>
        <w:tc>
          <w:tcPr>
            <w:tcW w:w="2578" w:type="pct"/>
            <w:tcBorders>
              <w:top w:val="nil"/>
              <w:left w:val="nil"/>
              <w:bottom w:val="nil"/>
              <w:right w:val="nil"/>
            </w:tcBorders>
            <w:shd w:val="clear" w:color="auto" w:fill="auto"/>
            <w:noWrap/>
            <w:vAlign w:val="bottom"/>
            <w:hideMark/>
          </w:tcPr>
          <w:p w14:paraId="64BB37C4" w14:textId="4710BDA8" w:rsidR="007832C8" w:rsidRPr="00226892" w:rsidRDefault="007832C8" w:rsidP="007832C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Hodnota pohľadávok, na ktoré sa zriadilo záložné právo</w:t>
            </w:r>
          </w:p>
        </w:tc>
        <w:tc>
          <w:tcPr>
            <w:tcW w:w="108" w:type="pct"/>
            <w:tcBorders>
              <w:top w:val="nil"/>
              <w:left w:val="nil"/>
              <w:bottom w:val="nil"/>
              <w:right w:val="nil"/>
            </w:tcBorders>
            <w:shd w:val="clear" w:color="auto" w:fill="auto"/>
            <w:noWrap/>
            <w:vAlign w:val="bottom"/>
            <w:hideMark/>
          </w:tcPr>
          <w:p w14:paraId="7D573CE1" w14:textId="77777777" w:rsidR="007832C8" w:rsidRPr="00226892" w:rsidRDefault="007832C8" w:rsidP="007832C8">
            <w:pPr>
              <w:rPr>
                <w:rFonts w:ascii="Arial" w:eastAsia="Times New Roman" w:hAnsi="Arial" w:cs="Arial"/>
                <w:color w:val="000000"/>
                <w:sz w:val="18"/>
                <w:szCs w:val="18"/>
                <w:lang w:val="sk-SK" w:eastAsia="sk-SK"/>
              </w:rPr>
            </w:pPr>
          </w:p>
        </w:tc>
        <w:tc>
          <w:tcPr>
            <w:tcW w:w="1154" w:type="pct"/>
            <w:tcBorders>
              <w:top w:val="nil"/>
              <w:left w:val="nil"/>
              <w:bottom w:val="nil"/>
              <w:right w:val="nil"/>
            </w:tcBorders>
            <w:shd w:val="clear" w:color="auto" w:fill="auto"/>
            <w:vAlign w:val="bottom"/>
          </w:tcPr>
          <w:p w14:paraId="16C78C69" w14:textId="3CD6DE95" w:rsidR="007832C8" w:rsidRPr="00226892" w:rsidRDefault="00B90584" w:rsidP="007832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w:t>
            </w:r>
            <w:r w:rsidR="006923E7" w:rsidRPr="00226892">
              <w:rPr>
                <w:rFonts w:ascii="Arial" w:eastAsia="Times New Roman" w:hAnsi="Arial" w:cs="Arial"/>
                <w:color w:val="000000"/>
                <w:sz w:val="18"/>
                <w:szCs w:val="18"/>
                <w:lang w:val="sk-SK" w:eastAsia="sk-SK"/>
              </w:rPr>
              <w:t>5</w:t>
            </w:r>
            <w:r w:rsidRPr="00226892">
              <w:rPr>
                <w:rFonts w:ascii="Arial" w:eastAsia="Times New Roman" w:hAnsi="Arial" w:cs="Arial"/>
                <w:color w:val="000000"/>
                <w:sz w:val="18"/>
                <w:szCs w:val="18"/>
                <w:lang w:val="sk-SK" w:eastAsia="sk-SK"/>
              </w:rPr>
              <w:t xml:space="preserve"> </w:t>
            </w:r>
            <w:r w:rsidR="006923E7" w:rsidRPr="00226892">
              <w:rPr>
                <w:rFonts w:ascii="Arial" w:eastAsia="Times New Roman" w:hAnsi="Arial" w:cs="Arial"/>
                <w:color w:val="000000"/>
                <w:sz w:val="18"/>
                <w:szCs w:val="18"/>
                <w:lang w:val="sk-SK" w:eastAsia="sk-SK"/>
              </w:rPr>
              <w:t>375</w:t>
            </w:r>
          </w:p>
        </w:tc>
        <w:tc>
          <w:tcPr>
            <w:tcW w:w="87" w:type="pct"/>
            <w:tcBorders>
              <w:top w:val="nil"/>
              <w:left w:val="nil"/>
              <w:bottom w:val="nil"/>
              <w:right w:val="nil"/>
            </w:tcBorders>
          </w:tcPr>
          <w:p w14:paraId="0062579D" w14:textId="77777777" w:rsidR="007832C8" w:rsidRPr="00226892" w:rsidRDefault="007832C8" w:rsidP="007832C8">
            <w:pPr>
              <w:jc w:val="right"/>
              <w:rPr>
                <w:rFonts w:ascii="Arial" w:eastAsia="Times New Roman" w:hAnsi="Arial" w:cs="Arial"/>
                <w:color w:val="000000"/>
                <w:sz w:val="18"/>
                <w:szCs w:val="18"/>
                <w:lang w:val="sk-SK" w:eastAsia="sk-SK"/>
              </w:rPr>
            </w:pPr>
          </w:p>
        </w:tc>
        <w:tc>
          <w:tcPr>
            <w:tcW w:w="1072" w:type="pct"/>
            <w:tcBorders>
              <w:top w:val="nil"/>
              <w:left w:val="nil"/>
              <w:bottom w:val="nil"/>
              <w:right w:val="nil"/>
            </w:tcBorders>
            <w:shd w:val="clear" w:color="auto" w:fill="auto"/>
            <w:vAlign w:val="bottom"/>
          </w:tcPr>
          <w:p w14:paraId="57C7CFBE" w14:textId="0DDCD9C6" w:rsidR="007832C8" w:rsidRPr="00226892" w:rsidRDefault="006923E7" w:rsidP="007832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20 279</w:t>
            </w:r>
          </w:p>
        </w:tc>
      </w:tr>
      <w:tr w:rsidR="007832C8" w:rsidRPr="00226892" w14:paraId="30FF9963" w14:textId="77777777" w:rsidTr="00332902">
        <w:trPr>
          <w:trHeight w:val="170"/>
        </w:trPr>
        <w:tc>
          <w:tcPr>
            <w:tcW w:w="2578" w:type="pct"/>
            <w:tcBorders>
              <w:top w:val="nil"/>
              <w:left w:val="nil"/>
              <w:bottom w:val="nil"/>
              <w:right w:val="nil"/>
            </w:tcBorders>
            <w:shd w:val="clear" w:color="auto" w:fill="auto"/>
            <w:noWrap/>
            <w:vAlign w:val="bottom"/>
            <w:hideMark/>
          </w:tcPr>
          <w:p w14:paraId="7AEC1C88" w14:textId="34366D44" w:rsidR="007832C8" w:rsidRPr="00226892" w:rsidRDefault="007832C8" w:rsidP="007832C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Hodnota pohľadávok krytých záložným právom</w:t>
            </w:r>
          </w:p>
        </w:tc>
        <w:tc>
          <w:tcPr>
            <w:tcW w:w="108" w:type="pct"/>
            <w:tcBorders>
              <w:top w:val="nil"/>
              <w:left w:val="nil"/>
              <w:bottom w:val="nil"/>
              <w:right w:val="nil"/>
            </w:tcBorders>
            <w:shd w:val="clear" w:color="auto" w:fill="auto"/>
            <w:noWrap/>
            <w:vAlign w:val="bottom"/>
            <w:hideMark/>
          </w:tcPr>
          <w:p w14:paraId="4F0F86B7" w14:textId="77777777" w:rsidR="007832C8" w:rsidRPr="00226892" w:rsidRDefault="007832C8" w:rsidP="007832C8">
            <w:pPr>
              <w:rPr>
                <w:rFonts w:ascii="Arial" w:eastAsia="Times New Roman" w:hAnsi="Arial" w:cs="Arial"/>
                <w:color w:val="000000"/>
                <w:sz w:val="18"/>
                <w:szCs w:val="18"/>
                <w:lang w:val="sk-SK" w:eastAsia="sk-SK"/>
              </w:rPr>
            </w:pPr>
          </w:p>
        </w:tc>
        <w:tc>
          <w:tcPr>
            <w:tcW w:w="1154" w:type="pct"/>
            <w:tcBorders>
              <w:top w:val="nil"/>
              <w:left w:val="nil"/>
              <w:bottom w:val="nil"/>
              <w:right w:val="nil"/>
            </w:tcBorders>
            <w:shd w:val="clear" w:color="auto" w:fill="auto"/>
            <w:vAlign w:val="bottom"/>
          </w:tcPr>
          <w:p w14:paraId="21AFF752" w14:textId="3AD4B07E" w:rsidR="007832C8" w:rsidRPr="00226892" w:rsidRDefault="00B90584" w:rsidP="007832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2 414</w:t>
            </w:r>
          </w:p>
        </w:tc>
        <w:tc>
          <w:tcPr>
            <w:tcW w:w="87" w:type="pct"/>
            <w:tcBorders>
              <w:top w:val="nil"/>
              <w:left w:val="nil"/>
              <w:bottom w:val="nil"/>
              <w:right w:val="nil"/>
            </w:tcBorders>
          </w:tcPr>
          <w:p w14:paraId="76AFBA49" w14:textId="77777777" w:rsidR="007832C8" w:rsidRPr="00226892" w:rsidRDefault="007832C8" w:rsidP="007832C8">
            <w:pPr>
              <w:jc w:val="right"/>
              <w:rPr>
                <w:rFonts w:ascii="Arial" w:eastAsia="Times New Roman" w:hAnsi="Arial" w:cs="Arial"/>
                <w:color w:val="000000"/>
                <w:sz w:val="18"/>
                <w:szCs w:val="18"/>
                <w:lang w:val="sk-SK" w:eastAsia="sk-SK"/>
              </w:rPr>
            </w:pPr>
          </w:p>
        </w:tc>
        <w:tc>
          <w:tcPr>
            <w:tcW w:w="1072" w:type="pct"/>
            <w:tcBorders>
              <w:top w:val="nil"/>
              <w:left w:val="nil"/>
              <w:bottom w:val="nil"/>
              <w:right w:val="nil"/>
            </w:tcBorders>
            <w:shd w:val="clear" w:color="auto" w:fill="auto"/>
            <w:vAlign w:val="bottom"/>
          </w:tcPr>
          <w:p w14:paraId="4E8A76E2" w14:textId="7092729A" w:rsidR="007832C8" w:rsidRPr="00226892" w:rsidRDefault="00D5562C" w:rsidP="007832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2 310</w:t>
            </w:r>
          </w:p>
        </w:tc>
      </w:tr>
    </w:tbl>
    <w:p w14:paraId="525961C4" w14:textId="0A3C2DDE" w:rsidR="005C43BA" w:rsidRPr="00226892" w:rsidRDefault="005C43BA" w:rsidP="005C43BA">
      <w:pPr>
        <w:suppressAutoHyphens/>
        <w:ind w:left="426"/>
        <w:jc w:val="both"/>
        <w:rPr>
          <w:rFonts w:ascii="Arial" w:hAnsi="Arial" w:cs="Arial"/>
          <w:lang w:val="sk-SK"/>
        </w:rPr>
      </w:pPr>
    </w:p>
    <w:p w14:paraId="41B85C5D" w14:textId="66F5FE4F" w:rsidR="00B12289" w:rsidRPr="00226892" w:rsidRDefault="00B12289" w:rsidP="000405EF">
      <w:pPr>
        <w:suppressAutoHyphens/>
        <w:jc w:val="both"/>
        <w:rPr>
          <w:rFonts w:ascii="Arial" w:hAnsi="Arial" w:cs="Arial"/>
          <w:lang w:val="sk-SK"/>
        </w:rPr>
      </w:pPr>
      <w:r w:rsidRPr="00226892">
        <w:rPr>
          <w:rFonts w:ascii="Arial" w:hAnsi="Arial" w:cs="Arial"/>
          <w:lang w:val="sk-SK"/>
        </w:rPr>
        <w:t>Prehľad maximálnej výšky záložných práv podľa jednotlivých úverov je uvedený nižšie:</w:t>
      </w:r>
    </w:p>
    <w:p w14:paraId="062A1A6F" w14:textId="1844BFDC" w:rsidR="00B12289" w:rsidRPr="00226892" w:rsidRDefault="00B12289" w:rsidP="000405EF">
      <w:pPr>
        <w:suppressAutoHyphens/>
        <w:jc w:val="both"/>
        <w:rPr>
          <w:rFonts w:ascii="Arial" w:hAnsi="Arial" w:cs="Arial"/>
          <w:lang w:val="sk-SK"/>
        </w:rPr>
      </w:pPr>
    </w:p>
    <w:p w14:paraId="208122DB" w14:textId="0868A209" w:rsidR="00B12289" w:rsidRPr="00226892" w:rsidRDefault="00B12289" w:rsidP="000405EF">
      <w:pPr>
        <w:suppressAutoHyphens/>
        <w:jc w:val="both"/>
        <w:rPr>
          <w:rFonts w:ascii="Arial" w:hAnsi="Arial" w:cs="Arial"/>
          <w:lang w:val="sk-SK"/>
        </w:rPr>
      </w:pPr>
      <w:r w:rsidRPr="00226892">
        <w:rPr>
          <w:rFonts w:ascii="Arial" w:hAnsi="Arial" w:cs="Arial"/>
          <w:lang w:val="sk-SK"/>
        </w:rPr>
        <w:t xml:space="preserve">Na pohľadávky do maximálnej výšky </w:t>
      </w:r>
      <w:r w:rsidR="00551537" w:rsidRPr="00226892">
        <w:rPr>
          <w:rFonts w:ascii="Arial" w:hAnsi="Arial" w:cs="Arial"/>
          <w:lang w:val="sk-SK"/>
        </w:rPr>
        <w:t>23 800</w:t>
      </w:r>
      <w:r w:rsidR="00111AFB" w:rsidRPr="00226892">
        <w:rPr>
          <w:rFonts w:ascii="Arial" w:hAnsi="Arial" w:cs="Arial"/>
          <w:lang w:val="sk-SK"/>
        </w:rPr>
        <w:t xml:space="preserve"> tis. EUR </w:t>
      </w:r>
      <w:r w:rsidRPr="00226892">
        <w:rPr>
          <w:rFonts w:ascii="Arial" w:hAnsi="Arial" w:cs="Arial"/>
          <w:lang w:val="sk-SK"/>
        </w:rPr>
        <w:t xml:space="preserve">bolo dňa 11. septembra 2013 v prospech Slovenskej sporiteľne, </w:t>
      </w:r>
      <w:proofErr w:type="spellStart"/>
      <w:r w:rsidRPr="00226892">
        <w:rPr>
          <w:rFonts w:ascii="Arial" w:hAnsi="Arial" w:cs="Arial"/>
          <w:lang w:val="sk-SK"/>
        </w:rPr>
        <w:t>a.s</w:t>
      </w:r>
      <w:proofErr w:type="spellEnd"/>
      <w:r w:rsidRPr="00226892">
        <w:rPr>
          <w:rFonts w:ascii="Arial" w:hAnsi="Arial" w:cs="Arial"/>
          <w:lang w:val="sk-SK"/>
        </w:rPr>
        <w:t>. zriadené záložné právo na zabezpečenie poskytnutého úverového rámca.</w:t>
      </w:r>
    </w:p>
    <w:p w14:paraId="2BFC6BA0" w14:textId="0DB9B36B" w:rsidR="00B12289" w:rsidRPr="00226892" w:rsidRDefault="00B12289" w:rsidP="000405EF">
      <w:pPr>
        <w:suppressAutoHyphens/>
        <w:jc w:val="both"/>
        <w:rPr>
          <w:rFonts w:ascii="Arial" w:hAnsi="Arial" w:cs="Arial"/>
          <w:lang w:val="sk-SK"/>
        </w:rPr>
      </w:pPr>
    </w:p>
    <w:p w14:paraId="3F0EC510" w14:textId="501B3637" w:rsidR="00551537" w:rsidRPr="00226892" w:rsidRDefault="00551537" w:rsidP="000405EF">
      <w:pPr>
        <w:suppressAutoHyphens/>
        <w:jc w:val="both"/>
        <w:rPr>
          <w:rFonts w:ascii="Arial" w:hAnsi="Arial" w:cs="Arial"/>
          <w:lang w:val="sk-SK"/>
        </w:rPr>
      </w:pPr>
      <w:r w:rsidRPr="00226892">
        <w:rPr>
          <w:rFonts w:ascii="Arial" w:hAnsi="Arial" w:cs="Arial"/>
          <w:lang w:val="sk-SK"/>
        </w:rPr>
        <w:t xml:space="preserve">Na pohľadávky do maximálnej výšky 15 700 tis. EUR bolo dňa 25. apríla 2017 v prospech Komerční banka, </w:t>
      </w:r>
      <w:proofErr w:type="spellStart"/>
      <w:r w:rsidRPr="00226892">
        <w:rPr>
          <w:rFonts w:ascii="Arial" w:hAnsi="Arial" w:cs="Arial"/>
          <w:lang w:val="sk-SK"/>
        </w:rPr>
        <w:t>a.s</w:t>
      </w:r>
      <w:proofErr w:type="spellEnd"/>
      <w:r w:rsidRPr="00226892">
        <w:rPr>
          <w:rFonts w:ascii="Arial" w:hAnsi="Arial" w:cs="Arial"/>
          <w:lang w:val="sk-SK"/>
        </w:rPr>
        <w:t>. zriadené záložné právo na zabezpečenie poskytnutého úverového rámca.</w:t>
      </w:r>
    </w:p>
    <w:p w14:paraId="2BA69FF2" w14:textId="77777777" w:rsidR="00551537" w:rsidRPr="00226892" w:rsidRDefault="00551537" w:rsidP="000405EF">
      <w:pPr>
        <w:suppressAutoHyphens/>
        <w:jc w:val="both"/>
        <w:rPr>
          <w:rFonts w:ascii="Arial" w:hAnsi="Arial" w:cs="Arial"/>
          <w:lang w:val="sk-SK"/>
        </w:rPr>
      </w:pPr>
    </w:p>
    <w:p w14:paraId="2824BEA1" w14:textId="3BAE6006" w:rsidR="00B12289" w:rsidRPr="00226892" w:rsidRDefault="00B12289" w:rsidP="000405EF">
      <w:pPr>
        <w:suppressAutoHyphens/>
        <w:jc w:val="both"/>
        <w:rPr>
          <w:rFonts w:ascii="Arial" w:hAnsi="Arial" w:cs="Arial"/>
          <w:lang w:val="sk-SK"/>
        </w:rPr>
      </w:pPr>
      <w:r w:rsidRPr="00226892">
        <w:rPr>
          <w:rFonts w:ascii="Arial" w:hAnsi="Arial" w:cs="Arial"/>
          <w:lang w:val="sk-SK"/>
        </w:rPr>
        <w:t xml:space="preserve">Na zabezpečenie úverovej linky na nákup technológie k projektu Q7 bolo dňa 11. septembra 2013 v prospech Slovenskej sporiteľne, </w:t>
      </w:r>
      <w:proofErr w:type="spellStart"/>
      <w:r w:rsidRPr="00226892">
        <w:rPr>
          <w:rFonts w:ascii="Arial" w:hAnsi="Arial" w:cs="Arial"/>
          <w:lang w:val="sk-SK"/>
        </w:rPr>
        <w:t>a.s</w:t>
      </w:r>
      <w:proofErr w:type="spellEnd"/>
      <w:r w:rsidRPr="00226892">
        <w:rPr>
          <w:rFonts w:ascii="Arial" w:hAnsi="Arial" w:cs="Arial"/>
          <w:lang w:val="sk-SK"/>
        </w:rPr>
        <w:t>. zriadené záložné právo na pohľadávky do maximálnej výšky 15 500 tis. EUR.</w:t>
      </w:r>
    </w:p>
    <w:p w14:paraId="0CF5E733" w14:textId="50B348B2" w:rsidR="00B12289" w:rsidRPr="00226892" w:rsidRDefault="00B12289" w:rsidP="000405EF">
      <w:pPr>
        <w:suppressAutoHyphens/>
        <w:jc w:val="both"/>
        <w:rPr>
          <w:rFonts w:ascii="Arial" w:hAnsi="Arial" w:cs="Arial"/>
          <w:lang w:val="sk-SK"/>
        </w:rPr>
      </w:pPr>
    </w:p>
    <w:p w14:paraId="08F8C536" w14:textId="3D43651F" w:rsidR="00B12289" w:rsidRPr="00226892" w:rsidRDefault="00B12289" w:rsidP="000405EF">
      <w:pPr>
        <w:suppressAutoHyphens/>
        <w:jc w:val="both"/>
        <w:rPr>
          <w:rFonts w:ascii="Arial" w:hAnsi="Arial" w:cs="Arial"/>
          <w:lang w:val="sk-SK"/>
        </w:rPr>
      </w:pPr>
      <w:r w:rsidRPr="00226892">
        <w:rPr>
          <w:rFonts w:ascii="Arial" w:hAnsi="Arial" w:cs="Arial"/>
          <w:lang w:val="sk-SK"/>
        </w:rPr>
        <w:t xml:space="preserve">Na pohľadávky vo výške 9 940 tis. EUR bolo dňa 21. júna 2010 v prospech VÚB, </w:t>
      </w:r>
      <w:proofErr w:type="spellStart"/>
      <w:r w:rsidRPr="00226892">
        <w:rPr>
          <w:rFonts w:ascii="Arial" w:hAnsi="Arial" w:cs="Arial"/>
          <w:lang w:val="sk-SK"/>
        </w:rPr>
        <w:t>a.s</w:t>
      </w:r>
      <w:proofErr w:type="spellEnd"/>
      <w:r w:rsidRPr="00226892">
        <w:rPr>
          <w:rFonts w:ascii="Arial" w:hAnsi="Arial" w:cs="Arial"/>
          <w:lang w:val="sk-SK"/>
        </w:rPr>
        <w:t>. zriadené záložné právo na zabezpečenie poskytnutého úverového r</w:t>
      </w:r>
      <w:r w:rsidR="00D5562C" w:rsidRPr="00226892">
        <w:rPr>
          <w:rFonts w:ascii="Arial" w:hAnsi="Arial" w:cs="Arial"/>
          <w:lang w:val="sk-SK"/>
        </w:rPr>
        <w:t>á</w:t>
      </w:r>
      <w:r w:rsidRPr="00226892">
        <w:rPr>
          <w:rFonts w:ascii="Arial" w:hAnsi="Arial" w:cs="Arial"/>
          <w:lang w:val="sk-SK"/>
        </w:rPr>
        <w:t>mca do maximálnej výšky 9 940 tis. EUR.</w:t>
      </w:r>
    </w:p>
    <w:p w14:paraId="52457E44" w14:textId="4F09D902" w:rsidR="00B12289" w:rsidRPr="00226892" w:rsidRDefault="00B12289" w:rsidP="000405EF">
      <w:pPr>
        <w:suppressAutoHyphens/>
        <w:jc w:val="both"/>
        <w:rPr>
          <w:rFonts w:ascii="Arial" w:hAnsi="Arial" w:cs="Arial"/>
          <w:lang w:val="sk-SK"/>
        </w:rPr>
      </w:pPr>
    </w:p>
    <w:p w14:paraId="47D7078E" w14:textId="593102F3" w:rsidR="00B12289" w:rsidRPr="00226892" w:rsidRDefault="00B12289" w:rsidP="000405EF">
      <w:pPr>
        <w:suppressAutoHyphens/>
        <w:jc w:val="both"/>
        <w:rPr>
          <w:rFonts w:ascii="Arial" w:hAnsi="Arial" w:cs="Arial"/>
          <w:lang w:val="sk-SK"/>
        </w:rPr>
      </w:pPr>
      <w:r w:rsidRPr="00226892">
        <w:rPr>
          <w:rFonts w:ascii="Arial" w:hAnsi="Arial" w:cs="Arial"/>
          <w:lang w:val="sk-SK"/>
        </w:rPr>
        <w:t xml:space="preserve">Na pohľadávky vo výške 5 000 tis. EUR bolo dňa 26. júna </w:t>
      </w:r>
      <w:r w:rsidR="00FD3AC5" w:rsidRPr="00226892">
        <w:rPr>
          <w:rFonts w:ascii="Arial" w:hAnsi="Arial" w:cs="Arial"/>
          <w:lang w:val="sk-SK"/>
        </w:rPr>
        <w:t>2018</w:t>
      </w:r>
      <w:r w:rsidRPr="00226892">
        <w:rPr>
          <w:rFonts w:ascii="Arial" w:hAnsi="Arial" w:cs="Arial"/>
          <w:lang w:val="sk-SK"/>
        </w:rPr>
        <w:t xml:space="preserve"> v prospech Slovenskej sporiteľne, </w:t>
      </w:r>
      <w:proofErr w:type="spellStart"/>
      <w:r w:rsidRPr="00226892">
        <w:rPr>
          <w:rFonts w:ascii="Arial" w:hAnsi="Arial" w:cs="Arial"/>
          <w:lang w:val="sk-SK"/>
        </w:rPr>
        <w:t>a.s</w:t>
      </w:r>
      <w:proofErr w:type="spellEnd"/>
      <w:r w:rsidRPr="00226892">
        <w:rPr>
          <w:rFonts w:ascii="Arial" w:hAnsi="Arial" w:cs="Arial"/>
          <w:lang w:val="sk-SK"/>
        </w:rPr>
        <w:t>. zriadené záložné právo na zabezpečenie poskytnutého úverového rámca.</w:t>
      </w:r>
    </w:p>
    <w:p w14:paraId="4D2B3877" w14:textId="0E221BD4" w:rsidR="00B12289" w:rsidRPr="00226892" w:rsidRDefault="00B12289" w:rsidP="000405EF">
      <w:pPr>
        <w:suppressAutoHyphens/>
        <w:jc w:val="both"/>
        <w:rPr>
          <w:rFonts w:ascii="Arial" w:hAnsi="Arial" w:cs="Arial"/>
          <w:lang w:val="sk-SK"/>
        </w:rPr>
      </w:pPr>
    </w:p>
    <w:p w14:paraId="4D924B63" w14:textId="484B0CF4" w:rsidR="00B12289" w:rsidRPr="00226892" w:rsidRDefault="00B12289" w:rsidP="000405EF">
      <w:pPr>
        <w:suppressAutoHyphens/>
        <w:jc w:val="both"/>
        <w:rPr>
          <w:rFonts w:ascii="Arial" w:hAnsi="Arial" w:cs="Arial"/>
          <w:lang w:val="sk-SK"/>
        </w:rPr>
      </w:pPr>
      <w:r w:rsidRPr="00226892">
        <w:rPr>
          <w:rFonts w:ascii="Arial" w:hAnsi="Arial" w:cs="Arial"/>
          <w:lang w:val="sk-SK"/>
        </w:rPr>
        <w:t xml:space="preserve">Na pohľadávky vo výške 8 270 tis. EUR bolo dňa 25. septembra </w:t>
      </w:r>
      <w:r w:rsidR="00FD3AC5" w:rsidRPr="00226892">
        <w:rPr>
          <w:rFonts w:ascii="Arial" w:hAnsi="Arial" w:cs="Arial"/>
          <w:lang w:val="sk-SK"/>
        </w:rPr>
        <w:t>2018</w:t>
      </w:r>
      <w:r w:rsidR="00AB40B3" w:rsidRPr="00226892">
        <w:rPr>
          <w:rFonts w:ascii="Arial" w:hAnsi="Arial" w:cs="Arial"/>
          <w:lang w:val="sk-SK"/>
        </w:rPr>
        <w:t xml:space="preserve"> v prospech Československej obchodnej banky, </w:t>
      </w:r>
      <w:proofErr w:type="spellStart"/>
      <w:r w:rsidR="00AB40B3" w:rsidRPr="00226892">
        <w:rPr>
          <w:rFonts w:ascii="Arial" w:hAnsi="Arial" w:cs="Arial"/>
          <w:lang w:val="sk-SK"/>
        </w:rPr>
        <w:t>a.s</w:t>
      </w:r>
      <w:proofErr w:type="spellEnd"/>
      <w:r w:rsidR="00AB40B3" w:rsidRPr="00226892">
        <w:rPr>
          <w:rFonts w:ascii="Arial" w:hAnsi="Arial" w:cs="Arial"/>
          <w:lang w:val="sk-SK"/>
        </w:rPr>
        <w:t>. zriadené záložné právo na zabezpečenie úverového rámca.</w:t>
      </w:r>
    </w:p>
    <w:p w14:paraId="5A254C2B" w14:textId="77777777" w:rsidR="005C43BA" w:rsidRPr="00226892" w:rsidRDefault="005C43BA" w:rsidP="000405EF">
      <w:pPr>
        <w:suppressAutoHyphens/>
        <w:jc w:val="both"/>
        <w:rPr>
          <w:rFonts w:ascii="Arial" w:hAnsi="Arial" w:cs="Arial"/>
          <w:highlight w:val="yellow"/>
          <w:lang w:val="sk-SK"/>
        </w:rPr>
      </w:pPr>
    </w:p>
    <w:p w14:paraId="40735F19" w14:textId="63454578" w:rsidR="00D5562C" w:rsidRPr="00226892" w:rsidRDefault="00D5562C" w:rsidP="000405EF">
      <w:pPr>
        <w:suppressAutoHyphens/>
        <w:jc w:val="both"/>
        <w:rPr>
          <w:rFonts w:ascii="Arial" w:hAnsi="Arial" w:cs="Arial"/>
          <w:lang w:val="sk-SK"/>
        </w:rPr>
      </w:pPr>
      <w:r w:rsidRPr="00226892">
        <w:rPr>
          <w:rFonts w:ascii="Arial" w:hAnsi="Arial" w:cs="Arial"/>
          <w:lang w:val="sk-SK"/>
        </w:rPr>
        <w:t xml:space="preserve">K 31. decembru 2018 Skupina eviduje poskytnuté pôžičky voči spoločnosti MATADOR </w:t>
      </w:r>
      <w:proofErr w:type="spellStart"/>
      <w:r w:rsidRPr="00226892">
        <w:rPr>
          <w:rFonts w:ascii="Arial" w:hAnsi="Arial" w:cs="Arial"/>
          <w:lang w:val="sk-SK"/>
        </w:rPr>
        <w:t>Automotive</w:t>
      </w:r>
      <w:proofErr w:type="spellEnd"/>
      <w:r w:rsidRPr="00226892">
        <w:rPr>
          <w:rFonts w:ascii="Arial" w:hAnsi="Arial" w:cs="Arial"/>
          <w:lang w:val="sk-SK"/>
        </w:rPr>
        <w:t xml:space="preserve"> RUS LLC vo výške 470 tis. EUR (k 31. decembru 2017: 370 tis. EUR).</w:t>
      </w:r>
    </w:p>
    <w:p w14:paraId="08F41B82" w14:textId="17D00A85" w:rsidR="00C951BB" w:rsidRPr="00226892" w:rsidRDefault="00C951BB" w:rsidP="000405EF">
      <w:pPr>
        <w:suppressAutoHyphens/>
        <w:jc w:val="both"/>
        <w:rPr>
          <w:rFonts w:ascii="Arial" w:hAnsi="Arial" w:cs="Arial"/>
          <w:lang w:val="sk-SK"/>
        </w:rPr>
      </w:pPr>
    </w:p>
    <w:p w14:paraId="009D20B7" w14:textId="209C5444" w:rsidR="00824A49" w:rsidRDefault="00824A49">
      <w:pPr>
        <w:rPr>
          <w:rFonts w:ascii="Arial" w:hAnsi="Arial" w:cs="Arial"/>
          <w:lang w:val="sk-SK"/>
        </w:rPr>
      </w:pPr>
      <w:r>
        <w:rPr>
          <w:rFonts w:ascii="Arial" w:hAnsi="Arial" w:cs="Arial"/>
          <w:lang w:val="sk-SK"/>
        </w:rPr>
        <w:br w:type="page"/>
      </w:r>
    </w:p>
    <w:p w14:paraId="666D54E6" w14:textId="77777777" w:rsidR="00D5562C" w:rsidRPr="00226892" w:rsidRDefault="00D5562C" w:rsidP="00D5562C">
      <w:pPr>
        <w:pStyle w:val="Nadpis3"/>
        <w:keepNext w:val="0"/>
        <w:widowControl/>
        <w:numPr>
          <w:ilvl w:val="0"/>
          <w:numId w:val="34"/>
        </w:numPr>
        <w:tabs>
          <w:tab w:val="clear" w:pos="1069"/>
          <w:tab w:val="num" w:pos="392"/>
        </w:tabs>
        <w:suppressAutoHyphens/>
        <w:spacing w:after="120"/>
        <w:ind w:left="1077" w:hanging="1077"/>
        <w:rPr>
          <w:rFonts w:ascii="Arial" w:hAnsi="Arial" w:cs="Arial"/>
          <w:szCs w:val="18"/>
        </w:rPr>
      </w:pPr>
      <w:bookmarkStart w:id="429" w:name="_Toc19722483"/>
      <w:bookmarkStart w:id="430" w:name="_Toc27410001"/>
      <w:proofErr w:type="spellStart"/>
      <w:r w:rsidRPr="00226892">
        <w:rPr>
          <w:rFonts w:ascii="Arial" w:hAnsi="Arial" w:cs="Arial"/>
          <w:sz w:val="20"/>
        </w:rPr>
        <w:lastRenderedPageBreak/>
        <w:t>Ostatný</w:t>
      </w:r>
      <w:proofErr w:type="spellEnd"/>
      <w:r w:rsidRPr="00226892">
        <w:rPr>
          <w:rFonts w:ascii="Arial" w:hAnsi="Arial" w:cs="Arial"/>
          <w:sz w:val="20"/>
        </w:rPr>
        <w:t xml:space="preserve"> </w:t>
      </w:r>
      <w:proofErr w:type="spellStart"/>
      <w:r w:rsidRPr="00226892">
        <w:rPr>
          <w:rFonts w:ascii="Arial" w:hAnsi="Arial" w:cs="Arial"/>
          <w:sz w:val="20"/>
        </w:rPr>
        <w:t>krátkodobý</w:t>
      </w:r>
      <w:proofErr w:type="spellEnd"/>
      <w:r w:rsidRPr="00226892">
        <w:rPr>
          <w:rFonts w:ascii="Arial" w:hAnsi="Arial" w:cs="Arial"/>
          <w:sz w:val="20"/>
        </w:rPr>
        <w:t xml:space="preserve"> a </w:t>
      </w:r>
      <w:proofErr w:type="spellStart"/>
      <w:r w:rsidRPr="00226892">
        <w:rPr>
          <w:rFonts w:ascii="Arial" w:hAnsi="Arial" w:cs="Arial"/>
          <w:sz w:val="20"/>
        </w:rPr>
        <w:t>dlhodobý</w:t>
      </w:r>
      <w:proofErr w:type="spellEnd"/>
      <w:r w:rsidRPr="00226892">
        <w:rPr>
          <w:rFonts w:ascii="Arial" w:hAnsi="Arial" w:cs="Arial"/>
          <w:sz w:val="20"/>
        </w:rPr>
        <w:t xml:space="preserve"> </w:t>
      </w:r>
      <w:proofErr w:type="spellStart"/>
      <w:r w:rsidRPr="00226892">
        <w:rPr>
          <w:rFonts w:ascii="Arial" w:hAnsi="Arial" w:cs="Arial"/>
          <w:sz w:val="20"/>
        </w:rPr>
        <w:t>majetok</w:t>
      </w:r>
      <w:bookmarkEnd w:id="429"/>
      <w:bookmarkEnd w:id="430"/>
      <w:proofErr w:type="spellEnd"/>
    </w:p>
    <w:p w14:paraId="0B5EDBD7" w14:textId="77777777" w:rsidR="00D5562C" w:rsidRPr="00226892" w:rsidRDefault="00D5562C" w:rsidP="000405EF">
      <w:pPr>
        <w:suppressAutoHyphens/>
        <w:jc w:val="both"/>
        <w:rPr>
          <w:rFonts w:ascii="Arial" w:hAnsi="Arial" w:cs="Arial"/>
          <w:sz w:val="10"/>
        </w:rPr>
      </w:pPr>
    </w:p>
    <w:p w14:paraId="5D3C5AFA" w14:textId="202BC3BE" w:rsidR="00907EA7" w:rsidRPr="00226892" w:rsidRDefault="00D5562C" w:rsidP="002F35CB">
      <w:pPr>
        <w:suppressAutoHyphens/>
        <w:jc w:val="both"/>
        <w:rPr>
          <w:rFonts w:ascii="Arial" w:hAnsi="Arial" w:cs="Arial"/>
          <w:lang w:val="sk-SK"/>
        </w:rPr>
      </w:pPr>
      <w:proofErr w:type="spellStart"/>
      <w:r w:rsidRPr="00226892">
        <w:rPr>
          <w:rFonts w:ascii="Arial" w:hAnsi="Arial" w:cs="Arial"/>
        </w:rPr>
        <w:t>Ostatný</w:t>
      </w:r>
      <w:proofErr w:type="spellEnd"/>
      <w:r w:rsidRPr="00226892">
        <w:rPr>
          <w:rFonts w:ascii="Arial" w:hAnsi="Arial" w:cs="Arial"/>
        </w:rPr>
        <w:t xml:space="preserve"> </w:t>
      </w:r>
      <w:proofErr w:type="spellStart"/>
      <w:r w:rsidRPr="00226892">
        <w:rPr>
          <w:rFonts w:ascii="Arial" w:hAnsi="Arial" w:cs="Arial"/>
        </w:rPr>
        <w:t>krátkodobý</w:t>
      </w:r>
      <w:proofErr w:type="spellEnd"/>
      <w:r w:rsidRPr="00226892">
        <w:rPr>
          <w:rFonts w:ascii="Arial" w:hAnsi="Arial" w:cs="Arial"/>
        </w:rPr>
        <w:t xml:space="preserve"> a </w:t>
      </w:r>
      <w:proofErr w:type="spellStart"/>
      <w:r w:rsidRPr="00226892">
        <w:rPr>
          <w:rFonts w:ascii="Arial" w:hAnsi="Arial" w:cs="Arial"/>
        </w:rPr>
        <w:t>dlhodobý</w:t>
      </w:r>
      <w:proofErr w:type="spellEnd"/>
      <w:r w:rsidRPr="00226892">
        <w:rPr>
          <w:rFonts w:ascii="Arial" w:hAnsi="Arial" w:cs="Arial"/>
        </w:rPr>
        <w:t xml:space="preserve"> </w:t>
      </w:r>
      <w:proofErr w:type="spellStart"/>
      <w:r w:rsidRPr="00226892">
        <w:rPr>
          <w:rFonts w:ascii="Arial" w:hAnsi="Arial" w:cs="Arial"/>
        </w:rPr>
        <w:t>majetok</w:t>
      </w:r>
      <w:proofErr w:type="spellEnd"/>
      <w:r w:rsidRPr="00226892">
        <w:rPr>
          <w:rFonts w:ascii="Arial" w:hAnsi="Arial" w:cs="Arial"/>
        </w:rPr>
        <w:t xml:space="preserve"> </w:t>
      </w:r>
      <w:proofErr w:type="spellStart"/>
      <w:r w:rsidRPr="00226892">
        <w:rPr>
          <w:rFonts w:ascii="Arial" w:hAnsi="Arial" w:cs="Arial"/>
        </w:rPr>
        <w:t>vo</w:t>
      </w:r>
      <w:proofErr w:type="spellEnd"/>
      <w:r w:rsidRPr="00226892">
        <w:rPr>
          <w:rFonts w:ascii="Arial" w:hAnsi="Arial" w:cs="Arial"/>
        </w:rPr>
        <w:t xml:space="preserve"> </w:t>
      </w:r>
      <w:proofErr w:type="spellStart"/>
      <w:r w:rsidRPr="00226892">
        <w:rPr>
          <w:rFonts w:ascii="Arial" w:hAnsi="Arial" w:cs="Arial"/>
        </w:rPr>
        <w:t>výške</w:t>
      </w:r>
      <w:proofErr w:type="spellEnd"/>
      <w:r w:rsidRPr="00226892">
        <w:rPr>
          <w:rFonts w:ascii="Arial" w:hAnsi="Arial" w:cs="Arial"/>
        </w:rPr>
        <w:t xml:space="preserve"> 3 249 tis. EUR k 31. </w:t>
      </w:r>
      <w:proofErr w:type="spellStart"/>
      <w:r w:rsidRPr="00226892">
        <w:rPr>
          <w:rFonts w:ascii="Arial" w:hAnsi="Arial" w:cs="Arial"/>
        </w:rPr>
        <w:t>decembru</w:t>
      </w:r>
      <w:proofErr w:type="spellEnd"/>
      <w:r w:rsidRPr="00226892">
        <w:rPr>
          <w:rFonts w:ascii="Arial" w:hAnsi="Arial" w:cs="Arial"/>
        </w:rPr>
        <w:t xml:space="preserve"> 2018 (k 31. </w:t>
      </w:r>
      <w:proofErr w:type="spellStart"/>
      <w:r w:rsidRPr="00226892">
        <w:rPr>
          <w:rFonts w:ascii="Arial" w:hAnsi="Arial" w:cs="Arial"/>
        </w:rPr>
        <w:t>decembru</w:t>
      </w:r>
      <w:proofErr w:type="spellEnd"/>
      <w:r w:rsidRPr="00226892">
        <w:rPr>
          <w:rFonts w:ascii="Arial" w:hAnsi="Arial" w:cs="Arial"/>
        </w:rPr>
        <w:t xml:space="preserve"> 2016: 10 400 tis. EUR) </w:t>
      </w:r>
      <w:proofErr w:type="spellStart"/>
      <w:r w:rsidRPr="00226892">
        <w:rPr>
          <w:rFonts w:ascii="Arial" w:hAnsi="Arial" w:cs="Arial"/>
        </w:rPr>
        <w:t>predstavuje</w:t>
      </w:r>
      <w:proofErr w:type="spellEnd"/>
      <w:r w:rsidRPr="00226892">
        <w:rPr>
          <w:rFonts w:ascii="Arial" w:hAnsi="Arial" w:cs="Arial"/>
        </w:rPr>
        <w:t xml:space="preserve"> </w:t>
      </w:r>
      <w:proofErr w:type="spellStart"/>
      <w:r w:rsidRPr="00226892">
        <w:rPr>
          <w:rFonts w:ascii="Arial" w:hAnsi="Arial" w:cs="Arial"/>
        </w:rPr>
        <w:t>náklady</w:t>
      </w:r>
      <w:proofErr w:type="spellEnd"/>
      <w:r w:rsidRPr="00226892">
        <w:rPr>
          <w:rFonts w:ascii="Arial" w:hAnsi="Arial" w:cs="Arial"/>
        </w:rPr>
        <w:t xml:space="preserve"> a </w:t>
      </w:r>
      <w:proofErr w:type="spellStart"/>
      <w:r w:rsidRPr="00226892">
        <w:rPr>
          <w:rFonts w:ascii="Arial" w:hAnsi="Arial" w:cs="Arial"/>
        </w:rPr>
        <w:t>príjmy</w:t>
      </w:r>
      <w:proofErr w:type="spellEnd"/>
      <w:r w:rsidRPr="00226892">
        <w:rPr>
          <w:rFonts w:ascii="Arial" w:hAnsi="Arial" w:cs="Arial"/>
        </w:rPr>
        <w:t xml:space="preserve"> </w:t>
      </w:r>
      <w:proofErr w:type="spellStart"/>
      <w:r w:rsidRPr="00226892">
        <w:rPr>
          <w:rFonts w:ascii="Arial" w:hAnsi="Arial" w:cs="Arial"/>
        </w:rPr>
        <w:t>budúcich</w:t>
      </w:r>
      <w:proofErr w:type="spellEnd"/>
      <w:r w:rsidRPr="00226892">
        <w:rPr>
          <w:rFonts w:ascii="Arial" w:hAnsi="Arial" w:cs="Arial"/>
        </w:rPr>
        <w:t xml:space="preserve"> </w:t>
      </w:r>
      <w:proofErr w:type="spellStart"/>
      <w:r w:rsidRPr="00226892">
        <w:rPr>
          <w:rFonts w:ascii="Arial" w:hAnsi="Arial" w:cs="Arial"/>
        </w:rPr>
        <w:t>období</w:t>
      </w:r>
      <w:proofErr w:type="spellEnd"/>
      <w:r w:rsidRPr="00226892">
        <w:rPr>
          <w:rFonts w:ascii="Arial" w:hAnsi="Arial" w:cs="Arial"/>
        </w:rPr>
        <w:t>, z </w:t>
      </w:r>
      <w:proofErr w:type="spellStart"/>
      <w:r w:rsidRPr="00226892">
        <w:rPr>
          <w:rFonts w:ascii="Arial" w:hAnsi="Arial" w:cs="Arial"/>
        </w:rPr>
        <w:t>toho</w:t>
      </w:r>
      <w:proofErr w:type="spellEnd"/>
      <w:r w:rsidRPr="00226892">
        <w:rPr>
          <w:rFonts w:ascii="Arial" w:hAnsi="Arial" w:cs="Arial"/>
        </w:rPr>
        <w:t>:</w:t>
      </w:r>
    </w:p>
    <w:p w14:paraId="12F1AD49" w14:textId="77777777" w:rsidR="00907EA7" w:rsidRPr="00226892" w:rsidRDefault="00907EA7" w:rsidP="00907EA7">
      <w:pPr>
        <w:suppressAutoHyphens/>
        <w:jc w:val="both"/>
        <w:rPr>
          <w:rFonts w:ascii="Arial" w:hAnsi="Arial" w:cs="Arial"/>
          <w:sz w:val="14"/>
          <w:szCs w:val="18"/>
        </w:rPr>
      </w:pPr>
    </w:p>
    <w:tbl>
      <w:tblPr>
        <w:tblW w:w="5000" w:type="pct"/>
        <w:tblCellMar>
          <w:left w:w="70" w:type="dxa"/>
          <w:right w:w="70" w:type="dxa"/>
        </w:tblCellMar>
        <w:tblLook w:val="04A0" w:firstRow="1" w:lastRow="0" w:firstColumn="1" w:lastColumn="0" w:noHBand="0" w:noVBand="1"/>
      </w:tblPr>
      <w:tblGrid>
        <w:gridCol w:w="4590"/>
        <w:gridCol w:w="289"/>
        <w:gridCol w:w="2333"/>
        <w:gridCol w:w="239"/>
        <w:gridCol w:w="2188"/>
      </w:tblGrid>
      <w:tr w:rsidR="00907EA7" w:rsidRPr="00226892" w14:paraId="5D46A4D4" w14:textId="77777777" w:rsidTr="009F2B1F">
        <w:trPr>
          <w:trHeight w:val="227"/>
        </w:trPr>
        <w:tc>
          <w:tcPr>
            <w:tcW w:w="2381" w:type="pct"/>
            <w:tcBorders>
              <w:top w:val="nil"/>
              <w:left w:val="nil"/>
              <w:bottom w:val="single" w:sz="4" w:space="0" w:color="auto"/>
              <w:right w:val="nil"/>
            </w:tcBorders>
            <w:shd w:val="clear" w:color="auto" w:fill="auto"/>
            <w:vAlign w:val="bottom"/>
            <w:hideMark/>
          </w:tcPr>
          <w:p w14:paraId="5C918AB5" w14:textId="77777777" w:rsidR="00907EA7" w:rsidRPr="00226892" w:rsidRDefault="00907EA7" w:rsidP="00734402">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w:t>
            </w:r>
          </w:p>
        </w:tc>
        <w:tc>
          <w:tcPr>
            <w:tcW w:w="150" w:type="pct"/>
            <w:tcBorders>
              <w:top w:val="nil"/>
              <w:left w:val="nil"/>
              <w:bottom w:val="single" w:sz="4" w:space="0" w:color="auto"/>
              <w:right w:val="nil"/>
            </w:tcBorders>
            <w:shd w:val="clear" w:color="auto" w:fill="auto"/>
            <w:vAlign w:val="bottom"/>
            <w:hideMark/>
          </w:tcPr>
          <w:p w14:paraId="56831CA4" w14:textId="77777777" w:rsidR="00907EA7" w:rsidRPr="00226892" w:rsidRDefault="00907EA7" w:rsidP="00734402">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210" w:type="pct"/>
            <w:tcBorders>
              <w:top w:val="nil"/>
              <w:left w:val="nil"/>
              <w:bottom w:val="single" w:sz="4" w:space="0" w:color="auto"/>
              <w:right w:val="nil"/>
            </w:tcBorders>
            <w:shd w:val="clear" w:color="auto" w:fill="auto"/>
            <w:vAlign w:val="bottom"/>
            <w:hideMark/>
          </w:tcPr>
          <w:p w14:paraId="7EEEA614" w14:textId="4F728518" w:rsidR="00907EA7" w:rsidRPr="00226892" w:rsidRDefault="00907EA7" w:rsidP="00734402">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D3AC5" w:rsidRPr="00226892">
              <w:rPr>
                <w:rFonts w:ascii="Arial" w:eastAsia="Times New Roman" w:hAnsi="Arial" w:cs="Arial"/>
                <w:b/>
                <w:bCs/>
                <w:color w:val="000000"/>
                <w:sz w:val="18"/>
                <w:szCs w:val="18"/>
                <w:lang w:val="sk-SK" w:eastAsia="sk-SK"/>
              </w:rPr>
              <w:t>2018</w:t>
            </w:r>
          </w:p>
        </w:tc>
        <w:tc>
          <w:tcPr>
            <w:tcW w:w="124" w:type="pct"/>
            <w:tcBorders>
              <w:top w:val="nil"/>
              <w:left w:val="nil"/>
              <w:bottom w:val="single" w:sz="4" w:space="0" w:color="auto"/>
              <w:right w:val="nil"/>
            </w:tcBorders>
            <w:shd w:val="clear" w:color="auto" w:fill="auto"/>
            <w:vAlign w:val="bottom"/>
            <w:hideMark/>
          </w:tcPr>
          <w:p w14:paraId="246639B0" w14:textId="77777777" w:rsidR="00907EA7" w:rsidRPr="00226892" w:rsidRDefault="00907EA7" w:rsidP="00734402">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135" w:type="pct"/>
            <w:tcBorders>
              <w:top w:val="nil"/>
              <w:left w:val="nil"/>
              <w:bottom w:val="single" w:sz="4" w:space="0" w:color="auto"/>
              <w:right w:val="nil"/>
            </w:tcBorders>
            <w:shd w:val="clear" w:color="auto" w:fill="auto"/>
            <w:vAlign w:val="bottom"/>
            <w:hideMark/>
          </w:tcPr>
          <w:p w14:paraId="00BFE87D" w14:textId="08769E62" w:rsidR="00907EA7" w:rsidRPr="00226892" w:rsidRDefault="00907EA7" w:rsidP="00734402">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63A77" w:rsidRPr="00226892">
              <w:rPr>
                <w:rFonts w:ascii="Arial" w:eastAsia="Times New Roman" w:hAnsi="Arial" w:cs="Arial"/>
                <w:b/>
                <w:bCs/>
                <w:color w:val="000000"/>
                <w:sz w:val="18"/>
                <w:szCs w:val="18"/>
                <w:lang w:val="sk-SK" w:eastAsia="sk-SK"/>
              </w:rPr>
              <w:t>2017</w:t>
            </w:r>
          </w:p>
        </w:tc>
      </w:tr>
      <w:tr w:rsidR="00907EA7" w:rsidRPr="00226892" w14:paraId="3F2676EC" w14:textId="77777777" w:rsidTr="009F2B1F">
        <w:trPr>
          <w:trHeight w:val="227"/>
        </w:trPr>
        <w:tc>
          <w:tcPr>
            <w:tcW w:w="2381" w:type="pct"/>
            <w:tcBorders>
              <w:top w:val="nil"/>
              <w:left w:val="nil"/>
              <w:bottom w:val="nil"/>
              <w:right w:val="nil"/>
            </w:tcBorders>
            <w:shd w:val="clear" w:color="auto" w:fill="auto"/>
            <w:vAlign w:val="bottom"/>
            <w:hideMark/>
          </w:tcPr>
          <w:p w14:paraId="7A2E334D" w14:textId="5131825D" w:rsidR="00907EA7" w:rsidRPr="00226892" w:rsidRDefault="00907EA7" w:rsidP="00734402">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Príjmy budúcich období - krátkodobé</w:t>
            </w:r>
          </w:p>
        </w:tc>
        <w:tc>
          <w:tcPr>
            <w:tcW w:w="150" w:type="pct"/>
            <w:tcBorders>
              <w:top w:val="nil"/>
              <w:left w:val="nil"/>
              <w:bottom w:val="nil"/>
              <w:right w:val="nil"/>
            </w:tcBorders>
            <w:shd w:val="clear" w:color="auto" w:fill="auto"/>
            <w:vAlign w:val="bottom"/>
            <w:hideMark/>
          </w:tcPr>
          <w:p w14:paraId="597317EB" w14:textId="77777777" w:rsidR="00907EA7" w:rsidRPr="00226892" w:rsidRDefault="00907EA7" w:rsidP="00734402">
            <w:pPr>
              <w:jc w:val="right"/>
              <w:rPr>
                <w:rFonts w:ascii="Arial" w:eastAsia="Times New Roman" w:hAnsi="Arial" w:cs="Arial"/>
                <w:color w:val="000000"/>
                <w:sz w:val="18"/>
                <w:szCs w:val="18"/>
                <w:lang w:val="sk-SK" w:eastAsia="sk-SK"/>
              </w:rPr>
            </w:pPr>
          </w:p>
        </w:tc>
        <w:tc>
          <w:tcPr>
            <w:tcW w:w="1210" w:type="pct"/>
            <w:tcBorders>
              <w:top w:val="nil"/>
              <w:left w:val="nil"/>
              <w:bottom w:val="nil"/>
              <w:right w:val="nil"/>
            </w:tcBorders>
            <w:shd w:val="clear" w:color="auto" w:fill="auto"/>
            <w:vAlign w:val="bottom"/>
          </w:tcPr>
          <w:p w14:paraId="2F697175" w14:textId="15022AAF" w:rsidR="00907EA7" w:rsidRPr="00226892" w:rsidRDefault="00907EA7" w:rsidP="00734402">
            <w:pPr>
              <w:jc w:val="right"/>
              <w:rPr>
                <w:rFonts w:ascii="Arial" w:eastAsia="Times New Roman" w:hAnsi="Arial" w:cs="Arial"/>
                <w:color w:val="000000"/>
                <w:sz w:val="18"/>
                <w:szCs w:val="18"/>
                <w:lang w:val="sk-SK" w:eastAsia="sk-SK"/>
              </w:rPr>
            </w:pPr>
          </w:p>
        </w:tc>
        <w:tc>
          <w:tcPr>
            <w:tcW w:w="124" w:type="pct"/>
            <w:tcBorders>
              <w:top w:val="nil"/>
              <w:left w:val="nil"/>
              <w:bottom w:val="nil"/>
              <w:right w:val="nil"/>
            </w:tcBorders>
            <w:shd w:val="clear" w:color="auto" w:fill="auto"/>
            <w:vAlign w:val="bottom"/>
          </w:tcPr>
          <w:p w14:paraId="7B325C3C" w14:textId="77777777" w:rsidR="00907EA7" w:rsidRPr="00226892" w:rsidRDefault="00907EA7" w:rsidP="00734402">
            <w:pPr>
              <w:jc w:val="right"/>
              <w:rPr>
                <w:rFonts w:ascii="Arial" w:eastAsia="Times New Roman" w:hAnsi="Arial" w:cs="Arial"/>
                <w:color w:val="000000"/>
                <w:sz w:val="18"/>
                <w:szCs w:val="18"/>
                <w:lang w:val="sk-SK" w:eastAsia="sk-SK"/>
              </w:rPr>
            </w:pPr>
          </w:p>
        </w:tc>
        <w:tc>
          <w:tcPr>
            <w:tcW w:w="1135" w:type="pct"/>
            <w:tcBorders>
              <w:top w:val="nil"/>
              <w:left w:val="nil"/>
              <w:bottom w:val="nil"/>
              <w:right w:val="nil"/>
            </w:tcBorders>
            <w:shd w:val="clear" w:color="auto" w:fill="auto"/>
            <w:vAlign w:val="bottom"/>
          </w:tcPr>
          <w:p w14:paraId="5609559E" w14:textId="557F7040" w:rsidR="00907EA7" w:rsidRPr="00226892" w:rsidRDefault="00907EA7" w:rsidP="00734402">
            <w:pPr>
              <w:jc w:val="right"/>
              <w:rPr>
                <w:rFonts w:ascii="Arial" w:eastAsia="Times New Roman" w:hAnsi="Arial" w:cs="Arial"/>
                <w:color w:val="000000"/>
                <w:sz w:val="18"/>
                <w:szCs w:val="18"/>
                <w:lang w:val="sk-SK" w:eastAsia="sk-SK"/>
              </w:rPr>
            </w:pPr>
          </w:p>
        </w:tc>
      </w:tr>
      <w:tr w:rsidR="00B155F8" w:rsidRPr="00226892" w14:paraId="4696C681" w14:textId="77777777" w:rsidTr="009F2B1F">
        <w:trPr>
          <w:trHeight w:val="227"/>
        </w:trPr>
        <w:tc>
          <w:tcPr>
            <w:tcW w:w="2381" w:type="pct"/>
            <w:tcBorders>
              <w:top w:val="nil"/>
              <w:left w:val="nil"/>
              <w:bottom w:val="nil"/>
              <w:right w:val="nil"/>
            </w:tcBorders>
            <w:shd w:val="clear" w:color="auto" w:fill="auto"/>
            <w:vAlign w:val="bottom"/>
            <w:hideMark/>
          </w:tcPr>
          <w:p w14:paraId="25951979" w14:textId="5B2E9F34" w:rsidR="00B155F8" w:rsidRPr="00226892" w:rsidRDefault="00B155F8" w:rsidP="00B155F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Navýšenie cien materiálu – </w:t>
            </w:r>
            <w:proofErr w:type="spellStart"/>
            <w:r w:rsidRPr="00226892">
              <w:rPr>
                <w:rFonts w:ascii="Arial" w:eastAsia="Times New Roman" w:hAnsi="Arial" w:cs="Arial"/>
                <w:color w:val="000000"/>
                <w:sz w:val="18"/>
                <w:szCs w:val="18"/>
                <w:lang w:val="sk-SK" w:eastAsia="sk-SK"/>
              </w:rPr>
              <w:t>precenie</w:t>
            </w:r>
            <w:proofErr w:type="spellEnd"/>
            <w:r w:rsidRPr="00226892">
              <w:rPr>
                <w:rFonts w:ascii="Arial" w:eastAsia="Times New Roman" w:hAnsi="Arial" w:cs="Arial"/>
                <w:color w:val="000000"/>
                <w:sz w:val="18"/>
                <w:szCs w:val="18"/>
                <w:lang w:val="sk-SK" w:eastAsia="sk-SK"/>
              </w:rPr>
              <w:t xml:space="preserve"> produkcie</w:t>
            </w:r>
          </w:p>
        </w:tc>
        <w:tc>
          <w:tcPr>
            <w:tcW w:w="150" w:type="pct"/>
            <w:tcBorders>
              <w:top w:val="nil"/>
              <w:left w:val="nil"/>
              <w:bottom w:val="nil"/>
              <w:right w:val="nil"/>
            </w:tcBorders>
            <w:shd w:val="clear" w:color="auto" w:fill="auto"/>
            <w:vAlign w:val="bottom"/>
            <w:hideMark/>
          </w:tcPr>
          <w:p w14:paraId="63FEF49F"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210" w:type="pct"/>
            <w:tcBorders>
              <w:top w:val="nil"/>
              <w:left w:val="nil"/>
              <w:bottom w:val="nil"/>
              <w:right w:val="nil"/>
            </w:tcBorders>
            <w:shd w:val="clear" w:color="auto" w:fill="auto"/>
            <w:vAlign w:val="bottom"/>
          </w:tcPr>
          <w:p w14:paraId="46FB6468" w14:textId="49A6D9DC" w:rsidR="00B155F8" w:rsidRPr="00226892" w:rsidRDefault="009161C9" w:rsidP="00B155F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696</w:t>
            </w:r>
          </w:p>
        </w:tc>
        <w:tc>
          <w:tcPr>
            <w:tcW w:w="124" w:type="pct"/>
            <w:tcBorders>
              <w:top w:val="nil"/>
              <w:left w:val="nil"/>
              <w:bottom w:val="nil"/>
              <w:right w:val="nil"/>
            </w:tcBorders>
            <w:shd w:val="clear" w:color="auto" w:fill="auto"/>
            <w:vAlign w:val="bottom"/>
          </w:tcPr>
          <w:p w14:paraId="3547D228"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135" w:type="pct"/>
            <w:tcBorders>
              <w:top w:val="nil"/>
              <w:left w:val="nil"/>
              <w:bottom w:val="nil"/>
              <w:right w:val="nil"/>
            </w:tcBorders>
            <w:shd w:val="clear" w:color="auto" w:fill="auto"/>
            <w:vAlign w:val="bottom"/>
          </w:tcPr>
          <w:p w14:paraId="1F562359" w14:textId="2100B8F8" w:rsidR="00B155F8" w:rsidRPr="00226892" w:rsidRDefault="00B155F8" w:rsidP="00B155F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4 754</w:t>
            </w:r>
          </w:p>
        </w:tc>
      </w:tr>
      <w:tr w:rsidR="00B155F8" w:rsidRPr="00226892" w14:paraId="5CBFD6FF" w14:textId="77777777" w:rsidTr="009F2B1F">
        <w:trPr>
          <w:trHeight w:val="227"/>
        </w:trPr>
        <w:tc>
          <w:tcPr>
            <w:tcW w:w="2381" w:type="pct"/>
            <w:tcBorders>
              <w:top w:val="nil"/>
              <w:left w:val="nil"/>
              <w:bottom w:val="nil"/>
              <w:right w:val="nil"/>
            </w:tcBorders>
            <w:shd w:val="clear" w:color="auto" w:fill="auto"/>
            <w:vAlign w:val="bottom"/>
            <w:hideMark/>
          </w:tcPr>
          <w:p w14:paraId="0653A6AF" w14:textId="6C07166C" w:rsidR="00B155F8" w:rsidRPr="00226892" w:rsidRDefault="00B155F8" w:rsidP="00B155F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Kompenzácia Audi</w:t>
            </w:r>
          </w:p>
        </w:tc>
        <w:tc>
          <w:tcPr>
            <w:tcW w:w="150" w:type="pct"/>
            <w:tcBorders>
              <w:top w:val="nil"/>
              <w:left w:val="nil"/>
              <w:bottom w:val="nil"/>
              <w:right w:val="nil"/>
            </w:tcBorders>
            <w:shd w:val="clear" w:color="auto" w:fill="auto"/>
            <w:vAlign w:val="bottom"/>
            <w:hideMark/>
          </w:tcPr>
          <w:p w14:paraId="522E2DC9"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210" w:type="pct"/>
            <w:tcBorders>
              <w:top w:val="nil"/>
              <w:left w:val="nil"/>
              <w:bottom w:val="nil"/>
              <w:right w:val="nil"/>
            </w:tcBorders>
            <w:shd w:val="clear" w:color="auto" w:fill="auto"/>
            <w:vAlign w:val="bottom"/>
          </w:tcPr>
          <w:p w14:paraId="509F6A49" w14:textId="33C4D916" w:rsidR="00B155F8" w:rsidRPr="00226892" w:rsidRDefault="009161C9" w:rsidP="00B155F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24" w:type="pct"/>
            <w:tcBorders>
              <w:top w:val="nil"/>
              <w:left w:val="nil"/>
              <w:bottom w:val="nil"/>
              <w:right w:val="nil"/>
            </w:tcBorders>
            <w:shd w:val="clear" w:color="auto" w:fill="auto"/>
            <w:vAlign w:val="bottom"/>
          </w:tcPr>
          <w:p w14:paraId="0EBD4C70"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135" w:type="pct"/>
            <w:tcBorders>
              <w:top w:val="nil"/>
              <w:left w:val="nil"/>
              <w:bottom w:val="nil"/>
              <w:right w:val="nil"/>
            </w:tcBorders>
            <w:shd w:val="clear" w:color="auto" w:fill="auto"/>
            <w:vAlign w:val="bottom"/>
          </w:tcPr>
          <w:p w14:paraId="0F2A16F8" w14:textId="21C8F66A" w:rsidR="00B155F8" w:rsidRPr="00226892" w:rsidRDefault="00B155F8" w:rsidP="00B155F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1 665</w:t>
            </w:r>
          </w:p>
        </w:tc>
      </w:tr>
      <w:tr w:rsidR="00B155F8" w:rsidRPr="00226892" w14:paraId="152BF06B" w14:textId="77777777" w:rsidTr="009F2B1F">
        <w:trPr>
          <w:trHeight w:val="227"/>
        </w:trPr>
        <w:tc>
          <w:tcPr>
            <w:tcW w:w="2381" w:type="pct"/>
            <w:tcBorders>
              <w:top w:val="nil"/>
              <w:left w:val="nil"/>
              <w:bottom w:val="nil"/>
              <w:right w:val="nil"/>
            </w:tcBorders>
            <w:shd w:val="clear" w:color="auto" w:fill="auto"/>
            <w:vAlign w:val="bottom"/>
            <w:hideMark/>
          </w:tcPr>
          <w:p w14:paraId="69D48FEB" w14:textId="77777777" w:rsidR="00B155F8" w:rsidRPr="00226892" w:rsidRDefault="00B155F8" w:rsidP="00B155F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Ostatné </w:t>
            </w:r>
          </w:p>
        </w:tc>
        <w:tc>
          <w:tcPr>
            <w:tcW w:w="150" w:type="pct"/>
            <w:tcBorders>
              <w:top w:val="nil"/>
              <w:left w:val="nil"/>
              <w:bottom w:val="nil"/>
              <w:right w:val="nil"/>
            </w:tcBorders>
            <w:shd w:val="clear" w:color="auto" w:fill="auto"/>
            <w:vAlign w:val="bottom"/>
            <w:hideMark/>
          </w:tcPr>
          <w:p w14:paraId="1AA22674"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210" w:type="pct"/>
            <w:tcBorders>
              <w:top w:val="nil"/>
              <w:left w:val="nil"/>
              <w:bottom w:val="nil"/>
              <w:right w:val="nil"/>
            </w:tcBorders>
            <w:shd w:val="clear" w:color="auto" w:fill="auto"/>
            <w:vAlign w:val="bottom"/>
          </w:tcPr>
          <w:p w14:paraId="59AA0230" w14:textId="35A1F6AF" w:rsidR="00B155F8" w:rsidRPr="00226892" w:rsidRDefault="009161C9" w:rsidP="00B155F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24" w:type="pct"/>
            <w:tcBorders>
              <w:top w:val="nil"/>
              <w:left w:val="nil"/>
              <w:bottom w:val="nil"/>
              <w:right w:val="nil"/>
            </w:tcBorders>
            <w:shd w:val="clear" w:color="auto" w:fill="auto"/>
            <w:vAlign w:val="bottom"/>
          </w:tcPr>
          <w:p w14:paraId="6A22C14E"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135" w:type="pct"/>
            <w:tcBorders>
              <w:top w:val="nil"/>
              <w:left w:val="nil"/>
              <w:bottom w:val="nil"/>
              <w:right w:val="nil"/>
            </w:tcBorders>
            <w:shd w:val="clear" w:color="auto" w:fill="auto"/>
            <w:vAlign w:val="bottom"/>
          </w:tcPr>
          <w:p w14:paraId="525EAD51" w14:textId="21815791" w:rsidR="00B155F8" w:rsidRPr="00226892" w:rsidRDefault="00B155F8" w:rsidP="00B155F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1 848</w:t>
            </w:r>
          </w:p>
        </w:tc>
      </w:tr>
      <w:tr w:rsidR="00B155F8" w:rsidRPr="00226892" w14:paraId="532087EB" w14:textId="77777777" w:rsidTr="009F2B1F">
        <w:trPr>
          <w:trHeight w:val="227"/>
        </w:trPr>
        <w:tc>
          <w:tcPr>
            <w:tcW w:w="2381" w:type="pct"/>
            <w:tcBorders>
              <w:top w:val="nil"/>
              <w:left w:val="nil"/>
              <w:bottom w:val="nil"/>
              <w:right w:val="nil"/>
            </w:tcBorders>
            <w:shd w:val="clear" w:color="auto" w:fill="auto"/>
            <w:vAlign w:val="bottom"/>
            <w:hideMark/>
          </w:tcPr>
          <w:p w14:paraId="1A37A1B3" w14:textId="77777777" w:rsidR="00B155F8" w:rsidRPr="00226892" w:rsidRDefault="00B155F8" w:rsidP="00B155F8">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Spolu </w:t>
            </w:r>
          </w:p>
        </w:tc>
        <w:tc>
          <w:tcPr>
            <w:tcW w:w="150" w:type="pct"/>
            <w:tcBorders>
              <w:top w:val="nil"/>
              <w:left w:val="nil"/>
              <w:bottom w:val="nil"/>
              <w:right w:val="nil"/>
            </w:tcBorders>
            <w:shd w:val="clear" w:color="auto" w:fill="auto"/>
            <w:vAlign w:val="bottom"/>
            <w:hideMark/>
          </w:tcPr>
          <w:p w14:paraId="634304B3" w14:textId="77777777" w:rsidR="00B155F8" w:rsidRPr="00226892" w:rsidRDefault="00B155F8" w:rsidP="00B155F8">
            <w:pPr>
              <w:jc w:val="right"/>
              <w:rPr>
                <w:rFonts w:ascii="Arial" w:eastAsia="Times New Roman" w:hAnsi="Arial" w:cs="Arial"/>
                <w:b/>
                <w:bCs/>
                <w:color w:val="000000"/>
                <w:sz w:val="18"/>
                <w:szCs w:val="18"/>
                <w:lang w:val="sk-SK" w:eastAsia="sk-SK"/>
              </w:rPr>
            </w:pPr>
          </w:p>
        </w:tc>
        <w:tc>
          <w:tcPr>
            <w:tcW w:w="1210" w:type="pct"/>
            <w:tcBorders>
              <w:top w:val="single" w:sz="4" w:space="0" w:color="auto"/>
              <w:left w:val="nil"/>
              <w:bottom w:val="double" w:sz="6" w:space="0" w:color="auto"/>
              <w:right w:val="nil"/>
            </w:tcBorders>
            <w:shd w:val="clear" w:color="auto" w:fill="auto"/>
            <w:vAlign w:val="bottom"/>
          </w:tcPr>
          <w:p w14:paraId="1D183B78" w14:textId="486326D2" w:rsidR="00B155F8" w:rsidRPr="00226892" w:rsidRDefault="009161C9" w:rsidP="00B155F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696</w:t>
            </w:r>
          </w:p>
        </w:tc>
        <w:tc>
          <w:tcPr>
            <w:tcW w:w="124" w:type="pct"/>
            <w:tcBorders>
              <w:top w:val="nil"/>
              <w:left w:val="nil"/>
              <w:bottom w:val="nil"/>
              <w:right w:val="nil"/>
            </w:tcBorders>
            <w:shd w:val="clear" w:color="auto" w:fill="auto"/>
            <w:vAlign w:val="bottom"/>
          </w:tcPr>
          <w:p w14:paraId="45AE2869" w14:textId="77777777" w:rsidR="00B155F8" w:rsidRPr="00226892" w:rsidRDefault="00B155F8" w:rsidP="00B155F8">
            <w:pPr>
              <w:jc w:val="right"/>
              <w:rPr>
                <w:rFonts w:ascii="Arial" w:eastAsia="Times New Roman" w:hAnsi="Arial" w:cs="Arial"/>
                <w:b/>
                <w:bCs/>
                <w:color w:val="000000"/>
                <w:sz w:val="18"/>
                <w:szCs w:val="18"/>
                <w:lang w:val="sk-SK" w:eastAsia="sk-SK"/>
              </w:rPr>
            </w:pPr>
          </w:p>
        </w:tc>
        <w:tc>
          <w:tcPr>
            <w:tcW w:w="1135" w:type="pct"/>
            <w:tcBorders>
              <w:top w:val="single" w:sz="4" w:space="0" w:color="auto"/>
              <w:left w:val="nil"/>
              <w:bottom w:val="double" w:sz="6" w:space="0" w:color="auto"/>
              <w:right w:val="nil"/>
            </w:tcBorders>
            <w:shd w:val="clear" w:color="auto" w:fill="auto"/>
            <w:vAlign w:val="bottom"/>
          </w:tcPr>
          <w:p w14:paraId="4551185D" w14:textId="1ED52CB8" w:rsidR="00B155F8" w:rsidRPr="00226892" w:rsidRDefault="00B155F8" w:rsidP="00B155F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8 267</w:t>
            </w:r>
          </w:p>
        </w:tc>
      </w:tr>
      <w:tr w:rsidR="00B155F8" w:rsidRPr="00226892" w14:paraId="36E81833" w14:textId="77777777" w:rsidTr="009F2B1F">
        <w:trPr>
          <w:trHeight w:val="227"/>
        </w:trPr>
        <w:tc>
          <w:tcPr>
            <w:tcW w:w="2381" w:type="pct"/>
            <w:tcBorders>
              <w:top w:val="nil"/>
              <w:left w:val="nil"/>
              <w:bottom w:val="nil"/>
              <w:right w:val="nil"/>
            </w:tcBorders>
            <w:shd w:val="clear" w:color="auto" w:fill="auto"/>
            <w:vAlign w:val="bottom"/>
          </w:tcPr>
          <w:p w14:paraId="214A0D0B" w14:textId="220B1DF0" w:rsidR="00B155F8" w:rsidRPr="00226892" w:rsidRDefault="00B155F8" w:rsidP="00B155F8">
            <w:pPr>
              <w:rPr>
                <w:rFonts w:ascii="Arial" w:eastAsia="Times New Roman" w:hAnsi="Arial" w:cs="Arial"/>
                <w:color w:val="000000"/>
                <w:sz w:val="18"/>
                <w:szCs w:val="18"/>
                <w:lang w:val="sk-SK" w:eastAsia="sk-SK"/>
              </w:rPr>
            </w:pPr>
          </w:p>
        </w:tc>
        <w:tc>
          <w:tcPr>
            <w:tcW w:w="150" w:type="pct"/>
            <w:tcBorders>
              <w:top w:val="nil"/>
              <w:left w:val="nil"/>
              <w:bottom w:val="nil"/>
              <w:right w:val="nil"/>
            </w:tcBorders>
            <w:shd w:val="clear" w:color="auto" w:fill="auto"/>
            <w:vAlign w:val="bottom"/>
          </w:tcPr>
          <w:p w14:paraId="30E33218"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210" w:type="pct"/>
            <w:tcBorders>
              <w:top w:val="nil"/>
              <w:left w:val="nil"/>
              <w:bottom w:val="nil"/>
              <w:right w:val="nil"/>
            </w:tcBorders>
            <w:shd w:val="clear" w:color="auto" w:fill="auto"/>
            <w:vAlign w:val="bottom"/>
          </w:tcPr>
          <w:p w14:paraId="1705870E" w14:textId="492D42B5" w:rsidR="00B155F8" w:rsidRPr="00226892" w:rsidRDefault="00B155F8" w:rsidP="00B155F8">
            <w:pPr>
              <w:jc w:val="right"/>
              <w:rPr>
                <w:rFonts w:ascii="Arial" w:eastAsia="Times New Roman" w:hAnsi="Arial" w:cs="Arial"/>
                <w:color w:val="000000"/>
                <w:sz w:val="18"/>
                <w:szCs w:val="18"/>
                <w:lang w:val="sk-SK" w:eastAsia="sk-SK"/>
              </w:rPr>
            </w:pPr>
          </w:p>
        </w:tc>
        <w:tc>
          <w:tcPr>
            <w:tcW w:w="124" w:type="pct"/>
            <w:tcBorders>
              <w:top w:val="nil"/>
              <w:left w:val="nil"/>
              <w:bottom w:val="nil"/>
              <w:right w:val="nil"/>
            </w:tcBorders>
            <w:shd w:val="clear" w:color="auto" w:fill="auto"/>
            <w:vAlign w:val="bottom"/>
          </w:tcPr>
          <w:p w14:paraId="4A1AF0BD"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135" w:type="pct"/>
            <w:tcBorders>
              <w:top w:val="nil"/>
              <w:left w:val="nil"/>
              <w:bottom w:val="nil"/>
              <w:right w:val="nil"/>
            </w:tcBorders>
            <w:shd w:val="clear" w:color="auto" w:fill="auto"/>
            <w:vAlign w:val="bottom"/>
          </w:tcPr>
          <w:p w14:paraId="06925589" w14:textId="692EF300" w:rsidR="00B155F8" w:rsidRPr="00226892" w:rsidRDefault="00B155F8" w:rsidP="00B155F8">
            <w:pPr>
              <w:jc w:val="right"/>
              <w:rPr>
                <w:rFonts w:ascii="Arial" w:eastAsia="Times New Roman" w:hAnsi="Arial" w:cs="Arial"/>
                <w:color w:val="000000"/>
                <w:sz w:val="18"/>
                <w:szCs w:val="18"/>
                <w:lang w:val="sk-SK" w:eastAsia="sk-SK"/>
              </w:rPr>
            </w:pPr>
          </w:p>
        </w:tc>
      </w:tr>
      <w:tr w:rsidR="00B155F8" w:rsidRPr="00226892" w14:paraId="5C5CA952" w14:textId="77777777" w:rsidTr="009F2B1F">
        <w:trPr>
          <w:trHeight w:val="227"/>
        </w:trPr>
        <w:tc>
          <w:tcPr>
            <w:tcW w:w="2381" w:type="pct"/>
            <w:tcBorders>
              <w:top w:val="nil"/>
              <w:left w:val="nil"/>
              <w:bottom w:val="nil"/>
              <w:right w:val="nil"/>
            </w:tcBorders>
            <w:shd w:val="clear" w:color="auto" w:fill="auto"/>
            <w:vAlign w:val="bottom"/>
            <w:hideMark/>
          </w:tcPr>
          <w:p w14:paraId="0389FF5F" w14:textId="6A533AB7" w:rsidR="00B155F8" w:rsidRPr="00226892" w:rsidRDefault="00B155F8" w:rsidP="00B155F8">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Príjmy budúcich období - dlhodobé</w:t>
            </w:r>
          </w:p>
        </w:tc>
        <w:tc>
          <w:tcPr>
            <w:tcW w:w="150" w:type="pct"/>
            <w:tcBorders>
              <w:top w:val="nil"/>
              <w:left w:val="nil"/>
              <w:bottom w:val="nil"/>
              <w:right w:val="nil"/>
            </w:tcBorders>
            <w:shd w:val="clear" w:color="auto" w:fill="auto"/>
            <w:vAlign w:val="bottom"/>
            <w:hideMark/>
          </w:tcPr>
          <w:p w14:paraId="6016A33F" w14:textId="77777777" w:rsidR="00B155F8" w:rsidRPr="00226892" w:rsidRDefault="00B155F8" w:rsidP="00B155F8">
            <w:pPr>
              <w:jc w:val="right"/>
              <w:rPr>
                <w:rFonts w:ascii="Arial" w:eastAsia="Times New Roman" w:hAnsi="Arial" w:cs="Arial"/>
                <w:b/>
                <w:bCs/>
                <w:color w:val="000000"/>
                <w:sz w:val="18"/>
                <w:szCs w:val="18"/>
                <w:lang w:val="sk-SK" w:eastAsia="sk-SK"/>
              </w:rPr>
            </w:pPr>
          </w:p>
        </w:tc>
        <w:tc>
          <w:tcPr>
            <w:tcW w:w="1210" w:type="pct"/>
            <w:tcBorders>
              <w:top w:val="nil"/>
              <w:left w:val="nil"/>
              <w:bottom w:val="nil"/>
              <w:right w:val="nil"/>
            </w:tcBorders>
            <w:shd w:val="clear" w:color="auto" w:fill="auto"/>
            <w:vAlign w:val="bottom"/>
          </w:tcPr>
          <w:p w14:paraId="5F818984" w14:textId="77777777" w:rsidR="00B155F8" w:rsidRPr="00226892" w:rsidRDefault="00B155F8" w:rsidP="00B155F8">
            <w:pPr>
              <w:jc w:val="right"/>
              <w:rPr>
                <w:rFonts w:ascii="Arial" w:eastAsia="Times New Roman" w:hAnsi="Arial" w:cs="Arial"/>
                <w:b/>
                <w:bCs/>
                <w:color w:val="000000"/>
                <w:sz w:val="18"/>
                <w:szCs w:val="18"/>
                <w:lang w:val="sk-SK" w:eastAsia="sk-SK"/>
              </w:rPr>
            </w:pPr>
          </w:p>
        </w:tc>
        <w:tc>
          <w:tcPr>
            <w:tcW w:w="124" w:type="pct"/>
            <w:tcBorders>
              <w:top w:val="nil"/>
              <w:left w:val="nil"/>
              <w:bottom w:val="nil"/>
              <w:right w:val="nil"/>
            </w:tcBorders>
            <w:shd w:val="clear" w:color="auto" w:fill="auto"/>
            <w:vAlign w:val="bottom"/>
          </w:tcPr>
          <w:p w14:paraId="078580CC" w14:textId="77777777" w:rsidR="00B155F8" w:rsidRPr="00226892" w:rsidRDefault="00B155F8" w:rsidP="00B155F8">
            <w:pPr>
              <w:jc w:val="right"/>
              <w:rPr>
                <w:rFonts w:ascii="Arial" w:eastAsia="Times New Roman" w:hAnsi="Arial" w:cs="Arial"/>
                <w:b/>
                <w:bCs/>
                <w:color w:val="000000"/>
                <w:sz w:val="18"/>
                <w:szCs w:val="18"/>
                <w:lang w:val="sk-SK" w:eastAsia="sk-SK"/>
              </w:rPr>
            </w:pPr>
          </w:p>
        </w:tc>
        <w:tc>
          <w:tcPr>
            <w:tcW w:w="1135" w:type="pct"/>
            <w:tcBorders>
              <w:top w:val="nil"/>
              <w:left w:val="nil"/>
              <w:bottom w:val="nil"/>
              <w:right w:val="nil"/>
            </w:tcBorders>
            <w:shd w:val="clear" w:color="auto" w:fill="auto"/>
            <w:vAlign w:val="bottom"/>
          </w:tcPr>
          <w:p w14:paraId="27AABE8B" w14:textId="77777777" w:rsidR="00B155F8" w:rsidRPr="00226892" w:rsidRDefault="00B155F8" w:rsidP="00B155F8">
            <w:pPr>
              <w:jc w:val="right"/>
              <w:rPr>
                <w:rFonts w:ascii="Arial" w:eastAsia="Times New Roman" w:hAnsi="Arial" w:cs="Arial"/>
                <w:b/>
                <w:bCs/>
                <w:color w:val="000000"/>
                <w:sz w:val="18"/>
                <w:szCs w:val="18"/>
                <w:lang w:val="sk-SK" w:eastAsia="sk-SK"/>
              </w:rPr>
            </w:pPr>
          </w:p>
        </w:tc>
      </w:tr>
      <w:tr w:rsidR="00B155F8" w:rsidRPr="00226892" w14:paraId="0F2A2DF1" w14:textId="77777777" w:rsidTr="009F2B1F">
        <w:trPr>
          <w:trHeight w:val="227"/>
        </w:trPr>
        <w:tc>
          <w:tcPr>
            <w:tcW w:w="2381" w:type="pct"/>
            <w:tcBorders>
              <w:top w:val="nil"/>
              <w:left w:val="nil"/>
              <w:bottom w:val="nil"/>
              <w:right w:val="nil"/>
            </w:tcBorders>
            <w:shd w:val="clear" w:color="auto" w:fill="auto"/>
            <w:vAlign w:val="bottom"/>
            <w:hideMark/>
          </w:tcPr>
          <w:p w14:paraId="69D88BEC" w14:textId="73214DEE" w:rsidR="00B155F8" w:rsidRPr="00226892" w:rsidRDefault="009161C9" w:rsidP="00B155F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Kompenzácia Audi</w:t>
            </w:r>
          </w:p>
        </w:tc>
        <w:tc>
          <w:tcPr>
            <w:tcW w:w="150" w:type="pct"/>
            <w:tcBorders>
              <w:top w:val="nil"/>
              <w:left w:val="nil"/>
              <w:bottom w:val="nil"/>
              <w:right w:val="nil"/>
            </w:tcBorders>
            <w:shd w:val="clear" w:color="auto" w:fill="auto"/>
            <w:vAlign w:val="bottom"/>
            <w:hideMark/>
          </w:tcPr>
          <w:p w14:paraId="337CD479"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210" w:type="pct"/>
            <w:tcBorders>
              <w:top w:val="nil"/>
              <w:left w:val="nil"/>
              <w:bottom w:val="nil"/>
              <w:right w:val="nil"/>
            </w:tcBorders>
            <w:shd w:val="clear" w:color="auto" w:fill="auto"/>
            <w:vAlign w:val="bottom"/>
          </w:tcPr>
          <w:p w14:paraId="56EFE379" w14:textId="5FB7A16A" w:rsidR="00B155F8" w:rsidRPr="00226892" w:rsidRDefault="009161C9" w:rsidP="00B155F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696</w:t>
            </w:r>
          </w:p>
        </w:tc>
        <w:tc>
          <w:tcPr>
            <w:tcW w:w="124" w:type="pct"/>
            <w:tcBorders>
              <w:top w:val="nil"/>
              <w:left w:val="nil"/>
              <w:bottom w:val="nil"/>
              <w:right w:val="nil"/>
            </w:tcBorders>
            <w:shd w:val="clear" w:color="auto" w:fill="auto"/>
            <w:vAlign w:val="bottom"/>
          </w:tcPr>
          <w:p w14:paraId="4BF677AA"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135" w:type="pct"/>
            <w:tcBorders>
              <w:top w:val="nil"/>
              <w:left w:val="nil"/>
              <w:bottom w:val="nil"/>
              <w:right w:val="nil"/>
            </w:tcBorders>
            <w:shd w:val="clear" w:color="auto" w:fill="auto"/>
            <w:vAlign w:val="bottom"/>
          </w:tcPr>
          <w:p w14:paraId="4959A560" w14:textId="22B84663" w:rsidR="00B155F8" w:rsidRPr="00226892" w:rsidRDefault="00B155F8" w:rsidP="00B155F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r>
      <w:tr w:rsidR="00B155F8" w:rsidRPr="00226892" w14:paraId="47651136" w14:textId="77777777" w:rsidTr="009F2B1F">
        <w:trPr>
          <w:trHeight w:val="227"/>
        </w:trPr>
        <w:tc>
          <w:tcPr>
            <w:tcW w:w="2381" w:type="pct"/>
            <w:tcBorders>
              <w:top w:val="nil"/>
              <w:left w:val="nil"/>
              <w:bottom w:val="nil"/>
              <w:right w:val="nil"/>
            </w:tcBorders>
            <w:shd w:val="clear" w:color="auto" w:fill="auto"/>
            <w:vAlign w:val="bottom"/>
            <w:hideMark/>
          </w:tcPr>
          <w:p w14:paraId="11F6B112" w14:textId="77777777" w:rsidR="00B155F8" w:rsidRPr="00226892" w:rsidRDefault="00B155F8" w:rsidP="00B155F8">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Spolu </w:t>
            </w:r>
          </w:p>
        </w:tc>
        <w:tc>
          <w:tcPr>
            <w:tcW w:w="150" w:type="pct"/>
            <w:tcBorders>
              <w:top w:val="nil"/>
              <w:left w:val="nil"/>
              <w:bottom w:val="nil"/>
              <w:right w:val="nil"/>
            </w:tcBorders>
            <w:shd w:val="clear" w:color="auto" w:fill="auto"/>
            <w:vAlign w:val="bottom"/>
            <w:hideMark/>
          </w:tcPr>
          <w:p w14:paraId="3FF3B7BC" w14:textId="77777777" w:rsidR="00B155F8" w:rsidRPr="00226892" w:rsidRDefault="00B155F8" w:rsidP="00B155F8">
            <w:pPr>
              <w:jc w:val="right"/>
              <w:rPr>
                <w:rFonts w:ascii="Arial" w:eastAsia="Times New Roman" w:hAnsi="Arial" w:cs="Arial"/>
                <w:b/>
                <w:bCs/>
                <w:color w:val="000000"/>
                <w:sz w:val="18"/>
                <w:szCs w:val="18"/>
                <w:lang w:val="sk-SK" w:eastAsia="sk-SK"/>
              </w:rPr>
            </w:pPr>
          </w:p>
        </w:tc>
        <w:tc>
          <w:tcPr>
            <w:tcW w:w="1210" w:type="pct"/>
            <w:tcBorders>
              <w:top w:val="single" w:sz="4" w:space="0" w:color="auto"/>
              <w:left w:val="nil"/>
              <w:bottom w:val="double" w:sz="6" w:space="0" w:color="auto"/>
              <w:right w:val="nil"/>
            </w:tcBorders>
            <w:shd w:val="clear" w:color="auto" w:fill="auto"/>
            <w:vAlign w:val="bottom"/>
          </w:tcPr>
          <w:p w14:paraId="03DC89FB" w14:textId="12710681" w:rsidR="00B155F8" w:rsidRPr="00226892" w:rsidRDefault="009161C9" w:rsidP="00B155F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696</w:t>
            </w:r>
          </w:p>
        </w:tc>
        <w:tc>
          <w:tcPr>
            <w:tcW w:w="124" w:type="pct"/>
            <w:tcBorders>
              <w:top w:val="nil"/>
              <w:left w:val="nil"/>
              <w:bottom w:val="nil"/>
              <w:right w:val="nil"/>
            </w:tcBorders>
            <w:shd w:val="clear" w:color="auto" w:fill="auto"/>
            <w:vAlign w:val="bottom"/>
          </w:tcPr>
          <w:p w14:paraId="3EA61E20" w14:textId="77777777" w:rsidR="00B155F8" w:rsidRPr="00226892" w:rsidRDefault="00B155F8" w:rsidP="00B155F8">
            <w:pPr>
              <w:jc w:val="right"/>
              <w:rPr>
                <w:rFonts w:ascii="Arial" w:eastAsia="Times New Roman" w:hAnsi="Arial" w:cs="Arial"/>
                <w:b/>
                <w:bCs/>
                <w:color w:val="000000"/>
                <w:sz w:val="18"/>
                <w:szCs w:val="18"/>
                <w:lang w:val="sk-SK" w:eastAsia="sk-SK"/>
              </w:rPr>
            </w:pPr>
          </w:p>
        </w:tc>
        <w:tc>
          <w:tcPr>
            <w:tcW w:w="1135" w:type="pct"/>
            <w:tcBorders>
              <w:top w:val="single" w:sz="4" w:space="0" w:color="auto"/>
              <w:left w:val="nil"/>
              <w:bottom w:val="double" w:sz="6" w:space="0" w:color="auto"/>
              <w:right w:val="nil"/>
            </w:tcBorders>
            <w:shd w:val="clear" w:color="auto" w:fill="auto"/>
            <w:vAlign w:val="bottom"/>
          </w:tcPr>
          <w:p w14:paraId="05DE9775" w14:textId="151341BB" w:rsidR="00B155F8" w:rsidRPr="00226892" w:rsidRDefault="00B155F8" w:rsidP="00B155F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w:t>
            </w:r>
          </w:p>
        </w:tc>
      </w:tr>
      <w:tr w:rsidR="00B155F8" w:rsidRPr="00226892" w14:paraId="71676F94" w14:textId="77777777" w:rsidTr="009F2B1F">
        <w:trPr>
          <w:trHeight w:val="227"/>
        </w:trPr>
        <w:tc>
          <w:tcPr>
            <w:tcW w:w="2381" w:type="pct"/>
            <w:tcBorders>
              <w:top w:val="nil"/>
              <w:left w:val="nil"/>
              <w:bottom w:val="nil"/>
              <w:right w:val="nil"/>
            </w:tcBorders>
            <w:shd w:val="clear" w:color="auto" w:fill="auto"/>
            <w:vAlign w:val="bottom"/>
          </w:tcPr>
          <w:p w14:paraId="603136C3" w14:textId="0B5216D1" w:rsidR="00B155F8" w:rsidRPr="00226892" w:rsidRDefault="00B155F8" w:rsidP="00B155F8">
            <w:pPr>
              <w:rPr>
                <w:rFonts w:ascii="Arial" w:eastAsia="Times New Roman" w:hAnsi="Arial" w:cs="Arial"/>
                <w:color w:val="000000"/>
                <w:sz w:val="18"/>
                <w:szCs w:val="18"/>
                <w:lang w:val="sk-SK" w:eastAsia="sk-SK"/>
              </w:rPr>
            </w:pPr>
          </w:p>
        </w:tc>
        <w:tc>
          <w:tcPr>
            <w:tcW w:w="150" w:type="pct"/>
            <w:tcBorders>
              <w:top w:val="nil"/>
              <w:left w:val="nil"/>
              <w:bottom w:val="nil"/>
              <w:right w:val="nil"/>
            </w:tcBorders>
            <w:shd w:val="clear" w:color="auto" w:fill="auto"/>
            <w:vAlign w:val="bottom"/>
          </w:tcPr>
          <w:p w14:paraId="5B0ECA3A"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210" w:type="pct"/>
            <w:tcBorders>
              <w:top w:val="nil"/>
              <w:left w:val="nil"/>
              <w:bottom w:val="nil"/>
              <w:right w:val="nil"/>
            </w:tcBorders>
            <w:shd w:val="clear" w:color="auto" w:fill="auto"/>
            <w:vAlign w:val="bottom"/>
          </w:tcPr>
          <w:p w14:paraId="617108C8"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24" w:type="pct"/>
            <w:tcBorders>
              <w:top w:val="nil"/>
              <w:left w:val="nil"/>
              <w:bottom w:val="nil"/>
              <w:right w:val="nil"/>
            </w:tcBorders>
            <w:shd w:val="clear" w:color="auto" w:fill="auto"/>
            <w:vAlign w:val="bottom"/>
          </w:tcPr>
          <w:p w14:paraId="486AC835"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135" w:type="pct"/>
            <w:tcBorders>
              <w:top w:val="nil"/>
              <w:left w:val="nil"/>
              <w:bottom w:val="nil"/>
              <w:right w:val="nil"/>
            </w:tcBorders>
            <w:shd w:val="clear" w:color="auto" w:fill="auto"/>
            <w:vAlign w:val="bottom"/>
          </w:tcPr>
          <w:p w14:paraId="438F7424" w14:textId="77777777" w:rsidR="00B155F8" w:rsidRPr="00226892" w:rsidRDefault="00B155F8" w:rsidP="00B155F8">
            <w:pPr>
              <w:jc w:val="right"/>
              <w:rPr>
                <w:rFonts w:ascii="Arial" w:eastAsia="Times New Roman" w:hAnsi="Arial" w:cs="Arial"/>
                <w:color w:val="000000"/>
                <w:sz w:val="18"/>
                <w:szCs w:val="18"/>
                <w:lang w:val="sk-SK" w:eastAsia="sk-SK"/>
              </w:rPr>
            </w:pPr>
          </w:p>
        </w:tc>
      </w:tr>
      <w:tr w:rsidR="00B155F8" w:rsidRPr="00226892" w14:paraId="2EB552AB" w14:textId="77777777" w:rsidTr="009F2B1F">
        <w:trPr>
          <w:trHeight w:val="227"/>
        </w:trPr>
        <w:tc>
          <w:tcPr>
            <w:tcW w:w="2381" w:type="pct"/>
            <w:tcBorders>
              <w:top w:val="nil"/>
              <w:left w:val="nil"/>
              <w:bottom w:val="nil"/>
              <w:right w:val="nil"/>
            </w:tcBorders>
            <w:shd w:val="clear" w:color="auto" w:fill="auto"/>
            <w:vAlign w:val="bottom"/>
            <w:hideMark/>
          </w:tcPr>
          <w:p w14:paraId="28306D30" w14:textId="04600FFF" w:rsidR="00B155F8" w:rsidRPr="00226892" w:rsidRDefault="00B155F8" w:rsidP="00B155F8">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Náklady budúcich období - krátkodobé</w:t>
            </w:r>
          </w:p>
        </w:tc>
        <w:tc>
          <w:tcPr>
            <w:tcW w:w="150" w:type="pct"/>
            <w:tcBorders>
              <w:top w:val="nil"/>
              <w:left w:val="nil"/>
              <w:bottom w:val="nil"/>
              <w:right w:val="nil"/>
            </w:tcBorders>
            <w:shd w:val="clear" w:color="auto" w:fill="auto"/>
            <w:vAlign w:val="bottom"/>
            <w:hideMark/>
          </w:tcPr>
          <w:p w14:paraId="64D99DFB" w14:textId="77777777" w:rsidR="00B155F8" w:rsidRPr="00226892" w:rsidRDefault="00B155F8" w:rsidP="00B155F8">
            <w:pPr>
              <w:jc w:val="right"/>
              <w:rPr>
                <w:rFonts w:ascii="Arial" w:eastAsia="Times New Roman" w:hAnsi="Arial" w:cs="Arial"/>
                <w:b/>
                <w:bCs/>
                <w:color w:val="000000"/>
                <w:sz w:val="18"/>
                <w:szCs w:val="18"/>
                <w:lang w:val="sk-SK" w:eastAsia="sk-SK"/>
              </w:rPr>
            </w:pPr>
          </w:p>
        </w:tc>
        <w:tc>
          <w:tcPr>
            <w:tcW w:w="1210" w:type="pct"/>
            <w:tcBorders>
              <w:top w:val="nil"/>
              <w:left w:val="nil"/>
              <w:bottom w:val="nil"/>
              <w:right w:val="nil"/>
            </w:tcBorders>
            <w:shd w:val="clear" w:color="auto" w:fill="auto"/>
            <w:vAlign w:val="bottom"/>
          </w:tcPr>
          <w:p w14:paraId="0B8E9455" w14:textId="77777777" w:rsidR="00B155F8" w:rsidRPr="00226892" w:rsidRDefault="00B155F8" w:rsidP="00B155F8">
            <w:pPr>
              <w:jc w:val="right"/>
              <w:rPr>
                <w:rFonts w:ascii="Arial" w:eastAsia="Times New Roman" w:hAnsi="Arial" w:cs="Arial"/>
                <w:b/>
                <w:bCs/>
                <w:color w:val="000000"/>
                <w:sz w:val="18"/>
                <w:szCs w:val="18"/>
                <w:lang w:val="sk-SK" w:eastAsia="sk-SK"/>
              </w:rPr>
            </w:pPr>
          </w:p>
        </w:tc>
        <w:tc>
          <w:tcPr>
            <w:tcW w:w="124" w:type="pct"/>
            <w:tcBorders>
              <w:top w:val="nil"/>
              <w:left w:val="nil"/>
              <w:bottom w:val="nil"/>
              <w:right w:val="nil"/>
            </w:tcBorders>
            <w:shd w:val="clear" w:color="auto" w:fill="auto"/>
            <w:vAlign w:val="bottom"/>
          </w:tcPr>
          <w:p w14:paraId="77DD34CD" w14:textId="77777777" w:rsidR="00B155F8" w:rsidRPr="00226892" w:rsidRDefault="00B155F8" w:rsidP="00B155F8">
            <w:pPr>
              <w:jc w:val="right"/>
              <w:rPr>
                <w:rFonts w:ascii="Arial" w:eastAsia="Times New Roman" w:hAnsi="Arial" w:cs="Arial"/>
                <w:b/>
                <w:bCs/>
                <w:color w:val="000000"/>
                <w:sz w:val="18"/>
                <w:szCs w:val="18"/>
                <w:lang w:val="sk-SK" w:eastAsia="sk-SK"/>
              </w:rPr>
            </w:pPr>
          </w:p>
        </w:tc>
        <w:tc>
          <w:tcPr>
            <w:tcW w:w="1135" w:type="pct"/>
            <w:tcBorders>
              <w:top w:val="nil"/>
              <w:left w:val="nil"/>
              <w:bottom w:val="nil"/>
              <w:right w:val="nil"/>
            </w:tcBorders>
            <w:shd w:val="clear" w:color="auto" w:fill="auto"/>
            <w:vAlign w:val="bottom"/>
          </w:tcPr>
          <w:p w14:paraId="7C3F97F3" w14:textId="77777777" w:rsidR="00B155F8" w:rsidRPr="00226892" w:rsidRDefault="00B155F8" w:rsidP="00B155F8">
            <w:pPr>
              <w:jc w:val="right"/>
              <w:rPr>
                <w:rFonts w:ascii="Arial" w:eastAsia="Times New Roman" w:hAnsi="Arial" w:cs="Arial"/>
                <w:b/>
                <w:bCs/>
                <w:color w:val="000000"/>
                <w:sz w:val="18"/>
                <w:szCs w:val="18"/>
                <w:lang w:val="sk-SK" w:eastAsia="sk-SK"/>
              </w:rPr>
            </w:pPr>
          </w:p>
        </w:tc>
      </w:tr>
      <w:tr w:rsidR="00B155F8" w:rsidRPr="00226892" w14:paraId="7DB3A6DD" w14:textId="77777777" w:rsidTr="009F2B1F">
        <w:trPr>
          <w:trHeight w:val="227"/>
        </w:trPr>
        <w:tc>
          <w:tcPr>
            <w:tcW w:w="2381" w:type="pct"/>
            <w:tcBorders>
              <w:top w:val="nil"/>
              <w:left w:val="nil"/>
              <w:bottom w:val="nil"/>
              <w:right w:val="nil"/>
            </w:tcBorders>
            <w:shd w:val="clear" w:color="auto" w:fill="auto"/>
            <w:vAlign w:val="bottom"/>
            <w:hideMark/>
          </w:tcPr>
          <w:p w14:paraId="7A2B2325" w14:textId="25231A06" w:rsidR="00B155F8" w:rsidRPr="00226892" w:rsidRDefault="00B155F8" w:rsidP="00B155F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Projekt Audit Q7</w:t>
            </w:r>
          </w:p>
        </w:tc>
        <w:tc>
          <w:tcPr>
            <w:tcW w:w="150" w:type="pct"/>
            <w:tcBorders>
              <w:top w:val="nil"/>
              <w:left w:val="nil"/>
              <w:bottom w:val="nil"/>
              <w:right w:val="nil"/>
            </w:tcBorders>
            <w:shd w:val="clear" w:color="auto" w:fill="auto"/>
            <w:vAlign w:val="bottom"/>
            <w:hideMark/>
          </w:tcPr>
          <w:p w14:paraId="63F049C3"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210" w:type="pct"/>
            <w:tcBorders>
              <w:top w:val="nil"/>
              <w:left w:val="nil"/>
              <w:bottom w:val="nil"/>
              <w:right w:val="nil"/>
            </w:tcBorders>
            <w:shd w:val="clear" w:color="auto" w:fill="auto"/>
            <w:vAlign w:val="bottom"/>
          </w:tcPr>
          <w:p w14:paraId="144A997B" w14:textId="1ECD659F" w:rsidR="00B155F8" w:rsidRPr="00226892" w:rsidRDefault="009161C9" w:rsidP="00B155F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205</w:t>
            </w:r>
          </w:p>
        </w:tc>
        <w:tc>
          <w:tcPr>
            <w:tcW w:w="124" w:type="pct"/>
            <w:tcBorders>
              <w:top w:val="nil"/>
              <w:left w:val="nil"/>
              <w:bottom w:val="nil"/>
              <w:right w:val="nil"/>
            </w:tcBorders>
            <w:shd w:val="clear" w:color="auto" w:fill="auto"/>
            <w:vAlign w:val="bottom"/>
          </w:tcPr>
          <w:p w14:paraId="0CEEBCC8"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135" w:type="pct"/>
            <w:tcBorders>
              <w:top w:val="nil"/>
              <w:left w:val="nil"/>
              <w:bottom w:val="nil"/>
              <w:right w:val="nil"/>
            </w:tcBorders>
            <w:shd w:val="clear" w:color="auto" w:fill="auto"/>
            <w:vAlign w:val="bottom"/>
          </w:tcPr>
          <w:p w14:paraId="3DCD07DE" w14:textId="48C05190" w:rsidR="00B155F8" w:rsidRPr="00226892" w:rsidRDefault="00B155F8" w:rsidP="00B155F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205</w:t>
            </w:r>
          </w:p>
        </w:tc>
      </w:tr>
      <w:tr w:rsidR="00B155F8" w:rsidRPr="00226892" w14:paraId="3A627182" w14:textId="77777777" w:rsidTr="009F2B1F">
        <w:trPr>
          <w:trHeight w:val="227"/>
        </w:trPr>
        <w:tc>
          <w:tcPr>
            <w:tcW w:w="2381" w:type="pct"/>
            <w:tcBorders>
              <w:top w:val="nil"/>
              <w:left w:val="nil"/>
              <w:bottom w:val="nil"/>
              <w:right w:val="nil"/>
            </w:tcBorders>
            <w:shd w:val="clear" w:color="auto" w:fill="auto"/>
            <w:vAlign w:val="bottom"/>
            <w:hideMark/>
          </w:tcPr>
          <w:p w14:paraId="7015569B" w14:textId="79F5DE4B" w:rsidR="00B155F8" w:rsidRPr="00226892" w:rsidRDefault="00B155F8" w:rsidP="00B155F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Projekt Porsche</w:t>
            </w:r>
          </w:p>
        </w:tc>
        <w:tc>
          <w:tcPr>
            <w:tcW w:w="150" w:type="pct"/>
            <w:tcBorders>
              <w:top w:val="nil"/>
              <w:left w:val="nil"/>
              <w:bottom w:val="nil"/>
              <w:right w:val="nil"/>
            </w:tcBorders>
            <w:shd w:val="clear" w:color="auto" w:fill="auto"/>
            <w:vAlign w:val="bottom"/>
            <w:hideMark/>
          </w:tcPr>
          <w:p w14:paraId="7DA86EEB"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210" w:type="pct"/>
            <w:tcBorders>
              <w:top w:val="nil"/>
              <w:left w:val="nil"/>
              <w:bottom w:val="nil"/>
              <w:right w:val="nil"/>
            </w:tcBorders>
            <w:shd w:val="clear" w:color="auto" w:fill="auto"/>
            <w:vAlign w:val="bottom"/>
          </w:tcPr>
          <w:p w14:paraId="41B41BE4" w14:textId="1505E21F" w:rsidR="00B155F8" w:rsidRPr="00226892" w:rsidRDefault="009161C9" w:rsidP="00B155F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42</w:t>
            </w:r>
          </w:p>
        </w:tc>
        <w:tc>
          <w:tcPr>
            <w:tcW w:w="124" w:type="pct"/>
            <w:tcBorders>
              <w:top w:val="nil"/>
              <w:left w:val="nil"/>
              <w:bottom w:val="nil"/>
              <w:right w:val="nil"/>
            </w:tcBorders>
            <w:shd w:val="clear" w:color="auto" w:fill="auto"/>
            <w:vAlign w:val="bottom"/>
          </w:tcPr>
          <w:p w14:paraId="359ED0AC"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135" w:type="pct"/>
            <w:tcBorders>
              <w:top w:val="nil"/>
              <w:left w:val="nil"/>
              <w:bottom w:val="nil"/>
              <w:right w:val="nil"/>
            </w:tcBorders>
            <w:shd w:val="clear" w:color="auto" w:fill="auto"/>
            <w:vAlign w:val="bottom"/>
          </w:tcPr>
          <w:p w14:paraId="28B81DF8" w14:textId="1DC08CD1" w:rsidR="00B155F8" w:rsidRPr="00226892" w:rsidRDefault="00B155F8" w:rsidP="00B155F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42</w:t>
            </w:r>
          </w:p>
        </w:tc>
      </w:tr>
      <w:tr w:rsidR="00B155F8" w:rsidRPr="00226892" w14:paraId="71E0BB54" w14:textId="77777777" w:rsidTr="009F2B1F">
        <w:trPr>
          <w:trHeight w:val="227"/>
        </w:trPr>
        <w:tc>
          <w:tcPr>
            <w:tcW w:w="2381" w:type="pct"/>
            <w:tcBorders>
              <w:top w:val="nil"/>
              <w:left w:val="nil"/>
              <w:bottom w:val="nil"/>
              <w:right w:val="nil"/>
            </w:tcBorders>
            <w:shd w:val="clear" w:color="auto" w:fill="auto"/>
            <w:vAlign w:val="bottom"/>
            <w:hideMark/>
          </w:tcPr>
          <w:p w14:paraId="00F5358C" w14:textId="45D7385A" w:rsidR="00B155F8" w:rsidRPr="00226892" w:rsidRDefault="00B155F8" w:rsidP="00B155F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Projekt Synergie AG</w:t>
            </w:r>
          </w:p>
        </w:tc>
        <w:tc>
          <w:tcPr>
            <w:tcW w:w="150" w:type="pct"/>
            <w:tcBorders>
              <w:top w:val="nil"/>
              <w:left w:val="nil"/>
              <w:bottom w:val="nil"/>
              <w:right w:val="nil"/>
            </w:tcBorders>
            <w:shd w:val="clear" w:color="auto" w:fill="auto"/>
            <w:vAlign w:val="bottom"/>
            <w:hideMark/>
          </w:tcPr>
          <w:p w14:paraId="5A13E73E"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210" w:type="pct"/>
            <w:tcBorders>
              <w:top w:val="nil"/>
              <w:left w:val="nil"/>
              <w:bottom w:val="nil"/>
              <w:right w:val="nil"/>
            </w:tcBorders>
            <w:shd w:val="clear" w:color="auto" w:fill="auto"/>
            <w:vAlign w:val="bottom"/>
          </w:tcPr>
          <w:p w14:paraId="489B15E2" w14:textId="7EE6E153" w:rsidR="00B155F8" w:rsidRPr="00226892" w:rsidRDefault="009161C9" w:rsidP="00B155F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94</w:t>
            </w:r>
          </w:p>
        </w:tc>
        <w:tc>
          <w:tcPr>
            <w:tcW w:w="124" w:type="pct"/>
            <w:tcBorders>
              <w:top w:val="nil"/>
              <w:left w:val="nil"/>
              <w:bottom w:val="nil"/>
              <w:right w:val="nil"/>
            </w:tcBorders>
            <w:shd w:val="clear" w:color="auto" w:fill="auto"/>
            <w:vAlign w:val="bottom"/>
          </w:tcPr>
          <w:p w14:paraId="00A354AD"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135" w:type="pct"/>
            <w:tcBorders>
              <w:top w:val="nil"/>
              <w:left w:val="nil"/>
              <w:bottom w:val="nil"/>
              <w:right w:val="nil"/>
            </w:tcBorders>
            <w:shd w:val="clear" w:color="auto" w:fill="auto"/>
            <w:vAlign w:val="bottom"/>
          </w:tcPr>
          <w:p w14:paraId="14F40E99" w14:textId="7A5F1E37" w:rsidR="00B155F8" w:rsidRPr="00226892" w:rsidRDefault="00B155F8" w:rsidP="00B155F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57</w:t>
            </w:r>
          </w:p>
        </w:tc>
      </w:tr>
      <w:tr w:rsidR="00B155F8" w:rsidRPr="00226892" w14:paraId="0AD8E47B" w14:textId="77777777" w:rsidTr="009F2B1F">
        <w:trPr>
          <w:trHeight w:val="227"/>
        </w:trPr>
        <w:tc>
          <w:tcPr>
            <w:tcW w:w="2381" w:type="pct"/>
            <w:tcBorders>
              <w:top w:val="nil"/>
              <w:left w:val="nil"/>
              <w:bottom w:val="nil"/>
              <w:right w:val="nil"/>
            </w:tcBorders>
            <w:shd w:val="clear" w:color="auto" w:fill="auto"/>
            <w:vAlign w:val="bottom"/>
            <w:hideMark/>
          </w:tcPr>
          <w:p w14:paraId="41AD247C" w14:textId="715B5669" w:rsidR="00B155F8" w:rsidRPr="00226892" w:rsidRDefault="00B155F8" w:rsidP="00B155F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Iné</w:t>
            </w:r>
          </w:p>
        </w:tc>
        <w:tc>
          <w:tcPr>
            <w:tcW w:w="150" w:type="pct"/>
            <w:tcBorders>
              <w:top w:val="nil"/>
              <w:left w:val="nil"/>
              <w:bottom w:val="nil"/>
              <w:right w:val="nil"/>
            </w:tcBorders>
            <w:shd w:val="clear" w:color="auto" w:fill="auto"/>
            <w:vAlign w:val="bottom"/>
            <w:hideMark/>
          </w:tcPr>
          <w:p w14:paraId="2A5D8057"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210" w:type="pct"/>
            <w:tcBorders>
              <w:top w:val="nil"/>
              <w:left w:val="nil"/>
              <w:bottom w:val="nil"/>
              <w:right w:val="nil"/>
            </w:tcBorders>
            <w:shd w:val="clear" w:color="auto" w:fill="auto"/>
            <w:vAlign w:val="bottom"/>
          </w:tcPr>
          <w:p w14:paraId="60115488" w14:textId="2E1727EE" w:rsidR="00B155F8" w:rsidRPr="00226892" w:rsidRDefault="009161C9" w:rsidP="00B155F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220</w:t>
            </w:r>
          </w:p>
        </w:tc>
        <w:tc>
          <w:tcPr>
            <w:tcW w:w="124" w:type="pct"/>
            <w:tcBorders>
              <w:top w:val="nil"/>
              <w:left w:val="nil"/>
              <w:bottom w:val="nil"/>
              <w:right w:val="nil"/>
            </w:tcBorders>
            <w:shd w:val="clear" w:color="auto" w:fill="auto"/>
            <w:vAlign w:val="bottom"/>
          </w:tcPr>
          <w:p w14:paraId="13E4D7D3"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135" w:type="pct"/>
            <w:tcBorders>
              <w:top w:val="nil"/>
              <w:left w:val="nil"/>
              <w:bottom w:val="nil"/>
              <w:right w:val="nil"/>
            </w:tcBorders>
            <w:shd w:val="clear" w:color="auto" w:fill="auto"/>
            <w:vAlign w:val="bottom"/>
          </w:tcPr>
          <w:p w14:paraId="4D387B24" w14:textId="4963AA5B" w:rsidR="00B155F8" w:rsidRPr="00226892" w:rsidRDefault="00B155F8" w:rsidP="00B155F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223</w:t>
            </w:r>
          </w:p>
        </w:tc>
      </w:tr>
      <w:tr w:rsidR="00B155F8" w:rsidRPr="00226892" w14:paraId="75295DF4" w14:textId="77777777" w:rsidTr="009F2B1F">
        <w:trPr>
          <w:trHeight w:val="227"/>
        </w:trPr>
        <w:tc>
          <w:tcPr>
            <w:tcW w:w="2381" w:type="pct"/>
            <w:tcBorders>
              <w:top w:val="nil"/>
              <w:left w:val="nil"/>
              <w:bottom w:val="nil"/>
              <w:right w:val="nil"/>
            </w:tcBorders>
            <w:shd w:val="clear" w:color="auto" w:fill="auto"/>
            <w:vAlign w:val="bottom"/>
            <w:hideMark/>
          </w:tcPr>
          <w:p w14:paraId="15EB8C46" w14:textId="77777777" w:rsidR="00B155F8" w:rsidRPr="00226892" w:rsidRDefault="00B155F8" w:rsidP="00B155F8">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Spolu </w:t>
            </w:r>
          </w:p>
        </w:tc>
        <w:tc>
          <w:tcPr>
            <w:tcW w:w="150" w:type="pct"/>
            <w:tcBorders>
              <w:top w:val="nil"/>
              <w:left w:val="nil"/>
              <w:bottom w:val="nil"/>
              <w:right w:val="nil"/>
            </w:tcBorders>
            <w:shd w:val="clear" w:color="auto" w:fill="auto"/>
            <w:vAlign w:val="bottom"/>
            <w:hideMark/>
          </w:tcPr>
          <w:p w14:paraId="08712303" w14:textId="77777777" w:rsidR="00B155F8" w:rsidRPr="00226892" w:rsidRDefault="00B155F8" w:rsidP="00B155F8">
            <w:pPr>
              <w:jc w:val="right"/>
              <w:rPr>
                <w:rFonts w:ascii="Arial" w:eastAsia="Times New Roman" w:hAnsi="Arial" w:cs="Arial"/>
                <w:b/>
                <w:bCs/>
                <w:color w:val="000000"/>
                <w:sz w:val="18"/>
                <w:szCs w:val="18"/>
                <w:lang w:val="sk-SK" w:eastAsia="sk-SK"/>
              </w:rPr>
            </w:pPr>
          </w:p>
        </w:tc>
        <w:tc>
          <w:tcPr>
            <w:tcW w:w="1210" w:type="pct"/>
            <w:tcBorders>
              <w:top w:val="single" w:sz="4" w:space="0" w:color="auto"/>
              <w:left w:val="nil"/>
              <w:bottom w:val="double" w:sz="6" w:space="0" w:color="auto"/>
              <w:right w:val="nil"/>
            </w:tcBorders>
            <w:shd w:val="clear" w:color="auto" w:fill="auto"/>
            <w:vAlign w:val="bottom"/>
          </w:tcPr>
          <w:p w14:paraId="7758EBCD" w14:textId="0F8B372F" w:rsidR="00B155F8" w:rsidRPr="00226892" w:rsidRDefault="009161C9" w:rsidP="00B155F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561</w:t>
            </w:r>
          </w:p>
        </w:tc>
        <w:tc>
          <w:tcPr>
            <w:tcW w:w="124" w:type="pct"/>
            <w:tcBorders>
              <w:top w:val="nil"/>
              <w:left w:val="nil"/>
              <w:bottom w:val="nil"/>
              <w:right w:val="nil"/>
            </w:tcBorders>
            <w:shd w:val="clear" w:color="auto" w:fill="auto"/>
            <w:vAlign w:val="bottom"/>
          </w:tcPr>
          <w:p w14:paraId="295AFCC7" w14:textId="77777777" w:rsidR="00B155F8" w:rsidRPr="00226892" w:rsidRDefault="00B155F8" w:rsidP="00B155F8">
            <w:pPr>
              <w:jc w:val="right"/>
              <w:rPr>
                <w:rFonts w:ascii="Arial" w:eastAsia="Times New Roman" w:hAnsi="Arial" w:cs="Arial"/>
                <w:b/>
                <w:bCs/>
                <w:color w:val="000000"/>
                <w:sz w:val="18"/>
                <w:szCs w:val="18"/>
                <w:lang w:val="sk-SK" w:eastAsia="sk-SK"/>
              </w:rPr>
            </w:pPr>
          </w:p>
        </w:tc>
        <w:tc>
          <w:tcPr>
            <w:tcW w:w="1135" w:type="pct"/>
            <w:tcBorders>
              <w:top w:val="single" w:sz="4" w:space="0" w:color="auto"/>
              <w:left w:val="nil"/>
              <w:bottom w:val="double" w:sz="6" w:space="0" w:color="auto"/>
              <w:right w:val="nil"/>
            </w:tcBorders>
            <w:shd w:val="clear" w:color="auto" w:fill="auto"/>
            <w:vAlign w:val="bottom"/>
          </w:tcPr>
          <w:p w14:paraId="22A027F3" w14:textId="6AD0BC8B" w:rsidR="00B155F8" w:rsidRPr="00226892" w:rsidRDefault="00B155F8" w:rsidP="00B155F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527</w:t>
            </w:r>
          </w:p>
        </w:tc>
      </w:tr>
      <w:tr w:rsidR="00B155F8" w:rsidRPr="00226892" w14:paraId="23B2197C" w14:textId="77777777" w:rsidTr="009F2B1F">
        <w:trPr>
          <w:trHeight w:val="227"/>
        </w:trPr>
        <w:tc>
          <w:tcPr>
            <w:tcW w:w="2381" w:type="pct"/>
            <w:tcBorders>
              <w:top w:val="nil"/>
              <w:left w:val="nil"/>
              <w:bottom w:val="nil"/>
              <w:right w:val="nil"/>
            </w:tcBorders>
            <w:shd w:val="clear" w:color="auto" w:fill="auto"/>
            <w:vAlign w:val="bottom"/>
          </w:tcPr>
          <w:p w14:paraId="3F47288E" w14:textId="17A720D8" w:rsidR="00B155F8" w:rsidRPr="00226892" w:rsidRDefault="00B155F8" w:rsidP="00B155F8">
            <w:pPr>
              <w:rPr>
                <w:rFonts w:ascii="Arial" w:eastAsia="Times New Roman" w:hAnsi="Arial" w:cs="Arial"/>
                <w:color w:val="000000"/>
                <w:sz w:val="18"/>
                <w:szCs w:val="18"/>
                <w:lang w:val="sk-SK" w:eastAsia="sk-SK"/>
              </w:rPr>
            </w:pPr>
          </w:p>
        </w:tc>
        <w:tc>
          <w:tcPr>
            <w:tcW w:w="150" w:type="pct"/>
            <w:tcBorders>
              <w:top w:val="nil"/>
              <w:left w:val="nil"/>
              <w:bottom w:val="nil"/>
              <w:right w:val="nil"/>
            </w:tcBorders>
            <w:shd w:val="clear" w:color="auto" w:fill="auto"/>
            <w:vAlign w:val="bottom"/>
          </w:tcPr>
          <w:p w14:paraId="27EB9C64"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210" w:type="pct"/>
            <w:tcBorders>
              <w:top w:val="nil"/>
              <w:left w:val="nil"/>
              <w:bottom w:val="nil"/>
              <w:right w:val="nil"/>
            </w:tcBorders>
            <w:shd w:val="clear" w:color="auto" w:fill="auto"/>
            <w:vAlign w:val="bottom"/>
          </w:tcPr>
          <w:p w14:paraId="14DB62C6"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24" w:type="pct"/>
            <w:tcBorders>
              <w:top w:val="nil"/>
              <w:left w:val="nil"/>
              <w:bottom w:val="nil"/>
              <w:right w:val="nil"/>
            </w:tcBorders>
            <w:shd w:val="clear" w:color="auto" w:fill="auto"/>
            <w:vAlign w:val="bottom"/>
          </w:tcPr>
          <w:p w14:paraId="3F69137B"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135" w:type="pct"/>
            <w:tcBorders>
              <w:top w:val="nil"/>
              <w:left w:val="nil"/>
              <w:bottom w:val="nil"/>
              <w:right w:val="nil"/>
            </w:tcBorders>
            <w:shd w:val="clear" w:color="auto" w:fill="auto"/>
            <w:vAlign w:val="bottom"/>
          </w:tcPr>
          <w:p w14:paraId="3D1D2F73" w14:textId="77777777" w:rsidR="00B155F8" w:rsidRPr="00226892" w:rsidRDefault="00B155F8" w:rsidP="00B155F8">
            <w:pPr>
              <w:jc w:val="right"/>
              <w:rPr>
                <w:rFonts w:ascii="Arial" w:eastAsia="Times New Roman" w:hAnsi="Arial" w:cs="Arial"/>
                <w:color w:val="000000"/>
                <w:sz w:val="18"/>
                <w:szCs w:val="18"/>
                <w:lang w:val="sk-SK" w:eastAsia="sk-SK"/>
              </w:rPr>
            </w:pPr>
          </w:p>
        </w:tc>
      </w:tr>
      <w:tr w:rsidR="00B155F8" w:rsidRPr="00226892" w14:paraId="0B60CB60" w14:textId="77777777" w:rsidTr="009F2B1F">
        <w:trPr>
          <w:trHeight w:val="227"/>
        </w:trPr>
        <w:tc>
          <w:tcPr>
            <w:tcW w:w="2381" w:type="pct"/>
            <w:tcBorders>
              <w:top w:val="nil"/>
              <w:left w:val="nil"/>
              <w:bottom w:val="nil"/>
              <w:right w:val="nil"/>
            </w:tcBorders>
            <w:shd w:val="clear" w:color="auto" w:fill="auto"/>
            <w:vAlign w:val="bottom"/>
            <w:hideMark/>
          </w:tcPr>
          <w:p w14:paraId="02886133" w14:textId="66F8B2BF" w:rsidR="00B155F8" w:rsidRPr="00226892" w:rsidRDefault="00B155F8" w:rsidP="00B155F8">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Náklady budúcich období - dlhodobé</w:t>
            </w:r>
          </w:p>
        </w:tc>
        <w:tc>
          <w:tcPr>
            <w:tcW w:w="150" w:type="pct"/>
            <w:tcBorders>
              <w:top w:val="nil"/>
              <w:left w:val="nil"/>
              <w:bottom w:val="nil"/>
              <w:right w:val="nil"/>
            </w:tcBorders>
            <w:shd w:val="clear" w:color="auto" w:fill="auto"/>
            <w:vAlign w:val="bottom"/>
            <w:hideMark/>
          </w:tcPr>
          <w:p w14:paraId="45058904"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210" w:type="pct"/>
            <w:tcBorders>
              <w:top w:val="nil"/>
              <w:left w:val="nil"/>
              <w:bottom w:val="nil"/>
              <w:right w:val="nil"/>
            </w:tcBorders>
            <w:shd w:val="clear" w:color="auto" w:fill="auto"/>
            <w:vAlign w:val="bottom"/>
          </w:tcPr>
          <w:p w14:paraId="00662DBC"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24" w:type="pct"/>
            <w:tcBorders>
              <w:top w:val="nil"/>
              <w:left w:val="nil"/>
              <w:bottom w:val="nil"/>
              <w:right w:val="nil"/>
            </w:tcBorders>
            <w:shd w:val="clear" w:color="auto" w:fill="auto"/>
            <w:vAlign w:val="bottom"/>
          </w:tcPr>
          <w:p w14:paraId="6AF53027"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135" w:type="pct"/>
            <w:tcBorders>
              <w:top w:val="nil"/>
              <w:left w:val="nil"/>
              <w:bottom w:val="nil"/>
              <w:right w:val="nil"/>
            </w:tcBorders>
            <w:shd w:val="clear" w:color="auto" w:fill="auto"/>
            <w:vAlign w:val="bottom"/>
          </w:tcPr>
          <w:p w14:paraId="5B454479" w14:textId="77777777" w:rsidR="00B155F8" w:rsidRPr="00226892" w:rsidRDefault="00B155F8" w:rsidP="00B155F8">
            <w:pPr>
              <w:jc w:val="right"/>
              <w:rPr>
                <w:rFonts w:ascii="Arial" w:eastAsia="Times New Roman" w:hAnsi="Arial" w:cs="Arial"/>
                <w:color w:val="000000"/>
                <w:sz w:val="18"/>
                <w:szCs w:val="18"/>
                <w:lang w:val="sk-SK" w:eastAsia="sk-SK"/>
              </w:rPr>
            </w:pPr>
          </w:p>
        </w:tc>
      </w:tr>
      <w:tr w:rsidR="00B155F8" w:rsidRPr="00226892" w14:paraId="29EA2C02" w14:textId="77777777" w:rsidTr="009F2B1F">
        <w:trPr>
          <w:trHeight w:val="227"/>
        </w:trPr>
        <w:tc>
          <w:tcPr>
            <w:tcW w:w="2381" w:type="pct"/>
            <w:tcBorders>
              <w:top w:val="nil"/>
              <w:left w:val="nil"/>
              <w:bottom w:val="nil"/>
              <w:right w:val="nil"/>
            </w:tcBorders>
            <w:shd w:val="clear" w:color="auto" w:fill="auto"/>
            <w:vAlign w:val="bottom"/>
            <w:hideMark/>
          </w:tcPr>
          <w:p w14:paraId="1B66C731" w14:textId="5A046A6E" w:rsidR="00B155F8" w:rsidRPr="00226892" w:rsidRDefault="00B155F8" w:rsidP="00B155F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Projekt Audi Q7</w:t>
            </w:r>
          </w:p>
        </w:tc>
        <w:tc>
          <w:tcPr>
            <w:tcW w:w="150" w:type="pct"/>
            <w:tcBorders>
              <w:top w:val="nil"/>
              <w:left w:val="nil"/>
              <w:bottom w:val="nil"/>
              <w:right w:val="nil"/>
            </w:tcBorders>
            <w:shd w:val="clear" w:color="auto" w:fill="auto"/>
            <w:vAlign w:val="bottom"/>
            <w:hideMark/>
          </w:tcPr>
          <w:p w14:paraId="50F467CF"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210" w:type="pct"/>
            <w:tcBorders>
              <w:top w:val="nil"/>
              <w:left w:val="nil"/>
              <w:bottom w:val="nil"/>
              <w:right w:val="nil"/>
            </w:tcBorders>
            <w:shd w:val="clear" w:color="auto" w:fill="auto"/>
            <w:vAlign w:val="bottom"/>
          </w:tcPr>
          <w:p w14:paraId="4B3F5534" w14:textId="64DE22B8" w:rsidR="00B155F8" w:rsidRPr="00226892" w:rsidRDefault="009161C9" w:rsidP="00B155F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743</w:t>
            </w:r>
          </w:p>
        </w:tc>
        <w:tc>
          <w:tcPr>
            <w:tcW w:w="124" w:type="pct"/>
            <w:tcBorders>
              <w:top w:val="nil"/>
              <w:left w:val="nil"/>
              <w:bottom w:val="nil"/>
              <w:right w:val="nil"/>
            </w:tcBorders>
            <w:shd w:val="clear" w:color="auto" w:fill="auto"/>
            <w:vAlign w:val="bottom"/>
          </w:tcPr>
          <w:p w14:paraId="57B48009"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135" w:type="pct"/>
            <w:tcBorders>
              <w:top w:val="nil"/>
              <w:left w:val="nil"/>
              <w:bottom w:val="nil"/>
              <w:right w:val="nil"/>
            </w:tcBorders>
            <w:shd w:val="clear" w:color="auto" w:fill="auto"/>
            <w:vAlign w:val="bottom"/>
          </w:tcPr>
          <w:p w14:paraId="42A0B26F" w14:textId="38E6E15C" w:rsidR="00B155F8" w:rsidRPr="00226892" w:rsidRDefault="00B155F8" w:rsidP="00B155F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948</w:t>
            </w:r>
          </w:p>
        </w:tc>
      </w:tr>
      <w:tr w:rsidR="00B155F8" w:rsidRPr="00226892" w14:paraId="5E40F1CF" w14:textId="77777777" w:rsidTr="009F2B1F">
        <w:trPr>
          <w:trHeight w:val="227"/>
        </w:trPr>
        <w:tc>
          <w:tcPr>
            <w:tcW w:w="2381" w:type="pct"/>
            <w:tcBorders>
              <w:top w:val="nil"/>
              <w:left w:val="nil"/>
              <w:bottom w:val="nil"/>
              <w:right w:val="nil"/>
            </w:tcBorders>
            <w:shd w:val="clear" w:color="auto" w:fill="auto"/>
            <w:vAlign w:val="bottom"/>
            <w:hideMark/>
          </w:tcPr>
          <w:p w14:paraId="59EF6E64" w14:textId="77777777" w:rsidR="00B155F8" w:rsidRPr="00226892" w:rsidRDefault="00B155F8" w:rsidP="00B155F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Projekt Porsche</w:t>
            </w:r>
          </w:p>
        </w:tc>
        <w:tc>
          <w:tcPr>
            <w:tcW w:w="150" w:type="pct"/>
            <w:tcBorders>
              <w:top w:val="nil"/>
              <w:left w:val="nil"/>
              <w:bottom w:val="nil"/>
              <w:right w:val="nil"/>
            </w:tcBorders>
            <w:shd w:val="clear" w:color="auto" w:fill="auto"/>
            <w:vAlign w:val="bottom"/>
            <w:hideMark/>
          </w:tcPr>
          <w:p w14:paraId="516AD3E2"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210" w:type="pct"/>
            <w:tcBorders>
              <w:top w:val="nil"/>
              <w:left w:val="nil"/>
              <w:bottom w:val="nil"/>
              <w:right w:val="nil"/>
            </w:tcBorders>
            <w:shd w:val="clear" w:color="auto" w:fill="auto"/>
            <w:vAlign w:val="bottom"/>
          </w:tcPr>
          <w:p w14:paraId="0A4F71FA" w14:textId="0C604B36" w:rsidR="00B155F8" w:rsidRPr="00226892" w:rsidRDefault="009161C9" w:rsidP="00B155F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202</w:t>
            </w:r>
          </w:p>
        </w:tc>
        <w:tc>
          <w:tcPr>
            <w:tcW w:w="124" w:type="pct"/>
            <w:tcBorders>
              <w:top w:val="nil"/>
              <w:left w:val="nil"/>
              <w:bottom w:val="nil"/>
              <w:right w:val="nil"/>
            </w:tcBorders>
            <w:shd w:val="clear" w:color="auto" w:fill="auto"/>
            <w:vAlign w:val="bottom"/>
          </w:tcPr>
          <w:p w14:paraId="24D43460"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135" w:type="pct"/>
            <w:tcBorders>
              <w:top w:val="nil"/>
              <w:left w:val="nil"/>
              <w:bottom w:val="nil"/>
              <w:right w:val="nil"/>
            </w:tcBorders>
            <w:shd w:val="clear" w:color="auto" w:fill="auto"/>
            <w:vAlign w:val="bottom"/>
          </w:tcPr>
          <w:p w14:paraId="7BEA1552" w14:textId="6532005A" w:rsidR="00B155F8" w:rsidRPr="00226892" w:rsidRDefault="00B155F8" w:rsidP="00B155F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244</w:t>
            </w:r>
          </w:p>
        </w:tc>
      </w:tr>
      <w:tr w:rsidR="00B155F8" w:rsidRPr="00226892" w14:paraId="0625676E" w14:textId="77777777" w:rsidTr="009F2B1F">
        <w:trPr>
          <w:trHeight w:val="227"/>
        </w:trPr>
        <w:tc>
          <w:tcPr>
            <w:tcW w:w="2381" w:type="pct"/>
            <w:tcBorders>
              <w:top w:val="nil"/>
              <w:left w:val="nil"/>
              <w:bottom w:val="nil"/>
              <w:right w:val="nil"/>
            </w:tcBorders>
            <w:shd w:val="clear" w:color="auto" w:fill="auto"/>
            <w:vAlign w:val="bottom"/>
            <w:hideMark/>
          </w:tcPr>
          <w:p w14:paraId="7CC57D4A" w14:textId="77777777" w:rsidR="00B155F8" w:rsidRPr="00226892" w:rsidRDefault="00B155F8" w:rsidP="00B155F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Projekt Synergie AG</w:t>
            </w:r>
          </w:p>
        </w:tc>
        <w:tc>
          <w:tcPr>
            <w:tcW w:w="150" w:type="pct"/>
            <w:tcBorders>
              <w:top w:val="nil"/>
              <w:left w:val="nil"/>
              <w:bottom w:val="nil"/>
              <w:right w:val="nil"/>
            </w:tcBorders>
            <w:shd w:val="clear" w:color="auto" w:fill="auto"/>
            <w:vAlign w:val="bottom"/>
            <w:hideMark/>
          </w:tcPr>
          <w:p w14:paraId="3F646D81"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210" w:type="pct"/>
            <w:tcBorders>
              <w:top w:val="nil"/>
              <w:left w:val="nil"/>
              <w:bottom w:val="single" w:sz="4" w:space="0" w:color="auto"/>
              <w:right w:val="nil"/>
            </w:tcBorders>
            <w:shd w:val="clear" w:color="auto" w:fill="auto"/>
            <w:vAlign w:val="bottom"/>
          </w:tcPr>
          <w:p w14:paraId="0AC9BDD1" w14:textId="4A445D34" w:rsidR="00B155F8" w:rsidRPr="00226892" w:rsidRDefault="009161C9" w:rsidP="00B155F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351</w:t>
            </w:r>
          </w:p>
        </w:tc>
        <w:tc>
          <w:tcPr>
            <w:tcW w:w="124" w:type="pct"/>
            <w:tcBorders>
              <w:top w:val="nil"/>
              <w:left w:val="nil"/>
              <w:bottom w:val="nil"/>
              <w:right w:val="nil"/>
            </w:tcBorders>
            <w:shd w:val="clear" w:color="auto" w:fill="auto"/>
            <w:vAlign w:val="bottom"/>
          </w:tcPr>
          <w:p w14:paraId="7883A721" w14:textId="77777777" w:rsidR="00B155F8" w:rsidRPr="00226892" w:rsidRDefault="00B155F8" w:rsidP="00B155F8">
            <w:pPr>
              <w:jc w:val="right"/>
              <w:rPr>
                <w:rFonts w:ascii="Arial" w:eastAsia="Times New Roman" w:hAnsi="Arial" w:cs="Arial"/>
                <w:color w:val="000000"/>
                <w:sz w:val="18"/>
                <w:szCs w:val="18"/>
                <w:lang w:val="sk-SK" w:eastAsia="sk-SK"/>
              </w:rPr>
            </w:pPr>
          </w:p>
        </w:tc>
        <w:tc>
          <w:tcPr>
            <w:tcW w:w="1135" w:type="pct"/>
            <w:tcBorders>
              <w:top w:val="nil"/>
              <w:left w:val="nil"/>
              <w:bottom w:val="single" w:sz="4" w:space="0" w:color="auto"/>
              <w:right w:val="nil"/>
            </w:tcBorders>
            <w:shd w:val="clear" w:color="auto" w:fill="auto"/>
            <w:vAlign w:val="bottom"/>
          </w:tcPr>
          <w:p w14:paraId="6DAFA3A2" w14:textId="3BB86BEF" w:rsidR="00B155F8" w:rsidRPr="00226892" w:rsidRDefault="00B155F8" w:rsidP="00B155F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414</w:t>
            </w:r>
          </w:p>
        </w:tc>
      </w:tr>
      <w:tr w:rsidR="00D5562C" w:rsidRPr="00226892" w14:paraId="7CC9B2E3" w14:textId="77777777" w:rsidTr="009F2B1F">
        <w:trPr>
          <w:trHeight w:val="227"/>
        </w:trPr>
        <w:tc>
          <w:tcPr>
            <w:tcW w:w="2381" w:type="pct"/>
            <w:tcBorders>
              <w:top w:val="nil"/>
              <w:left w:val="nil"/>
              <w:right w:val="nil"/>
            </w:tcBorders>
            <w:shd w:val="clear" w:color="auto" w:fill="auto"/>
            <w:vAlign w:val="bottom"/>
            <w:hideMark/>
          </w:tcPr>
          <w:p w14:paraId="16B8613A" w14:textId="77777777" w:rsidR="00D5562C" w:rsidRPr="00226892" w:rsidRDefault="00D5562C" w:rsidP="005020AA">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Spolu </w:t>
            </w:r>
          </w:p>
        </w:tc>
        <w:tc>
          <w:tcPr>
            <w:tcW w:w="150" w:type="pct"/>
            <w:tcBorders>
              <w:top w:val="nil"/>
              <w:left w:val="nil"/>
              <w:right w:val="nil"/>
            </w:tcBorders>
            <w:shd w:val="clear" w:color="auto" w:fill="auto"/>
            <w:vAlign w:val="bottom"/>
            <w:hideMark/>
          </w:tcPr>
          <w:p w14:paraId="3A769E1A" w14:textId="77777777" w:rsidR="00D5562C" w:rsidRPr="00226892" w:rsidRDefault="00D5562C" w:rsidP="005020AA">
            <w:pPr>
              <w:jc w:val="right"/>
              <w:rPr>
                <w:rFonts w:ascii="Arial" w:eastAsia="Times New Roman" w:hAnsi="Arial" w:cs="Arial"/>
                <w:b/>
                <w:bCs/>
                <w:color w:val="000000"/>
                <w:sz w:val="18"/>
                <w:szCs w:val="18"/>
                <w:lang w:val="sk-SK" w:eastAsia="sk-SK"/>
              </w:rPr>
            </w:pPr>
          </w:p>
        </w:tc>
        <w:tc>
          <w:tcPr>
            <w:tcW w:w="1210" w:type="pct"/>
            <w:tcBorders>
              <w:top w:val="single" w:sz="4" w:space="0" w:color="auto"/>
              <w:left w:val="nil"/>
              <w:bottom w:val="double" w:sz="4" w:space="0" w:color="auto"/>
              <w:right w:val="nil"/>
            </w:tcBorders>
            <w:shd w:val="clear" w:color="auto" w:fill="auto"/>
            <w:vAlign w:val="bottom"/>
          </w:tcPr>
          <w:p w14:paraId="739C0F7A" w14:textId="77777777" w:rsidR="00D5562C" w:rsidRPr="00226892" w:rsidRDefault="00D5562C" w:rsidP="005020AA">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1 296</w:t>
            </w:r>
          </w:p>
        </w:tc>
        <w:tc>
          <w:tcPr>
            <w:tcW w:w="124" w:type="pct"/>
            <w:tcBorders>
              <w:top w:val="nil"/>
              <w:left w:val="nil"/>
              <w:right w:val="nil"/>
            </w:tcBorders>
            <w:shd w:val="clear" w:color="auto" w:fill="auto"/>
            <w:vAlign w:val="bottom"/>
          </w:tcPr>
          <w:p w14:paraId="450AB8D3" w14:textId="77777777" w:rsidR="00D5562C" w:rsidRPr="00226892" w:rsidRDefault="00D5562C" w:rsidP="005020AA">
            <w:pPr>
              <w:jc w:val="right"/>
              <w:rPr>
                <w:rFonts w:ascii="Arial" w:eastAsia="Times New Roman" w:hAnsi="Arial" w:cs="Arial"/>
                <w:b/>
                <w:bCs/>
                <w:color w:val="000000"/>
                <w:sz w:val="18"/>
                <w:szCs w:val="18"/>
                <w:lang w:val="sk-SK" w:eastAsia="sk-SK"/>
              </w:rPr>
            </w:pPr>
          </w:p>
        </w:tc>
        <w:tc>
          <w:tcPr>
            <w:tcW w:w="1135" w:type="pct"/>
            <w:tcBorders>
              <w:top w:val="single" w:sz="4" w:space="0" w:color="auto"/>
              <w:left w:val="nil"/>
              <w:bottom w:val="double" w:sz="4" w:space="0" w:color="auto"/>
              <w:right w:val="nil"/>
            </w:tcBorders>
            <w:shd w:val="clear" w:color="auto" w:fill="auto"/>
            <w:vAlign w:val="bottom"/>
          </w:tcPr>
          <w:p w14:paraId="47615A15" w14:textId="77777777" w:rsidR="00D5562C" w:rsidRPr="00226892" w:rsidRDefault="00D5562C" w:rsidP="005020AA">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1 606</w:t>
            </w:r>
          </w:p>
        </w:tc>
      </w:tr>
      <w:tr w:rsidR="00D5562C" w:rsidRPr="00226892" w14:paraId="383CD724" w14:textId="77777777" w:rsidTr="009F2B1F">
        <w:trPr>
          <w:trHeight w:val="227"/>
        </w:trPr>
        <w:tc>
          <w:tcPr>
            <w:tcW w:w="2381" w:type="pct"/>
            <w:tcBorders>
              <w:left w:val="nil"/>
              <w:right w:val="nil"/>
            </w:tcBorders>
            <w:shd w:val="clear" w:color="auto" w:fill="auto"/>
            <w:vAlign w:val="bottom"/>
          </w:tcPr>
          <w:p w14:paraId="60E0B7CF" w14:textId="6716DCEA" w:rsidR="00D5562C" w:rsidRPr="00226892" w:rsidRDefault="00D5562C" w:rsidP="005020AA">
            <w:pPr>
              <w:rPr>
                <w:rFonts w:ascii="Arial" w:eastAsia="Times New Roman" w:hAnsi="Arial" w:cs="Arial"/>
                <w:b/>
                <w:bCs/>
                <w:color w:val="000000"/>
                <w:sz w:val="18"/>
                <w:szCs w:val="18"/>
                <w:lang w:val="sk-SK" w:eastAsia="sk-SK"/>
              </w:rPr>
            </w:pPr>
          </w:p>
        </w:tc>
        <w:tc>
          <w:tcPr>
            <w:tcW w:w="150" w:type="pct"/>
            <w:tcBorders>
              <w:left w:val="nil"/>
              <w:right w:val="nil"/>
            </w:tcBorders>
            <w:shd w:val="clear" w:color="auto" w:fill="auto"/>
            <w:vAlign w:val="bottom"/>
          </w:tcPr>
          <w:p w14:paraId="27F85818" w14:textId="77777777" w:rsidR="00D5562C" w:rsidRPr="00226892" w:rsidRDefault="00D5562C" w:rsidP="005020AA">
            <w:pPr>
              <w:jc w:val="right"/>
              <w:rPr>
                <w:rFonts w:ascii="Arial" w:eastAsia="Times New Roman" w:hAnsi="Arial" w:cs="Arial"/>
                <w:b/>
                <w:bCs/>
                <w:color w:val="000000"/>
                <w:sz w:val="18"/>
                <w:szCs w:val="18"/>
                <w:lang w:val="sk-SK" w:eastAsia="sk-SK"/>
              </w:rPr>
            </w:pPr>
          </w:p>
        </w:tc>
        <w:tc>
          <w:tcPr>
            <w:tcW w:w="1210" w:type="pct"/>
            <w:tcBorders>
              <w:top w:val="double" w:sz="4" w:space="0" w:color="auto"/>
              <w:left w:val="nil"/>
              <w:right w:val="nil"/>
            </w:tcBorders>
            <w:shd w:val="clear" w:color="auto" w:fill="auto"/>
            <w:vAlign w:val="bottom"/>
          </w:tcPr>
          <w:p w14:paraId="7D5846AA" w14:textId="1D9E9069" w:rsidR="00D5562C" w:rsidRPr="00226892" w:rsidRDefault="00D5562C" w:rsidP="005020AA">
            <w:pPr>
              <w:jc w:val="right"/>
              <w:rPr>
                <w:rFonts w:ascii="Arial" w:eastAsia="Times New Roman" w:hAnsi="Arial" w:cs="Arial"/>
                <w:b/>
                <w:bCs/>
                <w:color w:val="000000"/>
                <w:sz w:val="18"/>
                <w:szCs w:val="18"/>
                <w:lang w:val="sk-SK" w:eastAsia="sk-SK"/>
              </w:rPr>
            </w:pPr>
          </w:p>
        </w:tc>
        <w:tc>
          <w:tcPr>
            <w:tcW w:w="124" w:type="pct"/>
            <w:tcBorders>
              <w:left w:val="nil"/>
              <w:right w:val="nil"/>
            </w:tcBorders>
            <w:shd w:val="clear" w:color="auto" w:fill="auto"/>
            <w:vAlign w:val="bottom"/>
          </w:tcPr>
          <w:p w14:paraId="3E9BDF92" w14:textId="77777777" w:rsidR="00D5562C" w:rsidRPr="00226892" w:rsidRDefault="00D5562C" w:rsidP="005020AA">
            <w:pPr>
              <w:jc w:val="right"/>
              <w:rPr>
                <w:rFonts w:ascii="Arial" w:eastAsia="Times New Roman" w:hAnsi="Arial" w:cs="Arial"/>
                <w:b/>
                <w:bCs/>
                <w:color w:val="000000"/>
                <w:sz w:val="18"/>
                <w:szCs w:val="18"/>
                <w:lang w:val="sk-SK" w:eastAsia="sk-SK"/>
              </w:rPr>
            </w:pPr>
          </w:p>
        </w:tc>
        <w:tc>
          <w:tcPr>
            <w:tcW w:w="1135" w:type="pct"/>
            <w:tcBorders>
              <w:top w:val="double" w:sz="4" w:space="0" w:color="auto"/>
              <w:left w:val="nil"/>
              <w:right w:val="nil"/>
            </w:tcBorders>
            <w:shd w:val="clear" w:color="auto" w:fill="auto"/>
            <w:vAlign w:val="bottom"/>
          </w:tcPr>
          <w:p w14:paraId="7CDCA898" w14:textId="666A7886" w:rsidR="00D5562C" w:rsidRPr="00226892" w:rsidRDefault="00D5562C" w:rsidP="005020AA">
            <w:pPr>
              <w:jc w:val="right"/>
              <w:rPr>
                <w:rFonts w:ascii="Arial" w:eastAsia="Times New Roman" w:hAnsi="Arial" w:cs="Arial"/>
                <w:b/>
                <w:bCs/>
                <w:color w:val="000000"/>
                <w:sz w:val="18"/>
                <w:szCs w:val="18"/>
                <w:lang w:val="sk-SK" w:eastAsia="sk-SK"/>
              </w:rPr>
            </w:pPr>
          </w:p>
        </w:tc>
      </w:tr>
      <w:tr w:rsidR="00D5562C" w:rsidRPr="00226892" w14:paraId="7B8CDF96" w14:textId="77777777" w:rsidTr="009F2B1F">
        <w:trPr>
          <w:trHeight w:val="227"/>
        </w:trPr>
        <w:tc>
          <w:tcPr>
            <w:tcW w:w="2381" w:type="pct"/>
            <w:tcBorders>
              <w:left w:val="nil"/>
              <w:bottom w:val="nil"/>
              <w:right w:val="nil"/>
            </w:tcBorders>
            <w:shd w:val="clear" w:color="auto" w:fill="auto"/>
            <w:vAlign w:val="bottom"/>
            <w:hideMark/>
          </w:tcPr>
          <w:p w14:paraId="111646BD" w14:textId="559867E0" w:rsidR="00D5562C" w:rsidRPr="00226892" w:rsidRDefault="00D5562C" w:rsidP="005020AA">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Spolu ostatný dlhodobý majetok</w:t>
            </w:r>
          </w:p>
        </w:tc>
        <w:tc>
          <w:tcPr>
            <w:tcW w:w="150" w:type="pct"/>
            <w:tcBorders>
              <w:left w:val="nil"/>
              <w:bottom w:val="nil"/>
              <w:right w:val="nil"/>
            </w:tcBorders>
            <w:shd w:val="clear" w:color="auto" w:fill="auto"/>
            <w:vAlign w:val="bottom"/>
            <w:hideMark/>
          </w:tcPr>
          <w:p w14:paraId="1EA47F27" w14:textId="77777777" w:rsidR="00D5562C" w:rsidRPr="00226892" w:rsidRDefault="00D5562C" w:rsidP="005020AA">
            <w:pPr>
              <w:jc w:val="right"/>
              <w:rPr>
                <w:rFonts w:ascii="Arial" w:eastAsia="Times New Roman" w:hAnsi="Arial" w:cs="Arial"/>
                <w:b/>
                <w:bCs/>
                <w:color w:val="000000"/>
                <w:sz w:val="18"/>
                <w:szCs w:val="18"/>
                <w:lang w:val="sk-SK" w:eastAsia="sk-SK"/>
              </w:rPr>
            </w:pPr>
          </w:p>
        </w:tc>
        <w:tc>
          <w:tcPr>
            <w:tcW w:w="1210" w:type="pct"/>
            <w:tcBorders>
              <w:left w:val="nil"/>
              <w:bottom w:val="double" w:sz="6" w:space="0" w:color="auto"/>
              <w:right w:val="nil"/>
            </w:tcBorders>
            <w:shd w:val="clear" w:color="auto" w:fill="auto"/>
            <w:vAlign w:val="bottom"/>
          </w:tcPr>
          <w:p w14:paraId="27AEC161" w14:textId="33E307D4" w:rsidR="00D5562C" w:rsidRPr="00226892" w:rsidRDefault="00D5562C" w:rsidP="005020AA">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1 992</w:t>
            </w:r>
          </w:p>
        </w:tc>
        <w:tc>
          <w:tcPr>
            <w:tcW w:w="124" w:type="pct"/>
            <w:tcBorders>
              <w:left w:val="nil"/>
              <w:bottom w:val="nil"/>
              <w:right w:val="nil"/>
            </w:tcBorders>
            <w:shd w:val="clear" w:color="auto" w:fill="auto"/>
            <w:vAlign w:val="bottom"/>
          </w:tcPr>
          <w:p w14:paraId="763D6147" w14:textId="77777777" w:rsidR="00D5562C" w:rsidRPr="00226892" w:rsidRDefault="00D5562C" w:rsidP="005020AA">
            <w:pPr>
              <w:jc w:val="right"/>
              <w:rPr>
                <w:rFonts w:ascii="Arial" w:eastAsia="Times New Roman" w:hAnsi="Arial" w:cs="Arial"/>
                <w:b/>
                <w:bCs/>
                <w:color w:val="000000"/>
                <w:sz w:val="18"/>
                <w:szCs w:val="18"/>
                <w:lang w:val="sk-SK" w:eastAsia="sk-SK"/>
              </w:rPr>
            </w:pPr>
          </w:p>
        </w:tc>
        <w:tc>
          <w:tcPr>
            <w:tcW w:w="1135" w:type="pct"/>
            <w:tcBorders>
              <w:left w:val="nil"/>
              <w:bottom w:val="double" w:sz="6" w:space="0" w:color="auto"/>
              <w:right w:val="nil"/>
            </w:tcBorders>
            <w:shd w:val="clear" w:color="auto" w:fill="auto"/>
            <w:vAlign w:val="bottom"/>
          </w:tcPr>
          <w:p w14:paraId="2BC9E618" w14:textId="198D211B" w:rsidR="00D5562C" w:rsidRPr="00226892" w:rsidRDefault="00D5562C" w:rsidP="005020AA">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1 606</w:t>
            </w:r>
          </w:p>
        </w:tc>
      </w:tr>
      <w:tr w:rsidR="00B155F8" w:rsidRPr="00226892" w14:paraId="6A00A461" w14:textId="77777777" w:rsidTr="009F2B1F">
        <w:trPr>
          <w:trHeight w:val="227"/>
        </w:trPr>
        <w:tc>
          <w:tcPr>
            <w:tcW w:w="2381" w:type="pct"/>
            <w:tcBorders>
              <w:top w:val="nil"/>
              <w:left w:val="nil"/>
              <w:bottom w:val="nil"/>
              <w:right w:val="nil"/>
            </w:tcBorders>
            <w:shd w:val="clear" w:color="auto" w:fill="auto"/>
            <w:vAlign w:val="bottom"/>
            <w:hideMark/>
          </w:tcPr>
          <w:p w14:paraId="661969D8" w14:textId="0E0C70E0" w:rsidR="00B155F8" w:rsidRPr="00226892" w:rsidRDefault="00B155F8" w:rsidP="00B155F8">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Spolu </w:t>
            </w:r>
            <w:r w:rsidR="00D5562C" w:rsidRPr="00226892">
              <w:rPr>
                <w:rFonts w:ascii="Arial" w:eastAsia="Times New Roman" w:hAnsi="Arial" w:cs="Arial"/>
                <w:b/>
                <w:bCs/>
                <w:color w:val="000000"/>
                <w:sz w:val="18"/>
                <w:szCs w:val="18"/>
                <w:lang w:val="sk-SK" w:eastAsia="sk-SK"/>
              </w:rPr>
              <w:t>ostatný krátkodobý majetok</w:t>
            </w:r>
          </w:p>
        </w:tc>
        <w:tc>
          <w:tcPr>
            <w:tcW w:w="150" w:type="pct"/>
            <w:tcBorders>
              <w:top w:val="nil"/>
              <w:left w:val="nil"/>
              <w:bottom w:val="nil"/>
              <w:right w:val="nil"/>
            </w:tcBorders>
            <w:shd w:val="clear" w:color="auto" w:fill="auto"/>
            <w:vAlign w:val="bottom"/>
            <w:hideMark/>
          </w:tcPr>
          <w:p w14:paraId="77FE7282" w14:textId="77777777" w:rsidR="00B155F8" w:rsidRPr="00226892" w:rsidRDefault="00B155F8" w:rsidP="00B155F8">
            <w:pPr>
              <w:jc w:val="right"/>
              <w:rPr>
                <w:rFonts w:ascii="Arial" w:eastAsia="Times New Roman" w:hAnsi="Arial" w:cs="Arial"/>
                <w:b/>
                <w:bCs/>
                <w:color w:val="000000"/>
                <w:sz w:val="18"/>
                <w:szCs w:val="18"/>
                <w:lang w:val="sk-SK" w:eastAsia="sk-SK"/>
              </w:rPr>
            </w:pPr>
          </w:p>
        </w:tc>
        <w:tc>
          <w:tcPr>
            <w:tcW w:w="1210" w:type="pct"/>
            <w:tcBorders>
              <w:top w:val="single" w:sz="4" w:space="0" w:color="auto"/>
              <w:left w:val="nil"/>
              <w:bottom w:val="double" w:sz="6" w:space="0" w:color="auto"/>
              <w:right w:val="nil"/>
            </w:tcBorders>
            <w:shd w:val="clear" w:color="auto" w:fill="auto"/>
            <w:vAlign w:val="bottom"/>
          </w:tcPr>
          <w:p w14:paraId="777BECC5" w14:textId="41136F1B" w:rsidR="00B155F8" w:rsidRPr="00226892" w:rsidRDefault="00D5562C" w:rsidP="00B155F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1 257</w:t>
            </w:r>
          </w:p>
        </w:tc>
        <w:tc>
          <w:tcPr>
            <w:tcW w:w="124" w:type="pct"/>
            <w:tcBorders>
              <w:top w:val="nil"/>
              <w:left w:val="nil"/>
              <w:bottom w:val="nil"/>
              <w:right w:val="nil"/>
            </w:tcBorders>
            <w:shd w:val="clear" w:color="auto" w:fill="auto"/>
            <w:vAlign w:val="bottom"/>
          </w:tcPr>
          <w:p w14:paraId="68373208" w14:textId="77777777" w:rsidR="00B155F8" w:rsidRPr="00226892" w:rsidRDefault="00B155F8" w:rsidP="00B155F8">
            <w:pPr>
              <w:jc w:val="right"/>
              <w:rPr>
                <w:rFonts w:ascii="Arial" w:eastAsia="Times New Roman" w:hAnsi="Arial" w:cs="Arial"/>
                <w:b/>
                <w:bCs/>
                <w:color w:val="000000"/>
                <w:sz w:val="18"/>
                <w:szCs w:val="18"/>
                <w:lang w:val="sk-SK" w:eastAsia="sk-SK"/>
              </w:rPr>
            </w:pPr>
          </w:p>
        </w:tc>
        <w:tc>
          <w:tcPr>
            <w:tcW w:w="1135" w:type="pct"/>
            <w:tcBorders>
              <w:top w:val="single" w:sz="4" w:space="0" w:color="auto"/>
              <w:left w:val="nil"/>
              <w:bottom w:val="double" w:sz="6" w:space="0" w:color="auto"/>
              <w:right w:val="nil"/>
            </w:tcBorders>
            <w:shd w:val="clear" w:color="auto" w:fill="auto"/>
            <w:vAlign w:val="bottom"/>
          </w:tcPr>
          <w:p w14:paraId="28874F79" w14:textId="42B1DBB1" w:rsidR="00B155F8" w:rsidRPr="00226892" w:rsidRDefault="00D5562C" w:rsidP="00B155F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8 794</w:t>
            </w:r>
          </w:p>
        </w:tc>
      </w:tr>
    </w:tbl>
    <w:p w14:paraId="20F10D07" w14:textId="31B5BC43" w:rsidR="00C930C9" w:rsidRDefault="00C930C9" w:rsidP="007B66EE">
      <w:pPr>
        <w:suppressAutoHyphens/>
        <w:jc w:val="both"/>
        <w:rPr>
          <w:rFonts w:ascii="Arial" w:hAnsi="Arial" w:cs="Arial"/>
          <w:sz w:val="22"/>
          <w:szCs w:val="18"/>
          <w:lang w:val="sk-SK"/>
        </w:rPr>
      </w:pPr>
    </w:p>
    <w:p w14:paraId="24042145" w14:textId="77777777" w:rsidR="00E52344" w:rsidRPr="00226892" w:rsidRDefault="00E52344" w:rsidP="007B66EE">
      <w:pPr>
        <w:suppressAutoHyphens/>
        <w:jc w:val="both"/>
        <w:rPr>
          <w:rFonts w:ascii="Arial" w:hAnsi="Arial" w:cs="Arial"/>
          <w:sz w:val="22"/>
          <w:szCs w:val="18"/>
          <w:lang w:val="sk-SK"/>
        </w:rPr>
      </w:pPr>
    </w:p>
    <w:p w14:paraId="02150E49" w14:textId="77777777" w:rsidR="007B66EE" w:rsidRPr="00226892" w:rsidRDefault="007B66EE" w:rsidP="003578C0">
      <w:pPr>
        <w:pStyle w:val="Nadpis3"/>
        <w:keepNext w:val="0"/>
        <w:widowControl/>
        <w:numPr>
          <w:ilvl w:val="0"/>
          <w:numId w:val="34"/>
        </w:numPr>
        <w:tabs>
          <w:tab w:val="clear" w:pos="1069"/>
          <w:tab w:val="num" w:pos="392"/>
        </w:tabs>
        <w:suppressAutoHyphens/>
        <w:spacing w:after="120"/>
        <w:ind w:left="1077" w:hanging="1077"/>
        <w:rPr>
          <w:rFonts w:ascii="Arial" w:hAnsi="Arial" w:cs="Arial"/>
          <w:sz w:val="20"/>
        </w:rPr>
      </w:pPr>
      <w:bookmarkStart w:id="431" w:name="_Toc325985804"/>
      <w:bookmarkStart w:id="432" w:name="_Toc387812506"/>
      <w:bookmarkStart w:id="433" w:name="_Toc27410002"/>
      <w:proofErr w:type="spellStart"/>
      <w:r w:rsidRPr="00226892">
        <w:rPr>
          <w:rFonts w:ascii="Arial" w:hAnsi="Arial" w:cs="Arial"/>
          <w:sz w:val="20"/>
        </w:rPr>
        <w:t>Zásoby</w:t>
      </w:r>
      <w:bookmarkEnd w:id="431"/>
      <w:bookmarkEnd w:id="432"/>
      <w:bookmarkEnd w:id="433"/>
      <w:proofErr w:type="spellEnd"/>
    </w:p>
    <w:p w14:paraId="16C4C733" w14:textId="77777777" w:rsidR="00837450" w:rsidRPr="00226892" w:rsidRDefault="007B66EE" w:rsidP="000405EF">
      <w:pPr>
        <w:pStyle w:val="Head3"/>
      </w:pPr>
      <w:r w:rsidRPr="00226892">
        <w:t>Štruktúra zásob po zohľadnení opravných položiek:</w:t>
      </w:r>
    </w:p>
    <w:p w14:paraId="109B2DB5" w14:textId="69AA5A00" w:rsidR="00EA0C8E" w:rsidRPr="00226892" w:rsidRDefault="00EA0C8E" w:rsidP="00EA0C8E">
      <w:pPr>
        <w:suppressAutoHyphens/>
        <w:jc w:val="both"/>
        <w:rPr>
          <w:rFonts w:ascii="Arial" w:hAnsi="Arial" w:cs="Arial"/>
          <w:szCs w:val="18"/>
        </w:rPr>
      </w:pPr>
      <w:bookmarkStart w:id="434" w:name="FWT_Inventories"/>
      <w:r w:rsidRPr="00226892">
        <w:rPr>
          <w:rFonts w:ascii="Arial" w:hAnsi="Arial" w:cs="Arial"/>
          <w:sz w:val="18"/>
          <w:szCs w:val="18"/>
        </w:rPr>
        <w:t xml:space="preserve"> </w:t>
      </w:r>
    </w:p>
    <w:tbl>
      <w:tblPr>
        <w:tblW w:w="5000" w:type="pct"/>
        <w:tblCellMar>
          <w:left w:w="70" w:type="dxa"/>
          <w:right w:w="70" w:type="dxa"/>
        </w:tblCellMar>
        <w:tblLook w:val="04A0" w:firstRow="1" w:lastRow="0" w:firstColumn="1" w:lastColumn="0" w:noHBand="0" w:noVBand="1"/>
      </w:tblPr>
      <w:tblGrid>
        <w:gridCol w:w="4578"/>
        <w:gridCol w:w="322"/>
        <w:gridCol w:w="2308"/>
        <w:gridCol w:w="253"/>
        <w:gridCol w:w="2178"/>
      </w:tblGrid>
      <w:tr w:rsidR="00EA0C8E" w:rsidRPr="00226892" w14:paraId="68630C30" w14:textId="77777777" w:rsidTr="009F2B1F">
        <w:trPr>
          <w:trHeight w:val="227"/>
        </w:trPr>
        <w:tc>
          <w:tcPr>
            <w:tcW w:w="2375" w:type="pct"/>
            <w:tcBorders>
              <w:top w:val="nil"/>
              <w:left w:val="nil"/>
              <w:bottom w:val="single" w:sz="4" w:space="0" w:color="auto"/>
              <w:right w:val="nil"/>
            </w:tcBorders>
            <w:shd w:val="clear" w:color="auto" w:fill="auto"/>
            <w:vAlign w:val="bottom"/>
            <w:hideMark/>
          </w:tcPr>
          <w:p w14:paraId="2C354568" w14:textId="77777777" w:rsidR="00EA0C8E" w:rsidRPr="00226892" w:rsidRDefault="00EA0C8E" w:rsidP="00EA0C8E">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w:t>
            </w:r>
          </w:p>
        </w:tc>
        <w:tc>
          <w:tcPr>
            <w:tcW w:w="167" w:type="pct"/>
            <w:tcBorders>
              <w:top w:val="nil"/>
              <w:left w:val="nil"/>
              <w:bottom w:val="single" w:sz="4" w:space="0" w:color="auto"/>
              <w:right w:val="nil"/>
            </w:tcBorders>
            <w:shd w:val="clear" w:color="auto" w:fill="auto"/>
            <w:vAlign w:val="bottom"/>
            <w:hideMark/>
          </w:tcPr>
          <w:p w14:paraId="12B479A8" w14:textId="77777777" w:rsidR="00EA0C8E" w:rsidRPr="00226892" w:rsidRDefault="00EA0C8E" w:rsidP="001271E7">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197" w:type="pct"/>
            <w:tcBorders>
              <w:top w:val="nil"/>
              <w:left w:val="nil"/>
              <w:bottom w:val="single" w:sz="4" w:space="0" w:color="auto"/>
              <w:right w:val="nil"/>
            </w:tcBorders>
            <w:shd w:val="clear" w:color="auto" w:fill="auto"/>
            <w:vAlign w:val="bottom"/>
            <w:hideMark/>
          </w:tcPr>
          <w:p w14:paraId="30ABD176" w14:textId="1F375416" w:rsidR="00EA0C8E" w:rsidRPr="00226892" w:rsidRDefault="00EA0C8E" w:rsidP="001271E7">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D3AC5" w:rsidRPr="00226892">
              <w:rPr>
                <w:rFonts w:ascii="Arial" w:eastAsia="Times New Roman" w:hAnsi="Arial" w:cs="Arial"/>
                <w:b/>
                <w:bCs/>
                <w:color w:val="000000"/>
                <w:sz w:val="18"/>
                <w:szCs w:val="18"/>
                <w:lang w:val="sk-SK" w:eastAsia="sk-SK"/>
              </w:rPr>
              <w:t>2018</w:t>
            </w:r>
          </w:p>
        </w:tc>
        <w:tc>
          <w:tcPr>
            <w:tcW w:w="131" w:type="pct"/>
            <w:tcBorders>
              <w:top w:val="nil"/>
              <w:left w:val="nil"/>
              <w:bottom w:val="single" w:sz="4" w:space="0" w:color="auto"/>
              <w:right w:val="nil"/>
            </w:tcBorders>
            <w:shd w:val="clear" w:color="auto" w:fill="auto"/>
            <w:vAlign w:val="bottom"/>
            <w:hideMark/>
          </w:tcPr>
          <w:p w14:paraId="4A8F74E2" w14:textId="77777777" w:rsidR="00EA0C8E" w:rsidRPr="00226892" w:rsidRDefault="00EA0C8E" w:rsidP="001271E7">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130" w:type="pct"/>
            <w:tcBorders>
              <w:top w:val="nil"/>
              <w:left w:val="nil"/>
              <w:bottom w:val="single" w:sz="4" w:space="0" w:color="auto"/>
              <w:right w:val="nil"/>
            </w:tcBorders>
            <w:shd w:val="clear" w:color="auto" w:fill="auto"/>
            <w:vAlign w:val="bottom"/>
            <w:hideMark/>
          </w:tcPr>
          <w:p w14:paraId="7C83D3D8" w14:textId="5B0EB84B" w:rsidR="00EA0C8E" w:rsidRPr="00226892" w:rsidRDefault="00EA0C8E" w:rsidP="001271E7">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63A77" w:rsidRPr="00226892">
              <w:rPr>
                <w:rFonts w:ascii="Arial" w:eastAsia="Times New Roman" w:hAnsi="Arial" w:cs="Arial"/>
                <w:b/>
                <w:bCs/>
                <w:color w:val="000000"/>
                <w:sz w:val="18"/>
                <w:szCs w:val="18"/>
                <w:lang w:val="sk-SK" w:eastAsia="sk-SK"/>
              </w:rPr>
              <w:t>2017</w:t>
            </w:r>
          </w:p>
        </w:tc>
      </w:tr>
      <w:tr w:rsidR="009161C9" w:rsidRPr="00226892" w14:paraId="2799730E" w14:textId="77777777" w:rsidTr="009F2B1F">
        <w:trPr>
          <w:trHeight w:val="227"/>
        </w:trPr>
        <w:tc>
          <w:tcPr>
            <w:tcW w:w="2375" w:type="pct"/>
            <w:tcBorders>
              <w:top w:val="nil"/>
              <w:left w:val="nil"/>
              <w:bottom w:val="nil"/>
              <w:right w:val="nil"/>
            </w:tcBorders>
            <w:shd w:val="clear" w:color="auto" w:fill="auto"/>
            <w:vAlign w:val="bottom"/>
            <w:hideMark/>
          </w:tcPr>
          <w:p w14:paraId="3AD77E0E" w14:textId="77777777" w:rsidR="009161C9" w:rsidRPr="00226892" w:rsidRDefault="009161C9" w:rsidP="009161C9">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Materiál</w:t>
            </w:r>
          </w:p>
        </w:tc>
        <w:tc>
          <w:tcPr>
            <w:tcW w:w="167" w:type="pct"/>
            <w:tcBorders>
              <w:top w:val="nil"/>
              <w:left w:val="nil"/>
              <w:bottom w:val="nil"/>
              <w:right w:val="nil"/>
            </w:tcBorders>
            <w:shd w:val="clear" w:color="auto" w:fill="auto"/>
            <w:vAlign w:val="bottom"/>
            <w:hideMark/>
          </w:tcPr>
          <w:p w14:paraId="780BB926" w14:textId="77777777" w:rsidR="009161C9" w:rsidRPr="00226892" w:rsidRDefault="009161C9" w:rsidP="009161C9">
            <w:pPr>
              <w:jc w:val="right"/>
              <w:rPr>
                <w:rFonts w:ascii="Arial" w:eastAsia="Times New Roman" w:hAnsi="Arial" w:cs="Arial"/>
                <w:color w:val="000000"/>
                <w:sz w:val="18"/>
                <w:szCs w:val="18"/>
                <w:lang w:val="sk-SK" w:eastAsia="sk-SK"/>
              </w:rPr>
            </w:pPr>
          </w:p>
        </w:tc>
        <w:tc>
          <w:tcPr>
            <w:tcW w:w="1197" w:type="pct"/>
            <w:tcBorders>
              <w:top w:val="nil"/>
              <w:left w:val="nil"/>
              <w:bottom w:val="nil"/>
              <w:right w:val="nil"/>
            </w:tcBorders>
            <w:shd w:val="clear" w:color="auto" w:fill="auto"/>
            <w:vAlign w:val="bottom"/>
          </w:tcPr>
          <w:p w14:paraId="74CACD61" w14:textId="00B3F521" w:rsidR="009161C9" w:rsidRPr="00226892" w:rsidRDefault="009161C9" w:rsidP="009161C9">
            <w:pPr>
              <w:jc w:val="right"/>
              <w:rPr>
                <w:rFonts w:ascii="Arial" w:eastAsia="Times New Roman" w:hAnsi="Arial" w:cs="Arial"/>
                <w:color w:val="000000"/>
                <w:sz w:val="18"/>
                <w:szCs w:val="18"/>
                <w:lang w:val="sk-SK" w:eastAsia="sk-SK"/>
              </w:rPr>
            </w:pPr>
            <w:r w:rsidRPr="00226892">
              <w:rPr>
                <w:rFonts w:ascii="Arial" w:hAnsi="Arial" w:cs="Arial"/>
                <w:color w:val="000000"/>
                <w:sz w:val="18"/>
                <w:szCs w:val="18"/>
              </w:rPr>
              <w:t>7 309</w:t>
            </w:r>
          </w:p>
        </w:tc>
        <w:tc>
          <w:tcPr>
            <w:tcW w:w="131" w:type="pct"/>
            <w:tcBorders>
              <w:top w:val="nil"/>
              <w:left w:val="nil"/>
              <w:bottom w:val="nil"/>
              <w:right w:val="nil"/>
            </w:tcBorders>
            <w:shd w:val="clear" w:color="auto" w:fill="auto"/>
            <w:vAlign w:val="bottom"/>
            <w:hideMark/>
          </w:tcPr>
          <w:p w14:paraId="2335F5B4" w14:textId="77777777" w:rsidR="009161C9" w:rsidRPr="00226892" w:rsidRDefault="009161C9" w:rsidP="009161C9">
            <w:pPr>
              <w:jc w:val="right"/>
              <w:rPr>
                <w:rFonts w:ascii="Arial" w:eastAsia="Times New Roman" w:hAnsi="Arial" w:cs="Arial"/>
                <w:color w:val="000000"/>
                <w:sz w:val="18"/>
                <w:szCs w:val="18"/>
                <w:lang w:val="sk-SK" w:eastAsia="sk-SK"/>
              </w:rPr>
            </w:pPr>
          </w:p>
        </w:tc>
        <w:tc>
          <w:tcPr>
            <w:tcW w:w="1130" w:type="pct"/>
            <w:tcBorders>
              <w:top w:val="nil"/>
              <w:left w:val="nil"/>
              <w:bottom w:val="nil"/>
              <w:right w:val="nil"/>
            </w:tcBorders>
            <w:shd w:val="clear" w:color="auto" w:fill="auto"/>
            <w:vAlign w:val="bottom"/>
          </w:tcPr>
          <w:p w14:paraId="681FD0C8" w14:textId="12CFA74B" w:rsidR="009161C9" w:rsidRPr="00226892" w:rsidRDefault="009161C9" w:rsidP="009161C9">
            <w:pPr>
              <w:jc w:val="right"/>
              <w:rPr>
                <w:rFonts w:ascii="Arial" w:eastAsia="Times New Roman" w:hAnsi="Arial" w:cs="Arial"/>
                <w:color w:val="000000"/>
                <w:sz w:val="18"/>
                <w:szCs w:val="18"/>
                <w:lang w:val="sk-SK" w:eastAsia="sk-SK"/>
              </w:rPr>
            </w:pPr>
            <w:r w:rsidRPr="00226892">
              <w:rPr>
                <w:rFonts w:ascii="Arial" w:hAnsi="Arial" w:cs="Arial"/>
                <w:color w:val="000000"/>
                <w:sz w:val="18"/>
                <w:szCs w:val="18"/>
              </w:rPr>
              <w:t xml:space="preserve">                     9 282    </w:t>
            </w:r>
          </w:p>
        </w:tc>
      </w:tr>
      <w:tr w:rsidR="009161C9" w:rsidRPr="00226892" w14:paraId="4AB9B8C8" w14:textId="77777777" w:rsidTr="009F2B1F">
        <w:trPr>
          <w:trHeight w:val="227"/>
        </w:trPr>
        <w:tc>
          <w:tcPr>
            <w:tcW w:w="2375" w:type="pct"/>
            <w:tcBorders>
              <w:top w:val="nil"/>
              <w:left w:val="nil"/>
              <w:bottom w:val="nil"/>
              <w:right w:val="nil"/>
            </w:tcBorders>
            <w:shd w:val="clear" w:color="auto" w:fill="auto"/>
            <w:vAlign w:val="bottom"/>
            <w:hideMark/>
          </w:tcPr>
          <w:p w14:paraId="44DFB73A" w14:textId="77777777" w:rsidR="009161C9" w:rsidRPr="00226892" w:rsidRDefault="009161C9" w:rsidP="009161C9">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Tovar (nástroje)</w:t>
            </w:r>
          </w:p>
        </w:tc>
        <w:tc>
          <w:tcPr>
            <w:tcW w:w="167" w:type="pct"/>
            <w:tcBorders>
              <w:top w:val="nil"/>
              <w:left w:val="nil"/>
              <w:bottom w:val="nil"/>
              <w:right w:val="nil"/>
            </w:tcBorders>
            <w:shd w:val="clear" w:color="auto" w:fill="auto"/>
            <w:vAlign w:val="bottom"/>
            <w:hideMark/>
          </w:tcPr>
          <w:p w14:paraId="55850F6D" w14:textId="77777777" w:rsidR="009161C9" w:rsidRPr="00226892" w:rsidRDefault="009161C9" w:rsidP="009161C9">
            <w:pPr>
              <w:jc w:val="right"/>
              <w:rPr>
                <w:rFonts w:ascii="Arial" w:eastAsia="Times New Roman" w:hAnsi="Arial" w:cs="Arial"/>
                <w:color w:val="000000"/>
                <w:sz w:val="18"/>
                <w:szCs w:val="18"/>
                <w:lang w:val="sk-SK" w:eastAsia="sk-SK"/>
              </w:rPr>
            </w:pPr>
          </w:p>
        </w:tc>
        <w:tc>
          <w:tcPr>
            <w:tcW w:w="1197" w:type="pct"/>
            <w:tcBorders>
              <w:top w:val="nil"/>
              <w:left w:val="nil"/>
              <w:bottom w:val="nil"/>
              <w:right w:val="nil"/>
            </w:tcBorders>
            <w:shd w:val="clear" w:color="auto" w:fill="auto"/>
            <w:vAlign w:val="bottom"/>
          </w:tcPr>
          <w:p w14:paraId="6CAD9CE4" w14:textId="5C5E2244" w:rsidR="009161C9" w:rsidRPr="00226892" w:rsidRDefault="009161C9" w:rsidP="009161C9">
            <w:pPr>
              <w:jc w:val="right"/>
              <w:rPr>
                <w:rFonts w:ascii="Arial" w:eastAsia="Times New Roman" w:hAnsi="Arial" w:cs="Arial"/>
                <w:color w:val="000000"/>
                <w:sz w:val="18"/>
                <w:szCs w:val="18"/>
                <w:lang w:val="sk-SK" w:eastAsia="sk-SK"/>
              </w:rPr>
            </w:pPr>
            <w:r w:rsidRPr="00226892">
              <w:rPr>
                <w:rFonts w:ascii="Arial" w:hAnsi="Arial" w:cs="Arial"/>
                <w:color w:val="000000"/>
                <w:sz w:val="18"/>
                <w:szCs w:val="18"/>
              </w:rPr>
              <w:t>7 348</w:t>
            </w:r>
          </w:p>
        </w:tc>
        <w:tc>
          <w:tcPr>
            <w:tcW w:w="131" w:type="pct"/>
            <w:tcBorders>
              <w:top w:val="nil"/>
              <w:left w:val="nil"/>
              <w:bottom w:val="nil"/>
              <w:right w:val="nil"/>
            </w:tcBorders>
            <w:shd w:val="clear" w:color="auto" w:fill="auto"/>
            <w:vAlign w:val="bottom"/>
            <w:hideMark/>
          </w:tcPr>
          <w:p w14:paraId="5B68BDEE" w14:textId="77777777" w:rsidR="009161C9" w:rsidRPr="00226892" w:rsidRDefault="009161C9" w:rsidP="009161C9">
            <w:pPr>
              <w:jc w:val="right"/>
              <w:rPr>
                <w:rFonts w:ascii="Arial" w:eastAsia="Times New Roman" w:hAnsi="Arial" w:cs="Arial"/>
                <w:color w:val="000000"/>
                <w:sz w:val="18"/>
                <w:szCs w:val="18"/>
                <w:lang w:val="sk-SK" w:eastAsia="sk-SK"/>
              </w:rPr>
            </w:pPr>
          </w:p>
        </w:tc>
        <w:tc>
          <w:tcPr>
            <w:tcW w:w="1130" w:type="pct"/>
            <w:tcBorders>
              <w:top w:val="nil"/>
              <w:left w:val="nil"/>
              <w:bottom w:val="nil"/>
              <w:right w:val="nil"/>
            </w:tcBorders>
            <w:shd w:val="clear" w:color="auto" w:fill="auto"/>
            <w:vAlign w:val="bottom"/>
          </w:tcPr>
          <w:p w14:paraId="5C4B2AE7" w14:textId="22556631" w:rsidR="009161C9" w:rsidRPr="00226892" w:rsidRDefault="009161C9" w:rsidP="009161C9">
            <w:pPr>
              <w:jc w:val="right"/>
              <w:rPr>
                <w:rFonts w:ascii="Arial" w:eastAsia="Times New Roman" w:hAnsi="Arial" w:cs="Arial"/>
                <w:color w:val="000000"/>
                <w:sz w:val="18"/>
                <w:szCs w:val="18"/>
                <w:lang w:val="sk-SK" w:eastAsia="sk-SK"/>
              </w:rPr>
            </w:pPr>
            <w:r w:rsidRPr="00226892">
              <w:rPr>
                <w:rFonts w:ascii="Arial" w:hAnsi="Arial" w:cs="Arial"/>
                <w:color w:val="000000"/>
                <w:sz w:val="18"/>
                <w:szCs w:val="18"/>
              </w:rPr>
              <w:t xml:space="preserve">                            18 818    </w:t>
            </w:r>
          </w:p>
        </w:tc>
      </w:tr>
      <w:tr w:rsidR="009161C9" w:rsidRPr="00226892" w14:paraId="38A5C9ED" w14:textId="77777777" w:rsidTr="009F2B1F">
        <w:trPr>
          <w:trHeight w:val="227"/>
        </w:trPr>
        <w:tc>
          <w:tcPr>
            <w:tcW w:w="2375" w:type="pct"/>
            <w:tcBorders>
              <w:top w:val="nil"/>
              <w:left w:val="nil"/>
              <w:bottom w:val="nil"/>
              <w:right w:val="nil"/>
            </w:tcBorders>
            <w:shd w:val="clear" w:color="auto" w:fill="auto"/>
            <w:vAlign w:val="bottom"/>
            <w:hideMark/>
          </w:tcPr>
          <w:p w14:paraId="51F2BAD4" w14:textId="77777777" w:rsidR="009161C9" w:rsidRPr="00226892" w:rsidRDefault="009161C9" w:rsidP="009161C9">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Nedokončená výroba</w:t>
            </w:r>
          </w:p>
        </w:tc>
        <w:tc>
          <w:tcPr>
            <w:tcW w:w="167" w:type="pct"/>
            <w:tcBorders>
              <w:top w:val="nil"/>
              <w:left w:val="nil"/>
              <w:bottom w:val="nil"/>
              <w:right w:val="nil"/>
            </w:tcBorders>
            <w:shd w:val="clear" w:color="auto" w:fill="auto"/>
            <w:vAlign w:val="bottom"/>
            <w:hideMark/>
          </w:tcPr>
          <w:p w14:paraId="67F63F9D" w14:textId="77777777" w:rsidR="009161C9" w:rsidRPr="00226892" w:rsidRDefault="009161C9" w:rsidP="009161C9">
            <w:pPr>
              <w:jc w:val="right"/>
              <w:rPr>
                <w:rFonts w:ascii="Arial" w:eastAsia="Times New Roman" w:hAnsi="Arial" w:cs="Arial"/>
                <w:color w:val="000000"/>
                <w:sz w:val="18"/>
                <w:szCs w:val="18"/>
                <w:lang w:val="sk-SK" w:eastAsia="sk-SK"/>
              </w:rPr>
            </w:pPr>
          </w:p>
        </w:tc>
        <w:tc>
          <w:tcPr>
            <w:tcW w:w="1197" w:type="pct"/>
            <w:tcBorders>
              <w:top w:val="nil"/>
              <w:left w:val="nil"/>
              <w:bottom w:val="nil"/>
              <w:right w:val="nil"/>
            </w:tcBorders>
            <w:shd w:val="clear" w:color="auto" w:fill="auto"/>
            <w:vAlign w:val="bottom"/>
          </w:tcPr>
          <w:p w14:paraId="6CF359C0" w14:textId="6384AEC6" w:rsidR="009161C9" w:rsidRPr="00226892" w:rsidRDefault="009161C9" w:rsidP="009161C9">
            <w:pPr>
              <w:jc w:val="right"/>
              <w:rPr>
                <w:rFonts w:ascii="Arial" w:eastAsia="Times New Roman" w:hAnsi="Arial" w:cs="Arial"/>
                <w:color w:val="000000"/>
                <w:sz w:val="18"/>
                <w:szCs w:val="18"/>
                <w:lang w:val="sk-SK" w:eastAsia="sk-SK"/>
              </w:rPr>
            </w:pPr>
            <w:r w:rsidRPr="00226892">
              <w:rPr>
                <w:rFonts w:ascii="Arial" w:hAnsi="Arial" w:cs="Arial"/>
                <w:color w:val="000000"/>
                <w:sz w:val="18"/>
                <w:szCs w:val="18"/>
              </w:rPr>
              <w:t>3 511</w:t>
            </w:r>
          </w:p>
        </w:tc>
        <w:tc>
          <w:tcPr>
            <w:tcW w:w="131" w:type="pct"/>
            <w:tcBorders>
              <w:top w:val="nil"/>
              <w:left w:val="nil"/>
              <w:bottom w:val="nil"/>
              <w:right w:val="nil"/>
            </w:tcBorders>
            <w:shd w:val="clear" w:color="auto" w:fill="auto"/>
            <w:vAlign w:val="bottom"/>
            <w:hideMark/>
          </w:tcPr>
          <w:p w14:paraId="4EC71448" w14:textId="77777777" w:rsidR="009161C9" w:rsidRPr="00226892" w:rsidRDefault="009161C9" w:rsidP="009161C9">
            <w:pPr>
              <w:jc w:val="right"/>
              <w:rPr>
                <w:rFonts w:ascii="Arial" w:eastAsia="Times New Roman" w:hAnsi="Arial" w:cs="Arial"/>
                <w:color w:val="000000"/>
                <w:sz w:val="18"/>
                <w:szCs w:val="18"/>
                <w:lang w:val="sk-SK" w:eastAsia="sk-SK"/>
              </w:rPr>
            </w:pPr>
          </w:p>
        </w:tc>
        <w:tc>
          <w:tcPr>
            <w:tcW w:w="1130" w:type="pct"/>
            <w:tcBorders>
              <w:top w:val="nil"/>
              <w:left w:val="nil"/>
              <w:bottom w:val="nil"/>
              <w:right w:val="nil"/>
            </w:tcBorders>
            <w:shd w:val="clear" w:color="auto" w:fill="auto"/>
            <w:vAlign w:val="bottom"/>
          </w:tcPr>
          <w:p w14:paraId="4661FFF9" w14:textId="7431D34B" w:rsidR="009161C9" w:rsidRPr="00226892" w:rsidRDefault="009161C9" w:rsidP="009161C9">
            <w:pPr>
              <w:jc w:val="right"/>
              <w:rPr>
                <w:rFonts w:ascii="Arial" w:eastAsia="Times New Roman" w:hAnsi="Arial" w:cs="Arial"/>
                <w:color w:val="000000"/>
                <w:sz w:val="18"/>
                <w:szCs w:val="18"/>
                <w:lang w:val="sk-SK" w:eastAsia="sk-SK"/>
              </w:rPr>
            </w:pPr>
            <w:r w:rsidRPr="00226892">
              <w:rPr>
                <w:rFonts w:ascii="Arial" w:hAnsi="Arial" w:cs="Arial"/>
                <w:color w:val="000000"/>
                <w:sz w:val="18"/>
                <w:szCs w:val="18"/>
              </w:rPr>
              <w:t xml:space="preserve">                       3 251    </w:t>
            </w:r>
          </w:p>
        </w:tc>
      </w:tr>
      <w:tr w:rsidR="009161C9" w:rsidRPr="00226892" w14:paraId="6EEE779B" w14:textId="77777777" w:rsidTr="009F2B1F">
        <w:trPr>
          <w:trHeight w:val="227"/>
        </w:trPr>
        <w:tc>
          <w:tcPr>
            <w:tcW w:w="2375" w:type="pct"/>
            <w:tcBorders>
              <w:top w:val="nil"/>
              <w:left w:val="nil"/>
              <w:bottom w:val="nil"/>
              <w:right w:val="nil"/>
            </w:tcBorders>
            <w:shd w:val="clear" w:color="auto" w:fill="auto"/>
            <w:vAlign w:val="bottom"/>
            <w:hideMark/>
          </w:tcPr>
          <w:p w14:paraId="4B40541A" w14:textId="77777777" w:rsidR="009161C9" w:rsidRPr="00226892" w:rsidRDefault="009161C9" w:rsidP="009161C9">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Hotové výrobky</w:t>
            </w:r>
          </w:p>
        </w:tc>
        <w:tc>
          <w:tcPr>
            <w:tcW w:w="167" w:type="pct"/>
            <w:tcBorders>
              <w:top w:val="nil"/>
              <w:left w:val="nil"/>
              <w:bottom w:val="nil"/>
              <w:right w:val="nil"/>
            </w:tcBorders>
            <w:shd w:val="clear" w:color="auto" w:fill="auto"/>
            <w:vAlign w:val="bottom"/>
            <w:hideMark/>
          </w:tcPr>
          <w:p w14:paraId="7DE73C76" w14:textId="77777777" w:rsidR="009161C9" w:rsidRPr="00226892" w:rsidRDefault="009161C9" w:rsidP="009161C9">
            <w:pPr>
              <w:jc w:val="right"/>
              <w:rPr>
                <w:rFonts w:ascii="Arial" w:eastAsia="Times New Roman" w:hAnsi="Arial" w:cs="Arial"/>
                <w:color w:val="000000"/>
                <w:sz w:val="18"/>
                <w:szCs w:val="18"/>
                <w:lang w:val="sk-SK" w:eastAsia="sk-SK"/>
              </w:rPr>
            </w:pPr>
          </w:p>
        </w:tc>
        <w:tc>
          <w:tcPr>
            <w:tcW w:w="1197" w:type="pct"/>
            <w:tcBorders>
              <w:top w:val="nil"/>
              <w:left w:val="nil"/>
              <w:bottom w:val="nil"/>
              <w:right w:val="nil"/>
            </w:tcBorders>
            <w:shd w:val="clear" w:color="auto" w:fill="auto"/>
            <w:vAlign w:val="bottom"/>
          </w:tcPr>
          <w:p w14:paraId="2B0784F6" w14:textId="232A0557" w:rsidR="009161C9" w:rsidRPr="00226892" w:rsidRDefault="009161C9" w:rsidP="009161C9">
            <w:pPr>
              <w:jc w:val="right"/>
              <w:rPr>
                <w:rFonts w:ascii="Arial" w:eastAsia="Times New Roman" w:hAnsi="Arial" w:cs="Arial"/>
                <w:color w:val="000000"/>
                <w:sz w:val="18"/>
                <w:szCs w:val="18"/>
                <w:lang w:val="sk-SK" w:eastAsia="sk-SK"/>
              </w:rPr>
            </w:pPr>
            <w:r w:rsidRPr="00226892">
              <w:rPr>
                <w:rFonts w:ascii="Arial" w:hAnsi="Arial" w:cs="Arial"/>
                <w:color w:val="000000"/>
                <w:sz w:val="18"/>
                <w:szCs w:val="18"/>
              </w:rPr>
              <w:t>1 6</w:t>
            </w:r>
            <w:r w:rsidR="00206D7F" w:rsidRPr="00226892">
              <w:rPr>
                <w:rFonts w:ascii="Arial" w:hAnsi="Arial" w:cs="Arial"/>
                <w:color w:val="000000"/>
                <w:sz w:val="18"/>
                <w:szCs w:val="18"/>
              </w:rPr>
              <w:t>50</w:t>
            </w:r>
          </w:p>
        </w:tc>
        <w:tc>
          <w:tcPr>
            <w:tcW w:w="131" w:type="pct"/>
            <w:tcBorders>
              <w:top w:val="nil"/>
              <w:left w:val="nil"/>
              <w:bottom w:val="nil"/>
              <w:right w:val="nil"/>
            </w:tcBorders>
            <w:shd w:val="clear" w:color="auto" w:fill="auto"/>
            <w:vAlign w:val="bottom"/>
            <w:hideMark/>
          </w:tcPr>
          <w:p w14:paraId="5A84A237" w14:textId="77777777" w:rsidR="009161C9" w:rsidRPr="00226892" w:rsidRDefault="009161C9" w:rsidP="009161C9">
            <w:pPr>
              <w:jc w:val="right"/>
              <w:rPr>
                <w:rFonts w:ascii="Arial" w:eastAsia="Times New Roman" w:hAnsi="Arial" w:cs="Arial"/>
                <w:color w:val="000000"/>
                <w:sz w:val="18"/>
                <w:szCs w:val="18"/>
                <w:lang w:val="sk-SK" w:eastAsia="sk-SK"/>
              </w:rPr>
            </w:pPr>
          </w:p>
        </w:tc>
        <w:tc>
          <w:tcPr>
            <w:tcW w:w="1130" w:type="pct"/>
            <w:tcBorders>
              <w:top w:val="nil"/>
              <w:left w:val="nil"/>
              <w:bottom w:val="nil"/>
              <w:right w:val="nil"/>
            </w:tcBorders>
            <w:shd w:val="clear" w:color="auto" w:fill="auto"/>
            <w:vAlign w:val="bottom"/>
          </w:tcPr>
          <w:p w14:paraId="2D4FF172" w14:textId="73E3078B" w:rsidR="009161C9" w:rsidRPr="00226892" w:rsidRDefault="009161C9" w:rsidP="009161C9">
            <w:pPr>
              <w:jc w:val="right"/>
              <w:rPr>
                <w:rFonts w:ascii="Arial" w:eastAsia="Times New Roman" w:hAnsi="Arial" w:cs="Arial"/>
                <w:color w:val="000000"/>
                <w:sz w:val="18"/>
                <w:szCs w:val="18"/>
                <w:lang w:val="sk-SK" w:eastAsia="sk-SK"/>
              </w:rPr>
            </w:pPr>
            <w:r w:rsidRPr="00226892">
              <w:rPr>
                <w:rFonts w:ascii="Arial" w:hAnsi="Arial" w:cs="Arial"/>
                <w:color w:val="000000"/>
                <w:sz w:val="18"/>
                <w:szCs w:val="18"/>
              </w:rPr>
              <w:t xml:space="preserve">                     1 565    </w:t>
            </w:r>
          </w:p>
        </w:tc>
      </w:tr>
      <w:tr w:rsidR="009161C9" w:rsidRPr="00226892" w14:paraId="50D350E3" w14:textId="77777777" w:rsidTr="009F2B1F">
        <w:trPr>
          <w:trHeight w:val="227"/>
        </w:trPr>
        <w:tc>
          <w:tcPr>
            <w:tcW w:w="2375" w:type="pct"/>
            <w:tcBorders>
              <w:top w:val="nil"/>
              <w:left w:val="nil"/>
              <w:bottom w:val="nil"/>
              <w:right w:val="nil"/>
            </w:tcBorders>
            <w:shd w:val="clear" w:color="auto" w:fill="auto"/>
            <w:vAlign w:val="bottom"/>
            <w:hideMark/>
          </w:tcPr>
          <w:p w14:paraId="4D6F634E" w14:textId="77777777" w:rsidR="009161C9" w:rsidRPr="00226892" w:rsidRDefault="009161C9" w:rsidP="009161C9">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Spolu zásoby</w:t>
            </w:r>
          </w:p>
        </w:tc>
        <w:tc>
          <w:tcPr>
            <w:tcW w:w="167" w:type="pct"/>
            <w:tcBorders>
              <w:top w:val="nil"/>
              <w:left w:val="nil"/>
              <w:bottom w:val="nil"/>
              <w:right w:val="nil"/>
            </w:tcBorders>
            <w:shd w:val="clear" w:color="auto" w:fill="auto"/>
            <w:vAlign w:val="bottom"/>
            <w:hideMark/>
          </w:tcPr>
          <w:p w14:paraId="454173B0" w14:textId="77777777" w:rsidR="009161C9" w:rsidRPr="00226892" w:rsidRDefault="009161C9" w:rsidP="009161C9">
            <w:pPr>
              <w:jc w:val="right"/>
              <w:rPr>
                <w:rFonts w:ascii="Arial" w:eastAsia="Times New Roman" w:hAnsi="Arial" w:cs="Arial"/>
                <w:b/>
                <w:bCs/>
                <w:color w:val="000000"/>
                <w:sz w:val="18"/>
                <w:szCs w:val="18"/>
                <w:lang w:val="sk-SK" w:eastAsia="sk-SK"/>
              </w:rPr>
            </w:pPr>
          </w:p>
        </w:tc>
        <w:tc>
          <w:tcPr>
            <w:tcW w:w="1197" w:type="pct"/>
            <w:tcBorders>
              <w:top w:val="single" w:sz="4" w:space="0" w:color="auto"/>
              <w:left w:val="nil"/>
              <w:bottom w:val="double" w:sz="6" w:space="0" w:color="auto"/>
              <w:right w:val="nil"/>
            </w:tcBorders>
            <w:shd w:val="clear" w:color="auto" w:fill="auto"/>
            <w:vAlign w:val="bottom"/>
          </w:tcPr>
          <w:p w14:paraId="7B00044B" w14:textId="4403C5E9" w:rsidR="009161C9" w:rsidRPr="00226892" w:rsidRDefault="009161C9" w:rsidP="009161C9">
            <w:pPr>
              <w:jc w:val="right"/>
              <w:rPr>
                <w:rFonts w:ascii="Arial" w:eastAsia="Times New Roman" w:hAnsi="Arial" w:cs="Arial"/>
                <w:b/>
                <w:bCs/>
                <w:color w:val="000000"/>
                <w:sz w:val="18"/>
                <w:szCs w:val="18"/>
                <w:lang w:val="sk-SK" w:eastAsia="sk-SK"/>
              </w:rPr>
            </w:pPr>
            <w:r w:rsidRPr="00226892">
              <w:rPr>
                <w:rFonts w:ascii="Arial" w:hAnsi="Arial" w:cs="Arial"/>
                <w:b/>
                <w:bCs/>
                <w:color w:val="000000"/>
                <w:sz w:val="18"/>
                <w:szCs w:val="18"/>
              </w:rPr>
              <w:t>19 818</w:t>
            </w:r>
          </w:p>
        </w:tc>
        <w:tc>
          <w:tcPr>
            <w:tcW w:w="131" w:type="pct"/>
            <w:tcBorders>
              <w:top w:val="nil"/>
              <w:left w:val="nil"/>
              <w:bottom w:val="nil"/>
              <w:right w:val="nil"/>
            </w:tcBorders>
            <w:shd w:val="clear" w:color="auto" w:fill="auto"/>
            <w:vAlign w:val="bottom"/>
            <w:hideMark/>
          </w:tcPr>
          <w:p w14:paraId="4AB1BDE3" w14:textId="77777777" w:rsidR="009161C9" w:rsidRPr="00226892" w:rsidRDefault="009161C9" w:rsidP="009161C9">
            <w:pPr>
              <w:jc w:val="right"/>
              <w:rPr>
                <w:rFonts w:ascii="Arial" w:eastAsia="Times New Roman" w:hAnsi="Arial" w:cs="Arial"/>
                <w:b/>
                <w:bCs/>
                <w:color w:val="000000"/>
                <w:sz w:val="18"/>
                <w:szCs w:val="18"/>
                <w:lang w:val="sk-SK" w:eastAsia="sk-SK"/>
              </w:rPr>
            </w:pPr>
          </w:p>
        </w:tc>
        <w:tc>
          <w:tcPr>
            <w:tcW w:w="1130" w:type="pct"/>
            <w:tcBorders>
              <w:top w:val="single" w:sz="4" w:space="0" w:color="auto"/>
              <w:left w:val="nil"/>
              <w:bottom w:val="double" w:sz="6" w:space="0" w:color="auto"/>
              <w:right w:val="nil"/>
            </w:tcBorders>
            <w:shd w:val="clear" w:color="auto" w:fill="auto"/>
            <w:vAlign w:val="bottom"/>
          </w:tcPr>
          <w:p w14:paraId="1FCE850F" w14:textId="5FCC51BC" w:rsidR="009161C9" w:rsidRPr="00226892" w:rsidRDefault="009161C9" w:rsidP="009161C9">
            <w:pPr>
              <w:jc w:val="right"/>
              <w:rPr>
                <w:rFonts w:ascii="Arial" w:eastAsia="Times New Roman" w:hAnsi="Arial" w:cs="Arial"/>
                <w:b/>
                <w:bCs/>
                <w:color w:val="000000"/>
                <w:sz w:val="18"/>
                <w:szCs w:val="18"/>
                <w:lang w:val="sk-SK" w:eastAsia="sk-SK"/>
              </w:rPr>
            </w:pPr>
            <w:r w:rsidRPr="00226892">
              <w:rPr>
                <w:rFonts w:ascii="Arial" w:hAnsi="Arial" w:cs="Arial"/>
                <w:b/>
                <w:bCs/>
                <w:color w:val="000000"/>
                <w:sz w:val="18"/>
                <w:szCs w:val="18"/>
              </w:rPr>
              <w:t xml:space="preserve">                        32 916    </w:t>
            </w:r>
          </w:p>
        </w:tc>
      </w:tr>
    </w:tbl>
    <w:p w14:paraId="772636B0" w14:textId="53E11430" w:rsidR="00C930C9" w:rsidRPr="00226892" w:rsidRDefault="00EA0C8E" w:rsidP="00EA0C8E">
      <w:pPr>
        <w:suppressAutoHyphens/>
        <w:jc w:val="both"/>
        <w:rPr>
          <w:rFonts w:ascii="Arial" w:hAnsi="Arial" w:cs="Arial"/>
          <w:szCs w:val="18"/>
        </w:rPr>
      </w:pPr>
      <w:r w:rsidRPr="00226892">
        <w:rPr>
          <w:rFonts w:ascii="Arial" w:hAnsi="Arial" w:cs="Arial"/>
          <w:sz w:val="18"/>
          <w:szCs w:val="18"/>
        </w:rPr>
        <w:t xml:space="preserve"> </w:t>
      </w:r>
      <w:bookmarkEnd w:id="434"/>
      <w:r w:rsidRPr="00226892">
        <w:rPr>
          <w:rFonts w:ascii="Arial" w:hAnsi="Arial" w:cs="Arial"/>
          <w:sz w:val="18"/>
          <w:szCs w:val="18"/>
        </w:rPr>
        <w:t xml:space="preserve"> </w:t>
      </w:r>
      <w:r w:rsidR="00DF2B7E" w:rsidRPr="00226892">
        <w:rPr>
          <w:rFonts w:ascii="Arial" w:hAnsi="Arial" w:cs="Arial"/>
          <w:sz w:val="18"/>
          <w:szCs w:val="18"/>
        </w:rPr>
        <w:t xml:space="preserve"> </w:t>
      </w:r>
    </w:p>
    <w:p w14:paraId="5DE03B8B" w14:textId="234B1851" w:rsidR="007B66EE" w:rsidRPr="00226892" w:rsidRDefault="007B66EE" w:rsidP="000405EF">
      <w:pPr>
        <w:suppressAutoHyphens/>
        <w:jc w:val="both"/>
        <w:rPr>
          <w:rFonts w:ascii="Arial" w:hAnsi="Arial" w:cs="Arial"/>
          <w:szCs w:val="18"/>
          <w:lang w:val="sk-SK"/>
        </w:rPr>
      </w:pPr>
      <w:r w:rsidRPr="00226892">
        <w:rPr>
          <w:rFonts w:ascii="Arial" w:hAnsi="Arial" w:cs="Arial"/>
          <w:lang w:val="sk-SK"/>
        </w:rPr>
        <w:t xml:space="preserve">Položky zásob sú vykázané po vytvorení opravnej položky vo výške </w:t>
      </w:r>
      <w:r w:rsidR="009161C9" w:rsidRPr="00226892">
        <w:rPr>
          <w:rFonts w:ascii="Arial" w:hAnsi="Arial" w:cs="Arial"/>
          <w:lang w:val="sk-SK"/>
        </w:rPr>
        <w:t>1 522</w:t>
      </w:r>
      <w:r w:rsidR="001271E7" w:rsidRPr="00226892">
        <w:rPr>
          <w:rFonts w:ascii="Arial" w:hAnsi="Arial" w:cs="Arial"/>
          <w:lang w:val="sk-SK"/>
        </w:rPr>
        <w:t xml:space="preserve"> </w:t>
      </w:r>
      <w:r w:rsidRPr="00226892">
        <w:rPr>
          <w:rFonts w:ascii="Arial" w:hAnsi="Arial" w:cs="Arial"/>
          <w:lang w:val="sk-SK"/>
        </w:rPr>
        <w:t xml:space="preserve">tis. EUR k 31. decembru </w:t>
      </w:r>
      <w:r w:rsidR="00FD3AC5" w:rsidRPr="00226892">
        <w:rPr>
          <w:rFonts w:ascii="Arial" w:hAnsi="Arial" w:cs="Arial"/>
          <w:lang w:val="sk-SK"/>
        </w:rPr>
        <w:t>2018</w:t>
      </w:r>
      <w:r w:rsidR="0027090E" w:rsidRPr="00226892">
        <w:rPr>
          <w:rFonts w:ascii="Arial" w:hAnsi="Arial" w:cs="Arial"/>
          <w:lang w:val="sk-SK"/>
        </w:rPr>
        <w:t xml:space="preserve"> </w:t>
      </w:r>
      <w:r w:rsidRPr="00226892">
        <w:rPr>
          <w:rFonts w:ascii="Arial" w:eastAsia="Times" w:hAnsi="Arial" w:cs="Arial"/>
          <w:bCs/>
          <w:snapToGrid w:val="0"/>
          <w:lang w:val="sk-SK"/>
        </w:rPr>
        <w:t>(k 31. d</w:t>
      </w:r>
      <w:r w:rsidRPr="00226892">
        <w:rPr>
          <w:rFonts w:ascii="Arial" w:eastAsia="Times" w:hAnsi="Arial" w:cs="Arial"/>
          <w:bCs/>
          <w:snapToGrid w:val="0"/>
          <w:szCs w:val="18"/>
          <w:lang w:val="sk-SK"/>
        </w:rPr>
        <w:t xml:space="preserve">ecembru </w:t>
      </w:r>
      <w:r w:rsidR="00F63A77" w:rsidRPr="00226892">
        <w:rPr>
          <w:rFonts w:ascii="Arial" w:eastAsia="Times" w:hAnsi="Arial" w:cs="Arial"/>
          <w:bCs/>
          <w:snapToGrid w:val="0"/>
          <w:szCs w:val="18"/>
          <w:lang w:val="sk-SK"/>
        </w:rPr>
        <w:t>2017</w:t>
      </w:r>
      <w:r w:rsidRPr="00226892">
        <w:rPr>
          <w:rFonts w:ascii="Arial" w:eastAsia="Times" w:hAnsi="Arial" w:cs="Arial"/>
          <w:bCs/>
          <w:snapToGrid w:val="0"/>
          <w:szCs w:val="18"/>
          <w:lang w:val="sk-SK"/>
        </w:rPr>
        <w:t xml:space="preserve">: </w:t>
      </w:r>
      <w:r w:rsidR="009161C9" w:rsidRPr="00226892">
        <w:rPr>
          <w:rFonts w:ascii="Arial" w:hAnsi="Arial" w:cs="Arial"/>
          <w:szCs w:val="18"/>
          <w:lang w:val="sk-SK"/>
        </w:rPr>
        <w:t>4</w:t>
      </w:r>
      <w:r w:rsidR="00A21503" w:rsidRPr="00226892">
        <w:rPr>
          <w:rFonts w:ascii="Arial" w:hAnsi="Arial" w:cs="Arial"/>
          <w:szCs w:val="18"/>
          <w:lang w:val="sk-SK"/>
        </w:rPr>
        <w:t>10</w:t>
      </w:r>
      <w:r w:rsidR="00672CFE" w:rsidRPr="00226892">
        <w:rPr>
          <w:rFonts w:ascii="Arial" w:hAnsi="Arial" w:cs="Arial"/>
          <w:szCs w:val="18"/>
          <w:lang w:val="sk-SK"/>
        </w:rPr>
        <w:t xml:space="preserve"> </w:t>
      </w:r>
      <w:r w:rsidRPr="00226892">
        <w:rPr>
          <w:rFonts w:ascii="Arial" w:eastAsia="Times" w:hAnsi="Arial" w:cs="Arial"/>
          <w:bCs/>
          <w:snapToGrid w:val="0"/>
          <w:szCs w:val="18"/>
          <w:lang w:val="sk-SK"/>
        </w:rPr>
        <w:t xml:space="preserve">tis. EUR). </w:t>
      </w:r>
      <w:r w:rsidRPr="00226892">
        <w:rPr>
          <w:rFonts w:ascii="Arial" w:hAnsi="Arial" w:cs="Arial"/>
          <w:szCs w:val="18"/>
          <w:lang w:val="sk-SK"/>
        </w:rPr>
        <w:t>Pohyby opravnej položky k zásobám sú vykázané vo v</w:t>
      </w:r>
      <w:r w:rsidR="006D0563" w:rsidRPr="00226892">
        <w:rPr>
          <w:rFonts w:ascii="Arial" w:hAnsi="Arial" w:cs="Arial"/>
          <w:szCs w:val="18"/>
          <w:lang w:val="sk-SK"/>
        </w:rPr>
        <w:t>ýsledku hospodárenia</w:t>
      </w:r>
      <w:r w:rsidRPr="00226892">
        <w:rPr>
          <w:rFonts w:ascii="Arial" w:hAnsi="Arial" w:cs="Arial"/>
          <w:szCs w:val="18"/>
          <w:lang w:val="sk-SK"/>
        </w:rPr>
        <w:t xml:space="preserve"> v riadku Ostatné prevádzkové náklady a v riadku Zmeny stavu zásob hotových výrobkov a nedokončenej výroby.</w:t>
      </w:r>
    </w:p>
    <w:p w14:paraId="6A763A4E" w14:textId="77777777" w:rsidR="00F824EB" w:rsidRPr="00226892" w:rsidRDefault="00F824EB" w:rsidP="000405EF">
      <w:pPr>
        <w:suppressAutoHyphens/>
        <w:jc w:val="both"/>
        <w:rPr>
          <w:rFonts w:ascii="Arial" w:hAnsi="Arial" w:cs="Arial"/>
          <w:szCs w:val="18"/>
          <w:lang w:val="sk-SK"/>
        </w:rPr>
      </w:pPr>
    </w:p>
    <w:p w14:paraId="36248F4C" w14:textId="0A434FC6" w:rsidR="00824A49" w:rsidRDefault="00824A49">
      <w:pPr>
        <w:rPr>
          <w:rFonts w:ascii="Arial" w:eastAsia="Times" w:hAnsi="Arial" w:cs="Arial"/>
          <w:bCs/>
          <w:snapToGrid w:val="0"/>
          <w:szCs w:val="18"/>
          <w:lang w:val="sk-SK"/>
        </w:rPr>
      </w:pPr>
      <w:r>
        <w:rPr>
          <w:rFonts w:ascii="Arial" w:eastAsia="Times" w:hAnsi="Arial" w:cs="Arial"/>
          <w:bCs/>
          <w:snapToGrid w:val="0"/>
          <w:szCs w:val="18"/>
          <w:lang w:val="sk-SK"/>
        </w:rPr>
        <w:br w:type="page"/>
      </w:r>
    </w:p>
    <w:p w14:paraId="2D7BD928" w14:textId="65B1F6B8" w:rsidR="007B66EE" w:rsidRPr="00226892" w:rsidRDefault="007B66EE" w:rsidP="000405EF">
      <w:pPr>
        <w:suppressAutoHyphens/>
        <w:jc w:val="both"/>
        <w:rPr>
          <w:rFonts w:ascii="Arial" w:hAnsi="Arial" w:cs="Arial"/>
          <w:bCs/>
          <w:szCs w:val="18"/>
          <w:lang w:val="sk-SK"/>
        </w:rPr>
      </w:pPr>
      <w:r w:rsidRPr="00226892">
        <w:rPr>
          <w:rFonts w:ascii="Arial" w:eastAsia="Times" w:hAnsi="Arial" w:cs="Arial"/>
          <w:bCs/>
          <w:snapToGrid w:val="0"/>
          <w:szCs w:val="18"/>
          <w:lang w:val="sk-SK"/>
        </w:rPr>
        <w:lastRenderedPageBreak/>
        <w:t>Vývoj opravnej položky k zásobám je uvedený v nasledujúcej tabuľke:</w:t>
      </w:r>
      <w:r w:rsidRPr="00226892">
        <w:rPr>
          <w:rFonts w:ascii="Arial" w:hAnsi="Arial" w:cs="Arial"/>
          <w:bCs/>
          <w:szCs w:val="18"/>
          <w:lang w:val="sk-SK"/>
        </w:rPr>
        <w:t xml:space="preserve"> </w:t>
      </w:r>
    </w:p>
    <w:p w14:paraId="7C1CEA2A" w14:textId="4A9F6629" w:rsidR="009161C9" w:rsidRPr="00226892" w:rsidRDefault="009161C9" w:rsidP="00F824EB">
      <w:pPr>
        <w:suppressAutoHyphens/>
        <w:ind w:left="426"/>
        <w:jc w:val="both"/>
        <w:rPr>
          <w:rFonts w:ascii="Arial" w:hAnsi="Arial" w:cs="Arial"/>
          <w:bCs/>
          <w:sz w:val="16"/>
          <w:szCs w:val="18"/>
          <w:lang w:val="sk-SK"/>
        </w:rPr>
      </w:pPr>
    </w:p>
    <w:tbl>
      <w:tblPr>
        <w:tblW w:w="5000" w:type="pct"/>
        <w:tblCellMar>
          <w:left w:w="70" w:type="dxa"/>
          <w:right w:w="70" w:type="dxa"/>
        </w:tblCellMar>
        <w:tblLook w:val="04A0" w:firstRow="1" w:lastRow="0" w:firstColumn="1" w:lastColumn="0" w:noHBand="0" w:noVBand="1"/>
      </w:tblPr>
      <w:tblGrid>
        <w:gridCol w:w="2077"/>
        <w:gridCol w:w="1511"/>
        <w:gridCol w:w="1899"/>
        <w:gridCol w:w="2373"/>
        <w:gridCol w:w="1779"/>
      </w:tblGrid>
      <w:tr w:rsidR="009161C9" w:rsidRPr="00226892" w14:paraId="46AC1E16" w14:textId="77777777" w:rsidTr="00EA7950">
        <w:trPr>
          <w:trHeight w:val="170"/>
        </w:trPr>
        <w:tc>
          <w:tcPr>
            <w:tcW w:w="1077" w:type="pct"/>
            <w:tcBorders>
              <w:top w:val="nil"/>
              <w:left w:val="nil"/>
              <w:bottom w:val="single" w:sz="4" w:space="0" w:color="auto"/>
              <w:right w:val="nil"/>
            </w:tcBorders>
            <w:shd w:val="clear" w:color="auto" w:fill="auto"/>
            <w:vAlign w:val="bottom"/>
            <w:hideMark/>
          </w:tcPr>
          <w:p w14:paraId="34A16E2F" w14:textId="77777777" w:rsidR="009161C9" w:rsidRPr="00226892" w:rsidRDefault="009161C9" w:rsidP="009F2456">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w:t>
            </w:r>
          </w:p>
        </w:tc>
        <w:tc>
          <w:tcPr>
            <w:tcW w:w="784" w:type="pct"/>
            <w:tcBorders>
              <w:top w:val="nil"/>
              <w:left w:val="nil"/>
              <w:bottom w:val="single" w:sz="4" w:space="0" w:color="auto"/>
              <w:right w:val="nil"/>
            </w:tcBorders>
            <w:shd w:val="clear" w:color="auto" w:fill="auto"/>
            <w:vAlign w:val="bottom"/>
            <w:hideMark/>
          </w:tcPr>
          <w:p w14:paraId="300CD7FE" w14:textId="42214C4D" w:rsidR="009161C9" w:rsidRPr="00226892" w:rsidRDefault="009161C9" w:rsidP="00EA7950">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K 01-01-2018</w:t>
            </w:r>
          </w:p>
        </w:tc>
        <w:tc>
          <w:tcPr>
            <w:tcW w:w="985" w:type="pct"/>
            <w:tcBorders>
              <w:top w:val="nil"/>
              <w:left w:val="nil"/>
              <w:bottom w:val="single" w:sz="4" w:space="0" w:color="auto"/>
              <w:right w:val="nil"/>
            </w:tcBorders>
            <w:shd w:val="clear" w:color="auto" w:fill="auto"/>
            <w:vAlign w:val="bottom"/>
            <w:hideMark/>
          </w:tcPr>
          <w:p w14:paraId="77C6F9B8" w14:textId="44C459B6" w:rsidR="009161C9" w:rsidRPr="00226892" w:rsidRDefault="009161C9" w:rsidP="00EA7950">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Tvorba</w:t>
            </w:r>
          </w:p>
        </w:tc>
        <w:tc>
          <w:tcPr>
            <w:tcW w:w="1231" w:type="pct"/>
            <w:tcBorders>
              <w:top w:val="nil"/>
              <w:left w:val="nil"/>
              <w:bottom w:val="single" w:sz="4" w:space="0" w:color="auto"/>
              <w:right w:val="nil"/>
            </w:tcBorders>
            <w:shd w:val="clear" w:color="auto" w:fill="auto"/>
            <w:vAlign w:val="bottom"/>
            <w:hideMark/>
          </w:tcPr>
          <w:p w14:paraId="27670EDE" w14:textId="491B02B8" w:rsidR="009161C9" w:rsidRPr="00226892" w:rsidRDefault="009161C9" w:rsidP="00EA7950">
            <w:pPr>
              <w:jc w:val="center"/>
              <w:rPr>
                <w:rFonts w:ascii="Arial" w:eastAsia="Times New Roman" w:hAnsi="Arial" w:cs="Arial"/>
                <w:b/>
                <w:bCs/>
                <w:sz w:val="18"/>
                <w:szCs w:val="18"/>
                <w:lang w:val="sk-SK" w:eastAsia="sk-SK"/>
              </w:rPr>
            </w:pPr>
            <w:r w:rsidRPr="00226892">
              <w:rPr>
                <w:rFonts w:ascii="Arial" w:eastAsia="Times New Roman" w:hAnsi="Arial" w:cs="Arial"/>
                <w:b/>
                <w:bCs/>
                <w:sz w:val="18"/>
                <w:szCs w:val="18"/>
                <w:lang w:val="sk-SK" w:eastAsia="sk-SK"/>
              </w:rPr>
              <w:t>Použitie / rozpustenie</w:t>
            </w:r>
          </w:p>
        </w:tc>
        <w:tc>
          <w:tcPr>
            <w:tcW w:w="923" w:type="pct"/>
            <w:tcBorders>
              <w:top w:val="nil"/>
              <w:left w:val="nil"/>
              <w:bottom w:val="single" w:sz="4" w:space="0" w:color="auto"/>
              <w:right w:val="nil"/>
            </w:tcBorders>
            <w:shd w:val="clear" w:color="auto" w:fill="auto"/>
            <w:vAlign w:val="bottom"/>
            <w:hideMark/>
          </w:tcPr>
          <w:p w14:paraId="37B21A6A" w14:textId="4BEC0BFF" w:rsidR="009161C9" w:rsidRPr="00226892" w:rsidRDefault="009161C9" w:rsidP="00EA7950">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K 31-12-2018</w:t>
            </w:r>
          </w:p>
        </w:tc>
      </w:tr>
      <w:tr w:rsidR="009161C9" w:rsidRPr="00226892" w14:paraId="23F1FD6C" w14:textId="77777777" w:rsidTr="000405EF">
        <w:trPr>
          <w:trHeight w:val="170"/>
        </w:trPr>
        <w:tc>
          <w:tcPr>
            <w:tcW w:w="1077" w:type="pct"/>
            <w:tcBorders>
              <w:top w:val="nil"/>
              <w:left w:val="nil"/>
              <w:bottom w:val="nil"/>
              <w:right w:val="nil"/>
            </w:tcBorders>
            <w:shd w:val="clear" w:color="auto" w:fill="auto"/>
            <w:vAlign w:val="bottom"/>
            <w:hideMark/>
          </w:tcPr>
          <w:p w14:paraId="540B1A11" w14:textId="77777777" w:rsidR="009161C9" w:rsidRPr="00226892" w:rsidRDefault="009161C9"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Materiál a nedokončená výroba</w:t>
            </w:r>
          </w:p>
        </w:tc>
        <w:tc>
          <w:tcPr>
            <w:tcW w:w="784" w:type="pct"/>
            <w:tcBorders>
              <w:top w:val="nil"/>
              <w:left w:val="nil"/>
              <w:bottom w:val="nil"/>
              <w:right w:val="nil"/>
            </w:tcBorders>
            <w:shd w:val="clear" w:color="auto" w:fill="auto"/>
            <w:vAlign w:val="bottom"/>
            <w:hideMark/>
          </w:tcPr>
          <w:p w14:paraId="48F3E37B" w14:textId="55EC2A22" w:rsidR="009161C9" w:rsidRPr="00226892" w:rsidRDefault="009161C9"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410  </w:t>
            </w:r>
          </w:p>
        </w:tc>
        <w:tc>
          <w:tcPr>
            <w:tcW w:w="985" w:type="pct"/>
            <w:tcBorders>
              <w:top w:val="nil"/>
              <w:left w:val="nil"/>
              <w:bottom w:val="nil"/>
              <w:right w:val="nil"/>
            </w:tcBorders>
            <w:shd w:val="clear" w:color="auto" w:fill="auto"/>
            <w:vAlign w:val="bottom"/>
            <w:hideMark/>
          </w:tcPr>
          <w:p w14:paraId="4F6AAF56" w14:textId="634065AC" w:rsidR="009161C9" w:rsidRPr="00226892" w:rsidRDefault="009161C9"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1 160    </w:t>
            </w:r>
          </w:p>
        </w:tc>
        <w:tc>
          <w:tcPr>
            <w:tcW w:w="1231" w:type="pct"/>
            <w:tcBorders>
              <w:top w:val="nil"/>
              <w:left w:val="nil"/>
              <w:bottom w:val="nil"/>
              <w:right w:val="nil"/>
            </w:tcBorders>
            <w:shd w:val="clear" w:color="auto" w:fill="auto"/>
            <w:vAlign w:val="bottom"/>
            <w:hideMark/>
          </w:tcPr>
          <w:p w14:paraId="4AD56549" w14:textId="5BBFE95B" w:rsidR="009161C9" w:rsidRPr="00226892" w:rsidRDefault="009161C9"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-48    </w:t>
            </w:r>
          </w:p>
        </w:tc>
        <w:tc>
          <w:tcPr>
            <w:tcW w:w="923" w:type="pct"/>
            <w:tcBorders>
              <w:top w:val="nil"/>
              <w:left w:val="nil"/>
              <w:bottom w:val="nil"/>
              <w:right w:val="nil"/>
            </w:tcBorders>
            <w:shd w:val="clear" w:color="auto" w:fill="auto"/>
            <w:vAlign w:val="bottom"/>
          </w:tcPr>
          <w:p w14:paraId="779B82B3" w14:textId="72C64764" w:rsidR="009161C9" w:rsidRPr="00226892" w:rsidRDefault="009161C9"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1 522</w:t>
            </w:r>
          </w:p>
        </w:tc>
      </w:tr>
      <w:tr w:rsidR="009161C9" w:rsidRPr="00226892" w14:paraId="4AC2E26B" w14:textId="77777777" w:rsidTr="000405EF">
        <w:trPr>
          <w:trHeight w:val="170"/>
        </w:trPr>
        <w:tc>
          <w:tcPr>
            <w:tcW w:w="1077" w:type="pct"/>
            <w:tcBorders>
              <w:top w:val="nil"/>
              <w:left w:val="nil"/>
              <w:bottom w:val="nil"/>
              <w:right w:val="nil"/>
            </w:tcBorders>
            <w:shd w:val="clear" w:color="auto" w:fill="auto"/>
            <w:vAlign w:val="bottom"/>
            <w:hideMark/>
          </w:tcPr>
          <w:p w14:paraId="1593DD65" w14:textId="77777777" w:rsidR="009161C9" w:rsidRPr="00226892" w:rsidRDefault="009161C9"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Hotové výrobky</w:t>
            </w:r>
          </w:p>
        </w:tc>
        <w:tc>
          <w:tcPr>
            <w:tcW w:w="784" w:type="pct"/>
            <w:tcBorders>
              <w:top w:val="nil"/>
              <w:left w:val="nil"/>
              <w:bottom w:val="nil"/>
              <w:right w:val="nil"/>
            </w:tcBorders>
            <w:shd w:val="clear" w:color="auto" w:fill="auto"/>
            <w:vAlign w:val="bottom"/>
            <w:hideMark/>
          </w:tcPr>
          <w:p w14:paraId="64A13844" w14:textId="77777777" w:rsidR="009161C9" w:rsidRPr="00226892" w:rsidRDefault="009161C9"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w:t>
            </w:r>
          </w:p>
        </w:tc>
        <w:tc>
          <w:tcPr>
            <w:tcW w:w="985" w:type="pct"/>
            <w:tcBorders>
              <w:top w:val="nil"/>
              <w:left w:val="nil"/>
              <w:bottom w:val="nil"/>
              <w:right w:val="nil"/>
            </w:tcBorders>
            <w:shd w:val="clear" w:color="auto" w:fill="auto"/>
            <w:vAlign w:val="bottom"/>
            <w:hideMark/>
          </w:tcPr>
          <w:p w14:paraId="17F87AF9" w14:textId="77777777" w:rsidR="009161C9" w:rsidRPr="00226892" w:rsidRDefault="009161C9"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w:t>
            </w:r>
          </w:p>
        </w:tc>
        <w:tc>
          <w:tcPr>
            <w:tcW w:w="1231" w:type="pct"/>
            <w:tcBorders>
              <w:top w:val="nil"/>
              <w:left w:val="nil"/>
              <w:bottom w:val="nil"/>
              <w:right w:val="nil"/>
            </w:tcBorders>
            <w:shd w:val="clear" w:color="auto" w:fill="auto"/>
            <w:vAlign w:val="bottom"/>
            <w:hideMark/>
          </w:tcPr>
          <w:p w14:paraId="32925602" w14:textId="77777777" w:rsidR="009161C9" w:rsidRPr="00226892" w:rsidRDefault="009161C9"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w:t>
            </w:r>
          </w:p>
        </w:tc>
        <w:tc>
          <w:tcPr>
            <w:tcW w:w="923" w:type="pct"/>
            <w:tcBorders>
              <w:top w:val="nil"/>
              <w:left w:val="nil"/>
              <w:bottom w:val="nil"/>
              <w:right w:val="nil"/>
            </w:tcBorders>
            <w:shd w:val="clear" w:color="auto" w:fill="auto"/>
            <w:vAlign w:val="bottom"/>
          </w:tcPr>
          <w:p w14:paraId="32FA635E" w14:textId="76BC7754" w:rsidR="009161C9" w:rsidRPr="00226892" w:rsidRDefault="009161C9"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r>
      <w:tr w:rsidR="009161C9" w:rsidRPr="00226892" w14:paraId="0C4EC76D" w14:textId="77777777" w:rsidTr="000405EF">
        <w:trPr>
          <w:trHeight w:val="170"/>
        </w:trPr>
        <w:tc>
          <w:tcPr>
            <w:tcW w:w="1077" w:type="pct"/>
            <w:tcBorders>
              <w:top w:val="nil"/>
              <w:left w:val="nil"/>
              <w:bottom w:val="nil"/>
              <w:right w:val="nil"/>
            </w:tcBorders>
            <w:shd w:val="clear" w:color="auto" w:fill="auto"/>
            <w:vAlign w:val="bottom"/>
            <w:hideMark/>
          </w:tcPr>
          <w:p w14:paraId="3174F179" w14:textId="77777777" w:rsidR="009161C9" w:rsidRPr="00226892" w:rsidRDefault="009161C9" w:rsidP="009F2456">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Spolu </w:t>
            </w:r>
          </w:p>
        </w:tc>
        <w:tc>
          <w:tcPr>
            <w:tcW w:w="784" w:type="pct"/>
            <w:tcBorders>
              <w:top w:val="single" w:sz="4" w:space="0" w:color="auto"/>
              <w:left w:val="nil"/>
              <w:bottom w:val="double" w:sz="6" w:space="0" w:color="auto"/>
              <w:right w:val="nil"/>
            </w:tcBorders>
            <w:shd w:val="clear" w:color="auto" w:fill="auto"/>
            <w:vAlign w:val="bottom"/>
            <w:hideMark/>
          </w:tcPr>
          <w:p w14:paraId="6E60772F" w14:textId="650558CF" w:rsidR="009161C9" w:rsidRPr="00226892" w:rsidRDefault="009161C9" w:rsidP="009F245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410    </w:t>
            </w:r>
          </w:p>
        </w:tc>
        <w:tc>
          <w:tcPr>
            <w:tcW w:w="985" w:type="pct"/>
            <w:tcBorders>
              <w:top w:val="single" w:sz="4" w:space="0" w:color="auto"/>
              <w:left w:val="nil"/>
              <w:bottom w:val="double" w:sz="6" w:space="0" w:color="auto"/>
              <w:right w:val="nil"/>
            </w:tcBorders>
            <w:shd w:val="clear" w:color="auto" w:fill="auto"/>
            <w:vAlign w:val="bottom"/>
            <w:hideMark/>
          </w:tcPr>
          <w:p w14:paraId="05C94A2D" w14:textId="3E04684C" w:rsidR="009161C9" w:rsidRPr="00226892" w:rsidRDefault="009161C9" w:rsidP="009F245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1 160    </w:t>
            </w:r>
          </w:p>
        </w:tc>
        <w:tc>
          <w:tcPr>
            <w:tcW w:w="1231" w:type="pct"/>
            <w:tcBorders>
              <w:top w:val="single" w:sz="4" w:space="0" w:color="auto"/>
              <w:left w:val="nil"/>
              <w:bottom w:val="double" w:sz="6" w:space="0" w:color="auto"/>
              <w:right w:val="nil"/>
            </w:tcBorders>
            <w:shd w:val="clear" w:color="auto" w:fill="auto"/>
            <w:vAlign w:val="bottom"/>
            <w:hideMark/>
          </w:tcPr>
          <w:p w14:paraId="162F5CD1" w14:textId="28E5353F" w:rsidR="009161C9" w:rsidRPr="00226892" w:rsidRDefault="009161C9" w:rsidP="009F245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-48    </w:t>
            </w:r>
          </w:p>
        </w:tc>
        <w:tc>
          <w:tcPr>
            <w:tcW w:w="923" w:type="pct"/>
            <w:tcBorders>
              <w:top w:val="single" w:sz="4" w:space="0" w:color="auto"/>
              <w:left w:val="nil"/>
              <w:bottom w:val="double" w:sz="6" w:space="0" w:color="auto"/>
              <w:right w:val="nil"/>
            </w:tcBorders>
            <w:shd w:val="clear" w:color="auto" w:fill="auto"/>
            <w:vAlign w:val="bottom"/>
          </w:tcPr>
          <w:p w14:paraId="320887CE" w14:textId="62FA63FE" w:rsidR="009161C9" w:rsidRPr="00226892" w:rsidRDefault="009161C9" w:rsidP="009F245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1 522</w:t>
            </w:r>
          </w:p>
        </w:tc>
      </w:tr>
    </w:tbl>
    <w:p w14:paraId="601F0A2F" w14:textId="77777777" w:rsidR="009161C9" w:rsidRPr="00226892" w:rsidRDefault="009161C9" w:rsidP="00F824EB">
      <w:pPr>
        <w:suppressAutoHyphens/>
        <w:ind w:left="426"/>
        <w:jc w:val="both"/>
        <w:rPr>
          <w:rFonts w:ascii="Arial" w:hAnsi="Arial" w:cs="Arial"/>
          <w:bCs/>
          <w:sz w:val="16"/>
          <w:szCs w:val="18"/>
          <w:lang w:val="sk-SK"/>
        </w:rPr>
      </w:pPr>
    </w:p>
    <w:p w14:paraId="0E918D60" w14:textId="19A0B004" w:rsidR="001271E7" w:rsidRPr="00226892" w:rsidRDefault="001271E7" w:rsidP="001271E7">
      <w:pPr>
        <w:suppressAutoHyphens/>
        <w:rPr>
          <w:rFonts w:ascii="Arial" w:eastAsia="Times" w:hAnsi="Arial" w:cs="Arial"/>
          <w:sz w:val="16"/>
          <w:szCs w:val="16"/>
          <w:lang w:val="sk-SK"/>
        </w:rPr>
      </w:pPr>
      <w:bookmarkStart w:id="435" w:name="FWT_MovementsInInventProvisions_CY"/>
    </w:p>
    <w:tbl>
      <w:tblPr>
        <w:tblW w:w="5000" w:type="pct"/>
        <w:tblCellMar>
          <w:left w:w="70" w:type="dxa"/>
          <w:right w:w="70" w:type="dxa"/>
        </w:tblCellMar>
        <w:tblLook w:val="04A0" w:firstRow="1" w:lastRow="0" w:firstColumn="1" w:lastColumn="0" w:noHBand="0" w:noVBand="1"/>
      </w:tblPr>
      <w:tblGrid>
        <w:gridCol w:w="2077"/>
        <w:gridCol w:w="1511"/>
        <w:gridCol w:w="1899"/>
        <w:gridCol w:w="2373"/>
        <w:gridCol w:w="1779"/>
      </w:tblGrid>
      <w:tr w:rsidR="00A21503" w:rsidRPr="00226892" w14:paraId="7EECB519" w14:textId="77777777" w:rsidTr="00EA7950">
        <w:trPr>
          <w:trHeight w:val="170"/>
        </w:trPr>
        <w:tc>
          <w:tcPr>
            <w:tcW w:w="1077" w:type="pct"/>
            <w:tcBorders>
              <w:top w:val="nil"/>
              <w:left w:val="nil"/>
              <w:bottom w:val="single" w:sz="4" w:space="0" w:color="auto"/>
              <w:right w:val="nil"/>
            </w:tcBorders>
            <w:shd w:val="clear" w:color="auto" w:fill="auto"/>
            <w:vAlign w:val="bottom"/>
            <w:hideMark/>
          </w:tcPr>
          <w:p w14:paraId="00E95640" w14:textId="77777777" w:rsidR="00A21503" w:rsidRPr="00226892" w:rsidRDefault="00A21503" w:rsidP="001271E7">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w:t>
            </w:r>
          </w:p>
        </w:tc>
        <w:tc>
          <w:tcPr>
            <w:tcW w:w="784" w:type="pct"/>
            <w:tcBorders>
              <w:top w:val="nil"/>
              <w:left w:val="nil"/>
              <w:bottom w:val="single" w:sz="4" w:space="0" w:color="auto"/>
              <w:right w:val="nil"/>
            </w:tcBorders>
            <w:shd w:val="clear" w:color="auto" w:fill="auto"/>
            <w:vAlign w:val="bottom"/>
            <w:hideMark/>
          </w:tcPr>
          <w:p w14:paraId="640D5A7A" w14:textId="29BE479E" w:rsidR="00A21503" w:rsidRPr="00226892" w:rsidRDefault="00A21503" w:rsidP="00EA7950">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K 01-01-</w:t>
            </w:r>
            <w:r w:rsidR="00FD3AC5" w:rsidRPr="00226892">
              <w:rPr>
                <w:rFonts w:ascii="Arial" w:eastAsia="Times New Roman" w:hAnsi="Arial" w:cs="Arial"/>
                <w:b/>
                <w:bCs/>
                <w:color w:val="000000"/>
                <w:sz w:val="18"/>
                <w:szCs w:val="18"/>
                <w:lang w:val="sk-SK" w:eastAsia="sk-SK"/>
              </w:rPr>
              <w:t>201</w:t>
            </w:r>
            <w:r w:rsidR="009161C9" w:rsidRPr="00226892">
              <w:rPr>
                <w:rFonts w:ascii="Arial" w:eastAsia="Times New Roman" w:hAnsi="Arial" w:cs="Arial"/>
                <w:b/>
                <w:bCs/>
                <w:color w:val="000000"/>
                <w:sz w:val="18"/>
                <w:szCs w:val="18"/>
                <w:lang w:val="sk-SK" w:eastAsia="sk-SK"/>
              </w:rPr>
              <w:t>7</w:t>
            </w:r>
          </w:p>
        </w:tc>
        <w:tc>
          <w:tcPr>
            <w:tcW w:w="985" w:type="pct"/>
            <w:tcBorders>
              <w:top w:val="nil"/>
              <w:left w:val="nil"/>
              <w:bottom w:val="single" w:sz="4" w:space="0" w:color="auto"/>
              <w:right w:val="nil"/>
            </w:tcBorders>
            <w:shd w:val="clear" w:color="auto" w:fill="auto"/>
            <w:vAlign w:val="bottom"/>
            <w:hideMark/>
          </w:tcPr>
          <w:p w14:paraId="2981EF3C" w14:textId="1CE26396" w:rsidR="00A21503" w:rsidRPr="00226892" w:rsidRDefault="00A21503" w:rsidP="00EA7950">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Tvorba</w:t>
            </w:r>
          </w:p>
        </w:tc>
        <w:tc>
          <w:tcPr>
            <w:tcW w:w="1231" w:type="pct"/>
            <w:tcBorders>
              <w:top w:val="nil"/>
              <w:left w:val="nil"/>
              <w:bottom w:val="single" w:sz="4" w:space="0" w:color="auto"/>
              <w:right w:val="nil"/>
            </w:tcBorders>
            <w:shd w:val="clear" w:color="auto" w:fill="auto"/>
            <w:vAlign w:val="bottom"/>
            <w:hideMark/>
          </w:tcPr>
          <w:p w14:paraId="0370982B" w14:textId="5E1668E9" w:rsidR="00A21503" w:rsidRPr="00226892" w:rsidRDefault="00A21503" w:rsidP="00EA7950">
            <w:pPr>
              <w:jc w:val="center"/>
              <w:rPr>
                <w:rFonts w:ascii="Arial" w:eastAsia="Times New Roman" w:hAnsi="Arial" w:cs="Arial"/>
                <w:b/>
                <w:bCs/>
                <w:sz w:val="18"/>
                <w:szCs w:val="18"/>
                <w:lang w:val="sk-SK" w:eastAsia="sk-SK"/>
              </w:rPr>
            </w:pPr>
            <w:r w:rsidRPr="00226892">
              <w:rPr>
                <w:rFonts w:ascii="Arial" w:eastAsia="Times New Roman" w:hAnsi="Arial" w:cs="Arial"/>
                <w:b/>
                <w:bCs/>
                <w:sz w:val="18"/>
                <w:szCs w:val="18"/>
                <w:lang w:val="sk-SK" w:eastAsia="sk-SK"/>
              </w:rPr>
              <w:t>Použitie / rozpustenie</w:t>
            </w:r>
          </w:p>
        </w:tc>
        <w:tc>
          <w:tcPr>
            <w:tcW w:w="923" w:type="pct"/>
            <w:tcBorders>
              <w:top w:val="nil"/>
              <w:left w:val="nil"/>
              <w:bottom w:val="single" w:sz="4" w:space="0" w:color="auto"/>
              <w:right w:val="nil"/>
            </w:tcBorders>
            <w:shd w:val="clear" w:color="auto" w:fill="auto"/>
            <w:vAlign w:val="bottom"/>
            <w:hideMark/>
          </w:tcPr>
          <w:p w14:paraId="584C3727" w14:textId="16A34F31" w:rsidR="00A21503" w:rsidRPr="00226892" w:rsidRDefault="00A21503" w:rsidP="00EA7950">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K 31-12-</w:t>
            </w:r>
            <w:r w:rsidR="00FD3AC5" w:rsidRPr="00226892">
              <w:rPr>
                <w:rFonts w:ascii="Arial" w:eastAsia="Times New Roman" w:hAnsi="Arial" w:cs="Arial"/>
                <w:b/>
                <w:bCs/>
                <w:color w:val="000000"/>
                <w:sz w:val="18"/>
                <w:szCs w:val="18"/>
                <w:lang w:val="sk-SK" w:eastAsia="sk-SK"/>
              </w:rPr>
              <w:t>201</w:t>
            </w:r>
            <w:r w:rsidR="009161C9" w:rsidRPr="00226892">
              <w:rPr>
                <w:rFonts w:ascii="Arial" w:eastAsia="Times New Roman" w:hAnsi="Arial" w:cs="Arial"/>
                <w:b/>
                <w:bCs/>
                <w:color w:val="000000"/>
                <w:sz w:val="18"/>
                <w:szCs w:val="18"/>
                <w:lang w:val="sk-SK" w:eastAsia="sk-SK"/>
              </w:rPr>
              <w:t>7</w:t>
            </w:r>
          </w:p>
        </w:tc>
      </w:tr>
      <w:tr w:rsidR="00A21503" w:rsidRPr="00226892" w14:paraId="3758C94C" w14:textId="77777777" w:rsidTr="000405EF">
        <w:trPr>
          <w:trHeight w:val="170"/>
        </w:trPr>
        <w:tc>
          <w:tcPr>
            <w:tcW w:w="1077" w:type="pct"/>
            <w:tcBorders>
              <w:top w:val="nil"/>
              <w:left w:val="nil"/>
              <w:bottom w:val="nil"/>
              <w:right w:val="nil"/>
            </w:tcBorders>
            <w:shd w:val="clear" w:color="auto" w:fill="auto"/>
            <w:vAlign w:val="bottom"/>
            <w:hideMark/>
          </w:tcPr>
          <w:p w14:paraId="59EC696E" w14:textId="77777777" w:rsidR="00A21503" w:rsidRPr="00226892" w:rsidRDefault="00A21503" w:rsidP="001271E7">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Materiál a nedokončená výroba</w:t>
            </w:r>
          </w:p>
        </w:tc>
        <w:tc>
          <w:tcPr>
            <w:tcW w:w="784" w:type="pct"/>
            <w:tcBorders>
              <w:top w:val="nil"/>
              <w:left w:val="nil"/>
              <w:bottom w:val="nil"/>
              <w:right w:val="nil"/>
            </w:tcBorders>
            <w:shd w:val="clear" w:color="auto" w:fill="auto"/>
            <w:vAlign w:val="bottom"/>
            <w:hideMark/>
          </w:tcPr>
          <w:p w14:paraId="4CD3C247" w14:textId="6516E77E" w:rsidR="00A21503" w:rsidRPr="00226892" w:rsidRDefault="00A21503" w:rsidP="00A1236B">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510  </w:t>
            </w:r>
          </w:p>
        </w:tc>
        <w:tc>
          <w:tcPr>
            <w:tcW w:w="985" w:type="pct"/>
            <w:tcBorders>
              <w:top w:val="nil"/>
              <w:left w:val="nil"/>
              <w:bottom w:val="nil"/>
              <w:right w:val="nil"/>
            </w:tcBorders>
            <w:shd w:val="clear" w:color="auto" w:fill="auto"/>
            <w:vAlign w:val="bottom"/>
            <w:hideMark/>
          </w:tcPr>
          <w:p w14:paraId="589E7228" w14:textId="5A067891" w:rsidR="00A21503" w:rsidRPr="00226892" w:rsidRDefault="00A21503" w:rsidP="00D40B0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w:t>
            </w:r>
          </w:p>
        </w:tc>
        <w:tc>
          <w:tcPr>
            <w:tcW w:w="1231" w:type="pct"/>
            <w:tcBorders>
              <w:top w:val="nil"/>
              <w:left w:val="nil"/>
              <w:bottom w:val="nil"/>
              <w:right w:val="nil"/>
            </w:tcBorders>
            <w:shd w:val="clear" w:color="auto" w:fill="auto"/>
            <w:vAlign w:val="bottom"/>
            <w:hideMark/>
          </w:tcPr>
          <w:p w14:paraId="5B277614" w14:textId="0879F34B" w:rsidR="00A21503" w:rsidRPr="00226892" w:rsidRDefault="00A21503" w:rsidP="00A1236B">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-100    </w:t>
            </w:r>
          </w:p>
        </w:tc>
        <w:tc>
          <w:tcPr>
            <w:tcW w:w="923" w:type="pct"/>
            <w:tcBorders>
              <w:top w:val="nil"/>
              <w:left w:val="nil"/>
              <w:bottom w:val="nil"/>
              <w:right w:val="nil"/>
            </w:tcBorders>
            <w:shd w:val="clear" w:color="auto" w:fill="auto"/>
            <w:vAlign w:val="bottom"/>
            <w:hideMark/>
          </w:tcPr>
          <w:p w14:paraId="2A4BC1DB" w14:textId="732EA1F4" w:rsidR="00A21503" w:rsidRPr="00226892" w:rsidRDefault="00A21503" w:rsidP="00D40B0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410    </w:t>
            </w:r>
          </w:p>
        </w:tc>
      </w:tr>
      <w:tr w:rsidR="00A21503" w:rsidRPr="00226892" w14:paraId="63562094" w14:textId="77777777" w:rsidTr="000405EF">
        <w:trPr>
          <w:trHeight w:val="170"/>
        </w:trPr>
        <w:tc>
          <w:tcPr>
            <w:tcW w:w="1077" w:type="pct"/>
            <w:tcBorders>
              <w:top w:val="nil"/>
              <w:left w:val="nil"/>
              <w:bottom w:val="nil"/>
              <w:right w:val="nil"/>
            </w:tcBorders>
            <w:shd w:val="clear" w:color="auto" w:fill="auto"/>
            <w:vAlign w:val="bottom"/>
            <w:hideMark/>
          </w:tcPr>
          <w:p w14:paraId="642F412C" w14:textId="77777777" w:rsidR="00A21503" w:rsidRPr="00226892" w:rsidRDefault="00A21503" w:rsidP="001271E7">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Hotové výrobky</w:t>
            </w:r>
          </w:p>
        </w:tc>
        <w:tc>
          <w:tcPr>
            <w:tcW w:w="784" w:type="pct"/>
            <w:tcBorders>
              <w:top w:val="nil"/>
              <w:left w:val="nil"/>
              <w:bottom w:val="nil"/>
              <w:right w:val="nil"/>
            </w:tcBorders>
            <w:shd w:val="clear" w:color="auto" w:fill="auto"/>
            <w:vAlign w:val="bottom"/>
            <w:hideMark/>
          </w:tcPr>
          <w:p w14:paraId="631E9806" w14:textId="5D885AEA" w:rsidR="00A21503" w:rsidRPr="00226892" w:rsidRDefault="00A21503" w:rsidP="00D40B0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w:t>
            </w:r>
          </w:p>
        </w:tc>
        <w:tc>
          <w:tcPr>
            <w:tcW w:w="985" w:type="pct"/>
            <w:tcBorders>
              <w:top w:val="nil"/>
              <w:left w:val="nil"/>
              <w:bottom w:val="nil"/>
              <w:right w:val="nil"/>
            </w:tcBorders>
            <w:shd w:val="clear" w:color="auto" w:fill="auto"/>
            <w:vAlign w:val="bottom"/>
            <w:hideMark/>
          </w:tcPr>
          <w:p w14:paraId="4DD78650" w14:textId="6A43021E" w:rsidR="00A21503" w:rsidRPr="00226892" w:rsidRDefault="00A21503" w:rsidP="00D40B0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w:t>
            </w:r>
          </w:p>
        </w:tc>
        <w:tc>
          <w:tcPr>
            <w:tcW w:w="1231" w:type="pct"/>
            <w:tcBorders>
              <w:top w:val="nil"/>
              <w:left w:val="nil"/>
              <w:bottom w:val="nil"/>
              <w:right w:val="nil"/>
            </w:tcBorders>
            <w:shd w:val="clear" w:color="auto" w:fill="auto"/>
            <w:vAlign w:val="bottom"/>
            <w:hideMark/>
          </w:tcPr>
          <w:p w14:paraId="57CC32D9" w14:textId="57C2DCFD" w:rsidR="00A21503" w:rsidRPr="00226892" w:rsidRDefault="00A21503" w:rsidP="00D40B0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w:t>
            </w:r>
          </w:p>
        </w:tc>
        <w:tc>
          <w:tcPr>
            <w:tcW w:w="923" w:type="pct"/>
            <w:tcBorders>
              <w:top w:val="nil"/>
              <w:left w:val="nil"/>
              <w:bottom w:val="nil"/>
              <w:right w:val="nil"/>
            </w:tcBorders>
            <w:shd w:val="clear" w:color="auto" w:fill="auto"/>
            <w:vAlign w:val="bottom"/>
            <w:hideMark/>
          </w:tcPr>
          <w:p w14:paraId="5EF7CBE6" w14:textId="74557B99" w:rsidR="00A21503" w:rsidRPr="00226892" w:rsidRDefault="00A21503" w:rsidP="00D40B0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w:t>
            </w:r>
          </w:p>
        </w:tc>
      </w:tr>
      <w:tr w:rsidR="00A21503" w:rsidRPr="00226892" w14:paraId="1B0CFFB9" w14:textId="77777777" w:rsidTr="000405EF">
        <w:trPr>
          <w:trHeight w:val="170"/>
        </w:trPr>
        <w:tc>
          <w:tcPr>
            <w:tcW w:w="1077" w:type="pct"/>
            <w:tcBorders>
              <w:top w:val="nil"/>
              <w:left w:val="nil"/>
              <w:bottom w:val="nil"/>
              <w:right w:val="nil"/>
            </w:tcBorders>
            <w:shd w:val="clear" w:color="auto" w:fill="auto"/>
            <w:vAlign w:val="bottom"/>
            <w:hideMark/>
          </w:tcPr>
          <w:p w14:paraId="7A2CA86D" w14:textId="77777777" w:rsidR="00A21503" w:rsidRPr="00226892" w:rsidRDefault="00A21503" w:rsidP="001271E7">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Spolu </w:t>
            </w:r>
          </w:p>
        </w:tc>
        <w:tc>
          <w:tcPr>
            <w:tcW w:w="784" w:type="pct"/>
            <w:tcBorders>
              <w:top w:val="single" w:sz="4" w:space="0" w:color="auto"/>
              <w:left w:val="nil"/>
              <w:bottom w:val="double" w:sz="6" w:space="0" w:color="auto"/>
              <w:right w:val="nil"/>
            </w:tcBorders>
            <w:shd w:val="clear" w:color="auto" w:fill="auto"/>
            <w:vAlign w:val="bottom"/>
            <w:hideMark/>
          </w:tcPr>
          <w:p w14:paraId="0B4D2173" w14:textId="56FBECD5" w:rsidR="00A21503" w:rsidRPr="00226892" w:rsidRDefault="00A21503" w:rsidP="00D40B0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510    </w:t>
            </w:r>
          </w:p>
        </w:tc>
        <w:tc>
          <w:tcPr>
            <w:tcW w:w="985" w:type="pct"/>
            <w:tcBorders>
              <w:top w:val="single" w:sz="4" w:space="0" w:color="auto"/>
              <w:left w:val="nil"/>
              <w:bottom w:val="double" w:sz="6" w:space="0" w:color="auto"/>
              <w:right w:val="nil"/>
            </w:tcBorders>
            <w:shd w:val="clear" w:color="auto" w:fill="auto"/>
            <w:vAlign w:val="bottom"/>
            <w:hideMark/>
          </w:tcPr>
          <w:p w14:paraId="56482C30" w14:textId="767F731F" w:rsidR="00A21503" w:rsidRPr="00226892" w:rsidRDefault="00A21503" w:rsidP="00D40B0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    </w:t>
            </w:r>
          </w:p>
        </w:tc>
        <w:tc>
          <w:tcPr>
            <w:tcW w:w="1231" w:type="pct"/>
            <w:tcBorders>
              <w:top w:val="single" w:sz="4" w:space="0" w:color="auto"/>
              <w:left w:val="nil"/>
              <w:bottom w:val="double" w:sz="6" w:space="0" w:color="auto"/>
              <w:right w:val="nil"/>
            </w:tcBorders>
            <w:shd w:val="clear" w:color="auto" w:fill="auto"/>
            <w:vAlign w:val="bottom"/>
            <w:hideMark/>
          </w:tcPr>
          <w:p w14:paraId="4A696F73" w14:textId="388AC85D" w:rsidR="00A21503" w:rsidRPr="00226892" w:rsidRDefault="00A21503" w:rsidP="00D40B0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-100    </w:t>
            </w:r>
          </w:p>
        </w:tc>
        <w:tc>
          <w:tcPr>
            <w:tcW w:w="923" w:type="pct"/>
            <w:tcBorders>
              <w:top w:val="single" w:sz="4" w:space="0" w:color="auto"/>
              <w:left w:val="nil"/>
              <w:bottom w:val="double" w:sz="6" w:space="0" w:color="auto"/>
              <w:right w:val="nil"/>
            </w:tcBorders>
            <w:shd w:val="clear" w:color="auto" w:fill="auto"/>
            <w:vAlign w:val="bottom"/>
            <w:hideMark/>
          </w:tcPr>
          <w:p w14:paraId="74A5E347" w14:textId="038BFACF" w:rsidR="00A21503" w:rsidRPr="00226892" w:rsidRDefault="00A21503" w:rsidP="00D40B0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410    </w:t>
            </w:r>
          </w:p>
        </w:tc>
      </w:tr>
    </w:tbl>
    <w:p w14:paraId="7934DD4C" w14:textId="77777777" w:rsidR="00101E91" w:rsidRDefault="001271E7" w:rsidP="007E4A24">
      <w:pPr>
        <w:suppressAutoHyphens/>
        <w:rPr>
          <w:rFonts w:ascii="Arial" w:eastAsia="Times" w:hAnsi="Arial" w:cs="Arial"/>
          <w:sz w:val="16"/>
          <w:szCs w:val="16"/>
        </w:rPr>
      </w:pPr>
      <w:r w:rsidRPr="00226892">
        <w:rPr>
          <w:rFonts w:ascii="Arial" w:eastAsia="Times" w:hAnsi="Arial" w:cs="Arial"/>
          <w:sz w:val="16"/>
          <w:szCs w:val="16"/>
        </w:rPr>
        <w:t xml:space="preserve"> </w:t>
      </w:r>
      <w:bookmarkEnd w:id="435"/>
    </w:p>
    <w:p w14:paraId="23341E0A" w14:textId="77777777" w:rsidR="00101E91" w:rsidRDefault="00101E91" w:rsidP="007E4A24">
      <w:pPr>
        <w:suppressAutoHyphens/>
        <w:rPr>
          <w:rFonts w:ascii="Arial" w:eastAsia="Times" w:hAnsi="Arial" w:cs="Arial"/>
          <w:sz w:val="16"/>
          <w:szCs w:val="16"/>
        </w:rPr>
      </w:pPr>
    </w:p>
    <w:p w14:paraId="55663CE8" w14:textId="7C1A9787" w:rsidR="001C0A8F" w:rsidRPr="00226892" w:rsidRDefault="001C0A8F" w:rsidP="007E4A24">
      <w:pPr>
        <w:suppressAutoHyphens/>
        <w:rPr>
          <w:rFonts w:ascii="Arial" w:hAnsi="Arial" w:cs="Arial"/>
          <w:szCs w:val="18"/>
          <w:lang w:val="sk-SK"/>
        </w:rPr>
      </w:pPr>
      <w:r w:rsidRPr="00226892">
        <w:rPr>
          <w:rFonts w:ascii="Arial" w:hAnsi="Arial" w:cs="Arial"/>
          <w:szCs w:val="18"/>
          <w:lang w:val="sk-SK"/>
        </w:rPr>
        <w:t>Informácie o záložnom práve na zásoby sú uvedené v nasledujúcej tabuľke:</w:t>
      </w:r>
    </w:p>
    <w:p w14:paraId="5DA4E24C" w14:textId="198A6C5B" w:rsidR="001C0A8F" w:rsidRPr="00226892" w:rsidRDefault="001C0A8F" w:rsidP="00C930C9">
      <w:pPr>
        <w:suppressAutoHyphens/>
        <w:ind w:left="426"/>
        <w:jc w:val="both"/>
        <w:rPr>
          <w:rFonts w:ascii="Arial" w:hAnsi="Arial" w:cs="Arial"/>
          <w:szCs w:val="18"/>
          <w:lang w:val="sk-SK"/>
        </w:rPr>
      </w:pPr>
    </w:p>
    <w:tbl>
      <w:tblPr>
        <w:tblW w:w="5000" w:type="pct"/>
        <w:tblCellMar>
          <w:left w:w="70" w:type="dxa"/>
          <w:right w:w="70" w:type="dxa"/>
        </w:tblCellMar>
        <w:tblLook w:val="04A0" w:firstRow="1" w:lastRow="0" w:firstColumn="1" w:lastColumn="0" w:noHBand="0" w:noVBand="1"/>
      </w:tblPr>
      <w:tblGrid>
        <w:gridCol w:w="5226"/>
        <w:gridCol w:w="160"/>
        <w:gridCol w:w="1986"/>
        <w:gridCol w:w="283"/>
        <w:gridCol w:w="1984"/>
      </w:tblGrid>
      <w:tr w:rsidR="001C0A8F" w:rsidRPr="00226892" w14:paraId="60FC3FB2" w14:textId="77777777" w:rsidTr="006E1647">
        <w:trPr>
          <w:trHeight w:val="170"/>
        </w:trPr>
        <w:tc>
          <w:tcPr>
            <w:tcW w:w="2711" w:type="pct"/>
            <w:tcBorders>
              <w:top w:val="nil"/>
              <w:left w:val="nil"/>
              <w:bottom w:val="single" w:sz="4" w:space="0" w:color="auto"/>
              <w:right w:val="nil"/>
            </w:tcBorders>
            <w:shd w:val="clear" w:color="auto" w:fill="auto"/>
            <w:noWrap/>
            <w:vAlign w:val="bottom"/>
          </w:tcPr>
          <w:p w14:paraId="3B696D7A" w14:textId="77777777" w:rsidR="001C0A8F" w:rsidRPr="00226892" w:rsidRDefault="001C0A8F" w:rsidP="00734402">
            <w:pPr>
              <w:rPr>
                <w:rFonts w:ascii="Arial" w:eastAsia="Times New Roman" w:hAnsi="Arial" w:cs="Arial"/>
                <w:color w:val="000000"/>
                <w:sz w:val="18"/>
                <w:szCs w:val="18"/>
                <w:lang w:val="sk-SK" w:eastAsia="sk-SK"/>
              </w:rPr>
            </w:pPr>
          </w:p>
        </w:tc>
        <w:tc>
          <w:tcPr>
            <w:tcW w:w="83" w:type="pct"/>
            <w:tcBorders>
              <w:top w:val="nil"/>
              <w:left w:val="nil"/>
              <w:bottom w:val="single" w:sz="4" w:space="0" w:color="auto"/>
              <w:right w:val="nil"/>
            </w:tcBorders>
            <w:shd w:val="clear" w:color="auto" w:fill="auto"/>
            <w:noWrap/>
            <w:vAlign w:val="bottom"/>
          </w:tcPr>
          <w:p w14:paraId="5699A68E" w14:textId="77777777" w:rsidR="001C0A8F" w:rsidRPr="00226892" w:rsidRDefault="001C0A8F" w:rsidP="00734402">
            <w:pPr>
              <w:rPr>
                <w:rFonts w:ascii="Arial" w:eastAsia="Times New Roman" w:hAnsi="Arial" w:cs="Arial"/>
                <w:color w:val="000000"/>
                <w:sz w:val="18"/>
                <w:szCs w:val="18"/>
                <w:lang w:val="sk-SK" w:eastAsia="sk-SK"/>
              </w:rPr>
            </w:pPr>
          </w:p>
        </w:tc>
        <w:tc>
          <w:tcPr>
            <w:tcW w:w="1030" w:type="pct"/>
            <w:tcBorders>
              <w:top w:val="nil"/>
              <w:left w:val="nil"/>
              <w:bottom w:val="single" w:sz="4" w:space="0" w:color="auto"/>
              <w:right w:val="nil"/>
            </w:tcBorders>
            <w:shd w:val="clear" w:color="auto" w:fill="auto"/>
            <w:vAlign w:val="bottom"/>
          </w:tcPr>
          <w:p w14:paraId="5F976921" w14:textId="26D4DBB6" w:rsidR="001C0A8F" w:rsidRPr="00226892" w:rsidRDefault="001C0A8F" w:rsidP="006E1647">
            <w:pPr>
              <w:jc w:val="center"/>
              <w:rPr>
                <w:rFonts w:ascii="Arial" w:eastAsia="Times New Roman" w:hAnsi="Arial" w:cs="Arial"/>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D3AC5" w:rsidRPr="00226892">
              <w:rPr>
                <w:rFonts w:ascii="Arial" w:eastAsia="Times New Roman" w:hAnsi="Arial" w:cs="Arial"/>
                <w:b/>
                <w:bCs/>
                <w:color w:val="000000"/>
                <w:sz w:val="18"/>
                <w:szCs w:val="18"/>
                <w:lang w:val="sk-SK" w:eastAsia="sk-SK"/>
              </w:rPr>
              <w:t>2018</w:t>
            </w:r>
          </w:p>
        </w:tc>
        <w:tc>
          <w:tcPr>
            <w:tcW w:w="147" w:type="pct"/>
            <w:tcBorders>
              <w:top w:val="nil"/>
              <w:left w:val="nil"/>
              <w:bottom w:val="single" w:sz="4" w:space="0" w:color="auto"/>
              <w:right w:val="nil"/>
            </w:tcBorders>
            <w:shd w:val="clear" w:color="auto" w:fill="auto"/>
            <w:vAlign w:val="bottom"/>
          </w:tcPr>
          <w:p w14:paraId="4EA90522" w14:textId="53453894" w:rsidR="001C0A8F" w:rsidRPr="00226892" w:rsidRDefault="001C0A8F" w:rsidP="006E1647">
            <w:pPr>
              <w:jc w:val="center"/>
              <w:rPr>
                <w:rFonts w:ascii="Arial" w:eastAsia="Times New Roman" w:hAnsi="Arial" w:cs="Arial"/>
                <w:color w:val="000000"/>
                <w:sz w:val="18"/>
                <w:szCs w:val="18"/>
                <w:lang w:val="sk-SK" w:eastAsia="sk-SK"/>
              </w:rPr>
            </w:pPr>
          </w:p>
        </w:tc>
        <w:tc>
          <w:tcPr>
            <w:tcW w:w="1029" w:type="pct"/>
            <w:tcBorders>
              <w:top w:val="nil"/>
              <w:left w:val="nil"/>
              <w:bottom w:val="single" w:sz="4" w:space="0" w:color="auto"/>
              <w:right w:val="nil"/>
            </w:tcBorders>
            <w:shd w:val="clear" w:color="auto" w:fill="auto"/>
            <w:vAlign w:val="bottom"/>
          </w:tcPr>
          <w:p w14:paraId="4536C3A4" w14:textId="4EFDA178" w:rsidR="001C0A8F" w:rsidRPr="00226892" w:rsidRDefault="001C0A8F" w:rsidP="006E1647">
            <w:pPr>
              <w:jc w:val="center"/>
              <w:rPr>
                <w:rFonts w:ascii="Arial" w:eastAsia="Times New Roman" w:hAnsi="Arial" w:cs="Arial"/>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63A77" w:rsidRPr="00226892">
              <w:rPr>
                <w:rFonts w:ascii="Arial" w:eastAsia="Times New Roman" w:hAnsi="Arial" w:cs="Arial"/>
                <w:b/>
                <w:bCs/>
                <w:color w:val="000000"/>
                <w:sz w:val="18"/>
                <w:szCs w:val="18"/>
                <w:lang w:val="sk-SK" w:eastAsia="sk-SK"/>
              </w:rPr>
              <w:t>2017</w:t>
            </w:r>
          </w:p>
        </w:tc>
      </w:tr>
      <w:tr w:rsidR="001C0A8F" w:rsidRPr="00226892" w14:paraId="21885D0B" w14:textId="77777777" w:rsidTr="006E1647">
        <w:trPr>
          <w:trHeight w:val="170"/>
        </w:trPr>
        <w:tc>
          <w:tcPr>
            <w:tcW w:w="2711" w:type="pct"/>
            <w:tcBorders>
              <w:top w:val="single" w:sz="4" w:space="0" w:color="auto"/>
              <w:left w:val="nil"/>
              <w:bottom w:val="nil"/>
              <w:right w:val="nil"/>
            </w:tcBorders>
            <w:shd w:val="clear" w:color="auto" w:fill="auto"/>
            <w:noWrap/>
            <w:vAlign w:val="bottom"/>
            <w:hideMark/>
          </w:tcPr>
          <w:p w14:paraId="482476B1" w14:textId="2F285ECE" w:rsidR="001C0A8F" w:rsidRPr="00226892" w:rsidRDefault="005E32A4" w:rsidP="00734402">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Zásoby, na ktoré je zriadené záložné právo</w:t>
            </w:r>
          </w:p>
        </w:tc>
        <w:tc>
          <w:tcPr>
            <w:tcW w:w="83" w:type="pct"/>
            <w:tcBorders>
              <w:top w:val="single" w:sz="4" w:space="0" w:color="auto"/>
              <w:left w:val="nil"/>
              <w:bottom w:val="nil"/>
              <w:right w:val="nil"/>
            </w:tcBorders>
            <w:shd w:val="clear" w:color="auto" w:fill="auto"/>
            <w:noWrap/>
            <w:vAlign w:val="bottom"/>
            <w:hideMark/>
          </w:tcPr>
          <w:p w14:paraId="39EA34C6" w14:textId="77777777" w:rsidR="001C0A8F" w:rsidRPr="00226892" w:rsidRDefault="001C0A8F" w:rsidP="00734402">
            <w:pPr>
              <w:rPr>
                <w:rFonts w:ascii="Arial" w:eastAsia="Times New Roman" w:hAnsi="Arial" w:cs="Arial"/>
                <w:color w:val="000000"/>
                <w:sz w:val="18"/>
                <w:szCs w:val="18"/>
                <w:lang w:val="sk-SK" w:eastAsia="sk-SK"/>
              </w:rPr>
            </w:pPr>
          </w:p>
        </w:tc>
        <w:tc>
          <w:tcPr>
            <w:tcW w:w="1030" w:type="pct"/>
            <w:tcBorders>
              <w:top w:val="single" w:sz="4" w:space="0" w:color="auto"/>
              <w:left w:val="nil"/>
              <w:bottom w:val="nil"/>
              <w:right w:val="nil"/>
            </w:tcBorders>
            <w:shd w:val="clear" w:color="auto" w:fill="auto"/>
            <w:vAlign w:val="bottom"/>
          </w:tcPr>
          <w:p w14:paraId="68F76CEA" w14:textId="732855F4" w:rsidR="001C0A8F" w:rsidRPr="00226892" w:rsidRDefault="009161C9" w:rsidP="00734402">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20 457</w:t>
            </w:r>
          </w:p>
        </w:tc>
        <w:tc>
          <w:tcPr>
            <w:tcW w:w="147" w:type="pct"/>
            <w:tcBorders>
              <w:top w:val="single" w:sz="4" w:space="0" w:color="auto"/>
              <w:left w:val="nil"/>
              <w:bottom w:val="nil"/>
              <w:right w:val="nil"/>
            </w:tcBorders>
            <w:shd w:val="clear" w:color="auto" w:fill="auto"/>
            <w:vAlign w:val="bottom"/>
          </w:tcPr>
          <w:p w14:paraId="771A36CE" w14:textId="77777777" w:rsidR="001C0A8F" w:rsidRPr="00226892" w:rsidRDefault="001C0A8F" w:rsidP="00734402">
            <w:pPr>
              <w:jc w:val="right"/>
              <w:rPr>
                <w:rFonts w:ascii="Arial" w:eastAsia="Times New Roman" w:hAnsi="Arial" w:cs="Arial"/>
                <w:color w:val="000000"/>
                <w:sz w:val="18"/>
                <w:szCs w:val="18"/>
                <w:lang w:val="sk-SK" w:eastAsia="sk-SK"/>
              </w:rPr>
            </w:pPr>
          </w:p>
        </w:tc>
        <w:tc>
          <w:tcPr>
            <w:tcW w:w="1029" w:type="pct"/>
            <w:tcBorders>
              <w:top w:val="single" w:sz="4" w:space="0" w:color="auto"/>
              <w:left w:val="nil"/>
              <w:bottom w:val="nil"/>
              <w:right w:val="nil"/>
            </w:tcBorders>
            <w:shd w:val="clear" w:color="auto" w:fill="auto"/>
            <w:vAlign w:val="bottom"/>
          </w:tcPr>
          <w:p w14:paraId="43B568F5" w14:textId="7017A9F6" w:rsidR="001C0A8F" w:rsidRPr="00226892" w:rsidRDefault="009161C9" w:rsidP="00734402">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30 837</w:t>
            </w:r>
          </w:p>
        </w:tc>
      </w:tr>
    </w:tbl>
    <w:p w14:paraId="6E6BA45D" w14:textId="77777777" w:rsidR="001C0A8F" w:rsidRPr="00226892" w:rsidRDefault="001C0A8F" w:rsidP="00C930C9">
      <w:pPr>
        <w:suppressAutoHyphens/>
        <w:ind w:left="426"/>
        <w:jc w:val="both"/>
        <w:rPr>
          <w:rFonts w:ascii="Arial" w:hAnsi="Arial" w:cs="Arial"/>
          <w:szCs w:val="18"/>
          <w:lang w:val="sk-SK"/>
        </w:rPr>
      </w:pPr>
    </w:p>
    <w:p w14:paraId="6D63A22B" w14:textId="6E7DEEE1" w:rsidR="007B66EE" w:rsidRPr="00226892" w:rsidRDefault="007B66EE" w:rsidP="000405EF">
      <w:pPr>
        <w:suppressAutoHyphens/>
        <w:jc w:val="both"/>
        <w:rPr>
          <w:rFonts w:ascii="Arial" w:hAnsi="Arial" w:cs="Arial"/>
          <w:szCs w:val="18"/>
          <w:lang w:val="sk-SK"/>
        </w:rPr>
      </w:pPr>
      <w:r w:rsidRPr="00226892">
        <w:rPr>
          <w:rFonts w:ascii="Arial" w:hAnsi="Arial" w:cs="Arial"/>
          <w:szCs w:val="18"/>
          <w:lang w:val="sk-SK"/>
        </w:rPr>
        <w:t xml:space="preserve">K 31. decembru </w:t>
      </w:r>
      <w:r w:rsidR="00FD3AC5" w:rsidRPr="00226892">
        <w:rPr>
          <w:rFonts w:ascii="Arial" w:hAnsi="Arial" w:cs="Arial"/>
          <w:szCs w:val="18"/>
          <w:lang w:val="sk-SK"/>
        </w:rPr>
        <w:t>2018</w:t>
      </w:r>
      <w:r w:rsidR="0027090E" w:rsidRPr="00226892">
        <w:rPr>
          <w:rFonts w:ascii="Arial" w:hAnsi="Arial" w:cs="Arial"/>
          <w:szCs w:val="18"/>
          <w:lang w:val="sk-SK"/>
        </w:rPr>
        <w:t xml:space="preserve"> </w:t>
      </w:r>
      <w:r w:rsidRPr="00226892">
        <w:rPr>
          <w:rFonts w:ascii="Arial" w:hAnsi="Arial" w:cs="Arial"/>
          <w:szCs w:val="18"/>
          <w:lang w:val="sk-SK"/>
        </w:rPr>
        <w:t>sú zásoby Skupiny poistené pre prípad škôd spôsobených krádežou, živelnou pohromou a ďalšie prípady do výšky </w:t>
      </w:r>
      <w:r w:rsidR="0082592C" w:rsidRPr="00226892">
        <w:rPr>
          <w:rFonts w:ascii="Arial" w:hAnsi="Arial" w:cs="Arial"/>
          <w:szCs w:val="18"/>
          <w:lang w:val="sk-SK"/>
        </w:rPr>
        <w:t>14 152</w:t>
      </w:r>
      <w:r w:rsidRPr="00226892">
        <w:rPr>
          <w:rFonts w:ascii="Arial" w:hAnsi="Arial" w:cs="Arial"/>
          <w:szCs w:val="18"/>
          <w:lang w:val="sk-SK"/>
        </w:rPr>
        <w:t xml:space="preserve"> EUR (k 31. decembru </w:t>
      </w:r>
      <w:r w:rsidR="00F63A77" w:rsidRPr="00226892">
        <w:rPr>
          <w:rFonts w:ascii="Arial" w:hAnsi="Arial" w:cs="Arial"/>
          <w:szCs w:val="18"/>
          <w:lang w:val="sk-SK"/>
        </w:rPr>
        <w:t>2017</w:t>
      </w:r>
      <w:r w:rsidRPr="00226892">
        <w:rPr>
          <w:rFonts w:ascii="Arial" w:hAnsi="Arial" w:cs="Arial"/>
          <w:szCs w:val="18"/>
          <w:lang w:val="sk-SK"/>
        </w:rPr>
        <w:t xml:space="preserve">: </w:t>
      </w:r>
      <w:r w:rsidR="009161C9" w:rsidRPr="00226892">
        <w:rPr>
          <w:rFonts w:ascii="Arial" w:hAnsi="Arial" w:cs="Arial"/>
          <w:szCs w:val="18"/>
          <w:lang w:val="sk-SK"/>
        </w:rPr>
        <w:t xml:space="preserve">15 653 tis. EUR </w:t>
      </w:r>
      <w:r w:rsidRPr="00226892">
        <w:rPr>
          <w:rFonts w:ascii="Arial" w:hAnsi="Arial" w:cs="Arial"/>
          <w:szCs w:val="18"/>
          <w:lang w:val="sk-SK"/>
        </w:rPr>
        <w:t xml:space="preserve">). </w:t>
      </w:r>
    </w:p>
    <w:p w14:paraId="22514E39" w14:textId="4A010BAB" w:rsidR="007B66EE" w:rsidRPr="00226892" w:rsidRDefault="007B66EE" w:rsidP="00C930C9">
      <w:pPr>
        <w:suppressAutoHyphens/>
        <w:ind w:left="426"/>
        <w:jc w:val="both"/>
        <w:rPr>
          <w:rFonts w:ascii="Arial" w:hAnsi="Arial" w:cs="Arial"/>
          <w:szCs w:val="18"/>
          <w:lang w:val="sk-SK"/>
        </w:rPr>
      </w:pPr>
    </w:p>
    <w:p w14:paraId="302A0039" w14:textId="77777777" w:rsidR="006D6808" w:rsidRPr="00226892" w:rsidRDefault="006D6808" w:rsidP="006D6808">
      <w:pPr>
        <w:rPr>
          <w:rFonts w:ascii="Arial" w:eastAsia="Times" w:hAnsi="Arial" w:cs="Arial"/>
          <w:sz w:val="18"/>
          <w:szCs w:val="18"/>
          <w:lang w:val="sk-SK"/>
        </w:rPr>
      </w:pPr>
    </w:p>
    <w:p w14:paraId="7A5385F8" w14:textId="266E6AD0" w:rsidR="008F683A" w:rsidRPr="00226892" w:rsidRDefault="007B66EE" w:rsidP="003578C0">
      <w:pPr>
        <w:pStyle w:val="Nadpis3"/>
        <w:keepNext w:val="0"/>
        <w:widowControl/>
        <w:numPr>
          <w:ilvl w:val="0"/>
          <w:numId w:val="34"/>
        </w:numPr>
        <w:tabs>
          <w:tab w:val="clear" w:pos="1069"/>
          <w:tab w:val="num" w:pos="392"/>
        </w:tabs>
        <w:suppressAutoHyphens/>
        <w:spacing w:after="120"/>
        <w:ind w:left="1077" w:hanging="1077"/>
        <w:rPr>
          <w:rFonts w:ascii="Arial" w:hAnsi="Arial" w:cs="Arial"/>
          <w:sz w:val="20"/>
        </w:rPr>
      </w:pPr>
      <w:bookmarkStart w:id="436" w:name="_Toc422151034"/>
      <w:bookmarkStart w:id="437" w:name="_Toc422151035"/>
      <w:bookmarkStart w:id="438" w:name="_Toc300045795"/>
      <w:bookmarkStart w:id="439" w:name="_Toc325985806"/>
      <w:bookmarkStart w:id="440" w:name="_Toc387812508"/>
      <w:bookmarkStart w:id="441" w:name="_Toc27410003"/>
      <w:bookmarkEnd w:id="436"/>
      <w:bookmarkEnd w:id="437"/>
      <w:bookmarkEnd w:id="438"/>
      <w:proofErr w:type="spellStart"/>
      <w:r w:rsidRPr="00226892">
        <w:rPr>
          <w:rFonts w:ascii="Arial" w:hAnsi="Arial" w:cs="Arial"/>
          <w:sz w:val="20"/>
        </w:rPr>
        <w:t>Peňažné</w:t>
      </w:r>
      <w:proofErr w:type="spellEnd"/>
      <w:r w:rsidRPr="00226892">
        <w:rPr>
          <w:rFonts w:ascii="Arial" w:hAnsi="Arial" w:cs="Arial"/>
          <w:sz w:val="20"/>
        </w:rPr>
        <w:t xml:space="preserve"> </w:t>
      </w:r>
      <w:proofErr w:type="spellStart"/>
      <w:r w:rsidRPr="00226892">
        <w:rPr>
          <w:rFonts w:ascii="Arial" w:hAnsi="Arial" w:cs="Arial"/>
          <w:sz w:val="20"/>
        </w:rPr>
        <w:t>prostriedky</w:t>
      </w:r>
      <w:proofErr w:type="spellEnd"/>
      <w:r w:rsidRPr="00226892">
        <w:rPr>
          <w:rFonts w:ascii="Arial" w:hAnsi="Arial" w:cs="Arial"/>
          <w:sz w:val="20"/>
        </w:rPr>
        <w:t xml:space="preserve"> a </w:t>
      </w:r>
      <w:proofErr w:type="spellStart"/>
      <w:r w:rsidRPr="00226892">
        <w:rPr>
          <w:rFonts w:ascii="Arial" w:hAnsi="Arial" w:cs="Arial"/>
          <w:sz w:val="20"/>
        </w:rPr>
        <w:t>peňažné</w:t>
      </w:r>
      <w:proofErr w:type="spellEnd"/>
      <w:r w:rsidRPr="00226892">
        <w:rPr>
          <w:rFonts w:ascii="Arial" w:hAnsi="Arial" w:cs="Arial"/>
          <w:sz w:val="20"/>
        </w:rPr>
        <w:t xml:space="preserve"> </w:t>
      </w:r>
      <w:proofErr w:type="spellStart"/>
      <w:r w:rsidRPr="00226892">
        <w:rPr>
          <w:rFonts w:ascii="Arial" w:hAnsi="Arial" w:cs="Arial"/>
          <w:sz w:val="20"/>
        </w:rPr>
        <w:t>ekvivalenty</w:t>
      </w:r>
      <w:bookmarkEnd w:id="439"/>
      <w:bookmarkEnd w:id="440"/>
      <w:bookmarkEnd w:id="441"/>
      <w:proofErr w:type="spellEnd"/>
    </w:p>
    <w:p w14:paraId="3979E80A" w14:textId="77777777" w:rsidR="00A4670F" w:rsidRPr="00226892" w:rsidRDefault="00A4670F" w:rsidP="00A4670F">
      <w:pPr>
        <w:suppressAutoHyphens/>
        <w:jc w:val="both"/>
        <w:rPr>
          <w:rFonts w:ascii="Arial" w:hAnsi="Arial" w:cs="Arial"/>
          <w:szCs w:val="18"/>
        </w:rPr>
      </w:pPr>
      <w:bookmarkStart w:id="442" w:name="FWT_CAndCE"/>
      <w:r w:rsidRPr="00226892">
        <w:rPr>
          <w:rFonts w:ascii="Arial" w:hAnsi="Arial" w:cs="Arial"/>
          <w:sz w:val="18"/>
          <w:szCs w:val="18"/>
        </w:rPr>
        <w:t xml:space="preserve"> </w:t>
      </w:r>
    </w:p>
    <w:tbl>
      <w:tblPr>
        <w:tblW w:w="5000" w:type="pct"/>
        <w:tblCellMar>
          <w:left w:w="70" w:type="dxa"/>
          <w:right w:w="70" w:type="dxa"/>
        </w:tblCellMar>
        <w:tblLook w:val="04A0" w:firstRow="1" w:lastRow="0" w:firstColumn="1" w:lastColumn="0" w:noHBand="0" w:noVBand="1"/>
      </w:tblPr>
      <w:tblGrid>
        <w:gridCol w:w="5174"/>
        <w:gridCol w:w="191"/>
        <w:gridCol w:w="2035"/>
        <w:gridCol w:w="7"/>
        <w:gridCol w:w="184"/>
        <w:gridCol w:w="6"/>
        <w:gridCol w:w="2042"/>
      </w:tblGrid>
      <w:tr w:rsidR="00A4670F" w:rsidRPr="00226892" w14:paraId="0FF64AF2" w14:textId="77777777" w:rsidTr="000405EF">
        <w:trPr>
          <w:trHeight w:val="240"/>
        </w:trPr>
        <w:tc>
          <w:tcPr>
            <w:tcW w:w="2692" w:type="pct"/>
            <w:tcBorders>
              <w:top w:val="nil"/>
              <w:left w:val="nil"/>
              <w:bottom w:val="single" w:sz="4" w:space="0" w:color="auto"/>
              <w:right w:val="nil"/>
            </w:tcBorders>
            <w:shd w:val="clear" w:color="auto" w:fill="auto"/>
            <w:vAlign w:val="bottom"/>
            <w:hideMark/>
          </w:tcPr>
          <w:p w14:paraId="14C7A658" w14:textId="77777777" w:rsidR="00A4670F" w:rsidRPr="00226892" w:rsidRDefault="00A4670F" w:rsidP="00A4670F">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w:t>
            </w:r>
          </w:p>
        </w:tc>
        <w:tc>
          <w:tcPr>
            <w:tcW w:w="87" w:type="pct"/>
            <w:tcBorders>
              <w:top w:val="nil"/>
              <w:left w:val="nil"/>
              <w:bottom w:val="single" w:sz="4" w:space="0" w:color="auto"/>
              <w:right w:val="nil"/>
            </w:tcBorders>
            <w:shd w:val="clear" w:color="auto" w:fill="auto"/>
            <w:vAlign w:val="bottom"/>
            <w:hideMark/>
          </w:tcPr>
          <w:p w14:paraId="4A454839" w14:textId="77777777" w:rsidR="00A4670F" w:rsidRPr="00226892" w:rsidRDefault="00A4670F" w:rsidP="00E714AC">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064" w:type="pct"/>
            <w:tcBorders>
              <w:top w:val="nil"/>
              <w:left w:val="nil"/>
              <w:bottom w:val="single" w:sz="4" w:space="0" w:color="auto"/>
              <w:right w:val="nil"/>
            </w:tcBorders>
            <w:shd w:val="clear" w:color="auto" w:fill="auto"/>
            <w:vAlign w:val="bottom"/>
            <w:hideMark/>
          </w:tcPr>
          <w:p w14:paraId="5EF08CC5" w14:textId="3234B2FA" w:rsidR="00A4670F" w:rsidRPr="00226892" w:rsidRDefault="00A4670F" w:rsidP="00634391">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D3AC5" w:rsidRPr="00226892">
              <w:rPr>
                <w:rFonts w:ascii="Arial" w:eastAsia="Times New Roman" w:hAnsi="Arial" w:cs="Arial"/>
                <w:b/>
                <w:bCs/>
                <w:color w:val="000000"/>
                <w:sz w:val="18"/>
                <w:szCs w:val="18"/>
                <w:lang w:val="sk-SK" w:eastAsia="sk-SK"/>
              </w:rPr>
              <w:t>2018</w:t>
            </w:r>
          </w:p>
        </w:tc>
        <w:tc>
          <w:tcPr>
            <w:tcW w:w="87" w:type="pct"/>
            <w:gridSpan w:val="2"/>
            <w:tcBorders>
              <w:top w:val="nil"/>
              <w:left w:val="nil"/>
              <w:bottom w:val="single" w:sz="4" w:space="0" w:color="auto"/>
              <w:right w:val="nil"/>
            </w:tcBorders>
            <w:shd w:val="clear" w:color="auto" w:fill="auto"/>
            <w:vAlign w:val="bottom"/>
            <w:hideMark/>
          </w:tcPr>
          <w:p w14:paraId="4D554825" w14:textId="77777777" w:rsidR="00A4670F" w:rsidRPr="00226892" w:rsidRDefault="00A4670F" w:rsidP="0063439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064" w:type="pct"/>
            <w:gridSpan w:val="2"/>
            <w:tcBorders>
              <w:top w:val="nil"/>
              <w:left w:val="nil"/>
              <w:bottom w:val="single" w:sz="4" w:space="0" w:color="auto"/>
              <w:right w:val="nil"/>
            </w:tcBorders>
            <w:shd w:val="clear" w:color="auto" w:fill="auto"/>
            <w:vAlign w:val="bottom"/>
            <w:hideMark/>
          </w:tcPr>
          <w:p w14:paraId="5BBD8077" w14:textId="2AC2EC20" w:rsidR="00A4670F" w:rsidRPr="00226892" w:rsidRDefault="0068488F" w:rsidP="00634391">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63A77" w:rsidRPr="00226892">
              <w:rPr>
                <w:rFonts w:ascii="Arial" w:eastAsia="Times New Roman" w:hAnsi="Arial" w:cs="Arial"/>
                <w:b/>
                <w:bCs/>
                <w:color w:val="000000"/>
                <w:sz w:val="18"/>
                <w:szCs w:val="18"/>
                <w:lang w:val="sk-SK" w:eastAsia="sk-SK"/>
              </w:rPr>
              <w:t>2017</w:t>
            </w:r>
          </w:p>
        </w:tc>
      </w:tr>
      <w:tr w:rsidR="00022629" w:rsidRPr="00226892" w14:paraId="6AE9CABD" w14:textId="77777777" w:rsidTr="000405EF">
        <w:trPr>
          <w:trHeight w:val="240"/>
        </w:trPr>
        <w:tc>
          <w:tcPr>
            <w:tcW w:w="2692" w:type="pct"/>
            <w:tcBorders>
              <w:top w:val="nil"/>
              <w:left w:val="nil"/>
              <w:bottom w:val="nil"/>
              <w:right w:val="nil"/>
            </w:tcBorders>
            <w:shd w:val="clear" w:color="auto" w:fill="auto"/>
            <w:vAlign w:val="bottom"/>
            <w:hideMark/>
          </w:tcPr>
          <w:p w14:paraId="76A5E719" w14:textId="77777777" w:rsidR="00022629" w:rsidRPr="00226892" w:rsidRDefault="00022629" w:rsidP="00022629">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Peniaze na bežných  účtoch a peňažná hotovosť</w:t>
            </w:r>
          </w:p>
        </w:tc>
        <w:tc>
          <w:tcPr>
            <w:tcW w:w="87" w:type="pct"/>
            <w:tcBorders>
              <w:top w:val="nil"/>
              <w:left w:val="nil"/>
              <w:bottom w:val="nil"/>
              <w:right w:val="nil"/>
            </w:tcBorders>
            <w:shd w:val="clear" w:color="auto" w:fill="auto"/>
            <w:vAlign w:val="bottom"/>
            <w:hideMark/>
          </w:tcPr>
          <w:p w14:paraId="559FAB55" w14:textId="77777777" w:rsidR="00022629" w:rsidRPr="00226892" w:rsidRDefault="00022629" w:rsidP="00022629">
            <w:pPr>
              <w:rPr>
                <w:rFonts w:ascii="Arial" w:eastAsia="Times New Roman" w:hAnsi="Arial" w:cs="Arial"/>
                <w:color w:val="000000"/>
                <w:sz w:val="18"/>
                <w:szCs w:val="18"/>
                <w:lang w:val="sk-SK" w:eastAsia="sk-SK"/>
              </w:rPr>
            </w:pPr>
          </w:p>
        </w:tc>
        <w:tc>
          <w:tcPr>
            <w:tcW w:w="1067" w:type="pct"/>
            <w:gridSpan w:val="2"/>
            <w:tcBorders>
              <w:top w:val="nil"/>
              <w:left w:val="nil"/>
              <w:bottom w:val="nil"/>
              <w:right w:val="nil"/>
            </w:tcBorders>
            <w:shd w:val="clear" w:color="auto" w:fill="auto"/>
            <w:vAlign w:val="bottom"/>
            <w:hideMark/>
          </w:tcPr>
          <w:p w14:paraId="697CC274" w14:textId="12E95029" w:rsidR="00022629" w:rsidRPr="00226892" w:rsidRDefault="00022629" w:rsidP="0002262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9 606    </w:t>
            </w:r>
          </w:p>
        </w:tc>
        <w:tc>
          <w:tcPr>
            <w:tcW w:w="87" w:type="pct"/>
            <w:gridSpan w:val="2"/>
            <w:tcBorders>
              <w:top w:val="nil"/>
              <w:left w:val="nil"/>
              <w:bottom w:val="nil"/>
              <w:right w:val="nil"/>
            </w:tcBorders>
            <w:shd w:val="clear" w:color="auto" w:fill="auto"/>
            <w:vAlign w:val="bottom"/>
            <w:hideMark/>
          </w:tcPr>
          <w:p w14:paraId="723CCF87" w14:textId="77777777" w:rsidR="00022629" w:rsidRPr="00226892" w:rsidRDefault="00022629" w:rsidP="00022629">
            <w:pPr>
              <w:jc w:val="right"/>
              <w:rPr>
                <w:rFonts w:ascii="Arial" w:eastAsia="Times New Roman" w:hAnsi="Arial" w:cs="Arial"/>
                <w:color w:val="000000"/>
                <w:sz w:val="18"/>
                <w:szCs w:val="18"/>
                <w:lang w:val="sk-SK" w:eastAsia="sk-SK"/>
              </w:rPr>
            </w:pPr>
          </w:p>
        </w:tc>
        <w:tc>
          <w:tcPr>
            <w:tcW w:w="1067" w:type="pct"/>
            <w:tcBorders>
              <w:top w:val="nil"/>
              <w:left w:val="nil"/>
              <w:bottom w:val="nil"/>
              <w:right w:val="nil"/>
            </w:tcBorders>
            <w:shd w:val="clear" w:color="auto" w:fill="auto"/>
            <w:vAlign w:val="bottom"/>
            <w:hideMark/>
          </w:tcPr>
          <w:p w14:paraId="21F263C2" w14:textId="05466191" w:rsidR="00022629" w:rsidRPr="00226892" w:rsidRDefault="00022629" w:rsidP="0002262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3 002    </w:t>
            </w:r>
          </w:p>
        </w:tc>
      </w:tr>
      <w:tr w:rsidR="00022629" w:rsidRPr="00226892" w14:paraId="251C873C" w14:textId="77777777" w:rsidTr="000405EF">
        <w:trPr>
          <w:trHeight w:val="240"/>
        </w:trPr>
        <w:tc>
          <w:tcPr>
            <w:tcW w:w="2692" w:type="pct"/>
            <w:tcBorders>
              <w:top w:val="nil"/>
              <w:left w:val="nil"/>
              <w:bottom w:val="nil"/>
              <w:right w:val="nil"/>
            </w:tcBorders>
            <w:shd w:val="clear" w:color="auto" w:fill="auto"/>
            <w:vAlign w:val="bottom"/>
            <w:hideMark/>
          </w:tcPr>
          <w:p w14:paraId="26139685" w14:textId="77777777" w:rsidR="00022629" w:rsidRPr="00226892" w:rsidRDefault="00022629" w:rsidP="00022629">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Krátkodobé bankové vklady</w:t>
            </w:r>
          </w:p>
        </w:tc>
        <w:tc>
          <w:tcPr>
            <w:tcW w:w="87" w:type="pct"/>
            <w:tcBorders>
              <w:top w:val="nil"/>
              <w:left w:val="nil"/>
              <w:bottom w:val="nil"/>
              <w:right w:val="nil"/>
            </w:tcBorders>
            <w:shd w:val="clear" w:color="auto" w:fill="auto"/>
            <w:vAlign w:val="bottom"/>
            <w:hideMark/>
          </w:tcPr>
          <w:p w14:paraId="5882287C" w14:textId="77777777" w:rsidR="00022629" w:rsidRPr="00226892" w:rsidRDefault="00022629" w:rsidP="00022629">
            <w:pPr>
              <w:rPr>
                <w:rFonts w:ascii="Arial" w:eastAsia="Times New Roman" w:hAnsi="Arial" w:cs="Arial"/>
                <w:color w:val="000000"/>
                <w:sz w:val="18"/>
                <w:szCs w:val="18"/>
                <w:lang w:val="sk-SK" w:eastAsia="sk-SK"/>
              </w:rPr>
            </w:pPr>
          </w:p>
        </w:tc>
        <w:tc>
          <w:tcPr>
            <w:tcW w:w="1067" w:type="pct"/>
            <w:gridSpan w:val="2"/>
            <w:tcBorders>
              <w:top w:val="nil"/>
              <w:left w:val="nil"/>
              <w:bottom w:val="nil"/>
              <w:right w:val="nil"/>
            </w:tcBorders>
            <w:shd w:val="clear" w:color="auto" w:fill="auto"/>
            <w:vAlign w:val="bottom"/>
            <w:hideMark/>
          </w:tcPr>
          <w:p w14:paraId="1457F16B" w14:textId="51555783" w:rsidR="00022629" w:rsidRPr="00226892" w:rsidRDefault="00022629" w:rsidP="0002262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w:t>
            </w:r>
          </w:p>
        </w:tc>
        <w:tc>
          <w:tcPr>
            <w:tcW w:w="87" w:type="pct"/>
            <w:gridSpan w:val="2"/>
            <w:tcBorders>
              <w:top w:val="nil"/>
              <w:left w:val="nil"/>
              <w:bottom w:val="nil"/>
              <w:right w:val="nil"/>
            </w:tcBorders>
            <w:shd w:val="clear" w:color="auto" w:fill="auto"/>
            <w:vAlign w:val="bottom"/>
            <w:hideMark/>
          </w:tcPr>
          <w:p w14:paraId="0CD55D95" w14:textId="77777777" w:rsidR="00022629" w:rsidRPr="00226892" w:rsidRDefault="00022629" w:rsidP="00022629">
            <w:pPr>
              <w:jc w:val="right"/>
              <w:rPr>
                <w:rFonts w:ascii="Arial" w:eastAsia="Times New Roman" w:hAnsi="Arial" w:cs="Arial"/>
                <w:color w:val="000000"/>
                <w:sz w:val="18"/>
                <w:szCs w:val="18"/>
                <w:lang w:val="sk-SK" w:eastAsia="sk-SK"/>
              </w:rPr>
            </w:pPr>
          </w:p>
        </w:tc>
        <w:tc>
          <w:tcPr>
            <w:tcW w:w="1067" w:type="pct"/>
            <w:tcBorders>
              <w:top w:val="nil"/>
              <w:left w:val="nil"/>
              <w:bottom w:val="nil"/>
              <w:right w:val="nil"/>
            </w:tcBorders>
            <w:shd w:val="clear" w:color="auto" w:fill="auto"/>
            <w:vAlign w:val="bottom"/>
            <w:hideMark/>
          </w:tcPr>
          <w:p w14:paraId="7073CA15" w14:textId="0E516B9E" w:rsidR="00022629" w:rsidRPr="00226892" w:rsidRDefault="00022629" w:rsidP="0002262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w:t>
            </w:r>
          </w:p>
        </w:tc>
      </w:tr>
      <w:tr w:rsidR="00022629" w:rsidRPr="00226892" w14:paraId="37629DB8" w14:textId="77777777" w:rsidTr="000405EF">
        <w:trPr>
          <w:trHeight w:val="240"/>
        </w:trPr>
        <w:tc>
          <w:tcPr>
            <w:tcW w:w="2692" w:type="pct"/>
            <w:tcBorders>
              <w:top w:val="nil"/>
              <w:left w:val="nil"/>
              <w:bottom w:val="nil"/>
              <w:right w:val="nil"/>
            </w:tcBorders>
            <w:shd w:val="clear" w:color="auto" w:fill="auto"/>
            <w:vAlign w:val="bottom"/>
            <w:hideMark/>
          </w:tcPr>
          <w:p w14:paraId="527CC929" w14:textId="77777777" w:rsidR="00022629" w:rsidRPr="00226892" w:rsidRDefault="00022629" w:rsidP="00022629">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Spolu peňažné prostriedky a peňažné ekvivalenty</w:t>
            </w:r>
          </w:p>
        </w:tc>
        <w:tc>
          <w:tcPr>
            <w:tcW w:w="87" w:type="pct"/>
            <w:tcBorders>
              <w:top w:val="nil"/>
              <w:left w:val="nil"/>
              <w:bottom w:val="nil"/>
              <w:right w:val="nil"/>
            </w:tcBorders>
            <w:shd w:val="clear" w:color="auto" w:fill="auto"/>
            <w:vAlign w:val="bottom"/>
            <w:hideMark/>
          </w:tcPr>
          <w:p w14:paraId="183E04DC" w14:textId="77777777" w:rsidR="00022629" w:rsidRPr="00226892" w:rsidRDefault="00022629" w:rsidP="00022629">
            <w:pPr>
              <w:rPr>
                <w:rFonts w:ascii="Arial" w:eastAsia="Times New Roman" w:hAnsi="Arial" w:cs="Arial"/>
                <w:b/>
                <w:bCs/>
                <w:color w:val="000000"/>
                <w:sz w:val="18"/>
                <w:szCs w:val="18"/>
                <w:lang w:val="sk-SK" w:eastAsia="sk-SK"/>
              </w:rPr>
            </w:pPr>
          </w:p>
        </w:tc>
        <w:tc>
          <w:tcPr>
            <w:tcW w:w="1067" w:type="pct"/>
            <w:gridSpan w:val="2"/>
            <w:tcBorders>
              <w:top w:val="single" w:sz="4" w:space="0" w:color="auto"/>
              <w:left w:val="nil"/>
              <w:bottom w:val="double" w:sz="6" w:space="0" w:color="auto"/>
              <w:right w:val="nil"/>
            </w:tcBorders>
            <w:shd w:val="clear" w:color="auto" w:fill="auto"/>
            <w:vAlign w:val="bottom"/>
            <w:hideMark/>
          </w:tcPr>
          <w:p w14:paraId="1E4D3308" w14:textId="649A34C8" w:rsidR="00022629" w:rsidRPr="00226892" w:rsidRDefault="00022629" w:rsidP="00022629">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9 606    </w:t>
            </w:r>
          </w:p>
        </w:tc>
        <w:tc>
          <w:tcPr>
            <w:tcW w:w="87" w:type="pct"/>
            <w:gridSpan w:val="2"/>
            <w:tcBorders>
              <w:top w:val="nil"/>
              <w:left w:val="nil"/>
              <w:bottom w:val="nil"/>
              <w:right w:val="nil"/>
            </w:tcBorders>
            <w:shd w:val="clear" w:color="auto" w:fill="auto"/>
            <w:vAlign w:val="bottom"/>
            <w:hideMark/>
          </w:tcPr>
          <w:p w14:paraId="12AB7BD9" w14:textId="77777777" w:rsidR="00022629" w:rsidRPr="00226892" w:rsidRDefault="00022629" w:rsidP="00022629">
            <w:pPr>
              <w:jc w:val="right"/>
              <w:rPr>
                <w:rFonts w:ascii="Arial" w:eastAsia="Times New Roman" w:hAnsi="Arial" w:cs="Arial"/>
                <w:b/>
                <w:bCs/>
                <w:color w:val="000000"/>
                <w:sz w:val="18"/>
                <w:szCs w:val="18"/>
                <w:lang w:val="sk-SK" w:eastAsia="sk-SK"/>
              </w:rPr>
            </w:pPr>
          </w:p>
        </w:tc>
        <w:tc>
          <w:tcPr>
            <w:tcW w:w="1067" w:type="pct"/>
            <w:tcBorders>
              <w:top w:val="single" w:sz="4" w:space="0" w:color="auto"/>
              <w:left w:val="nil"/>
              <w:bottom w:val="double" w:sz="6" w:space="0" w:color="auto"/>
              <w:right w:val="nil"/>
            </w:tcBorders>
            <w:shd w:val="clear" w:color="auto" w:fill="auto"/>
            <w:vAlign w:val="bottom"/>
            <w:hideMark/>
          </w:tcPr>
          <w:p w14:paraId="57BAE150" w14:textId="7B83DBED" w:rsidR="00022629" w:rsidRPr="00226892" w:rsidRDefault="00022629" w:rsidP="00022629">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3 002    </w:t>
            </w:r>
          </w:p>
        </w:tc>
      </w:tr>
    </w:tbl>
    <w:p w14:paraId="12249790" w14:textId="4563C179" w:rsidR="00837450" w:rsidRPr="00226892" w:rsidRDefault="00A4670F" w:rsidP="00A4670F">
      <w:pPr>
        <w:suppressAutoHyphens/>
        <w:jc w:val="both"/>
        <w:rPr>
          <w:rFonts w:ascii="Arial" w:hAnsi="Arial" w:cs="Arial"/>
          <w:szCs w:val="18"/>
        </w:rPr>
      </w:pPr>
      <w:r w:rsidRPr="00226892">
        <w:rPr>
          <w:rFonts w:ascii="Arial" w:hAnsi="Arial" w:cs="Arial"/>
          <w:sz w:val="18"/>
          <w:szCs w:val="18"/>
        </w:rPr>
        <w:t xml:space="preserve"> </w:t>
      </w:r>
      <w:bookmarkEnd w:id="442"/>
      <w:r w:rsidRPr="00226892">
        <w:rPr>
          <w:rFonts w:ascii="Arial" w:hAnsi="Arial" w:cs="Arial"/>
          <w:sz w:val="18"/>
          <w:szCs w:val="18"/>
        </w:rPr>
        <w:t xml:space="preserve"> </w:t>
      </w:r>
      <w:r w:rsidR="001271E7" w:rsidRPr="00226892">
        <w:rPr>
          <w:rFonts w:ascii="Arial" w:hAnsi="Arial" w:cs="Arial"/>
          <w:sz w:val="18"/>
          <w:szCs w:val="18"/>
        </w:rPr>
        <w:t xml:space="preserve"> </w:t>
      </w:r>
    </w:p>
    <w:p w14:paraId="36EF0D79" w14:textId="5A2A2E42" w:rsidR="007B66EE" w:rsidRPr="00226892" w:rsidRDefault="007B66EE" w:rsidP="009B79FC">
      <w:pPr>
        <w:pStyle w:val="odstavec"/>
      </w:pPr>
      <w:r w:rsidRPr="00226892">
        <w:t xml:space="preserve">K 31. decembru </w:t>
      </w:r>
      <w:r w:rsidR="00FD3AC5" w:rsidRPr="00226892">
        <w:t>2018</w:t>
      </w:r>
      <w:r w:rsidR="00AC7006" w:rsidRPr="00226892">
        <w:t xml:space="preserve"> </w:t>
      </w:r>
      <w:r w:rsidR="002E6AB4" w:rsidRPr="00226892">
        <w:t xml:space="preserve">a k 31. decembru </w:t>
      </w:r>
      <w:r w:rsidR="00F63A77" w:rsidRPr="00226892">
        <w:t>2017</w:t>
      </w:r>
      <w:r w:rsidR="002E6AB4" w:rsidRPr="00226892">
        <w:t xml:space="preserve"> </w:t>
      </w:r>
      <w:r w:rsidRPr="00226892">
        <w:t>mohla Skupina voľne disponovať peňažnými prostri</w:t>
      </w:r>
      <w:r w:rsidR="003F1811" w:rsidRPr="00226892">
        <w:t>edkami a peňažnými ekvivalentmi</w:t>
      </w:r>
      <w:r w:rsidR="002E6AB4" w:rsidRPr="00226892">
        <w:t>.</w:t>
      </w:r>
    </w:p>
    <w:p w14:paraId="6C8477E0" w14:textId="77777777" w:rsidR="007B66EE" w:rsidRPr="00226892" w:rsidRDefault="007B66EE" w:rsidP="007B66EE">
      <w:pPr>
        <w:suppressAutoHyphens/>
        <w:jc w:val="both"/>
        <w:rPr>
          <w:rFonts w:ascii="Arial" w:hAnsi="Arial" w:cs="Arial"/>
          <w:szCs w:val="18"/>
          <w:lang w:val="sk-SK"/>
        </w:rPr>
      </w:pPr>
    </w:p>
    <w:p w14:paraId="30F7CA68" w14:textId="0AD8195D" w:rsidR="007B66EE" w:rsidRPr="00226892" w:rsidRDefault="007B66EE" w:rsidP="000405EF">
      <w:pPr>
        <w:suppressAutoHyphens/>
        <w:jc w:val="both"/>
        <w:rPr>
          <w:rFonts w:ascii="Arial" w:hAnsi="Arial" w:cs="Arial"/>
          <w:lang w:val="sk-SK"/>
        </w:rPr>
      </w:pPr>
      <w:r w:rsidRPr="00226892">
        <w:rPr>
          <w:rFonts w:ascii="Arial" w:hAnsi="Arial" w:cs="Arial"/>
          <w:lang w:val="sk-SK"/>
        </w:rPr>
        <w:t>Analýza podľa úverovej kvality je vykázaná v</w:t>
      </w:r>
      <w:r w:rsidR="00D13161" w:rsidRPr="00226892">
        <w:rPr>
          <w:rFonts w:ascii="Arial" w:hAnsi="Arial" w:cs="Arial"/>
          <w:lang w:val="sk-SK"/>
        </w:rPr>
        <w:t> bode 3.1 p</w:t>
      </w:r>
      <w:r w:rsidRPr="00226892">
        <w:rPr>
          <w:rFonts w:ascii="Arial" w:hAnsi="Arial" w:cs="Arial"/>
          <w:lang w:val="sk-SK"/>
        </w:rPr>
        <w:t>oznám</w:t>
      </w:r>
      <w:r w:rsidR="00D13161" w:rsidRPr="00226892">
        <w:rPr>
          <w:rFonts w:ascii="Arial" w:hAnsi="Arial" w:cs="Arial"/>
          <w:lang w:val="sk-SK"/>
        </w:rPr>
        <w:t>ok</w:t>
      </w:r>
      <w:r w:rsidRPr="00226892">
        <w:rPr>
          <w:rFonts w:ascii="Arial" w:hAnsi="Arial" w:cs="Arial"/>
          <w:lang w:val="sk-SK"/>
        </w:rPr>
        <w:t>.</w:t>
      </w:r>
    </w:p>
    <w:p w14:paraId="2D1CBF57" w14:textId="77777777" w:rsidR="007B66EE" w:rsidRPr="00226892" w:rsidRDefault="007B66EE" w:rsidP="00235CDF">
      <w:pPr>
        <w:pStyle w:val="odst"/>
      </w:pPr>
    </w:p>
    <w:p w14:paraId="6DBB9864" w14:textId="77777777" w:rsidR="0027033D" w:rsidRPr="00226892" w:rsidRDefault="007B66EE" w:rsidP="00235CDF">
      <w:pPr>
        <w:pStyle w:val="odst"/>
      </w:pPr>
      <w:r w:rsidRPr="00226892">
        <w:t>Peňažné prostriedky a peňažné ekvivalenty sú denominované v nasledujúcich menách:</w:t>
      </w:r>
    </w:p>
    <w:p w14:paraId="16E0591D" w14:textId="77777777" w:rsidR="00E714AC" w:rsidRPr="00226892" w:rsidRDefault="00E714AC" w:rsidP="00E714AC">
      <w:pPr>
        <w:rPr>
          <w:rFonts w:ascii="Arial" w:hAnsi="Arial" w:cs="Arial"/>
          <w:szCs w:val="18"/>
          <w:lang w:val="sk-SK"/>
        </w:rPr>
      </w:pPr>
      <w:bookmarkStart w:id="443" w:name="FWT_CAndCECurrencies"/>
      <w:r w:rsidRPr="00226892">
        <w:rPr>
          <w:rFonts w:ascii="Arial" w:hAnsi="Arial" w:cs="Arial"/>
          <w:sz w:val="18"/>
          <w:szCs w:val="18"/>
          <w:lang w:val="sk-SK"/>
        </w:rPr>
        <w:t xml:space="preserve"> </w:t>
      </w:r>
    </w:p>
    <w:tbl>
      <w:tblPr>
        <w:tblW w:w="5000" w:type="pct"/>
        <w:tblCellMar>
          <w:left w:w="70" w:type="dxa"/>
          <w:right w:w="70" w:type="dxa"/>
        </w:tblCellMar>
        <w:tblLook w:val="04A0" w:firstRow="1" w:lastRow="0" w:firstColumn="1" w:lastColumn="0" w:noHBand="0" w:noVBand="1"/>
      </w:tblPr>
      <w:tblGrid>
        <w:gridCol w:w="5197"/>
        <w:gridCol w:w="191"/>
        <w:gridCol w:w="2045"/>
        <w:gridCol w:w="162"/>
        <w:gridCol w:w="2044"/>
      </w:tblGrid>
      <w:tr w:rsidR="00E714AC" w:rsidRPr="00226892" w14:paraId="11572D8B" w14:textId="77777777" w:rsidTr="00DD12D6">
        <w:trPr>
          <w:trHeight w:val="240"/>
        </w:trPr>
        <w:tc>
          <w:tcPr>
            <w:tcW w:w="2699" w:type="pct"/>
            <w:tcBorders>
              <w:top w:val="nil"/>
              <w:left w:val="nil"/>
              <w:bottom w:val="single" w:sz="4" w:space="0" w:color="auto"/>
              <w:right w:val="nil"/>
            </w:tcBorders>
            <w:shd w:val="clear" w:color="auto" w:fill="auto"/>
            <w:vAlign w:val="bottom"/>
            <w:hideMark/>
          </w:tcPr>
          <w:p w14:paraId="37C776BE" w14:textId="77777777" w:rsidR="00E714AC" w:rsidRPr="00226892" w:rsidRDefault="00E714AC" w:rsidP="00E714AC">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w:t>
            </w:r>
          </w:p>
        </w:tc>
        <w:tc>
          <w:tcPr>
            <w:tcW w:w="87" w:type="pct"/>
            <w:tcBorders>
              <w:top w:val="nil"/>
              <w:left w:val="nil"/>
              <w:bottom w:val="single" w:sz="4" w:space="0" w:color="auto"/>
              <w:right w:val="nil"/>
            </w:tcBorders>
            <w:shd w:val="clear" w:color="auto" w:fill="auto"/>
            <w:vAlign w:val="bottom"/>
            <w:hideMark/>
          </w:tcPr>
          <w:p w14:paraId="7A231C41" w14:textId="77777777" w:rsidR="00E714AC" w:rsidRPr="00226892" w:rsidRDefault="00E714AC" w:rsidP="00E714AC">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064" w:type="pct"/>
            <w:tcBorders>
              <w:top w:val="nil"/>
              <w:left w:val="nil"/>
              <w:bottom w:val="single" w:sz="4" w:space="0" w:color="auto"/>
              <w:right w:val="nil"/>
            </w:tcBorders>
            <w:shd w:val="clear" w:color="auto" w:fill="auto"/>
            <w:vAlign w:val="bottom"/>
            <w:hideMark/>
          </w:tcPr>
          <w:p w14:paraId="2FFFE386" w14:textId="181D1639" w:rsidR="00E714AC" w:rsidRPr="00226892" w:rsidRDefault="00E714AC" w:rsidP="00DD12D6">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D3AC5" w:rsidRPr="00226892">
              <w:rPr>
                <w:rFonts w:ascii="Arial" w:eastAsia="Times New Roman" w:hAnsi="Arial" w:cs="Arial"/>
                <w:b/>
                <w:bCs/>
                <w:color w:val="000000"/>
                <w:sz w:val="18"/>
                <w:szCs w:val="18"/>
                <w:lang w:val="sk-SK" w:eastAsia="sk-SK"/>
              </w:rPr>
              <w:t>2018</w:t>
            </w:r>
          </w:p>
        </w:tc>
        <w:tc>
          <w:tcPr>
            <w:tcW w:w="87" w:type="pct"/>
            <w:tcBorders>
              <w:top w:val="nil"/>
              <w:left w:val="nil"/>
              <w:bottom w:val="single" w:sz="4" w:space="0" w:color="auto"/>
              <w:right w:val="nil"/>
            </w:tcBorders>
            <w:shd w:val="clear" w:color="auto" w:fill="auto"/>
            <w:vAlign w:val="bottom"/>
            <w:hideMark/>
          </w:tcPr>
          <w:p w14:paraId="06C8538A" w14:textId="3EF5A3A4" w:rsidR="00E714AC" w:rsidRPr="00226892" w:rsidRDefault="00E714AC" w:rsidP="00DD12D6">
            <w:pPr>
              <w:jc w:val="center"/>
              <w:rPr>
                <w:rFonts w:ascii="Arial" w:eastAsia="Times New Roman" w:hAnsi="Arial" w:cs="Arial"/>
                <w:b/>
                <w:bCs/>
                <w:color w:val="000000"/>
                <w:sz w:val="18"/>
                <w:szCs w:val="18"/>
                <w:lang w:val="sk-SK" w:eastAsia="sk-SK"/>
              </w:rPr>
            </w:pPr>
          </w:p>
        </w:tc>
        <w:tc>
          <w:tcPr>
            <w:tcW w:w="1064" w:type="pct"/>
            <w:tcBorders>
              <w:top w:val="nil"/>
              <w:left w:val="nil"/>
              <w:bottom w:val="single" w:sz="4" w:space="0" w:color="auto"/>
              <w:right w:val="nil"/>
            </w:tcBorders>
            <w:shd w:val="clear" w:color="auto" w:fill="auto"/>
            <w:vAlign w:val="bottom"/>
            <w:hideMark/>
          </w:tcPr>
          <w:p w14:paraId="4E399007" w14:textId="6DD9A8CD" w:rsidR="00E714AC" w:rsidRPr="00226892" w:rsidRDefault="00E714AC" w:rsidP="00DD12D6">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63A77" w:rsidRPr="00226892">
              <w:rPr>
                <w:rFonts w:ascii="Arial" w:eastAsia="Times New Roman" w:hAnsi="Arial" w:cs="Arial"/>
                <w:b/>
                <w:bCs/>
                <w:color w:val="000000"/>
                <w:sz w:val="18"/>
                <w:szCs w:val="18"/>
                <w:lang w:val="sk-SK" w:eastAsia="sk-SK"/>
              </w:rPr>
              <w:t>2017</w:t>
            </w:r>
          </w:p>
        </w:tc>
      </w:tr>
      <w:tr w:rsidR="00022629" w:rsidRPr="00226892" w14:paraId="336D3986" w14:textId="77777777" w:rsidTr="000405EF">
        <w:trPr>
          <w:trHeight w:val="240"/>
        </w:trPr>
        <w:tc>
          <w:tcPr>
            <w:tcW w:w="2699" w:type="pct"/>
            <w:tcBorders>
              <w:top w:val="nil"/>
              <w:left w:val="nil"/>
              <w:bottom w:val="nil"/>
              <w:right w:val="nil"/>
            </w:tcBorders>
            <w:shd w:val="clear" w:color="auto" w:fill="auto"/>
            <w:vAlign w:val="bottom"/>
            <w:hideMark/>
          </w:tcPr>
          <w:p w14:paraId="587AEE88" w14:textId="77777777" w:rsidR="00022629" w:rsidRPr="00226892" w:rsidRDefault="00022629" w:rsidP="00022629">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EUR</w:t>
            </w:r>
          </w:p>
        </w:tc>
        <w:tc>
          <w:tcPr>
            <w:tcW w:w="87" w:type="pct"/>
            <w:tcBorders>
              <w:top w:val="nil"/>
              <w:left w:val="nil"/>
              <w:bottom w:val="nil"/>
              <w:right w:val="nil"/>
            </w:tcBorders>
            <w:shd w:val="clear" w:color="auto" w:fill="auto"/>
            <w:vAlign w:val="bottom"/>
            <w:hideMark/>
          </w:tcPr>
          <w:p w14:paraId="7F1DCAB8" w14:textId="77777777" w:rsidR="00022629" w:rsidRPr="00226892" w:rsidRDefault="00022629" w:rsidP="00022629">
            <w:pPr>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34F6E397" w14:textId="21EDFBF7" w:rsidR="00022629" w:rsidRPr="00226892" w:rsidRDefault="00022629" w:rsidP="0002262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9 59</w:t>
            </w:r>
            <w:r w:rsidR="0049047A" w:rsidRPr="00226892">
              <w:rPr>
                <w:rFonts w:ascii="Arial" w:eastAsia="Times New Roman" w:hAnsi="Arial" w:cs="Arial"/>
                <w:color w:val="000000"/>
                <w:sz w:val="18"/>
                <w:szCs w:val="18"/>
                <w:lang w:val="sk-SK" w:eastAsia="sk-SK"/>
              </w:rPr>
              <w:t>2</w:t>
            </w:r>
          </w:p>
        </w:tc>
        <w:tc>
          <w:tcPr>
            <w:tcW w:w="87" w:type="pct"/>
            <w:tcBorders>
              <w:top w:val="nil"/>
              <w:left w:val="nil"/>
              <w:bottom w:val="nil"/>
              <w:right w:val="nil"/>
            </w:tcBorders>
            <w:shd w:val="clear" w:color="auto" w:fill="auto"/>
            <w:vAlign w:val="bottom"/>
            <w:hideMark/>
          </w:tcPr>
          <w:p w14:paraId="7E85DD4F" w14:textId="77777777" w:rsidR="00022629" w:rsidRPr="00226892" w:rsidRDefault="00022629" w:rsidP="00022629">
            <w:pPr>
              <w:jc w:val="right"/>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hideMark/>
          </w:tcPr>
          <w:p w14:paraId="70882E83" w14:textId="0204BE69" w:rsidR="00022629" w:rsidRPr="00226892" w:rsidRDefault="00022629" w:rsidP="0002262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2 985    </w:t>
            </w:r>
          </w:p>
        </w:tc>
      </w:tr>
      <w:tr w:rsidR="00022629" w:rsidRPr="00226892" w14:paraId="29C2FA96" w14:textId="77777777" w:rsidTr="000405EF">
        <w:trPr>
          <w:trHeight w:val="240"/>
        </w:trPr>
        <w:tc>
          <w:tcPr>
            <w:tcW w:w="2699" w:type="pct"/>
            <w:tcBorders>
              <w:top w:val="nil"/>
              <w:left w:val="nil"/>
              <w:bottom w:val="nil"/>
              <w:right w:val="nil"/>
            </w:tcBorders>
            <w:shd w:val="clear" w:color="auto" w:fill="auto"/>
            <w:vAlign w:val="bottom"/>
            <w:hideMark/>
          </w:tcPr>
          <w:p w14:paraId="00448CBF" w14:textId="77777777" w:rsidR="00022629" w:rsidRPr="00226892" w:rsidRDefault="00022629" w:rsidP="00022629">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CZK</w:t>
            </w:r>
          </w:p>
        </w:tc>
        <w:tc>
          <w:tcPr>
            <w:tcW w:w="87" w:type="pct"/>
            <w:tcBorders>
              <w:top w:val="nil"/>
              <w:left w:val="nil"/>
              <w:bottom w:val="nil"/>
              <w:right w:val="nil"/>
            </w:tcBorders>
            <w:shd w:val="clear" w:color="auto" w:fill="auto"/>
            <w:vAlign w:val="bottom"/>
            <w:hideMark/>
          </w:tcPr>
          <w:p w14:paraId="60D81E4D" w14:textId="77777777" w:rsidR="00022629" w:rsidRPr="00226892" w:rsidRDefault="00022629" w:rsidP="00022629">
            <w:pPr>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5E0F628A" w14:textId="311B150B" w:rsidR="00022629" w:rsidRPr="00226892" w:rsidRDefault="00022629" w:rsidP="0002262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6</w:t>
            </w:r>
          </w:p>
        </w:tc>
        <w:tc>
          <w:tcPr>
            <w:tcW w:w="87" w:type="pct"/>
            <w:tcBorders>
              <w:top w:val="nil"/>
              <w:left w:val="nil"/>
              <w:bottom w:val="nil"/>
              <w:right w:val="nil"/>
            </w:tcBorders>
            <w:shd w:val="clear" w:color="auto" w:fill="auto"/>
            <w:vAlign w:val="bottom"/>
            <w:hideMark/>
          </w:tcPr>
          <w:p w14:paraId="0F4425F2" w14:textId="77777777" w:rsidR="00022629" w:rsidRPr="00226892" w:rsidRDefault="00022629" w:rsidP="00022629">
            <w:pPr>
              <w:jc w:val="right"/>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hideMark/>
          </w:tcPr>
          <w:p w14:paraId="44707846" w14:textId="49F1A6D6" w:rsidR="00022629" w:rsidRPr="00226892" w:rsidRDefault="00022629" w:rsidP="0002262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16    </w:t>
            </w:r>
          </w:p>
        </w:tc>
      </w:tr>
      <w:tr w:rsidR="00022629" w:rsidRPr="00226892" w14:paraId="3A1329B1" w14:textId="77777777" w:rsidTr="000405EF">
        <w:trPr>
          <w:trHeight w:val="240"/>
        </w:trPr>
        <w:tc>
          <w:tcPr>
            <w:tcW w:w="2699" w:type="pct"/>
            <w:tcBorders>
              <w:top w:val="nil"/>
              <w:left w:val="nil"/>
              <w:bottom w:val="nil"/>
              <w:right w:val="nil"/>
            </w:tcBorders>
            <w:shd w:val="clear" w:color="auto" w:fill="auto"/>
            <w:vAlign w:val="bottom"/>
            <w:hideMark/>
          </w:tcPr>
          <w:p w14:paraId="66B3EAB4" w14:textId="77777777" w:rsidR="00022629" w:rsidRPr="00226892" w:rsidRDefault="00022629" w:rsidP="00022629">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GBP</w:t>
            </w:r>
          </w:p>
        </w:tc>
        <w:tc>
          <w:tcPr>
            <w:tcW w:w="87" w:type="pct"/>
            <w:tcBorders>
              <w:top w:val="nil"/>
              <w:left w:val="nil"/>
              <w:bottom w:val="nil"/>
              <w:right w:val="nil"/>
            </w:tcBorders>
            <w:shd w:val="clear" w:color="auto" w:fill="auto"/>
            <w:vAlign w:val="bottom"/>
            <w:hideMark/>
          </w:tcPr>
          <w:p w14:paraId="1F3FD9E1" w14:textId="77777777" w:rsidR="00022629" w:rsidRPr="00226892" w:rsidRDefault="00022629" w:rsidP="00022629">
            <w:pPr>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6F964216" w14:textId="77EA406A" w:rsidR="00022629" w:rsidRPr="00226892" w:rsidRDefault="00022629" w:rsidP="0002262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w:t>
            </w:r>
          </w:p>
        </w:tc>
        <w:tc>
          <w:tcPr>
            <w:tcW w:w="87" w:type="pct"/>
            <w:tcBorders>
              <w:top w:val="nil"/>
              <w:left w:val="nil"/>
              <w:bottom w:val="nil"/>
              <w:right w:val="nil"/>
            </w:tcBorders>
            <w:shd w:val="clear" w:color="auto" w:fill="auto"/>
            <w:vAlign w:val="bottom"/>
            <w:hideMark/>
          </w:tcPr>
          <w:p w14:paraId="72722C6B" w14:textId="77777777" w:rsidR="00022629" w:rsidRPr="00226892" w:rsidRDefault="00022629" w:rsidP="00022629">
            <w:pPr>
              <w:jc w:val="right"/>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hideMark/>
          </w:tcPr>
          <w:p w14:paraId="211EEA67" w14:textId="16CBACF4" w:rsidR="00022629" w:rsidRPr="00226892" w:rsidRDefault="00022629" w:rsidP="0002262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1    </w:t>
            </w:r>
          </w:p>
        </w:tc>
      </w:tr>
      <w:tr w:rsidR="00022629" w:rsidRPr="00226892" w14:paraId="0DED78D6" w14:textId="77777777" w:rsidTr="000405EF">
        <w:trPr>
          <w:trHeight w:val="240"/>
        </w:trPr>
        <w:tc>
          <w:tcPr>
            <w:tcW w:w="2699" w:type="pct"/>
            <w:tcBorders>
              <w:top w:val="nil"/>
              <w:left w:val="nil"/>
              <w:bottom w:val="nil"/>
              <w:right w:val="nil"/>
            </w:tcBorders>
            <w:shd w:val="clear" w:color="auto" w:fill="auto"/>
            <w:vAlign w:val="bottom"/>
            <w:hideMark/>
          </w:tcPr>
          <w:p w14:paraId="36B37528" w14:textId="51D4BCA5" w:rsidR="00022629" w:rsidRPr="00226892" w:rsidRDefault="00022629" w:rsidP="00022629">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RUB</w:t>
            </w:r>
          </w:p>
        </w:tc>
        <w:tc>
          <w:tcPr>
            <w:tcW w:w="87" w:type="pct"/>
            <w:tcBorders>
              <w:top w:val="nil"/>
              <w:left w:val="nil"/>
              <w:bottom w:val="nil"/>
              <w:right w:val="nil"/>
            </w:tcBorders>
            <w:shd w:val="clear" w:color="auto" w:fill="auto"/>
            <w:vAlign w:val="bottom"/>
            <w:hideMark/>
          </w:tcPr>
          <w:p w14:paraId="1DA254C4" w14:textId="77777777" w:rsidR="00022629" w:rsidRPr="00226892" w:rsidRDefault="00022629" w:rsidP="00022629">
            <w:pPr>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779A9B19" w14:textId="64794A9F" w:rsidR="00022629" w:rsidRPr="00226892" w:rsidRDefault="00022629" w:rsidP="0002262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7</w:t>
            </w:r>
          </w:p>
        </w:tc>
        <w:tc>
          <w:tcPr>
            <w:tcW w:w="87" w:type="pct"/>
            <w:tcBorders>
              <w:top w:val="nil"/>
              <w:left w:val="nil"/>
              <w:bottom w:val="nil"/>
              <w:right w:val="nil"/>
            </w:tcBorders>
            <w:shd w:val="clear" w:color="auto" w:fill="auto"/>
            <w:vAlign w:val="bottom"/>
            <w:hideMark/>
          </w:tcPr>
          <w:p w14:paraId="013CFB42" w14:textId="77777777" w:rsidR="00022629" w:rsidRPr="00226892" w:rsidRDefault="00022629" w:rsidP="00022629">
            <w:pPr>
              <w:jc w:val="right"/>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hideMark/>
          </w:tcPr>
          <w:p w14:paraId="1B7FB91E" w14:textId="0E46D584" w:rsidR="00022629" w:rsidRPr="00226892" w:rsidRDefault="00022629" w:rsidP="00022629">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w:t>
            </w:r>
          </w:p>
        </w:tc>
      </w:tr>
      <w:tr w:rsidR="00022629" w:rsidRPr="00226892" w14:paraId="2AFACE6E" w14:textId="77777777" w:rsidTr="000405EF">
        <w:trPr>
          <w:trHeight w:val="240"/>
        </w:trPr>
        <w:tc>
          <w:tcPr>
            <w:tcW w:w="2699" w:type="pct"/>
            <w:tcBorders>
              <w:top w:val="nil"/>
              <w:left w:val="nil"/>
              <w:bottom w:val="nil"/>
              <w:right w:val="nil"/>
            </w:tcBorders>
            <w:shd w:val="clear" w:color="auto" w:fill="auto"/>
            <w:vAlign w:val="bottom"/>
            <w:hideMark/>
          </w:tcPr>
          <w:p w14:paraId="6A416CEA" w14:textId="77777777" w:rsidR="00022629" w:rsidRPr="00226892" w:rsidRDefault="00022629" w:rsidP="00022629">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Spolu peňažné prostriedky a peňažné ekvivalenty</w:t>
            </w:r>
          </w:p>
        </w:tc>
        <w:tc>
          <w:tcPr>
            <w:tcW w:w="87" w:type="pct"/>
            <w:tcBorders>
              <w:top w:val="nil"/>
              <w:left w:val="nil"/>
              <w:bottom w:val="nil"/>
              <w:right w:val="nil"/>
            </w:tcBorders>
            <w:shd w:val="clear" w:color="auto" w:fill="auto"/>
            <w:vAlign w:val="bottom"/>
            <w:hideMark/>
          </w:tcPr>
          <w:p w14:paraId="6AFC33EB" w14:textId="77777777" w:rsidR="00022629" w:rsidRPr="00226892" w:rsidRDefault="00022629" w:rsidP="00022629">
            <w:pPr>
              <w:rPr>
                <w:rFonts w:ascii="Arial" w:eastAsia="Times New Roman" w:hAnsi="Arial" w:cs="Arial"/>
                <w:b/>
                <w:bCs/>
                <w:color w:val="000000"/>
                <w:sz w:val="18"/>
                <w:szCs w:val="18"/>
                <w:lang w:val="sk-SK" w:eastAsia="sk-SK"/>
              </w:rPr>
            </w:pPr>
          </w:p>
        </w:tc>
        <w:tc>
          <w:tcPr>
            <w:tcW w:w="1064" w:type="pct"/>
            <w:tcBorders>
              <w:top w:val="single" w:sz="4" w:space="0" w:color="auto"/>
              <w:left w:val="nil"/>
              <w:bottom w:val="double" w:sz="6" w:space="0" w:color="auto"/>
              <w:right w:val="nil"/>
            </w:tcBorders>
            <w:shd w:val="clear" w:color="auto" w:fill="auto"/>
            <w:vAlign w:val="bottom"/>
          </w:tcPr>
          <w:p w14:paraId="6860BDE6" w14:textId="3665DE7A" w:rsidR="00022629" w:rsidRPr="00226892" w:rsidRDefault="00022629" w:rsidP="00022629">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9 606</w:t>
            </w:r>
          </w:p>
        </w:tc>
        <w:tc>
          <w:tcPr>
            <w:tcW w:w="87" w:type="pct"/>
            <w:tcBorders>
              <w:top w:val="nil"/>
              <w:left w:val="nil"/>
              <w:bottom w:val="nil"/>
              <w:right w:val="nil"/>
            </w:tcBorders>
            <w:shd w:val="clear" w:color="auto" w:fill="auto"/>
            <w:vAlign w:val="bottom"/>
            <w:hideMark/>
          </w:tcPr>
          <w:p w14:paraId="62620063" w14:textId="77777777" w:rsidR="00022629" w:rsidRPr="00226892" w:rsidRDefault="00022629" w:rsidP="00022629">
            <w:pPr>
              <w:jc w:val="right"/>
              <w:rPr>
                <w:rFonts w:ascii="Arial" w:eastAsia="Times New Roman" w:hAnsi="Arial" w:cs="Arial"/>
                <w:b/>
                <w:bCs/>
                <w:color w:val="000000"/>
                <w:sz w:val="18"/>
                <w:szCs w:val="18"/>
                <w:lang w:val="sk-SK" w:eastAsia="sk-SK"/>
              </w:rPr>
            </w:pPr>
          </w:p>
        </w:tc>
        <w:tc>
          <w:tcPr>
            <w:tcW w:w="1064" w:type="pct"/>
            <w:tcBorders>
              <w:top w:val="single" w:sz="4" w:space="0" w:color="auto"/>
              <w:left w:val="nil"/>
              <w:bottom w:val="double" w:sz="6" w:space="0" w:color="auto"/>
              <w:right w:val="nil"/>
            </w:tcBorders>
            <w:shd w:val="clear" w:color="auto" w:fill="auto"/>
            <w:vAlign w:val="bottom"/>
            <w:hideMark/>
          </w:tcPr>
          <w:p w14:paraId="64B5BC04" w14:textId="1E084455" w:rsidR="00022629" w:rsidRPr="00226892" w:rsidRDefault="00022629" w:rsidP="00022629">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3 002    </w:t>
            </w:r>
          </w:p>
        </w:tc>
      </w:tr>
    </w:tbl>
    <w:p w14:paraId="6F0F8A38" w14:textId="1F4AE282" w:rsidR="00A443A4" w:rsidRPr="00226892" w:rsidRDefault="00E714AC" w:rsidP="00E714AC">
      <w:pPr>
        <w:rPr>
          <w:rFonts w:ascii="Arial" w:hAnsi="Arial" w:cs="Arial"/>
          <w:szCs w:val="18"/>
          <w:lang w:val="sk-SK"/>
        </w:rPr>
      </w:pPr>
      <w:r w:rsidRPr="00226892">
        <w:rPr>
          <w:rFonts w:ascii="Arial" w:hAnsi="Arial" w:cs="Arial"/>
          <w:sz w:val="18"/>
          <w:szCs w:val="18"/>
          <w:lang w:val="sk-SK"/>
        </w:rPr>
        <w:t xml:space="preserve"> </w:t>
      </w:r>
      <w:bookmarkEnd w:id="443"/>
      <w:r w:rsidRPr="00226892">
        <w:rPr>
          <w:rFonts w:ascii="Arial" w:hAnsi="Arial" w:cs="Arial"/>
          <w:sz w:val="18"/>
          <w:szCs w:val="18"/>
          <w:lang w:val="sk-SK"/>
        </w:rPr>
        <w:t xml:space="preserve"> </w:t>
      </w:r>
    </w:p>
    <w:p w14:paraId="3D5682C1" w14:textId="77777777" w:rsidR="00BC2FF2" w:rsidRPr="00226892" w:rsidRDefault="007B66EE" w:rsidP="000405EF">
      <w:pPr>
        <w:jc w:val="both"/>
        <w:rPr>
          <w:rFonts w:ascii="Arial" w:hAnsi="Arial" w:cs="Arial"/>
          <w:lang w:val="sk-SK"/>
        </w:rPr>
      </w:pPr>
      <w:r w:rsidRPr="00226892">
        <w:rPr>
          <w:rFonts w:ascii="Arial" w:hAnsi="Arial" w:cs="Arial"/>
          <w:lang w:val="sk-SK"/>
        </w:rPr>
        <w:t>Pre účely výkazu peňažných tokov pozostávajú peňažné prostriedky a peňažné ekvivalenty z týchto položiek:</w:t>
      </w:r>
    </w:p>
    <w:p w14:paraId="10652C0A" w14:textId="77777777" w:rsidR="00E714AC" w:rsidRPr="00226892" w:rsidRDefault="00E714AC" w:rsidP="00F824EB">
      <w:pPr>
        <w:ind w:left="426"/>
        <w:rPr>
          <w:rFonts w:ascii="Arial" w:hAnsi="Arial" w:cs="Arial"/>
          <w:lang w:val="sk-SK"/>
        </w:rPr>
      </w:pPr>
      <w:bookmarkStart w:id="444" w:name="FWT_CashForCashFlow"/>
      <w:r w:rsidRPr="00226892">
        <w:rPr>
          <w:rFonts w:ascii="Arial" w:hAnsi="Arial" w:cs="Arial"/>
          <w:lang w:val="sk-SK"/>
        </w:rPr>
        <w:t xml:space="preserve"> </w:t>
      </w:r>
    </w:p>
    <w:tbl>
      <w:tblPr>
        <w:tblW w:w="5000" w:type="pct"/>
        <w:tblCellMar>
          <w:left w:w="70" w:type="dxa"/>
          <w:right w:w="70" w:type="dxa"/>
        </w:tblCellMar>
        <w:tblLook w:val="04A0" w:firstRow="1" w:lastRow="0" w:firstColumn="1" w:lastColumn="0" w:noHBand="0" w:noVBand="1"/>
      </w:tblPr>
      <w:tblGrid>
        <w:gridCol w:w="5195"/>
        <w:gridCol w:w="191"/>
        <w:gridCol w:w="2039"/>
        <w:gridCol w:w="170"/>
        <w:gridCol w:w="2044"/>
      </w:tblGrid>
      <w:tr w:rsidR="00F1483F" w:rsidRPr="00226892" w14:paraId="02BE1038" w14:textId="77777777" w:rsidTr="00DD12D6">
        <w:trPr>
          <w:trHeight w:val="227"/>
        </w:trPr>
        <w:tc>
          <w:tcPr>
            <w:tcW w:w="2698" w:type="pct"/>
            <w:tcBorders>
              <w:top w:val="nil"/>
              <w:left w:val="nil"/>
              <w:bottom w:val="single" w:sz="4" w:space="0" w:color="auto"/>
              <w:right w:val="nil"/>
            </w:tcBorders>
            <w:shd w:val="clear" w:color="auto" w:fill="auto"/>
            <w:vAlign w:val="bottom"/>
          </w:tcPr>
          <w:p w14:paraId="2B9F3F9B" w14:textId="4BB93CFD" w:rsidR="00F1483F" w:rsidRPr="00226892" w:rsidRDefault="00F1483F" w:rsidP="00F1483F">
            <w:pPr>
              <w:rPr>
                <w:rFonts w:ascii="Arial" w:eastAsia="Times New Roman" w:hAnsi="Arial" w:cs="Arial"/>
                <w:color w:val="000000"/>
                <w:sz w:val="18"/>
                <w:szCs w:val="18"/>
                <w:lang w:val="sk-SK" w:eastAsia="sk-SK"/>
              </w:rPr>
            </w:pPr>
            <w:r w:rsidRPr="00226892">
              <w:rPr>
                <w:rFonts w:ascii="Arial" w:eastAsia="Times New Roman" w:hAnsi="Arial" w:cs="Arial"/>
                <w:b/>
                <w:bCs/>
                <w:color w:val="000000"/>
                <w:sz w:val="18"/>
                <w:szCs w:val="18"/>
                <w:lang w:val="sk-SK" w:eastAsia="sk-SK"/>
              </w:rPr>
              <w:t> </w:t>
            </w:r>
          </w:p>
        </w:tc>
        <w:tc>
          <w:tcPr>
            <w:tcW w:w="87" w:type="pct"/>
            <w:tcBorders>
              <w:top w:val="nil"/>
              <w:left w:val="nil"/>
              <w:bottom w:val="single" w:sz="4" w:space="0" w:color="auto"/>
              <w:right w:val="nil"/>
            </w:tcBorders>
            <w:shd w:val="clear" w:color="auto" w:fill="auto"/>
            <w:vAlign w:val="bottom"/>
          </w:tcPr>
          <w:p w14:paraId="1757DE46" w14:textId="1C6590CD" w:rsidR="00F1483F" w:rsidRPr="00226892" w:rsidRDefault="00F1483F" w:rsidP="00F1483F">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061" w:type="pct"/>
            <w:tcBorders>
              <w:top w:val="nil"/>
              <w:left w:val="nil"/>
              <w:bottom w:val="single" w:sz="4" w:space="0" w:color="auto"/>
              <w:right w:val="nil"/>
            </w:tcBorders>
            <w:shd w:val="clear" w:color="auto" w:fill="auto"/>
            <w:vAlign w:val="bottom"/>
          </w:tcPr>
          <w:p w14:paraId="20F6E96A" w14:textId="26BA70F0" w:rsidR="00F1483F" w:rsidRPr="00226892" w:rsidRDefault="00F1483F" w:rsidP="00DD12D6">
            <w:pPr>
              <w:jc w:val="center"/>
              <w:rPr>
                <w:rFonts w:ascii="Arial" w:hAnsi="Arial" w:cs="Arial"/>
                <w:color w:val="000000"/>
                <w:sz w:val="18"/>
                <w:szCs w:val="18"/>
              </w:rPr>
            </w:pPr>
            <w:r w:rsidRPr="00226892">
              <w:rPr>
                <w:rFonts w:ascii="Arial" w:eastAsia="Times New Roman" w:hAnsi="Arial" w:cs="Arial"/>
                <w:b/>
                <w:bCs/>
                <w:color w:val="000000"/>
                <w:sz w:val="18"/>
                <w:szCs w:val="18"/>
                <w:lang w:val="sk-SK" w:eastAsia="sk-SK"/>
              </w:rPr>
              <w:t xml:space="preserve">31. december </w:t>
            </w:r>
            <w:r w:rsidR="00FD3AC5" w:rsidRPr="00226892">
              <w:rPr>
                <w:rFonts w:ascii="Arial" w:eastAsia="Times New Roman" w:hAnsi="Arial" w:cs="Arial"/>
                <w:b/>
                <w:bCs/>
                <w:color w:val="000000"/>
                <w:sz w:val="18"/>
                <w:szCs w:val="18"/>
                <w:lang w:val="sk-SK" w:eastAsia="sk-SK"/>
              </w:rPr>
              <w:t>2018</w:t>
            </w:r>
          </w:p>
        </w:tc>
        <w:tc>
          <w:tcPr>
            <w:tcW w:w="91" w:type="pct"/>
            <w:tcBorders>
              <w:top w:val="nil"/>
              <w:left w:val="nil"/>
              <w:bottom w:val="single" w:sz="4" w:space="0" w:color="auto"/>
              <w:right w:val="nil"/>
            </w:tcBorders>
            <w:shd w:val="clear" w:color="auto" w:fill="auto"/>
            <w:vAlign w:val="bottom"/>
          </w:tcPr>
          <w:p w14:paraId="3B655403" w14:textId="7093ADEE" w:rsidR="00F1483F" w:rsidRPr="00226892" w:rsidRDefault="00F1483F" w:rsidP="00DD12D6">
            <w:pPr>
              <w:jc w:val="center"/>
              <w:rPr>
                <w:rFonts w:ascii="Arial" w:eastAsia="Times New Roman" w:hAnsi="Arial" w:cs="Arial"/>
                <w:color w:val="000000"/>
                <w:sz w:val="18"/>
                <w:szCs w:val="18"/>
                <w:lang w:val="sk-SK" w:eastAsia="sk-SK"/>
              </w:rPr>
            </w:pPr>
          </w:p>
        </w:tc>
        <w:tc>
          <w:tcPr>
            <w:tcW w:w="1063" w:type="pct"/>
            <w:tcBorders>
              <w:top w:val="nil"/>
              <w:left w:val="nil"/>
              <w:bottom w:val="single" w:sz="4" w:space="0" w:color="auto"/>
              <w:right w:val="nil"/>
            </w:tcBorders>
            <w:shd w:val="clear" w:color="auto" w:fill="auto"/>
            <w:vAlign w:val="bottom"/>
          </w:tcPr>
          <w:p w14:paraId="3954BC06" w14:textId="5369AEB0" w:rsidR="00F1483F" w:rsidRPr="00226892" w:rsidRDefault="00F1483F" w:rsidP="00DD12D6">
            <w:pPr>
              <w:jc w:val="center"/>
              <w:rPr>
                <w:rFonts w:ascii="Arial" w:eastAsia="Times New Roman" w:hAnsi="Arial" w:cs="Arial"/>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63A77" w:rsidRPr="00226892">
              <w:rPr>
                <w:rFonts w:ascii="Arial" w:eastAsia="Times New Roman" w:hAnsi="Arial" w:cs="Arial"/>
                <w:b/>
                <w:bCs/>
                <w:color w:val="000000"/>
                <w:sz w:val="18"/>
                <w:szCs w:val="18"/>
                <w:lang w:val="sk-SK" w:eastAsia="sk-SK"/>
              </w:rPr>
              <w:t>2017</w:t>
            </w:r>
          </w:p>
        </w:tc>
      </w:tr>
      <w:tr w:rsidR="00022629" w:rsidRPr="00226892" w14:paraId="64994ED6" w14:textId="77777777" w:rsidTr="000405EF">
        <w:trPr>
          <w:trHeight w:val="227"/>
        </w:trPr>
        <w:tc>
          <w:tcPr>
            <w:tcW w:w="2698" w:type="pct"/>
            <w:tcBorders>
              <w:top w:val="single" w:sz="4" w:space="0" w:color="auto"/>
              <w:left w:val="nil"/>
              <w:bottom w:val="nil"/>
              <w:right w:val="nil"/>
            </w:tcBorders>
            <w:shd w:val="clear" w:color="auto" w:fill="auto"/>
            <w:vAlign w:val="bottom"/>
            <w:hideMark/>
          </w:tcPr>
          <w:p w14:paraId="5819CDB1" w14:textId="77777777" w:rsidR="00022629" w:rsidRPr="00226892" w:rsidRDefault="00022629" w:rsidP="00022629">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Hotovosť a zostatky na bankových účtoch podľa súvahy</w:t>
            </w:r>
          </w:p>
        </w:tc>
        <w:tc>
          <w:tcPr>
            <w:tcW w:w="87" w:type="pct"/>
            <w:tcBorders>
              <w:top w:val="single" w:sz="4" w:space="0" w:color="auto"/>
              <w:left w:val="nil"/>
              <w:bottom w:val="nil"/>
              <w:right w:val="nil"/>
            </w:tcBorders>
            <w:shd w:val="clear" w:color="auto" w:fill="auto"/>
            <w:vAlign w:val="bottom"/>
            <w:hideMark/>
          </w:tcPr>
          <w:p w14:paraId="70F4D7F0" w14:textId="77777777" w:rsidR="00022629" w:rsidRPr="00226892" w:rsidRDefault="00022629" w:rsidP="00022629">
            <w:pPr>
              <w:rPr>
                <w:rFonts w:ascii="Arial" w:eastAsia="Times New Roman" w:hAnsi="Arial" w:cs="Arial"/>
                <w:color w:val="000000"/>
                <w:sz w:val="18"/>
                <w:szCs w:val="18"/>
                <w:lang w:val="sk-SK" w:eastAsia="sk-SK"/>
              </w:rPr>
            </w:pPr>
          </w:p>
        </w:tc>
        <w:tc>
          <w:tcPr>
            <w:tcW w:w="1061" w:type="pct"/>
            <w:tcBorders>
              <w:top w:val="single" w:sz="4" w:space="0" w:color="auto"/>
              <w:left w:val="nil"/>
              <w:bottom w:val="nil"/>
              <w:right w:val="nil"/>
            </w:tcBorders>
            <w:shd w:val="clear" w:color="auto" w:fill="auto"/>
            <w:vAlign w:val="bottom"/>
            <w:hideMark/>
          </w:tcPr>
          <w:p w14:paraId="7C0D0DD1" w14:textId="185F65E4" w:rsidR="00022629" w:rsidRPr="00226892" w:rsidRDefault="00022629" w:rsidP="00022629">
            <w:pPr>
              <w:jc w:val="right"/>
              <w:rPr>
                <w:rFonts w:ascii="Arial" w:eastAsia="Times New Roman" w:hAnsi="Arial" w:cs="Arial"/>
                <w:color w:val="000000"/>
                <w:sz w:val="18"/>
                <w:szCs w:val="18"/>
                <w:lang w:val="sk-SK" w:eastAsia="sk-SK"/>
              </w:rPr>
            </w:pPr>
            <w:r w:rsidRPr="00226892">
              <w:rPr>
                <w:rFonts w:ascii="Arial" w:hAnsi="Arial" w:cs="Arial"/>
                <w:color w:val="000000"/>
                <w:sz w:val="18"/>
                <w:szCs w:val="18"/>
              </w:rPr>
              <w:t>9 606</w:t>
            </w:r>
          </w:p>
        </w:tc>
        <w:tc>
          <w:tcPr>
            <w:tcW w:w="91" w:type="pct"/>
            <w:tcBorders>
              <w:top w:val="single" w:sz="4" w:space="0" w:color="auto"/>
              <w:left w:val="nil"/>
              <w:bottom w:val="nil"/>
              <w:right w:val="nil"/>
            </w:tcBorders>
            <w:shd w:val="clear" w:color="auto" w:fill="auto"/>
            <w:vAlign w:val="bottom"/>
            <w:hideMark/>
          </w:tcPr>
          <w:p w14:paraId="1BD8000B" w14:textId="77777777" w:rsidR="00022629" w:rsidRPr="00226892" w:rsidRDefault="00022629" w:rsidP="00022629">
            <w:pPr>
              <w:jc w:val="right"/>
              <w:rPr>
                <w:rFonts w:ascii="Arial" w:eastAsia="Times New Roman" w:hAnsi="Arial" w:cs="Arial"/>
                <w:color w:val="000000"/>
                <w:sz w:val="18"/>
                <w:szCs w:val="18"/>
                <w:lang w:val="sk-SK" w:eastAsia="sk-SK"/>
              </w:rPr>
            </w:pPr>
          </w:p>
        </w:tc>
        <w:tc>
          <w:tcPr>
            <w:tcW w:w="1063" w:type="pct"/>
            <w:tcBorders>
              <w:top w:val="single" w:sz="4" w:space="0" w:color="auto"/>
              <w:left w:val="nil"/>
              <w:bottom w:val="nil"/>
              <w:right w:val="nil"/>
            </w:tcBorders>
            <w:shd w:val="clear" w:color="auto" w:fill="auto"/>
            <w:vAlign w:val="bottom"/>
            <w:hideMark/>
          </w:tcPr>
          <w:p w14:paraId="488655E0" w14:textId="5A73A18D" w:rsidR="00022629" w:rsidRPr="00226892" w:rsidRDefault="00022629" w:rsidP="00022629">
            <w:pPr>
              <w:jc w:val="right"/>
              <w:rPr>
                <w:rFonts w:ascii="Arial" w:eastAsia="Times New Roman" w:hAnsi="Arial" w:cs="Arial"/>
                <w:color w:val="000000"/>
                <w:sz w:val="18"/>
                <w:szCs w:val="18"/>
                <w:lang w:val="sk-SK" w:eastAsia="sk-SK"/>
              </w:rPr>
            </w:pPr>
            <w:r w:rsidRPr="00226892">
              <w:rPr>
                <w:rFonts w:ascii="Arial" w:hAnsi="Arial" w:cs="Arial"/>
                <w:color w:val="000000"/>
                <w:sz w:val="18"/>
                <w:szCs w:val="18"/>
              </w:rPr>
              <w:t>3 002</w:t>
            </w:r>
          </w:p>
        </w:tc>
      </w:tr>
      <w:tr w:rsidR="00022629" w:rsidRPr="00226892" w14:paraId="5093E752" w14:textId="77777777" w:rsidTr="000405EF">
        <w:trPr>
          <w:trHeight w:val="227"/>
        </w:trPr>
        <w:tc>
          <w:tcPr>
            <w:tcW w:w="2698" w:type="pct"/>
            <w:tcBorders>
              <w:top w:val="nil"/>
              <w:left w:val="nil"/>
              <w:bottom w:val="nil"/>
              <w:right w:val="nil"/>
            </w:tcBorders>
            <w:shd w:val="clear" w:color="auto" w:fill="auto"/>
            <w:vAlign w:val="bottom"/>
            <w:hideMark/>
          </w:tcPr>
          <w:p w14:paraId="68724720" w14:textId="6396F244" w:rsidR="00022629" w:rsidRPr="00226892" w:rsidRDefault="00022629" w:rsidP="00022629">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Kontokorentné úvery (Pozn. 1</w:t>
            </w:r>
            <w:r w:rsidR="00522218" w:rsidRPr="00226892">
              <w:rPr>
                <w:rFonts w:ascii="Arial" w:eastAsia="Times New Roman" w:hAnsi="Arial" w:cs="Arial"/>
                <w:color w:val="000000"/>
                <w:sz w:val="18"/>
                <w:szCs w:val="18"/>
                <w:lang w:val="sk-SK" w:eastAsia="sk-SK"/>
              </w:rPr>
              <w:t>5</w:t>
            </w:r>
            <w:r w:rsidRPr="00226892">
              <w:rPr>
                <w:rFonts w:ascii="Arial" w:eastAsia="Times New Roman" w:hAnsi="Arial" w:cs="Arial"/>
                <w:color w:val="000000"/>
                <w:sz w:val="18"/>
                <w:szCs w:val="18"/>
                <w:lang w:val="sk-SK" w:eastAsia="sk-SK"/>
              </w:rPr>
              <w:t>)</w:t>
            </w:r>
          </w:p>
        </w:tc>
        <w:tc>
          <w:tcPr>
            <w:tcW w:w="87" w:type="pct"/>
            <w:tcBorders>
              <w:top w:val="nil"/>
              <w:left w:val="nil"/>
              <w:bottom w:val="nil"/>
              <w:right w:val="nil"/>
            </w:tcBorders>
            <w:shd w:val="clear" w:color="auto" w:fill="auto"/>
            <w:vAlign w:val="bottom"/>
            <w:hideMark/>
          </w:tcPr>
          <w:p w14:paraId="031F793C" w14:textId="77777777" w:rsidR="00022629" w:rsidRPr="00226892" w:rsidRDefault="00022629" w:rsidP="00022629">
            <w:pPr>
              <w:rPr>
                <w:rFonts w:ascii="Arial" w:eastAsia="Times New Roman" w:hAnsi="Arial" w:cs="Arial"/>
                <w:color w:val="000000"/>
                <w:sz w:val="18"/>
                <w:szCs w:val="18"/>
                <w:lang w:val="sk-SK" w:eastAsia="sk-SK"/>
              </w:rPr>
            </w:pPr>
          </w:p>
        </w:tc>
        <w:tc>
          <w:tcPr>
            <w:tcW w:w="1061" w:type="pct"/>
            <w:tcBorders>
              <w:top w:val="nil"/>
              <w:left w:val="nil"/>
              <w:bottom w:val="nil"/>
              <w:right w:val="nil"/>
            </w:tcBorders>
            <w:shd w:val="clear" w:color="auto" w:fill="auto"/>
            <w:vAlign w:val="bottom"/>
            <w:hideMark/>
          </w:tcPr>
          <w:p w14:paraId="697AA7C5" w14:textId="210987B9" w:rsidR="00022629" w:rsidRPr="00226892" w:rsidRDefault="00022629" w:rsidP="00022629">
            <w:pPr>
              <w:jc w:val="right"/>
              <w:rPr>
                <w:rFonts w:ascii="Arial" w:eastAsia="Times New Roman" w:hAnsi="Arial" w:cs="Arial"/>
                <w:color w:val="000000"/>
                <w:sz w:val="18"/>
                <w:szCs w:val="18"/>
                <w:lang w:val="sk-SK" w:eastAsia="sk-SK"/>
              </w:rPr>
            </w:pPr>
            <w:r w:rsidRPr="00226892">
              <w:rPr>
                <w:rFonts w:ascii="Arial" w:hAnsi="Arial" w:cs="Arial"/>
                <w:color w:val="000000"/>
                <w:sz w:val="18"/>
                <w:szCs w:val="18"/>
              </w:rPr>
              <w:t xml:space="preserve">- 1 770    </w:t>
            </w:r>
          </w:p>
        </w:tc>
        <w:tc>
          <w:tcPr>
            <w:tcW w:w="91" w:type="pct"/>
            <w:tcBorders>
              <w:top w:val="nil"/>
              <w:left w:val="nil"/>
              <w:bottom w:val="nil"/>
              <w:right w:val="nil"/>
            </w:tcBorders>
            <w:shd w:val="clear" w:color="auto" w:fill="auto"/>
            <w:vAlign w:val="bottom"/>
            <w:hideMark/>
          </w:tcPr>
          <w:p w14:paraId="21831A85" w14:textId="77777777" w:rsidR="00022629" w:rsidRPr="00226892" w:rsidRDefault="00022629" w:rsidP="00022629">
            <w:pPr>
              <w:jc w:val="right"/>
              <w:rPr>
                <w:rFonts w:ascii="Arial" w:eastAsia="Times New Roman" w:hAnsi="Arial" w:cs="Arial"/>
                <w:color w:val="000000"/>
                <w:sz w:val="18"/>
                <w:szCs w:val="18"/>
                <w:lang w:val="sk-SK" w:eastAsia="sk-SK"/>
              </w:rPr>
            </w:pPr>
          </w:p>
        </w:tc>
        <w:tc>
          <w:tcPr>
            <w:tcW w:w="1063" w:type="pct"/>
            <w:tcBorders>
              <w:top w:val="nil"/>
              <w:left w:val="nil"/>
              <w:bottom w:val="nil"/>
              <w:right w:val="nil"/>
            </w:tcBorders>
            <w:shd w:val="clear" w:color="auto" w:fill="auto"/>
            <w:vAlign w:val="bottom"/>
            <w:hideMark/>
          </w:tcPr>
          <w:p w14:paraId="3D9D24A7" w14:textId="47A68E4A" w:rsidR="00022629" w:rsidRPr="00226892" w:rsidRDefault="00022629" w:rsidP="00022629">
            <w:pPr>
              <w:jc w:val="right"/>
              <w:rPr>
                <w:rFonts w:ascii="Arial" w:eastAsia="Times New Roman" w:hAnsi="Arial" w:cs="Arial"/>
                <w:color w:val="000000"/>
                <w:sz w:val="18"/>
                <w:szCs w:val="18"/>
                <w:lang w:val="sk-SK" w:eastAsia="sk-SK"/>
              </w:rPr>
            </w:pPr>
            <w:r w:rsidRPr="00226892">
              <w:rPr>
                <w:rFonts w:ascii="Arial" w:hAnsi="Arial" w:cs="Arial"/>
                <w:color w:val="000000"/>
                <w:sz w:val="18"/>
                <w:szCs w:val="18"/>
              </w:rPr>
              <w:t xml:space="preserve">- 5 066    </w:t>
            </w:r>
          </w:p>
        </w:tc>
      </w:tr>
      <w:tr w:rsidR="00022629" w:rsidRPr="00226892" w14:paraId="42356DC2" w14:textId="77777777" w:rsidTr="000405EF">
        <w:trPr>
          <w:trHeight w:val="227"/>
        </w:trPr>
        <w:tc>
          <w:tcPr>
            <w:tcW w:w="2698" w:type="pct"/>
            <w:tcBorders>
              <w:top w:val="nil"/>
              <w:left w:val="nil"/>
              <w:bottom w:val="nil"/>
              <w:right w:val="nil"/>
            </w:tcBorders>
            <w:shd w:val="clear" w:color="auto" w:fill="auto"/>
            <w:vAlign w:val="bottom"/>
            <w:hideMark/>
          </w:tcPr>
          <w:p w14:paraId="551E07A9" w14:textId="77777777" w:rsidR="00022629" w:rsidRPr="00226892" w:rsidRDefault="00022629" w:rsidP="00022629">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Spolu peňažné prostriedky a peňažné ekvivalenty pre výkaz peňažných tokov</w:t>
            </w:r>
          </w:p>
        </w:tc>
        <w:tc>
          <w:tcPr>
            <w:tcW w:w="87" w:type="pct"/>
            <w:tcBorders>
              <w:top w:val="nil"/>
              <w:left w:val="nil"/>
              <w:bottom w:val="nil"/>
              <w:right w:val="nil"/>
            </w:tcBorders>
            <w:shd w:val="clear" w:color="auto" w:fill="auto"/>
            <w:vAlign w:val="bottom"/>
            <w:hideMark/>
          </w:tcPr>
          <w:p w14:paraId="7C18B42F" w14:textId="77777777" w:rsidR="00022629" w:rsidRPr="00226892" w:rsidRDefault="00022629" w:rsidP="00022629">
            <w:pPr>
              <w:rPr>
                <w:rFonts w:ascii="Arial" w:eastAsia="Times New Roman" w:hAnsi="Arial" w:cs="Arial"/>
                <w:b/>
                <w:bCs/>
                <w:color w:val="000000"/>
                <w:sz w:val="18"/>
                <w:szCs w:val="18"/>
                <w:lang w:val="sk-SK" w:eastAsia="sk-SK"/>
              </w:rPr>
            </w:pPr>
          </w:p>
        </w:tc>
        <w:tc>
          <w:tcPr>
            <w:tcW w:w="1061" w:type="pct"/>
            <w:tcBorders>
              <w:top w:val="single" w:sz="4" w:space="0" w:color="auto"/>
              <w:left w:val="nil"/>
              <w:bottom w:val="double" w:sz="6" w:space="0" w:color="auto"/>
              <w:right w:val="nil"/>
            </w:tcBorders>
            <w:shd w:val="clear" w:color="auto" w:fill="auto"/>
            <w:vAlign w:val="bottom"/>
            <w:hideMark/>
          </w:tcPr>
          <w:p w14:paraId="5AC56E73" w14:textId="5BAD97E1" w:rsidR="00022629" w:rsidRPr="00226892" w:rsidRDefault="00022629" w:rsidP="00022629">
            <w:pPr>
              <w:jc w:val="right"/>
              <w:rPr>
                <w:rFonts w:ascii="Arial" w:eastAsia="Times New Roman" w:hAnsi="Arial" w:cs="Arial"/>
                <w:b/>
                <w:bCs/>
                <w:color w:val="000000"/>
                <w:sz w:val="18"/>
                <w:szCs w:val="18"/>
                <w:lang w:val="sk-SK" w:eastAsia="sk-SK"/>
              </w:rPr>
            </w:pPr>
            <w:r w:rsidRPr="00226892">
              <w:rPr>
                <w:rFonts w:ascii="Arial" w:hAnsi="Arial" w:cs="Arial"/>
                <w:b/>
                <w:bCs/>
                <w:color w:val="000000"/>
                <w:sz w:val="18"/>
                <w:szCs w:val="18"/>
              </w:rPr>
              <w:t xml:space="preserve">-7 836    </w:t>
            </w:r>
          </w:p>
        </w:tc>
        <w:tc>
          <w:tcPr>
            <w:tcW w:w="91" w:type="pct"/>
            <w:tcBorders>
              <w:top w:val="nil"/>
              <w:left w:val="nil"/>
              <w:bottom w:val="nil"/>
              <w:right w:val="nil"/>
            </w:tcBorders>
            <w:shd w:val="clear" w:color="auto" w:fill="auto"/>
            <w:vAlign w:val="bottom"/>
            <w:hideMark/>
          </w:tcPr>
          <w:p w14:paraId="632B29E3" w14:textId="77777777" w:rsidR="00022629" w:rsidRPr="00226892" w:rsidRDefault="00022629" w:rsidP="00022629">
            <w:pPr>
              <w:jc w:val="right"/>
              <w:rPr>
                <w:rFonts w:ascii="Arial" w:eastAsia="Times New Roman" w:hAnsi="Arial" w:cs="Arial"/>
                <w:b/>
                <w:bCs/>
                <w:color w:val="000000"/>
                <w:sz w:val="18"/>
                <w:szCs w:val="18"/>
                <w:lang w:val="sk-SK" w:eastAsia="sk-SK"/>
              </w:rPr>
            </w:pPr>
          </w:p>
        </w:tc>
        <w:tc>
          <w:tcPr>
            <w:tcW w:w="1063" w:type="pct"/>
            <w:tcBorders>
              <w:top w:val="single" w:sz="4" w:space="0" w:color="auto"/>
              <w:left w:val="nil"/>
              <w:bottom w:val="double" w:sz="6" w:space="0" w:color="auto"/>
              <w:right w:val="nil"/>
            </w:tcBorders>
            <w:shd w:val="clear" w:color="auto" w:fill="auto"/>
            <w:vAlign w:val="bottom"/>
            <w:hideMark/>
          </w:tcPr>
          <w:p w14:paraId="09F2C9D4" w14:textId="5B9023A5" w:rsidR="00022629" w:rsidRPr="00226892" w:rsidRDefault="00022629" w:rsidP="00022629">
            <w:pPr>
              <w:jc w:val="right"/>
              <w:rPr>
                <w:rFonts w:ascii="Arial" w:eastAsia="Times New Roman" w:hAnsi="Arial" w:cs="Arial"/>
                <w:b/>
                <w:bCs/>
                <w:color w:val="000000"/>
                <w:sz w:val="18"/>
                <w:szCs w:val="18"/>
                <w:lang w:val="sk-SK" w:eastAsia="sk-SK"/>
              </w:rPr>
            </w:pPr>
            <w:r w:rsidRPr="00226892">
              <w:rPr>
                <w:rFonts w:ascii="Arial" w:hAnsi="Arial" w:cs="Arial"/>
                <w:b/>
                <w:bCs/>
                <w:color w:val="000000"/>
                <w:sz w:val="18"/>
                <w:szCs w:val="18"/>
              </w:rPr>
              <w:t xml:space="preserve">-2 064    </w:t>
            </w:r>
          </w:p>
        </w:tc>
      </w:tr>
    </w:tbl>
    <w:p w14:paraId="39A8F4A8" w14:textId="3F83DE3F" w:rsidR="007C21E2" w:rsidRPr="00226892" w:rsidRDefault="00E714AC" w:rsidP="00E714AC">
      <w:pPr>
        <w:rPr>
          <w:rFonts w:ascii="Arial" w:hAnsi="Arial" w:cs="Arial"/>
        </w:rPr>
      </w:pPr>
      <w:r w:rsidRPr="00226892">
        <w:rPr>
          <w:rFonts w:ascii="Arial" w:hAnsi="Arial" w:cs="Arial"/>
        </w:rPr>
        <w:t xml:space="preserve"> </w:t>
      </w:r>
      <w:bookmarkEnd w:id="444"/>
      <w:r w:rsidRPr="00226892">
        <w:rPr>
          <w:rFonts w:ascii="Arial" w:hAnsi="Arial" w:cs="Arial"/>
        </w:rPr>
        <w:t xml:space="preserve"> </w:t>
      </w:r>
    </w:p>
    <w:p w14:paraId="40F1DEBE" w14:textId="19FB0048" w:rsidR="002000CE" w:rsidRPr="00226892" w:rsidRDefault="002000CE" w:rsidP="00E714AC">
      <w:pPr>
        <w:rPr>
          <w:rFonts w:ascii="Arial" w:hAnsi="Arial" w:cs="Arial"/>
        </w:rPr>
      </w:pPr>
    </w:p>
    <w:p w14:paraId="4D469B27" w14:textId="22ADAFA8" w:rsidR="002000CE" w:rsidRPr="00226892" w:rsidRDefault="002000CE" w:rsidP="00E714AC">
      <w:pPr>
        <w:rPr>
          <w:rFonts w:ascii="Arial" w:hAnsi="Arial" w:cs="Arial"/>
        </w:rPr>
      </w:pPr>
    </w:p>
    <w:p w14:paraId="7C388556" w14:textId="3A9D9D66" w:rsidR="002000CE" w:rsidRPr="00226892" w:rsidRDefault="002000CE" w:rsidP="00E714AC">
      <w:pPr>
        <w:rPr>
          <w:rFonts w:ascii="Arial" w:hAnsi="Arial" w:cs="Arial"/>
        </w:rPr>
      </w:pPr>
    </w:p>
    <w:p w14:paraId="4BAC23A7" w14:textId="51C988C5" w:rsidR="002000CE" w:rsidRPr="00226892" w:rsidRDefault="002000CE" w:rsidP="00E714AC">
      <w:pPr>
        <w:rPr>
          <w:rFonts w:ascii="Arial" w:hAnsi="Arial" w:cs="Arial"/>
        </w:rPr>
      </w:pPr>
    </w:p>
    <w:p w14:paraId="3B90BD11" w14:textId="0F5F24A7" w:rsidR="002000CE" w:rsidRPr="00226892" w:rsidRDefault="002000CE" w:rsidP="00E714AC">
      <w:pPr>
        <w:rPr>
          <w:rFonts w:ascii="Arial" w:hAnsi="Arial" w:cs="Arial"/>
        </w:rPr>
      </w:pPr>
    </w:p>
    <w:p w14:paraId="500DD9AF" w14:textId="4FE6698C" w:rsidR="002000CE" w:rsidRPr="00226892" w:rsidRDefault="002000CE" w:rsidP="00E714AC">
      <w:pPr>
        <w:rPr>
          <w:rFonts w:ascii="Arial" w:hAnsi="Arial" w:cs="Arial"/>
        </w:rPr>
      </w:pPr>
    </w:p>
    <w:p w14:paraId="556C0CBB" w14:textId="77777777" w:rsidR="002000CE" w:rsidRPr="00226892" w:rsidRDefault="002000CE" w:rsidP="00E714AC">
      <w:pPr>
        <w:rPr>
          <w:rFonts w:ascii="Arial" w:hAnsi="Arial" w:cs="Arial"/>
        </w:rPr>
      </w:pPr>
    </w:p>
    <w:p w14:paraId="6EFB8DED" w14:textId="1778EBA3" w:rsidR="007B66EE" w:rsidRPr="00226892" w:rsidRDefault="007B66EE" w:rsidP="003578C0">
      <w:pPr>
        <w:pStyle w:val="Nadpis3"/>
        <w:keepNext w:val="0"/>
        <w:widowControl/>
        <w:numPr>
          <w:ilvl w:val="0"/>
          <w:numId w:val="34"/>
        </w:numPr>
        <w:tabs>
          <w:tab w:val="clear" w:pos="1069"/>
          <w:tab w:val="num" w:pos="392"/>
        </w:tabs>
        <w:suppressAutoHyphens/>
        <w:ind w:left="1077" w:hanging="1077"/>
        <w:rPr>
          <w:rFonts w:ascii="Arial" w:hAnsi="Arial" w:cs="Arial"/>
          <w:sz w:val="20"/>
        </w:rPr>
      </w:pPr>
      <w:bookmarkStart w:id="445" w:name="_Toc422151038"/>
      <w:bookmarkStart w:id="446" w:name="_Toc237250311"/>
      <w:bookmarkStart w:id="447" w:name="_Toc135379407"/>
      <w:bookmarkStart w:id="448" w:name="_Toc325985807"/>
      <w:bookmarkStart w:id="449" w:name="_Toc387812509"/>
      <w:bookmarkStart w:id="450" w:name="_Toc27410004"/>
      <w:bookmarkEnd w:id="445"/>
      <w:bookmarkEnd w:id="446"/>
      <w:proofErr w:type="spellStart"/>
      <w:r w:rsidRPr="00226892">
        <w:rPr>
          <w:rFonts w:ascii="Arial" w:hAnsi="Arial" w:cs="Arial"/>
          <w:sz w:val="20"/>
        </w:rPr>
        <w:lastRenderedPageBreak/>
        <w:t>Základné</w:t>
      </w:r>
      <w:proofErr w:type="spellEnd"/>
      <w:r w:rsidRPr="00226892">
        <w:rPr>
          <w:rFonts w:ascii="Arial" w:hAnsi="Arial" w:cs="Arial"/>
          <w:sz w:val="20"/>
        </w:rPr>
        <w:t xml:space="preserve"> </w:t>
      </w:r>
      <w:proofErr w:type="spellStart"/>
      <w:r w:rsidRPr="00226892">
        <w:rPr>
          <w:rFonts w:ascii="Arial" w:hAnsi="Arial" w:cs="Arial"/>
          <w:sz w:val="20"/>
        </w:rPr>
        <w:t>imanie</w:t>
      </w:r>
      <w:bookmarkEnd w:id="447"/>
      <w:bookmarkEnd w:id="448"/>
      <w:bookmarkEnd w:id="449"/>
      <w:bookmarkEnd w:id="450"/>
      <w:proofErr w:type="spellEnd"/>
    </w:p>
    <w:tbl>
      <w:tblPr>
        <w:tblW w:w="5000" w:type="pct"/>
        <w:tblCellMar>
          <w:left w:w="70" w:type="dxa"/>
          <w:right w:w="70" w:type="dxa"/>
        </w:tblCellMar>
        <w:tblLook w:val="04A0" w:firstRow="1" w:lastRow="0" w:firstColumn="1" w:lastColumn="0" w:noHBand="0" w:noVBand="1"/>
      </w:tblPr>
      <w:tblGrid>
        <w:gridCol w:w="2285"/>
        <w:gridCol w:w="158"/>
        <w:gridCol w:w="15"/>
        <w:gridCol w:w="1355"/>
        <w:gridCol w:w="174"/>
        <w:gridCol w:w="1573"/>
        <w:gridCol w:w="158"/>
        <w:gridCol w:w="1479"/>
        <w:gridCol w:w="158"/>
        <w:gridCol w:w="2284"/>
      </w:tblGrid>
      <w:tr w:rsidR="005020AA" w:rsidRPr="00226892" w14:paraId="65792403" w14:textId="77777777" w:rsidTr="00061978">
        <w:trPr>
          <w:trHeight w:val="227"/>
        </w:trPr>
        <w:tc>
          <w:tcPr>
            <w:tcW w:w="1185" w:type="pct"/>
            <w:tcBorders>
              <w:top w:val="nil"/>
              <w:left w:val="nil"/>
              <w:bottom w:val="single" w:sz="4" w:space="0" w:color="auto"/>
              <w:right w:val="nil"/>
            </w:tcBorders>
            <w:shd w:val="clear" w:color="auto" w:fill="auto"/>
            <w:vAlign w:val="bottom"/>
            <w:hideMark/>
          </w:tcPr>
          <w:p w14:paraId="2AC8B635" w14:textId="3415B360" w:rsidR="005020AA" w:rsidRPr="00226892" w:rsidRDefault="005020AA" w:rsidP="00061978">
            <w:pPr>
              <w:jc w:val="center"/>
              <w:rPr>
                <w:rFonts w:ascii="Arial" w:eastAsia="Times New Roman" w:hAnsi="Arial" w:cs="Arial"/>
                <w:sz w:val="24"/>
                <w:szCs w:val="24"/>
                <w:lang w:val="sk-SK" w:eastAsia="sk-SK"/>
              </w:rPr>
            </w:pPr>
            <w:bookmarkStart w:id="451" w:name="FWT_ShareCapital"/>
            <w:bookmarkEnd w:id="451"/>
          </w:p>
        </w:tc>
        <w:tc>
          <w:tcPr>
            <w:tcW w:w="90" w:type="pct"/>
            <w:gridSpan w:val="2"/>
            <w:tcBorders>
              <w:top w:val="nil"/>
              <w:left w:val="nil"/>
              <w:bottom w:val="single" w:sz="4" w:space="0" w:color="auto"/>
              <w:right w:val="nil"/>
            </w:tcBorders>
            <w:shd w:val="clear" w:color="auto" w:fill="auto"/>
            <w:vAlign w:val="bottom"/>
            <w:hideMark/>
          </w:tcPr>
          <w:p w14:paraId="7102C68C" w14:textId="77777777" w:rsidR="005020AA" w:rsidRPr="00226892" w:rsidRDefault="005020AA" w:rsidP="00061978">
            <w:pPr>
              <w:jc w:val="center"/>
              <w:rPr>
                <w:rFonts w:ascii="Arial" w:eastAsia="Times New Roman" w:hAnsi="Arial" w:cs="Arial"/>
                <w:lang w:val="sk-SK" w:eastAsia="sk-SK"/>
              </w:rPr>
            </w:pPr>
          </w:p>
        </w:tc>
        <w:tc>
          <w:tcPr>
            <w:tcW w:w="703" w:type="pct"/>
            <w:tcBorders>
              <w:top w:val="nil"/>
              <w:left w:val="nil"/>
              <w:bottom w:val="single" w:sz="4" w:space="0" w:color="auto"/>
              <w:right w:val="nil"/>
            </w:tcBorders>
            <w:shd w:val="clear" w:color="auto" w:fill="auto"/>
            <w:vAlign w:val="bottom"/>
            <w:hideMark/>
          </w:tcPr>
          <w:p w14:paraId="638864F5" w14:textId="77777777" w:rsidR="005020AA" w:rsidRPr="00226892" w:rsidRDefault="005020AA" w:rsidP="00061978">
            <w:pPr>
              <w:jc w:val="center"/>
              <w:rPr>
                <w:rFonts w:ascii="Arial" w:eastAsia="Times New Roman" w:hAnsi="Arial" w:cs="Arial"/>
                <w:b/>
                <w:bCs/>
                <w:color w:val="000000"/>
                <w:sz w:val="18"/>
                <w:szCs w:val="18"/>
                <w:lang w:val="sk-SK" w:eastAsia="sk-SK"/>
              </w:rPr>
            </w:pPr>
          </w:p>
          <w:p w14:paraId="4A66B07C" w14:textId="77777777" w:rsidR="005020AA" w:rsidRPr="00226892" w:rsidRDefault="005020AA" w:rsidP="00061978">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Počet akcií</w:t>
            </w:r>
          </w:p>
          <w:p w14:paraId="1287EB03" w14:textId="608D51B2" w:rsidR="005020AA" w:rsidRPr="00226892" w:rsidRDefault="005020AA" w:rsidP="00061978">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(v tis. ks, bez vlastných akcií)</w:t>
            </w:r>
          </w:p>
        </w:tc>
        <w:tc>
          <w:tcPr>
            <w:tcW w:w="90" w:type="pct"/>
            <w:tcBorders>
              <w:top w:val="nil"/>
              <w:left w:val="nil"/>
              <w:bottom w:val="single" w:sz="4" w:space="0" w:color="auto"/>
              <w:right w:val="nil"/>
            </w:tcBorders>
            <w:shd w:val="clear" w:color="auto" w:fill="auto"/>
            <w:vAlign w:val="bottom"/>
            <w:hideMark/>
          </w:tcPr>
          <w:p w14:paraId="034F9933" w14:textId="77777777" w:rsidR="005020AA" w:rsidRPr="00226892" w:rsidRDefault="005020AA" w:rsidP="00061978">
            <w:pPr>
              <w:jc w:val="center"/>
              <w:rPr>
                <w:rFonts w:ascii="Arial" w:eastAsia="Times New Roman" w:hAnsi="Arial" w:cs="Arial"/>
                <w:b/>
                <w:bCs/>
                <w:color w:val="000000"/>
                <w:sz w:val="18"/>
                <w:szCs w:val="18"/>
                <w:lang w:val="sk-SK" w:eastAsia="sk-SK"/>
              </w:rPr>
            </w:pPr>
          </w:p>
        </w:tc>
        <w:tc>
          <w:tcPr>
            <w:tcW w:w="816" w:type="pct"/>
            <w:tcBorders>
              <w:top w:val="nil"/>
              <w:left w:val="nil"/>
              <w:bottom w:val="single" w:sz="4" w:space="0" w:color="auto"/>
              <w:right w:val="nil"/>
            </w:tcBorders>
            <w:shd w:val="clear" w:color="auto" w:fill="auto"/>
            <w:vAlign w:val="bottom"/>
            <w:hideMark/>
          </w:tcPr>
          <w:p w14:paraId="6BBE0415" w14:textId="77777777" w:rsidR="005020AA" w:rsidRPr="00226892" w:rsidRDefault="005020AA" w:rsidP="00061978">
            <w:pPr>
              <w:jc w:val="center"/>
              <w:rPr>
                <w:rFonts w:ascii="Arial" w:eastAsia="Times New Roman" w:hAnsi="Arial" w:cs="Arial"/>
                <w:b/>
                <w:bCs/>
                <w:color w:val="000000"/>
                <w:sz w:val="18"/>
                <w:szCs w:val="18"/>
                <w:lang w:val="sk-SK" w:eastAsia="sk-SK"/>
              </w:rPr>
            </w:pPr>
          </w:p>
          <w:p w14:paraId="31492D50" w14:textId="3F8F40F1" w:rsidR="005020AA" w:rsidRPr="00226892" w:rsidRDefault="005020AA" w:rsidP="00061978">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Kmeňové akcie</w:t>
            </w:r>
          </w:p>
          <w:p w14:paraId="19CE5042" w14:textId="4F8D0C90" w:rsidR="005020AA" w:rsidRPr="00226892" w:rsidRDefault="005020AA" w:rsidP="00061978">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(v tis. EUR)</w:t>
            </w:r>
          </w:p>
          <w:p w14:paraId="14FFCE51" w14:textId="77777777" w:rsidR="005020AA" w:rsidRPr="00226892" w:rsidRDefault="005020AA" w:rsidP="00061978">
            <w:pPr>
              <w:jc w:val="center"/>
              <w:rPr>
                <w:rFonts w:ascii="Arial" w:eastAsia="Times New Roman" w:hAnsi="Arial" w:cs="Arial"/>
                <w:b/>
                <w:bCs/>
                <w:color w:val="000000"/>
                <w:sz w:val="18"/>
                <w:szCs w:val="18"/>
                <w:lang w:val="sk-SK" w:eastAsia="sk-SK"/>
              </w:rPr>
            </w:pPr>
          </w:p>
          <w:p w14:paraId="1FB4FB77" w14:textId="1AE9C38E" w:rsidR="005020AA" w:rsidRPr="00226892" w:rsidRDefault="005020AA" w:rsidP="00061978">
            <w:pPr>
              <w:jc w:val="center"/>
              <w:rPr>
                <w:rFonts w:ascii="Arial" w:eastAsia="Times New Roman" w:hAnsi="Arial" w:cs="Arial"/>
                <w:b/>
                <w:bCs/>
                <w:color w:val="000000"/>
                <w:sz w:val="18"/>
                <w:szCs w:val="18"/>
                <w:lang w:val="sk-SK" w:eastAsia="sk-SK"/>
              </w:rPr>
            </w:pPr>
          </w:p>
        </w:tc>
        <w:tc>
          <w:tcPr>
            <w:tcW w:w="82" w:type="pct"/>
            <w:tcBorders>
              <w:top w:val="nil"/>
              <w:left w:val="nil"/>
              <w:bottom w:val="single" w:sz="4" w:space="0" w:color="auto"/>
              <w:right w:val="nil"/>
            </w:tcBorders>
            <w:shd w:val="clear" w:color="auto" w:fill="auto"/>
            <w:vAlign w:val="bottom"/>
            <w:hideMark/>
          </w:tcPr>
          <w:p w14:paraId="7D1FD813" w14:textId="77777777" w:rsidR="005020AA" w:rsidRPr="00226892" w:rsidRDefault="005020AA" w:rsidP="00061978">
            <w:pPr>
              <w:jc w:val="center"/>
              <w:rPr>
                <w:rFonts w:ascii="Arial" w:eastAsia="Times New Roman" w:hAnsi="Arial" w:cs="Arial"/>
                <w:b/>
                <w:bCs/>
                <w:color w:val="000000"/>
                <w:sz w:val="18"/>
                <w:szCs w:val="18"/>
                <w:lang w:val="sk-SK" w:eastAsia="sk-SK"/>
              </w:rPr>
            </w:pPr>
          </w:p>
        </w:tc>
        <w:tc>
          <w:tcPr>
            <w:tcW w:w="767" w:type="pct"/>
            <w:tcBorders>
              <w:top w:val="nil"/>
              <w:left w:val="nil"/>
              <w:bottom w:val="single" w:sz="4" w:space="0" w:color="auto"/>
              <w:right w:val="nil"/>
            </w:tcBorders>
            <w:shd w:val="clear" w:color="auto" w:fill="auto"/>
            <w:vAlign w:val="bottom"/>
            <w:hideMark/>
          </w:tcPr>
          <w:p w14:paraId="6A01D15A" w14:textId="6E87363A" w:rsidR="005020AA" w:rsidRPr="00226892" w:rsidRDefault="005020AA" w:rsidP="00061978">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Vlastné akcie</w:t>
            </w:r>
          </w:p>
          <w:p w14:paraId="49B14B8F" w14:textId="5720B9A3" w:rsidR="005020AA" w:rsidRPr="00226892" w:rsidRDefault="005020AA" w:rsidP="00061978">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(v tis. EUR)</w:t>
            </w:r>
          </w:p>
        </w:tc>
        <w:tc>
          <w:tcPr>
            <w:tcW w:w="82" w:type="pct"/>
            <w:tcBorders>
              <w:top w:val="nil"/>
              <w:left w:val="nil"/>
              <w:bottom w:val="single" w:sz="4" w:space="0" w:color="auto"/>
              <w:right w:val="nil"/>
            </w:tcBorders>
            <w:shd w:val="clear" w:color="auto" w:fill="auto"/>
            <w:vAlign w:val="bottom"/>
            <w:hideMark/>
          </w:tcPr>
          <w:p w14:paraId="31AC9420" w14:textId="77777777" w:rsidR="005020AA" w:rsidRPr="00226892" w:rsidRDefault="005020AA" w:rsidP="00061978">
            <w:pPr>
              <w:jc w:val="center"/>
              <w:rPr>
                <w:rFonts w:ascii="Arial" w:eastAsia="Times New Roman" w:hAnsi="Arial" w:cs="Arial"/>
                <w:b/>
                <w:bCs/>
                <w:color w:val="000000"/>
                <w:sz w:val="18"/>
                <w:szCs w:val="18"/>
                <w:lang w:val="sk-SK" w:eastAsia="sk-SK"/>
              </w:rPr>
            </w:pPr>
          </w:p>
        </w:tc>
        <w:tc>
          <w:tcPr>
            <w:tcW w:w="1185" w:type="pct"/>
            <w:tcBorders>
              <w:top w:val="nil"/>
              <w:left w:val="nil"/>
              <w:bottom w:val="single" w:sz="4" w:space="0" w:color="auto"/>
              <w:right w:val="nil"/>
            </w:tcBorders>
            <w:shd w:val="clear" w:color="auto" w:fill="auto"/>
            <w:vAlign w:val="bottom"/>
            <w:hideMark/>
          </w:tcPr>
          <w:p w14:paraId="2912DCA4" w14:textId="77777777" w:rsidR="005020AA" w:rsidRPr="00226892" w:rsidRDefault="005020AA" w:rsidP="00061978">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Spolu</w:t>
            </w:r>
          </w:p>
          <w:p w14:paraId="44BB6E09" w14:textId="53A747BC" w:rsidR="005020AA" w:rsidRPr="00226892" w:rsidRDefault="005020AA" w:rsidP="00061978">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(v tis. EUR)</w:t>
            </w:r>
          </w:p>
        </w:tc>
      </w:tr>
      <w:tr w:rsidR="00D825B1" w:rsidRPr="00226892" w14:paraId="7FB758BE" w14:textId="77777777" w:rsidTr="00061978">
        <w:trPr>
          <w:trHeight w:val="227"/>
        </w:trPr>
        <w:tc>
          <w:tcPr>
            <w:tcW w:w="1185" w:type="pct"/>
            <w:tcBorders>
              <w:top w:val="single" w:sz="4" w:space="0" w:color="auto"/>
              <w:left w:val="nil"/>
              <w:bottom w:val="nil"/>
              <w:right w:val="nil"/>
            </w:tcBorders>
            <w:shd w:val="clear" w:color="auto" w:fill="auto"/>
            <w:vAlign w:val="center"/>
            <w:hideMark/>
          </w:tcPr>
          <w:p w14:paraId="40764491" w14:textId="43B4623C" w:rsidR="00D825B1" w:rsidRPr="00226892" w:rsidRDefault="00D825B1" w:rsidP="0006197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Stav k</w:t>
            </w:r>
            <w:r w:rsidR="002E6AB4" w:rsidRPr="00226892">
              <w:rPr>
                <w:rFonts w:ascii="Arial" w:eastAsia="Times New Roman" w:hAnsi="Arial" w:cs="Arial"/>
                <w:color w:val="000000"/>
                <w:sz w:val="18"/>
                <w:szCs w:val="18"/>
                <w:lang w:val="sk-SK" w:eastAsia="sk-SK"/>
              </w:rPr>
              <w:t xml:space="preserve"> 1. januáru </w:t>
            </w:r>
            <w:r w:rsidR="00F63A77" w:rsidRPr="00226892">
              <w:rPr>
                <w:rFonts w:ascii="Arial" w:eastAsia="Times New Roman" w:hAnsi="Arial" w:cs="Arial"/>
                <w:color w:val="000000"/>
                <w:sz w:val="18"/>
                <w:szCs w:val="18"/>
                <w:lang w:val="sk-SK" w:eastAsia="sk-SK"/>
              </w:rPr>
              <w:t>2017</w:t>
            </w:r>
          </w:p>
        </w:tc>
        <w:tc>
          <w:tcPr>
            <w:tcW w:w="82" w:type="pct"/>
            <w:tcBorders>
              <w:top w:val="single" w:sz="4" w:space="0" w:color="auto"/>
              <w:left w:val="nil"/>
              <w:bottom w:val="nil"/>
              <w:right w:val="nil"/>
            </w:tcBorders>
            <w:shd w:val="clear" w:color="auto" w:fill="auto"/>
            <w:vAlign w:val="bottom"/>
            <w:hideMark/>
          </w:tcPr>
          <w:p w14:paraId="14314BBD" w14:textId="77777777" w:rsidR="00D825B1" w:rsidRPr="00226892" w:rsidRDefault="00D825B1" w:rsidP="00061978">
            <w:pPr>
              <w:rPr>
                <w:rFonts w:ascii="Arial" w:eastAsia="Times New Roman" w:hAnsi="Arial" w:cs="Arial"/>
                <w:color w:val="000000"/>
                <w:sz w:val="18"/>
                <w:szCs w:val="18"/>
                <w:lang w:val="sk-SK" w:eastAsia="sk-SK"/>
              </w:rPr>
            </w:pPr>
          </w:p>
        </w:tc>
        <w:tc>
          <w:tcPr>
            <w:tcW w:w="711" w:type="pct"/>
            <w:gridSpan w:val="2"/>
            <w:tcBorders>
              <w:top w:val="single" w:sz="4" w:space="0" w:color="auto"/>
              <w:left w:val="nil"/>
              <w:bottom w:val="nil"/>
              <w:right w:val="nil"/>
            </w:tcBorders>
            <w:shd w:val="clear" w:color="auto" w:fill="auto"/>
            <w:vAlign w:val="center"/>
            <w:hideMark/>
          </w:tcPr>
          <w:p w14:paraId="42335C10" w14:textId="77777777" w:rsidR="00D825B1" w:rsidRPr="00226892" w:rsidRDefault="00D825B1" w:rsidP="0006197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338</w:t>
            </w:r>
          </w:p>
        </w:tc>
        <w:tc>
          <w:tcPr>
            <w:tcW w:w="90" w:type="pct"/>
            <w:tcBorders>
              <w:top w:val="single" w:sz="4" w:space="0" w:color="auto"/>
              <w:left w:val="nil"/>
              <w:bottom w:val="nil"/>
              <w:right w:val="nil"/>
            </w:tcBorders>
            <w:shd w:val="clear" w:color="auto" w:fill="auto"/>
            <w:vAlign w:val="bottom"/>
            <w:hideMark/>
          </w:tcPr>
          <w:p w14:paraId="475FB9D0" w14:textId="77777777" w:rsidR="00D825B1" w:rsidRPr="00226892" w:rsidRDefault="00D825B1" w:rsidP="00061978">
            <w:pPr>
              <w:jc w:val="right"/>
              <w:rPr>
                <w:rFonts w:ascii="Arial" w:eastAsia="Times New Roman" w:hAnsi="Arial" w:cs="Arial"/>
                <w:color w:val="000000"/>
                <w:sz w:val="18"/>
                <w:szCs w:val="18"/>
                <w:lang w:val="sk-SK" w:eastAsia="sk-SK"/>
              </w:rPr>
            </w:pPr>
          </w:p>
        </w:tc>
        <w:tc>
          <w:tcPr>
            <w:tcW w:w="816" w:type="pct"/>
            <w:tcBorders>
              <w:top w:val="single" w:sz="4" w:space="0" w:color="auto"/>
              <w:left w:val="nil"/>
              <w:bottom w:val="nil"/>
              <w:right w:val="nil"/>
            </w:tcBorders>
            <w:shd w:val="clear" w:color="auto" w:fill="auto"/>
            <w:vAlign w:val="center"/>
            <w:hideMark/>
          </w:tcPr>
          <w:p w14:paraId="3E683EE6" w14:textId="77777777" w:rsidR="00D825B1" w:rsidRPr="00226892" w:rsidRDefault="00D825B1" w:rsidP="0006197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20 448</w:t>
            </w:r>
          </w:p>
        </w:tc>
        <w:tc>
          <w:tcPr>
            <w:tcW w:w="82" w:type="pct"/>
            <w:tcBorders>
              <w:top w:val="single" w:sz="4" w:space="0" w:color="auto"/>
              <w:left w:val="nil"/>
              <w:bottom w:val="nil"/>
              <w:right w:val="nil"/>
            </w:tcBorders>
            <w:shd w:val="clear" w:color="auto" w:fill="auto"/>
            <w:vAlign w:val="bottom"/>
            <w:hideMark/>
          </w:tcPr>
          <w:p w14:paraId="4041CB55" w14:textId="77777777" w:rsidR="00D825B1" w:rsidRPr="00226892" w:rsidRDefault="00D825B1" w:rsidP="00061978">
            <w:pPr>
              <w:jc w:val="right"/>
              <w:rPr>
                <w:rFonts w:ascii="Arial" w:eastAsia="Times New Roman" w:hAnsi="Arial" w:cs="Arial"/>
                <w:color w:val="000000"/>
                <w:sz w:val="18"/>
                <w:szCs w:val="18"/>
                <w:lang w:val="sk-SK" w:eastAsia="sk-SK"/>
              </w:rPr>
            </w:pPr>
          </w:p>
        </w:tc>
        <w:tc>
          <w:tcPr>
            <w:tcW w:w="767" w:type="pct"/>
            <w:tcBorders>
              <w:top w:val="single" w:sz="4" w:space="0" w:color="auto"/>
              <w:left w:val="nil"/>
              <w:bottom w:val="nil"/>
              <w:right w:val="nil"/>
            </w:tcBorders>
            <w:shd w:val="clear" w:color="auto" w:fill="auto"/>
            <w:vAlign w:val="center"/>
            <w:hideMark/>
          </w:tcPr>
          <w:p w14:paraId="37224430" w14:textId="04B78A55" w:rsidR="00D825B1" w:rsidRPr="00226892" w:rsidRDefault="004E18FE" w:rsidP="00061978">
            <w:pPr>
              <w:jc w:val="right"/>
              <w:rPr>
                <w:rFonts w:ascii="Arial" w:eastAsia="Times New Roman" w:hAnsi="Arial" w:cs="Arial"/>
                <w:lang w:val="sk-SK" w:eastAsia="sk-SK"/>
              </w:rPr>
            </w:pPr>
            <w:r w:rsidRPr="00226892">
              <w:rPr>
                <w:rFonts w:ascii="Arial" w:eastAsia="Times New Roman" w:hAnsi="Arial" w:cs="Arial"/>
                <w:lang w:val="sk-SK" w:eastAsia="sk-SK"/>
              </w:rPr>
              <w:t>-64</w:t>
            </w:r>
          </w:p>
        </w:tc>
        <w:tc>
          <w:tcPr>
            <w:tcW w:w="82" w:type="pct"/>
            <w:tcBorders>
              <w:top w:val="single" w:sz="4" w:space="0" w:color="auto"/>
              <w:left w:val="nil"/>
              <w:bottom w:val="nil"/>
              <w:right w:val="nil"/>
            </w:tcBorders>
            <w:shd w:val="clear" w:color="auto" w:fill="auto"/>
            <w:vAlign w:val="bottom"/>
            <w:hideMark/>
          </w:tcPr>
          <w:p w14:paraId="389EA3C7" w14:textId="77777777" w:rsidR="00D825B1" w:rsidRPr="00226892" w:rsidRDefault="00D825B1" w:rsidP="00061978">
            <w:pPr>
              <w:jc w:val="right"/>
              <w:rPr>
                <w:rFonts w:ascii="Arial" w:eastAsia="Times New Roman" w:hAnsi="Arial" w:cs="Arial"/>
                <w:lang w:val="sk-SK" w:eastAsia="sk-SK"/>
              </w:rPr>
            </w:pPr>
          </w:p>
        </w:tc>
        <w:tc>
          <w:tcPr>
            <w:tcW w:w="1185" w:type="pct"/>
            <w:tcBorders>
              <w:top w:val="single" w:sz="4" w:space="0" w:color="auto"/>
              <w:left w:val="nil"/>
              <w:bottom w:val="nil"/>
              <w:right w:val="nil"/>
            </w:tcBorders>
            <w:shd w:val="clear" w:color="auto" w:fill="auto"/>
            <w:vAlign w:val="center"/>
            <w:hideMark/>
          </w:tcPr>
          <w:p w14:paraId="38FDE7EE" w14:textId="26F61944" w:rsidR="00D825B1" w:rsidRPr="00226892" w:rsidRDefault="00D825B1" w:rsidP="0006197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20 </w:t>
            </w:r>
            <w:r w:rsidR="004E18FE" w:rsidRPr="00226892">
              <w:rPr>
                <w:rFonts w:ascii="Arial" w:eastAsia="Times New Roman" w:hAnsi="Arial" w:cs="Arial"/>
                <w:color w:val="000000"/>
                <w:sz w:val="18"/>
                <w:szCs w:val="18"/>
                <w:lang w:val="sk-SK" w:eastAsia="sk-SK"/>
              </w:rPr>
              <w:t>384</w:t>
            </w:r>
          </w:p>
        </w:tc>
      </w:tr>
      <w:tr w:rsidR="00D825B1" w:rsidRPr="00226892" w14:paraId="7F3E273C" w14:textId="77777777" w:rsidTr="00061978">
        <w:trPr>
          <w:trHeight w:val="227"/>
        </w:trPr>
        <w:tc>
          <w:tcPr>
            <w:tcW w:w="1185" w:type="pct"/>
            <w:tcBorders>
              <w:top w:val="nil"/>
              <w:left w:val="nil"/>
              <w:bottom w:val="nil"/>
              <w:right w:val="nil"/>
            </w:tcBorders>
            <w:shd w:val="clear" w:color="auto" w:fill="auto"/>
            <w:vAlign w:val="center"/>
            <w:hideMark/>
          </w:tcPr>
          <w:p w14:paraId="37D47593" w14:textId="7A2963D9" w:rsidR="00D825B1" w:rsidRPr="00226892" w:rsidRDefault="00D825B1" w:rsidP="00061978">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Stav k</w:t>
            </w:r>
            <w:r w:rsidR="002E6AB4" w:rsidRPr="00226892">
              <w:rPr>
                <w:rFonts w:ascii="Arial" w:eastAsia="Times New Roman" w:hAnsi="Arial" w:cs="Arial"/>
                <w:b/>
                <w:bCs/>
                <w:color w:val="000000"/>
                <w:sz w:val="18"/>
                <w:szCs w:val="18"/>
                <w:lang w:val="sk-SK" w:eastAsia="sk-SK"/>
              </w:rPr>
              <w:t> </w:t>
            </w:r>
            <w:r w:rsidRPr="00226892">
              <w:rPr>
                <w:rFonts w:ascii="Arial" w:eastAsia="Times New Roman" w:hAnsi="Arial" w:cs="Arial"/>
                <w:b/>
                <w:bCs/>
                <w:color w:val="000000"/>
                <w:sz w:val="18"/>
                <w:szCs w:val="18"/>
                <w:lang w:val="sk-SK" w:eastAsia="sk-SK"/>
              </w:rPr>
              <w:t>31</w:t>
            </w:r>
            <w:r w:rsidR="002E6AB4" w:rsidRPr="00226892">
              <w:rPr>
                <w:rFonts w:ascii="Arial" w:eastAsia="Times New Roman" w:hAnsi="Arial" w:cs="Arial"/>
                <w:b/>
                <w:bCs/>
                <w:color w:val="000000"/>
                <w:sz w:val="18"/>
                <w:szCs w:val="18"/>
                <w:lang w:val="sk-SK" w:eastAsia="sk-SK"/>
              </w:rPr>
              <w:t xml:space="preserve">. decembru </w:t>
            </w:r>
            <w:r w:rsidR="00F63A77" w:rsidRPr="00226892">
              <w:rPr>
                <w:rFonts w:ascii="Arial" w:eastAsia="Times New Roman" w:hAnsi="Arial" w:cs="Arial"/>
                <w:b/>
                <w:bCs/>
                <w:color w:val="000000"/>
                <w:sz w:val="18"/>
                <w:szCs w:val="18"/>
                <w:lang w:val="sk-SK" w:eastAsia="sk-SK"/>
              </w:rPr>
              <w:t>2017</w:t>
            </w:r>
          </w:p>
        </w:tc>
        <w:tc>
          <w:tcPr>
            <w:tcW w:w="82" w:type="pct"/>
            <w:tcBorders>
              <w:top w:val="nil"/>
              <w:left w:val="nil"/>
              <w:bottom w:val="nil"/>
              <w:right w:val="nil"/>
            </w:tcBorders>
            <w:shd w:val="clear" w:color="auto" w:fill="auto"/>
            <w:vAlign w:val="bottom"/>
            <w:hideMark/>
          </w:tcPr>
          <w:p w14:paraId="6CAF4850" w14:textId="77777777" w:rsidR="00D825B1" w:rsidRPr="00226892" w:rsidRDefault="00D825B1" w:rsidP="00061978">
            <w:pPr>
              <w:rPr>
                <w:rFonts w:ascii="Arial" w:eastAsia="Times New Roman" w:hAnsi="Arial" w:cs="Arial"/>
                <w:b/>
                <w:bCs/>
                <w:color w:val="000000"/>
                <w:sz w:val="18"/>
                <w:szCs w:val="18"/>
                <w:lang w:val="sk-SK" w:eastAsia="sk-SK"/>
              </w:rPr>
            </w:pPr>
          </w:p>
        </w:tc>
        <w:tc>
          <w:tcPr>
            <w:tcW w:w="711" w:type="pct"/>
            <w:gridSpan w:val="2"/>
            <w:tcBorders>
              <w:top w:val="single" w:sz="8" w:space="0" w:color="auto"/>
              <w:left w:val="nil"/>
              <w:bottom w:val="double" w:sz="6" w:space="0" w:color="auto"/>
              <w:right w:val="nil"/>
            </w:tcBorders>
            <w:shd w:val="clear" w:color="auto" w:fill="auto"/>
            <w:vAlign w:val="center"/>
            <w:hideMark/>
          </w:tcPr>
          <w:p w14:paraId="1B7622F2" w14:textId="5F6A6F49" w:rsidR="00D825B1" w:rsidRPr="00226892" w:rsidRDefault="002E6AB4" w:rsidP="0006197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br/>
            </w:r>
            <w:r w:rsidR="00D825B1" w:rsidRPr="00226892">
              <w:rPr>
                <w:rFonts w:ascii="Arial" w:eastAsia="Times New Roman" w:hAnsi="Arial" w:cs="Arial"/>
                <w:b/>
                <w:bCs/>
                <w:color w:val="000000"/>
                <w:sz w:val="18"/>
                <w:szCs w:val="18"/>
                <w:lang w:val="sk-SK" w:eastAsia="sk-SK"/>
              </w:rPr>
              <w:t>338</w:t>
            </w:r>
          </w:p>
        </w:tc>
        <w:tc>
          <w:tcPr>
            <w:tcW w:w="90" w:type="pct"/>
            <w:tcBorders>
              <w:top w:val="nil"/>
              <w:left w:val="nil"/>
              <w:bottom w:val="nil"/>
              <w:right w:val="nil"/>
            </w:tcBorders>
            <w:shd w:val="clear" w:color="auto" w:fill="auto"/>
            <w:vAlign w:val="bottom"/>
            <w:hideMark/>
          </w:tcPr>
          <w:p w14:paraId="1E275763" w14:textId="77777777" w:rsidR="00D825B1" w:rsidRPr="00226892" w:rsidRDefault="00D825B1" w:rsidP="00061978">
            <w:pPr>
              <w:jc w:val="right"/>
              <w:rPr>
                <w:rFonts w:ascii="Arial" w:eastAsia="Times New Roman" w:hAnsi="Arial" w:cs="Arial"/>
                <w:b/>
                <w:bCs/>
                <w:color w:val="000000"/>
                <w:sz w:val="18"/>
                <w:szCs w:val="18"/>
                <w:lang w:val="sk-SK" w:eastAsia="sk-SK"/>
              </w:rPr>
            </w:pPr>
          </w:p>
        </w:tc>
        <w:tc>
          <w:tcPr>
            <w:tcW w:w="816" w:type="pct"/>
            <w:tcBorders>
              <w:top w:val="single" w:sz="8" w:space="0" w:color="auto"/>
              <w:left w:val="nil"/>
              <w:bottom w:val="double" w:sz="6" w:space="0" w:color="auto"/>
              <w:right w:val="nil"/>
            </w:tcBorders>
            <w:shd w:val="clear" w:color="auto" w:fill="auto"/>
            <w:vAlign w:val="center"/>
            <w:hideMark/>
          </w:tcPr>
          <w:p w14:paraId="665030A7" w14:textId="113C230E" w:rsidR="00D825B1" w:rsidRPr="00226892" w:rsidRDefault="002E6AB4" w:rsidP="0006197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br/>
            </w:r>
            <w:r w:rsidR="00D825B1" w:rsidRPr="00226892">
              <w:rPr>
                <w:rFonts w:ascii="Arial" w:eastAsia="Times New Roman" w:hAnsi="Arial" w:cs="Arial"/>
                <w:b/>
                <w:bCs/>
                <w:color w:val="000000"/>
                <w:sz w:val="18"/>
                <w:szCs w:val="18"/>
                <w:lang w:val="sk-SK" w:eastAsia="sk-SK"/>
              </w:rPr>
              <w:t>20 448</w:t>
            </w:r>
          </w:p>
        </w:tc>
        <w:tc>
          <w:tcPr>
            <w:tcW w:w="82" w:type="pct"/>
            <w:tcBorders>
              <w:top w:val="nil"/>
              <w:left w:val="nil"/>
              <w:bottom w:val="nil"/>
              <w:right w:val="nil"/>
            </w:tcBorders>
            <w:shd w:val="clear" w:color="auto" w:fill="auto"/>
            <w:vAlign w:val="bottom"/>
            <w:hideMark/>
          </w:tcPr>
          <w:p w14:paraId="2D675FA5" w14:textId="77777777" w:rsidR="00D825B1" w:rsidRPr="00226892" w:rsidRDefault="00D825B1" w:rsidP="00061978">
            <w:pPr>
              <w:jc w:val="right"/>
              <w:rPr>
                <w:rFonts w:ascii="Arial" w:eastAsia="Times New Roman" w:hAnsi="Arial" w:cs="Arial"/>
                <w:b/>
                <w:bCs/>
                <w:color w:val="000000"/>
                <w:sz w:val="18"/>
                <w:szCs w:val="18"/>
                <w:lang w:val="sk-SK" w:eastAsia="sk-SK"/>
              </w:rPr>
            </w:pPr>
          </w:p>
        </w:tc>
        <w:tc>
          <w:tcPr>
            <w:tcW w:w="767" w:type="pct"/>
            <w:tcBorders>
              <w:top w:val="single" w:sz="8" w:space="0" w:color="auto"/>
              <w:left w:val="nil"/>
              <w:bottom w:val="double" w:sz="6" w:space="0" w:color="auto"/>
              <w:right w:val="nil"/>
            </w:tcBorders>
            <w:shd w:val="clear" w:color="auto" w:fill="auto"/>
            <w:vAlign w:val="center"/>
            <w:hideMark/>
          </w:tcPr>
          <w:p w14:paraId="71CD02C6" w14:textId="4B199A44" w:rsidR="00D825B1" w:rsidRPr="00226892" w:rsidRDefault="002E6AB4" w:rsidP="0006197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br/>
            </w:r>
            <w:r w:rsidR="004E18FE" w:rsidRPr="00226892">
              <w:rPr>
                <w:rFonts w:ascii="Arial" w:eastAsia="Times New Roman" w:hAnsi="Arial" w:cs="Arial"/>
                <w:b/>
                <w:bCs/>
                <w:color w:val="000000"/>
                <w:sz w:val="18"/>
                <w:szCs w:val="18"/>
                <w:lang w:val="sk-SK" w:eastAsia="sk-SK"/>
              </w:rPr>
              <w:t>-64</w:t>
            </w:r>
            <w:r w:rsidR="00D825B1" w:rsidRPr="00226892">
              <w:rPr>
                <w:rFonts w:ascii="Arial" w:eastAsia="Times New Roman" w:hAnsi="Arial" w:cs="Arial"/>
                <w:b/>
                <w:bCs/>
                <w:color w:val="000000"/>
                <w:sz w:val="18"/>
                <w:szCs w:val="18"/>
                <w:lang w:val="sk-SK" w:eastAsia="sk-SK"/>
              </w:rPr>
              <w:t> </w:t>
            </w:r>
          </w:p>
        </w:tc>
        <w:tc>
          <w:tcPr>
            <w:tcW w:w="82" w:type="pct"/>
            <w:tcBorders>
              <w:top w:val="nil"/>
              <w:left w:val="nil"/>
              <w:bottom w:val="nil"/>
              <w:right w:val="nil"/>
            </w:tcBorders>
            <w:shd w:val="clear" w:color="auto" w:fill="auto"/>
            <w:vAlign w:val="bottom"/>
            <w:hideMark/>
          </w:tcPr>
          <w:p w14:paraId="60F04ADB" w14:textId="77777777" w:rsidR="00D825B1" w:rsidRPr="00226892" w:rsidRDefault="00D825B1" w:rsidP="00061978">
            <w:pPr>
              <w:jc w:val="right"/>
              <w:rPr>
                <w:rFonts w:ascii="Arial" w:eastAsia="Times New Roman" w:hAnsi="Arial" w:cs="Arial"/>
                <w:b/>
                <w:bCs/>
                <w:color w:val="000000"/>
                <w:sz w:val="18"/>
                <w:szCs w:val="18"/>
                <w:lang w:val="sk-SK" w:eastAsia="sk-SK"/>
              </w:rPr>
            </w:pPr>
          </w:p>
        </w:tc>
        <w:tc>
          <w:tcPr>
            <w:tcW w:w="1185" w:type="pct"/>
            <w:tcBorders>
              <w:top w:val="single" w:sz="8" w:space="0" w:color="auto"/>
              <w:left w:val="nil"/>
              <w:bottom w:val="double" w:sz="6" w:space="0" w:color="auto"/>
              <w:right w:val="nil"/>
            </w:tcBorders>
            <w:shd w:val="clear" w:color="auto" w:fill="auto"/>
            <w:vAlign w:val="center"/>
            <w:hideMark/>
          </w:tcPr>
          <w:p w14:paraId="7D74A72B" w14:textId="303FF5CD" w:rsidR="00D825B1" w:rsidRPr="00226892" w:rsidRDefault="002E6AB4" w:rsidP="0006197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br/>
            </w:r>
            <w:r w:rsidR="00D825B1" w:rsidRPr="00226892">
              <w:rPr>
                <w:rFonts w:ascii="Arial" w:eastAsia="Times New Roman" w:hAnsi="Arial" w:cs="Arial"/>
                <w:b/>
                <w:bCs/>
                <w:color w:val="000000"/>
                <w:sz w:val="18"/>
                <w:szCs w:val="18"/>
                <w:lang w:val="sk-SK" w:eastAsia="sk-SK"/>
              </w:rPr>
              <w:t xml:space="preserve">20 </w:t>
            </w:r>
            <w:r w:rsidR="004E18FE" w:rsidRPr="00226892">
              <w:rPr>
                <w:rFonts w:ascii="Arial" w:eastAsia="Times New Roman" w:hAnsi="Arial" w:cs="Arial"/>
                <w:b/>
                <w:bCs/>
                <w:color w:val="000000"/>
                <w:sz w:val="18"/>
                <w:szCs w:val="18"/>
                <w:lang w:val="sk-SK" w:eastAsia="sk-SK"/>
              </w:rPr>
              <w:t>384</w:t>
            </w:r>
          </w:p>
        </w:tc>
      </w:tr>
      <w:tr w:rsidR="00D825B1" w:rsidRPr="00226892" w14:paraId="1DB738FC" w14:textId="77777777" w:rsidTr="00061978">
        <w:trPr>
          <w:trHeight w:val="227"/>
        </w:trPr>
        <w:tc>
          <w:tcPr>
            <w:tcW w:w="1185" w:type="pct"/>
            <w:tcBorders>
              <w:top w:val="nil"/>
              <w:left w:val="nil"/>
              <w:bottom w:val="nil"/>
              <w:right w:val="nil"/>
            </w:tcBorders>
            <w:shd w:val="clear" w:color="auto" w:fill="auto"/>
            <w:vAlign w:val="bottom"/>
            <w:hideMark/>
          </w:tcPr>
          <w:p w14:paraId="0E742A80" w14:textId="77777777" w:rsidR="00D825B1" w:rsidRPr="00226892" w:rsidRDefault="00D825B1" w:rsidP="00061978">
            <w:pPr>
              <w:jc w:val="right"/>
              <w:rPr>
                <w:rFonts w:ascii="Arial" w:eastAsia="Times New Roman" w:hAnsi="Arial" w:cs="Arial"/>
                <w:b/>
                <w:bCs/>
                <w:color w:val="000000"/>
                <w:sz w:val="18"/>
                <w:szCs w:val="18"/>
                <w:lang w:val="sk-SK" w:eastAsia="sk-SK"/>
              </w:rPr>
            </w:pPr>
          </w:p>
        </w:tc>
        <w:tc>
          <w:tcPr>
            <w:tcW w:w="82" w:type="pct"/>
            <w:tcBorders>
              <w:top w:val="nil"/>
              <w:left w:val="nil"/>
              <w:bottom w:val="nil"/>
              <w:right w:val="nil"/>
            </w:tcBorders>
            <w:shd w:val="clear" w:color="auto" w:fill="auto"/>
            <w:vAlign w:val="bottom"/>
            <w:hideMark/>
          </w:tcPr>
          <w:p w14:paraId="198F342A" w14:textId="77777777" w:rsidR="00D825B1" w:rsidRPr="00226892" w:rsidRDefault="00D825B1" w:rsidP="00061978">
            <w:pPr>
              <w:rPr>
                <w:rFonts w:ascii="Arial" w:eastAsia="Times New Roman" w:hAnsi="Arial" w:cs="Arial"/>
                <w:lang w:val="sk-SK" w:eastAsia="sk-SK"/>
              </w:rPr>
            </w:pPr>
          </w:p>
        </w:tc>
        <w:tc>
          <w:tcPr>
            <w:tcW w:w="711" w:type="pct"/>
            <w:gridSpan w:val="2"/>
            <w:tcBorders>
              <w:top w:val="nil"/>
              <w:left w:val="nil"/>
              <w:bottom w:val="nil"/>
              <w:right w:val="nil"/>
            </w:tcBorders>
            <w:shd w:val="clear" w:color="auto" w:fill="auto"/>
            <w:vAlign w:val="bottom"/>
            <w:hideMark/>
          </w:tcPr>
          <w:p w14:paraId="25D0E38F" w14:textId="77777777" w:rsidR="00D825B1" w:rsidRPr="00226892" w:rsidRDefault="00D825B1" w:rsidP="00061978">
            <w:pPr>
              <w:rPr>
                <w:rFonts w:ascii="Arial" w:eastAsia="Times New Roman" w:hAnsi="Arial" w:cs="Arial"/>
                <w:lang w:val="sk-SK" w:eastAsia="sk-SK"/>
              </w:rPr>
            </w:pPr>
          </w:p>
        </w:tc>
        <w:tc>
          <w:tcPr>
            <w:tcW w:w="90" w:type="pct"/>
            <w:tcBorders>
              <w:top w:val="nil"/>
              <w:left w:val="nil"/>
              <w:bottom w:val="nil"/>
              <w:right w:val="nil"/>
            </w:tcBorders>
            <w:shd w:val="clear" w:color="auto" w:fill="auto"/>
            <w:vAlign w:val="bottom"/>
            <w:hideMark/>
          </w:tcPr>
          <w:p w14:paraId="59B6B68B" w14:textId="77777777" w:rsidR="00D825B1" w:rsidRPr="00226892" w:rsidRDefault="00D825B1" w:rsidP="00061978">
            <w:pPr>
              <w:rPr>
                <w:rFonts w:ascii="Arial" w:eastAsia="Times New Roman" w:hAnsi="Arial" w:cs="Arial"/>
                <w:lang w:val="sk-SK" w:eastAsia="sk-SK"/>
              </w:rPr>
            </w:pPr>
          </w:p>
        </w:tc>
        <w:tc>
          <w:tcPr>
            <w:tcW w:w="816" w:type="pct"/>
            <w:tcBorders>
              <w:top w:val="nil"/>
              <w:left w:val="nil"/>
              <w:bottom w:val="nil"/>
              <w:right w:val="nil"/>
            </w:tcBorders>
            <w:shd w:val="clear" w:color="auto" w:fill="auto"/>
            <w:vAlign w:val="bottom"/>
            <w:hideMark/>
          </w:tcPr>
          <w:p w14:paraId="5185EB48" w14:textId="77777777" w:rsidR="00D825B1" w:rsidRPr="00226892" w:rsidRDefault="00D825B1" w:rsidP="00061978">
            <w:pPr>
              <w:rPr>
                <w:rFonts w:ascii="Arial" w:eastAsia="Times New Roman" w:hAnsi="Arial" w:cs="Arial"/>
                <w:lang w:val="sk-SK" w:eastAsia="sk-SK"/>
              </w:rPr>
            </w:pPr>
          </w:p>
        </w:tc>
        <w:tc>
          <w:tcPr>
            <w:tcW w:w="82" w:type="pct"/>
            <w:tcBorders>
              <w:top w:val="nil"/>
              <w:left w:val="nil"/>
              <w:bottom w:val="nil"/>
              <w:right w:val="nil"/>
            </w:tcBorders>
            <w:shd w:val="clear" w:color="auto" w:fill="auto"/>
            <w:vAlign w:val="bottom"/>
            <w:hideMark/>
          </w:tcPr>
          <w:p w14:paraId="199FFB81" w14:textId="77777777" w:rsidR="00D825B1" w:rsidRPr="00226892" w:rsidRDefault="00D825B1" w:rsidP="00061978">
            <w:pPr>
              <w:rPr>
                <w:rFonts w:ascii="Arial" w:eastAsia="Times New Roman" w:hAnsi="Arial" w:cs="Arial"/>
                <w:lang w:val="sk-SK" w:eastAsia="sk-SK"/>
              </w:rPr>
            </w:pPr>
          </w:p>
        </w:tc>
        <w:tc>
          <w:tcPr>
            <w:tcW w:w="767" w:type="pct"/>
            <w:tcBorders>
              <w:top w:val="nil"/>
              <w:left w:val="nil"/>
              <w:bottom w:val="nil"/>
              <w:right w:val="nil"/>
            </w:tcBorders>
            <w:shd w:val="clear" w:color="auto" w:fill="auto"/>
            <w:vAlign w:val="bottom"/>
            <w:hideMark/>
          </w:tcPr>
          <w:p w14:paraId="29804F3E" w14:textId="77777777" w:rsidR="00D825B1" w:rsidRPr="00226892" w:rsidRDefault="00D825B1" w:rsidP="00061978">
            <w:pPr>
              <w:jc w:val="right"/>
              <w:rPr>
                <w:rFonts w:ascii="Arial" w:eastAsia="Times New Roman" w:hAnsi="Arial" w:cs="Arial"/>
                <w:lang w:val="sk-SK" w:eastAsia="sk-SK"/>
              </w:rPr>
            </w:pPr>
          </w:p>
        </w:tc>
        <w:tc>
          <w:tcPr>
            <w:tcW w:w="82" w:type="pct"/>
            <w:tcBorders>
              <w:top w:val="nil"/>
              <w:left w:val="nil"/>
              <w:bottom w:val="nil"/>
              <w:right w:val="nil"/>
            </w:tcBorders>
            <w:shd w:val="clear" w:color="auto" w:fill="auto"/>
            <w:vAlign w:val="bottom"/>
            <w:hideMark/>
          </w:tcPr>
          <w:p w14:paraId="3A6CCD06" w14:textId="77777777" w:rsidR="00D825B1" w:rsidRPr="00226892" w:rsidRDefault="00D825B1" w:rsidP="00061978">
            <w:pPr>
              <w:rPr>
                <w:rFonts w:ascii="Arial" w:eastAsia="Times New Roman" w:hAnsi="Arial" w:cs="Arial"/>
                <w:lang w:val="sk-SK" w:eastAsia="sk-SK"/>
              </w:rPr>
            </w:pPr>
          </w:p>
        </w:tc>
        <w:tc>
          <w:tcPr>
            <w:tcW w:w="1185" w:type="pct"/>
            <w:tcBorders>
              <w:top w:val="nil"/>
              <w:left w:val="nil"/>
              <w:bottom w:val="nil"/>
              <w:right w:val="nil"/>
            </w:tcBorders>
            <w:shd w:val="clear" w:color="auto" w:fill="auto"/>
            <w:vAlign w:val="bottom"/>
            <w:hideMark/>
          </w:tcPr>
          <w:p w14:paraId="7B022E4D" w14:textId="77777777" w:rsidR="00D825B1" w:rsidRPr="00226892" w:rsidRDefault="00D825B1" w:rsidP="00061978">
            <w:pPr>
              <w:rPr>
                <w:rFonts w:ascii="Arial" w:eastAsia="Times New Roman" w:hAnsi="Arial" w:cs="Arial"/>
                <w:lang w:val="sk-SK" w:eastAsia="sk-SK"/>
              </w:rPr>
            </w:pPr>
          </w:p>
        </w:tc>
      </w:tr>
      <w:tr w:rsidR="00D825B1" w:rsidRPr="00226892" w14:paraId="3BAD776B" w14:textId="77777777" w:rsidTr="00061978">
        <w:trPr>
          <w:trHeight w:val="227"/>
        </w:trPr>
        <w:tc>
          <w:tcPr>
            <w:tcW w:w="1185" w:type="pct"/>
            <w:tcBorders>
              <w:top w:val="nil"/>
              <w:left w:val="nil"/>
              <w:bottom w:val="nil"/>
              <w:right w:val="nil"/>
            </w:tcBorders>
            <w:shd w:val="clear" w:color="auto" w:fill="auto"/>
            <w:vAlign w:val="center"/>
            <w:hideMark/>
          </w:tcPr>
          <w:p w14:paraId="1911DC83" w14:textId="20E863AF" w:rsidR="00D825B1" w:rsidRPr="00226892" w:rsidRDefault="00D825B1" w:rsidP="0006197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Stav k</w:t>
            </w:r>
            <w:r w:rsidR="002E6AB4" w:rsidRPr="00226892">
              <w:rPr>
                <w:rFonts w:ascii="Arial" w:eastAsia="Times New Roman" w:hAnsi="Arial" w:cs="Arial"/>
                <w:color w:val="000000"/>
                <w:sz w:val="18"/>
                <w:szCs w:val="18"/>
                <w:lang w:val="sk-SK" w:eastAsia="sk-SK"/>
              </w:rPr>
              <w:t xml:space="preserve"> 1. januáru </w:t>
            </w:r>
            <w:r w:rsidR="00FD3AC5" w:rsidRPr="00226892">
              <w:rPr>
                <w:rFonts w:ascii="Arial" w:eastAsia="Times New Roman" w:hAnsi="Arial" w:cs="Arial"/>
                <w:color w:val="000000"/>
                <w:sz w:val="18"/>
                <w:szCs w:val="18"/>
                <w:lang w:val="sk-SK" w:eastAsia="sk-SK"/>
              </w:rPr>
              <w:t>2018</w:t>
            </w:r>
          </w:p>
        </w:tc>
        <w:tc>
          <w:tcPr>
            <w:tcW w:w="82" w:type="pct"/>
            <w:tcBorders>
              <w:top w:val="nil"/>
              <w:left w:val="nil"/>
              <w:bottom w:val="nil"/>
              <w:right w:val="nil"/>
            </w:tcBorders>
            <w:shd w:val="clear" w:color="auto" w:fill="auto"/>
            <w:vAlign w:val="bottom"/>
            <w:hideMark/>
          </w:tcPr>
          <w:p w14:paraId="5D455392" w14:textId="77777777" w:rsidR="00D825B1" w:rsidRPr="00226892" w:rsidRDefault="00D825B1" w:rsidP="00061978">
            <w:pPr>
              <w:rPr>
                <w:rFonts w:ascii="Arial" w:eastAsia="Times New Roman" w:hAnsi="Arial" w:cs="Arial"/>
                <w:color w:val="000000"/>
                <w:sz w:val="18"/>
                <w:szCs w:val="18"/>
                <w:lang w:val="sk-SK" w:eastAsia="sk-SK"/>
              </w:rPr>
            </w:pPr>
          </w:p>
        </w:tc>
        <w:tc>
          <w:tcPr>
            <w:tcW w:w="711" w:type="pct"/>
            <w:gridSpan w:val="2"/>
            <w:tcBorders>
              <w:top w:val="nil"/>
              <w:left w:val="nil"/>
              <w:bottom w:val="nil"/>
              <w:right w:val="nil"/>
            </w:tcBorders>
            <w:shd w:val="clear" w:color="auto" w:fill="auto"/>
            <w:vAlign w:val="center"/>
            <w:hideMark/>
          </w:tcPr>
          <w:p w14:paraId="47A3FAE7" w14:textId="77777777" w:rsidR="00D825B1" w:rsidRPr="00226892" w:rsidRDefault="00D825B1" w:rsidP="0006197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338</w:t>
            </w:r>
          </w:p>
        </w:tc>
        <w:tc>
          <w:tcPr>
            <w:tcW w:w="90" w:type="pct"/>
            <w:tcBorders>
              <w:top w:val="nil"/>
              <w:left w:val="nil"/>
              <w:bottom w:val="nil"/>
              <w:right w:val="nil"/>
            </w:tcBorders>
            <w:shd w:val="clear" w:color="auto" w:fill="auto"/>
            <w:vAlign w:val="bottom"/>
            <w:hideMark/>
          </w:tcPr>
          <w:p w14:paraId="78DD5B36" w14:textId="77777777" w:rsidR="00D825B1" w:rsidRPr="00226892" w:rsidRDefault="00D825B1" w:rsidP="00061978">
            <w:pPr>
              <w:jc w:val="right"/>
              <w:rPr>
                <w:rFonts w:ascii="Arial" w:eastAsia="Times New Roman" w:hAnsi="Arial" w:cs="Arial"/>
                <w:color w:val="000000"/>
                <w:sz w:val="18"/>
                <w:szCs w:val="18"/>
                <w:lang w:val="sk-SK" w:eastAsia="sk-SK"/>
              </w:rPr>
            </w:pPr>
          </w:p>
        </w:tc>
        <w:tc>
          <w:tcPr>
            <w:tcW w:w="816" w:type="pct"/>
            <w:tcBorders>
              <w:top w:val="nil"/>
              <w:left w:val="nil"/>
              <w:bottom w:val="nil"/>
              <w:right w:val="nil"/>
            </w:tcBorders>
            <w:shd w:val="clear" w:color="auto" w:fill="auto"/>
            <w:vAlign w:val="center"/>
            <w:hideMark/>
          </w:tcPr>
          <w:p w14:paraId="5F012B04" w14:textId="77777777" w:rsidR="00D825B1" w:rsidRPr="00226892" w:rsidRDefault="00D825B1" w:rsidP="0006197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20 448</w:t>
            </w:r>
          </w:p>
        </w:tc>
        <w:tc>
          <w:tcPr>
            <w:tcW w:w="82" w:type="pct"/>
            <w:tcBorders>
              <w:top w:val="nil"/>
              <w:left w:val="nil"/>
              <w:bottom w:val="nil"/>
              <w:right w:val="nil"/>
            </w:tcBorders>
            <w:shd w:val="clear" w:color="auto" w:fill="auto"/>
            <w:vAlign w:val="bottom"/>
            <w:hideMark/>
          </w:tcPr>
          <w:p w14:paraId="4ADC10CB" w14:textId="77777777" w:rsidR="00D825B1" w:rsidRPr="00226892" w:rsidRDefault="00D825B1" w:rsidP="00061978">
            <w:pPr>
              <w:jc w:val="right"/>
              <w:rPr>
                <w:rFonts w:ascii="Arial" w:eastAsia="Times New Roman" w:hAnsi="Arial" w:cs="Arial"/>
                <w:color w:val="000000"/>
                <w:sz w:val="18"/>
                <w:szCs w:val="18"/>
                <w:lang w:val="sk-SK" w:eastAsia="sk-SK"/>
              </w:rPr>
            </w:pPr>
          </w:p>
        </w:tc>
        <w:tc>
          <w:tcPr>
            <w:tcW w:w="767" w:type="pct"/>
            <w:tcBorders>
              <w:top w:val="nil"/>
              <w:left w:val="nil"/>
              <w:bottom w:val="nil"/>
              <w:right w:val="nil"/>
            </w:tcBorders>
            <w:shd w:val="clear" w:color="auto" w:fill="auto"/>
            <w:vAlign w:val="center"/>
            <w:hideMark/>
          </w:tcPr>
          <w:p w14:paraId="777D1B80" w14:textId="1279C2DE" w:rsidR="00D825B1" w:rsidRPr="00226892" w:rsidRDefault="004E18FE" w:rsidP="00061978">
            <w:pPr>
              <w:jc w:val="right"/>
              <w:rPr>
                <w:rFonts w:ascii="Arial" w:eastAsia="Times New Roman" w:hAnsi="Arial" w:cs="Arial"/>
                <w:lang w:val="sk-SK" w:eastAsia="sk-SK"/>
              </w:rPr>
            </w:pPr>
            <w:r w:rsidRPr="00226892">
              <w:rPr>
                <w:rFonts w:ascii="Arial" w:eastAsia="Times New Roman" w:hAnsi="Arial" w:cs="Arial"/>
                <w:lang w:val="sk-SK" w:eastAsia="sk-SK"/>
              </w:rPr>
              <w:t>-64</w:t>
            </w:r>
          </w:p>
        </w:tc>
        <w:tc>
          <w:tcPr>
            <w:tcW w:w="82" w:type="pct"/>
            <w:tcBorders>
              <w:top w:val="nil"/>
              <w:left w:val="nil"/>
              <w:bottom w:val="nil"/>
              <w:right w:val="nil"/>
            </w:tcBorders>
            <w:shd w:val="clear" w:color="auto" w:fill="auto"/>
            <w:vAlign w:val="bottom"/>
            <w:hideMark/>
          </w:tcPr>
          <w:p w14:paraId="159502F3" w14:textId="77777777" w:rsidR="00D825B1" w:rsidRPr="00226892" w:rsidRDefault="00D825B1" w:rsidP="00061978">
            <w:pPr>
              <w:jc w:val="right"/>
              <w:rPr>
                <w:rFonts w:ascii="Arial" w:eastAsia="Times New Roman" w:hAnsi="Arial" w:cs="Arial"/>
                <w:lang w:val="sk-SK" w:eastAsia="sk-SK"/>
              </w:rPr>
            </w:pPr>
          </w:p>
        </w:tc>
        <w:tc>
          <w:tcPr>
            <w:tcW w:w="1185" w:type="pct"/>
            <w:tcBorders>
              <w:top w:val="nil"/>
              <w:left w:val="nil"/>
              <w:bottom w:val="nil"/>
              <w:right w:val="nil"/>
            </w:tcBorders>
            <w:shd w:val="clear" w:color="auto" w:fill="auto"/>
            <w:vAlign w:val="center"/>
            <w:hideMark/>
          </w:tcPr>
          <w:p w14:paraId="109EEB16" w14:textId="048EF5ED" w:rsidR="00D825B1" w:rsidRPr="00226892" w:rsidRDefault="00D825B1" w:rsidP="0006197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20 </w:t>
            </w:r>
            <w:r w:rsidR="004E18FE" w:rsidRPr="00226892">
              <w:rPr>
                <w:rFonts w:ascii="Arial" w:eastAsia="Times New Roman" w:hAnsi="Arial" w:cs="Arial"/>
                <w:color w:val="000000"/>
                <w:sz w:val="18"/>
                <w:szCs w:val="18"/>
                <w:lang w:val="sk-SK" w:eastAsia="sk-SK"/>
              </w:rPr>
              <w:t>384</w:t>
            </w:r>
          </w:p>
        </w:tc>
      </w:tr>
      <w:tr w:rsidR="00D825B1" w:rsidRPr="00226892" w14:paraId="3F8A7941" w14:textId="77777777" w:rsidTr="00061978">
        <w:trPr>
          <w:trHeight w:val="227"/>
        </w:trPr>
        <w:tc>
          <w:tcPr>
            <w:tcW w:w="1185" w:type="pct"/>
            <w:tcBorders>
              <w:top w:val="nil"/>
              <w:left w:val="nil"/>
              <w:bottom w:val="nil"/>
              <w:right w:val="nil"/>
            </w:tcBorders>
            <w:shd w:val="clear" w:color="auto" w:fill="auto"/>
            <w:vAlign w:val="center"/>
            <w:hideMark/>
          </w:tcPr>
          <w:p w14:paraId="08CB2834" w14:textId="0E450120" w:rsidR="00D825B1" w:rsidRPr="00226892" w:rsidRDefault="00D825B1" w:rsidP="00061978">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Stav k</w:t>
            </w:r>
            <w:r w:rsidR="002E6AB4" w:rsidRPr="00226892">
              <w:rPr>
                <w:rFonts w:ascii="Arial" w:eastAsia="Times New Roman" w:hAnsi="Arial" w:cs="Arial"/>
                <w:b/>
                <w:bCs/>
                <w:color w:val="000000"/>
                <w:sz w:val="18"/>
                <w:szCs w:val="18"/>
                <w:lang w:val="sk-SK" w:eastAsia="sk-SK"/>
              </w:rPr>
              <w:t> </w:t>
            </w:r>
            <w:r w:rsidRPr="00226892">
              <w:rPr>
                <w:rFonts w:ascii="Arial" w:eastAsia="Times New Roman" w:hAnsi="Arial" w:cs="Arial"/>
                <w:b/>
                <w:bCs/>
                <w:color w:val="000000"/>
                <w:sz w:val="18"/>
                <w:szCs w:val="18"/>
                <w:lang w:val="sk-SK" w:eastAsia="sk-SK"/>
              </w:rPr>
              <w:t>31</w:t>
            </w:r>
            <w:r w:rsidR="002E6AB4" w:rsidRPr="00226892">
              <w:rPr>
                <w:rFonts w:ascii="Arial" w:eastAsia="Times New Roman" w:hAnsi="Arial" w:cs="Arial"/>
                <w:b/>
                <w:bCs/>
                <w:color w:val="000000"/>
                <w:sz w:val="18"/>
                <w:szCs w:val="18"/>
                <w:lang w:val="sk-SK" w:eastAsia="sk-SK"/>
              </w:rPr>
              <w:t xml:space="preserve">. decembru </w:t>
            </w:r>
            <w:r w:rsidR="00FD3AC5" w:rsidRPr="00226892">
              <w:rPr>
                <w:rFonts w:ascii="Arial" w:eastAsia="Times New Roman" w:hAnsi="Arial" w:cs="Arial"/>
                <w:b/>
                <w:bCs/>
                <w:color w:val="000000"/>
                <w:sz w:val="18"/>
                <w:szCs w:val="18"/>
                <w:lang w:val="sk-SK" w:eastAsia="sk-SK"/>
              </w:rPr>
              <w:t>2018</w:t>
            </w:r>
          </w:p>
        </w:tc>
        <w:tc>
          <w:tcPr>
            <w:tcW w:w="82" w:type="pct"/>
            <w:tcBorders>
              <w:top w:val="nil"/>
              <w:left w:val="nil"/>
              <w:bottom w:val="nil"/>
              <w:right w:val="nil"/>
            </w:tcBorders>
            <w:shd w:val="clear" w:color="auto" w:fill="auto"/>
            <w:vAlign w:val="bottom"/>
            <w:hideMark/>
          </w:tcPr>
          <w:p w14:paraId="74D20EAE" w14:textId="77777777" w:rsidR="00D825B1" w:rsidRPr="00226892" w:rsidRDefault="00D825B1" w:rsidP="00061978">
            <w:pPr>
              <w:rPr>
                <w:rFonts w:ascii="Arial" w:eastAsia="Times New Roman" w:hAnsi="Arial" w:cs="Arial"/>
                <w:b/>
                <w:bCs/>
                <w:color w:val="000000"/>
                <w:sz w:val="18"/>
                <w:szCs w:val="18"/>
                <w:lang w:val="sk-SK" w:eastAsia="sk-SK"/>
              </w:rPr>
            </w:pPr>
          </w:p>
        </w:tc>
        <w:tc>
          <w:tcPr>
            <w:tcW w:w="711" w:type="pct"/>
            <w:gridSpan w:val="2"/>
            <w:tcBorders>
              <w:top w:val="single" w:sz="8" w:space="0" w:color="auto"/>
              <w:left w:val="nil"/>
              <w:bottom w:val="double" w:sz="6" w:space="0" w:color="auto"/>
              <w:right w:val="nil"/>
            </w:tcBorders>
            <w:shd w:val="clear" w:color="auto" w:fill="auto"/>
            <w:vAlign w:val="center"/>
            <w:hideMark/>
          </w:tcPr>
          <w:p w14:paraId="398A2777" w14:textId="6EC46533" w:rsidR="00D825B1" w:rsidRPr="00226892" w:rsidRDefault="002E6AB4" w:rsidP="0006197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br/>
            </w:r>
            <w:r w:rsidR="00D825B1" w:rsidRPr="00226892">
              <w:rPr>
                <w:rFonts w:ascii="Arial" w:eastAsia="Times New Roman" w:hAnsi="Arial" w:cs="Arial"/>
                <w:b/>
                <w:bCs/>
                <w:color w:val="000000"/>
                <w:sz w:val="18"/>
                <w:szCs w:val="18"/>
                <w:lang w:val="sk-SK" w:eastAsia="sk-SK"/>
              </w:rPr>
              <w:t>338</w:t>
            </w:r>
          </w:p>
        </w:tc>
        <w:tc>
          <w:tcPr>
            <w:tcW w:w="90" w:type="pct"/>
            <w:tcBorders>
              <w:top w:val="nil"/>
              <w:left w:val="nil"/>
              <w:bottom w:val="nil"/>
              <w:right w:val="nil"/>
            </w:tcBorders>
            <w:shd w:val="clear" w:color="auto" w:fill="auto"/>
            <w:vAlign w:val="bottom"/>
            <w:hideMark/>
          </w:tcPr>
          <w:p w14:paraId="0418DC9F" w14:textId="77777777" w:rsidR="00D825B1" w:rsidRPr="00226892" w:rsidRDefault="00D825B1" w:rsidP="00061978">
            <w:pPr>
              <w:jc w:val="right"/>
              <w:rPr>
                <w:rFonts w:ascii="Arial" w:eastAsia="Times New Roman" w:hAnsi="Arial" w:cs="Arial"/>
                <w:b/>
                <w:bCs/>
                <w:color w:val="000000"/>
                <w:sz w:val="18"/>
                <w:szCs w:val="18"/>
                <w:lang w:val="sk-SK" w:eastAsia="sk-SK"/>
              </w:rPr>
            </w:pPr>
          </w:p>
        </w:tc>
        <w:tc>
          <w:tcPr>
            <w:tcW w:w="816" w:type="pct"/>
            <w:tcBorders>
              <w:top w:val="single" w:sz="8" w:space="0" w:color="auto"/>
              <w:left w:val="nil"/>
              <w:bottom w:val="double" w:sz="6" w:space="0" w:color="auto"/>
              <w:right w:val="nil"/>
            </w:tcBorders>
            <w:shd w:val="clear" w:color="auto" w:fill="auto"/>
            <w:vAlign w:val="center"/>
            <w:hideMark/>
          </w:tcPr>
          <w:p w14:paraId="48D471D0" w14:textId="7F6B57AD" w:rsidR="00D825B1" w:rsidRPr="00226892" w:rsidRDefault="002E6AB4" w:rsidP="0006197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br/>
            </w:r>
            <w:r w:rsidR="00D825B1" w:rsidRPr="00226892">
              <w:rPr>
                <w:rFonts w:ascii="Arial" w:eastAsia="Times New Roman" w:hAnsi="Arial" w:cs="Arial"/>
                <w:b/>
                <w:bCs/>
                <w:color w:val="000000"/>
                <w:sz w:val="18"/>
                <w:szCs w:val="18"/>
                <w:lang w:val="sk-SK" w:eastAsia="sk-SK"/>
              </w:rPr>
              <w:t>20 448</w:t>
            </w:r>
          </w:p>
        </w:tc>
        <w:tc>
          <w:tcPr>
            <w:tcW w:w="82" w:type="pct"/>
            <w:tcBorders>
              <w:top w:val="nil"/>
              <w:left w:val="nil"/>
              <w:bottom w:val="nil"/>
              <w:right w:val="nil"/>
            </w:tcBorders>
            <w:shd w:val="clear" w:color="auto" w:fill="auto"/>
            <w:vAlign w:val="bottom"/>
            <w:hideMark/>
          </w:tcPr>
          <w:p w14:paraId="191F1F4B" w14:textId="77777777" w:rsidR="00D825B1" w:rsidRPr="00226892" w:rsidRDefault="00D825B1" w:rsidP="00061978">
            <w:pPr>
              <w:jc w:val="right"/>
              <w:rPr>
                <w:rFonts w:ascii="Arial" w:eastAsia="Times New Roman" w:hAnsi="Arial" w:cs="Arial"/>
                <w:b/>
                <w:bCs/>
                <w:color w:val="000000"/>
                <w:sz w:val="18"/>
                <w:szCs w:val="18"/>
                <w:lang w:val="sk-SK" w:eastAsia="sk-SK"/>
              </w:rPr>
            </w:pPr>
          </w:p>
        </w:tc>
        <w:tc>
          <w:tcPr>
            <w:tcW w:w="767" w:type="pct"/>
            <w:tcBorders>
              <w:top w:val="single" w:sz="8" w:space="0" w:color="auto"/>
              <w:left w:val="nil"/>
              <w:bottom w:val="double" w:sz="6" w:space="0" w:color="auto"/>
              <w:right w:val="nil"/>
            </w:tcBorders>
            <w:shd w:val="clear" w:color="auto" w:fill="auto"/>
            <w:vAlign w:val="center"/>
            <w:hideMark/>
          </w:tcPr>
          <w:p w14:paraId="5A0034D8" w14:textId="540F7551" w:rsidR="00D825B1" w:rsidRPr="00226892" w:rsidRDefault="002E6AB4" w:rsidP="0006197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br/>
            </w:r>
            <w:r w:rsidR="004E18FE" w:rsidRPr="00226892">
              <w:rPr>
                <w:rFonts w:ascii="Arial" w:eastAsia="Times New Roman" w:hAnsi="Arial" w:cs="Arial"/>
                <w:b/>
                <w:bCs/>
                <w:color w:val="000000"/>
                <w:sz w:val="18"/>
                <w:szCs w:val="18"/>
                <w:lang w:val="sk-SK" w:eastAsia="sk-SK"/>
              </w:rPr>
              <w:t>-64</w:t>
            </w:r>
            <w:r w:rsidR="00D825B1" w:rsidRPr="00226892">
              <w:rPr>
                <w:rFonts w:ascii="Arial" w:eastAsia="Times New Roman" w:hAnsi="Arial" w:cs="Arial"/>
                <w:b/>
                <w:bCs/>
                <w:color w:val="000000"/>
                <w:sz w:val="18"/>
                <w:szCs w:val="18"/>
                <w:lang w:val="sk-SK" w:eastAsia="sk-SK"/>
              </w:rPr>
              <w:t> </w:t>
            </w:r>
          </w:p>
        </w:tc>
        <w:tc>
          <w:tcPr>
            <w:tcW w:w="82" w:type="pct"/>
            <w:tcBorders>
              <w:top w:val="nil"/>
              <w:left w:val="nil"/>
              <w:bottom w:val="nil"/>
              <w:right w:val="nil"/>
            </w:tcBorders>
            <w:shd w:val="clear" w:color="auto" w:fill="auto"/>
            <w:vAlign w:val="bottom"/>
            <w:hideMark/>
          </w:tcPr>
          <w:p w14:paraId="54F82FF0" w14:textId="77777777" w:rsidR="00D825B1" w:rsidRPr="00226892" w:rsidRDefault="00D825B1" w:rsidP="00061978">
            <w:pPr>
              <w:jc w:val="right"/>
              <w:rPr>
                <w:rFonts w:ascii="Arial" w:eastAsia="Times New Roman" w:hAnsi="Arial" w:cs="Arial"/>
                <w:b/>
                <w:bCs/>
                <w:color w:val="000000"/>
                <w:sz w:val="18"/>
                <w:szCs w:val="18"/>
                <w:lang w:val="sk-SK" w:eastAsia="sk-SK"/>
              </w:rPr>
            </w:pPr>
          </w:p>
        </w:tc>
        <w:tc>
          <w:tcPr>
            <w:tcW w:w="1185" w:type="pct"/>
            <w:tcBorders>
              <w:top w:val="single" w:sz="8" w:space="0" w:color="auto"/>
              <w:left w:val="nil"/>
              <w:bottom w:val="double" w:sz="6" w:space="0" w:color="auto"/>
              <w:right w:val="nil"/>
            </w:tcBorders>
            <w:shd w:val="clear" w:color="auto" w:fill="auto"/>
            <w:vAlign w:val="center"/>
            <w:hideMark/>
          </w:tcPr>
          <w:p w14:paraId="5053F27D" w14:textId="70148CCC" w:rsidR="00D825B1" w:rsidRPr="00226892" w:rsidRDefault="002E6AB4" w:rsidP="0006197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br/>
            </w:r>
            <w:r w:rsidR="00D825B1" w:rsidRPr="00226892">
              <w:rPr>
                <w:rFonts w:ascii="Arial" w:eastAsia="Times New Roman" w:hAnsi="Arial" w:cs="Arial"/>
                <w:b/>
                <w:bCs/>
                <w:color w:val="000000"/>
                <w:sz w:val="18"/>
                <w:szCs w:val="18"/>
                <w:lang w:val="sk-SK" w:eastAsia="sk-SK"/>
              </w:rPr>
              <w:t xml:space="preserve">20 </w:t>
            </w:r>
            <w:r w:rsidR="004E18FE" w:rsidRPr="00226892">
              <w:rPr>
                <w:rFonts w:ascii="Arial" w:eastAsia="Times New Roman" w:hAnsi="Arial" w:cs="Arial"/>
                <w:b/>
                <w:bCs/>
                <w:color w:val="000000"/>
                <w:sz w:val="18"/>
                <w:szCs w:val="18"/>
                <w:lang w:val="sk-SK" w:eastAsia="sk-SK"/>
              </w:rPr>
              <w:t>384</w:t>
            </w:r>
          </w:p>
        </w:tc>
      </w:tr>
    </w:tbl>
    <w:p w14:paraId="3D564ADD" w14:textId="77777777" w:rsidR="00D825B1" w:rsidRPr="00226892" w:rsidRDefault="00D825B1" w:rsidP="00235CDF">
      <w:pPr>
        <w:pStyle w:val="odst"/>
      </w:pPr>
    </w:p>
    <w:p w14:paraId="549CAC08" w14:textId="20FE340A" w:rsidR="007B66EE" w:rsidRPr="00226892" w:rsidRDefault="007B66EE" w:rsidP="00235CDF">
      <w:pPr>
        <w:pStyle w:val="odst"/>
      </w:pPr>
      <w:r w:rsidRPr="00226892">
        <w:t xml:space="preserve">Základné imanie k 31. decembru </w:t>
      </w:r>
      <w:r w:rsidR="00FD3AC5" w:rsidRPr="00226892">
        <w:t>2018</w:t>
      </w:r>
      <w:r w:rsidR="00335E76" w:rsidRPr="00226892">
        <w:t xml:space="preserve"> </w:t>
      </w:r>
      <w:r w:rsidRPr="00226892">
        <w:t>pozostávalo z</w:t>
      </w:r>
      <w:r w:rsidR="00065792" w:rsidRPr="00226892">
        <w:t> 337 816</w:t>
      </w:r>
      <w:r w:rsidRPr="00226892">
        <w:t xml:space="preserve"> ks vydaných, schválených a splatených kmeňových akcií (k 31. decembru </w:t>
      </w:r>
      <w:r w:rsidR="00F63A77" w:rsidRPr="00226892">
        <w:t>2017</w:t>
      </w:r>
      <w:r w:rsidRPr="00226892">
        <w:t xml:space="preserve">: </w:t>
      </w:r>
      <w:r w:rsidR="004E18FE" w:rsidRPr="00226892">
        <w:rPr>
          <w:rStyle w:val="ra"/>
        </w:rPr>
        <w:t>337 816</w:t>
      </w:r>
      <w:r w:rsidR="00065792" w:rsidRPr="00226892">
        <w:t xml:space="preserve"> ks) v m</w:t>
      </w:r>
      <w:r w:rsidRPr="00226892">
        <w:t>enovit</w:t>
      </w:r>
      <w:r w:rsidR="00065792" w:rsidRPr="00226892">
        <w:t>ej hodnote</w:t>
      </w:r>
      <w:r w:rsidRPr="00226892">
        <w:t xml:space="preserve"> 34 EUR</w:t>
      </w:r>
      <w:r w:rsidR="00065792" w:rsidRPr="00226892">
        <w:t xml:space="preserve"> a </w:t>
      </w:r>
      <w:r w:rsidR="00D825B1" w:rsidRPr="00226892">
        <w:t>2</w:t>
      </w:r>
      <w:r w:rsidR="00065792" w:rsidRPr="00226892">
        <w:t xml:space="preserve">7 </w:t>
      </w:r>
      <w:r w:rsidR="00D825B1" w:rsidRPr="00226892">
        <w:t xml:space="preserve">ks </w:t>
      </w:r>
      <w:r w:rsidR="00065792" w:rsidRPr="00226892">
        <w:t>vydaných, schválených a splatených kmeňových akcií</w:t>
      </w:r>
      <w:r w:rsidR="00D825B1" w:rsidRPr="00226892">
        <w:t xml:space="preserve"> (k 31. decembru </w:t>
      </w:r>
      <w:r w:rsidR="00F63A77" w:rsidRPr="00226892">
        <w:t>2017</w:t>
      </w:r>
      <w:r w:rsidR="00D825B1" w:rsidRPr="00226892">
        <w:t>: 2</w:t>
      </w:r>
      <w:r w:rsidR="00D825B1" w:rsidRPr="00226892">
        <w:rPr>
          <w:rStyle w:val="ra"/>
        </w:rPr>
        <w:t>7</w:t>
      </w:r>
      <w:r w:rsidR="00D825B1" w:rsidRPr="00226892">
        <w:t xml:space="preserve"> ks)</w:t>
      </w:r>
      <w:r w:rsidR="00065792" w:rsidRPr="00226892">
        <w:t xml:space="preserve"> v nominálnej hodnote</w:t>
      </w:r>
      <w:r w:rsidR="00D825B1" w:rsidRPr="00226892">
        <w:t xml:space="preserve"> 331 940 EUR.</w:t>
      </w:r>
      <w:r w:rsidRPr="00226892">
        <w:t xml:space="preserve"> Vlastníci všetkých kmeňových akcií majú právo hlasovať a dostávať dividendy pomerne v hodnote nimi vlastnených akcií k celkovej hodnote akcií Spoločnosti. Viď </w:t>
      </w:r>
      <w:r w:rsidR="00D13161" w:rsidRPr="00226892">
        <w:t>v bode 1 p</w:t>
      </w:r>
      <w:r w:rsidRPr="00226892">
        <w:t>oznám</w:t>
      </w:r>
      <w:r w:rsidR="00D13161" w:rsidRPr="00226892">
        <w:t>ok</w:t>
      </w:r>
      <w:r w:rsidRPr="00226892">
        <w:t>.</w:t>
      </w:r>
    </w:p>
    <w:p w14:paraId="102505BB" w14:textId="77777777" w:rsidR="005020AA" w:rsidRPr="00226892" w:rsidRDefault="005020AA" w:rsidP="00235CDF">
      <w:pPr>
        <w:pStyle w:val="odst"/>
      </w:pPr>
      <w:r w:rsidRPr="00226892">
        <w:t>Vlastné akcie v obstarávacej cene 64 tis. EUR predstavujú 1 524 ks kmeňových akcií v nominálnej hodnote 34 EUR odkúpených od vlastníkov menšinových podielov.</w:t>
      </w:r>
    </w:p>
    <w:p w14:paraId="534B706E" w14:textId="77777777" w:rsidR="005020AA" w:rsidRPr="00226892" w:rsidRDefault="005020AA" w:rsidP="00235CDF">
      <w:pPr>
        <w:pStyle w:val="odst"/>
      </w:pPr>
    </w:p>
    <w:p w14:paraId="2097CA73" w14:textId="014F1E56" w:rsidR="007B66EE" w:rsidRPr="00226892" w:rsidRDefault="007B66EE" w:rsidP="00235CDF">
      <w:pPr>
        <w:pStyle w:val="odst"/>
      </w:pPr>
      <w:r w:rsidRPr="00226892">
        <w:t>Spoločnosť nemá žiadne upísané základné imanie, ktoré by nebolo zapísané v Obchodnom registri.</w:t>
      </w:r>
    </w:p>
    <w:p w14:paraId="3274F524" w14:textId="77777777" w:rsidR="007C21E2" w:rsidRPr="00226892" w:rsidRDefault="007C21E2" w:rsidP="00235CDF">
      <w:pPr>
        <w:pStyle w:val="odst"/>
      </w:pPr>
    </w:p>
    <w:p w14:paraId="2BFCB946" w14:textId="56CE6972" w:rsidR="008F683A" w:rsidRPr="00226892" w:rsidRDefault="00816E5B" w:rsidP="003578C0">
      <w:pPr>
        <w:pStyle w:val="Nadpis3"/>
        <w:keepNext w:val="0"/>
        <w:widowControl/>
        <w:numPr>
          <w:ilvl w:val="0"/>
          <w:numId w:val="34"/>
        </w:numPr>
        <w:tabs>
          <w:tab w:val="clear" w:pos="1069"/>
          <w:tab w:val="num" w:pos="392"/>
        </w:tabs>
        <w:suppressAutoHyphens/>
        <w:spacing w:after="120"/>
        <w:ind w:left="1077" w:hanging="1077"/>
        <w:rPr>
          <w:rFonts w:ascii="Arial" w:hAnsi="Arial" w:cs="Arial"/>
          <w:sz w:val="20"/>
        </w:rPr>
      </w:pPr>
      <w:bookmarkStart w:id="452" w:name="_Toc298394579"/>
      <w:bookmarkStart w:id="453" w:name="_Toc298395059"/>
      <w:bookmarkStart w:id="454" w:name="_Toc325985809"/>
      <w:bookmarkStart w:id="455" w:name="_Toc387812511"/>
      <w:bookmarkStart w:id="456" w:name="_Toc135379408"/>
      <w:bookmarkStart w:id="457" w:name="_Toc27410005"/>
      <w:bookmarkEnd w:id="452"/>
      <w:bookmarkEnd w:id="453"/>
      <w:proofErr w:type="spellStart"/>
      <w:r w:rsidRPr="00226892">
        <w:rPr>
          <w:rFonts w:ascii="Arial" w:hAnsi="Arial" w:cs="Arial"/>
          <w:sz w:val="20"/>
        </w:rPr>
        <w:t>Ú</w:t>
      </w:r>
      <w:r w:rsidR="007B66EE" w:rsidRPr="00226892">
        <w:rPr>
          <w:rFonts w:ascii="Arial" w:hAnsi="Arial" w:cs="Arial"/>
          <w:sz w:val="20"/>
        </w:rPr>
        <w:t>very</w:t>
      </w:r>
      <w:bookmarkEnd w:id="454"/>
      <w:bookmarkEnd w:id="455"/>
      <w:bookmarkEnd w:id="456"/>
      <w:proofErr w:type="spellEnd"/>
      <w:r w:rsidR="00EA37EA" w:rsidRPr="00226892">
        <w:rPr>
          <w:rFonts w:ascii="Arial" w:hAnsi="Arial" w:cs="Arial"/>
          <w:sz w:val="20"/>
        </w:rPr>
        <w:t xml:space="preserve"> a </w:t>
      </w:r>
      <w:proofErr w:type="spellStart"/>
      <w:r w:rsidR="00EA37EA" w:rsidRPr="00226892">
        <w:rPr>
          <w:rFonts w:ascii="Arial" w:hAnsi="Arial" w:cs="Arial"/>
          <w:sz w:val="20"/>
        </w:rPr>
        <w:t>pôžičky</w:t>
      </w:r>
      <w:bookmarkEnd w:id="457"/>
      <w:proofErr w:type="spellEnd"/>
    </w:p>
    <w:p w14:paraId="778AF475" w14:textId="2D3B1443" w:rsidR="00E714AC" w:rsidRPr="00226892" w:rsidRDefault="00E714AC" w:rsidP="00E714AC">
      <w:pPr>
        <w:suppressAutoHyphens/>
        <w:jc w:val="both"/>
        <w:rPr>
          <w:rFonts w:ascii="Arial" w:hAnsi="Arial" w:cs="Arial"/>
          <w:sz w:val="16"/>
          <w:szCs w:val="16"/>
        </w:rPr>
      </w:pPr>
      <w:bookmarkStart w:id="458" w:name="FWT_Borrowings"/>
      <w:r w:rsidRPr="00226892">
        <w:rPr>
          <w:rFonts w:ascii="Arial" w:hAnsi="Arial" w:cs="Arial"/>
          <w:sz w:val="16"/>
          <w:szCs w:val="16"/>
        </w:rPr>
        <w:t xml:space="preserve"> </w:t>
      </w:r>
    </w:p>
    <w:tbl>
      <w:tblPr>
        <w:tblW w:w="5000" w:type="pct"/>
        <w:tblCellMar>
          <w:left w:w="70" w:type="dxa"/>
          <w:right w:w="70" w:type="dxa"/>
        </w:tblCellMar>
        <w:tblLook w:val="04A0" w:firstRow="1" w:lastRow="0" w:firstColumn="1" w:lastColumn="0" w:noHBand="0" w:noVBand="1"/>
      </w:tblPr>
      <w:tblGrid>
        <w:gridCol w:w="5166"/>
        <w:gridCol w:w="224"/>
        <w:gridCol w:w="2030"/>
        <w:gridCol w:w="235"/>
        <w:gridCol w:w="1984"/>
      </w:tblGrid>
      <w:tr w:rsidR="0036374F" w:rsidRPr="00226892" w14:paraId="74D8960A" w14:textId="77777777" w:rsidTr="00DD12D6">
        <w:trPr>
          <w:trHeight w:val="227"/>
        </w:trPr>
        <w:tc>
          <w:tcPr>
            <w:tcW w:w="2680" w:type="pct"/>
            <w:tcBorders>
              <w:top w:val="nil"/>
              <w:left w:val="nil"/>
              <w:bottom w:val="single" w:sz="4" w:space="0" w:color="auto"/>
              <w:right w:val="nil"/>
            </w:tcBorders>
            <w:shd w:val="clear" w:color="auto" w:fill="auto"/>
            <w:vAlign w:val="bottom"/>
            <w:hideMark/>
          </w:tcPr>
          <w:p w14:paraId="28D13327" w14:textId="77777777" w:rsidR="0036374F" w:rsidRPr="00226892" w:rsidRDefault="0036374F" w:rsidP="00E714AC">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16" w:type="pct"/>
            <w:tcBorders>
              <w:top w:val="nil"/>
              <w:left w:val="nil"/>
              <w:bottom w:val="single" w:sz="4" w:space="0" w:color="auto"/>
              <w:right w:val="nil"/>
            </w:tcBorders>
            <w:shd w:val="clear" w:color="auto" w:fill="auto"/>
            <w:vAlign w:val="bottom"/>
            <w:hideMark/>
          </w:tcPr>
          <w:p w14:paraId="7CA42260" w14:textId="77777777" w:rsidR="0036374F" w:rsidRPr="00226892" w:rsidRDefault="0036374F" w:rsidP="00E714AC">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053" w:type="pct"/>
            <w:tcBorders>
              <w:top w:val="nil"/>
              <w:left w:val="nil"/>
              <w:bottom w:val="single" w:sz="4" w:space="0" w:color="auto"/>
              <w:right w:val="nil"/>
            </w:tcBorders>
            <w:shd w:val="clear" w:color="auto" w:fill="auto"/>
            <w:vAlign w:val="bottom"/>
            <w:hideMark/>
          </w:tcPr>
          <w:p w14:paraId="3FC7BA75" w14:textId="0E8B6EAB" w:rsidR="0036374F" w:rsidRPr="00226892" w:rsidRDefault="0036374F" w:rsidP="00634391">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D3AC5" w:rsidRPr="00226892">
              <w:rPr>
                <w:rFonts w:ascii="Arial" w:eastAsia="Times New Roman" w:hAnsi="Arial" w:cs="Arial"/>
                <w:b/>
                <w:bCs/>
                <w:color w:val="000000"/>
                <w:sz w:val="18"/>
                <w:szCs w:val="18"/>
                <w:lang w:val="sk-SK" w:eastAsia="sk-SK"/>
              </w:rPr>
              <w:t>2018</w:t>
            </w:r>
          </w:p>
        </w:tc>
        <w:tc>
          <w:tcPr>
            <w:tcW w:w="122" w:type="pct"/>
            <w:tcBorders>
              <w:top w:val="nil"/>
              <w:left w:val="nil"/>
              <w:right w:val="nil"/>
            </w:tcBorders>
          </w:tcPr>
          <w:p w14:paraId="31F8BBF8" w14:textId="77777777" w:rsidR="0036374F" w:rsidRPr="00226892" w:rsidRDefault="0036374F" w:rsidP="00634391">
            <w:pPr>
              <w:jc w:val="center"/>
              <w:rPr>
                <w:rFonts w:ascii="Arial" w:eastAsia="Times New Roman" w:hAnsi="Arial" w:cs="Arial"/>
                <w:b/>
                <w:bCs/>
                <w:color w:val="000000"/>
                <w:sz w:val="18"/>
                <w:szCs w:val="18"/>
                <w:lang w:val="sk-SK" w:eastAsia="sk-SK"/>
              </w:rPr>
            </w:pPr>
          </w:p>
        </w:tc>
        <w:tc>
          <w:tcPr>
            <w:tcW w:w="1029" w:type="pct"/>
            <w:tcBorders>
              <w:top w:val="nil"/>
              <w:left w:val="nil"/>
              <w:bottom w:val="single" w:sz="4" w:space="0" w:color="auto"/>
              <w:right w:val="nil"/>
            </w:tcBorders>
            <w:shd w:val="clear" w:color="auto" w:fill="auto"/>
            <w:vAlign w:val="bottom"/>
            <w:hideMark/>
          </w:tcPr>
          <w:p w14:paraId="428B4B67" w14:textId="16215D9B" w:rsidR="0036374F" w:rsidRPr="00226892" w:rsidRDefault="0036374F" w:rsidP="00634391">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63A77" w:rsidRPr="00226892">
              <w:rPr>
                <w:rFonts w:ascii="Arial" w:eastAsia="Times New Roman" w:hAnsi="Arial" w:cs="Arial"/>
                <w:b/>
                <w:bCs/>
                <w:color w:val="000000"/>
                <w:sz w:val="18"/>
                <w:szCs w:val="18"/>
                <w:lang w:val="sk-SK" w:eastAsia="sk-SK"/>
              </w:rPr>
              <w:t>2017</w:t>
            </w:r>
          </w:p>
        </w:tc>
      </w:tr>
      <w:tr w:rsidR="0036374F" w:rsidRPr="00226892" w14:paraId="6A23C1D9" w14:textId="77777777" w:rsidTr="00DD12D6">
        <w:trPr>
          <w:trHeight w:val="227"/>
        </w:trPr>
        <w:tc>
          <w:tcPr>
            <w:tcW w:w="2680" w:type="pct"/>
            <w:tcBorders>
              <w:top w:val="nil"/>
              <w:left w:val="nil"/>
              <w:bottom w:val="nil"/>
              <w:right w:val="nil"/>
            </w:tcBorders>
            <w:shd w:val="clear" w:color="auto" w:fill="auto"/>
            <w:vAlign w:val="bottom"/>
            <w:hideMark/>
          </w:tcPr>
          <w:p w14:paraId="340105DA" w14:textId="77777777" w:rsidR="0036374F" w:rsidRPr="00226892" w:rsidRDefault="0036374F" w:rsidP="00E714AC">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Krátkodobé</w:t>
            </w:r>
          </w:p>
        </w:tc>
        <w:tc>
          <w:tcPr>
            <w:tcW w:w="116" w:type="pct"/>
            <w:tcBorders>
              <w:top w:val="nil"/>
              <w:left w:val="nil"/>
              <w:bottom w:val="nil"/>
              <w:right w:val="nil"/>
            </w:tcBorders>
            <w:shd w:val="clear" w:color="auto" w:fill="auto"/>
            <w:vAlign w:val="bottom"/>
            <w:hideMark/>
          </w:tcPr>
          <w:p w14:paraId="264A5EBA" w14:textId="77777777" w:rsidR="0036374F" w:rsidRPr="00226892" w:rsidRDefault="0036374F" w:rsidP="00E714AC">
            <w:pPr>
              <w:rPr>
                <w:rFonts w:ascii="Arial" w:eastAsia="Times New Roman" w:hAnsi="Arial" w:cs="Arial"/>
                <w:b/>
                <w:bCs/>
                <w:color w:val="000000"/>
                <w:sz w:val="18"/>
                <w:szCs w:val="18"/>
                <w:lang w:val="sk-SK" w:eastAsia="sk-SK"/>
              </w:rPr>
            </w:pPr>
          </w:p>
        </w:tc>
        <w:tc>
          <w:tcPr>
            <w:tcW w:w="1053" w:type="pct"/>
            <w:tcBorders>
              <w:top w:val="nil"/>
              <w:left w:val="nil"/>
              <w:bottom w:val="nil"/>
              <w:right w:val="nil"/>
            </w:tcBorders>
            <w:shd w:val="clear" w:color="auto" w:fill="auto"/>
            <w:vAlign w:val="bottom"/>
            <w:hideMark/>
          </w:tcPr>
          <w:p w14:paraId="0E20D9F1" w14:textId="10BC6AE1" w:rsidR="0036374F" w:rsidRPr="00226892" w:rsidRDefault="0036374F" w:rsidP="00D40B06">
            <w:pPr>
              <w:jc w:val="right"/>
              <w:rPr>
                <w:rFonts w:ascii="Arial" w:eastAsia="Times New Roman" w:hAnsi="Arial" w:cs="Arial"/>
                <w:b/>
                <w:bCs/>
                <w:color w:val="000000"/>
                <w:sz w:val="18"/>
                <w:szCs w:val="18"/>
                <w:lang w:val="sk-SK" w:eastAsia="sk-SK"/>
              </w:rPr>
            </w:pPr>
          </w:p>
        </w:tc>
        <w:tc>
          <w:tcPr>
            <w:tcW w:w="122" w:type="pct"/>
            <w:tcBorders>
              <w:top w:val="nil"/>
              <w:left w:val="nil"/>
              <w:bottom w:val="nil"/>
              <w:right w:val="nil"/>
            </w:tcBorders>
          </w:tcPr>
          <w:p w14:paraId="49FFA554" w14:textId="77777777" w:rsidR="0036374F" w:rsidRPr="00226892" w:rsidRDefault="0036374F" w:rsidP="00D40B06">
            <w:pPr>
              <w:jc w:val="right"/>
              <w:rPr>
                <w:rFonts w:ascii="Arial" w:eastAsia="Times New Roman" w:hAnsi="Arial" w:cs="Arial"/>
                <w:b/>
                <w:bCs/>
                <w:color w:val="000000"/>
                <w:sz w:val="18"/>
                <w:szCs w:val="18"/>
                <w:lang w:val="sk-SK" w:eastAsia="sk-SK"/>
              </w:rPr>
            </w:pPr>
          </w:p>
        </w:tc>
        <w:tc>
          <w:tcPr>
            <w:tcW w:w="1029" w:type="pct"/>
            <w:tcBorders>
              <w:top w:val="nil"/>
              <w:left w:val="nil"/>
              <w:bottom w:val="nil"/>
              <w:right w:val="nil"/>
            </w:tcBorders>
            <w:shd w:val="clear" w:color="auto" w:fill="auto"/>
            <w:vAlign w:val="bottom"/>
            <w:hideMark/>
          </w:tcPr>
          <w:p w14:paraId="7CD7494B" w14:textId="2E4FE48C" w:rsidR="0036374F" w:rsidRPr="00226892" w:rsidRDefault="0036374F" w:rsidP="00D40B06">
            <w:pPr>
              <w:jc w:val="right"/>
              <w:rPr>
                <w:rFonts w:ascii="Arial" w:eastAsia="Times New Roman" w:hAnsi="Arial" w:cs="Arial"/>
                <w:b/>
                <w:bCs/>
                <w:color w:val="000000"/>
                <w:sz w:val="18"/>
                <w:szCs w:val="18"/>
                <w:lang w:val="sk-SK" w:eastAsia="sk-SK"/>
              </w:rPr>
            </w:pPr>
          </w:p>
        </w:tc>
      </w:tr>
      <w:tr w:rsidR="00E71EDD" w:rsidRPr="00226892" w14:paraId="25ACC172" w14:textId="77777777" w:rsidTr="00DD12D6">
        <w:trPr>
          <w:trHeight w:val="227"/>
        </w:trPr>
        <w:tc>
          <w:tcPr>
            <w:tcW w:w="2680" w:type="pct"/>
            <w:tcBorders>
              <w:top w:val="nil"/>
              <w:left w:val="nil"/>
              <w:bottom w:val="nil"/>
              <w:right w:val="nil"/>
            </w:tcBorders>
            <w:shd w:val="clear" w:color="auto" w:fill="auto"/>
            <w:vAlign w:val="bottom"/>
            <w:hideMark/>
          </w:tcPr>
          <w:p w14:paraId="78D0888E" w14:textId="11496638" w:rsidR="00E71EDD" w:rsidRPr="00226892" w:rsidRDefault="00E71EDD" w:rsidP="00E71EDD">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Kontokorentné úvery (Pozn.1</w:t>
            </w:r>
            <w:r w:rsidR="00522218" w:rsidRPr="00226892">
              <w:rPr>
                <w:rFonts w:ascii="Arial" w:eastAsia="Times New Roman" w:hAnsi="Arial" w:cs="Arial"/>
                <w:color w:val="000000"/>
                <w:sz w:val="18"/>
                <w:szCs w:val="18"/>
                <w:lang w:val="sk-SK" w:eastAsia="sk-SK"/>
              </w:rPr>
              <w:t>3</w:t>
            </w:r>
            <w:r w:rsidRPr="00226892">
              <w:rPr>
                <w:rFonts w:ascii="Arial" w:eastAsia="Times New Roman" w:hAnsi="Arial" w:cs="Arial"/>
                <w:color w:val="000000"/>
                <w:sz w:val="18"/>
                <w:szCs w:val="18"/>
                <w:lang w:val="sk-SK" w:eastAsia="sk-SK"/>
              </w:rPr>
              <w:t>)</w:t>
            </w:r>
          </w:p>
        </w:tc>
        <w:tc>
          <w:tcPr>
            <w:tcW w:w="116" w:type="pct"/>
            <w:tcBorders>
              <w:top w:val="nil"/>
              <w:left w:val="nil"/>
              <w:bottom w:val="nil"/>
              <w:right w:val="nil"/>
            </w:tcBorders>
            <w:shd w:val="clear" w:color="auto" w:fill="auto"/>
            <w:vAlign w:val="bottom"/>
            <w:hideMark/>
          </w:tcPr>
          <w:p w14:paraId="7313B0E9" w14:textId="77777777" w:rsidR="00E71EDD" w:rsidRPr="00226892" w:rsidRDefault="00E71EDD" w:rsidP="00E71EDD">
            <w:pPr>
              <w:rPr>
                <w:rFonts w:ascii="Arial" w:eastAsia="Times New Roman" w:hAnsi="Arial" w:cs="Arial"/>
                <w:color w:val="000000"/>
                <w:sz w:val="18"/>
                <w:szCs w:val="18"/>
                <w:lang w:val="sk-SK" w:eastAsia="sk-SK"/>
              </w:rPr>
            </w:pPr>
          </w:p>
        </w:tc>
        <w:tc>
          <w:tcPr>
            <w:tcW w:w="1053" w:type="pct"/>
            <w:tcBorders>
              <w:top w:val="nil"/>
              <w:left w:val="nil"/>
              <w:bottom w:val="nil"/>
              <w:right w:val="nil"/>
            </w:tcBorders>
            <w:vAlign w:val="bottom"/>
          </w:tcPr>
          <w:p w14:paraId="29488B57" w14:textId="0C05D9BB" w:rsidR="00E71EDD" w:rsidRPr="00226892" w:rsidRDefault="00E71EDD" w:rsidP="00E71EDD">
            <w:pPr>
              <w:jc w:val="right"/>
              <w:rPr>
                <w:rFonts w:ascii="Arial" w:hAnsi="Arial" w:cs="Arial"/>
                <w:color w:val="000000"/>
                <w:sz w:val="18"/>
                <w:szCs w:val="18"/>
              </w:rPr>
            </w:pPr>
            <w:r w:rsidRPr="00226892">
              <w:rPr>
                <w:rFonts w:ascii="Arial" w:hAnsi="Arial" w:cs="Arial"/>
                <w:color w:val="000000"/>
                <w:sz w:val="18"/>
                <w:szCs w:val="18"/>
              </w:rPr>
              <w:t>1 770</w:t>
            </w:r>
          </w:p>
        </w:tc>
        <w:tc>
          <w:tcPr>
            <w:tcW w:w="122" w:type="pct"/>
            <w:tcBorders>
              <w:top w:val="nil"/>
              <w:left w:val="nil"/>
              <w:bottom w:val="nil"/>
              <w:right w:val="nil"/>
            </w:tcBorders>
            <w:shd w:val="clear" w:color="auto" w:fill="auto"/>
            <w:vAlign w:val="bottom"/>
          </w:tcPr>
          <w:p w14:paraId="5576C843" w14:textId="3F31B149" w:rsidR="00E71EDD" w:rsidRPr="00226892" w:rsidRDefault="00E71EDD" w:rsidP="00E71EDD">
            <w:pPr>
              <w:jc w:val="right"/>
              <w:rPr>
                <w:rFonts w:ascii="Arial" w:eastAsia="Times New Roman" w:hAnsi="Arial" w:cs="Arial"/>
                <w:color w:val="000000"/>
                <w:sz w:val="18"/>
                <w:szCs w:val="18"/>
                <w:lang w:val="sk-SK" w:eastAsia="sk-SK"/>
              </w:rPr>
            </w:pPr>
          </w:p>
        </w:tc>
        <w:tc>
          <w:tcPr>
            <w:tcW w:w="1029" w:type="pct"/>
            <w:tcBorders>
              <w:top w:val="nil"/>
              <w:left w:val="nil"/>
              <w:bottom w:val="nil"/>
              <w:right w:val="nil"/>
            </w:tcBorders>
            <w:shd w:val="clear" w:color="auto" w:fill="auto"/>
            <w:vAlign w:val="bottom"/>
            <w:hideMark/>
          </w:tcPr>
          <w:p w14:paraId="606BE13D" w14:textId="2DDF3BAC" w:rsidR="00E71EDD" w:rsidRPr="00226892" w:rsidRDefault="00E71EDD" w:rsidP="00E71EDD">
            <w:pPr>
              <w:jc w:val="right"/>
              <w:rPr>
                <w:rFonts w:ascii="Arial" w:eastAsia="Times New Roman" w:hAnsi="Arial" w:cs="Arial"/>
                <w:color w:val="000000"/>
                <w:sz w:val="18"/>
                <w:szCs w:val="18"/>
                <w:lang w:val="sk-SK" w:eastAsia="sk-SK"/>
              </w:rPr>
            </w:pPr>
            <w:r w:rsidRPr="00226892">
              <w:rPr>
                <w:rFonts w:ascii="Arial" w:hAnsi="Arial" w:cs="Arial"/>
                <w:color w:val="000000"/>
                <w:sz w:val="18"/>
                <w:szCs w:val="18"/>
              </w:rPr>
              <w:t xml:space="preserve">5 066    </w:t>
            </w:r>
          </w:p>
        </w:tc>
      </w:tr>
      <w:tr w:rsidR="00E71EDD" w:rsidRPr="00226892" w14:paraId="369DF518" w14:textId="77777777" w:rsidTr="00DD12D6">
        <w:trPr>
          <w:trHeight w:val="227"/>
        </w:trPr>
        <w:tc>
          <w:tcPr>
            <w:tcW w:w="2680" w:type="pct"/>
            <w:tcBorders>
              <w:top w:val="nil"/>
              <w:left w:val="nil"/>
              <w:bottom w:val="nil"/>
              <w:right w:val="nil"/>
            </w:tcBorders>
            <w:shd w:val="clear" w:color="auto" w:fill="auto"/>
            <w:vAlign w:val="bottom"/>
            <w:hideMark/>
          </w:tcPr>
          <w:p w14:paraId="6F85F58C" w14:textId="77777777" w:rsidR="00E71EDD" w:rsidRPr="00226892" w:rsidRDefault="00E71EDD" w:rsidP="00E71EDD">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Zmenky</w:t>
            </w:r>
          </w:p>
        </w:tc>
        <w:tc>
          <w:tcPr>
            <w:tcW w:w="116" w:type="pct"/>
            <w:tcBorders>
              <w:top w:val="nil"/>
              <w:left w:val="nil"/>
              <w:bottom w:val="nil"/>
              <w:right w:val="nil"/>
            </w:tcBorders>
            <w:shd w:val="clear" w:color="auto" w:fill="auto"/>
            <w:vAlign w:val="bottom"/>
            <w:hideMark/>
          </w:tcPr>
          <w:p w14:paraId="0129F27A" w14:textId="77777777" w:rsidR="00E71EDD" w:rsidRPr="00226892" w:rsidRDefault="00E71EDD" w:rsidP="00E71EDD">
            <w:pPr>
              <w:rPr>
                <w:rFonts w:ascii="Arial" w:eastAsia="Times New Roman" w:hAnsi="Arial" w:cs="Arial"/>
                <w:color w:val="000000"/>
                <w:sz w:val="18"/>
                <w:szCs w:val="18"/>
                <w:lang w:val="sk-SK" w:eastAsia="sk-SK"/>
              </w:rPr>
            </w:pPr>
          </w:p>
        </w:tc>
        <w:tc>
          <w:tcPr>
            <w:tcW w:w="1053" w:type="pct"/>
            <w:tcBorders>
              <w:top w:val="nil"/>
              <w:left w:val="nil"/>
              <w:bottom w:val="nil"/>
              <w:right w:val="nil"/>
            </w:tcBorders>
            <w:vAlign w:val="bottom"/>
          </w:tcPr>
          <w:p w14:paraId="7487323A" w14:textId="6800F16D" w:rsidR="00E71EDD" w:rsidRPr="00226892" w:rsidRDefault="00E71EDD" w:rsidP="00E71EDD">
            <w:pPr>
              <w:jc w:val="right"/>
              <w:rPr>
                <w:rFonts w:ascii="Arial" w:hAnsi="Arial" w:cs="Arial"/>
                <w:color w:val="000000"/>
                <w:sz w:val="18"/>
                <w:szCs w:val="18"/>
              </w:rPr>
            </w:pPr>
            <w:r w:rsidRPr="00226892">
              <w:rPr>
                <w:rFonts w:ascii="Arial" w:hAnsi="Arial" w:cs="Arial"/>
                <w:color w:val="000000"/>
                <w:sz w:val="18"/>
                <w:szCs w:val="18"/>
              </w:rPr>
              <w:t>-</w:t>
            </w:r>
          </w:p>
        </w:tc>
        <w:tc>
          <w:tcPr>
            <w:tcW w:w="122" w:type="pct"/>
            <w:tcBorders>
              <w:top w:val="nil"/>
              <w:left w:val="nil"/>
              <w:bottom w:val="nil"/>
              <w:right w:val="nil"/>
            </w:tcBorders>
            <w:shd w:val="clear" w:color="auto" w:fill="auto"/>
            <w:vAlign w:val="bottom"/>
          </w:tcPr>
          <w:p w14:paraId="4147D41D" w14:textId="706B0E71" w:rsidR="00E71EDD" w:rsidRPr="00226892" w:rsidRDefault="00E71EDD" w:rsidP="00E71EDD">
            <w:pPr>
              <w:jc w:val="right"/>
              <w:rPr>
                <w:rFonts w:ascii="Arial" w:eastAsia="Times New Roman" w:hAnsi="Arial" w:cs="Arial"/>
                <w:color w:val="000000"/>
                <w:sz w:val="18"/>
                <w:szCs w:val="18"/>
                <w:lang w:val="sk-SK" w:eastAsia="sk-SK"/>
              </w:rPr>
            </w:pPr>
          </w:p>
        </w:tc>
        <w:tc>
          <w:tcPr>
            <w:tcW w:w="1029" w:type="pct"/>
            <w:tcBorders>
              <w:top w:val="nil"/>
              <w:left w:val="nil"/>
              <w:bottom w:val="nil"/>
              <w:right w:val="nil"/>
            </w:tcBorders>
            <w:shd w:val="clear" w:color="auto" w:fill="auto"/>
            <w:vAlign w:val="bottom"/>
            <w:hideMark/>
          </w:tcPr>
          <w:p w14:paraId="723A034F" w14:textId="60EF1C86" w:rsidR="00E71EDD" w:rsidRPr="00226892" w:rsidRDefault="00E71EDD" w:rsidP="00E71EDD">
            <w:pPr>
              <w:jc w:val="right"/>
              <w:rPr>
                <w:rFonts w:ascii="Arial" w:eastAsia="Times New Roman" w:hAnsi="Arial" w:cs="Arial"/>
                <w:color w:val="000000"/>
                <w:sz w:val="18"/>
                <w:szCs w:val="18"/>
                <w:lang w:val="sk-SK" w:eastAsia="sk-SK"/>
              </w:rPr>
            </w:pPr>
            <w:r w:rsidRPr="00226892">
              <w:rPr>
                <w:rFonts w:ascii="Arial" w:hAnsi="Arial" w:cs="Arial"/>
                <w:color w:val="000000"/>
                <w:sz w:val="18"/>
                <w:szCs w:val="18"/>
              </w:rPr>
              <w:t xml:space="preserve">  -      </w:t>
            </w:r>
          </w:p>
        </w:tc>
      </w:tr>
      <w:tr w:rsidR="00E71EDD" w:rsidRPr="00226892" w14:paraId="1BE50E42" w14:textId="77777777" w:rsidTr="00DD12D6">
        <w:trPr>
          <w:trHeight w:val="227"/>
        </w:trPr>
        <w:tc>
          <w:tcPr>
            <w:tcW w:w="2680" w:type="pct"/>
            <w:tcBorders>
              <w:top w:val="nil"/>
              <w:left w:val="nil"/>
              <w:bottom w:val="nil"/>
              <w:right w:val="nil"/>
            </w:tcBorders>
            <w:shd w:val="clear" w:color="auto" w:fill="auto"/>
            <w:vAlign w:val="bottom"/>
            <w:hideMark/>
          </w:tcPr>
          <w:p w14:paraId="39E99536" w14:textId="77777777" w:rsidR="00E71EDD" w:rsidRPr="00226892" w:rsidRDefault="00E71EDD" w:rsidP="00E71EDD">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Bankové úvery</w:t>
            </w:r>
          </w:p>
        </w:tc>
        <w:tc>
          <w:tcPr>
            <w:tcW w:w="116" w:type="pct"/>
            <w:tcBorders>
              <w:top w:val="nil"/>
              <w:left w:val="nil"/>
              <w:bottom w:val="nil"/>
              <w:right w:val="nil"/>
            </w:tcBorders>
            <w:shd w:val="clear" w:color="auto" w:fill="auto"/>
            <w:vAlign w:val="bottom"/>
            <w:hideMark/>
          </w:tcPr>
          <w:p w14:paraId="510E1E72" w14:textId="77777777" w:rsidR="00E71EDD" w:rsidRPr="00226892" w:rsidRDefault="00E71EDD" w:rsidP="00E71EDD">
            <w:pPr>
              <w:rPr>
                <w:rFonts w:ascii="Arial" w:eastAsia="Times New Roman" w:hAnsi="Arial" w:cs="Arial"/>
                <w:color w:val="000000"/>
                <w:sz w:val="18"/>
                <w:szCs w:val="18"/>
                <w:lang w:val="sk-SK" w:eastAsia="sk-SK"/>
              </w:rPr>
            </w:pPr>
          </w:p>
        </w:tc>
        <w:tc>
          <w:tcPr>
            <w:tcW w:w="1053" w:type="pct"/>
            <w:tcBorders>
              <w:top w:val="nil"/>
              <w:left w:val="nil"/>
              <w:bottom w:val="nil"/>
              <w:right w:val="nil"/>
            </w:tcBorders>
            <w:vAlign w:val="bottom"/>
          </w:tcPr>
          <w:p w14:paraId="25B2CF7C" w14:textId="13A35F52" w:rsidR="00E71EDD" w:rsidRPr="00226892" w:rsidRDefault="00E71EDD" w:rsidP="00E71EDD">
            <w:pPr>
              <w:jc w:val="right"/>
              <w:rPr>
                <w:rFonts w:ascii="Arial" w:hAnsi="Arial" w:cs="Arial"/>
                <w:color w:val="000000"/>
                <w:sz w:val="18"/>
                <w:szCs w:val="18"/>
              </w:rPr>
            </w:pPr>
            <w:r w:rsidRPr="00226892">
              <w:rPr>
                <w:rFonts w:ascii="Arial" w:hAnsi="Arial" w:cs="Arial"/>
                <w:color w:val="000000"/>
                <w:sz w:val="18"/>
                <w:szCs w:val="18"/>
              </w:rPr>
              <w:t>8 534</w:t>
            </w:r>
          </w:p>
        </w:tc>
        <w:tc>
          <w:tcPr>
            <w:tcW w:w="122" w:type="pct"/>
            <w:tcBorders>
              <w:top w:val="nil"/>
              <w:left w:val="nil"/>
              <w:bottom w:val="nil"/>
              <w:right w:val="nil"/>
            </w:tcBorders>
            <w:shd w:val="clear" w:color="auto" w:fill="auto"/>
            <w:vAlign w:val="bottom"/>
          </w:tcPr>
          <w:p w14:paraId="57CE9A3E" w14:textId="77777777" w:rsidR="00E71EDD" w:rsidRPr="00226892" w:rsidRDefault="00E71EDD" w:rsidP="00E71EDD">
            <w:pPr>
              <w:jc w:val="right"/>
              <w:rPr>
                <w:rFonts w:ascii="Arial" w:eastAsia="Times New Roman" w:hAnsi="Arial" w:cs="Arial"/>
                <w:color w:val="000000"/>
                <w:sz w:val="18"/>
                <w:szCs w:val="18"/>
                <w:lang w:val="sk-SK" w:eastAsia="sk-SK"/>
              </w:rPr>
            </w:pPr>
          </w:p>
        </w:tc>
        <w:tc>
          <w:tcPr>
            <w:tcW w:w="1029" w:type="pct"/>
            <w:tcBorders>
              <w:top w:val="nil"/>
              <w:left w:val="nil"/>
              <w:bottom w:val="nil"/>
              <w:right w:val="nil"/>
            </w:tcBorders>
            <w:shd w:val="clear" w:color="auto" w:fill="auto"/>
            <w:vAlign w:val="bottom"/>
            <w:hideMark/>
          </w:tcPr>
          <w:p w14:paraId="2C002054" w14:textId="74D2B0CA" w:rsidR="00E71EDD" w:rsidRPr="00226892" w:rsidRDefault="003D39C1" w:rsidP="00E71EDD">
            <w:pPr>
              <w:jc w:val="right"/>
              <w:rPr>
                <w:rFonts w:ascii="Arial" w:eastAsia="Times New Roman" w:hAnsi="Arial" w:cs="Arial"/>
                <w:color w:val="000000"/>
                <w:sz w:val="18"/>
                <w:szCs w:val="18"/>
                <w:lang w:val="sk-SK" w:eastAsia="sk-SK"/>
              </w:rPr>
            </w:pPr>
            <w:r w:rsidRPr="00226892">
              <w:rPr>
                <w:rFonts w:ascii="Arial" w:hAnsi="Arial" w:cs="Arial"/>
                <w:color w:val="000000"/>
                <w:sz w:val="18"/>
                <w:szCs w:val="18"/>
              </w:rPr>
              <w:t>19 727</w:t>
            </w:r>
            <w:r w:rsidR="00E71EDD" w:rsidRPr="00226892">
              <w:rPr>
                <w:rFonts w:ascii="Arial" w:hAnsi="Arial" w:cs="Arial"/>
                <w:color w:val="000000"/>
                <w:sz w:val="18"/>
                <w:szCs w:val="18"/>
              </w:rPr>
              <w:t xml:space="preserve">    </w:t>
            </w:r>
          </w:p>
        </w:tc>
      </w:tr>
      <w:tr w:rsidR="00E71EDD" w:rsidRPr="00226892" w14:paraId="6FBC4589" w14:textId="77777777" w:rsidTr="00DD12D6">
        <w:trPr>
          <w:trHeight w:val="227"/>
        </w:trPr>
        <w:tc>
          <w:tcPr>
            <w:tcW w:w="2680" w:type="pct"/>
            <w:tcBorders>
              <w:top w:val="nil"/>
              <w:left w:val="nil"/>
              <w:bottom w:val="nil"/>
              <w:right w:val="nil"/>
            </w:tcBorders>
            <w:shd w:val="clear" w:color="auto" w:fill="auto"/>
            <w:vAlign w:val="bottom"/>
          </w:tcPr>
          <w:p w14:paraId="64D07C3F" w14:textId="636EE39D" w:rsidR="00E71EDD" w:rsidRPr="00226892" w:rsidRDefault="00E71EDD" w:rsidP="00E71EDD">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Pôžičky </w:t>
            </w:r>
          </w:p>
        </w:tc>
        <w:tc>
          <w:tcPr>
            <w:tcW w:w="116" w:type="pct"/>
            <w:tcBorders>
              <w:top w:val="nil"/>
              <w:left w:val="nil"/>
              <w:bottom w:val="nil"/>
              <w:right w:val="nil"/>
            </w:tcBorders>
            <w:shd w:val="clear" w:color="auto" w:fill="auto"/>
            <w:vAlign w:val="bottom"/>
          </w:tcPr>
          <w:p w14:paraId="2D3B779F" w14:textId="77777777" w:rsidR="00E71EDD" w:rsidRPr="00226892" w:rsidRDefault="00E71EDD" w:rsidP="00E71EDD">
            <w:pPr>
              <w:rPr>
                <w:rFonts w:ascii="Arial" w:eastAsia="Times New Roman" w:hAnsi="Arial" w:cs="Arial"/>
                <w:color w:val="000000"/>
                <w:sz w:val="18"/>
                <w:szCs w:val="18"/>
                <w:lang w:val="sk-SK" w:eastAsia="sk-SK"/>
              </w:rPr>
            </w:pPr>
          </w:p>
        </w:tc>
        <w:tc>
          <w:tcPr>
            <w:tcW w:w="1053" w:type="pct"/>
            <w:tcBorders>
              <w:top w:val="nil"/>
              <w:left w:val="nil"/>
              <w:bottom w:val="nil"/>
              <w:right w:val="nil"/>
            </w:tcBorders>
            <w:vAlign w:val="bottom"/>
          </w:tcPr>
          <w:p w14:paraId="45352ADA" w14:textId="301ED81A" w:rsidR="00E71EDD" w:rsidRPr="00226892" w:rsidRDefault="00E71EDD" w:rsidP="00E71EDD">
            <w:pPr>
              <w:jc w:val="right"/>
              <w:rPr>
                <w:rFonts w:ascii="Arial" w:hAnsi="Arial" w:cs="Arial"/>
                <w:color w:val="000000"/>
                <w:sz w:val="18"/>
                <w:szCs w:val="18"/>
              </w:rPr>
            </w:pPr>
            <w:r w:rsidRPr="00226892">
              <w:rPr>
                <w:rFonts w:ascii="Arial" w:hAnsi="Arial" w:cs="Arial"/>
                <w:color w:val="000000"/>
                <w:sz w:val="18"/>
                <w:szCs w:val="18"/>
              </w:rPr>
              <w:t>1 778</w:t>
            </w:r>
          </w:p>
        </w:tc>
        <w:tc>
          <w:tcPr>
            <w:tcW w:w="122" w:type="pct"/>
            <w:tcBorders>
              <w:top w:val="nil"/>
              <w:left w:val="nil"/>
              <w:bottom w:val="nil"/>
              <w:right w:val="nil"/>
            </w:tcBorders>
            <w:shd w:val="clear" w:color="auto" w:fill="auto"/>
            <w:vAlign w:val="bottom"/>
          </w:tcPr>
          <w:p w14:paraId="5D68D677" w14:textId="5615E57C" w:rsidR="00E71EDD" w:rsidRPr="00226892" w:rsidRDefault="00E71EDD" w:rsidP="00E71EDD">
            <w:pPr>
              <w:jc w:val="right"/>
              <w:rPr>
                <w:rFonts w:ascii="Arial" w:eastAsia="Times New Roman" w:hAnsi="Arial" w:cs="Arial"/>
                <w:color w:val="000000"/>
                <w:sz w:val="18"/>
                <w:szCs w:val="18"/>
                <w:lang w:val="sk-SK" w:eastAsia="sk-SK"/>
              </w:rPr>
            </w:pPr>
          </w:p>
        </w:tc>
        <w:tc>
          <w:tcPr>
            <w:tcW w:w="1029" w:type="pct"/>
            <w:tcBorders>
              <w:top w:val="nil"/>
              <w:left w:val="nil"/>
              <w:bottom w:val="nil"/>
              <w:right w:val="nil"/>
            </w:tcBorders>
            <w:shd w:val="clear" w:color="auto" w:fill="auto"/>
            <w:vAlign w:val="bottom"/>
          </w:tcPr>
          <w:p w14:paraId="6F42C63F" w14:textId="2A551DA9" w:rsidR="00E71EDD" w:rsidRPr="00226892" w:rsidRDefault="00E71EDD" w:rsidP="00E71EDD">
            <w:pPr>
              <w:jc w:val="right"/>
              <w:rPr>
                <w:rFonts w:ascii="Arial" w:eastAsia="Times New Roman" w:hAnsi="Arial" w:cs="Arial"/>
                <w:color w:val="000000"/>
                <w:sz w:val="18"/>
                <w:szCs w:val="18"/>
                <w:lang w:val="sk-SK" w:eastAsia="sk-SK"/>
              </w:rPr>
            </w:pPr>
            <w:r w:rsidRPr="00226892">
              <w:rPr>
                <w:rFonts w:ascii="Arial" w:hAnsi="Arial" w:cs="Arial"/>
                <w:color w:val="000000"/>
                <w:sz w:val="18"/>
                <w:szCs w:val="18"/>
              </w:rPr>
              <w:t>1 762</w:t>
            </w:r>
          </w:p>
        </w:tc>
      </w:tr>
      <w:tr w:rsidR="00E71EDD" w:rsidRPr="00226892" w14:paraId="02376A02" w14:textId="77777777" w:rsidTr="00DD12D6">
        <w:trPr>
          <w:trHeight w:val="227"/>
        </w:trPr>
        <w:tc>
          <w:tcPr>
            <w:tcW w:w="2680" w:type="pct"/>
            <w:tcBorders>
              <w:top w:val="nil"/>
              <w:left w:val="nil"/>
              <w:bottom w:val="nil"/>
              <w:right w:val="nil"/>
            </w:tcBorders>
            <w:shd w:val="clear" w:color="auto" w:fill="auto"/>
            <w:vAlign w:val="bottom"/>
            <w:hideMark/>
          </w:tcPr>
          <w:p w14:paraId="24C49347" w14:textId="77777777" w:rsidR="00E71EDD" w:rsidRPr="00226892" w:rsidRDefault="00E71EDD" w:rsidP="00E71EDD">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Záväzky z finančného leasingu</w:t>
            </w:r>
          </w:p>
        </w:tc>
        <w:tc>
          <w:tcPr>
            <w:tcW w:w="116" w:type="pct"/>
            <w:tcBorders>
              <w:top w:val="nil"/>
              <w:left w:val="nil"/>
              <w:bottom w:val="nil"/>
              <w:right w:val="nil"/>
            </w:tcBorders>
            <w:shd w:val="clear" w:color="auto" w:fill="auto"/>
            <w:vAlign w:val="bottom"/>
            <w:hideMark/>
          </w:tcPr>
          <w:p w14:paraId="2452E409" w14:textId="77777777" w:rsidR="00E71EDD" w:rsidRPr="00226892" w:rsidRDefault="00E71EDD" w:rsidP="00E71EDD">
            <w:pPr>
              <w:rPr>
                <w:rFonts w:ascii="Arial" w:eastAsia="Times New Roman" w:hAnsi="Arial" w:cs="Arial"/>
                <w:color w:val="000000"/>
                <w:sz w:val="18"/>
                <w:szCs w:val="18"/>
                <w:lang w:val="sk-SK" w:eastAsia="sk-SK"/>
              </w:rPr>
            </w:pPr>
          </w:p>
        </w:tc>
        <w:tc>
          <w:tcPr>
            <w:tcW w:w="1053" w:type="pct"/>
            <w:tcBorders>
              <w:top w:val="nil"/>
              <w:left w:val="nil"/>
              <w:bottom w:val="nil"/>
              <w:right w:val="nil"/>
            </w:tcBorders>
            <w:vAlign w:val="bottom"/>
          </w:tcPr>
          <w:p w14:paraId="2757F574" w14:textId="56F36395" w:rsidR="00E71EDD" w:rsidRPr="00226892" w:rsidRDefault="00E71EDD" w:rsidP="00E71EDD">
            <w:pPr>
              <w:jc w:val="right"/>
              <w:rPr>
                <w:rFonts w:ascii="Arial" w:hAnsi="Arial" w:cs="Arial"/>
                <w:color w:val="000000"/>
                <w:sz w:val="18"/>
                <w:szCs w:val="18"/>
              </w:rPr>
            </w:pPr>
            <w:r w:rsidRPr="00226892">
              <w:rPr>
                <w:rFonts w:ascii="Arial" w:hAnsi="Arial" w:cs="Arial"/>
                <w:color w:val="000000"/>
                <w:sz w:val="18"/>
                <w:szCs w:val="18"/>
              </w:rPr>
              <w:t>168</w:t>
            </w:r>
          </w:p>
        </w:tc>
        <w:tc>
          <w:tcPr>
            <w:tcW w:w="122" w:type="pct"/>
            <w:tcBorders>
              <w:top w:val="nil"/>
              <w:left w:val="nil"/>
              <w:bottom w:val="nil"/>
              <w:right w:val="nil"/>
            </w:tcBorders>
            <w:shd w:val="clear" w:color="auto" w:fill="auto"/>
            <w:vAlign w:val="bottom"/>
          </w:tcPr>
          <w:p w14:paraId="1B02ED90" w14:textId="21119732" w:rsidR="00E71EDD" w:rsidRPr="00226892" w:rsidRDefault="00E71EDD" w:rsidP="00E71EDD">
            <w:pPr>
              <w:jc w:val="right"/>
              <w:rPr>
                <w:rFonts w:ascii="Arial" w:eastAsia="Times New Roman" w:hAnsi="Arial" w:cs="Arial"/>
                <w:color w:val="000000"/>
                <w:sz w:val="18"/>
                <w:szCs w:val="18"/>
                <w:lang w:val="sk-SK" w:eastAsia="sk-SK"/>
              </w:rPr>
            </w:pPr>
          </w:p>
        </w:tc>
        <w:tc>
          <w:tcPr>
            <w:tcW w:w="1029" w:type="pct"/>
            <w:tcBorders>
              <w:top w:val="nil"/>
              <w:left w:val="nil"/>
              <w:bottom w:val="nil"/>
              <w:right w:val="nil"/>
            </w:tcBorders>
            <w:shd w:val="clear" w:color="auto" w:fill="auto"/>
            <w:vAlign w:val="bottom"/>
            <w:hideMark/>
          </w:tcPr>
          <w:p w14:paraId="3D8DC124" w14:textId="03E5181A" w:rsidR="00E71EDD" w:rsidRPr="00226892" w:rsidRDefault="00E71EDD" w:rsidP="00E71EDD">
            <w:pPr>
              <w:jc w:val="right"/>
              <w:rPr>
                <w:rFonts w:ascii="Arial" w:eastAsia="Times New Roman" w:hAnsi="Arial" w:cs="Arial"/>
                <w:color w:val="000000"/>
                <w:sz w:val="18"/>
                <w:szCs w:val="18"/>
                <w:lang w:val="sk-SK" w:eastAsia="sk-SK"/>
              </w:rPr>
            </w:pPr>
            <w:r w:rsidRPr="00226892">
              <w:rPr>
                <w:rFonts w:ascii="Arial" w:hAnsi="Arial" w:cs="Arial"/>
                <w:color w:val="000000"/>
                <w:sz w:val="18"/>
                <w:szCs w:val="18"/>
              </w:rPr>
              <w:t xml:space="preserve">325    </w:t>
            </w:r>
          </w:p>
        </w:tc>
      </w:tr>
      <w:tr w:rsidR="00E71EDD" w:rsidRPr="00226892" w14:paraId="3AC23D7C" w14:textId="77777777" w:rsidTr="00DD12D6">
        <w:trPr>
          <w:trHeight w:val="227"/>
        </w:trPr>
        <w:tc>
          <w:tcPr>
            <w:tcW w:w="2680" w:type="pct"/>
            <w:tcBorders>
              <w:top w:val="nil"/>
              <w:left w:val="nil"/>
              <w:bottom w:val="nil"/>
              <w:right w:val="nil"/>
            </w:tcBorders>
            <w:shd w:val="clear" w:color="auto" w:fill="auto"/>
            <w:vAlign w:val="bottom"/>
            <w:hideMark/>
          </w:tcPr>
          <w:p w14:paraId="22EA7FBB" w14:textId="77777777" w:rsidR="00E71EDD" w:rsidRPr="00226892" w:rsidRDefault="00E71EDD" w:rsidP="00E71EDD">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Spolu krátkodobé úvery</w:t>
            </w:r>
          </w:p>
        </w:tc>
        <w:tc>
          <w:tcPr>
            <w:tcW w:w="116" w:type="pct"/>
            <w:tcBorders>
              <w:top w:val="nil"/>
              <w:left w:val="nil"/>
              <w:bottom w:val="nil"/>
              <w:right w:val="nil"/>
            </w:tcBorders>
            <w:shd w:val="clear" w:color="auto" w:fill="auto"/>
            <w:vAlign w:val="bottom"/>
            <w:hideMark/>
          </w:tcPr>
          <w:p w14:paraId="1932FAD6" w14:textId="77777777" w:rsidR="00E71EDD" w:rsidRPr="00226892" w:rsidRDefault="00E71EDD" w:rsidP="00E71EDD">
            <w:pPr>
              <w:rPr>
                <w:rFonts w:ascii="Arial" w:eastAsia="Times New Roman" w:hAnsi="Arial" w:cs="Arial"/>
                <w:b/>
                <w:bCs/>
                <w:color w:val="000000"/>
                <w:sz w:val="18"/>
                <w:szCs w:val="18"/>
                <w:lang w:val="sk-SK" w:eastAsia="sk-SK"/>
              </w:rPr>
            </w:pPr>
          </w:p>
        </w:tc>
        <w:tc>
          <w:tcPr>
            <w:tcW w:w="1053" w:type="pct"/>
            <w:tcBorders>
              <w:top w:val="single" w:sz="4" w:space="0" w:color="auto"/>
              <w:left w:val="nil"/>
              <w:bottom w:val="double" w:sz="6" w:space="0" w:color="auto"/>
              <w:right w:val="nil"/>
            </w:tcBorders>
            <w:vAlign w:val="bottom"/>
          </w:tcPr>
          <w:p w14:paraId="0D98E09F" w14:textId="2D8C39B2" w:rsidR="00E71EDD" w:rsidRPr="00226892" w:rsidRDefault="00E71EDD" w:rsidP="00E71EDD">
            <w:pPr>
              <w:jc w:val="right"/>
              <w:rPr>
                <w:rFonts w:ascii="Arial" w:hAnsi="Arial" w:cs="Arial"/>
                <w:b/>
                <w:bCs/>
                <w:color w:val="000000"/>
                <w:sz w:val="18"/>
                <w:szCs w:val="18"/>
              </w:rPr>
            </w:pPr>
            <w:r w:rsidRPr="00226892">
              <w:rPr>
                <w:rFonts w:ascii="Arial" w:hAnsi="Arial" w:cs="Arial"/>
                <w:b/>
                <w:bCs/>
                <w:color w:val="000000"/>
                <w:sz w:val="18"/>
                <w:szCs w:val="18"/>
              </w:rPr>
              <w:t>12 250</w:t>
            </w:r>
          </w:p>
        </w:tc>
        <w:tc>
          <w:tcPr>
            <w:tcW w:w="122" w:type="pct"/>
            <w:tcBorders>
              <w:left w:val="nil"/>
              <w:right w:val="nil"/>
            </w:tcBorders>
            <w:shd w:val="clear" w:color="auto" w:fill="auto"/>
            <w:vAlign w:val="bottom"/>
          </w:tcPr>
          <w:p w14:paraId="53CD9C50" w14:textId="3AE22824" w:rsidR="00E71EDD" w:rsidRPr="00226892" w:rsidRDefault="00E71EDD" w:rsidP="00E71EDD">
            <w:pPr>
              <w:jc w:val="right"/>
              <w:rPr>
                <w:rFonts w:ascii="Arial" w:eastAsia="Times New Roman" w:hAnsi="Arial" w:cs="Arial"/>
                <w:b/>
                <w:bCs/>
                <w:color w:val="000000"/>
                <w:sz w:val="18"/>
                <w:szCs w:val="18"/>
                <w:lang w:val="sk-SK" w:eastAsia="sk-SK"/>
              </w:rPr>
            </w:pPr>
          </w:p>
        </w:tc>
        <w:tc>
          <w:tcPr>
            <w:tcW w:w="1029" w:type="pct"/>
            <w:tcBorders>
              <w:top w:val="single" w:sz="4" w:space="0" w:color="auto"/>
              <w:left w:val="nil"/>
              <w:bottom w:val="double" w:sz="6" w:space="0" w:color="auto"/>
              <w:right w:val="nil"/>
            </w:tcBorders>
            <w:shd w:val="clear" w:color="auto" w:fill="auto"/>
            <w:vAlign w:val="bottom"/>
            <w:hideMark/>
          </w:tcPr>
          <w:p w14:paraId="2060C069" w14:textId="776BD274" w:rsidR="00E71EDD" w:rsidRPr="00226892" w:rsidRDefault="003D39C1" w:rsidP="00E71EDD">
            <w:pPr>
              <w:jc w:val="right"/>
              <w:rPr>
                <w:rFonts w:ascii="Arial" w:eastAsia="Times New Roman" w:hAnsi="Arial" w:cs="Arial"/>
                <w:b/>
                <w:bCs/>
                <w:color w:val="000000"/>
                <w:sz w:val="18"/>
                <w:szCs w:val="18"/>
                <w:lang w:val="sk-SK" w:eastAsia="sk-SK"/>
              </w:rPr>
            </w:pPr>
            <w:r w:rsidRPr="00226892">
              <w:rPr>
                <w:rFonts w:ascii="Arial" w:hAnsi="Arial" w:cs="Arial"/>
                <w:b/>
                <w:bCs/>
                <w:color w:val="000000"/>
                <w:sz w:val="18"/>
                <w:szCs w:val="18"/>
              </w:rPr>
              <w:t>26 880</w:t>
            </w:r>
            <w:r w:rsidR="00E71EDD" w:rsidRPr="00226892">
              <w:rPr>
                <w:rFonts w:ascii="Arial" w:hAnsi="Arial" w:cs="Arial"/>
                <w:b/>
                <w:bCs/>
                <w:color w:val="000000"/>
                <w:sz w:val="18"/>
                <w:szCs w:val="18"/>
              </w:rPr>
              <w:t xml:space="preserve">    </w:t>
            </w:r>
          </w:p>
        </w:tc>
      </w:tr>
      <w:tr w:rsidR="00E71EDD" w:rsidRPr="00226892" w14:paraId="1314BB5A" w14:textId="77777777" w:rsidTr="00DD12D6">
        <w:trPr>
          <w:trHeight w:val="227"/>
        </w:trPr>
        <w:tc>
          <w:tcPr>
            <w:tcW w:w="2680" w:type="pct"/>
            <w:tcBorders>
              <w:top w:val="nil"/>
              <w:left w:val="nil"/>
              <w:bottom w:val="nil"/>
              <w:right w:val="nil"/>
            </w:tcBorders>
            <w:shd w:val="clear" w:color="auto" w:fill="auto"/>
            <w:vAlign w:val="bottom"/>
            <w:hideMark/>
          </w:tcPr>
          <w:p w14:paraId="48BD8082" w14:textId="77777777" w:rsidR="00E71EDD" w:rsidRPr="00226892" w:rsidRDefault="00E71EDD" w:rsidP="00E71EDD">
            <w:pPr>
              <w:rPr>
                <w:rFonts w:ascii="Arial" w:eastAsia="Times New Roman" w:hAnsi="Arial" w:cs="Arial"/>
                <w:b/>
                <w:bCs/>
                <w:color w:val="000000"/>
                <w:sz w:val="18"/>
                <w:szCs w:val="18"/>
                <w:lang w:val="sk-SK" w:eastAsia="sk-SK"/>
              </w:rPr>
            </w:pPr>
          </w:p>
        </w:tc>
        <w:tc>
          <w:tcPr>
            <w:tcW w:w="116" w:type="pct"/>
            <w:tcBorders>
              <w:top w:val="nil"/>
              <w:left w:val="nil"/>
              <w:bottom w:val="nil"/>
              <w:right w:val="nil"/>
            </w:tcBorders>
            <w:shd w:val="clear" w:color="auto" w:fill="auto"/>
            <w:vAlign w:val="bottom"/>
            <w:hideMark/>
          </w:tcPr>
          <w:p w14:paraId="28F7D97D" w14:textId="77777777" w:rsidR="00E71EDD" w:rsidRPr="00226892" w:rsidRDefault="00E71EDD" w:rsidP="00E71EDD">
            <w:pPr>
              <w:rPr>
                <w:rFonts w:ascii="Arial" w:eastAsia="Times New Roman" w:hAnsi="Arial" w:cs="Arial"/>
                <w:sz w:val="18"/>
                <w:szCs w:val="18"/>
                <w:lang w:val="sk-SK" w:eastAsia="sk-SK"/>
              </w:rPr>
            </w:pPr>
          </w:p>
        </w:tc>
        <w:tc>
          <w:tcPr>
            <w:tcW w:w="1053" w:type="pct"/>
            <w:tcBorders>
              <w:top w:val="nil"/>
              <w:left w:val="nil"/>
              <w:bottom w:val="nil"/>
              <w:right w:val="nil"/>
            </w:tcBorders>
            <w:vAlign w:val="bottom"/>
          </w:tcPr>
          <w:p w14:paraId="0FDDC90A" w14:textId="77777777" w:rsidR="00E71EDD" w:rsidRPr="00226892" w:rsidRDefault="00E71EDD" w:rsidP="00E71EDD">
            <w:pPr>
              <w:jc w:val="right"/>
              <w:rPr>
                <w:rFonts w:ascii="Arial" w:eastAsia="Times New Roman" w:hAnsi="Arial" w:cs="Arial"/>
                <w:sz w:val="18"/>
                <w:szCs w:val="18"/>
                <w:lang w:val="sk-SK" w:eastAsia="sk-SK"/>
              </w:rPr>
            </w:pPr>
          </w:p>
        </w:tc>
        <w:tc>
          <w:tcPr>
            <w:tcW w:w="122" w:type="pct"/>
            <w:tcBorders>
              <w:top w:val="nil"/>
              <w:left w:val="nil"/>
              <w:bottom w:val="nil"/>
              <w:right w:val="nil"/>
            </w:tcBorders>
            <w:shd w:val="clear" w:color="auto" w:fill="auto"/>
            <w:vAlign w:val="bottom"/>
          </w:tcPr>
          <w:p w14:paraId="475F5738" w14:textId="3CEDF506" w:rsidR="00E71EDD" w:rsidRPr="00226892" w:rsidRDefault="00E71EDD" w:rsidP="00E71EDD">
            <w:pPr>
              <w:jc w:val="right"/>
              <w:rPr>
                <w:rFonts w:ascii="Arial" w:eastAsia="Times New Roman" w:hAnsi="Arial" w:cs="Arial"/>
                <w:sz w:val="18"/>
                <w:szCs w:val="18"/>
                <w:lang w:val="sk-SK" w:eastAsia="sk-SK"/>
              </w:rPr>
            </w:pPr>
          </w:p>
        </w:tc>
        <w:tc>
          <w:tcPr>
            <w:tcW w:w="1029" w:type="pct"/>
            <w:tcBorders>
              <w:top w:val="nil"/>
              <w:left w:val="nil"/>
              <w:bottom w:val="nil"/>
              <w:right w:val="nil"/>
            </w:tcBorders>
            <w:shd w:val="clear" w:color="auto" w:fill="auto"/>
            <w:vAlign w:val="bottom"/>
            <w:hideMark/>
          </w:tcPr>
          <w:p w14:paraId="6D1328E5" w14:textId="77777777" w:rsidR="00E71EDD" w:rsidRPr="00226892" w:rsidRDefault="00E71EDD" w:rsidP="00E71EDD">
            <w:pPr>
              <w:jc w:val="right"/>
              <w:rPr>
                <w:rFonts w:ascii="Arial" w:eastAsia="Times New Roman" w:hAnsi="Arial" w:cs="Arial"/>
                <w:sz w:val="18"/>
                <w:szCs w:val="18"/>
                <w:lang w:val="sk-SK" w:eastAsia="sk-SK"/>
              </w:rPr>
            </w:pPr>
          </w:p>
        </w:tc>
      </w:tr>
      <w:tr w:rsidR="00E71EDD" w:rsidRPr="00226892" w14:paraId="2C42DAFC" w14:textId="77777777" w:rsidTr="00DD12D6">
        <w:trPr>
          <w:trHeight w:val="227"/>
        </w:trPr>
        <w:tc>
          <w:tcPr>
            <w:tcW w:w="2680" w:type="pct"/>
            <w:tcBorders>
              <w:top w:val="nil"/>
              <w:left w:val="nil"/>
              <w:bottom w:val="nil"/>
              <w:right w:val="nil"/>
            </w:tcBorders>
            <w:shd w:val="clear" w:color="auto" w:fill="auto"/>
            <w:vAlign w:val="bottom"/>
            <w:hideMark/>
          </w:tcPr>
          <w:p w14:paraId="1D641D60" w14:textId="77777777" w:rsidR="00E71EDD" w:rsidRPr="00226892" w:rsidRDefault="00E71EDD" w:rsidP="00E71EDD">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Dlhodobé</w:t>
            </w:r>
          </w:p>
        </w:tc>
        <w:tc>
          <w:tcPr>
            <w:tcW w:w="116" w:type="pct"/>
            <w:tcBorders>
              <w:top w:val="nil"/>
              <w:left w:val="nil"/>
              <w:bottom w:val="nil"/>
              <w:right w:val="nil"/>
            </w:tcBorders>
            <w:shd w:val="clear" w:color="auto" w:fill="auto"/>
            <w:vAlign w:val="bottom"/>
            <w:hideMark/>
          </w:tcPr>
          <w:p w14:paraId="24C7AFC3" w14:textId="77777777" w:rsidR="00E71EDD" w:rsidRPr="00226892" w:rsidRDefault="00E71EDD" w:rsidP="00E71EDD">
            <w:pPr>
              <w:rPr>
                <w:rFonts w:ascii="Arial" w:eastAsia="Times New Roman" w:hAnsi="Arial" w:cs="Arial"/>
                <w:b/>
                <w:bCs/>
                <w:color w:val="000000"/>
                <w:sz w:val="18"/>
                <w:szCs w:val="18"/>
                <w:lang w:val="sk-SK" w:eastAsia="sk-SK"/>
              </w:rPr>
            </w:pPr>
          </w:p>
        </w:tc>
        <w:tc>
          <w:tcPr>
            <w:tcW w:w="1053" w:type="pct"/>
            <w:tcBorders>
              <w:top w:val="nil"/>
              <w:left w:val="nil"/>
              <w:bottom w:val="nil"/>
              <w:right w:val="nil"/>
            </w:tcBorders>
            <w:vAlign w:val="bottom"/>
          </w:tcPr>
          <w:p w14:paraId="359B0D1A" w14:textId="77777777" w:rsidR="00E71EDD" w:rsidRPr="00226892" w:rsidRDefault="00E71EDD" w:rsidP="00E71EDD">
            <w:pPr>
              <w:jc w:val="right"/>
              <w:rPr>
                <w:rFonts w:ascii="Arial" w:eastAsia="Times New Roman" w:hAnsi="Arial" w:cs="Arial"/>
                <w:sz w:val="18"/>
                <w:szCs w:val="18"/>
                <w:lang w:val="sk-SK" w:eastAsia="sk-SK"/>
              </w:rPr>
            </w:pPr>
          </w:p>
        </w:tc>
        <w:tc>
          <w:tcPr>
            <w:tcW w:w="122" w:type="pct"/>
            <w:tcBorders>
              <w:top w:val="nil"/>
              <w:left w:val="nil"/>
              <w:bottom w:val="nil"/>
              <w:right w:val="nil"/>
            </w:tcBorders>
            <w:shd w:val="clear" w:color="auto" w:fill="auto"/>
            <w:vAlign w:val="bottom"/>
          </w:tcPr>
          <w:p w14:paraId="1BAE950C" w14:textId="4A7640A6" w:rsidR="00E71EDD" w:rsidRPr="00226892" w:rsidRDefault="00E71EDD" w:rsidP="00E71EDD">
            <w:pPr>
              <w:jc w:val="right"/>
              <w:rPr>
                <w:rFonts w:ascii="Arial" w:eastAsia="Times New Roman" w:hAnsi="Arial" w:cs="Arial"/>
                <w:sz w:val="18"/>
                <w:szCs w:val="18"/>
                <w:lang w:val="sk-SK" w:eastAsia="sk-SK"/>
              </w:rPr>
            </w:pPr>
          </w:p>
        </w:tc>
        <w:tc>
          <w:tcPr>
            <w:tcW w:w="1029" w:type="pct"/>
            <w:tcBorders>
              <w:top w:val="nil"/>
              <w:left w:val="nil"/>
              <w:bottom w:val="nil"/>
              <w:right w:val="nil"/>
            </w:tcBorders>
            <w:shd w:val="clear" w:color="auto" w:fill="auto"/>
            <w:vAlign w:val="bottom"/>
            <w:hideMark/>
          </w:tcPr>
          <w:p w14:paraId="640844C3" w14:textId="77777777" w:rsidR="00E71EDD" w:rsidRPr="00226892" w:rsidRDefault="00E71EDD" w:rsidP="00E71EDD">
            <w:pPr>
              <w:jc w:val="right"/>
              <w:rPr>
                <w:rFonts w:ascii="Arial" w:eastAsia="Times New Roman" w:hAnsi="Arial" w:cs="Arial"/>
                <w:sz w:val="18"/>
                <w:szCs w:val="18"/>
                <w:lang w:val="sk-SK" w:eastAsia="sk-SK"/>
              </w:rPr>
            </w:pPr>
          </w:p>
        </w:tc>
      </w:tr>
      <w:tr w:rsidR="00E71EDD" w:rsidRPr="00226892" w14:paraId="467433CF" w14:textId="77777777" w:rsidTr="00DD12D6">
        <w:trPr>
          <w:trHeight w:val="227"/>
        </w:trPr>
        <w:tc>
          <w:tcPr>
            <w:tcW w:w="2680" w:type="pct"/>
            <w:tcBorders>
              <w:top w:val="nil"/>
              <w:left w:val="nil"/>
              <w:bottom w:val="nil"/>
              <w:right w:val="nil"/>
            </w:tcBorders>
            <w:shd w:val="clear" w:color="auto" w:fill="auto"/>
            <w:vAlign w:val="bottom"/>
            <w:hideMark/>
          </w:tcPr>
          <w:p w14:paraId="6CE35CC7" w14:textId="77777777" w:rsidR="00E71EDD" w:rsidRPr="00226892" w:rsidRDefault="00E71EDD" w:rsidP="00E71EDD">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Bankové úvery</w:t>
            </w:r>
          </w:p>
        </w:tc>
        <w:tc>
          <w:tcPr>
            <w:tcW w:w="116" w:type="pct"/>
            <w:tcBorders>
              <w:top w:val="nil"/>
              <w:left w:val="nil"/>
              <w:bottom w:val="nil"/>
              <w:right w:val="nil"/>
            </w:tcBorders>
            <w:shd w:val="clear" w:color="auto" w:fill="auto"/>
            <w:vAlign w:val="bottom"/>
            <w:hideMark/>
          </w:tcPr>
          <w:p w14:paraId="696B3161" w14:textId="77777777" w:rsidR="00E71EDD" w:rsidRPr="00226892" w:rsidRDefault="00E71EDD" w:rsidP="00E71EDD">
            <w:pPr>
              <w:rPr>
                <w:rFonts w:ascii="Arial" w:eastAsia="Times New Roman" w:hAnsi="Arial" w:cs="Arial"/>
                <w:color w:val="000000"/>
                <w:sz w:val="18"/>
                <w:szCs w:val="18"/>
                <w:lang w:val="sk-SK" w:eastAsia="sk-SK"/>
              </w:rPr>
            </w:pPr>
          </w:p>
        </w:tc>
        <w:tc>
          <w:tcPr>
            <w:tcW w:w="1053" w:type="pct"/>
            <w:tcBorders>
              <w:top w:val="nil"/>
              <w:left w:val="nil"/>
              <w:bottom w:val="nil"/>
              <w:right w:val="nil"/>
            </w:tcBorders>
            <w:vAlign w:val="bottom"/>
          </w:tcPr>
          <w:p w14:paraId="50525671" w14:textId="332D132A" w:rsidR="00E71EDD" w:rsidRPr="00226892" w:rsidRDefault="00E71EDD" w:rsidP="00E71EDD">
            <w:pPr>
              <w:jc w:val="right"/>
              <w:rPr>
                <w:rFonts w:ascii="Arial" w:hAnsi="Arial" w:cs="Arial"/>
                <w:color w:val="000000"/>
                <w:sz w:val="18"/>
                <w:szCs w:val="18"/>
              </w:rPr>
            </w:pPr>
            <w:r w:rsidRPr="00226892">
              <w:rPr>
                <w:rFonts w:ascii="Arial" w:hAnsi="Arial" w:cs="Arial"/>
                <w:color w:val="000000"/>
                <w:sz w:val="18"/>
                <w:szCs w:val="18"/>
              </w:rPr>
              <w:t>15 208</w:t>
            </w:r>
          </w:p>
        </w:tc>
        <w:tc>
          <w:tcPr>
            <w:tcW w:w="122" w:type="pct"/>
            <w:tcBorders>
              <w:top w:val="nil"/>
              <w:left w:val="nil"/>
              <w:bottom w:val="nil"/>
              <w:right w:val="nil"/>
            </w:tcBorders>
            <w:shd w:val="clear" w:color="auto" w:fill="auto"/>
            <w:vAlign w:val="bottom"/>
          </w:tcPr>
          <w:p w14:paraId="01CAFEBA" w14:textId="77777777" w:rsidR="00E71EDD" w:rsidRPr="00226892" w:rsidRDefault="00E71EDD" w:rsidP="00E71EDD">
            <w:pPr>
              <w:jc w:val="right"/>
              <w:rPr>
                <w:rFonts w:ascii="Arial" w:eastAsia="Times New Roman" w:hAnsi="Arial" w:cs="Arial"/>
                <w:color w:val="000000"/>
                <w:sz w:val="18"/>
                <w:szCs w:val="18"/>
                <w:lang w:val="sk-SK" w:eastAsia="sk-SK"/>
              </w:rPr>
            </w:pPr>
          </w:p>
        </w:tc>
        <w:tc>
          <w:tcPr>
            <w:tcW w:w="1029" w:type="pct"/>
            <w:tcBorders>
              <w:top w:val="nil"/>
              <w:left w:val="nil"/>
              <w:bottom w:val="nil"/>
              <w:right w:val="nil"/>
            </w:tcBorders>
            <w:shd w:val="clear" w:color="auto" w:fill="auto"/>
            <w:vAlign w:val="bottom"/>
            <w:hideMark/>
          </w:tcPr>
          <w:p w14:paraId="639AD898" w14:textId="2836FF5B" w:rsidR="00E71EDD" w:rsidRPr="00226892" w:rsidRDefault="00E71EDD" w:rsidP="00E71EDD">
            <w:pPr>
              <w:jc w:val="right"/>
              <w:rPr>
                <w:rFonts w:ascii="Arial" w:eastAsia="Times New Roman" w:hAnsi="Arial" w:cs="Arial"/>
                <w:color w:val="000000"/>
                <w:sz w:val="18"/>
                <w:szCs w:val="18"/>
                <w:lang w:val="sk-SK" w:eastAsia="sk-SK"/>
              </w:rPr>
            </w:pPr>
            <w:r w:rsidRPr="00226892">
              <w:rPr>
                <w:rFonts w:ascii="Arial" w:hAnsi="Arial" w:cs="Arial"/>
                <w:color w:val="000000"/>
                <w:sz w:val="18"/>
                <w:szCs w:val="18"/>
              </w:rPr>
              <w:t xml:space="preserve">  </w:t>
            </w:r>
            <w:r w:rsidR="003D39C1" w:rsidRPr="00226892">
              <w:rPr>
                <w:rFonts w:ascii="Arial" w:hAnsi="Arial" w:cs="Arial"/>
                <w:color w:val="000000"/>
                <w:sz w:val="18"/>
                <w:szCs w:val="18"/>
              </w:rPr>
              <w:t>26 065</w:t>
            </w:r>
            <w:r w:rsidRPr="00226892">
              <w:rPr>
                <w:rFonts w:ascii="Arial" w:hAnsi="Arial" w:cs="Arial"/>
                <w:color w:val="000000"/>
                <w:sz w:val="18"/>
                <w:szCs w:val="18"/>
              </w:rPr>
              <w:t xml:space="preserve">    </w:t>
            </w:r>
          </w:p>
        </w:tc>
      </w:tr>
      <w:tr w:rsidR="00E71EDD" w:rsidRPr="00226892" w14:paraId="6B233918" w14:textId="77777777" w:rsidTr="00DD12D6">
        <w:trPr>
          <w:trHeight w:val="227"/>
        </w:trPr>
        <w:tc>
          <w:tcPr>
            <w:tcW w:w="2680" w:type="pct"/>
            <w:tcBorders>
              <w:top w:val="nil"/>
              <w:left w:val="nil"/>
              <w:bottom w:val="nil"/>
              <w:right w:val="nil"/>
            </w:tcBorders>
            <w:shd w:val="clear" w:color="auto" w:fill="auto"/>
            <w:vAlign w:val="bottom"/>
            <w:hideMark/>
          </w:tcPr>
          <w:p w14:paraId="1BD7CFD7" w14:textId="23E374BC" w:rsidR="00E71EDD" w:rsidRPr="00226892" w:rsidRDefault="00E71EDD" w:rsidP="00E71EDD">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Pôžičky </w:t>
            </w:r>
          </w:p>
        </w:tc>
        <w:tc>
          <w:tcPr>
            <w:tcW w:w="116" w:type="pct"/>
            <w:tcBorders>
              <w:top w:val="nil"/>
              <w:left w:val="nil"/>
              <w:bottom w:val="nil"/>
              <w:right w:val="nil"/>
            </w:tcBorders>
            <w:shd w:val="clear" w:color="auto" w:fill="auto"/>
            <w:vAlign w:val="bottom"/>
            <w:hideMark/>
          </w:tcPr>
          <w:p w14:paraId="414D19DC" w14:textId="77777777" w:rsidR="00E71EDD" w:rsidRPr="00226892" w:rsidRDefault="00E71EDD" w:rsidP="00E71EDD">
            <w:pPr>
              <w:rPr>
                <w:rFonts w:ascii="Arial" w:eastAsia="Times New Roman" w:hAnsi="Arial" w:cs="Arial"/>
                <w:color w:val="000000"/>
                <w:sz w:val="18"/>
                <w:szCs w:val="18"/>
                <w:lang w:val="sk-SK" w:eastAsia="sk-SK"/>
              </w:rPr>
            </w:pPr>
          </w:p>
        </w:tc>
        <w:tc>
          <w:tcPr>
            <w:tcW w:w="1053" w:type="pct"/>
            <w:tcBorders>
              <w:top w:val="nil"/>
              <w:left w:val="nil"/>
              <w:bottom w:val="nil"/>
              <w:right w:val="nil"/>
            </w:tcBorders>
            <w:vAlign w:val="bottom"/>
          </w:tcPr>
          <w:p w14:paraId="2D61EB44" w14:textId="3FD87E0A" w:rsidR="00E71EDD" w:rsidRPr="00226892" w:rsidRDefault="00E71EDD" w:rsidP="00E71EDD">
            <w:pPr>
              <w:jc w:val="right"/>
              <w:rPr>
                <w:rFonts w:ascii="Arial" w:hAnsi="Arial" w:cs="Arial"/>
                <w:color w:val="000000"/>
                <w:sz w:val="18"/>
                <w:szCs w:val="18"/>
              </w:rPr>
            </w:pPr>
            <w:r w:rsidRPr="00226892">
              <w:rPr>
                <w:rFonts w:ascii="Arial" w:hAnsi="Arial" w:cs="Arial"/>
                <w:color w:val="000000"/>
                <w:sz w:val="18"/>
                <w:szCs w:val="18"/>
              </w:rPr>
              <w:t>10 033</w:t>
            </w:r>
          </w:p>
        </w:tc>
        <w:tc>
          <w:tcPr>
            <w:tcW w:w="122" w:type="pct"/>
            <w:tcBorders>
              <w:top w:val="nil"/>
              <w:left w:val="nil"/>
              <w:bottom w:val="nil"/>
              <w:right w:val="nil"/>
            </w:tcBorders>
            <w:shd w:val="clear" w:color="auto" w:fill="auto"/>
            <w:vAlign w:val="bottom"/>
          </w:tcPr>
          <w:p w14:paraId="45E5F3F3" w14:textId="112AB1CA" w:rsidR="00E71EDD" w:rsidRPr="00226892" w:rsidRDefault="00E71EDD" w:rsidP="00E71EDD">
            <w:pPr>
              <w:jc w:val="right"/>
              <w:rPr>
                <w:rFonts w:ascii="Arial" w:eastAsia="Times New Roman" w:hAnsi="Arial" w:cs="Arial"/>
                <w:color w:val="000000"/>
                <w:sz w:val="18"/>
                <w:szCs w:val="18"/>
                <w:lang w:val="sk-SK" w:eastAsia="sk-SK"/>
              </w:rPr>
            </w:pPr>
          </w:p>
        </w:tc>
        <w:tc>
          <w:tcPr>
            <w:tcW w:w="1029" w:type="pct"/>
            <w:tcBorders>
              <w:top w:val="nil"/>
              <w:left w:val="nil"/>
              <w:bottom w:val="nil"/>
              <w:right w:val="nil"/>
            </w:tcBorders>
            <w:shd w:val="clear" w:color="auto" w:fill="auto"/>
            <w:vAlign w:val="bottom"/>
            <w:hideMark/>
          </w:tcPr>
          <w:p w14:paraId="3D9A7FBD" w14:textId="0B391714" w:rsidR="00E71EDD" w:rsidRPr="00226892" w:rsidRDefault="00E71EDD" w:rsidP="00E71EDD">
            <w:pPr>
              <w:jc w:val="right"/>
              <w:rPr>
                <w:rFonts w:ascii="Arial" w:eastAsia="Times New Roman" w:hAnsi="Arial" w:cs="Arial"/>
                <w:color w:val="000000"/>
                <w:sz w:val="18"/>
                <w:szCs w:val="18"/>
                <w:lang w:val="sk-SK" w:eastAsia="sk-SK"/>
              </w:rPr>
            </w:pPr>
            <w:r w:rsidRPr="00226892">
              <w:rPr>
                <w:rFonts w:ascii="Arial" w:hAnsi="Arial" w:cs="Arial"/>
                <w:color w:val="000000"/>
                <w:sz w:val="18"/>
                <w:szCs w:val="18"/>
              </w:rPr>
              <w:t xml:space="preserve">  5 114    </w:t>
            </w:r>
          </w:p>
        </w:tc>
      </w:tr>
      <w:tr w:rsidR="00E71EDD" w:rsidRPr="00226892" w14:paraId="65C234EE" w14:textId="77777777" w:rsidTr="00DD12D6">
        <w:trPr>
          <w:trHeight w:val="227"/>
        </w:trPr>
        <w:tc>
          <w:tcPr>
            <w:tcW w:w="2680" w:type="pct"/>
            <w:tcBorders>
              <w:top w:val="nil"/>
              <w:left w:val="nil"/>
              <w:bottom w:val="nil"/>
              <w:right w:val="nil"/>
            </w:tcBorders>
            <w:shd w:val="clear" w:color="auto" w:fill="auto"/>
            <w:vAlign w:val="bottom"/>
            <w:hideMark/>
          </w:tcPr>
          <w:p w14:paraId="415239D7" w14:textId="77777777" w:rsidR="00E71EDD" w:rsidRPr="00226892" w:rsidRDefault="00E71EDD" w:rsidP="00E71EDD">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Záväzky z finančného leasingu</w:t>
            </w:r>
          </w:p>
        </w:tc>
        <w:tc>
          <w:tcPr>
            <w:tcW w:w="116" w:type="pct"/>
            <w:tcBorders>
              <w:top w:val="nil"/>
              <w:left w:val="nil"/>
              <w:bottom w:val="nil"/>
              <w:right w:val="nil"/>
            </w:tcBorders>
            <w:shd w:val="clear" w:color="auto" w:fill="auto"/>
            <w:vAlign w:val="bottom"/>
            <w:hideMark/>
          </w:tcPr>
          <w:p w14:paraId="0A81CB25" w14:textId="77777777" w:rsidR="00E71EDD" w:rsidRPr="00226892" w:rsidRDefault="00E71EDD" w:rsidP="00E71EDD">
            <w:pPr>
              <w:rPr>
                <w:rFonts w:ascii="Arial" w:eastAsia="Times New Roman" w:hAnsi="Arial" w:cs="Arial"/>
                <w:color w:val="000000"/>
                <w:sz w:val="18"/>
                <w:szCs w:val="18"/>
                <w:lang w:val="sk-SK" w:eastAsia="sk-SK"/>
              </w:rPr>
            </w:pPr>
          </w:p>
        </w:tc>
        <w:tc>
          <w:tcPr>
            <w:tcW w:w="1053" w:type="pct"/>
            <w:tcBorders>
              <w:top w:val="nil"/>
              <w:left w:val="nil"/>
              <w:bottom w:val="nil"/>
              <w:right w:val="nil"/>
            </w:tcBorders>
            <w:vAlign w:val="bottom"/>
          </w:tcPr>
          <w:p w14:paraId="1A944243" w14:textId="1887B3C5" w:rsidR="00E71EDD" w:rsidRPr="00226892" w:rsidRDefault="00E71EDD" w:rsidP="00E71EDD">
            <w:pPr>
              <w:jc w:val="right"/>
              <w:rPr>
                <w:rFonts w:ascii="Arial" w:hAnsi="Arial" w:cs="Arial"/>
                <w:color w:val="000000"/>
                <w:sz w:val="18"/>
                <w:szCs w:val="18"/>
              </w:rPr>
            </w:pPr>
            <w:r w:rsidRPr="00226892">
              <w:rPr>
                <w:rFonts w:ascii="Arial" w:hAnsi="Arial" w:cs="Arial"/>
                <w:color w:val="000000"/>
                <w:sz w:val="18"/>
                <w:szCs w:val="18"/>
              </w:rPr>
              <w:t>370</w:t>
            </w:r>
          </w:p>
        </w:tc>
        <w:tc>
          <w:tcPr>
            <w:tcW w:w="122" w:type="pct"/>
            <w:tcBorders>
              <w:top w:val="nil"/>
              <w:left w:val="nil"/>
              <w:bottom w:val="nil"/>
              <w:right w:val="nil"/>
            </w:tcBorders>
            <w:shd w:val="clear" w:color="auto" w:fill="auto"/>
            <w:vAlign w:val="bottom"/>
          </w:tcPr>
          <w:p w14:paraId="305AFC58" w14:textId="2DF35B84" w:rsidR="00E71EDD" w:rsidRPr="00226892" w:rsidRDefault="00E71EDD" w:rsidP="00E71EDD">
            <w:pPr>
              <w:jc w:val="right"/>
              <w:rPr>
                <w:rFonts w:ascii="Arial" w:eastAsia="Times New Roman" w:hAnsi="Arial" w:cs="Arial"/>
                <w:color w:val="000000"/>
                <w:sz w:val="18"/>
                <w:szCs w:val="18"/>
                <w:lang w:val="sk-SK" w:eastAsia="sk-SK"/>
              </w:rPr>
            </w:pPr>
          </w:p>
        </w:tc>
        <w:tc>
          <w:tcPr>
            <w:tcW w:w="1029" w:type="pct"/>
            <w:tcBorders>
              <w:top w:val="nil"/>
              <w:left w:val="nil"/>
              <w:bottom w:val="nil"/>
              <w:right w:val="nil"/>
            </w:tcBorders>
            <w:shd w:val="clear" w:color="auto" w:fill="auto"/>
            <w:vAlign w:val="bottom"/>
            <w:hideMark/>
          </w:tcPr>
          <w:p w14:paraId="784AB9AE" w14:textId="13B6E405" w:rsidR="00E71EDD" w:rsidRPr="00226892" w:rsidRDefault="00E71EDD" w:rsidP="00E71EDD">
            <w:pPr>
              <w:jc w:val="right"/>
              <w:rPr>
                <w:rFonts w:ascii="Arial" w:eastAsia="Times New Roman" w:hAnsi="Arial" w:cs="Arial"/>
                <w:color w:val="000000"/>
                <w:sz w:val="18"/>
                <w:szCs w:val="18"/>
                <w:lang w:val="sk-SK" w:eastAsia="sk-SK"/>
              </w:rPr>
            </w:pPr>
            <w:r w:rsidRPr="00226892">
              <w:rPr>
                <w:rFonts w:ascii="Arial" w:hAnsi="Arial" w:cs="Arial"/>
                <w:color w:val="000000"/>
                <w:sz w:val="18"/>
                <w:szCs w:val="18"/>
              </w:rPr>
              <w:t xml:space="preserve">  524    </w:t>
            </w:r>
          </w:p>
        </w:tc>
      </w:tr>
      <w:tr w:rsidR="00E71EDD" w:rsidRPr="00226892" w14:paraId="55075558" w14:textId="77777777" w:rsidTr="00DD12D6">
        <w:trPr>
          <w:trHeight w:val="227"/>
        </w:trPr>
        <w:tc>
          <w:tcPr>
            <w:tcW w:w="2680" w:type="pct"/>
            <w:tcBorders>
              <w:top w:val="nil"/>
              <w:left w:val="nil"/>
              <w:bottom w:val="nil"/>
              <w:right w:val="nil"/>
            </w:tcBorders>
            <w:shd w:val="clear" w:color="auto" w:fill="auto"/>
            <w:vAlign w:val="bottom"/>
            <w:hideMark/>
          </w:tcPr>
          <w:p w14:paraId="66757DE1" w14:textId="77777777" w:rsidR="00E71EDD" w:rsidRPr="00226892" w:rsidRDefault="00E71EDD" w:rsidP="00E71EDD">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Spolu dlhodobé úvery</w:t>
            </w:r>
          </w:p>
        </w:tc>
        <w:tc>
          <w:tcPr>
            <w:tcW w:w="116" w:type="pct"/>
            <w:tcBorders>
              <w:top w:val="nil"/>
              <w:left w:val="nil"/>
              <w:bottom w:val="nil"/>
              <w:right w:val="nil"/>
            </w:tcBorders>
            <w:shd w:val="clear" w:color="auto" w:fill="auto"/>
            <w:vAlign w:val="bottom"/>
            <w:hideMark/>
          </w:tcPr>
          <w:p w14:paraId="446AFE66" w14:textId="77777777" w:rsidR="00E71EDD" w:rsidRPr="00226892" w:rsidRDefault="00E71EDD" w:rsidP="00E71EDD">
            <w:pPr>
              <w:rPr>
                <w:rFonts w:ascii="Arial" w:eastAsia="Times New Roman" w:hAnsi="Arial" w:cs="Arial"/>
                <w:b/>
                <w:bCs/>
                <w:color w:val="000000"/>
                <w:sz w:val="18"/>
                <w:szCs w:val="18"/>
                <w:lang w:val="sk-SK" w:eastAsia="sk-SK"/>
              </w:rPr>
            </w:pPr>
          </w:p>
        </w:tc>
        <w:tc>
          <w:tcPr>
            <w:tcW w:w="1053" w:type="pct"/>
            <w:tcBorders>
              <w:top w:val="single" w:sz="4" w:space="0" w:color="auto"/>
              <w:left w:val="nil"/>
              <w:bottom w:val="double" w:sz="6" w:space="0" w:color="auto"/>
              <w:right w:val="nil"/>
            </w:tcBorders>
            <w:vAlign w:val="bottom"/>
          </w:tcPr>
          <w:p w14:paraId="67EE6CEF" w14:textId="321F80BC" w:rsidR="00E71EDD" w:rsidRPr="00226892" w:rsidRDefault="00E71EDD" w:rsidP="00E71EDD">
            <w:pPr>
              <w:jc w:val="right"/>
              <w:rPr>
                <w:rFonts w:ascii="Arial" w:hAnsi="Arial" w:cs="Arial"/>
                <w:b/>
                <w:bCs/>
                <w:color w:val="000000"/>
                <w:sz w:val="18"/>
                <w:szCs w:val="18"/>
              </w:rPr>
            </w:pPr>
            <w:r w:rsidRPr="00226892">
              <w:rPr>
                <w:rFonts w:ascii="Arial" w:hAnsi="Arial" w:cs="Arial"/>
                <w:b/>
                <w:bCs/>
                <w:color w:val="000000"/>
                <w:sz w:val="18"/>
                <w:szCs w:val="18"/>
              </w:rPr>
              <w:t>25 611</w:t>
            </w:r>
          </w:p>
        </w:tc>
        <w:tc>
          <w:tcPr>
            <w:tcW w:w="122" w:type="pct"/>
            <w:tcBorders>
              <w:left w:val="nil"/>
              <w:right w:val="nil"/>
            </w:tcBorders>
            <w:shd w:val="clear" w:color="auto" w:fill="auto"/>
            <w:vAlign w:val="bottom"/>
          </w:tcPr>
          <w:p w14:paraId="57AE6AD7" w14:textId="6C0A9537" w:rsidR="00E71EDD" w:rsidRPr="00226892" w:rsidRDefault="00E71EDD" w:rsidP="00E71EDD">
            <w:pPr>
              <w:jc w:val="right"/>
              <w:rPr>
                <w:rFonts w:ascii="Arial" w:eastAsia="Times New Roman" w:hAnsi="Arial" w:cs="Arial"/>
                <w:b/>
                <w:bCs/>
                <w:color w:val="000000"/>
                <w:sz w:val="18"/>
                <w:szCs w:val="18"/>
                <w:lang w:val="sk-SK" w:eastAsia="sk-SK"/>
              </w:rPr>
            </w:pPr>
          </w:p>
        </w:tc>
        <w:tc>
          <w:tcPr>
            <w:tcW w:w="1029" w:type="pct"/>
            <w:tcBorders>
              <w:top w:val="single" w:sz="4" w:space="0" w:color="auto"/>
              <w:left w:val="nil"/>
              <w:bottom w:val="double" w:sz="6" w:space="0" w:color="auto"/>
              <w:right w:val="nil"/>
            </w:tcBorders>
            <w:shd w:val="clear" w:color="auto" w:fill="auto"/>
            <w:vAlign w:val="bottom"/>
            <w:hideMark/>
          </w:tcPr>
          <w:p w14:paraId="6037BAD5" w14:textId="4C87E05B" w:rsidR="00E71EDD" w:rsidRPr="00226892" w:rsidRDefault="00E71EDD" w:rsidP="00E71EDD">
            <w:pPr>
              <w:jc w:val="right"/>
              <w:rPr>
                <w:rFonts w:ascii="Arial" w:eastAsia="Times New Roman" w:hAnsi="Arial" w:cs="Arial"/>
                <w:b/>
                <w:bCs/>
                <w:color w:val="000000"/>
                <w:sz w:val="18"/>
                <w:szCs w:val="18"/>
                <w:lang w:val="sk-SK" w:eastAsia="sk-SK"/>
              </w:rPr>
            </w:pPr>
            <w:r w:rsidRPr="00226892">
              <w:rPr>
                <w:rFonts w:ascii="Arial" w:hAnsi="Arial" w:cs="Arial"/>
                <w:b/>
                <w:bCs/>
                <w:color w:val="000000"/>
                <w:sz w:val="18"/>
                <w:szCs w:val="18"/>
              </w:rPr>
              <w:t xml:space="preserve">  </w:t>
            </w:r>
            <w:r w:rsidR="003D39C1" w:rsidRPr="00226892">
              <w:rPr>
                <w:rFonts w:ascii="Arial" w:hAnsi="Arial" w:cs="Arial"/>
                <w:b/>
                <w:bCs/>
                <w:color w:val="000000"/>
                <w:sz w:val="18"/>
                <w:szCs w:val="18"/>
              </w:rPr>
              <w:t>31 703</w:t>
            </w:r>
            <w:r w:rsidRPr="00226892">
              <w:rPr>
                <w:rFonts w:ascii="Arial" w:hAnsi="Arial" w:cs="Arial"/>
                <w:b/>
                <w:bCs/>
                <w:color w:val="000000"/>
                <w:sz w:val="18"/>
                <w:szCs w:val="18"/>
              </w:rPr>
              <w:t xml:space="preserve">    </w:t>
            </w:r>
          </w:p>
        </w:tc>
      </w:tr>
      <w:tr w:rsidR="00E71EDD" w:rsidRPr="00226892" w14:paraId="5B7F0898" w14:textId="77777777" w:rsidTr="00DD12D6">
        <w:trPr>
          <w:trHeight w:val="227"/>
        </w:trPr>
        <w:tc>
          <w:tcPr>
            <w:tcW w:w="2680" w:type="pct"/>
            <w:tcBorders>
              <w:top w:val="nil"/>
              <w:left w:val="nil"/>
              <w:bottom w:val="nil"/>
              <w:right w:val="nil"/>
            </w:tcBorders>
            <w:shd w:val="clear" w:color="auto" w:fill="auto"/>
            <w:vAlign w:val="bottom"/>
            <w:hideMark/>
          </w:tcPr>
          <w:p w14:paraId="1561F440" w14:textId="77777777" w:rsidR="00E71EDD" w:rsidRPr="00226892" w:rsidRDefault="00E71EDD" w:rsidP="00E71EDD">
            <w:pPr>
              <w:rPr>
                <w:rFonts w:ascii="Arial" w:eastAsia="Times New Roman" w:hAnsi="Arial" w:cs="Arial"/>
                <w:b/>
                <w:bCs/>
                <w:color w:val="000000"/>
                <w:sz w:val="18"/>
                <w:szCs w:val="18"/>
                <w:lang w:val="sk-SK" w:eastAsia="sk-SK"/>
              </w:rPr>
            </w:pPr>
          </w:p>
        </w:tc>
        <w:tc>
          <w:tcPr>
            <w:tcW w:w="116" w:type="pct"/>
            <w:tcBorders>
              <w:top w:val="nil"/>
              <w:left w:val="nil"/>
              <w:bottom w:val="nil"/>
              <w:right w:val="nil"/>
            </w:tcBorders>
            <w:shd w:val="clear" w:color="auto" w:fill="auto"/>
            <w:vAlign w:val="bottom"/>
            <w:hideMark/>
          </w:tcPr>
          <w:p w14:paraId="69E40893" w14:textId="77777777" w:rsidR="00E71EDD" w:rsidRPr="00226892" w:rsidRDefault="00E71EDD" w:rsidP="00E71EDD">
            <w:pPr>
              <w:rPr>
                <w:rFonts w:ascii="Arial" w:eastAsia="Times New Roman" w:hAnsi="Arial" w:cs="Arial"/>
                <w:sz w:val="18"/>
                <w:szCs w:val="18"/>
                <w:lang w:val="sk-SK" w:eastAsia="sk-SK"/>
              </w:rPr>
            </w:pPr>
          </w:p>
        </w:tc>
        <w:tc>
          <w:tcPr>
            <w:tcW w:w="1053" w:type="pct"/>
            <w:tcBorders>
              <w:top w:val="nil"/>
              <w:left w:val="nil"/>
              <w:bottom w:val="nil"/>
              <w:right w:val="nil"/>
            </w:tcBorders>
            <w:vAlign w:val="bottom"/>
          </w:tcPr>
          <w:p w14:paraId="6D3D688B" w14:textId="77777777" w:rsidR="00E71EDD" w:rsidRPr="00226892" w:rsidRDefault="00E71EDD" w:rsidP="00E71EDD">
            <w:pPr>
              <w:jc w:val="right"/>
              <w:rPr>
                <w:rFonts w:ascii="Arial" w:eastAsia="Times New Roman" w:hAnsi="Arial" w:cs="Arial"/>
                <w:sz w:val="18"/>
                <w:szCs w:val="18"/>
                <w:lang w:val="sk-SK" w:eastAsia="sk-SK"/>
              </w:rPr>
            </w:pPr>
          </w:p>
        </w:tc>
        <w:tc>
          <w:tcPr>
            <w:tcW w:w="122" w:type="pct"/>
            <w:tcBorders>
              <w:top w:val="nil"/>
              <w:left w:val="nil"/>
              <w:bottom w:val="nil"/>
              <w:right w:val="nil"/>
            </w:tcBorders>
            <w:shd w:val="clear" w:color="auto" w:fill="auto"/>
            <w:vAlign w:val="bottom"/>
          </w:tcPr>
          <w:p w14:paraId="6C29DA9F" w14:textId="40D602FD" w:rsidR="00E71EDD" w:rsidRPr="00226892" w:rsidRDefault="00E71EDD" w:rsidP="00E71EDD">
            <w:pPr>
              <w:jc w:val="right"/>
              <w:rPr>
                <w:rFonts w:ascii="Arial" w:eastAsia="Times New Roman" w:hAnsi="Arial" w:cs="Arial"/>
                <w:sz w:val="18"/>
                <w:szCs w:val="18"/>
                <w:lang w:val="sk-SK" w:eastAsia="sk-SK"/>
              </w:rPr>
            </w:pPr>
          </w:p>
        </w:tc>
        <w:tc>
          <w:tcPr>
            <w:tcW w:w="1029" w:type="pct"/>
            <w:tcBorders>
              <w:top w:val="nil"/>
              <w:left w:val="nil"/>
              <w:bottom w:val="nil"/>
              <w:right w:val="nil"/>
            </w:tcBorders>
            <w:shd w:val="clear" w:color="auto" w:fill="auto"/>
            <w:vAlign w:val="bottom"/>
            <w:hideMark/>
          </w:tcPr>
          <w:p w14:paraId="67484B56" w14:textId="77777777" w:rsidR="00E71EDD" w:rsidRPr="00226892" w:rsidRDefault="00E71EDD" w:rsidP="00E71EDD">
            <w:pPr>
              <w:jc w:val="right"/>
              <w:rPr>
                <w:rFonts w:ascii="Arial" w:eastAsia="Times New Roman" w:hAnsi="Arial" w:cs="Arial"/>
                <w:sz w:val="18"/>
                <w:szCs w:val="18"/>
                <w:lang w:val="sk-SK" w:eastAsia="sk-SK"/>
              </w:rPr>
            </w:pPr>
          </w:p>
        </w:tc>
      </w:tr>
      <w:tr w:rsidR="00E71EDD" w:rsidRPr="00226892" w14:paraId="457D1017" w14:textId="77777777" w:rsidTr="00DD12D6">
        <w:trPr>
          <w:trHeight w:val="227"/>
        </w:trPr>
        <w:tc>
          <w:tcPr>
            <w:tcW w:w="2680" w:type="pct"/>
            <w:tcBorders>
              <w:top w:val="nil"/>
              <w:left w:val="nil"/>
              <w:bottom w:val="nil"/>
              <w:right w:val="nil"/>
            </w:tcBorders>
            <w:shd w:val="clear" w:color="auto" w:fill="auto"/>
            <w:vAlign w:val="bottom"/>
            <w:hideMark/>
          </w:tcPr>
          <w:p w14:paraId="33798DB4" w14:textId="77777777" w:rsidR="00E71EDD" w:rsidRPr="00226892" w:rsidRDefault="00E71EDD" w:rsidP="00E71EDD">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Spolu úvery </w:t>
            </w:r>
          </w:p>
        </w:tc>
        <w:tc>
          <w:tcPr>
            <w:tcW w:w="116" w:type="pct"/>
            <w:tcBorders>
              <w:top w:val="nil"/>
              <w:left w:val="nil"/>
              <w:bottom w:val="nil"/>
              <w:right w:val="nil"/>
            </w:tcBorders>
            <w:shd w:val="clear" w:color="auto" w:fill="auto"/>
            <w:vAlign w:val="bottom"/>
            <w:hideMark/>
          </w:tcPr>
          <w:p w14:paraId="593E0E1A" w14:textId="77777777" w:rsidR="00E71EDD" w:rsidRPr="00226892" w:rsidRDefault="00E71EDD" w:rsidP="00E71EDD">
            <w:pPr>
              <w:rPr>
                <w:rFonts w:ascii="Arial" w:eastAsia="Times New Roman" w:hAnsi="Arial" w:cs="Arial"/>
                <w:b/>
                <w:bCs/>
                <w:color w:val="000000"/>
                <w:sz w:val="18"/>
                <w:szCs w:val="18"/>
                <w:lang w:val="sk-SK" w:eastAsia="sk-SK"/>
              </w:rPr>
            </w:pPr>
          </w:p>
        </w:tc>
        <w:tc>
          <w:tcPr>
            <w:tcW w:w="1053" w:type="pct"/>
            <w:tcBorders>
              <w:top w:val="single" w:sz="4" w:space="0" w:color="auto"/>
              <w:left w:val="nil"/>
              <w:bottom w:val="double" w:sz="6" w:space="0" w:color="auto"/>
              <w:right w:val="nil"/>
            </w:tcBorders>
            <w:vAlign w:val="bottom"/>
          </w:tcPr>
          <w:p w14:paraId="2B5BF9A5" w14:textId="3A7E997D" w:rsidR="00E71EDD" w:rsidRPr="00226892" w:rsidRDefault="00E71EDD" w:rsidP="00E71EDD">
            <w:pPr>
              <w:jc w:val="right"/>
              <w:rPr>
                <w:rFonts w:ascii="Arial" w:hAnsi="Arial" w:cs="Arial"/>
                <w:b/>
                <w:bCs/>
                <w:color w:val="000000"/>
                <w:sz w:val="18"/>
                <w:szCs w:val="18"/>
              </w:rPr>
            </w:pPr>
            <w:r w:rsidRPr="00226892">
              <w:rPr>
                <w:rFonts w:ascii="Arial" w:hAnsi="Arial" w:cs="Arial"/>
                <w:b/>
                <w:bCs/>
                <w:color w:val="000000"/>
                <w:sz w:val="18"/>
                <w:szCs w:val="18"/>
              </w:rPr>
              <w:t>37 861</w:t>
            </w:r>
          </w:p>
        </w:tc>
        <w:tc>
          <w:tcPr>
            <w:tcW w:w="122" w:type="pct"/>
            <w:tcBorders>
              <w:left w:val="nil"/>
              <w:right w:val="nil"/>
            </w:tcBorders>
            <w:shd w:val="clear" w:color="auto" w:fill="auto"/>
            <w:vAlign w:val="bottom"/>
          </w:tcPr>
          <w:p w14:paraId="3CAFE1DF" w14:textId="6D0B5D02" w:rsidR="00E71EDD" w:rsidRPr="00226892" w:rsidRDefault="00E71EDD" w:rsidP="00E71EDD">
            <w:pPr>
              <w:jc w:val="right"/>
              <w:rPr>
                <w:rFonts w:ascii="Arial" w:eastAsia="Times New Roman" w:hAnsi="Arial" w:cs="Arial"/>
                <w:b/>
                <w:bCs/>
                <w:color w:val="000000"/>
                <w:sz w:val="18"/>
                <w:szCs w:val="18"/>
                <w:lang w:val="sk-SK" w:eastAsia="sk-SK"/>
              </w:rPr>
            </w:pPr>
          </w:p>
        </w:tc>
        <w:tc>
          <w:tcPr>
            <w:tcW w:w="1029" w:type="pct"/>
            <w:tcBorders>
              <w:top w:val="single" w:sz="4" w:space="0" w:color="auto"/>
              <w:left w:val="nil"/>
              <w:bottom w:val="double" w:sz="6" w:space="0" w:color="auto"/>
              <w:right w:val="nil"/>
            </w:tcBorders>
            <w:shd w:val="clear" w:color="auto" w:fill="auto"/>
            <w:vAlign w:val="bottom"/>
            <w:hideMark/>
          </w:tcPr>
          <w:p w14:paraId="390665D3" w14:textId="1ACD2EC4" w:rsidR="00E71EDD" w:rsidRPr="00226892" w:rsidRDefault="00E71EDD" w:rsidP="00E71EDD">
            <w:pPr>
              <w:jc w:val="right"/>
              <w:rPr>
                <w:rFonts w:ascii="Arial" w:eastAsia="Times New Roman" w:hAnsi="Arial" w:cs="Arial"/>
                <w:b/>
                <w:bCs/>
                <w:color w:val="000000"/>
                <w:sz w:val="18"/>
                <w:szCs w:val="18"/>
                <w:lang w:val="sk-SK" w:eastAsia="sk-SK"/>
              </w:rPr>
            </w:pPr>
            <w:r w:rsidRPr="00226892">
              <w:rPr>
                <w:rFonts w:ascii="Arial" w:hAnsi="Arial" w:cs="Arial"/>
                <w:b/>
                <w:bCs/>
                <w:color w:val="000000"/>
                <w:sz w:val="18"/>
                <w:szCs w:val="18"/>
              </w:rPr>
              <w:t xml:space="preserve">58 583    </w:t>
            </w:r>
          </w:p>
        </w:tc>
      </w:tr>
    </w:tbl>
    <w:p w14:paraId="21554AA4" w14:textId="7A325244" w:rsidR="00E15998" w:rsidRPr="00226892" w:rsidRDefault="00E714AC" w:rsidP="00E714AC">
      <w:pPr>
        <w:suppressAutoHyphens/>
        <w:jc w:val="both"/>
        <w:rPr>
          <w:rFonts w:ascii="Arial" w:hAnsi="Arial" w:cs="Arial"/>
          <w:szCs w:val="16"/>
        </w:rPr>
      </w:pPr>
      <w:r w:rsidRPr="00226892">
        <w:rPr>
          <w:rFonts w:ascii="Arial" w:hAnsi="Arial" w:cs="Arial"/>
          <w:sz w:val="16"/>
          <w:szCs w:val="16"/>
        </w:rPr>
        <w:t xml:space="preserve"> </w:t>
      </w:r>
      <w:bookmarkEnd w:id="458"/>
      <w:r w:rsidRPr="00226892">
        <w:rPr>
          <w:rFonts w:ascii="Arial" w:hAnsi="Arial" w:cs="Arial"/>
          <w:sz w:val="16"/>
          <w:szCs w:val="16"/>
        </w:rPr>
        <w:t xml:space="preserve"> </w:t>
      </w:r>
      <w:r w:rsidR="0089294F" w:rsidRPr="00226892">
        <w:rPr>
          <w:rFonts w:ascii="Arial" w:hAnsi="Arial" w:cs="Arial"/>
          <w:sz w:val="16"/>
          <w:szCs w:val="16"/>
        </w:rPr>
        <w:t xml:space="preserve"> </w:t>
      </w:r>
    </w:p>
    <w:p w14:paraId="601D3424" w14:textId="0652B3D8" w:rsidR="007B66EE" w:rsidRPr="00226892" w:rsidRDefault="007B66EE" w:rsidP="000405EF">
      <w:pPr>
        <w:suppressAutoHyphens/>
        <w:jc w:val="both"/>
        <w:rPr>
          <w:rFonts w:ascii="Arial" w:hAnsi="Arial" w:cs="Arial"/>
          <w:lang w:val="sk-SK"/>
        </w:rPr>
      </w:pPr>
      <w:bookmarkStart w:id="459" w:name="_Hlk485018286"/>
      <w:r w:rsidRPr="00226892">
        <w:rPr>
          <w:rFonts w:ascii="Arial" w:hAnsi="Arial" w:cs="Arial"/>
          <w:lang w:val="sk-SK"/>
        </w:rPr>
        <w:t>Bankové úvery sú zabezpečené dlhodobým hmotným majetkom (</w:t>
      </w:r>
      <w:r w:rsidR="00D13161" w:rsidRPr="00226892">
        <w:rPr>
          <w:rFonts w:ascii="Arial" w:hAnsi="Arial" w:cs="Arial"/>
          <w:lang w:val="sk-SK"/>
        </w:rPr>
        <w:t>v bode 6 p</w:t>
      </w:r>
      <w:r w:rsidRPr="00226892">
        <w:rPr>
          <w:rFonts w:ascii="Arial" w:hAnsi="Arial" w:cs="Arial"/>
          <w:lang w:val="sk-SK"/>
        </w:rPr>
        <w:t>ozn</w:t>
      </w:r>
      <w:r w:rsidR="00D13161" w:rsidRPr="00226892">
        <w:rPr>
          <w:rFonts w:ascii="Arial" w:hAnsi="Arial" w:cs="Arial"/>
          <w:lang w:val="sk-SK"/>
        </w:rPr>
        <w:t>ámok</w:t>
      </w:r>
      <w:r w:rsidRPr="00226892">
        <w:rPr>
          <w:rFonts w:ascii="Arial" w:hAnsi="Arial" w:cs="Arial"/>
          <w:lang w:val="sk-SK"/>
        </w:rPr>
        <w:t xml:space="preserve">), </w:t>
      </w:r>
      <w:r w:rsidR="0080662D" w:rsidRPr="00226892">
        <w:rPr>
          <w:rFonts w:ascii="Arial" w:hAnsi="Arial" w:cs="Arial"/>
          <w:lang w:val="sk-SK"/>
        </w:rPr>
        <w:t>pohľadávkami (</w:t>
      </w:r>
      <w:r w:rsidR="00D13161" w:rsidRPr="00226892">
        <w:rPr>
          <w:rFonts w:ascii="Arial" w:hAnsi="Arial" w:cs="Arial"/>
          <w:lang w:val="sk-SK"/>
        </w:rPr>
        <w:t>v bode 10 p</w:t>
      </w:r>
      <w:r w:rsidR="0080662D" w:rsidRPr="00226892">
        <w:rPr>
          <w:rFonts w:ascii="Arial" w:hAnsi="Arial" w:cs="Arial"/>
          <w:lang w:val="sk-SK"/>
        </w:rPr>
        <w:t>ozn</w:t>
      </w:r>
      <w:r w:rsidR="00D13161" w:rsidRPr="00226892">
        <w:rPr>
          <w:rFonts w:ascii="Arial" w:hAnsi="Arial" w:cs="Arial"/>
          <w:lang w:val="sk-SK"/>
        </w:rPr>
        <w:t>ámok</w:t>
      </w:r>
      <w:r w:rsidR="0080662D" w:rsidRPr="00226892">
        <w:rPr>
          <w:rFonts w:ascii="Arial" w:hAnsi="Arial" w:cs="Arial"/>
          <w:lang w:val="sk-SK"/>
        </w:rPr>
        <w:t>), zásobami (</w:t>
      </w:r>
      <w:r w:rsidR="00D13161" w:rsidRPr="00226892">
        <w:rPr>
          <w:rFonts w:ascii="Arial" w:hAnsi="Arial" w:cs="Arial"/>
          <w:lang w:val="sk-SK"/>
        </w:rPr>
        <w:t>v bode</w:t>
      </w:r>
      <w:r w:rsidR="00522218" w:rsidRPr="00226892">
        <w:rPr>
          <w:rFonts w:ascii="Arial" w:hAnsi="Arial" w:cs="Arial"/>
          <w:lang w:val="sk-SK"/>
        </w:rPr>
        <w:t xml:space="preserve"> 12</w:t>
      </w:r>
      <w:r w:rsidR="00D13161" w:rsidRPr="00226892">
        <w:rPr>
          <w:rFonts w:ascii="Arial" w:hAnsi="Arial" w:cs="Arial"/>
          <w:lang w:val="sk-SK"/>
        </w:rPr>
        <w:t xml:space="preserve"> p</w:t>
      </w:r>
      <w:r w:rsidR="0080662D" w:rsidRPr="00226892">
        <w:rPr>
          <w:rFonts w:ascii="Arial" w:hAnsi="Arial" w:cs="Arial"/>
          <w:lang w:val="sk-SK"/>
        </w:rPr>
        <w:t>ozn</w:t>
      </w:r>
      <w:r w:rsidR="00D13161" w:rsidRPr="00226892">
        <w:rPr>
          <w:rFonts w:ascii="Arial" w:hAnsi="Arial" w:cs="Arial"/>
          <w:lang w:val="sk-SK"/>
        </w:rPr>
        <w:t>ámok</w:t>
      </w:r>
      <w:r w:rsidR="0080662D" w:rsidRPr="00226892">
        <w:rPr>
          <w:rFonts w:ascii="Arial" w:hAnsi="Arial" w:cs="Arial"/>
          <w:lang w:val="sk-SK"/>
        </w:rPr>
        <w:t xml:space="preserve">), </w:t>
      </w:r>
      <w:r w:rsidRPr="00226892">
        <w:rPr>
          <w:rFonts w:ascii="Arial" w:hAnsi="Arial" w:cs="Arial"/>
          <w:lang w:val="sk-SK"/>
        </w:rPr>
        <w:t>patronátnym vyhlásením (</w:t>
      </w:r>
      <w:proofErr w:type="spellStart"/>
      <w:r w:rsidRPr="00226892">
        <w:rPr>
          <w:rFonts w:ascii="Arial" w:hAnsi="Arial" w:cs="Arial"/>
          <w:lang w:val="sk-SK"/>
        </w:rPr>
        <w:t>Letter</w:t>
      </w:r>
      <w:proofErr w:type="spellEnd"/>
      <w:r w:rsidRPr="00226892">
        <w:rPr>
          <w:rFonts w:ascii="Arial" w:hAnsi="Arial" w:cs="Arial"/>
          <w:lang w:val="sk-SK"/>
        </w:rPr>
        <w:t xml:space="preserve"> of </w:t>
      </w:r>
      <w:proofErr w:type="spellStart"/>
      <w:r w:rsidRPr="00226892">
        <w:rPr>
          <w:rFonts w:ascii="Arial" w:hAnsi="Arial" w:cs="Arial"/>
          <w:lang w:val="sk-SK"/>
        </w:rPr>
        <w:t>comfort</w:t>
      </w:r>
      <w:proofErr w:type="spellEnd"/>
      <w:r w:rsidRPr="00226892">
        <w:rPr>
          <w:rFonts w:ascii="Arial" w:hAnsi="Arial" w:cs="Arial"/>
          <w:lang w:val="sk-SK"/>
        </w:rPr>
        <w:t xml:space="preserve">) spoločnosti MATADOR HOLDING, </w:t>
      </w:r>
      <w:proofErr w:type="spellStart"/>
      <w:r w:rsidRPr="00226892">
        <w:rPr>
          <w:rFonts w:ascii="Arial" w:hAnsi="Arial" w:cs="Arial"/>
          <w:lang w:val="sk-SK"/>
        </w:rPr>
        <w:t>a.s</w:t>
      </w:r>
      <w:proofErr w:type="spellEnd"/>
      <w:r w:rsidRPr="00226892">
        <w:rPr>
          <w:rFonts w:ascii="Arial" w:hAnsi="Arial" w:cs="Arial"/>
          <w:lang w:val="sk-SK"/>
        </w:rPr>
        <w:t>.</w:t>
      </w:r>
      <w:r w:rsidR="0080662D" w:rsidRPr="00226892">
        <w:rPr>
          <w:rFonts w:ascii="Arial" w:hAnsi="Arial" w:cs="Arial"/>
          <w:lang w:val="sk-SK"/>
        </w:rPr>
        <w:t xml:space="preserve"> a vlastnou </w:t>
      </w:r>
      <w:proofErr w:type="spellStart"/>
      <w:r w:rsidRPr="00226892">
        <w:rPr>
          <w:rFonts w:ascii="Arial" w:hAnsi="Arial" w:cs="Arial"/>
          <w:lang w:val="sk-SK"/>
        </w:rPr>
        <w:t>bianco</w:t>
      </w:r>
      <w:proofErr w:type="spellEnd"/>
      <w:r w:rsidRPr="00226892">
        <w:rPr>
          <w:rFonts w:ascii="Arial" w:hAnsi="Arial" w:cs="Arial"/>
          <w:lang w:val="sk-SK"/>
        </w:rPr>
        <w:t xml:space="preserve"> zmenkou. Použitie vlastných zmeniek upravujú príslušné úverové zmluvy a je výlučne možné ich použiť len na zabezpečenie úverov. </w:t>
      </w:r>
    </w:p>
    <w:p w14:paraId="5B663C9E" w14:textId="77777777" w:rsidR="007B66EE" w:rsidRPr="00226892" w:rsidRDefault="007B66EE" w:rsidP="000405EF">
      <w:pPr>
        <w:jc w:val="both"/>
        <w:rPr>
          <w:rFonts w:ascii="Arial" w:eastAsia="Arial Unicode MS" w:hAnsi="Arial" w:cs="Arial"/>
          <w:lang w:val="sk-SK" w:eastAsia="sk-SK"/>
        </w:rPr>
      </w:pPr>
    </w:p>
    <w:p w14:paraId="7C3056AE" w14:textId="7E6A6D49" w:rsidR="007B66EE" w:rsidRPr="00226892" w:rsidRDefault="007B66EE" w:rsidP="000405EF">
      <w:pPr>
        <w:jc w:val="both"/>
        <w:rPr>
          <w:rFonts w:ascii="Arial" w:hAnsi="Arial" w:cs="Arial"/>
          <w:lang w:val="sk-SK"/>
        </w:rPr>
      </w:pPr>
      <w:r w:rsidRPr="00226892">
        <w:rPr>
          <w:rFonts w:ascii="Arial" w:hAnsi="Arial" w:cs="Arial"/>
          <w:lang w:val="sk-SK"/>
        </w:rPr>
        <w:t xml:space="preserve">Dlhodobé úvery sú splatné do roku </w:t>
      </w:r>
      <w:r w:rsidR="009E71F4" w:rsidRPr="00226892">
        <w:rPr>
          <w:rFonts w:ascii="Arial" w:hAnsi="Arial" w:cs="Arial"/>
          <w:lang w:val="sk-SK"/>
        </w:rPr>
        <w:t>2019</w:t>
      </w:r>
      <w:r w:rsidRPr="00226892">
        <w:rPr>
          <w:rFonts w:ascii="Arial" w:hAnsi="Arial" w:cs="Arial"/>
          <w:lang w:val="sk-SK"/>
        </w:rPr>
        <w:t>-</w:t>
      </w:r>
      <w:r w:rsidR="009E71F4" w:rsidRPr="00226892">
        <w:rPr>
          <w:rFonts w:ascii="Arial" w:hAnsi="Arial" w:cs="Arial"/>
          <w:lang w:val="sk-SK"/>
        </w:rPr>
        <w:t>2028</w:t>
      </w:r>
      <w:r w:rsidRPr="00226892">
        <w:rPr>
          <w:rFonts w:ascii="Arial" w:hAnsi="Arial" w:cs="Arial"/>
          <w:lang w:val="sk-SK"/>
        </w:rPr>
        <w:t>.</w:t>
      </w:r>
    </w:p>
    <w:p w14:paraId="657A56E2" w14:textId="77777777" w:rsidR="007B66EE" w:rsidRPr="00226892" w:rsidRDefault="007B66EE" w:rsidP="000405EF">
      <w:pPr>
        <w:suppressAutoHyphens/>
        <w:jc w:val="both"/>
        <w:rPr>
          <w:rFonts w:ascii="Arial" w:hAnsi="Arial" w:cs="Arial"/>
          <w:lang w:val="sk-SK"/>
        </w:rPr>
      </w:pPr>
    </w:p>
    <w:p w14:paraId="54CE2A76" w14:textId="33411896" w:rsidR="007477F3" w:rsidRPr="00226892" w:rsidRDefault="007B66EE" w:rsidP="002F35CB">
      <w:pPr>
        <w:suppressAutoHyphens/>
        <w:jc w:val="both"/>
        <w:rPr>
          <w:rFonts w:ascii="Arial" w:hAnsi="Arial" w:cs="Arial"/>
          <w:lang w:val="sk-SK"/>
        </w:rPr>
      </w:pPr>
      <w:r w:rsidRPr="00226892">
        <w:rPr>
          <w:rFonts w:ascii="Arial" w:hAnsi="Arial" w:cs="Arial"/>
          <w:lang w:val="sk-SK"/>
        </w:rPr>
        <w:t xml:space="preserve">Dlhodobé úvery obsahujú zmluvné podmienky, ktoré od Skupiny požadujú dosiahnuť určitú stanovenú úroveň ukazovateľov podielu </w:t>
      </w:r>
      <w:r w:rsidR="00050851" w:rsidRPr="00226892">
        <w:rPr>
          <w:rFonts w:ascii="Arial" w:hAnsi="Arial" w:cs="Arial"/>
          <w:lang w:val="sk-SK"/>
        </w:rPr>
        <w:t>vlastného imania na celkových pasívach</w:t>
      </w:r>
      <w:r w:rsidRPr="00226892">
        <w:rPr>
          <w:rFonts w:ascii="Arial" w:hAnsi="Arial" w:cs="Arial"/>
          <w:lang w:val="sk-SK"/>
        </w:rPr>
        <w:t>, úrokového krytia, celkovej likvidity a celkovej zad</w:t>
      </w:r>
      <w:r w:rsidR="00050851" w:rsidRPr="00226892">
        <w:rPr>
          <w:rFonts w:ascii="Arial" w:hAnsi="Arial" w:cs="Arial"/>
          <w:lang w:val="sk-SK"/>
        </w:rPr>
        <w:t>l</w:t>
      </w:r>
      <w:r w:rsidRPr="00226892">
        <w:rPr>
          <w:rFonts w:ascii="Arial" w:hAnsi="Arial" w:cs="Arial"/>
          <w:lang w:val="sk-SK"/>
        </w:rPr>
        <w:t>ženosti podľa údajov v štatutárnej individuálnej účtovnej závierke zostavenej v súlade so zákonom o účtovníctve platným v Slovenskej republike a nadväzujúcimi postupmi účtovania.</w:t>
      </w:r>
      <w:r w:rsidR="00672C8D" w:rsidRPr="00226892">
        <w:rPr>
          <w:rFonts w:ascii="Arial" w:hAnsi="Arial" w:cs="Arial"/>
          <w:lang w:val="sk-SK"/>
        </w:rPr>
        <w:t xml:space="preserve"> </w:t>
      </w:r>
      <w:r w:rsidR="0080662D" w:rsidRPr="00226892">
        <w:rPr>
          <w:rFonts w:ascii="Arial" w:hAnsi="Arial" w:cs="Arial"/>
          <w:lang w:val="sk-SK"/>
        </w:rPr>
        <w:t>Tieto u</w:t>
      </w:r>
      <w:r w:rsidR="00672C8D" w:rsidRPr="00226892">
        <w:rPr>
          <w:rFonts w:ascii="Arial" w:hAnsi="Arial" w:cs="Arial"/>
          <w:lang w:val="sk-SK"/>
        </w:rPr>
        <w:t>kazovatele boli k 31. decembru</w:t>
      </w:r>
      <w:r w:rsidR="0080662D" w:rsidRPr="00226892">
        <w:rPr>
          <w:rFonts w:ascii="Arial" w:hAnsi="Arial" w:cs="Arial"/>
          <w:lang w:val="sk-SK"/>
        </w:rPr>
        <w:t xml:space="preserve"> </w:t>
      </w:r>
      <w:r w:rsidR="00FD3AC5" w:rsidRPr="00226892">
        <w:rPr>
          <w:rFonts w:ascii="Arial" w:hAnsi="Arial" w:cs="Arial"/>
          <w:lang w:val="sk-SK"/>
        </w:rPr>
        <w:t>2018</w:t>
      </w:r>
      <w:r w:rsidR="00672C8D" w:rsidRPr="00226892">
        <w:rPr>
          <w:rFonts w:ascii="Arial" w:hAnsi="Arial" w:cs="Arial"/>
          <w:lang w:val="sk-SK"/>
        </w:rPr>
        <w:t xml:space="preserve"> splnené.</w:t>
      </w:r>
    </w:p>
    <w:p w14:paraId="6358F3FA" w14:textId="6E5AB43D" w:rsidR="0094026E" w:rsidRDefault="0094026E">
      <w:pPr>
        <w:rPr>
          <w:rFonts w:ascii="Arial" w:hAnsi="Arial" w:cs="Arial"/>
          <w:lang w:val="sk-SK"/>
        </w:rPr>
      </w:pPr>
      <w:r>
        <w:rPr>
          <w:rFonts w:ascii="Arial" w:hAnsi="Arial" w:cs="Arial"/>
          <w:lang w:val="sk-SK"/>
        </w:rPr>
        <w:br w:type="page"/>
      </w:r>
    </w:p>
    <w:p w14:paraId="71E08E25" w14:textId="0F7164BB" w:rsidR="004C79B8" w:rsidRPr="00226892" w:rsidRDefault="004C79B8" w:rsidP="002F35CB">
      <w:pPr>
        <w:suppressAutoHyphens/>
        <w:jc w:val="both"/>
        <w:rPr>
          <w:rFonts w:ascii="Arial" w:hAnsi="Arial" w:cs="Arial"/>
          <w:lang w:val="sk-SK"/>
        </w:rPr>
      </w:pPr>
      <w:r w:rsidRPr="00226892">
        <w:rPr>
          <w:rFonts w:ascii="Arial" w:hAnsi="Arial" w:cs="Arial"/>
          <w:lang w:val="sk-SK"/>
        </w:rPr>
        <w:lastRenderedPageBreak/>
        <w:t xml:space="preserve">Dlhodobé úvery od Všeobecnej úverovej banky, </w:t>
      </w:r>
      <w:proofErr w:type="spellStart"/>
      <w:r w:rsidRPr="00226892">
        <w:rPr>
          <w:rFonts w:ascii="Arial" w:hAnsi="Arial" w:cs="Arial"/>
          <w:lang w:val="sk-SK"/>
        </w:rPr>
        <w:t>a.s</w:t>
      </w:r>
      <w:proofErr w:type="spellEnd"/>
      <w:r w:rsidRPr="00226892">
        <w:rPr>
          <w:rFonts w:ascii="Arial" w:hAnsi="Arial" w:cs="Arial"/>
          <w:lang w:val="sk-SK"/>
        </w:rPr>
        <w:t xml:space="preserve">. k 31. decembru 2017 v celkovej hodnote 5 196 tis. EUR sú viazané na výsledky v konsolidovanej účtovnej závierke skupiny Matador Holding, </w:t>
      </w:r>
      <w:proofErr w:type="spellStart"/>
      <w:r w:rsidRPr="00226892">
        <w:rPr>
          <w:rFonts w:ascii="Arial" w:hAnsi="Arial" w:cs="Arial"/>
          <w:lang w:val="sk-SK"/>
        </w:rPr>
        <w:t>a.s</w:t>
      </w:r>
      <w:proofErr w:type="spellEnd"/>
      <w:r w:rsidRPr="00226892">
        <w:rPr>
          <w:rFonts w:ascii="Arial" w:hAnsi="Arial" w:cs="Arial"/>
          <w:lang w:val="sk-SK"/>
        </w:rPr>
        <w:t xml:space="preserve">. a to konkrétne plnenie ukazovateľa </w:t>
      </w:r>
      <w:proofErr w:type="spellStart"/>
      <w:r w:rsidRPr="00226892">
        <w:rPr>
          <w:rFonts w:ascii="Arial" w:hAnsi="Arial" w:cs="Arial"/>
          <w:lang w:val="sk-SK"/>
        </w:rPr>
        <w:t>NetDebt</w:t>
      </w:r>
      <w:proofErr w:type="spellEnd"/>
      <w:r w:rsidRPr="00226892">
        <w:rPr>
          <w:rFonts w:ascii="Arial" w:hAnsi="Arial" w:cs="Arial"/>
          <w:lang w:val="sk-SK"/>
        </w:rPr>
        <w:t xml:space="preserve">/EBITDA, ktorý nesmie prekročiť hodnotu 3,5. Nakoľko tento ukazovateľ podľa výsledkov v konsolidovanej účtovnej závierke skupiny Matador Holding, </w:t>
      </w:r>
      <w:proofErr w:type="spellStart"/>
      <w:r w:rsidRPr="00226892">
        <w:rPr>
          <w:rFonts w:ascii="Arial" w:hAnsi="Arial" w:cs="Arial"/>
          <w:lang w:val="sk-SK"/>
        </w:rPr>
        <w:t>a.s</w:t>
      </w:r>
      <w:proofErr w:type="spellEnd"/>
      <w:r w:rsidRPr="00226892">
        <w:rPr>
          <w:rFonts w:ascii="Arial" w:hAnsi="Arial" w:cs="Arial"/>
          <w:lang w:val="sk-SK"/>
        </w:rPr>
        <w:t xml:space="preserve">. nebol plnený, obdržala Spoločnosť dňa 6. júna 2018 oznámenie o súhlase so vzdaním sa práv vyplývajúcich z prípadu porušenia zmluvy (tzv. </w:t>
      </w:r>
      <w:proofErr w:type="spellStart"/>
      <w:r w:rsidRPr="00226892">
        <w:rPr>
          <w:rFonts w:ascii="Arial" w:hAnsi="Arial" w:cs="Arial"/>
          <w:lang w:val="sk-SK"/>
        </w:rPr>
        <w:t>waiver</w:t>
      </w:r>
      <w:proofErr w:type="spellEnd"/>
      <w:r w:rsidRPr="00226892">
        <w:rPr>
          <w:rFonts w:ascii="Arial" w:hAnsi="Arial" w:cs="Arial"/>
          <w:lang w:val="sk-SK"/>
        </w:rPr>
        <w:t xml:space="preserve">). </w:t>
      </w:r>
      <w:proofErr w:type="spellStart"/>
      <w:r w:rsidRPr="00226892">
        <w:rPr>
          <w:rFonts w:ascii="Arial" w:hAnsi="Arial" w:cs="Arial"/>
          <w:lang w:val="sk-SK"/>
        </w:rPr>
        <w:t>Waiver</w:t>
      </w:r>
      <w:proofErr w:type="spellEnd"/>
      <w:r w:rsidRPr="00226892">
        <w:rPr>
          <w:rFonts w:ascii="Arial" w:hAnsi="Arial" w:cs="Arial"/>
          <w:lang w:val="sk-SK"/>
        </w:rPr>
        <w:t xml:space="preserve"> bol však poskytnutý po 31. decembri 2017, preto sú v tejto účtovnej závierke Spoločnosti úvery vo výške 5 196 tis. EUR vykázané ako krátkodobé. Tento ukazovateľ bol k 31. decembru 2015 aj 31. decembru 2016 splnený. Ostatné ukazovatele boli k 31. decembru 2017, 31. decembru 2016 aj k 1. januáru 2016 tiež splnené.</w:t>
      </w:r>
    </w:p>
    <w:p w14:paraId="79192A03" w14:textId="77777777" w:rsidR="002F35CB" w:rsidRPr="00226892" w:rsidRDefault="002F35CB" w:rsidP="002F35CB">
      <w:pPr>
        <w:suppressAutoHyphens/>
        <w:jc w:val="both"/>
        <w:rPr>
          <w:rFonts w:ascii="Arial" w:hAnsi="Arial" w:cs="Arial"/>
          <w:lang w:val="sk-SK"/>
        </w:rPr>
      </w:pPr>
    </w:p>
    <w:bookmarkEnd w:id="459"/>
    <w:p w14:paraId="644C8178" w14:textId="4FE3D23D" w:rsidR="0027033D" w:rsidRPr="00226892" w:rsidRDefault="007B66EE" w:rsidP="00235CDF">
      <w:pPr>
        <w:pStyle w:val="odst"/>
      </w:pPr>
      <w:r w:rsidRPr="00226892">
        <w:t>Splatnosť dlhodobých úverov je nasledovná (zahŕňajúc záväzky z</w:t>
      </w:r>
      <w:r w:rsidR="002F7383" w:rsidRPr="00226892">
        <w:t> </w:t>
      </w:r>
      <w:r w:rsidRPr="00226892">
        <w:t>finančného leasingu):</w:t>
      </w:r>
    </w:p>
    <w:p w14:paraId="1433B3D5" w14:textId="1D50715F" w:rsidR="00E714AC" w:rsidRPr="00226892" w:rsidRDefault="00E714AC" w:rsidP="00E714AC">
      <w:pPr>
        <w:suppressAutoHyphens/>
        <w:rPr>
          <w:rFonts w:ascii="Arial" w:hAnsi="Arial" w:cs="Arial"/>
          <w:szCs w:val="18"/>
          <w:lang w:val="sk-SK"/>
        </w:rPr>
      </w:pPr>
      <w:bookmarkStart w:id="460" w:name="FWT_BorrowingsAging"/>
    </w:p>
    <w:tbl>
      <w:tblPr>
        <w:tblW w:w="5000" w:type="pct"/>
        <w:tblCellMar>
          <w:left w:w="70" w:type="dxa"/>
          <w:right w:w="70" w:type="dxa"/>
        </w:tblCellMar>
        <w:tblLook w:val="04A0" w:firstRow="1" w:lastRow="0" w:firstColumn="1" w:lastColumn="0" w:noHBand="0" w:noVBand="1"/>
      </w:tblPr>
      <w:tblGrid>
        <w:gridCol w:w="5187"/>
        <w:gridCol w:w="191"/>
        <w:gridCol w:w="2036"/>
        <w:gridCol w:w="191"/>
        <w:gridCol w:w="2034"/>
      </w:tblGrid>
      <w:tr w:rsidR="00E714AC" w:rsidRPr="00226892" w14:paraId="46B17100" w14:textId="77777777" w:rsidTr="000405EF">
        <w:trPr>
          <w:trHeight w:val="227"/>
        </w:trPr>
        <w:tc>
          <w:tcPr>
            <w:tcW w:w="2699" w:type="pct"/>
            <w:tcBorders>
              <w:top w:val="nil"/>
              <w:left w:val="nil"/>
              <w:bottom w:val="single" w:sz="4" w:space="0" w:color="auto"/>
              <w:right w:val="nil"/>
            </w:tcBorders>
            <w:shd w:val="clear" w:color="auto" w:fill="auto"/>
            <w:vAlign w:val="bottom"/>
            <w:hideMark/>
          </w:tcPr>
          <w:p w14:paraId="1E86BDAF" w14:textId="77777777" w:rsidR="00E714AC" w:rsidRPr="00226892" w:rsidRDefault="00E714AC" w:rsidP="00E714AC">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87" w:type="pct"/>
            <w:tcBorders>
              <w:top w:val="nil"/>
              <w:left w:val="nil"/>
              <w:bottom w:val="single" w:sz="4" w:space="0" w:color="auto"/>
              <w:right w:val="nil"/>
            </w:tcBorders>
            <w:shd w:val="clear" w:color="auto" w:fill="auto"/>
            <w:vAlign w:val="bottom"/>
            <w:hideMark/>
          </w:tcPr>
          <w:p w14:paraId="3227AB1B" w14:textId="77777777" w:rsidR="00E714AC" w:rsidRPr="00226892" w:rsidRDefault="00E714AC" w:rsidP="00E714AC">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064" w:type="pct"/>
            <w:tcBorders>
              <w:top w:val="nil"/>
              <w:left w:val="nil"/>
              <w:bottom w:val="single" w:sz="4" w:space="0" w:color="auto"/>
              <w:right w:val="nil"/>
            </w:tcBorders>
            <w:shd w:val="clear" w:color="auto" w:fill="auto"/>
            <w:vAlign w:val="bottom"/>
            <w:hideMark/>
          </w:tcPr>
          <w:p w14:paraId="36DBFE0E" w14:textId="22F72A84" w:rsidR="00E714AC" w:rsidRPr="00226892" w:rsidRDefault="00E714AC" w:rsidP="00634391">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D3AC5" w:rsidRPr="00226892">
              <w:rPr>
                <w:rFonts w:ascii="Arial" w:eastAsia="Times New Roman" w:hAnsi="Arial" w:cs="Arial"/>
                <w:b/>
                <w:bCs/>
                <w:color w:val="000000"/>
                <w:sz w:val="18"/>
                <w:szCs w:val="18"/>
                <w:lang w:val="sk-SK" w:eastAsia="sk-SK"/>
              </w:rPr>
              <w:t>2018</w:t>
            </w:r>
          </w:p>
        </w:tc>
        <w:tc>
          <w:tcPr>
            <w:tcW w:w="87" w:type="pct"/>
            <w:tcBorders>
              <w:top w:val="nil"/>
              <w:left w:val="nil"/>
              <w:bottom w:val="single" w:sz="4" w:space="0" w:color="auto"/>
              <w:right w:val="nil"/>
            </w:tcBorders>
            <w:shd w:val="clear" w:color="auto" w:fill="auto"/>
            <w:vAlign w:val="bottom"/>
            <w:hideMark/>
          </w:tcPr>
          <w:p w14:paraId="30AE315C" w14:textId="77777777" w:rsidR="00E714AC" w:rsidRPr="00226892" w:rsidRDefault="00E714AC" w:rsidP="00634391">
            <w:pPr>
              <w:rPr>
                <w:rFonts w:ascii="Arial" w:eastAsia="Times New Roman" w:hAnsi="Arial" w:cs="Arial"/>
                <w:b/>
                <w:bCs/>
                <w:i/>
                <w:iCs/>
                <w:color w:val="000000"/>
                <w:sz w:val="18"/>
                <w:szCs w:val="18"/>
                <w:lang w:val="sk-SK" w:eastAsia="sk-SK"/>
              </w:rPr>
            </w:pPr>
            <w:r w:rsidRPr="00226892">
              <w:rPr>
                <w:rFonts w:ascii="Arial" w:eastAsia="Times New Roman" w:hAnsi="Arial" w:cs="Arial"/>
                <w:b/>
                <w:bCs/>
                <w:i/>
                <w:iCs/>
                <w:color w:val="000000"/>
                <w:sz w:val="18"/>
                <w:szCs w:val="18"/>
                <w:lang w:val="sk-SK" w:eastAsia="sk-SK"/>
              </w:rPr>
              <w:t> </w:t>
            </w:r>
          </w:p>
        </w:tc>
        <w:tc>
          <w:tcPr>
            <w:tcW w:w="1064" w:type="pct"/>
            <w:tcBorders>
              <w:top w:val="nil"/>
              <w:left w:val="nil"/>
              <w:bottom w:val="single" w:sz="4" w:space="0" w:color="auto"/>
              <w:right w:val="nil"/>
            </w:tcBorders>
            <w:shd w:val="clear" w:color="auto" w:fill="auto"/>
            <w:vAlign w:val="bottom"/>
            <w:hideMark/>
          </w:tcPr>
          <w:p w14:paraId="25A85AD5" w14:textId="0F8550DF" w:rsidR="00E714AC" w:rsidRPr="00226892" w:rsidRDefault="00E714AC" w:rsidP="00634391">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63A77" w:rsidRPr="00226892">
              <w:rPr>
                <w:rFonts w:ascii="Arial" w:eastAsia="Times New Roman" w:hAnsi="Arial" w:cs="Arial"/>
                <w:b/>
                <w:bCs/>
                <w:color w:val="000000"/>
                <w:sz w:val="18"/>
                <w:szCs w:val="18"/>
                <w:lang w:val="sk-SK" w:eastAsia="sk-SK"/>
              </w:rPr>
              <w:t>2017</w:t>
            </w:r>
          </w:p>
        </w:tc>
      </w:tr>
      <w:tr w:rsidR="00E71EDD" w:rsidRPr="00226892" w14:paraId="6C62DFE4" w14:textId="77777777" w:rsidTr="000405EF">
        <w:trPr>
          <w:trHeight w:val="227"/>
        </w:trPr>
        <w:tc>
          <w:tcPr>
            <w:tcW w:w="2699" w:type="pct"/>
            <w:tcBorders>
              <w:top w:val="nil"/>
              <w:left w:val="nil"/>
              <w:bottom w:val="nil"/>
              <w:right w:val="nil"/>
            </w:tcBorders>
            <w:shd w:val="clear" w:color="auto" w:fill="auto"/>
            <w:vAlign w:val="bottom"/>
            <w:hideMark/>
          </w:tcPr>
          <w:p w14:paraId="2048DBC0" w14:textId="77777777" w:rsidR="00E71EDD" w:rsidRPr="00226892" w:rsidRDefault="00E71EDD" w:rsidP="00E71EDD">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 5 rokov</w:t>
            </w:r>
          </w:p>
        </w:tc>
        <w:tc>
          <w:tcPr>
            <w:tcW w:w="87" w:type="pct"/>
            <w:tcBorders>
              <w:top w:val="nil"/>
              <w:left w:val="nil"/>
              <w:bottom w:val="nil"/>
              <w:right w:val="nil"/>
            </w:tcBorders>
            <w:shd w:val="clear" w:color="auto" w:fill="auto"/>
            <w:vAlign w:val="bottom"/>
            <w:hideMark/>
          </w:tcPr>
          <w:p w14:paraId="26232AEB" w14:textId="77777777" w:rsidR="00E71EDD" w:rsidRPr="00226892" w:rsidRDefault="00E71EDD" w:rsidP="00E71EDD">
            <w:pPr>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2E324EDE" w14:textId="087C4678" w:rsidR="00E71EDD" w:rsidRPr="00226892" w:rsidRDefault="009F2456" w:rsidP="00E71ED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25 611</w:t>
            </w:r>
          </w:p>
        </w:tc>
        <w:tc>
          <w:tcPr>
            <w:tcW w:w="87" w:type="pct"/>
            <w:tcBorders>
              <w:top w:val="nil"/>
              <w:left w:val="nil"/>
              <w:bottom w:val="nil"/>
              <w:right w:val="nil"/>
            </w:tcBorders>
            <w:shd w:val="clear" w:color="auto" w:fill="auto"/>
            <w:vAlign w:val="bottom"/>
          </w:tcPr>
          <w:p w14:paraId="5B0857CA" w14:textId="77777777" w:rsidR="00E71EDD" w:rsidRPr="00226892" w:rsidRDefault="00E71EDD" w:rsidP="00E71EDD">
            <w:pPr>
              <w:jc w:val="right"/>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6A1CC29D" w14:textId="036C955A" w:rsidR="00E71EDD" w:rsidRPr="00226892" w:rsidRDefault="00B43C4D" w:rsidP="00E71ED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27 652</w:t>
            </w:r>
          </w:p>
        </w:tc>
      </w:tr>
      <w:tr w:rsidR="00E71EDD" w:rsidRPr="00226892" w14:paraId="035192FA" w14:textId="77777777" w:rsidTr="000405EF">
        <w:trPr>
          <w:trHeight w:val="227"/>
        </w:trPr>
        <w:tc>
          <w:tcPr>
            <w:tcW w:w="2699" w:type="pct"/>
            <w:tcBorders>
              <w:top w:val="nil"/>
              <w:left w:val="nil"/>
              <w:bottom w:val="nil"/>
              <w:right w:val="nil"/>
            </w:tcBorders>
            <w:shd w:val="clear" w:color="auto" w:fill="auto"/>
            <w:vAlign w:val="bottom"/>
          </w:tcPr>
          <w:p w14:paraId="68D3E4A7" w14:textId="72053DA8" w:rsidR="00E71EDD" w:rsidRPr="00226892" w:rsidRDefault="00E71EDD" w:rsidP="00E71EDD">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Nad 5 rokov</w:t>
            </w:r>
          </w:p>
        </w:tc>
        <w:tc>
          <w:tcPr>
            <w:tcW w:w="87" w:type="pct"/>
            <w:tcBorders>
              <w:top w:val="nil"/>
              <w:left w:val="nil"/>
              <w:bottom w:val="nil"/>
              <w:right w:val="nil"/>
            </w:tcBorders>
            <w:shd w:val="clear" w:color="auto" w:fill="auto"/>
            <w:vAlign w:val="bottom"/>
          </w:tcPr>
          <w:p w14:paraId="23F7CE22" w14:textId="77777777" w:rsidR="00E71EDD" w:rsidRPr="00226892" w:rsidRDefault="00E71EDD" w:rsidP="00E71EDD">
            <w:pPr>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74ABC4AB" w14:textId="25EEB308" w:rsidR="00E71EDD" w:rsidRPr="00226892" w:rsidRDefault="009F2456" w:rsidP="00E71ED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87" w:type="pct"/>
            <w:tcBorders>
              <w:top w:val="nil"/>
              <w:left w:val="nil"/>
              <w:bottom w:val="nil"/>
              <w:right w:val="nil"/>
            </w:tcBorders>
            <w:shd w:val="clear" w:color="auto" w:fill="auto"/>
            <w:vAlign w:val="bottom"/>
          </w:tcPr>
          <w:p w14:paraId="7CA4B78C" w14:textId="77777777" w:rsidR="00E71EDD" w:rsidRPr="00226892" w:rsidRDefault="00E71EDD" w:rsidP="00E71EDD">
            <w:pPr>
              <w:jc w:val="right"/>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5622778F" w14:textId="51570CED" w:rsidR="00E71EDD" w:rsidRPr="00226892" w:rsidRDefault="00E71EDD" w:rsidP="00E71ED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4 051</w:t>
            </w:r>
          </w:p>
        </w:tc>
      </w:tr>
      <w:tr w:rsidR="00E71EDD" w:rsidRPr="00226892" w14:paraId="06C269B6" w14:textId="77777777" w:rsidTr="000405EF">
        <w:trPr>
          <w:trHeight w:val="227"/>
        </w:trPr>
        <w:tc>
          <w:tcPr>
            <w:tcW w:w="2699" w:type="pct"/>
            <w:tcBorders>
              <w:top w:val="nil"/>
              <w:left w:val="nil"/>
              <w:bottom w:val="nil"/>
              <w:right w:val="nil"/>
            </w:tcBorders>
            <w:shd w:val="clear" w:color="auto" w:fill="auto"/>
            <w:vAlign w:val="bottom"/>
            <w:hideMark/>
          </w:tcPr>
          <w:p w14:paraId="28342C62" w14:textId="77777777" w:rsidR="00E71EDD" w:rsidRPr="00226892" w:rsidRDefault="00E71EDD" w:rsidP="00E71EDD">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Spolu dlhodobé úvery</w:t>
            </w:r>
          </w:p>
        </w:tc>
        <w:tc>
          <w:tcPr>
            <w:tcW w:w="87" w:type="pct"/>
            <w:tcBorders>
              <w:top w:val="nil"/>
              <w:left w:val="nil"/>
              <w:bottom w:val="nil"/>
              <w:right w:val="nil"/>
            </w:tcBorders>
            <w:shd w:val="clear" w:color="auto" w:fill="auto"/>
            <w:vAlign w:val="bottom"/>
            <w:hideMark/>
          </w:tcPr>
          <w:p w14:paraId="74977D7F" w14:textId="77777777" w:rsidR="00E71EDD" w:rsidRPr="00226892" w:rsidRDefault="00E71EDD" w:rsidP="00E71EDD">
            <w:pPr>
              <w:rPr>
                <w:rFonts w:ascii="Arial" w:eastAsia="Times New Roman" w:hAnsi="Arial" w:cs="Arial"/>
                <w:b/>
                <w:bCs/>
                <w:color w:val="000000"/>
                <w:sz w:val="18"/>
                <w:szCs w:val="18"/>
                <w:lang w:val="sk-SK" w:eastAsia="sk-SK"/>
              </w:rPr>
            </w:pPr>
          </w:p>
        </w:tc>
        <w:tc>
          <w:tcPr>
            <w:tcW w:w="1064" w:type="pct"/>
            <w:tcBorders>
              <w:top w:val="single" w:sz="4" w:space="0" w:color="auto"/>
              <w:left w:val="nil"/>
              <w:bottom w:val="double" w:sz="6" w:space="0" w:color="auto"/>
              <w:right w:val="nil"/>
            </w:tcBorders>
            <w:shd w:val="clear" w:color="auto" w:fill="auto"/>
            <w:vAlign w:val="bottom"/>
          </w:tcPr>
          <w:p w14:paraId="72B65F6E" w14:textId="1397C3D5" w:rsidR="00E71EDD" w:rsidRPr="00226892" w:rsidRDefault="009F2456" w:rsidP="00E71EDD">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25 611</w:t>
            </w:r>
          </w:p>
        </w:tc>
        <w:tc>
          <w:tcPr>
            <w:tcW w:w="87" w:type="pct"/>
            <w:tcBorders>
              <w:top w:val="nil"/>
              <w:left w:val="nil"/>
              <w:bottom w:val="nil"/>
              <w:right w:val="nil"/>
            </w:tcBorders>
            <w:shd w:val="clear" w:color="auto" w:fill="auto"/>
            <w:vAlign w:val="bottom"/>
          </w:tcPr>
          <w:p w14:paraId="5977E72F" w14:textId="77777777" w:rsidR="00E71EDD" w:rsidRPr="00226892" w:rsidRDefault="00E71EDD" w:rsidP="00E71EDD">
            <w:pPr>
              <w:jc w:val="right"/>
              <w:rPr>
                <w:rFonts w:ascii="Arial" w:eastAsia="Times New Roman" w:hAnsi="Arial" w:cs="Arial"/>
                <w:b/>
                <w:bCs/>
                <w:color w:val="000000"/>
                <w:sz w:val="18"/>
                <w:szCs w:val="18"/>
                <w:lang w:val="sk-SK" w:eastAsia="sk-SK"/>
              </w:rPr>
            </w:pPr>
          </w:p>
        </w:tc>
        <w:tc>
          <w:tcPr>
            <w:tcW w:w="1064" w:type="pct"/>
            <w:tcBorders>
              <w:top w:val="single" w:sz="4" w:space="0" w:color="auto"/>
              <w:left w:val="nil"/>
              <w:bottom w:val="double" w:sz="6" w:space="0" w:color="auto"/>
              <w:right w:val="nil"/>
            </w:tcBorders>
            <w:shd w:val="clear" w:color="auto" w:fill="auto"/>
            <w:vAlign w:val="bottom"/>
          </w:tcPr>
          <w:p w14:paraId="67ECE963" w14:textId="77AA554B" w:rsidR="00E71EDD" w:rsidRPr="00226892" w:rsidRDefault="00B43C4D" w:rsidP="00E71EDD">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31 703</w:t>
            </w:r>
          </w:p>
        </w:tc>
      </w:tr>
    </w:tbl>
    <w:p w14:paraId="2CD8D754" w14:textId="41AFE6BD" w:rsidR="00837450" w:rsidRPr="00226892" w:rsidRDefault="00E714AC" w:rsidP="00E714AC">
      <w:pPr>
        <w:suppressAutoHyphens/>
        <w:rPr>
          <w:rFonts w:ascii="Arial" w:hAnsi="Arial" w:cs="Arial"/>
          <w:szCs w:val="18"/>
        </w:rPr>
      </w:pPr>
      <w:r w:rsidRPr="00226892">
        <w:rPr>
          <w:rFonts w:ascii="Arial" w:hAnsi="Arial" w:cs="Arial"/>
          <w:sz w:val="18"/>
          <w:szCs w:val="18"/>
        </w:rPr>
        <w:t xml:space="preserve"> </w:t>
      </w:r>
      <w:bookmarkEnd w:id="460"/>
      <w:r w:rsidRPr="00226892">
        <w:rPr>
          <w:rFonts w:ascii="Arial" w:hAnsi="Arial" w:cs="Arial"/>
          <w:sz w:val="18"/>
          <w:szCs w:val="18"/>
        </w:rPr>
        <w:t xml:space="preserve"> </w:t>
      </w:r>
      <w:r w:rsidR="0089294F" w:rsidRPr="00226892">
        <w:rPr>
          <w:rFonts w:ascii="Arial" w:hAnsi="Arial" w:cs="Arial"/>
          <w:sz w:val="18"/>
          <w:szCs w:val="18"/>
        </w:rPr>
        <w:t xml:space="preserve"> </w:t>
      </w:r>
    </w:p>
    <w:p w14:paraId="6D3C5306" w14:textId="4DF14BD1" w:rsidR="003A2C32" w:rsidRPr="00226892" w:rsidRDefault="00DA5E9D" w:rsidP="000405EF">
      <w:pPr>
        <w:suppressAutoHyphens/>
        <w:rPr>
          <w:rFonts w:ascii="Arial" w:hAnsi="Arial" w:cs="Arial"/>
          <w:lang w:val="sk-SK"/>
        </w:rPr>
      </w:pPr>
      <w:r w:rsidRPr="00226892">
        <w:rPr>
          <w:rFonts w:ascii="Arial" w:hAnsi="Arial" w:cs="Arial"/>
          <w:lang w:val="sk-SK"/>
        </w:rPr>
        <w:t>Účtovná hodnota a reálna hodnota úverov sa významne neodlišujú.</w:t>
      </w:r>
    </w:p>
    <w:p w14:paraId="3CF67F39" w14:textId="549D8799" w:rsidR="003A2C32" w:rsidRPr="00226892" w:rsidRDefault="003A2C32">
      <w:pPr>
        <w:rPr>
          <w:rFonts w:ascii="Arial" w:hAnsi="Arial" w:cs="Arial"/>
          <w:lang w:val="sk-SK"/>
        </w:rPr>
      </w:pPr>
    </w:p>
    <w:p w14:paraId="39D93B62" w14:textId="77777777" w:rsidR="0027033D" w:rsidRPr="00226892" w:rsidRDefault="00DA5E9D" w:rsidP="00235CDF">
      <w:pPr>
        <w:pStyle w:val="odst"/>
      </w:pPr>
      <w:r w:rsidRPr="00226892">
        <w:t>Účtovné hodnoty úverov Skupiny sú denominované v nasledujúcich menách:</w:t>
      </w:r>
    </w:p>
    <w:p w14:paraId="767EBF07" w14:textId="59524AAB" w:rsidR="00E714AC" w:rsidRPr="00226892" w:rsidRDefault="00E714AC" w:rsidP="00E714AC">
      <w:pPr>
        <w:rPr>
          <w:rFonts w:ascii="Arial" w:hAnsi="Arial" w:cs="Arial"/>
          <w:bCs/>
          <w:iCs/>
          <w:szCs w:val="18"/>
          <w:lang w:val="sk-SK"/>
        </w:rPr>
      </w:pPr>
      <w:bookmarkStart w:id="461" w:name="FWT_BorrowingsCurrencies"/>
      <w:r w:rsidRPr="00226892">
        <w:rPr>
          <w:rFonts w:ascii="Arial" w:hAnsi="Arial" w:cs="Arial"/>
          <w:bCs/>
          <w:iCs/>
          <w:sz w:val="18"/>
          <w:szCs w:val="18"/>
          <w:lang w:val="sk-SK"/>
        </w:rPr>
        <w:t xml:space="preserve"> </w:t>
      </w:r>
    </w:p>
    <w:tbl>
      <w:tblPr>
        <w:tblW w:w="5000" w:type="pct"/>
        <w:tblCellMar>
          <w:left w:w="70" w:type="dxa"/>
          <w:right w:w="70" w:type="dxa"/>
        </w:tblCellMar>
        <w:tblLook w:val="04A0" w:firstRow="1" w:lastRow="0" w:firstColumn="1" w:lastColumn="0" w:noHBand="0" w:noVBand="1"/>
      </w:tblPr>
      <w:tblGrid>
        <w:gridCol w:w="5197"/>
        <w:gridCol w:w="191"/>
        <w:gridCol w:w="2045"/>
        <w:gridCol w:w="162"/>
        <w:gridCol w:w="2044"/>
      </w:tblGrid>
      <w:tr w:rsidR="00E714AC" w:rsidRPr="00226892" w14:paraId="1D34FCFA" w14:textId="77777777" w:rsidTr="003A2C32">
        <w:trPr>
          <w:trHeight w:val="227"/>
        </w:trPr>
        <w:tc>
          <w:tcPr>
            <w:tcW w:w="2699" w:type="pct"/>
            <w:tcBorders>
              <w:top w:val="nil"/>
              <w:left w:val="nil"/>
              <w:bottom w:val="single" w:sz="4" w:space="0" w:color="auto"/>
              <w:right w:val="nil"/>
            </w:tcBorders>
            <w:shd w:val="clear" w:color="auto" w:fill="auto"/>
            <w:vAlign w:val="bottom"/>
            <w:hideMark/>
          </w:tcPr>
          <w:p w14:paraId="77737417" w14:textId="77777777" w:rsidR="00E714AC" w:rsidRPr="00226892" w:rsidRDefault="00E714AC" w:rsidP="00E714AC">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87" w:type="pct"/>
            <w:tcBorders>
              <w:top w:val="nil"/>
              <w:left w:val="nil"/>
              <w:bottom w:val="single" w:sz="4" w:space="0" w:color="auto"/>
              <w:right w:val="nil"/>
            </w:tcBorders>
            <w:shd w:val="clear" w:color="auto" w:fill="auto"/>
            <w:vAlign w:val="bottom"/>
            <w:hideMark/>
          </w:tcPr>
          <w:p w14:paraId="23397CA2" w14:textId="77777777" w:rsidR="00E714AC" w:rsidRPr="00226892" w:rsidRDefault="00E714AC" w:rsidP="00E714AC">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064" w:type="pct"/>
            <w:tcBorders>
              <w:top w:val="nil"/>
              <w:left w:val="nil"/>
              <w:bottom w:val="single" w:sz="4" w:space="0" w:color="auto"/>
              <w:right w:val="nil"/>
            </w:tcBorders>
            <w:shd w:val="clear" w:color="auto" w:fill="auto"/>
            <w:vAlign w:val="bottom"/>
            <w:hideMark/>
          </w:tcPr>
          <w:p w14:paraId="6F6F2A71" w14:textId="7590B80D" w:rsidR="00E714AC" w:rsidRPr="00226892" w:rsidRDefault="00E714AC" w:rsidP="003A2C32">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D3AC5" w:rsidRPr="00226892">
              <w:rPr>
                <w:rFonts w:ascii="Arial" w:eastAsia="Times New Roman" w:hAnsi="Arial" w:cs="Arial"/>
                <w:b/>
                <w:bCs/>
                <w:color w:val="000000"/>
                <w:sz w:val="18"/>
                <w:szCs w:val="18"/>
                <w:lang w:val="sk-SK" w:eastAsia="sk-SK"/>
              </w:rPr>
              <w:t>2018</w:t>
            </w:r>
          </w:p>
        </w:tc>
        <w:tc>
          <w:tcPr>
            <w:tcW w:w="87" w:type="pct"/>
            <w:tcBorders>
              <w:top w:val="nil"/>
              <w:left w:val="nil"/>
              <w:bottom w:val="single" w:sz="4" w:space="0" w:color="auto"/>
              <w:right w:val="nil"/>
            </w:tcBorders>
            <w:shd w:val="clear" w:color="auto" w:fill="auto"/>
            <w:vAlign w:val="bottom"/>
            <w:hideMark/>
          </w:tcPr>
          <w:p w14:paraId="16BC17DB" w14:textId="577B6F91" w:rsidR="00E714AC" w:rsidRPr="00226892" w:rsidRDefault="00E714AC" w:rsidP="003A2C32">
            <w:pPr>
              <w:jc w:val="center"/>
              <w:rPr>
                <w:rFonts w:ascii="Arial" w:eastAsia="Times New Roman" w:hAnsi="Arial" w:cs="Arial"/>
                <w:b/>
                <w:bCs/>
                <w:color w:val="000000"/>
                <w:sz w:val="18"/>
                <w:szCs w:val="18"/>
                <w:lang w:val="sk-SK" w:eastAsia="sk-SK"/>
              </w:rPr>
            </w:pPr>
          </w:p>
        </w:tc>
        <w:tc>
          <w:tcPr>
            <w:tcW w:w="1064" w:type="pct"/>
            <w:tcBorders>
              <w:top w:val="nil"/>
              <w:left w:val="nil"/>
              <w:bottom w:val="single" w:sz="4" w:space="0" w:color="auto"/>
              <w:right w:val="nil"/>
            </w:tcBorders>
            <w:shd w:val="clear" w:color="auto" w:fill="auto"/>
            <w:vAlign w:val="bottom"/>
            <w:hideMark/>
          </w:tcPr>
          <w:p w14:paraId="48EBE820" w14:textId="1339EED9" w:rsidR="00E714AC" w:rsidRPr="00226892" w:rsidRDefault="00E714AC" w:rsidP="003A2C32">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63A77" w:rsidRPr="00226892">
              <w:rPr>
                <w:rFonts w:ascii="Arial" w:eastAsia="Times New Roman" w:hAnsi="Arial" w:cs="Arial"/>
                <w:b/>
                <w:bCs/>
                <w:color w:val="000000"/>
                <w:sz w:val="18"/>
                <w:szCs w:val="18"/>
                <w:lang w:val="sk-SK" w:eastAsia="sk-SK"/>
              </w:rPr>
              <w:t>2017</w:t>
            </w:r>
          </w:p>
        </w:tc>
      </w:tr>
      <w:tr w:rsidR="009F2456" w:rsidRPr="00226892" w14:paraId="4141150D" w14:textId="77777777" w:rsidTr="000405EF">
        <w:trPr>
          <w:trHeight w:val="227"/>
        </w:trPr>
        <w:tc>
          <w:tcPr>
            <w:tcW w:w="2699" w:type="pct"/>
            <w:tcBorders>
              <w:top w:val="nil"/>
              <w:left w:val="nil"/>
              <w:bottom w:val="nil"/>
              <w:right w:val="nil"/>
            </w:tcBorders>
            <w:shd w:val="clear" w:color="auto" w:fill="auto"/>
            <w:vAlign w:val="bottom"/>
            <w:hideMark/>
          </w:tcPr>
          <w:p w14:paraId="14D9C523" w14:textId="77777777"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EUR</w:t>
            </w:r>
          </w:p>
        </w:tc>
        <w:tc>
          <w:tcPr>
            <w:tcW w:w="87" w:type="pct"/>
            <w:tcBorders>
              <w:top w:val="nil"/>
              <w:left w:val="nil"/>
              <w:bottom w:val="nil"/>
              <w:right w:val="nil"/>
            </w:tcBorders>
            <w:shd w:val="clear" w:color="auto" w:fill="auto"/>
            <w:vAlign w:val="bottom"/>
            <w:hideMark/>
          </w:tcPr>
          <w:p w14:paraId="016C79AE" w14:textId="77777777" w:rsidR="009F2456" w:rsidRPr="00226892" w:rsidRDefault="009F2456" w:rsidP="009F2456">
            <w:pPr>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3984B0E6" w14:textId="308CBD5F"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37 861</w:t>
            </w:r>
          </w:p>
        </w:tc>
        <w:tc>
          <w:tcPr>
            <w:tcW w:w="87" w:type="pct"/>
            <w:tcBorders>
              <w:top w:val="nil"/>
              <w:left w:val="nil"/>
              <w:bottom w:val="nil"/>
              <w:right w:val="nil"/>
            </w:tcBorders>
            <w:shd w:val="clear" w:color="auto" w:fill="auto"/>
            <w:vAlign w:val="bottom"/>
          </w:tcPr>
          <w:p w14:paraId="3283333C"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6E515544" w14:textId="2249A461"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57 809</w:t>
            </w:r>
          </w:p>
        </w:tc>
      </w:tr>
      <w:tr w:rsidR="009F2456" w:rsidRPr="00226892" w14:paraId="1110114C" w14:textId="77777777" w:rsidTr="000405EF">
        <w:trPr>
          <w:trHeight w:val="227"/>
        </w:trPr>
        <w:tc>
          <w:tcPr>
            <w:tcW w:w="2699" w:type="pct"/>
            <w:tcBorders>
              <w:top w:val="nil"/>
              <w:left w:val="nil"/>
              <w:bottom w:val="nil"/>
              <w:right w:val="nil"/>
            </w:tcBorders>
            <w:shd w:val="clear" w:color="auto" w:fill="auto"/>
            <w:vAlign w:val="bottom"/>
            <w:hideMark/>
          </w:tcPr>
          <w:p w14:paraId="78D17D98" w14:textId="77777777"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CZK</w:t>
            </w:r>
          </w:p>
        </w:tc>
        <w:tc>
          <w:tcPr>
            <w:tcW w:w="87" w:type="pct"/>
            <w:tcBorders>
              <w:top w:val="nil"/>
              <w:left w:val="nil"/>
              <w:bottom w:val="nil"/>
              <w:right w:val="nil"/>
            </w:tcBorders>
            <w:shd w:val="clear" w:color="auto" w:fill="auto"/>
            <w:vAlign w:val="bottom"/>
            <w:hideMark/>
          </w:tcPr>
          <w:p w14:paraId="17CC2350" w14:textId="77777777" w:rsidR="009F2456" w:rsidRPr="00226892" w:rsidRDefault="009F2456" w:rsidP="009F2456">
            <w:pPr>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0D73678B" w14:textId="7E33DFEC"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87" w:type="pct"/>
            <w:tcBorders>
              <w:top w:val="nil"/>
              <w:left w:val="nil"/>
              <w:bottom w:val="nil"/>
              <w:right w:val="nil"/>
            </w:tcBorders>
            <w:shd w:val="clear" w:color="auto" w:fill="auto"/>
            <w:vAlign w:val="bottom"/>
          </w:tcPr>
          <w:p w14:paraId="1F57EACF"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0AD7BA3B" w14:textId="272253E7"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774</w:t>
            </w:r>
          </w:p>
        </w:tc>
      </w:tr>
      <w:tr w:rsidR="009F2456" w:rsidRPr="00226892" w14:paraId="4D234BB5" w14:textId="77777777" w:rsidTr="000405EF">
        <w:trPr>
          <w:trHeight w:val="227"/>
        </w:trPr>
        <w:tc>
          <w:tcPr>
            <w:tcW w:w="2699" w:type="pct"/>
            <w:tcBorders>
              <w:top w:val="nil"/>
              <w:left w:val="nil"/>
              <w:bottom w:val="nil"/>
              <w:right w:val="nil"/>
            </w:tcBorders>
            <w:shd w:val="clear" w:color="auto" w:fill="auto"/>
            <w:vAlign w:val="bottom"/>
            <w:hideMark/>
          </w:tcPr>
          <w:p w14:paraId="41B5D636" w14:textId="77777777" w:rsidR="009F2456" w:rsidRPr="00226892" w:rsidRDefault="009F2456" w:rsidP="009F2456">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Spolu úvery</w:t>
            </w:r>
          </w:p>
        </w:tc>
        <w:tc>
          <w:tcPr>
            <w:tcW w:w="87" w:type="pct"/>
            <w:tcBorders>
              <w:top w:val="nil"/>
              <w:left w:val="nil"/>
              <w:bottom w:val="nil"/>
              <w:right w:val="nil"/>
            </w:tcBorders>
            <w:shd w:val="clear" w:color="auto" w:fill="auto"/>
            <w:vAlign w:val="bottom"/>
            <w:hideMark/>
          </w:tcPr>
          <w:p w14:paraId="77E7BF30" w14:textId="77777777" w:rsidR="009F2456" w:rsidRPr="00226892" w:rsidRDefault="009F2456" w:rsidP="009F2456">
            <w:pPr>
              <w:rPr>
                <w:rFonts w:ascii="Arial" w:eastAsia="Times New Roman" w:hAnsi="Arial" w:cs="Arial"/>
                <w:b/>
                <w:bCs/>
                <w:color w:val="000000"/>
                <w:sz w:val="18"/>
                <w:szCs w:val="18"/>
                <w:lang w:val="sk-SK" w:eastAsia="sk-SK"/>
              </w:rPr>
            </w:pPr>
          </w:p>
        </w:tc>
        <w:tc>
          <w:tcPr>
            <w:tcW w:w="1064" w:type="pct"/>
            <w:tcBorders>
              <w:top w:val="single" w:sz="4" w:space="0" w:color="auto"/>
              <w:left w:val="nil"/>
              <w:bottom w:val="double" w:sz="6" w:space="0" w:color="auto"/>
              <w:right w:val="nil"/>
            </w:tcBorders>
            <w:shd w:val="clear" w:color="auto" w:fill="auto"/>
            <w:vAlign w:val="bottom"/>
          </w:tcPr>
          <w:p w14:paraId="109E9205" w14:textId="6AF97F6F" w:rsidR="009F2456" w:rsidRPr="00226892" w:rsidRDefault="009F2456" w:rsidP="009F245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37 861</w:t>
            </w:r>
          </w:p>
        </w:tc>
        <w:tc>
          <w:tcPr>
            <w:tcW w:w="87" w:type="pct"/>
            <w:tcBorders>
              <w:top w:val="nil"/>
              <w:left w:val="nil"/>
              <w:bottom w:val="nil"/>
              <w:right w:val="nil"/>
            </w:tcBorders>
            <w:shd w:val="clear" w:color="auto" w:fill="auto"/>
            <w:vAlign w:val="bottom"/>
          </w:tcPr>
          <w:p w14:paraId="2E548DC7" w14:textId="77777777" w:rsidR="009F2456" w:rsidRPr="00226892" w:rsidRDefault="009F2456" w:rsidP="009F2456">
            <w:pPr>
              <w:jc w:val="right"/>
              <w:rPr>
                <w:rFonts w:ascii="Arial" w:eastAsia="Times New Roman" w:hAnsi="Arial" w:cs="Arial"/>
                <w:b/>
                <w:bCs/>
                <w:color w:val="000000"/>
                <w:sz w:val="18"/>
                <w:szCs w:val="18"/>
                <w:lang w:val="sk-SK" w:eastAsia="sk-SK"/>
              </w:rPr>
            </w:pPr>
          </w:p>
        </w:tc>
        <w:tc>
          <w:tcPr>
            <w:tcW w:w="1064" w:type="pct"/>
            <w:tcBorders>
              <w:top w:val="single" w:sz="4" w:space="0" w:color="auto"/>
              <w:left w:val="nil"/>
              <w:bottom w:val="double" w:sz="6" w:space="0" w:color="auto"/>
              <w:right w:val="nil"/>
            </w:tcBorders>
            <w:shd w:val="clear" w:color="auto" w:fill="auto"/>
            <w:vAlign w:val="bottom"/>
          </w:tcPr>
          <w:p w14:paraId="7CCFDB76" w14:textId="009AC036" w:rsidR="009F2456" w:rsidRPr="00226892" w:rsidRDefault="009F2456" w:rsidP="009F245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58 583</w:t>
            </w:r>
          </w:p>
        </w:tc>
      </w:tr>
      <w:bookmarkEnd w:id="461"/>
    </w:tbl>
    <w:p w14:paraId="4EC30B06" w14:textId="77777777" w:rsidR="00C951BB" w:rsidRPr="00226892" w:rsidRDefault="00C951BB" w:rsidP="000405EF">
      <w:pPr>
        <w:suppressAutoHyphens/>
        <w:rPr>
          <w:rFonts w:ascii="Arial" w:hAnsi="Arial" w:cs="Arial"/>
          <w:bCs/>
          <w:iCs/>
          <w:lang w:val="sk-SK"/>
        </w:rPr>
      </w:pPr>
    </w:p>
    <w:p w14:paraId="0E1C60FE" w14:textId="72A5693C" w:rsidR="00837450" w:rsidRPr="00226892" w:rsidRDefault="00DA5E9D" w:rsidP="000405EF">
      <w:pPr>
        <w:suppressAutoHyphens/>
        <w:rPr>
          <w:rFonts w:ascii="Arial" w:hAnsi="Arial" w:cs="Arial"/>
          <w:bCs/>
          <w:iCs/>
          <w:lang w:val="sk-SK"/>
        </w:rPr>
      </w:pPr>
      <w:r w:rsidRPr="00226892">
        <w:rPr>
          <w:rFonts w:ascii="Arial" w:hAnsi="Arial" w:cs="Arial"/>
          <w:bCs/>
          <w:iCs/>
          <w:lang w:val="sk-SK"/>
        </w:rPr>
        <w:t>Skupina má k dispozícii nasledovné nečerpané úverové linky:</w:t>
      </w:r>
    </w:p>
    <w:p w14:paraId="3459CA6F" w14:textId="47D84D19" w:rsidR="00E714AC" w:rsidRPr="00226892" w:rsidRDefault="00E714AC" w:rsidP="00E714AC">
      <w:pPr>
        <w:suppressAutoHyphens/>
        <w:rPr>
          <w:rFonts w:ascii="Arial" w:hAnsi="Arial" w:cs="Arial"/>
          <w:bCs/>
          <w:iCs/>
          <w:sz w:val="18"/>
          <w:szCs w:val="18"/>
          <w:lang w:val="sk-SK"/>
        </w:rPr>
      </w:pPr>
      <w:bookmarkStart w:id="462" w:name="FWT_BorrowingFacilities"/>
      <w:r w:rsidRPr="00226892">
        <w:rPr>
          <w:rFonts w:ascii="Arial" w:hAnsi="Arial" w:cs="Arial"/>
          <w:bCs/>
          <w:iCs/>
          <w:sz w:val="18"/>
          <w:szCs w:val="18"/>
          <w:lang w:val="sk-SK"/>
        </w:rPr>
        <w:t xml:space="preserve"> </w:t>
      </w:r>
    </w:p>
    <w:tbl>
      <w:tblPr>
        <w:tblW w:w="5000" w:type="pct"/>
        <w:tblCellMar>
          <w:left w:w="70" w:type="dxa"/>
          <w:right w:w="70" w:type="dxa"/>
        </w:tblCellMar>
        <w:tblLook w:val="04A0" w:firstRow="1" w:lastRow="0" w:firstColumn="1" w:lastColumn="0" w:noHBand="0" w:noVBand="1"/>
      </w:tblPr>
      <w:tblGrid>
        <w:gridCol w:w="5197"/>
        <w:gridCol w:w="191"/>
        <w:gridCol w:w="2037"/>
        <w:gridCol w:w="170"/>
        <w:gridCol w:w="2044"/>
      </w:tblGrid>
      <w:tr w:rsidR="00E714AC" w:rsidRPr="00226892" w14:paraId="5C440D0D" w14:textId="77777777" w:rsidTr="003A2C32">
        <w:trPr>
          <w:trHeight w:val="227"/>
        </w:trPr>
        <w:tc>
          <w:tcPr>
            <w:tcW w:w="2699" w:type="pct"/>
            <w:tcBorders>
              <w:top w:val="nil"/>
              <w:left w:val="nil"/>
              <w:bottom w:val="single" w:sz="4" w:space="0" w:color="auto"/>
              <w:right w:val="nil"/>
            </w:tcBorders>
            <w:shd w:val="clear" w:color="auto" w:fill="auto"/>
            <w:noWrap/>
            <w:vAlign w:val="bottom"/>
            <w:hideMark/>
          </w:tcPr>
          <w:p w14:paraId="73B7CEBA" w14:textId="77777777" w:rsidR="00E714AC" w:rsidRPr="00226892" w:rsidRDefault="00E714AC" w:rsidP="00E714AC">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87" w:type="pct"/>
            <w:tcBorders>
              <w:top w:val="nil"/>
              <w:left w:val="nil"/>
              <w:bottom w:val="single" w:sz="4" w:space="0" w:color="auto"/>
              <w:right w:val="nil"/>
            </w:tcBorders>
            <w:shd w:val="clear" w:color="auto" w:fill="auto"/>
            <w:vAlign w:val="bottom"/>
            <w:hideMark/>
          </w:tcPr>
          <w:p w14:paraId="6D829D91" w14:textId="77777777" w:rsidR="00E714AC" w:rsidRPr="00226892" w:rsidRDefault="00E714AC" w:rsidP="00E714AC">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060" w:type="pct"/>
            <w:tcBorders>
              <w:top w:val="nil"/>
              <w:left w:val="nil"/>
              <w:bottom w:val="single" w:sz="4" w:space="0" w:color="auto"/>
              <w:right w:val="nil"/>
            </w:tcBorders>
            <w:shd w:val="clear" w:color="auto" w:fill="auto"/>
            <w:vAlign w:val="bottom"/>
            <w:hideMark/>
          </w:tcPr>
          <w:p w14:paraId="46E3C860" w14:textId="005FF0A3" w:rsidR="00E714AC" w:rsidRPr="00226892" w:rsidRDefault="00E714AC" w:rsidP="003A2C32">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D3AC5" w:rsidRPr="00226892">
              <w:rPr>
                <w:rFonts w:ascii="Arial" w:eastAsia="Times New Roman" w:hAnsi="Arial" w:cs="Arial"/>
                <w:b/>
                <w:bCs/>
                <w:color w:val="000000"/>
                <w:sz w:val="18"/>
                <w:szCs w:val="18"/>
                <w:lang w:val="sk-SK" w:eastAsia="sk-SK"/>
              </w:rPr>
              <w:t>2018</w:t>
            </w:r>
          </w:p>
        </w:tc>
        <w:tc>
          <w:tcPr>
            <w:tcW w:w="91" w:type="pct"/>
            <w:tcBorders>
              <w:top w:val="nil"/>
              <w:left w:val="nil"/>
              <w:bottom w:val="single" w:sz="4" w:space="0" w:color="auto"/>
              <w:right w:val="nil"/>
            </w:tcBorders>
            <w:shd w:val="clear" w:color="auto" w:fill="auto"/>
            <w:vAlign w:val="bottom"/>
            <w:hideMark/>
          </w:tcPr>
          <w:p w14:paraId="2B8AD8BA" w14:textId="367C0073" w:rsidR="00E714AC" w:rsidRPr="00226892" w:rsidRDefault="00E714AC" w:rsidP="003A2C32">
            <w:pPr>
              <w:jc w:val="center"/>
              <w:rPr>
                <w:rFonts w:ascii="Arial" w:eastAsia="Times New Roman" w:hAnsi="Arial" w:cs="Arial"/>
                <w:color w:val="000000"/>
                <w:sz w:val="18"/>
                <w:szCs w:val="18"/>
                <w:lang w:val="sk-SK" w:eastAsia="sk-SK"/>
              </w:rPr>
            </w:pPr>
          </w:p>
        </w:tc>
        <w:tc>
          <w:tcPr>
            <w:tcW w:w="1064" w:type="pct"/>
            <w:tcBorders>
              <w:top w:val="nil"/>
              <w:left w:val="nil"/>
              <w:bottom w:val="single" w:sz="4" w:space="0" w:color="auto"/>
              <w:right w:val="nil"/>
            </w:tcBorders>
            <w:shd w:val="clear" w:color="auto" w:fill="auto"/>
            <w:vAlign w:val="bottom"/>
            <w:hideMark/>
          </w:tcPr>
          <w:p w14:paraId="08A926D9" w14:textId="2BA4F3EE" w:rsidR="00E714AC" w:rsidRPr="00226892" w:rsidRDefault="00E714AC" w:rsidP="003A2C32">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63A77" w:rsidRPr="00226892">
              <w:rPr>
                <w:rFonts w:ascii="Arial" w:eastAsia="Times New Roman" w:hAnsi="Arial" w:cs="Arial"/>
                <w:b/>
                <w:bCs/>
                <w:color w:val="000000"/>
                <w:sz w:val="18"/>
                <w:szCs w:val="18"/>
                <w:lang w:val="sk-SK" w:eastAsia="sk-SK"/>
              </w:rPr>
              <w:t>2017</w:t>
            </w:r>
          </w:p>
        </w:tc>
      </w:tr>
      <w:tr w:rsidR="00E714AC" w:rsidRPr="00226892" w14:paraId="73EE63DC" w14:textId="77777777" w:rsidTr="000405EF">
        <w:trPr>
          <w:trHeight w:val="227"/>
        </w:trPr>
        <w:tc>
          <w:tcPr>
            <w:tcW w:w="2699" w:type="pct"/>
            <w:tcBorders>
              <w:top w:val="nil"/>
              <w:left w:val="nil"/>
              <w:bottom w:val="nil"/>
              <w:right w:val="nil"/>
            </w:tcBorders>
            <w:shd w:val="clear" w:color="auto" w:fill="auto"/>
            <w:vAlign w:val="bottom"/>
            <w:hideMark/>
          </w:tcPr>
          <w:p w14:paraId="39B58ABC" w14:textId="77777777" w:rsidR="00E714AC" w:rsidRPr="00226892" w:rsidRDefault="00E714AC" w:rsidP="00E714AC">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S pohyblivou úrokovou sadzbou</w:t>
            </w:r>
          </w:p>
        </w:tc>
        <w:tc>
          <w:tcPr>
            <w:tcW w:w="87" w:type="pct"/>
            <w:tcBorders>
              <w:top w:val="nil"/>
              <w:left w:val="nil"/>
              <w:bottom w:val="nil"/>
              <w:right w:val="nil"/>
            </w:tcBorders>
            <w:shd w:val="clear" w:color="auto" w:fill="auto"/>
            <w:vAlign w:val="bottom"/>
            <w:hideMark/>
          </w:tcPr>
          <w:p w14:paraId="04980E11" w14:textId="77777777" w:rsidR="00E714AC" w:rsidRPr="00226892" w:rsidRDefault="00E714AC" w:rsidP="00E714AC">
            <w:pPr>
              <w:rPr>
                <w:rFonts w:ascii="Arial" w:eastAsia="Times New Roman" w:hAnsi="Arial" w:cs="Arial"/>
                <w:color w:val="000000"/>
                <w:sz w:val="18"/>
                <w:szCs w:val="18"/>
                <w:lang w:val="sk-SK" w:eastAsia="sk-SK"/>
              </w:rPr>
            </w:pPr>
          </w:p>
        </w:tc>
        <w:tc>
          <w:tcPr>
            <w:tcW w:w="1060" w:type="pct"/>
            <w:tcBorders>
              <w:top w:val="nil"/>
              <w:left w:val="nil"/>
              <w:bottom w:val="nil"/>
              <w:right w:val="nil"/>
            </w:tcBorders>
            <w:shd w:val="clear" w:color="auto" w:fill="auto"/>
            <w:vAlign w:val="bottom"/>
            <w:hideMark/>
          </w:tcPr>
          <w:p w14:paraId="58604564" w14:textId="61C124F4" w:rsidR="001F287A" w:rsidRPr="00226892" w:rsidRDefault="00E714AC" w:rsidP="00D40B0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w:t>
            </w:r>
          </w:p>
        </w:tc>
        <w:tc>
          <w:tcPr>
            <w:tcW w:w="91" w:type="pct"/>
            <w:tcBorders>
              <w:top w:val="nil"/>
              <w:left w:val="nil"/>
              <w:bottom w:val="nil"/>
              <w:right w:val="nil"/>
            </w:tcBorders>
            <w:shd w:val="clear" w:color="auto" w:fill="auto"/>
            <w:vAlign w:val="bottom"/>
            <w:hideMark/>
          </w:tcPr>
          <w:p w14:paraId="0052F568" w14:textId="77777777" w:rsidR="00E714AC" w:rsidRPr="00226892" w:rsidRDefault="00E714AC" w:rsidP="00D40B06">
            <w:pPr>
              <w:jc w:val="right"/>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hideMark/>
          </w:tcPr>
          <w:p w14:paraId="099D55BA" w14:textId="767A3036" w:rsidR="00E714AC" w:rsidRPr="00226892" w:rsidRDefault="00E714AC" w:rsidP="00D40B0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w:t>
            </w:r>
          </w:p>
        </w:tc>
      </w:tr>
      <w:tr w:rsidR="009F2456" w:rsidRPr="00226892" w14:paraId="4B8D9F93" w14:textId="77777777" w:rsidTr="000405EF">
        <w:trPr>
          <w:trHeight w:val="227"/>
        </w:trPr>
        <w:tc>
          <w:tcPr>
            <w:tcW w:w="2699" w:type="pct"/>
            <w:tcBorders>
              <w:top w:val="nil"/>
              <w:left w:val="nil"/>
              <w:bottom w:val="nil"/>
              <w:right w:val="nil"/>
            </w:tcBorders>
            <w:shd w:val="clear" w:color="auto" w:fill="auto"/>
            <w:vAlign w:val="bottom"/>
            <w:hideMark/>
          </w:tcPr>
          <w:p w14:paraId="1B79EC58" w14:textId="77777777"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k dispozícii do jedného roka</w:t>
            </w:r>
          </w:p>
        </w:tc>
        <w:tc>
          <w:tcPr>
            <w:tcW w:w="87" w:type="pct"/>
            <w:tcBorders>
              <w:top w:val="nil"/>
              <w:left w:val="nil"/>
              <w:bottom w:val="nil"/>
              <w:right w:val="nil"/>
            </w:tcBorders>
            <w:shd w:val="clear" w:color="auto" w:fill="auto"/>
            <w:vAlign w:val="bottom"/>
            <w:hideMark/>
          </w:tcPr>
          <w:p w14:paraId="2F6CB939" w14:textId="77777777" w:rsidR="009F2456" w:rsidRPr="00226892" w:rsidRDefault="009F2456" w:rsidP="009F2456">
            <w:pPr>
              <w:rPr>
                <w:rFonts w:ascii="Arial" w:eastAsia="Times New Roman" w:hAnsi="Arial" w:cs="Arial"/>
                <w:color w:val="000000"/>
                <w:sz w:val="18"/>
                <w:szCs w:val="18"/>
                <w:lang w:val="sk-SK" w:eastAsia="sk-SK"/>
              </w:rPr>
            </w:pPr>
          </w:p>
        </w:tc>
        <w:tc>
          <w:tcPr>
            <w:tcW w:w="1060" w:type="pct"/>
            <w:tcBorders>
              <w:top w:val="nil"/>
              <w:left w:val="nil"/>
              <w:bottom w:val="nil"/>
              <w:right w:val="nil"/>
            </w:tcBorders>
            <w:shd w:val="clear" w:color="auto" w:fill="auto"/>
            <w:vAlign w:val="bottom"/>
          </w:tcPr>
          <w:p w14:paraId="790A7D98" w14:textId="722EC05C" w:rsidR="009F2456" w:rsidRPr="00226892" w:rsidRDefault="00364771"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6 921</w:t>
            </w:r>
          </w:p>
        </w:tc>
        <w:tc>
          <w:tcPr>
            <w:tcW w:w="91" w:type="pct"/>
            <w:tcBorders>
              <w:top w:val="nil"/>
              <w:left w:val="nil"/>
              <w:bottom w:val="nil"/>
              <w:right w:val="nil"/>
            </w:tcBorders>
            <w:shd w:val="clear" w:color="auto" w:fill="auto"/>
            <w:vAlign w:val="bottom"/>
          </w:tcPr>
          <w:p w14:paraId="228131C6"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515F2EA7" w14:textId="06966D88"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27 390</w:t>
            </w:r>
          </w:p>
        </w:tc>
      </w:tr>
      <w:tr w:rsidR="009F2456" w:rsidRPr="00226892" w14:paraId="0D492DA2" w14:textId="77777777" w:rsidTr="000405EF">
        <w:trPr>
          <w:trHeight w:val="227"/>
        </w:trPr>
        <w:tc>
          <w:tcPr>
            <w:tcW w:w="2699" w:type="pct"/>
            <w:tcBorders>
              <w:top w:val="nil"/>
              <w:left w:val="nil"/>
              <w:bottom w:val="nil"/>
              <w:right w:val="nil"/>
            </w:tcBorders>
            <w:shd w:val="clear" w:color="auto" w:fill="auto"/>
            <w:vAlign w:val="bottom"/>
            <w:hideMark/>
          </w:tcPr>
          <w:p w14:paraId="132F9B41" w14:textId="77777777"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k dispozícii viac ako jeden rok</w:t>
            </w:r>
          </w:p>
        </w:tc>
        <w:tc>
          <w:tcPr>
            <w:tcW w:w="87" w:type="pct"/>
            <w:tcBorders>
              <w:top w:val="nil"/>
              <w:left w:val="nil"/>
              <w:bottom w:val="nil"/>
              <w:right w:val="nil"/>
            </w:tcBorders>
            <w:shd w:val="clear" w:color="auto" w:fill="auto"/>
            <w:vAlign w:val="bottom"/>
            <w:hideMark/>
          </w:tcPr>
          <w:p w14:paraId="2463BFB7" w14:textId="77777777" w:rsidR="009F2456" w:rsidRPr="00226892" w:rsidRDefault="009F2456" w:rsidP="009F2456">
            <w:pPr>
              <w:rPr>
                <w:rFonts w:ascii="Arial" w:eastAsia="Times New Roman" w:hAnsi="Arial" w:cs="Arial"/>
                <w:color w:val="000000"/>
                <w:sz w:val="18"/>
                <w:szCs w:val="18"/>
                <w:lang w:val="sk-SK" w:eastAsia="sk-SK"/>
              </w:rPr>
            </w:pPr>
          </w:p>
        </w:tc>
        <w:tc>
          <w:tcPr>
            <w:tcW w:w="1060" w:type="pct"/>
            <w:tcBorders>
              <w:top w:val="nil"/>
              <w:left w:val="nil"/>
              <w:bottom w:val="nil"/>
              <w:right w:val="nil"/>
            </w:tcBorders>
            <w:shd w:val="clear" w:color="auto" w:fill="auto"/>
            <w:vAlign w:val="bottom"/>
          </w:tcPr>
          <w:p w14:paraId="21BEA4AD" w14:textId="53F4A14B" w:rsidR="009F2456" w:rsidRPr="00226892" w:rsidRDefault="00364771"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1" w:type="pct"/>
            <w:tcBorders>
              <w:top w:val="nil"/>
              <w:left w:val="nil"/>
              <w:bottom w:val="nil"/>
              <w:right w:val="nil"/>
            </w:tcBorders>
            <w:shd w:val="clear" w:color="auto" w:fill="auto"/>
            <w:vAlign w:val="bottom"/>
          </w:tcPr>
          <w:p w14:paraId="29C0487B"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50A96309" w14:textId="6ADC9E7F"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530</w:t>
            </w:r>
          </w:p>
        </w:tc>
      </w:tr>
      <w:tr w:rsidR="009F2456" w:rsidRPr="00226892" w14:paraId="21D09622" w14:textId="77777777" w:rsidTr="000405EF">
        <w:trPr>
          <w:trHeight w:val="227"/>
        </w:trPr>
        <w:tc>
          <w:tcPr>
            <w:tcW w:w="2699" w:type="pct"/>
            <w:tcBorders>
              <w:top w:val="nil"/>
              <w:left w:val="nil"/>
              <w:bottom w:val="nil"/>
              <w:right w:val="nil"/>
            </w:tcBorders>
            <w:shd w:val="clear" w:color="auto" w:fill="auto"/>
            <w:vAlign w:val="bottom"/>
            <w:hideMark/>
          </w:tcPr>
          <w:p w14:paraId="4B685FC4" w14:textId="36B3C486" w:rsidR="009F2456" w:rsidRPr="00226892" w:rsidRDefault="009F2456" w:rsidP="009F2456">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Spolu (Pozn. 3.1.i)</w:t>
            </w:r>
          </w:p>
        </w:tc>
        <w:tc>
          <w:tcPr>
            <w:tcW w:w="87" w:type="pct"/>
            <w:tcBorders>
              <w:top w:val="nil"/>
              <w:left w:val="nil"/>
              <w:bottom w:val="nil"/>
              <w:right w:val="nil"/>
            </w:tcBorders>
            <w:shd w:val="clear" w:color="auto" w:fill="auto"/>
            <w:vAlign w:val="bottom"/>
            <w:hideMark/>
          </w:tcPr>
          <w:p w14:paraId="7E2EB9B7" w14:textId="77777777" w:rsidR="009F2456" w:rsidRPr="00226892" w:rsidRDefault="009F2456" w:rsidP="009F2456">
            <w:pPr>
              <w:rPr>
                <w:rFonts w:ascii="Arial" w:eastAsia="Times New Roman" w:hAnsi="Arial" w:cs="Arial"/>
                <w:b/>
                <w:bCs/>
                <w:color w:val="000000"/>
                <w:sz w:val="18"/>
                <w:szCs w:val="18"/>
                <w:lang w:val="sk-SK" w:eastAsia="sk-SK"/>
              </w:rPr>
            </w:pPr>
          </w:p>
        </w:tc>
        <w:tc>
          <w:tcPr>
            <w:tcW w:w="1060" w:type="pct"/>
            <w:tcBorders>
              <w:top w:val="single" w:sz="4" w:space="0" w:color="auto"/>
              <w:left w:val="nil"/>
              <w:bottom w:val="double" w:sz="6" w:space="0" w:color="auto"/>
              <w:right w:val="nil"/>
            </w:tcBorders>
            <w:shd w:val="clear" w:color="auto" w:fill="auto"/>
            <w:vAlign w:val="bottom"/>
          </w:tcPr>
          <w:p w14:paraId="6197A7AD" w14:textId="2CB96FB0" w:rsidR="009F2456" w:rsidRPr="00226892" w:rsidRDefault="00364771" w:rsidP="009F245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6 921</w:t>
            </w:r>
          </w:p>
        </w:tc>
        <w:tc>
          <w:tcPr>
            <w:tcW w:w="91" w:type="pct"/>
            <w:tcBorders>
              <w:top w:val="nil"/>
              <w:left w:val="nil"/>
              <w:bottom w:val="nil"/>
              <w:right w:val="nil"/>
            </w:tcBorders>
            <w:shd w:val="clear" w:color="auto" w:fill="auto"/>
            <w:vAlign w:val="bottom"/>
          </w:tcPr>
          <w:p w14:paraId="12087DFA" w14:textId="77777777" w:rsidR="009F2456" w:rsidRPr="00226892" w:rsidRDefault="009F2456" w:rsidP="009F2456">
            <w:pPr>
              <w:jc w:val="right"/>
              <w:rPr>
                <w:rFonts w:ascii="Arial" w:eastAsia="Times New Roman" w:hAnsi="Arial" w:cs="Arial"/>
                <w:b/>
                <w:bCs/>
                <w:color w:val="000000"/>
                <w:sz w:val="18"/>
                <w:szCs w:val="18"/>
                <w:lang w:val="sk-SK" w:eastAsia="sk-SK"/>
              </w:rPr>
            </w:pPr>
          </w:p>
        </w:tc>
        <w:tc>
          <w:tcPr>
            <w:tcW w:w="1064" w:type="pct"/>
            <w:tcBorders>
              <w:top w:val="single" w:sz="4" w:space="0" w:color="auto"/>
              <w:left w:val="nil"/>
              <w:bottom w:val="double" w:sz="6" w:space="0" w:color="auto"/>
              <w:right w:val="nil"/>
            </w:tcBorders>
            <w:shd w:val="clear" w:color="auto" w:fill="auto"/>
            <w:vAlign w:val="bottom"/>
          </w:tcPr>
          <w:p w14:paraId="6AD5A966" w14:textId="60FE8F06" w:rsidR="009F2456" w:rsidRPr="00226892" w:rsidRDefault="009F2456" w:rsidP="009F245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27 920</w:t>
            </w:r>
          </w:p>
        </w:tc>
      </w:tr>
    </w:tbl>
    <w:p w14:paraId="714DAC18" w14:textId="50243CF0" w:rsidR="00235CDF" w:rsidRPr="00226892" w:rsidRDefault="00E714AC" w:rsidP="000405EF">
      <w:pPr>
        <w:suppressAutoHyphens/>
        <w:rPr>
          <w:rFonts w:ascii="Arial" w:hAnsi="Arial" w:cs="Arial"/>
          <w:i/>
          <w:sz w:val="18"/>
          <w:szCs w:val="18"/>
          <w:lang w:val="sk-SK"/>
        </w:rPr>
      </w:pPr>
      <w:r w:rsidRPr="00226892">
        <w:rPr>
          <w:rFonts w:ascii="Arial" w:hAnsi="Arial" w:cs="Arial"/>
          <w:bCs/>
          <w:iCs/>
          <w:sz w:val="18"/>
          <w:szCs w:val="18"/>
        </w:rPr>
        <w:t xml:space="preserve"> </w:t>
      </w:r>
      <w:bookmarkEnd w:id="462"/>
      <w:r w:rsidRPr="00226892">
        <w:rPr>
          <w:rFonts w:ascii="Arial" w:hAnsi="Arial" w:cs="Arial"/>
          <w:bCs/>
          <w:iCs/>
          <w:sz w:val="18"/>
          <w:szCs w:val="18"/>
        </w:rPr>
        <w:t xml:space="preserve"> </w:t>
      </w:r>
      <w:r w:rsidR="0089294F" w:rsidRPr="00226892">
        <w:rPr>
          <w:rFonts w:ascii="Arial" w:hAnsi="Arial" w:cs="Arial"/>
          <w:bCs/>
          <w:iCs/>
          <w:sz w:val="18"/>
          <w:szCs w:val="18"/>
        </w:rPr>
        <w:t xml:space="preserve"> </w:t>
      </w:r>
    </w:p>
    <w:p w14:paraId="021AF043" w14:textId="2B26245C" w:rsidR="00DA5E9D" w:rsidRPr="00226892" w:rsidRDefault="00DA5E9D" w:rsidP="000405EF">
      <w:pPr>
        <w:suppressAutoHyphens/>
        <w:rPr>
          <w:rFonts w:ascii="Arial" w:hAnsi="Arial" w:cs="Arial"/>
          <w:i/>
          <w:lang w:val="sk-SK"/>
        </w:rPr>
      </w:pPr>
      <w:r w:rsidRPr="00226892">
        <w:rPr>
          <w:rFonts w:ascii="Arial" w:hAnsi="Arial" w:cs="Arial"/>
          <w:i/>
          <w:lang w:val="sk-SK"/>
        </w:rPr>
        <w:t>Záväzky z finančného leasingu</w:t>
      </w:r>
    </w:p>
    <w:p w14:paraId="5E7FF5E8" w14:textId="77777777" w:rsidR="00DA5E9D" w:rsidRPr="00226892" w:rsidRDefault="00DA5E9D" w:rsidP="00A3304B">
      <w:pPr>
        <w:ind w:left="426"/>
        <w:rPr>
          <w:rFonts w:ascii="Arial" w:hAnsi="Arial" w:cs="Arial"/>
          <w:szCs w:val="18"/>
          <w:lang w:val="sk-SK"/>
        </w:rPr>
      </w:pPr>
    </w:p>
    <w:p w14:paraId="11F56F5F" w14:textId="626E01C6" w:rsidR="00577FD5" w:rsidRPr="00226892" w:rsidRDefault="00DA5E9D" w:rsidP="00235CDF">
      <w:pPr>
        <w:pStyle w:val="odst"/>
      </w:pPr>
      <w:r w:rsidRPr="00226892">
        <w:t>Minimálne leasingové splátky sú nasledovné:</w:t>
      </w:r>
      <w:bookmarkStart w:id="463" w:name="FWT_MinimumLeaseLiab"/>
      <w:r w:rsidR="00577FD5" w:rsidRPr="00226892">
        <w:t xml:space="preserve"> </w:t>
      </w:r>
    </w:p>
    <w:p w14:paraId="3146F4C1" w14:textId="77777777" w:rsidR="0036374F" w:rsidRPr="00226892" w:rsidRDefault="0036374F" w:rsidP="00235CDF">
      <w:pPr>
        <w:pStyle w:val="odst"/>
      </w:pPr>
    </w:p>
    <w:tbl>
      <w:tblPr>
        <w:tblW w:w="5000" w:type="pct"/>
        <w:tblCellMar>
          <w:left w:w="70" w:type="dxa"/>
          <w:right w:w="70" w:type="dxa"/>
        </w:tblCellMar>
        <w:tblLook w:val="04A0" w:firstRow="1" w:lastRow="0" w:firstColumn="1" w:lastColumn="0" w:noHBand="0" w:noVBand="1"/>
      </w:tblPr>
      <w:tblGrid>
        <w:gridCol w:w="4919"/>
        <w:gridCol w:w="901"/>
        <w:gridCol w:w="191"/>
        <w:gridCol w:w="974"/>
        <w:gridCol w:w="191"/>
        <w:gridCol w:w="1107"/>
        <w:gridCol w:w="191"/>
        <w:gridCol w:w="1165"/>
      </w:tblGrid>
      <w:tr w:rsidR="00A3304B" w:rsidRPr="00226892" w14:paraId="4E0FF110" w14:textId="77777777" w:rsidTr="000405EF">
        <w:trPr>
          <w:trHeight w:val="227"/>
        </w:trPr>
        <w:tc>
          <w:tcPr>
            <w:tcW w:w="2556" w:type="pct"/>
            <w:tcBorders>
              <w:top w:val="nil"/>
              <w:left w:val="nil"/>
              <w:bottom w:val="single" w:sz="4" w:space="0" w:color="auto"/>
              <w:right w:val="nil"/>
            </w:tcBorders>
            <w:shd w:val="clear" w:color="auto" w:fill="auto"/>
            <w:vAlign w:val="bottom"/>
            <w:hideMark/>
          </w:tcPr>
          <w:p w14:paraId="0FBE55B9" w14:textId="77777777" w:rsidR="00A3304B" w:rsidRPr="00226892" w:rsidRDefault="00A3304B">
            <w:pPr>
              <w:jc w:val="right"/>
              <w:rPr>
                <w:rFonts w:ascii="Arial" w:eastAsia="Times New Roman" w:hAnsi="Arial" w:cs="Arial"/>
                <w:color w:val="000000"/>
                <w:sz w:val="18"/>
                <w:szCs w:val="18"/>
                <w:lang w:val="sk-SK" w:eastAsia="sk-SK"/>
              </w:rPr>
            </w:pPr>
            <w:bookmarkStart w:id="464" w:name="RANGE!C2"/>
            <w:r w:rsidRPr="00226892">
              <w:rPr>
                <w:rFonts w:ascii="Arial" w:eastAsia="Times New Roman" w:hAnsi="Arial" w:cs="Arial"/>
                <w:color w:val="000000"/>
                <w:sz w:val="18"/>
                <w:szCs w:val="18"/>
                <w:lang w:val="sk-SK" w:eastAsia="sk-SK"/>
              </w:rPr>
              <w:t> </w:t>
            </w:r>
            <w:bookmarkEnd w:id="464"/>
          </w:p>
        </w:tc>
        <w:tc>
          <w:tcPr>
            <w:tcW w:w="472" w:type="pct"/>
            <w:tcBorders>
              <w:top w:val="nil"/>
              <w:left w:val="nil"/>
              <w:bottom w:val="single" w:sz="4" w:space="0" w:color="auto"/>
              <w:right w:val="nil"/>
            </w:tcBorders>
            <w:shd w:val="clear" w:color="auto" w:fill="auto"/>
            <w:vAlign w:val="bottom"/>
            <w:hideMark/>
          </w:tcPr>
          <w:p w14:paraId="4632572F" w14:textId="77777777" w:rsidR="00A3304B" w:rsidRPr="00226892" w:rsidRDefault="00A3304B">
            <w:pPr>
              <w:jc w:val="center"/>
              <w:rPr>
                <w:rFonts w:ascii="Arial" w:eastAsia="Times New Roman" w:hAnsi="Arial" w:cs="Arial"/>
                <w:b/>
                <w:bCs/>
                <w:color w:val="000000"/>
                <w:sz w:val="18"/>
                <w:szCs w:val="18"/>
                <w:lang w:val="sk-SK" w:eastAsia="sk-SK"/>
              </w:rPr>
            </w:pPr>
            <w:bookmarkStart w:id="465" w:name="RANGE!E2"/>
            <w:r w:rsidRPr="00226892">
              <w:rPr>
                <w:rFonts w:ascii="Arial" w:eastAsia="Times New Roman" w:hAnsi="Arial" w:cs="Arial"/>
                <w:b/>
                <w:bCs/>
                <w:color w:val="000000"/>
                <w:sz w:val="18"/>
                <w:szCs w:val="18"/>
                <w:lang w:val="sk-SK" w:eastAsia="sk-SK"/>
              </w:rPr>
              <w:t xml:space="preserve"> Do 1 roka </w:t>
            </w:r>
            <w:bookmarkEnd w:id="465"/>
          </w:p>
        </w:tc>
        <w:tc>
          <w:tcPr>
            <w:tcW w:w="91" w:type="pct"/>
            <w:tcBorders>
              <w:top w:val="nil"/>
              <w:left w:val="nil"/>
              <w:bottom w:val="single" w:sz="4" w:space="0" w:color="auto"/>
              <w:right w:val="nil"/>
            </w:tcBorders>
            <w:shd w:val="clear" w:color="auto" w:fill="auto"/>
            <w:vAlign w:val="bottom"/>
            <w:hideMark/>
          </w:tcPr>
          <w:p w14:paraId="1447853C" w14:textId="77777777" w:rsidR="00A3304B" w:rsidRPr="00226892" w:rsidRDefault="00A3304B">
            <w:pPr>
              <w:jc w:val="right"/>
              <w:rPr>
                <w:rFonts w:ascii="Arial" w:eastAsia="Times New Roman" w:hAnsi="Arial" w:cs="Arial"/>
                <w:b/>
                <w:bCs/>
                <w:color w:val="000000"/>
                <w:sz w:val="18"/>
                <w:szCs w:val="18"/>
                <w:lang w:val="sk-SK" w:eastAsia="sk-SK"/>
              </w:rPr>
            </w:pPr>
            <w:bookmarkStart w:id="466" w:name="RANGE!F2"/>
            <w:r w:rsidRPr="00226892">
              <w:rPr>
                <w:rFonts w:ascii="Arial" w:eastAsia="Times New Roman" w:hAnsi="Arial" w:cs="Arial"/>
                <w:b/>
                <w:bCs/>
                <w:color w:val="000000"/>
                <w:sz w:val="18"/>
                <w:szCs w:val="18"/>
                <w:lang w:val="sk-SK" w:eastAsia="sk-SK"/>
              </w:rPr>
              <w:t> </w:t>
            </w:r>
            <w:bookmarkEnd w:id="466"/>
          </w:p>
        </w:tc>
        <w:tc>
          <w:tcPr>
            <w:tcW w:w="510" w:type="pct"/>
            <w:tcBorders>
              <w:top w:val="nil"/>
              <w:left w:val="nil"/>
              <w:bottom w:val="single" w:sz="4" w:space="0" w:color="auto"/>
              <w:right w:val="nil"/>
            </w:tcBorders>
            <w:shd w:val="clear" w:color="auto" w:fill="auto"/>
            <w:vAlign w:val="bottom"/>
            <w:hideMark/>
          </w:tcPr>
          <w:p w14:paraId="16CF1C80" w14:textId="77777777" w:rsidR="00A3304B" w:rsidRPr="00226892" w:rsidRDefault="00A3304B">
            <w:pPr>
              <w:jc w:val="center"/>
              <w:rPr>
                <w:rFonts w:ascii="Arial" w:eastAsia="Times New Roman" w:hAnsi="Arial" w:cs="Arial"/>
                <w:b/>
                <w:bCs/>
                <w:color w:val="000000"/>
                <w:sz w:val="18"/>
                <w:szCs w:val="18"/>
                <w:lang w:val="sk-SK" w:eastAsia="sk-SK"/>
              </w:rPr>
            </w:pPr>
            <w:bookmarkStart w:id="467" w:name="RANGE!G2"/>
            <w:r w:rsidRPr="00226892">
              <w:rPr>
                <w:rFonts w:ascii="Arial" w:eastAsia="Times New Roman" w:hAnsi="Arial" w:cs="Arial"/>
                <w:b/>
                <w:bCs/>
                <w:color w:val="000000"/>
                <w:sz w:val="18"/>
                <w:szCs w:val="18"/>
                <w:lang w:val="sk-SK" w:eastAsia="sk-SK"/>
              </w:rPr>
              <w:t xml:space="preserve"> 1 až 5 rokov </w:t>
            </w:r>
            <w:bookmarkEnd w:id="467"/>
          </w:p>
        </w:tc>
        <w:tc>
          <w:tcPr>
            <w:tcW w:w="91" w:type="pct"/>
            <w:tcBorders>
              <w:top w:val="nil"/>
              <w:left w:val="nil"/>
              <w:bottom w:val="single" w:sz="4" w:space="0" w:color="auto"/>
              <w:right w:val="nil"/>
            </w:tcBorders>
            <w:shd w:val="clear" w:color="auto" w:fill="auto"/>
            <w:vAlign w:val="bottom"/>
            <w:hideMark/>
          </w:tcPr>
          <w:p w14:paraId="22851BD7" w14:textId="77777777" w:rsidR="00A3304B" w:rsidRPr="00226892" w:rsidRDefault="00A3304B">
            <w:pPr>
              <w:jc w:val="right"/>
              <w:rPr>
                <w:rFonts w:ascii="Arial" w:eastAsia="Times New Roman" w:hAnsi="Arial" w:cs="Arial"/>
                <w:b/>
                <w:bCs/>
                <w:color w:val="000000"/>
                <w:sz w:val="18"/>
                <w:szCs w:val="18"/>
                <w:lang w:val="sk-SK" w:eastAsia="sk-SK"/>
              </w:rPr>
            </w:pPr>
            <w:bookmarkStart w:id="468" w:name="RANGE!H2"/>
            <w:r w:rsidRPr="00226892">
              <w:rPr>
                <w:rFonts w:ascii="Arial" w:eastAsia="Times New Roman" w:hAnsi="Arial" w:cs="Arial"/>
                <w:b/>
                <w:bCs/>
                <w:color w:val="000000"/>
                <w:sz w:val="18"/>
                <w:szCs w:val="18"/>
                <w:lang w:val="sk-SK" w:eastAsia="sk-SK"/>
              </w:rPr>
              <w:t> </w:t>
            </w:r>
            <w:bookmarkEnd w:id="468"/>
          </w:p>
        </w:tc>
        <w:tc>
          <w:tcPr>
            <w:tcW w:w="579" w:type="pct"/>
            <w:tcBorders>
              <w:top w:val="nil"/>
              <w:left w:val="nil"/>
              <w:bottom w:val="single" w:sz="4" w:space="0" w:color="auto"/>
              <w:right w:val="nil"/>
            </w:tcBorders>
            <w:shd w:val="clear" w:color="auto" w:fill="auto"/>
            <w:vAlign w:val="bottom"/>
            <w:hideMark/>
          </w:tcPr>
          <w:p w14:paraId="6789C991" w14:textId="77777777" w:rsidR="00A3304B" w:rsidRPr="00226892" w:rsidRDefault="00A3304B">
            <w:pPr>
              <w:jc w:val="center"/>
              <w:rPr>
                <w:rFonts w:ascii="Arial" w:eastAsia="Times New Roman" w:hAnsi="Arial" w:cs="Arial"/>
                <w:b/>
                <w:bCs/>
                <w:color w:val="000000"/>
                <w:sz w:val="18"/>
                <w:szCs w:val="18"/>
                <w:lang w:val="sk-SK" w:eastAsia="sk-SK"/>
              </w:rPr>
            </w:pPr>
            <w:bookmarkStart w:id="469" w:name="RANGE!I2"/>
            <w:r w:rsidRPr="00226892">
              <w:rPr>
                <w:rFonts w:ascii="Arial" w:eastAsia="Times New Roman" w:hAnsi="Arial" w:cs="Arial"/>
                <w:b/>
                <w:bCs/>
                <w:color w:val="000000"/>
                <w:sz w:val="18"/>
                <w:szCs w:val="18"/>
                <w:lang w:val="sk-SK" w:eastAsia="sk-SK"/>
              </w:rPr>
              <w:t xml:space="preserve"> Viac ako 5 rokov </w:t>
            </w:r>
            <w:bookmarkEnd w:id="469"/>
          </w:p>
        </w:tc>
        <w:tc>
          <w:tcPr>
            <w:tcW w:w="91" w:type="pct"/>
            <w:tcBorders>
              <w:top w:val="nil"/>
              <w:left w:val="nil"/>
              <w:bottom w:val="single" w:sz="4" w:space="0" w:color="auto"/>
              <w:right w:val="nil"/>
            </w:tcBorders>
            <w:shd w:val="clear" w:color="auto" w:fill="auto"/>
            <w:vAlign w:val="bottom"/>
            <w:hideMark/>
          </w:tcPr>
          <w:p w14:paraId="2C069DF0" w14:textId="77777777" w:rsidR="00A3304B" w:rsidRPr="00226892" w:rsidRDefault="00A3304B">
            <w:pPr>
              <w:jc w:val="right"/>
              <w:rPr>
                <w:rFonts w:ascii="Arial" w:eastAsia="Times New Roman" w:hAnsi="Arial" w:cs="Arial"/>
                <w:b/>
                <w:bCs/>
                <w:color w:val="000000"/>
                <w:sz w:val="18"/>
                <w:szCs w:val="18"/>
                <w:lang w:val="sk-SK" w:eastAsia="sk-SK"/>
              </w:rPr>
            </w:pPr>
            <w:bookmarkStart w:id="470" w:name="RANGE!J2"/>
            <w:r w:rsidRPr="00226892">
              <w:rPr>
                <w:rFonts w:ascii="Arial" w:eastAsia="Times New Roman" w:hAnsi="Arial" w:cs="Arial"/>
                <w:b/>
                <w:bCs/>
                <w:color w:val="000000"/>
                <w:sz w:val="18"/>
                <w:szCs w:val="18"/>
                <w:lang w:val="sk-SK" w:eastAsia="sk-SK"/>
              </w:rPr>
              <w:t> </w:t>
            </w:r>
            <w:bookmarkEnd w:id="470"/>
          </w:p>
        </w:tc>
        <w:tc>
          <w:tcPr>
            <w:tcW w:w="609" w:type="pct"/>
            <w:tcBorders>
              <w:top w:val="nil"/>
              <w:left w:val="nil"/>
              <w:bottom w:val="single" w:sz="4" w:space="0" w:color="auto"/>
              <w:right w:val="nil"/>
            </w:tcBorders>
            <w:shd w:val="clear" w:color="auto" w:fill="auto"/>
            <w:vAlign w:val="bottom"/>
            <w:hideMark/>
          </w:tcPr>
          <w:p w14:paraId="14E5C6FF" w14:textId="77777777" w:rsidR="00A3304B" w:rsidRPr="00226892" w:rsidRDefault="00A3304B">
            <w:pPr>
              <w:jc w:val="center"/>
              <w:rPr>
                <w:rFonts w:ascii="Arial" w:eastAsia="Times New Roman" w:hAnsi="Arial" w:cs="Arial"/>
                <w:b/>
                <w:bCs/>
                <w:color w:val="000000"/>
                <w:sz w:val="18"/>
                <w:szCs w:val="18"/>
                <w:lang w:val="sk-SK" w:eastAsia="sk-SK"/>
              </w:rPr>
            </w:pPr>
            <w:bookmarkStart w:id="471" w:name="RANGE!K2"/>
            <w:r w:rsidRPr="00226892">
              <w:rPr>
                <w:rFonts w:ascii="Arial" w:eastAsia="Times New Roman" w:hAnsi="Arial" w:cs="Arial"/>
                <w:b/>
                <w:bCs/>
                <w:color w:val="000000"/>
                <w:sz w:val="18"/>
                <w:szCs w:val="18"/>
                <w:lang w:val="sk-SK" w:eastAsia="sk-SK"/>
              </w:rPr>
              <w:t xml:space="preserve"> Spolu </w:t>
            </w:r>
            <w:bookmarkEnd w:id="471"/>
          </w:p>
        </w:tc>
      </w:tr>
      <w:tr w:rsidR="00A3304B" w:rsidRPr="00226892" w14:paraId="75493CC6" w14:textId="77777777" w:rsidTr="000405EF">
        <w:trPr>
          <w:trHeight w:val="227"/>
        </w:trPr>
        <w:tc>
          <w:tcPr>
            <w:tcW w:w="2556" w:type="pct"/>
            <w:tcBorders>
              <w:top w:val="nil"/>
              <w:left w:val="nil"/>
              <w:bottom w:val="nil"/>
              <w:right w:val="nil"/>
            </w:tcBorders>
            <w:shd w:val="clear" w:color="auto" w:fill="auto"/>
            <w:vAlign w:val="bottom"/>
            <w:hideMark/>
          </w:tcPr>
          <w:p w14:paraId="549FD724" w14:textId="435968D7" w:rsidR="00A3304B" w:rsidRPr="00226892" w:rsidRDefault="00A3304B">
            <w:pPr>
              <w:rPr>
                <w:rFonts w:ascii="Arial" w:eastAsia="Times New Roman" w:hAnsi="Arial" w:cs="Arial"/>
                <w:b/>
                <w:bCs/>
                <w:color w:val="000000"/>
                <w:sz w:val="18"/>
                <w:szCs w:val="18"/>
                <w:lang w:val="sk-SK" w:eastAsia="sk-SK"/>
              </w:rPr>
            </w:pPr>
            <w:bookmarkStart w:id="472" w:name="RANGE!C3"/>
            <w:r w:rsidRPr="00226892">
              <w:rPr>
                <w:rFonts w:ascii="Arial" w:eastAsia="Times New Roman" w:hAnsi="Arial" w:cs="Arial"/>
                <w:b/>
                <w:bCs/>
                <w:color w:val="000000"/>
                <w:sz w:val="18"/>
                <w:szCs w:val="18"/>
                <w:lang w:val="sk-SK" w:eastAsia="sk-SK"/>
              </w:rPr>
              <w:t>Stav k 31-12-</w:t>
            </w:r>
            <w:bookmarkEnd w:id="472"/>
            <w:r w:rsidR="00FD3AC5" w:rsidRPr="00226892">
              <w:rPr>
                <w:rFonts w:ascii="Arial" w:eastAsia="Times New Roman" w:hAnsi="Arial" w:cs="Arial"/>
                <w:b/>
                <w:bCs/>
                <w:color w:val="000000"/>
                <w:sz w:val="18"/>
                <w:szCs w:val="18"/>
                <w:lang w:val="sk-SK" w:eastAsia="sk-SK"/>
              </w:rPr>
              <w:t>2018</w:t>
            </w:r>
          </w:p>
        </w:tc>
        <w:tc>
          <w:tcPr>
            <w:tcW w:w="472" w:type="pct"/>
            <w:tcBorders>
              <w:top w:val="nil"/>
              <w:left w:val="nil"/>
              <w:bottom w:val="nil"/>
              <w:right w:val="nil"/>
            </w:tcBorders>
            <w:shd w:val="clear" w:color="auto" w:fill="auto"/>
            <w:vAlign w:val="bottom"/>
            <w:hideMark/>
          </w:tcPr>
          <w:p w14:paraId="037E6FB1" w14:textId="269B4D27" w:rsidR="00A3304B" w:rsidRPr="00226892" w:rsidRDefault="00A3304B" w:rsidP="00D40B06">
            <w:pPr>
              <w:jc w:val="right"/>
              <w:rPr>
                <w:rFonts w:ascii="Arial" w:eastAsia="Times New Roman" w:hAnsi="Arial" w:cs="Arial"/>
                <w:sz w:val="18"/>
                <w:szCs w:val="18"/>
                <w:lang w:val="sk-SK" w:eastAsia="sk-SK"/>
              </w:rPr>
            </w:pPr>
          </w:p>
        </w:tc>
        <w:tc>
          <w:tcPr>
            <w:tcW w:w="91" w:type="pct"/>
            <w:tcBorders>
              <w:top w:val="nil"/>
              <w:left w:val="nil"/>
              <w:bottom w:val="nil"/>
              <w:right w:val="nil"/>
            </w:tcBorders>
            <w:shd w:val="clear" w:color="auto" w:fill="auto"/>
            <w:vAlign w:val="bottom"/>
            <w:hideMark/>
          </w:tcPr>
          <w:p w14:paraId="248F8F40" w14:textId="77777777" w:rsidR="00A3304B" w:rsidRPr="00226892" w:rsidRDefault="00A3304B" w:rsidP="00D40B06">
            <w:pPr>
              <w:jc w:val="right"/>
              <w:rPr>
                <w:rFonts w:ascii="Arial" w:eastAsia="Times New Roman" w:hAnsi="Arial" w:cs="Arial"/>
                <w:sz w:val="18"/>
                <w:szCs w:val="18"/>
                <w:lang w:val="sk-SK" w:eastAsia="sk-SK"/>
              </w:rPr>
            </w:pPr>
          </w:p>
        </w:tc>
        <w:tc>
          <w:tcPr>
            <w:tcW w:w="510" w:type="pct"/>
            <w:tcBorders>
              <w:top w:val="nil"/>
              <w:left w:val="nil"/>
              <w:bottom w:val="nil"/>
              <w:right w:val="nil"/>
            </w:tcBorders>
            <w:shd w:val="clear" w:color="auto" w:fill="auto"/>
            <w:vAlign w:val="bottom"/>
            <w:hideMark/>
          </w:tcPr>
          <w:p w14:paraId="32775BB3" w14:textId="77777777" w:rsidR="00A3304B" w:rsidRPr="00226892" w:rsidRDefault="00A3304B" w:rsidP="00D40B06">
            <w:pPr>
              <w:jc w:val="right"/>
              <w:rPr>
                <w:rFonts w:ascii="Arial" w:eastAsia="Times New Roman" w:hAnsi="Arial" w:cs="Arial"/>
                <w:sz w:val="18"/>
                <w:szCs w:val="18"/>
                <w:lang w:val="sk-SK" w:eastAsia="sk-SK"/>
              </w:rPr>
            </w:pPr>
          </w:p>
        </w:tc>
        <w:tc>
          <w:tcPr>
            <w:tcW w:w="91" w:type="pct"/>
            <w:tcBorders>
              <w:top w:val="nil"/>
              <w:left w:val="nil"/>
              <w:bottom w:val="nil"/>
              <w:right w:val="nil"/>
            </w:tcBorders>
            <w:shd w:val="clear" w:color="auto" w:fill="auto"/>
            <w:vAlign w:val="bottom"/>
            <w:hideMark/>
          </w:tcPr>
          <w:p w14:paraId="2805A683" w14:textId="77777777" w:rsidR="00A3304B" w:rsidRPr="00226892" w:rsidRDefault="00A3304B" w:rsidP="00D40B06">
            <w:pPr>
              <w:jc w:val="right"/>
              <w:rPr>
                <w:rFonts w:ascii="Arial" w:eastAsia="Times New Roman" w:hAnsi="Arial" w:cs="Arial"/>
                <w:sz w:val="18"/>
                <w:szCs w:val="18"/>
                <w:lang w:val="sk-SK" w:eastAsia="sk-SK"/>
              </w:rPr>
            </w:pPr>
          </w:p>
        </w:tc>
        <w:tc>
          <w:tcPr>
            <w:tcW w:w="579" w:type="pct"/>
            <w:tcBorders>
              <w:top w:val="nil"/>
              <w:left w:val="nil"/>
              <w:bottom w:val="nil"/>
              <w:right w:val="nil"/>
            </w:tcBorders>
            <w:shd w:val="clear" w:color="auto" w:fill="auto"/>
            <w:vAlign w:val="bottom"/>
            <w:hideMark/>
          </w:tcPr>
          <w:p w14:paraId="7BD1CA2D" w14:textId="77777777" w:rsidR="00A3304B" w:rsidRPr="00226892" w:rsidRDefault="00A3304B" w:rsidP="00D40B06">
            <w:pPr>
              <w:jc w:val="right"/>
              <w:rPr>
                <w:rFonts w:ascii="Arial" w:eastAsia="Times New Roman" w:hAnsi="Arial" w:cs="Arial"/>
                <w:sz w:val="18"/>
                <w:szCs w:val="18"/>
                <w:lang w:val="sk-SK" w:eastAsia="sk-SK"/>
              </w:rPr>
            </w:pPr>
          </w:p>
        </w:tc>
        <w:tc>
          <w:tcPr>
            <w:tcW w:w="91" w:type="pct"/>
            <w:tcBorders>
              <w:top w:val="nil"/>
              <w:left w:val="nil"/>
              <w:bottom w:val="nil"/>
              <w:right w:val="nil"/>
            </w:tcBorders>
            <w:shd w:val="clear" w:color="auto" w:fill="auto"/>
            <w:vAlign w:val="bottom"/>
            <w:hideMark/>
          </w:tcPr>
          <w:p w14:paraId="3A461157" w14:textId="77777777" w:rsidR="00A3304B" w:rsidRPr="00226892" w:rsidRDefault="00A3304B" w:rsidP="00D40B06">
            <w:pPr>
              <w:jc w:val="right"/>
              <w:rPr>
                <w:rFonts w:ascii="Arial" w:eastAsia="Times New Roman" w:hAnsi="Arial" w:cs="Arial"/>
                <w:sz w:val="18"/>
                <w:szCs w:val="18"/>
                <w:lang w:val="sk-SK" w:eastAsia="sk-SK"/>
              </w:rPr>
            </w:pPr>
          </w:p>
        </w:tc>
        <w:tc>
          <w:tcPr>
            <w:tcW w:w="609" w:type="pct"/>
            <w:tcBorders>
              <w:top w:val="nil"/>
              <w:left w:val="nil"/>
              <w:bottom w:val="nil"/>
              <w:right w:val="nil"/>
            </w:tcBorders>
            <w:shd w:val="clear" w:color="auto" w:fill="auto"/>
            <w:vAlign w:val="bottom"/>
            <w:hideMark/>
          </w:tcPr>
          <w:p w14:paraId="2D140D26" w14:textId="77777777" w:rsidR="00A3304B" w:rsidRPr="00226892" w:rsidRDefault="00A3304B" w:rsidP="00D40B06">
            <w:pPr>
              <w:jc w:val="right"/>
              <w:rPr>
                <w:rFonts w:ascii="Arial" w:eastAsia="Times New Roman" w:hAnsi="Arial" w:cs="Arial"/>
                <w:sz w:val="18"/>
                <w:szCs w:val="18"/>
                <w:lang w:val="sk-SK" w:eastAsia="sk-SK"/>
              </w:rPr>
            </w:pPr>
          </w:p>
        </w:tc>
      </w:tr>
      <w:tr w:rsidR="00A3304B" w:rsidRPr="00226892" w14:paraId="4A602467" w14:textId="77777777" w:rsidTr="000405EF">
        <w:trPr>
          <w:trHeight w:val="227"/>
        </w:trPr>
        <w:tc>
          <w:tcPr>
            <w:tcW w:w="2556" w:type="pct"/>
            <w:tcBorders>
              <w:top w:val="nil"/>
              <w:left w:val="nil"/>
              <w:bottom w:val="nil"/>
              <w:right w:val="nil"/>
            </w:tcBorders>
            <w:shd w:val="clear" w:color="auto" w:fill="auto"/>
            <w:noWrap/>
            <w:vAlign w:val="bottom"/>
            <w:hideMark/>
          </w:tcPr>
          <w:p w14:paraId="15AD6D32" w14:textId="42BAB7F2" w:rsidR="00A3304B" w:rsidRPr="00226892" w:rsidRDefault="00A3304B" w:rsidP="00105A7D">
            <w:pPr>
              <w:rPr>
                <w:rFonts w:ascii="Arial" w:eastAsia="Times New Roman" w:hAnsi="Arial" w:cs="Arial"/>
                <w:color w:val="000000"/>
                <w:sz w:val="18"/>
                <w:szCs w:val="18"/>
                <w:lang w:val="sk-SK" w:eastAsia="sk-SK"/>
              </w:rPr>
            </w:pPr>
            <w:bookmarkStart w:id="473" w:name="RANGE!C4"/>
            <w:r w:rsidRPr="00226892">
              <w:rPr>
                <w:rFonts w:ascii="Arial" w:eastAsia="Times New Roman" w:hAnsi="Arial" w:cs="Arial"/>
                <w:color w:val="000000"/>
                <w:sz w:val="18"/>
                <w:szCs w:val="18"/>
                <w:lang w:val="sk-SK" w:eastAsia="sk-SK"/>
              </w:rPr>
              <w:t xml:space="preserve">Minimálne leasingové splátky </w:t>
            </w:r>
            <w:bookmarkEnd w:id="473"/>
          </w:p>
        </w:tc>
        <w:tc>
          <w:tcPr>
            <w:tcW w:w="472" w:type="pct"/>
            <w:tcBorders>
              <w:top w:val="nil"/>
              <w:left w:val="nil"/>
              <w:bottom w:val="nil"/>
              <w:right w:val="nil"/>
            </w:tcBorders>
            <w:shd w:val="clear" w:color="auto" w:fill="auto"/>
            <w:vAlign w:val="bottom"/>
          </w:tcPr>
          <w:p w14:paraId="53F17567" w14:textId="26028B3C" w:rsidR="00A3304B" w:rsidRPr="00226892" w:rsidRDefault="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176</w:t>
            </w:r>
          </w:p>
        </w:tc>
        <w:tc>
          <w:tcPr>
            <w:tcW w:w="91" w:type="pct"/>
            <w:tcBorders>
              <w:top w:val="nil"/>
              <w:left w:val="nil"/>
              <w:bottom w:val="nil"/>
              <w:right w:val="nil"/>
            </w:tcBorders>
            <w:shd w:val="clear" w:color="auto" w:fill="auto"/>
            <w:vAlign w:val="bottom"/>
          </w:tcPr>
          <w:p w14:paraId="7131D08C" w14:textId="77777777" w:rsidR="00A3304B" w:rsidRPr="00226892" w:rsidRDefault="00A3304B" w:rsidP="00D40B06">
            <w:pPr>
              <w:jc w:val="right"/>
              <w:rPr>
                <w:rFonts w:ascii="Arial" w:eastAsia="Times New Roman" w:hAnsi="Arial" w:cs="Arial"/>
                <w:color w:val="000000"/>
                <w:sz w:val="18"/>
                <w:szCs w:val="18"/>
                <w:lang w:val="sk-SK" w:eastAsia="sk-SK"/>
              </w:rPr>
            </w:pPr>
          </w:p>
        </w:tc>
        <w:tc>
          <w:tcPr>
            <w:tcW w:w="510" w:type="pct"/>
            <w:tcBorders>
              <w:top w:val="nil"/>
              <w:left w:val="nil"/>
              <w:bottom w:val="nil"/>
              <w:right w:val="nil"/>
            </w:tcBorders>
            <w:shd w:val="clear" w:color="auto" w:fill="auto"/>
            <w:vAlign w:val="bottom"/>
          </w:tcPr>
          <w:p w14:paraId="1F1A8CCA" w14:textId="1AE1FC51" w:rsidR="00A3304B" w:rsidRPr="00226892" w:rsidRDefault="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386</w:t>
            </w:r>
          </w:p>
        </w:tc>
        <w:tc>
          <w:tcPr>
            <w:tcW w:w="91" w:type="pct"/>
            <w:tcBorders>
              <w:top w:val="nil"/>
              <w:left w:val="nil"/>
              <w:bottom w:val="nil"/>
              <w:right w:val="nil"/>
            </w:tcBorders>
            <w:shd w:val="clear" w:color="auto" w:fill="auto"/>
            <w:vAlign w:val="bottom"/>
          </w:tcPr>
          <w:p w14:paraId="5897D3A9" w14:textId="77777777" w:rsidR="00A3304B" w:rsidRPr="00226892" w:rsidRDefault="00A3304B" w:rsidP="00D40B06">
            <w:pPr>
              <w:jc w:val="right"/>
              <w:rPr>
                <w:rFonts w:ascii="Arial" w:eastAsia="Times New Roman" w:hAnsi="Arial" w:cs="Arial"/>
                <w:color w:val="000000"/>
                <w:sz w:val="18"/>
                <w:szCs w:val="18"/>
                <w:lang w:val="sk-SK" w:eastAsia="sk-SK"/>
              </w:rPr>
            </w:pPr>
          </w:p>
        </w:tc>
        <w:tc>
          <w:tcPr>
            <w:tcW w:w="579" w:type="pct"/>
            <w:tcBorders>
              <w:top w:val="nil"/>
              <w:left w:val="nil"/>
              <w:bottom w:val="nil"/>
              <w:right w:val="nil"/>
            </w:tcBorders>
            <w:shd w:val="clear" w:color="auto" w:fill="auto"/>
            <w:vAlign w:val="bottom"/>
          </w:tcPr>
          <w:p w14:paraId="539FCFA9" w14:textId="6A99666C" w:rsidR="00A3304B" w:rsidRPr="00226892" w:rsidRDefault="009F2456" w:rsidP="00D40B0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1" w:type="pct"/>
            <w:tcBorders>
              <w:top w:val="nil"/>
              <w:left w:val="nil"/>
              <w:bottom w:val="nil"/>
              <w:right w:val="nil"/>
            </w:tcBorders>
            <w:shd w:val="clear" w:color="auto" w:fill="auto"/>
            <w:vAlign w:val="bottom"/>
          </w:tcPr>
          <w:p w14:paraId="34EE7B5C" w14:textId="77777777" w:rsidR="00A3304B" w:rsidRPr="00226892" w:rsidRDefault="00A3304B" w:rsidP="00D40B06">
            <w:pPr>
              <w:jc w:val="right"/>
              <w:rPr>
                <w:rFonts w:ascii="Arial" w:eastAsia="Times New Roman" w:hAnsi="Arial" w:cs="Arial"/>
                <w:color w:val="000000"/>
                <w:sz w:val="18"/>
                <w:szCs w:val="18"/>
                <w:lang w:val="sk-SK" w:eastAsia="sk-SK"/>
              </w:rPr>
            </w:pPr>
          </w:p>
        </w:tc>
        <w:tc>
          <w:tcPr>
            <w:tcW w:w="609" w:type="pct"/>
            <w:tcBorders>
              <w:top w:val="nil"/>
              <w:left w:val="nil"/>
              <w:bottom w:val="nil"/>
              <w:right w:val="nil"/>
            </w:tcBorders>
            <w:shd w:val="clear" w:color="auto" w:fill="auto"/>
            <w:vAlign w:val="bottom"/>
          </w:tcPr>
          <w:p w14:paraId="3BFF40A7" w14:textId="19FB2384" w:rsidR="00A3304B" w:rsidRPr="00226892" w:rsidRDefault="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562</w:t>
            </w:r>
          </w:p>
        </w:tc>
      </w:tr>
      <w:tr w:rsidR="00A3304B" w:rsidRPr="00226892" w14:paraId="16F05D63" w14:textId="77777777" w:rsidTr="000405EF">
        <w:trPr>
          <w:trHeight w:val="227"/>
        </w:trPr>
        <w:tc>
          <w:tcPr>
            <w:tcW w:w="2556" w:type="pct"/>
            <w:tcBorders>
              <w:top w:val="nil"/>
              <w:left w:val="nil"/>
              <w:bottom w:val="nil"/>
              <w:right w:val="nil"/>
            </w:tcBorders>
            <w:shd w:val="clear" w:color="auto" w:fill="auto"/>
            <w:vAlign w:val="bottom"/>
            <w:hideMark/>
          </w:tcPr>
          <w:p w14:paraId="6561662C" w14:textId="0E61C68F" w:rsidR="00A3304B" w:rsidRPr="00226892" w:rsidRDefault="00A3304B">
            <w:pPr>
              <w:rPr>
                <w:rFonts w:ascii="Arial" w:eastAsia="Times New Roman" w:hAnsi="Arial" w:cs="Arial"/>
                <w:color w:val="000000"/>
                <w:sz w:val="18"/>
                <w:szCs w:val="18"/>
                <w:lang w:val="sk-SK" w:eastAsia="sk-SK"/>
              </w:rPr>
            </w:pPr>
            <w:bookmarkStart w:id="474" w:name="RANGE!C5"/>
            <w:r w:rsidRPr="00226892">
              <w:rPr>
                <w:rFonts w:ascii="Arial" w:eastAsia="Times New Roman" w:hAnsi="Arial" w:cs="Arial"/>
                <w:color w:val="000000"/>
                <w:sz w:val="18"/>
                <w:szCs w:val="18"/>
                <w:lang w:val="sk-SK" w:eastAsia="sk-SK"/>
              </w:rPr>
              <w:t>Mínus budúce finančné náklady z finančného prenájmu</w:t>
            </w:r>
            <w:bookmarkEnd w:id="474"/>
          </w:p>
        </w:tc>
        <w:tc>
          <w:tcPr>
            <w:tcW w:w="472" w:type="pct"/>
            <w:tcBorders>
              <w:top w:val="nil"/>
              <w:left w:val="nil"/>
              <w:bottom w:val="nil"/>
              <w:right w:val="nil"/>
            </w:tcBorders>
            <w:shd w:val="clear" w:color="auto" w:fill="auto"/>
            <w:vAlign w:val="bottom"/>
          </w:tcPr>
          <w:p w14:paraId="7219B8AE" w14:textId="528E301B" w:rsidR="00A3304B" w:rsidRPr="00226892" w:rsidRDefault="009F2456" w:rsidP="00D40B0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-8</w:t>
            </w:r>
          </w:p>
        </w:tc>
        <w:tc>
          <w:tcPr>
            <w:tcW w:w="91" w:type="pct"/>
            <w:tcBorders>
              <w:top w:val="nil"/>
              <w:left w:val="nil"/>
              <w:bottom w:val="nil"/>
              <w:right w:val="nil"/>
            </w:tcBorders>
            <w:shd w:val="clear" w:color="auto" w:fill="auto"/>
            <w:vAlign w:val="bottom"/>
          </w:tcPr>
          <w:p w14:paraId="5FCEE604" w14:textId="77777777" w:rsidR="00A3304B" w:rsidRPr="00226892" w:rsidRDefault="00A3304B" w:rsidP="00D40B06">
            <w:pPr>
              <w:jc w:val="right"/>
              <w:rPr>
                <w:rFonts w:ascii="Arial" w:eastAsia="Times New Roman" w:hAnsi="Arial" w:cs="Arial"/>
                <w:color w:val="000000"/>
                <w:sz w:val="18"/>
                <w:szCs w:val="18"/>
                <w:lang w:val="sk-SK" w:eastAsia="sk-SK"/>
              </w:rPr>
            </w:pPr>
          </w:p>
        </w:tc>
        <w:tc>
          <w:tcPr>
            <w:tcW w:w="510" w:type="pct"/>
            <w:tcBorders>
              <w:top w:val="nil"/>
              <w:left w:val="nil"/>
              <w:bottom w:val="nil"/>
              <w:right w:val="nil"/>
            </w:tcBorders>
            <w:shd w:val="clear" w:color="auto" w:fill="auto"/>
            <w:vAlign w:val="bottom"/>
          </w:tcPr>
          <w:p w14:paraId="1F5B1C92" w14:textId="33D85BA5" w:rsidR="00A3304B" w:rsidRPr="00226892" w:rsidRDefault="009F2456" w:rsidP="00D40B0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-16</w:t>
            </w:r>
          </w:p>
        </w:tc>
        <w:tc>
          <w:tcPr>
            <w:tcW w:w="91" w:type="pct"/>
            <w:tcBorders>
              <w:top w:val="nil"/>
              <w:left w:val="nil"/>
              <w:bottom w:val="nil"/>
              <w:right w:val="nil"/>
            </w:tcBorders>
            <w:shd w:val="clear" w:color="auto" w:fill="auto"/>
            <w:vAlign w:val="bottom"/>
          </w:tcPr>
          <w:p w14:paraId="0563BCD9" w14:textId="77777777" w:rsidR="00A3304B" w:rsidRPr="00226892" w:rsidRDefault="00A3304B" w:rsidP="00D40B06">
            <w:pPr>
              <w:jc w:val="right"/>
              <w:rPr>
                <w:rFonts w:ascii="Arial" w:eastAsia="Times New Roman" w:hAnsi="Arial" w:cs="Arial"/>
                <w:color w:val="000000"/>
                <w:sz w:val="18"/>
                <w:szCs w:val="18"/>
                <w:lang w:val="sk-SK" w:eastAsia="sk-SK"/>
              </w:rPr>
            </w:pPr>
          </w:p>
        </w:tc>
        <w:tc>
          <w:tcPr>
            <w:tcW w:w="579" w:type="pct"/>
            <w:tcBorders>
              <w:top w:val="nil"/>
              <w:left w:val="nil"/>
              <w:bottom w:val="nil"/>
              <w:right w:val="nil"/>
            </w:tcBorders>
            <w:shd w:val="clear" w:color="auto" w:fill="auto"/>
            <w:vAlign w:val="bottom"/>
          </w:tcPr>
          <w:p w14:paraId="5E507FF6" w14:textId="0E4088A2" w:rsidR="00A3304B" w:rsidRPr="00226892" w:rsidRDefault="009F2456" w:rsidP="00D40B0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1" w:type="pct"/>
            <w:tcBorders>
              <w:top w:val="nil"/>
              <w:left w:val="nil"/>
              <w:bottom w:val="nil"/>
              <w:right w:val="nil"/>
            </w:tcBorders>
            <w:shd w:val="clear" w:color="auto" w:fill="auto"/>
            <w:vAlign w:val="bottom"/>
          </w:tcPr>
          <w:p w14:paraId="5149E3DF" w14:textId="77777777" w:rsidR="00A3304B" w:rsidRPr="00226892" w:rsidRDefault="00A3304B" w:rsidP="00D40B06">
            <w:pPr>
              <w:jc w:val="right"/>
              <w:rPr>
                <w:rFonts w:ascii="Arial" w:eastAsia="Times New Roman" w:hAnsi="Arial" w:cs="Arial"/>
                <w:color w:val="000000"/>
                <w:sz w:val="18"/>
                <w:szCs w:val="18"/>
                <w:lang w:val="sk-SK" w:eastAsia="sk-SK"/>
              </w:rPr>
            </w:pPr>
          </w:p>
        </w:tc>
        <w:tc>
          <w:tcPr>
            <w:tcW w:w="609" w:type="pct"/>
            <w:tcBorders>
              <w:top w:val="nil"/>
              <w:left w:val="nil"/>
              <w:bottom w:val="nil"/>
              <w:right w:val="nil"/>
            </w:tcBorders>
            <w:shd w:val="clear" w:color="auto" w:fill="auto"/>
            <w:vAlign w:val="bottom"/>
          </w:tcPr>
          <w:p w14:paraId="1AB7C43F" w14:textId="5CC67176" w:rsidR="00A3304B" w:rsidRPr="00226892" w:rsidRDefault="009F2456" w:rsidP="00F75D4B">
            <w:pPr>
              <w:jc w:val="right"/>
              <w:rPr>
                <w:rFonts w:ascii="Arial" w:hAnsi="Arial" w:cs="Arial"/>
                <w:color w:val="000000"/>
                <w:sz w:val="18"/>
                <w:szCs w:val="18"/>
                <w:lang w:val="sk-SK" w:eastAsia="sk-SK"/>
              </w:rPr>
            </w:pPr>
            <w:r w:rsidRPr="00226892">
              <w:rPr>
                <w:rFonts w:ascii="Arial" w:hAnsi="Arial" w:cs="Arial"/>
                <w:color w:val="000000"/>
                <w:sz w:val="18"/>
                <w:szCs w:val="18"/>
                <w:lang w:val="sk-SK" w:eastAsia="sk-SK"/>
              </w:rPr>
              <w:t>-24</w:t>
            </w:r>
          </w:p>
        </w:tc>
      </w:tr>
      <w:tr w:rsidR="00577FD5" w:rsidRPr="00226892" w14:paraId="3F3915CF" w14:textId="77777777" w:rsidTr="000405EF">
        <w:trPr>
          <w:trHeight w:val="227"/>
        </w:trPr>
        <w:tc>
          <w:tcPr>
            <w:tcW w:w="2556" w:type="pct"/>
            <w:tcBorders>
              <w:top w:val="nil"/>
              <w:left w:val="nil"/>
              <w:bottom w:val="nil"/>
              <w:right w:val="nil"/>
            </w:tcBorders>
            <w:shd w:val="clear" w:color="auto" w:fill="auto"/>
            <w:noWrap/>
            <w:vAlign w:val="bottom"/>
            <w:hideMark/>
          </w:tcPr>
          <w:p w14:paraId="1E3B50CB" w14:textId="5198E4A3" w:rsidR="00577FD5" w:rsidRPr="00226892" w:rsidRDefault="00577FD5">
            <w:pPr>
              <w:rPr>
                <w:rFonts w:ascii="Arial" w:eastAsia="Times New Roman" w:hAnsi="Arial" w:cs="Arial"/>
                <w:color w:val="000000"/>
                <w:sz w:val="18"/>
                <w:szCs w:val="18"/>
                <w:lang w:val="sk-SK" w:eastAsia="sk-SK"/>
              </w:rPr>
            </w:pPr>
            <w:bookmarkStart w:id="475" w:name="RANGE!C6"/>
            <w:r w:rsidRPr="00226892">
              <w:rPr>
                <w:rFonts w:ascii="Arial" w:eastAsia="Times New Roman" w:hAnsi="Arial" w:cs="Arial"/>
                <w:color w:val="000000"/>
                <w:sz w:val="18"/>
                <w:szCs w:val="18"/>
                <w:lang w:val="sk-SK" w:eastAsia="sk-SK"/>
              </w:rPr>
              <w:t>Súčasná hodnota záväzkov z finančného prenájmu</w:t>
            </w:r>
            <w:bookmarkEnd w:id="475"/>
          </w:p>
        </w:tc>
        <w:tc>
          <w:tcPr>
            <w:tcW w:w="472" w:type="pct"/>
            <w:tcBorders>
              <w:top w:val="single" w:sz="4" w:space="0" w:color="auto"/>
              <w:left w:val="nil"/>
              <w:bottom w:val="double" w:sz="6" w:space="0" w:color="auto"/>
              <w:right w:val="nil"/>
            </w:tcBorders>
            <w:shd w:val="clear" w:color="auto" w:fill="auto"/>
            <w:vAlign w:val="bottom"/>
          </w:tcPr>
          <w:p w14:paraId="64974D91" w14:textId="286B52BE" w:rsidR="00577FD5" w:rsidRPr="00226892" w:rsidRDefault="009F2456" w:rsidP="00D40B0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168</w:t>
            </w:r>
          </w:p>
        </w:tc>
        <w:tc>
          <w:tcPr>
            <w:tcW w:w="91" w:type="pct"/>
            <w:tcBorders>
              <w:top w:val="nil"/>
              <w:left w:val="nil"/>
              <w:bottom w:val="nil"/>
              <w:right w:val="nil"/>
            </w:tcBorders>
            <w:shd w:val="clear" w:color="auto" w:fill="auto"/>
            <w:vAlign w:val="bottom"/>
          </w:tcPr>
          <w:p w14:paraId="1B879B01" w14:textId="77777777" w:rsidR="00577FD5" w:rsidRPr="00226892" w:rsidRDefault="00577FD5" w:rsidP="00D40B06">
            <w:pPr>
              <w:jc w:val="right"/>
              <w:rPr>
                <w:rFonts w:ascii="Arial" w:eastAsia="Times New Roman" w:hAnsi="Arial" w:cs="Arial"/>
                <w:b/>
                <w:bCs/>
                <w:color w:val="000000"/>
                <w:sz w:val="18"/>
                <w:szCs w:val="18"/>
                <w:lang w:val="sk-SK" w:eastAsia="sk-SK"/>
              </w:rPr>
            </w:pPr>
          </w:p>
        </w:tc>
        <w:tc>
          <w:tcPr>
            <w:tcW w:w="510" w:type="pct"/>
            <w:tcBorders>
              <w:top w:val="single" w:sz="4" w:space="0" w:color="auto"/>
              <w:left w:val="nil"/>
              <w:bottom w:val="double" w:sz="6" w:space="0" w:color="auto"/>
              <w:right w:val="nil"/>
            </w:tcBorders>
            <w:shd w:val="clear" w:color="auto" w:fill="auto"/>
            <w:vAlign w:val="bottom"/>
          </w:tcPr>
          <w:p w14:paraId="3C523B59" w14:textId="3F4451D0" w:rsidR="00577FD5" w:rsidRPr="00226892" w:rsidRDefault="009F2456" w:rsidP="00D40B0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370</w:t>
            </w:r>
          </w:p>
        </w:tc>
        <w:tc>
          <w:tcPr>
            <w:tcW w:w="91" w:type="pct"/>
            <w:tcBorders>
              <w:top w:val="nil"/>
              <w:left w:val="nil"/>
              <w:bottom w:val="nil"/>
              <w:right w:val="nil"/>
            </w:tcBorders>
            <w:shd w:val="clear" w:color="auto" w:fill="auto"/>
            <w:vAlign w:val="bottom"/>
          </w:tcPr>
          <w:p w14:paraId="39BB91D6" w14:textId="77777777" w:rsidR="00577FD5" w:rsidRPr="00226892" w:rsidRDefault="00577FD5" w:rsidP="00D40B06">
            <w:pPr>
              <w:jc w:val="right"/>
              <w:rPr>
                <w:rFonts w:ascii="Arial" w:eastAsia="Times New Roman" w:hAnsi="Arial" w:cs="Arial"/>
                <w:b/>
                <w:bCs/>
                <w:color w:val="000000"/>
                <w:sz w:val="18"/>
                <w:szCs w:val="18"/>
                <w:lang w:val="sk-SK" w:eastAsia="sk-SK"/>
              </w:rPr>
            </w:pPr>
          </w:p>
        </w:tc>
        <w:tc>
          <w:tcPr>
            <w:tcW w:w="579" w:type="pct"/>
            <w:tcBorders>
              <w:top w:val="single" w:sz="4" w:space="0" w:color="auto"/>
              <w:left w:val="nil"/>
              <w:bottom w:val="double" w:sz="6" w:space="0" w:color="auto"/>
              <w:right w:val="nil"/>
            </w:tcBorders>
            <w:shd w:val="clear" w:color="auto" w:fill="auto"/>
            <w:vAlign w:val="bottom"/>
          </w:tcPr>
          <w:p w14:paraId="6BD683AD" w14:textId="3B0377DF" w:rsidR="00577FD5" w:rsidRPr="00226892" w:rsidRDefault="009F2456" w:rsidP="00D40B0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w:t>
            </w:r>
          </w:p>
        </w:tc>
        <w:tc>
          <w:tcPr>
            <w:tcW w:w="91" w:type="pct"/>
            <w:tcBorders>
              <w:top w:val="nil"/>
              <w:left w:val="nil"/>
              <w:bottom w:val="nil"/>
              <w:right w:val="nil"/>
            </w:tcBorders>
            <w:shd w:val="clear" w:color="auto" w:fill="auto"/>
            <w:vAlign w:val="bottom"/>
          </w:tcPr>
          <w:p w14:paraId="1F8661E3" w14:textId="77777777" w:rsidR="00577FD5" w:rsidRPr="00226892" w:rsidRDefault="00577FD5" w:rsidP="00D40B06">
            <w:pPr>
              <w:jc w:val="right"/>
              <w:rPr>
                <w:rFonts w:ascii="Arial" w:eastAsia="Times New Roman" w:hAnsi="Arial" w:cs="Arial"/>
                <w:b/>
                <w:bCs/>
                <w:color w:val="000000"/>
                <w:sz w:val="18"/>
                <w:szCs w:val="18"/>
                <w:lang w:val="sk-SK" w:eastAsia="sk-SK"/>
              </w:rPr>
            </w:pPr>
          </w:p>
        </w:tc>
        <w:tc>
          <w:tcPr>
            <w:tcW w:w="609" w:type="pct"/>
            <w:tcBorders>
              <w:top w:val="single" w:sz="4" w:space="0" w:color="auto"/>
              <w:left w:val="nil"/>
              <w:bottom w:val="double" w:sz="6" w:space="0" w:color="auto"/>
              <w:right w:val="nil"/>
            </w:tcBorders>
            <w:shd w:val="clear" w:color="auto" w:fill="auto"/>
            <w:vAlign w:val="bottom"/>
          </w:tcPr>
          <w:p w14:paraId="0165F372" w14:textId="0F1A81A7" w:rsidR="00577FD5" w:rsidRPr="00226892" w:rsidRDefault="009F2456" w:rsidP="00D40B0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538</w:t>
            </w:r>
          </w:p>
        </w:tc>
      </w:tr>
      <w:tr w:rsidR="00A3304B" w:rsidRPr="00226892" w14:paraId="57E80420" w14:textId="77777777" w:rsidTr="000405EF">
        <w:trPr>
          <w:trHeight w:val="227"/>
        </w:trPr>
        <w:tc>
          <w:tcPr>
            <w:tcW w:w="2556" w:type="pct"/>
            <w:tcBorders>
              <w:top w:val="nil"/>
              <w:left w:val="nil"/>
              <w:bottom w:val="nil"/>
              <w:right w:val="nil"/>
            </w:tcBorders>
            <w:shd w:val="clear" w:color="auto" w:fill="auto"/>
            <w:noWrap/>
            <w:vAlign w:val="bottom"/>
            <w:hideMark/>
          </w:tcPr>
          <w:p w14:paraId="0C06854A" w14:textId="77777777" w:rsidR="00A3304B" w:rsidRPr="00226892" w:rsidRDefault="00A3304B">
            <w:pPr>
              <w:rPr>
                <w:rFonts w:ascii="Arial" w:eastAsia="Times New Roman" w:hAnsi="Arial" w:cs="Arial"/>
                <w:b/>
                <w:bCs/>
                <w:color w:val="000000"/>
                <w:sz w:val="16"/>
                <w:szCs w:val="16"/>
                <w:lang w:val="sk-SK" w:eastAsia="sk-SK"/>
              </w:rPr>
            </w:pPr>
          </w:p>
        </w:tc>
        <w:tc>
          <w:tcPr>
            <w:tcW w:w="472" w:type="pct"/>
            <w:tcBorders>
              <w:top w:val="nil"/>
              <w:left w:val="nil"/>
              <w:bottom w:val="nil"/>
              <w:right w:val="nil"/>
            </w:tcBorders>
            <w:shd w:val="clear" w:color="auto" w:fill="auto"/>
            <w:vAlign w:val="bottom"/>
          </w:tcPr>
          <w:p w14:paraId="75E53748" w14:textId="77777777" w:rsidR="00A3304B" w:rsidRPr="00226892" w:rsidRDefault="00A3304B" w:rsidP="00D40B06">
            <w:pPr>
              <w:jc w:val="right"/>
              <w:rPr>
                <w:rFonts w:ascii="Arial" w:eastAsia="Times New Roman" w:hAnsi="Arial" w:cs="Arial"/>
                <w:sz w:val="18"/>
                <w:szCs w:val="18"/>
                <w:lang w:val="sk-SK" w:eastAsia="sk-SK"/>
              </w:rPr>
            </w:pPr>
          </w:p>
        </w:tc>
        <w:tc>
          <w:tcPr>
            <w:tcW w:w="91" w:type="pct"/>
            <w:tcBorders>
              <w:top w:val="nil"/>
              <w:left w:val="nil"/>
              <w:bottom w:val="nil"/>
              <w:right w:val="nil"/>
            </w:tcBorders>
            <w:shd w:val="clear" w:color="auto" w:fill="auto"/>
            <w:vAlign w:val="bottom"/>
          </w:tcPr>
          <w:p w14:paraId="7586C342" w14:textId="77777777" w:rsidR="00A3304B" w:rsidRPr="00226892" w:rsidRDefault="00A3304B" w:rsidP="00D40B06">
            <w:pPr>
              <w:jc w:val="right"/>
              <w:rPr>
                <w:rFonts w:ascii="Arial" w:eastAsia="Times New Roman" w:hAnsi="Arial" w:cs="Arial"/>
                <w:sz w:val="18"/>
                <w:szCs w:val="18"/>
                <w:lang w:val="sk-SK" w:eastAsia="sk-SK"/>
              </w:rPr>
            </w:pPr>
          </w:p>
        </w:tc>
        <w:tc>
          <w:tcPr>
            <w:tcW w:w="510" w:type="pct"/>
            <w:tcBorders>
              <w:top w:val="nil"/>
              <w:left w:val="nil"/>
              <w:bottom w:val="nil"/>
              <w:right w:val="nil"/>
            </w:tcBorders>
            <w:shd w:val="clear" w:color="auto" w:fill="auto"/>
            <w:vAlign w:val="bottom"/>
          </w:tcPr>
          <w:p w14:paraId="4DFDAFCA" w14:textId="77777777" w:rsidR="00A3304B" w:rsidRPr="00226892" w:rsidRDefault="00A3304B" w:rsidP="00D40B06">
            <w:pPr>
              <w:jc w:val="right"/>
              <w:rPr>
                <w:rFonts w:ascii="Arial" w:eastAsia="Times New Roman" w:hAnsi="Arial" w:cs="Arial"/>
                <w:sz w:val="18"/>
                <w:szCs w:val="18"/>
                <w:lang w:val="sk-SK" w:eastAsia="sk-SK"/>
              </w:rPr>
            </w:pPr>
          </w:p>
        </w:tc>
        <w:tc>
          <w:tcPr>
            <w:tcW w:w="91" w:type="pct"/>
            <w:tcBorders>
              <w:top w:val="nil"/>
              <w:left w:val="nil"/>
              <w:bottom w:val="nil"/>
              <w:right w:val="nil"/>
            </w:tcBorders>
            <w:shd w:val="clear" w:color="auto" w:fill="auto"/>
            <w:vAlign w:val="bottom"/>
          </w:tcPr>
          <w:p w14:paraId="184DB91E" w14:textId="77777777" w:rsidR="00A3304B" w:rsidRPr="00226892" w:rsidRDefault="00A3304B" w:rsidP="00D40B06">
            <w:pPr>
              <w:jc w:val="right"/>
              <w:rPr>
                <w:rFonts w:ascii="Arial" w:eastAsia="Times New Roman" w:hAnsi="Arial" w:cs="Arial"/>
                <w:sz w:val="18"/>
                <w:szCs w:val="18"/>
                <w:lang w:val="sk-SK" w:eastAsia="sk-SK"/>
              </w:rPr>
            </w:pPr>
          </w:p>
        </w:tc>
        <w:tc>
          <w:tcPr>
            <w:tcW w:w="579" w:type="pct"/>
            <w:tcBorders>
              <w:top w:val="nil"/>
              <w:left w:val="nil"/>
              <w:bottom w:val="nil"/>
              <w:right w:val="nil"/>
            </w:tcBorders>
            <w:shd w:val="clear" w:color="auto" w:fill="auto"/>
            <w:vAlign w:val="bottom"/>
          </w:tcPr>
          <w:p w14:paraId="78C37A7A" w14:textId="77777777" w:rsidR="00A3304B" w:rsidRPr="00226892" w:rsidRDefault="00A3304B" w:rsidP="00D40B06">
            <w:pPr>
              <w:jc w:val="right"/>
              <w:rPr>
                <w:rFonts w:ascii="Arial" w:eastAsia="Times New Roman" w:hAnsi="Arial" w:cs="Arial"/>
                <w:sz w:val="18"/>
                <w:szCs w:val="18"/>
                <w:lang w:val="sk-SK" w:eastAsia="sk-SK"/>
              </w:rPr>
            </w:pPr>
          </w:p>
        </w:tc>
        <w:tc>
          <w:tcPr>
            <w:tcW w:w="91" w:type="pct"/>
            <w:tcBorders>
              <w:top w:val="nil"/>
              <w:left w:val="nil"/>
              <w:bottom w:val="nil"/>
              <w:right w:val="nil"/>
            </w:tcBorders>
            <w:shd w:val="clear" w:color="auto" w:fill="auto"/>
            <w:vAlign w:val="bottom"/>
          </w:tcPr>
          <w:p w14:paraId="7E3E9E91" w14:textId="77777777" w:rsidR="00A3304B" w:rsidRPr="00226892" w:rsidRDefault="00A3304B" w:rsidP="00D40B06">
            <w:pPr>
              <w:jc w:val="right"/>
              <w:rPr>
                <w:rFonts w:ascii="Arial" w:eastAsia="Times New Roman" w:hAnsi="Arial" w:cs="Arial"/>
                <w:sz w:val="18"/>
                <w:szCs w:val="18"/>
                <w:lang w:val="sk-SK" w:eastAsia="sk-SK"/>
              </w:rPr>
            </w:pPr>
          </w:p>
        </w:tc>
        <w:tc>
          <w:tcPr>
            <w:tcW w:w="609" w:type="pct"/>
            <w:tcBorders>
              <w:top w:val="nil"/>
              <w:left w:val="nil"/>
              <w:bottom w:val="nil"/>
              <w:right w:val="nil"/>
            </w:tcBorders>
            <w:shd w:val="clear" w:color="auto" w:fill="auto"/>
            <w:vAlign w:val="bottom"/>
          </w:tcPr>
          <w:p w14:paraId="43561171" w14:textId="77777777" w:rsidR="00A3304B" w:rsidRPr="00226892" w:rsidRDefault="00A3304B" w:rsidP="00D40B06">
            <w:pPr>
              <w:jc w:val="right"/>
              <w:rPr>
                <w:rFonts w:ascii="Arial" w:eastAsia="Times New Roman" w:hAnsi="Arial" w:cs="Arial"/>
                <w:sz w:val="18"/>
                <w:szCs w:val="18"/>
                <w:lang w:val="sk-SK" w:eastAsia="sk-SK"/>
              </w:rPr>
            </w:pPr>
          </w:p>
        </w:tc>
      </w:tr>
      <w:tr w:rsidR="00A3304B" w:rsidRPr="00226892" w14:paraId="77BA4D70" w14:textId="77777777" w:rsidTr="000405EF">
        <w:trPr>
          <w:trHeight w:val="227"/>
        </w:trPr>
        <w:tc>
          <w:tcPr>
            <w:tcW w:w="2556" w:type="pct"/>
            <w:tcBorders>
              <w:top w:val="nil"/>
              <w:left w:val="nil"/>
              <w:bottom w:val="nil"/>
              <w:right w:val="nil"/>
            </w:tcBorders>
            <w:shd w:val="clear" w:color="auto" w:fill="auto"/>
            <w:noWrap/>
            <w:vAlign w:val="bottom"/>
            <w:hideMark/>
          </w:tcPr>
          <w:p w14:paraId="7AF324ED" w14:textId="3E46CE6A" w:rsidR="00A3304B" w:rsidRPr="00226892" w:rsidRDefault="00A3304B">
            <w:pPr>
              <w:rPr>
                <w:rFonts w:ascii="Arial" w:eastAsia="Times New Roman" w:hAnsi="Arial" w:cs="Arial"/>
                <w:b/>
                <w:bCs/>
                <w:color w:val="000000"/>
                <w:sz w:val="18"/>
                <w:szCs w:val="18"/>
                <w:lang w:val="sk-SK" w:eastAsia="sk-SK"/>
              </w:rPr>
            </w:pPr>
            <w:bookmarkStart w:id="476" w:name="RANGE!C8"/>
            <w:r w:rsidRPr="00226892">
              <w:rPr>
                <w:rFonts w:ascii="Arial" w:eastAsia="Times New Roman" w:hAnsi="Arial" w:cs="Arial"/>
                <w:b/>
                <w:bCs/>
                <w:color w:val="000000"/>
                <w:sz w:val="18"/>
                <w:szCs w:val="18"/>
                <w:lang w:val="sk-SK" w:eastAsia="sk-SK"/>
              </w:rPr>
              <w:t>Stav k 31-12-</w:t>
            </w:r>
            <w:bookmarkEnd w:id="476"/>
            <w:r w:rsidR="00F63A77" w:rsidRPr="00226892">
              <w:rPr>
                <w:rFonts w:ascii="Arial" w:eastAsia="Times New Roman" w:hAnsi="Arial" w:cs="Arial"/>
                <w:b/>
                <w:bCs/>
                <w:color w:val="000000"/>
                <w:sz w:val="18"/>
                <w:szCs w:val="18"/>
                <w:lang w:val="sk-SK" w:eastAsia="sk-SK"/>
              </w:rPr>
              <w:t>2017</w:t>
            </w:r>
          </w:p>
        </w:tc>
        <w:tc>
          <w:tcPr>
            <w:tcW w:w="472" w:type="pct"/>
            <w:tcBorders>
              <w:top w:val="nil"/>
              <w:left w:val="nil"/>
              <w:bottom w:val="nil"/>
              <w:right w:val="nil"/>
            </w:tcBorders>
            <w:shd w:val="clear" w:color="auto" w:fill="auto"/>
            <w:vAlign w:val="bottom"/>
          </w:tcPr>
          <w:p w14:paraId="135EAFA8" w14:textId="77777777" w:rsidR="00A3304B" w:rsidRPr="00226892" w:rsidRDefault="00A3304B" w:rsidP="00D40B06">
            <w:pPr>
              <w:jc w:val="right"/>
              <w:rPr>
                <w:rFonts w:ascii="Arial" w:eastAsia="Times New Roman" w:hAnsi="Arial" w:cs="Arial"/>
                <w:sz w:val="18"/>
                <w:szCs w:val="18"/>
                <w:lang w:val="sk-SK" w:eastAsia="sk-SK"/>
              </w:rPr>
            </w:pPr>
          </w:p>
        </w:tc>
        <w:tc>
          <w:tcPr>
            <w:tcW w:w="91" w:type="pct"/>
            <w:tcBorders>
              <w:top w:val="nil"/>
              <w:left w:val="nil"/>
              <w:bottom w:val="nil"/>
              <w:right w:val="nil"/>
            </w:tcBorders>
            <w:shd w:val="clear" w:color="auto" w:fill="auto"/>
            <w:vAlign w:val="bottom"/>
          </w:tcPr>
          <w:p w14:paraId="328581D2" w14:textId="77777777" w:rsidR="00A3304B" w:rsidRPr="00226892" w:rsidRDefault="00A3304B" w:rsidP="00D40B06">
            <w:pPr>
              <w:jc w:val="right"/>
              <w:rPr>
                <w:rFonts w:ascii="Arial" w:eastAsia="Times New Roman" w:hAnsi="Arial" w:cs="Arial"/>
                <w:sz w:val="18"/>
                <w:szCs w:val="18"/>
                <w:lang w:val="sk-SK" w:eastAsia="sk-SK"/>
              </w:rPr>
            </w:pPr>
          </w:p>
        </w:tc>
        <w:tc>
          <w:tcPr>
            <w:tcW w:w="510" w:type="pct"/>
            <w:tcBorders>
              <w:top w:val="nil"/>
              <w:left w:val="nil"/>
              <w:bottom w:val="nil"/>
              <w:right w:val="nil"/>
            </w:tcBorders>
            <w:shd w:val="clear" w:color="auto" w:fill="auto"/>
            <w:vAlign w:val="bottom"/>
          </w:tcPr>
          <w:p w14:paraId="46D21B32" w14:textId="77777777" w:rsidR="00A3304B" w:rsidRPr="00226892" w:rsidRDefault="00A3304B" w:rsidP="00D40B06">
            <w:pPr>
              <w:jc w:val="right"/>
              <w:rPr>
                <w:rFonts w:ascii="Arial" w:eastAsia="Times New Roman" w:hAnsi="Arial" w:cs="Arial"/>
                <w:sz w:val="18"/>
                <w:szCs w:val="18"/>
                <w:lang w:val="sk-SK" w:eastAsia="sk-SK"/>
              </w:rPr>
            </w:pPr>
          </w:p>
        </w:tc>
        <w:tc>
          <w:tcPr>
            <w:tcW w:w="91" w:type="pct"/>
            <w:tcBorders>
              <w:top w:val="nil"/>
              <w:left w:val="nil"/>
              <w:bottom w:val="nil"/>
              <w:right w:val="nil"/>
            </w:tcBorders>
            <w:shd w:val="clear" w:color="auto" w:fill="auto"/>
            <w:vAlign w:val="bottom"/>
          </w:tcPr>
          <w:p w14:paraId="056A3911" w14:textId="77777777" w:rsidR="00A3304B" w:rsidRPr="00226892" w:rsidRDefault="00A3304B" w:rsidP="00D40B06">
            <w:pPr>
              <w:jc w:val="right"/>
              <w:rPr>
                <w:rFonts w:ascii="Arial" w:eastAsia="Times New Roman" w:hAnsi="Arial" w:cs="Arial"/>
                <w:sz w:val="18"/>
                <w:szCs w:val="18"/>
                <w:lang w:val="sk-SK" w:eastAsia="sk-SK"/>
              </w:rPr>
            </w:pPr>
          </w:p>
        </w:tc>
        <w:tc>
          <w:tcPr>
            <w:tcW w:w="579" w:type="pct"/>
            <w:tcBorders>
              <w:top w:val="nil"/>
              <w:left w:val="nil"/>
              <w:bottom w:val="nil"/>
              <w:right w:val="nil"/>
            </w:tcBorders>
            <w:shd w:val="clear" w:color="auto" w:fill="auto"/>
            <w:vAlign w:val="bottom"/>
          </w:tcPr>
          <w:p w14:paraId="571BE3DE" w14:textId="77777777" w:rsidR="00A3304B" w:rsidRPr="00226892" w:rsidRDefault="00A3304B" w:rsidP="00D40B06">
            <w:pPr>
              <w:jc w:val="right"/>
              <w:rPr>
                <w:rFonts w:ascii="Arial" w:eastAsia="Times New Roman" w:hAnsi="Arial" w:cs="Arial"/>
                <w:sz w:val="18"/>
                <w:szCs w:val="18"/>
                <w:lang w:val="sk-SK" w:eastAsia="sk-SK"/>
              </w:rPr>
            </w:pPr>
          </w:p>
        </w:tc>
        <w:tc>
          <w:tcPr>
            <w:tcW w:w="91" w:type="pct"/>
            <w:tcBorders>
              <w:top w:val="nil"/>
              <w:left w:val="nil"/>
              <w:bottom w:val="nil"/>
              <w:right w:val="nil"/>
            </w:tcBorders>
            <w:shd w:val="clear" w:color="auto" w:fill="auto"/>
            <w:vAlign w:val="bottom"/>
          </w:tcPr>
          <w:p w14:paraId="6401994F" w14:textId="77777777" w:rsidR="00A3304B" w:rsidRPr="00226892" w:rsidRDefault="00A3304B" w:rsidP="00D40B06">
            <w:pPr>
              <w:jc w:val="right"/>
              <w:rPr>
                <w:rFonts w:ascii="Arial" w:eastAsia="Times New Roman" w:hAnsi="Arial" w:cs="Arial"/>
                <w:sz w:val="18"/>
                <w:szCs w:val="18"/>
                <w:lang w:val="sk-SK" w:eastAsia="sk-SK"/>
              </w:rPr>
            </w:pPr>
          </w:p>
        </w:tc>
        <w:tc>
          <w:tcPr>
            <w:tcW w:w="609" w:type="pct"/>
            <w:tcBorders>
              <w:top w:val="nil"/>
              <w:left w:val="nil"/>
              <w:bottom w:val="nil"/>
              <w:right w:val="nil"/>
            </w:tcBorders>
            <w:shd w:val="clear" w:color="auto" w:fill="auto"/>
            <w:vAlign w:val="bottom"/>
          </w:tcPr>
          <w:p w14:paraId="2C63477D" w14:textId="77777777" w:rsidR="00A3304B" w:rsidRPr="00226892" w:rsidRDefault="00A3304B" w:rsidP="00D40B06">
            <w:pPr>
              <w:jc w:val="right"/>
              <w:rPr>
                <w:rFonts w:ascii="Arial" w:eastAsia="Times New Roman" w:hAnsi="Arial" w:cs="Arial"/>
                <w:sz w:val="18"/>
                <w:szCs w:val="18"/>
                <w:lang w:val="sk-SK" w:eastAsia="sk-SK"/>
              </w:rPr>
            </w:pPr>
          </w:p>
        </w:tc>
      </w:tr>
      <w:tr w:rsidR="009F2456" w:rsidRPr="00226892" w14:paraId="70762657" w14:textId="77777777" w:rsidTr="000405EF">
        <w:trPr>
          <w:trHeight w:val="227"/>
        </w:trPr>
        <w:tc>
          <w:tcPr>
            <w:tcW w:w="2556" w:type="pct"/>
            <w:tcBorders>
              <w:top w:val="nil"/>
              <w:left w:val="nil"/>
              <w:bottom w:val="nil"/>
              <w:right w:val="nil"/>
            </w:tcBorders>
            <w:shd w:val="clear" w:color="auto" w:fill="auto"/>
            <w:noWrap/>
            <w:vAlign w:val="bottom"/>
            <w:hideMark/>
          </w:tcPr>
          <w:p w14:paraId="4139C962" w14:textId="2734E23E" w:rsidR="009F2456" w:rsidRPr="00226892" w:rsidRDefault="009F2456" w:rsidP="009F2456">
            <w:pPr>
              <w:rPr>
                <w:rFonts w:ascii="Arial" w:eastAsia="Times New Roman" w:hAnsi="Arial" w:cs="Arial"/>
                <w:color w:val="000000"/>
                <w:sz w:val="18"/>
                <w:szCs w:val="18"/>
                <w:lang w:val="sk-SK" w:eastAsia="sk-SK"/>
              </w:rPr>
            </w:pPr>
            <w:bookmarkStart w:id="477" w:name="RANGE!C9"/>
            <w:r w:rsidRPr="00226892">
              <w:rPr>
                <w:rFonts w:ascii="Arial" w:eastAsia="Times New Roman" w:hAnsi="Arial" w:cs="Arial"/>
                <w:color w:val="000000"/>
                <w:sz w:val="18"/>
                <w:szCs w:val="18"/>
                <w:lang w:val="sk-SK" w:eastAsia="sk-SK"/>
              </w:rPr>
              <w:t xml:space="preserve">Minimálne leasingové splátky  </w:t>
            </w:r>
            <w:bookmarkEnd w:id="477"/>
          </w:p>
        </w:tc>
        <w:tc>
          <w:tcPr>
            <w:tcW w:w="472" w:type="pct"/>
            <w:tcBorders>
              <w:top w:val="nil"/>
              <w:left w:val="nil"/>
              <w:bottom w:val="nil"/>
              <w:right w:val="nil"/>
            </w:tcBorders>
            <w:shd w:val="clear" w:color="auto" w:fill="auto"/>
            <w:vAlign w:val="bottom"/>
          </w:tcPr>
          <w:p w14:paraId="60F359D3" w14:textId="3D698FBA"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336</w:t>
            </w:r>
          </w:p>
        </w:tc>
        <w:tc>
          <w:tcPr>
            <w:tcW w:w="91" w:type="pct"/>
            <w:tcBorders>
              <w:top w:val="nil"/>
              <w:left w:val="nil"/>
              <w:bottom w:val="nil"/>
              <w:right w:val="nil"/>
            </w:tcBorders>
            <w:shd w:val="clear" w:color="auto" w:fill="auto"/>
            <w:vAlign w:val="bottom"/>
          </w:tcPr>
          <w:p w14:paraId="72C9E338"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510" w:type="pct"/>
            <w:tcBorders>
              <w:top w:val="nil"/>
              <w:left w:val="nil"/>
              <w:bottom w:val="nil"/>
              <w:right w:val="nil"/>
            </w:tcBorders>
            <w:shd w:val="clear" w:color="auto" w:fill="auto"/>
            <w:vAlign w:val="bottom"/>
          </w:tcPr>
          <w:p w14:paraId="461EC6F1" w14:textId="15BB9688"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542</w:t>
            </w:r>
          </w:p>
        </w:tc>
        <w:tc>
          <w:tcPr>
            <w:tcW w:w="91" w:type="pct"/>
            <w:tcBorders>
              <w:top w:val="nil"/>
              <w:left w:val="nil"/>
              <w:bottom w:val="nil"/>
              <w:right w:val="nil"/>
            </w:tcBorders>
            <w:shd w:val="clear" w:color="auto" w:fill="auto"/>
            <w:vAlign w:val="bottom"/>
          </w:tcPr>
          <w:p w14:paraId="25C2DF19"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579" w:type="pct"/>
            <w:tcBorders>
              <w:top w:val="nil"/>
              <w:left w:val="nil"/>
              <w:bottom w:val="nil"/>
              <w:right w:val="nil"/>
            </w:tcBorders>
            <w:shd w:val="clear" w:color="auto" w:fill="auto"/>
            <w:vAlign w:val="bottom"/>
          </w:tcPr>
          <w:p w14:paraId="3FF589DD" w14:textId="588AAF94"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1" w:type="pct"/>
            <w:tcBorders>
              <w:top w:val="nil"/>
              <w:left w:val="nil"/>
              <w:bottom w:val="nil"/>
              <w:right w:val="nil"/>
            </w:tcBorders>
            <w:shd w:val="clear" w:color="auto" w:fill="auto"/>
            <w:vAlign w:val="bottom"/>
          </w:tcPr>
          <w:p w14:paraId="49B6BD93"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609" w:type="pct"/>
            <w:tcBorders>
              <w:top w:val="nil"/>
              <w:left w:val="nil"/>
              <w:bottom w:val="nil"/>
              <w:right w:val="nil"/>
            </w:tcBorders>
            <w:shd w:val="clear" w:color="auto" w:fill="auto"/>
            <w:vAlign w:val="bottom"/>
          </w:tcPr>
          <w:p w14:paraId="02938586" w14:textId="5B7EA83E"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878</w:t>
            </w:r>
          </w:p>
        </w:tc>
      </w:tr>
      <w:tr w:rsidR="009F2456" w:rsidRPr="00226892" w14:paraId="6C20A8D4" w14:textId="77777777" w:rsidTr="000405EF">
        <w:trPr>
          <w:trHeight w:val="227"/>
        </w:trPr>
        <w:tc>
          <w:tcPr>
            <w:tcW w:w="2556" w:type="pct"/>
            <w:tcBorders>
              <w:top w:val="nil"/>
              <w:left w:val="nil"/>
              <w:bottom w:val="nil"/>
              <w:right w:val="nil"/>
            </w:tcBorders>
            <w:shd w:val="clear" w:color="auto" w:fill="auto"/>
            <w:noWrap/>
            <w:vAlign w:val="bottom"/>
            <w:hideMark/>
          </w:tcPr>
          <w:p w14:paraId="25CA23B8" w14:textId="33C1E38B"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Mínus budúce finančné náklady z finančného prenájmu</w:t>
            </w:r>
          </w:p>
        </w:tc>
        <w:tc>
          <w:tcPr>
            <w:tcW w:w="472" w:type="pct"/>
            <w:tcBorders>
              <w:top w:val="nil"/>
              <w:left w:val="nil"/>
              <w:bottom w:val="nil"/>
              <w:right w:val="nil"/>
            </w:tcBorders>
            <w:shd w:val="clear" w:color="auto" w:fill="auto"/>
            <w:vAlign w:val="bottom"/>
          </w:tcPr>
          <w:p w14:paraId="7C037269" w14:textId="25092672"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-11</w:t>
            </w:r>
          </w:p>
        </w:tc>
        <w:tc>
          <w:tcPr>
            <w:tcW w:w="91" w:type="pct"/>
            <w:tcBorders>
              <w:top w:val="nil"/>
              <w:left w:val="nil"/>
              <w:bottom w:val="nil"/>
              <w:right w:val="nil"/>
            </w:tcBorders>
            <w:shd w:val="clear" w:color="auto" w:fill="auto"/>
            <w:vAlign w:val="bottom"/>
          </w:tcPr>
          <w:p w14:paraId="2B490FF2"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510" w:type="pct"/>
            <w:tcBorders>
              <w:top w:val="nil"/>
              <w:left w:val="nil"/>
              <w:bottom w:val="nil"/>
              <w:right w:val="nil"/>
            </w:tcBorders>
            <w:shd w:val="clear" w:color="auto" w:fill="auto"/>
            <w:vAlign w:val="bottom"/>
          </w:tcPr>
          <w:p w14:paraId="2CF57CAC" w14:textId="6B14A7AC"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-18</w:t>
            </w:r>
          </w:p>
        </w:tc>
        <w:tc>
          <w:tcPr>
            <w:tcW w:w="91" w:type="pct"/>
            <w:tcBorders>
              <w:top w:val="nil"/>
              <w:left w:val="nil"/>
              <w:bottom w:val="nil"/>
              <w:right w:val="nil"/>
            </w:tcBorders>
            <w:shd w:val="clear" w:color="auto" w:fill="auto"/>
            <w:vAlign w:val="bottom"/>
          </w:tcPr>
          <w:p w14:paraId="60BCB071"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579" w:type="pct"/>
            <w:tcBorders>
              <w:top w:val="nil"/>
              <w:left w:val="nil"/>
              <w:bottom w:val="nil"/>
              <w:right w:val="nil"/>
            </w:tcBorders>
            <w:shd w:val="clear" w:color="auto" w:fill="auto"/>
            <w:vAlign w:val="bottom"/>
          </w:tcPr>
          <w:p w14:paraId="41C9D6B6" w14:textId="12715D89"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1" w:type="pct"/>
            <w:tcBorders>
              <w:top w:val="nil"/>
              <w:left w:val="nil"/>
              <w:bottom w:val="nil"/>
              <w:right w:val="nil"/>
            </w:tcBorders>
            <w:shd w:val="clear" w:color="auto" w:fill="auto"/>
            <w:vAlign w:val="bottom"/>
          </w:tcPr>
          <w:p w14:paraId="773EE106"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609" w:type="pct"/>
            <w:tcBorders>
              <w:top w:val="nil"/>
              <w:left w:val="nil"/>
              <w:bottom w:val="nil"/>
              <w:right w:val="nil"/>
            </w:tcBorders>
            <w:shd w:val="clear" w:color="auto" w:fill="auto"/>
            <w:vAlign w:val="bottom"/>
          </w:tcPr>
          <w:p w14:paraId="424BAC60" w14:textId="221E018D"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hAnsi="Arial" w:cs="Arial"/>
                <w:color w:val="000000"/>
                <w:sz w:val="18"/>
                <w:szCs w:val="18"/>
                <w:lang w:val="sk-SK" w:eastAsia="sk-SK"/>
              </w:rPr>
              <w:t>-29</w:t>
            </w:r>
          </w:p>
        </w:tc>
      </w:tr>
      <w:tr w:rsidR="009F2456" w:rsidRPr="00226892" w14:paraId="70B32D62" w14:textId="77777777" w:rsidTr="000405EF">
        <w:trPr>
          <w:trHeight w:val="227"/>
        </w:trPr>
        <w:tc>
          <w:tcPr>
            <w:tcW w:w="2556" w:type="pct"/>
            <w:tcBorders>
              <w:top w:val="nil"/>
              <w:left w:val="nil"/>
              <w:bottom w:val="nil"/>
              <w:right w:val="nil"/>
            </w:tcBorders>
            <w:shd w:val="clear" w:color="auto" w:fill="auto"/>
            <w:noWrap/>
            <w:vAlign w:val="bottom"/>
            <w:hideMark/>
          </w:tcPr>
          <w:p w14:paraId="07786EAE" w14:textId="304311DB"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Súčasná hodnota záväzkov z finančného prenájmu</w:t>
            </w:r>
          </w:p>
        </w:tc>
        <w:tc>
          <w:tcPr>
            <w:tcW w:w="472" w:type="pct"/>
            <w:tcBorders>
              <w:top w:val="single" w:sz="4" w:space="0" w:color="auto"/>
              <w:left w:val="nil"/>
              <w:bottom w:val="double" w:sz="6" w:space="0" w:color="auto"/>
              <w:right w:val="nil"/>
            </w:tcBorders>
            <w:shd w:val="clear" w:color="auto" w:fill="auto"/>
            <w:vAlign w:val="bottom"/>
          </w:tcPr>
          <w:p w14:paraId="323AC9CD" w14:textId="742E3B36" w:rsidR="009F2456" w:rsidRPr="00226892" w:rsidRDefault="009F2456" w:rsidP="009F245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325</w:t>
            </w:r>
          </w:p>
        </w:tc>
        <w:tc>
          <w:tcPr>
            <w:tcW w:w="91" w:type="pct"/>
            <w:tcBorders>
              <w:top w:val="nil"/>
              <w:left w:val="nil"/>
              <w:bottom w:val="nil"/>
              <w:right w:val="nil"/>
            </w:tcBorders>
            <w:shd w:val="clear" w:color="auto" w:fill="auto"/>
            <w:vAlign w:val="bottom"/>
          </w:tcPr>
          <w:p w14:paraId="145C86FB" w14:textId="77777777" w:rsidR="009F2456" w:rsidRPr="00226892" w:rsidRDefault="009F2456" w:rsidP="009F2456">
            <w:pPr>
              <w:jc w:val="right"/>
              <w:rPr>
                <w:rFonts w:ascii="Arial" w:eastAsia="Times New Roman" w:hAnsi="Arial" w:cs="Arial"/>
                <w:b/>
                <w:bCs/>
                <w:color w:val="000000"/>
                <w:sz w:val="18"/>
                <w:szCs w:val="18"/>
                <w:lang w:val="sk-SK" w:eastAsia="sk-SK"/>
              </w:rPr>
            </w:pPr>
          </w:p>
        </w:tc>
        <w:tc>
          <w:tcPr>
            <w:tcW w:w="510" w:type="pct"/>
            <w:tcBorders>
              <w:top w:val="single" w:sz="4" w:space="0" w:color="auto"/>
              <w:left w:val="nil"/>
              <w:bottom w:val="double" w:sz="6" w:space="0" w:color="auto"/>
              <w:right w:val="nil"/>
            </w:tcBorders>
            <w:shd w:val="clear" w:color="auto" w:fill="auto"/>
            <w:vAlign w:val="bottom"/>
          </w:tcPr>
          <w:p w14:paraId="3CB305EE" w14:textId="2CA28147" w:rsidR="009F2456" w:rsidRPr="00226892" w:rsidRDefault="009F2456" w:rsidP="009F245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524</w:t>
            </w:r>
          </w:p>
        </w:tc>
        <w:tc>
          <w:tcPr>
            <w:tcW w:w="91" w:type="pct"/>
            <w:tcBorders>
              <w:top w:val="nil"/>
              <w:left w:val="nil"/>
              <w:bottom w:val="nil"/>
              <w:right w:val="nil"/>
            </w:tcBorders>
            <w:shd w:val="clear" w:color="auto" w:fill="auto"/>
            <w:vAlign w:val="bottom"/>
          </w:tcPr>
          <w:p w14:paraId="3AF73E86" w14:textId="77777777" w:rsidR="009F2456" w:rsidRPr="00226892" w:rsidRDefault="009F2456" w:rsidP="009F2456">
            <w:pPr>
              <w:jc w:val="right"/>
              <w:rPr>
                <w:rFonts w:ascii="Arial" w:eastAsia="Times New Roman" w:hAnsi="Arial" w:cs="Arial"/>
                <w:b/>
                <w:bCs/>
                <w:color w:val="000000"/>
                <w:sz w:val="18"/>
                <w:szCs w:val="18"/>
                <w:lang w:val="sk-SK" w:eastAsia="sk-SK"/>
              </w:rPr>
            </w:pPr>
          </w:p>
        </w:tc>
        <w:tc>
          <w:tcPr>
            <w:tcW w:w="579" w:type="pct"/>
            <w:tcBorders>
              <w:top w:val="single" w:sz="4" w:space="0" w:color="auto"/>
              <w:left w:val="nil"/>
              <w:bottom w:val="double" w:sz="6" w:space="0" w:color="auto"/>
              <w:right w:val="nil"/>
            </w:tcBorders>
            <w:shd w:val="clear" w:color="auto" w:fill="auto"/>
            <w:vAlign w:val="bottom"/>
          </w:tcPr>
          <w:p w14:paraId="3A2663F6" w14:textId="7146419A" w:rsidR="009F2456" w:rsidRPr="00226892" w:rsidRDefault="009F2456" w:rsidP="009F245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w:t>
            </w:r>
          </w:p>
        </w:tc>
        <w:tc>
          <w:tcPr>
            <w:tcW w:w="91" w:type="pct"/>
            <w:tcBorders>
              <w:top w:val="nil"/>
              <w:left w:val="nil"/>
              <w:bottom w:val="nil"/>
              <w:right w:val="nil"/>
            </w:tcBorders>
            <w:shd w:val="clear" w:color="auto" w:fill="auto"/>
            <w:vAlign w:val="bottom"/>
          </w:tcPr>
          <w:p w14:paraId="6DD5A091" w14:textId="77777777" w:rsidR="009F2456" w:rsidRPr="00226892" w:rsidRDefault="009F2456" w:rsidP="009F2456">
            <w:pPr>
              <w:jc w:val="right"/>
              <w:rPr>
                <w:rFonts w:ascii="Arial" w:eastAsia="Times New Roman" w:hAnsi="Arial" w:cs="Arial"/>
                <w:b/>
                <w:bCs/>
                <w:color w:val="000000"/>
                <w:sz w:val="18"/>
                <w:szCs w:val="18"/>
                <w:lang w:val="sk-SK" w:eastAsia="sk-SK"/>
              </w:rPr>
            </w:pPr>
          </w:p>
        </w:tc>
        <w:tc>
          <w:tcPr>
            <w:tcW w:w="609" w:type="pct"/>
            <w:tcBorders>
              <w:top w:val="single" w:sz="4" w:space="0" w:color="auto"/>
              <w:left w:val="nil"/>
              <w:bottom w:val="double" w:sz="6" w:space="0" w:color="auto"/>
              <w:right w:val="nil"/>
            </w:tcBorders>
            <w:shd w:val="clear" w:color="auto" w:fill="auto"/>
            <w:vAlign w:val="bottom"/>
          </w:tcPr>
          <w:p w14:paraId="377DD077" w14:textId="2F4FB5B8" w:rsidR="009F2456" w:rsidRPr="00226892" w:rsidRDefault="009F2456" w:rsidP="009F245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849</w:t>
            </w:r>
          </w:p>
        </w:tc>
      </w:tr>
    </w:tbl>
    <w:p w14:paraId="0106FD40" w14:textId="69801B44" w:rsidR="000342BC" w:rsidRPr="00226892" w:rsidRDefault="00577FD5" w:rsidP="00235CDF">
      <w:pPr>
        <w:pStyle w:val="odst"/>
      </w:pPr>
      <w:r w:rsidRPr="00226892">
        <w:t xml:space="preserve"> </w:t>
      </w:r>
      <w:bookmarkEnd w:id="463"/>
      <w:r w:rsidRPr="00226892">
        <w:t xml:space="preserve"> </w:t>
      </w:r>
    </w:p>
    <w:p w14:paraId="605F9FC2" w14:textId="77777777" w:rsidR="005020AA" w:rsidRPr="00226892" w:rsidRDefault="005020AA" w:rsidP="00235CDF">
      <w:pPr>
        <w:pStyle w:val="odst"/>
      </w:pPr>
      <w:bookmarkStart w:id="478" w:name="RANGE!D3"/>
      <w:bookmarkStart w:id="479" w:name="RANGE!E3"/>
      <w:bookmarkStart w:id="480" w:name="RANGE!F3"/>
      <w:bookmarkStart w:id="481" w:name="RANGE!G3"/>
      <w:bookmarkStart w:id="482" w:name="RANGE!H3"/>
      <w:bookmarkStart w:id="483" w:name="RANGE!I3"/>
      <w:bookmarkStart w:id="484" w:name="RANGE!J3"/>
      <w:bookmarkStart w:id="485" w:name="RANGE!K3"/>
      <w:bookmarkStart w:id="486" w:name="RANGE!D4"/>
      <w:bookmarkStart w:id="487" w:name="RANGE!F4"/>
      <w:bookmarkStart w:id="488" w:name="RANGE!H4"/>
      <w:bookmarkStart w:id="489" w:name="RANGE!J4"/>
      <w:bookmarkStart w:id="490" w:name="RANGE!D5"/>
      <w:bookmarkStart w:id="491" w:name="RANGE!F5"/>
      <w:bookmarkStart w:id="492" w:name="RANGE!H5"/>
      <w:bookmarkStart w:id="493" w:name="RANGE!J5"/>
      <w:bookmarkStart w:id="494" w:name="RANGE!C7"/>
      <w:bookmarkStart w:id="495" w:name="RANGE!K6"/>
      <w:bookmarkStart w:id="496" w:name="RANGE!J6"/>
      <w:bookmarkStart w:id="497" w:name="RANGE!I6"/>
      <w:bookmarkStart w:id="498" w:name="RANGE!H6"/>
      <w:bookmarkStart w:id="499" w:name="RANGE!G6"/>
      <w:bookmarkStart w:id="500" w:name="RANGE!F6"/>
      <w:bookmarkStart w:id="501" w:name="RANGE!E6"/>
      <w:bookmarkStart w:id="502" w:name="RANGE!D6"/>
      <w:bookmarkStart w:id="503" w:name="RANGE!D7"/>
      <w:bookmarkStart w:id="504" w:name="RANGE!E7"/>
      <w:bookmarkStart w:id="505" w:name="RANGE!F7"/>
      <w:bookmarkStart w:id="506" w:name="RANGE!G7"/>
      <w:bookmarkStart w:id="507" w:name="RANGE!H7"/>
      <w:bookmarkStart w:id="508" w:name="RANGE!I7"/>
      <w:bookmarkStart w:id="509" w:name="RANGE!J7"/>
      <w:bookmarkStart w:id="510" w:name="RANGE!K7"/>
      <w:bookmarkStart w:id="511" w:name="RANGE!D8"/>
      <w:bookmarkStart w:id="512" w:name="RANGE!E8"/>
      <w:bookmarkStart w:id="513" w:name="RANGE!F8"/>
      <w:bookmarkStart w:id="514" w:name="RANGE!G8"/>
      <w:bookmarkStart w:id="515" w:name="RANGE!H8"/>
      <w:bookmarkStart w:id="516" w:name="RANGE!I8"/>
      <w:bookmarkStart w:id="517" w:name="RANGE!J8"/>
      <w:bookmarkStart w:id="518" w:name="RANGE!K8"/>
      <w:bookmarkStart w:id="519" w:name="RANGE!D9"/>
      <w:bookmarkStart w:id="520" w:name="RANGE!F9"/>
      <w:bookmarkStart w:id="521" w:name="RANGE!H9"/>
      <w:bookmarkStart w:id="522" w:name="RANGE!J9"/>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226892">
        <w:t xml:space="preserve">Účtovná hodnota dlhodobého majetku obstaraného formou finančného prenájmu bola nasledovná: </w:t>
      </w:r>
    </w:p>
    <w:p w14:paraId="4F80C5DE" w14:textId="77777777" w:rsidR="005020AA" w:rsidRPr="00226892" w:rsidRDefault="005020AA" w:rsidP="005020AA">
      <w:pPr>
        <w:suppressAutoHyphens/>
        <w:rPr>
          <w:rFonts w:ascii="Arial" w:hAnsi="Arial" w:cs="Arial"/>
          <w:b/>
          <w:color w:val="000080"/>
          <w:sz w:val="18"/>
          <w:szCs w:val="18"/>
        </w:rPr>
      </w:pPr>
    </w:p>
    <w:tbl>
      <w:tblPr>
        <w:tblW w:w="5000" w:type="pct"/>
        <w:tblCellMar>
          <w:left w:w="70" w:type="dxa"/>
          <w:right w:w="70" w:type="dxa"/>
        </w:tblCellMar>
        <w:tblLook w:val="04A0" w:firstRow="1" w:lastRow="0" w:firstColumn="1" w:lastColumn="0" w:noHBand="0" w:noVBand="1"/>
      </w:tblPr>
      <w:tblGrid>
        <w:gridCol w:w="3558"/>
        <w:gridCol w:w="1773"/>
        <w:gridCol w:w="191"/>
        <w:gridCol w:w="1463"/>
        <w:gridCol w:w="191"/>
        <w:gridCol w:w="1107"/>
        <w:gridCol w:w="191"/>
        <w:gridCol w:w="1165"/>
      </w:tblGrid>
      <w:tr w:rsidR="005020AA" w:rsidRPr="00226892" w14:paraId="1FB67254" w14:textId="77777777" w:rsidTr="000405EF">
        <w:trPr>
          <w:trHeight w:val="227"/>
        </w:trPr>
        <w:tc>
          <w:tcPr>
            <w:tcW w:w="1851" w:type="pct"/>
            <w:tcBorders>
              <w:top w:val="nil"/>
              <w:left w:val="nil"/>
              <w:bottom w:val="single" w:sz="4" w:space="0" w:color="auto"/>
              <w:right w:val="nil"/>
            </w:tcBorders>
            <w:shd w:val="clear" w:color="auto" w:fill="auto"/>
            <w:vAlign w:val="bottom"/>
            <w:hideMark/>
          </w:tcPr>
          <w:p w14:paraId="1A33C12C" w14:textId="77777777" w:rsidR="005020AA" w:rsidRPr="00226892" w:rsidRDefault="005020AA"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 </w:t>
            </w:r>
          </w:p>
        </w:tc>
        <w:tc>
          <w:tcPr>
            <w:tcW w:w="925" w:type="pct"/>
            <w:tcBorders>
              <w:top w:val="nil"/>
              <w:left w:val="nil"/>
              <w:bottom w:val="single" w:sz="4" w:space="0" w:color="auto"/>
              <w:right w:val="nil"/>
            </w:tcBorders>
            <w:shd w:val="clear" w:color="auto" w:fill="auto"/>
            <w:vAlign w:val="bottom"/>
            <w:hideMark/>
          </w:tcPr>
          <w:p w14:paraId="4E86818F" w14:textId="77777777" w:rsidR="005020AA" w:rsidRPr="00226892" w:rsidRDefault="005020AA" w:rsidP="005020AA">
            <w:pPr>
              <w:jc w:val="center"/>
              <w:rPr>
                <w:rFonts w:ascii="Arial" w:eastAsia="Times New Roman" w:hAnsi="Arial" w:cs="Arial"/>
                <w:b/>
                <w:bCs/>
                <w:color w:val="000000"/>
                <w:sz w:val="18"/>
                <w:szCs w:val="18"/>
                <w:lang w:eastAsia="sk-SK"/>
              </w:rPr>
            </w:pPr>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Budovy</w:t>
            </w:r>
            <w:proofErr w:type="spellEnd"/>
            <w:r w:rsidRPr="00226892">
              <w:rPr>
                <w:rFonts w:ascii="Arial" w:eastAsia="Times New Roman" w:hAnsi="Arial" w:cs="Arial"/>
                <w:b/>
                <w:bCs/>
                <w:color w:val="000000"/>
                <w:sz w:val="18"/>
                <w:szCs w:val="18"/>
                <w:lang w:eastAsia="sk-SK"/>
              </w:rPr>
              <w:t xml:space="preserve"> </w:t>
            </w:r>
          </w:p>
        </w:tc>
        <w:tc>
          <w:tcPr>
            <w:tcW w:w="90" w:type="pct"/>
            <w:tcBorders>
              <w:top w:val="nil"/>
              <w:left w:val="nil"/>
              <w:bottom w:val="single" w:sz="4" w:space="0" w:color="auto"/>
              <w:right w:val="nil"/>
            </w:tcBorders>
            <w:shd w:val="clear" w:color="auto" w:fill="auto"/>
            <w:vAlign w:val="bottom"/>
            <w:hideMark/>
          </w:tcPr>
          <w:p w14:paraId="19253D38" w14:textId="77777777" w:rsidR="005020AA" w:rsidRPr="00226892" w:rsidRDefault="005020AA" w:rsidP="005020AA">
            <w:pPr>
              <w:jc w:val="right"/>
              <w:rPr>
                <w:rFonts w:ascii="Arial" w:eastAsia="Times New Roman" w:hAnsi="Arial" w:cs="Arial"/>
                <w:b/>
                <w:bCs/>
                <w:color w:val="000000"/>
                <w:sz w:val="18"/>
                <w:szCs w:val="18"/>
                <w:lang w:eastAsia="sk-SK"/>
              </w:rPr>
            </w:pPr>
            <w:r w:rsidRPr="00226892">
              <w:rPr>
                <w:rFonts w:ascii="Arial" w:eastAsia="Times New Roman" w:hAnsi="Arial" w:cs="Arial"/>
                <w:b/>
                <w:bCs/>
                <w:color w:val="000000"/>
                <w:sz w:val="18"/>
                <w:szCs w:val="18"/>
                <w:lang w:eastAsia="sk-SK"/>
              </w:rPr>
              <w:t> </w:t>
            </w:r>
          </w:p>
        </w:tc>
        <w:tc>
          <w:tcPr>
            <w:tcW w:w="764" w:type="pct"/>
            <w:tcBorders>
              <w:top w:val="nil"/>
              <w:left w:val="nil"/>
              <w:bottom w:val="single" w:sz="4" w:space="0" w:color="auto"/>
              <w:right w:val="nil"/>
            </w:tcBorders>
            <w:shd w:val="clear" w:color="auto" w:fill="auto"/>
            <w:vAlign w:val="bottom"/>
            <w:hideMark/>
          </w:tcPr>
          <w:p w14:paraId="44AA40E5" w14:textId="77777777" w:rsidR="005020AA" w:rsidRPr="00226892" w:rsidRDefault="005020AA" w:rsidP="005020AA">
            <w:pPr>
              <w:jc w:val="center"/>
              <w:rPr>
                <w:rFonts w:ascii="Arial" w:eastAsia="Times New Roman" w:hAnsi="Arial" w:cs="Arial"/>
                <w:b/>
                <w:bCs/>
                <w:color w:val="000000"/>
                <w:sz w:val="18"/>
                <w:szCs w:val="18"/>
                <w:lang w:eastAsia="sk-SK"/>
              </w:rPr>
            </w:pPr>
            <w:proofErr w:type="spellStart"/>
            <w:r w:rsidRPr="00226892">
              <w:rPr>
                <w:rFonts w:ascii="Arial" w:eastAsia="Times New Roman" w:hAnsi="Arial" w:cs="Arial"/>
                <w:b/>
                <w:bCs/>
                <w:color w:val="000000"/>
                <w:sz w:val="18"/>
                <w:szCs w:val="18"/>
                <w:lang w:eastAsia="sk-SK"/>
              </w:rPr>
              <w:t>Stroje</w:t>
            </w:r>
            <w:proofErr w:type="spellEnd"/>
            <w:r w:rsidRPr="00226892">
              <w:rPr>
                <w:rFonts w:ascii="Arial" w:eastAsia="Times New Roman" w:hAnsi="Arial" w:cs="Arial"/>
                <w:b/>
                <w:bCs/>
                <w:color w:val="000000"/>
                <w:sz w:val="18"/>
                <w:szCs w:val="18"/>
                <w:lang w:eastAsia="sk-SK"/>
              </w:rPr>
              <w:t xml:space="preserve"> a </w:t>
            </w:r>
            <w:proofErr w:type="spellStart"/>
            <w:r w:rsidRPr="00226892">
              <w:rPr>
                <w:rFonts w:ascii="Arial" w:eastAsia="Times New Roman" w:hAnsi="Arial" w:cs="Arial"/>
                <w:b/>
                <w:bCs/>
                <w:color w:val="000000"/>
                <w:sz w:val="18"/>
                <w:szCs w:val="18"/>
                <w:lang w:eastAsia="sk-SK"/>
              </w:rPr>
              <w:t>zariadenia</w:t>
            </w:r>
            <w:proofErr w:type="spellEnd"/>
            <w:r w:rsidRPr="00226892">
              <w:rPr>
                <w:rFonts w:ascii="Arial" w:eastAsia="Times New Roman" w:hAnsi="Arial" w:cs="Arial"/>
                <w:b/>
                <w:bCs/>
                <w:color w:val="000000"/>
                <w:sz w:val="18"/>
                <w:szCs w:val="18"/>
                <w:lang w:eastAsia="sk-SK"/>
              </w:rPr>
              <w:t xml:space="preserve"> </w:t>
            </w:r>
          </w:p>
        </w:tc>
        <w:tc>
          <w:tcPr>
            <w:tcW w:w="91" w:type="pct"/>
            <w:tcBorders>
              <w:top w:val="nil"/>
              <w:left w:val="nil"/>
              <w:bottom w:val="single" w:sz="4" w:space="0" w:color="auto"/>
              <w:right w:val="nil"/>
            </w:tcBorders>
            <w:shd w:val="clear" w:color="auto" w:fill="auto"/>
            <w:vAlign w:val="bottom"/>
            <w:hideMark/>
          </w:tcPr>
          <w:p w14:paraId="528869D5" w14:textId="77777777" w:rsidR="005020AA" w:rsidRPr="00226892" w:rsidRDefault="005020AA" w:rsidP="005020AA">
            <w:pPr>
              <w:jc w:val="right"/>
              <w:rPr>
                <w:rFonts w:ascii="Arial" w:eastAsia="Times New Roman" w:hAnsi="Arial" w:cs="Arial"/>
                <w:b/>
                <w:bCs/>
                <w:color w:val="000000"/>
                <w:sz w:val="18"/>
                <w:szCs w:val="18"/>
                <w:lang w:eastAsia="sk-SK"/>
              </w:rPr>
            </w:pPr>
            <w:r w:rsidRPr="00226892">
              <w:rPr>
                <w:rFonts w:ascii="Arial" w:eastAsia="Times New Roman" w:hAnsi="Arial" w:cs="Arial"/>
                <w:b/>
                <w:bCs/>
                <w:color w:val="000000"/>
                <w:sz w:val="18"/>
                <w:szCs w:val="18"/>
                <w:lang w:eastAsia="sk-SK"/>
              </w:rPr>
              <w:t> </w:t>
            </w:r>
          </w:p>
        </w:tc>
        <w:tc>
          <w:tcPr>
            <w:tcW w:w="579" w:type="pct"/>
            <w:tcBorders>
              <w:top w:val="nil"/>
              <w:left w:val="nil"/>
              <w:bottom w:val="single" w:sz="4" w:space="0" w:color="auto"/>
              <w:right w:val="nil"/>
            </w:tcBorders>
            <w:shd w:val="clear" w:color="auto" w:fill="auto"/>
            <w:vAlign w:val="bottom"/>
            <w:hideMark/>
          </w:tcPr>
          <w:p w14:paraId="5650E5A5" w14:textId="77777777" w:rsidR="005020AA" w:rsidRPr="00226892" w:rsidRDefault="005020AA" w:rsidP="005020AA">
            <w:pPr>
              <w:jc w:val="center"/>
              <w:rPr>
                <w:rFonts w:ascii="Arial" w:eastAsia="Times New Roman" w:hAnsi="Arial" w:cs="Arial"/>
                <w:b/>
                <w:bCs/>
                <w:color w:val="000000"/>
                <w:sz w:val="18"/>
                <w:szCs w:val="18"/>
                <w:lang w:eastAsia="sk-SK"/>
              </w:rPr>
            </w:pPr>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Ostatné</w:t>
            </w:r>
            <w:proofErr w:type="spellEnd"/>
            <w:r w:rsidRPr="00226892">
              <w:rPr>
                <w:rFonts w:ascii="Arial" w:eastAsia="Times New Roman" w:hAnsi="Arial" w:cs="Arial"/>
                <w:b/>
                <w:bCs/>
                <w:color w:val="000000"/>
                <w:sz w:val="18"/>
                <w:szCs w:val="18"/>
                <w:lang w:eastAsia="sk-SK"/>
              </w:rPr>
              <w:t xml:space="preserve"> </w:t>
            </w:r>
          </w:p>
        </w:tc>
        <w:tc>
          <w:tcPr>
            <w:tcW w:w="91" w:type="pct"/>
            <w:tcBorders>
              <w:top w:val="nil"/>
              <w:left w:val="nil"/>
              <w:bottom w:val="single" w:sz="4" w:space="0" w:color="auto"/>
              <w:right w:val="nil"/>
            </w:tcBorders>
            <w:shd w:val="clear" w:color="auto" w:fill="auto"/>
            <w:vAlign w:val="bottom"/>
            <w:hideMark/>
          </w:tcPr>
          <w:p w14:paraId="7886DFE7" w14:textId="77777777" w:rsidR="005020AA" w:rsidRPr="00226892" w:rsidRDefault="005020AA" w:rsidP="005020AA">
            <w:pPr>
              <w:jc w:val="right"/>
              <w:rPr>
                <w:rFonts w:ascii="Arial" w:eastAsia="Times New Roman" w:hAnsi="Arial" w:cs="Arial"/>
                <w:b/>
                <w:bCs/>
                <w:color w:val="000000"/>
                <w:sz w:val="18"/>
                <w:szCs w:val="18"/>
                <w:lang w:eastAsia="sk-SK"/>
              </w:rPr>
            </w:pPr>
            <w:r w:rsidRPr="00226892">
              <w:rPr>
                <w:rFonts w:ascii="Arial" w:eastAsia="Times New Roman" w:hAnsi="Arial" w:cs="Arial"/>
                <w:b/>
                <w:bCs/>
                <w:color w:val="000000"/>
                <w:sz w:val="18"/>
                <w:szCs w:val="18"/>
                <w:lang w:eastAsia="sk-SK"/>
              </w:rPr>
              <w:t> </w:t>
            </w:r>
          </w:p>
        </w:tc>
        <w:tc>
          <w:tcPr>
            <w:tcW w:w="609" w:type="pct"/>
            <w:tcBorders>
              <w:top w:val="nil"/>
              <w:left w:val="nil"/>
              <w:bottom w:val="single" w:sz="4" w:space="0" w:color="auto"/>
              <w:right w:val="nil"/>
            </w:tcBorders>
            <w:shd w:val="clear" w:color="auto" w:fill="auto"/>
            <w:vAlign w:val="bottom"/>
            <w:hideMark/>
          </w:tcPr>
          <w:p w14:paraId="69488F83" w14:textId="77777777" w:rsidR="005020AA" w:rsidRPr="00226892" w:rsidRDefault="005020AA" w:rsidP="005020AA">
            <w:pPr>
              <w:jc w:val="center"/>
              <w:rPr>
                <w:rFonts w:ascii="Arial" w:eastAsia="Times New Roman" w:hAnsi="Arial" w:cs="Arial"/>
                <w:b/>
                <w:bCs/>
                <w:color w:val="000000"/>
                <w:sz w:val="18"/>
                <w:szCs w:val="18"/>
                <w:lang w:eastAsia="sk-SK"/>
              </w:rPr>
            </w:pPr>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Spolu</w:t>
            </w:r>
            <w:proofErr w:type="spellEnd"/>
            <w:r w:rsidRPr="00226892">
              <w:rPr>
                <w:rFonts w:ascii="Arial" w:eastAsia="Times New Roman" w:hAnsi="Arial" w:cs="Arial"/>
                <w:b/>
                <w:bCs/>
                <w:color w:val="000000"/>
                <w:sz w:val="18"/>
                <w:szCs w:val="18"/>
                <w:lang w:eastAsia="sk-SK"/>
              </w:rPr>
              <w:t xml:space="preserve"> </w:t>
            </w:r>
          </w:p>
        </w:tc>
      </w:tr>
      <w:tr w:rsidR="005020AA" w:rsidRPr="00226892" w14:paraId="53A3191B" w14:textId="77777777" w:rsidTr="000405EF">
        <w:trPr>
          <w:trHeight w:val="227"/>
        </w:trPr>
        <w:tc>
          <w:tcPr>
            <w:tcW w:w="1851" w:type="pct"/>
            <w:tcBorders>
              <w:top w:val="nil"/>
              <w:left w:val="nil"/>
              <w:bottom w:val="nil"/>
              <w:right w:val="nil"/>
            </w:tcBorders>
            <w:shd w:val="clear" w:color="auto" w:fill="auto"/>
            <w:vAlign w:val="bottom"/>
            <w:hideMark/>
          </w:tcPr>
          <w:p w14:paraId="354CBCE9" w14:textId="4EA6E308" w:rsidR="005020AA" w:rsidRPr="00226892" w:rsidRDefault="005020AA" w:rsidP="005020AA">
            <w:pPr>
              <w:rPr>
                <w:rFonts w:ascii="Arial" w:eastAsia="Times New Roman" w:hAnsi="Arial" w:cs="Arial"/>
                <w:b/>
                <w:bCs/>
                <w:color w:val="000000"/>
                <w:sz w:val="18"/>
                <w:szCs w:val="18"/>
                <w:lang w:eastAsia="sk-SK"/>
              </w:rPr>
            </w:pPr>
            <w:proofErr w:type="spellStart"/>
            <w:r w:rsidRPr="00226892">
              <w:rPr>
                <w:rFonts w:ascii="Arial" w:eastAsia="Times New Roman" w:hAnsi="Arial" w:cs="Arial"/>
                <w:b/>
                <w:bCs/>
                <w:color w:val="000000"/>
                <w:sz w:val="18"/>
                <w:szCs w:val="18"/>
                <w:lang w:eastAsia="sk-SK"/>
              </w:rPr>
              <w:t>Stav</w:t>
            </w:r>
            <w:proofErr w:type="spellEnd"/>
            <w:r w:rsidRPr="00226892">
              <w:rPr>
                <w:rFonts w:ascii="Arial" w:eastAsia="Times New Roman" w:hAnsi="Arial" w:cs="Arial"/>
                <w:b/>
                <w:bCs/>
                <w:color w:val="000000"/>
                <w:sz w:val="18"/>
                <w:szCs w:val="18"/>
                <w:lang w:eastAsia="sk-SK"/>
              </w:rPr>
              <w:t xml:space="preserve"> k 31-12-2018</w:t>
            </w:r>
          </w:p>
        </w:tc>
        <w:tc>
          <w:tcPr>
            <w:tcW w:w="925" w:type="pct"/>
            <w:tcBorders>
              <w:top w:val="nil"/>
              <w:left w:val="nil"/>
              <w:bottom w:val="nil"/>
              <w:right w:val="nil"/>
            </w:tcBorders>
            <w:shd w:val="clear" w:color="auto" w:fill="auto"/>
            <w:vAlign w:val="bottom"/>
          </w:tcPr>
          <w:p w14:paraId="5BF7F98E" w14:textId="77777777" w:rsidR="005020AA" w:rsidRPr="00226892" w:rsidRDefault="005020AA" w:rsidP="005020AA">
            <w:pPr>
              <w:jc w:val="right"/>
              <w:rPr>
                <w:rFonts w:ascii="Arial" w:eastAsia="Times New Roman" w:hAnsi="Arial" w:cs="Arial"/>
                <w:sz w:val="18"/>
                <w:szCs w:val="18"/>
                <w:lang w:eastAsia="sk-SK"/>
              </w:rPr>
            </w:pPr>
          </w:p>
        </w:tc>
        <w:tc>
          <w:tcPr>
            <w:tcW w:w="90" w:type="pct"/>
            <w:tcBorders>
              <w:top w:val="nil"/>
              <w:left w:val="nil"/>
              <w:bottom w:val="nil"/>
              <w:right w:val="nil"/>
            </w:tcBorders>
            <w:shd w:val="clear" w:color="auto" w:fill="auto"/>
            <w:vAlign w:val="bottom"/>
          </w:tcPr>
          <w:p w14:paraId="532D9E4B" w14:textId="77777777" w:rsidR="005020AA" w:rsidRPr="00226892" w:rsidRDefault="005020AA" w:rsidP="005020AA">
            <w:pPr>
              <w:jc w:val="right"/>
              <w:rPr>
                <w:rFonts w:ascii="Arial" w:eastAsia="Times New Roman" w:hAnsi="Arial" w:cs="Arial"/>
                <w:sz w:val="18"/>
                <w:szCs w:val="18"/>
                <w:lang w:eastAsia="sk-SK"/>
              </w:rPr>
            </w:pPr>
          </w:p>
        </w:tc>
        <w:tc>
          <w:tcPr>
            <w:tcW w:w="764" w:type="pct"/>
            <w:tcBorders>
              <w:top w:val="nil"/>
              <w:left w:val="nil"/>
              <w:bottom w:val="nil"/>
              <w:right w:val="nil"/>
            </w:tcBorders>
            <w:shd w:val="clear" w:color="auto" w:fill="auto"/>
            <w:vAlign w:val="bottom"/>
          </w:tcPr>
          <w:p w14:paraId="181E77B1" w14:textId="77777777" w:rsidR="005020AA" w:rsidRPr="00226892" w:rsidRDefault="005020AA" w:rsidP="005020AA">
            <w:pPr>
              <w:jc w:val="right"/>
              <w:rPr>
                <w:rFonts w:ascii="Arial" w:eastAsia="Times New Roman" w:hAnsi="Arial" w:cs="Arial"/>
                <w:sz w:val="18"/>
                <w:szCs w:val="18"/>
                <w:lang w:eastAsia="sk-SK"/>
              </w:rPr>
            </w:pPr>
          </w:p>
        </w:tc>
        <w:tc>
          <w:tcPr>
            <w:tcW w:w="91" w:type="pct"/>
            <w:tcBorders>
              <w:top w:val="nil"/>
              <w:left w:val="nil"/>
              <w:bottom w:val="nil"/>
              <w:right w:val="nil"/>
            </w:tcBorders>
            <w:shd w:val="clear" w:color="auto" w:fill="auto"/>
            <w:vAlign w:val="bottom"/>
          </w:tcPr>
          <w:p w14:paraId="63E28FF9" w14:textId="77777777" w:rsidR="005020AA" w:rsidRPr="00226892" w:rsidRDefault="005020AA" w:rsidP="005020AA">
            <w:pPr>
              <w:jc w:val="right"/>
              <w:rPr>
                <w:rFonts w:ascii="Arial" w:eastAsia="Times New Roman" w:hAnsi="Arial" w:cs="Arial"/>
                <w:sz w:val="18"/>
                <w:szCs w:val="18"/>
                <w:lang w:eastAsia="sk-SK"/>
              </w:rPr>
            </w:pPr>
          </w:p>
        </w:tc>
        <w:tc>
          <w:tcPr>
            <w:tcW w:w="579" w:type="pct"/>
            <w:tcBorders>
              <w:top w:val="nil"/>
              <w:left w:val="nil"/>
              <w:bottom w:val="nil"/>
              <w:right w:val="nil"/>
            </w:tcBorders>
            <w:shd w:val="clear" w:color="auto" w:fill="auto"/>
            <w:vAlign w:val="bottom"/>
          </w:tcPr>
          <w:p w14:paraId="05BA3906" w14:textId="77777777" w:rsidR="005020AA" w:rsidRPr="00226892" w:rsidRDefault="005020AA" w:rsidP="005020AA">
            <w:pPr>
              <w:jc w:val="right"/>
              <w:rPr>
                <w:rFonts w:ascii="Arial" w:eastAsia="Times New Roman" w:hAnsi="Arial" w:cs="Arial"/>
                <w:sz w:val="18"/>
                <w:szCs w:val="18"/>
                <w:lang w:eastAsia="sk-SK"/>
              </w:rPr>
            </w:pPr>
          </w:p>
        </w:tc>
        <w:tc>
          <w:tcPr>
            <w:tcW w:w="91" w:type="pct"/>
            <w:tcBorders>
              <w:top w:val="nil"/>
              <w:left w:val="nil"/>
              <w:bottom w:val="nil"/>
              <w:right w:val="nil"/>
            </w:tcBorders>
            <w:shd w:val="clear" w:color="auto" w:fill="auto"/>
            <w:vAlign w:val="bottom"/>
          </w:tcPr>
          <w:p w14:paraId="542A4E6E" w14:textId="77777777" w:rsidR="005020AA" w:rsidRPr="00226892" w:rsidRDefault="005020AA" w:rsidP="005020AA">
            <w:pPr>
              <w:jc w:val="right"/>
              <w:rPr>
                <w:rFonts w:ascii="Arial" w:eastAsia="Times New Roman" w:hAnsi="Arial" w:cs="Arial"/>
                <w:sz w:val="18"/>
                <w:szCs w:val="18"/>
                <w:lang w:eastAsia="sk-SK"/>
              </w:rPr>
            </w:pPr>
          </w:p>
        </w:tc>
        <w:tc>
          <w:tcPr>
            <w:tcW w:w="609" w:type="pct"/>
            <w:tcBorders>
              <w:top w:val="nil"/>
              <w:left w:val="nil"/>
              <w:bottom w:val="nil"/>
              <w:right w:val="nil"/>
            </w:tcBorders>
            <w:shd w:val="clear" w:color="auto" w:fill="auto"/>
            <w:vAlign w:val="bottom"/>
          </w:tcPr>
          <w:p w14:paraId="760FB517" w14:textId="77777777" w:rsidR="005020AA" w:rsidRPr="00226892" w:rsidRDefault="005020AA" w:rsidP="005020AA">
            <w:pPr>
              <w:jc w:val="right"/>
              <w:rPr>
                <w:rFonts w:ascii="Arial" w:eastAsia="Times New Roman" w:hAnsi="Arial" w:cs="Arial"/>
                <w:sz w:val="18"/>
                <w:szCs w:val="18"/>
                <w:lang w:eastAsia="sk-SK"/>
              </w:rPr>
            </w:pPr>
          </w:p>
        </w:tc>
      </w:tr>
      <w:tr w:rsidR="005020AA" w:rsidRPr="00226892" w14:paraId="63754146" w14:textId="77777777" w:rsidTr="000405EF">
        <w:trPr>
          <w:trHeight w:val="227"/>
        </w:trPr>
        <w:tc>
          <w:tcPr>
            <w:tcW w:w="1851" w:type="pct"/>
            <w:tcBorders>
              <w:top w:val="nil"/>
              <w:left w:val="nil"/>
              <w:bottom w:val="nil"/>
              <w:right w:val="nil"/>
            </w:tcBorders>
            <w:shd w:val="clear" w:color="auto" w:fill="auto"/>
            <w:noWrap/>
            <w:vAlign w:val="bottom"/>
            <w:hideMark/>
          </w:tcPr>
          <w:p w14:paraId="3307146D" w14:textId="77777777" w:rsidR="005020AA" w:rsidRPr="00226892" w:rsidRDefault="005020AA" w:rsidP="005020AA">
            <w:pPr>
              <w:rPr>
                <w:rFonts w:ascii="Arial" w:eastAsia="Times New Roman" w:hAnsi="Arial" w:cs="Arial"/>
                <w:color w:val="000000"/>
                <w:sz w:val="18"/>
                <w:szCs w:val="18"/>
                <w:lang w:eastAsia="sk-SK"/>
              </w:rPr>
            </w:pPr>
            <w:proofErr w:type="spellStart"/>
            <w:r w:rsidRPr="00226892">
              <w:rPr>
                <w:rFonts w:ascii="Arial" w:eastAsia="Times New Roman" w:hAnsi="Arial" w:cs="Arial"/>
                <w:color w:val="000000"/>
                <w:sz w:val="18"/>
                <w:szCs w:val="18"/>
                <w:lang w:eastAsia="sk-SK"/>
              </w:rPr>
              <w:t>Účtovná</w:t>
            </w:r>
            <w:proofErr w:type="spellEnd"/>
            <w:r w:rsidRPr="00226892">
              <w:rPr>
                <w:rFonts w:ascii="Arial" w:eastAsia="Times New Roman" w:hAnsi="Arial" w:cs="Arial"/>
                <w:color w:val="000000"/>
                <w:sz w:val="18"/>
                <w:szCs w:val="18"/>
                <w:lang w:eastAsia="sk-SK"/>
              </w:rPr>
              <w:t xml:space="preserve"> </w:t>
            </w:r>
            <w:proofErr w:type="spellStart"/>
            <w:r w:rsidRPr="00226892">
              <w:rPr>
                <w:rFonts w:ascii="Arial" w:eastAsia="Times New Roman" w:hAnsi="Arial" w:cs="Arial"/>
                <w:color w:val="000000"/>
                <w:sz w:val="18"/>
                <w:szCs w:val="18"/>
                <w:lang w:eastAsia="sk-SK"/>
              </w:rPr>
              <w:t>hodnota</w:t>
            </w:r>
            <w:proofErr w:type="spellEnd"/>
            <w:r w:rsidRPr="00226892">
              <w:rPr>
                <w:rFonts w:ascii="Arial" w:eastAsia="Times New Roman" w:hAnsi="Arial" w:cs="Arial"/>
                <w:color w:val="000000"/>
                <w:sz w:val="18"/>
                <w:szCs w:val="18"/>
                <w:lang w:eastAsia="sk-SK"/>
              </w:rPr>
              <w:t xml:space="preserve"> </w:t>
            </w:r>
          </w:p>
        </w:tc>
        <w:tc>
          <w:tcPr>
            <w:tcW w:w="925" w:type="pct"/>
            <w:tcBorders>
              <w:top w:val="nil"/>
              <w:left w:val="nil"/>
              <w:bottom w:val="nil"/>
              <w:right w:val="nil"/>
            </w:tcBorders>
            <w:shd w:val="clear" w:color="auto" w:fill="auto"/>
            <w:vAlign w:val="bottom"/>
          </w:tcPr>
          <w:p w14:paraId="31A7577D" w14:textId="77777777" w:rsidR="005020AA" w:rsidRPr="00226892" w:rsidRDefault="005020AA"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w:t>
            </w:r>
          </w:p>
        </w:tc>
        <w:tc>
          <w:tcPr>
            <w:tcW w:w="90" w:type="pct"/>
            <w:tcBorders>
              <w:top w:val="nil"/>
              <w:left w:val="nil"/>
              <w:bottom w:val="nil"/>
              <w:right w:val="nil"/>
            </w:tcBorders>
            <w:shd w:val="clear" w:color="auto" w:fill="auto"/>
            <w:vAlign w:val="bottom"/>
          </w:tcPr>
          <w:p w14:paraId="7BD43198" w14:textId="77777777" w:rsidR="005020AA" w:rsidRPr="00226892" w:rsidRDefault="005020AA" w:rsidP="005020AA">
            <w:pPr>
              <w:jc w:val="right"/>
              <w:rPr>
                <w:rFonts w:ascii="Arial" w:eastAsia="Times New Roman" w:hAnsi="Arial" w:cs="Arial"/>
                <w:color w:val="000000"/>
                <w:sz w:val="18"/>
                <w:szCs w:val="18"/>
                <w:lang w:eastAsia="sk-SK"/>
              </w:rPr>
            </w:pPr>
          </w:p>
        </w:tc>
        <w:tc>
          <w:tcPr>
            <w:tcW w:w="764" w:type="pct"/>
            <w:tcBorders>
              <w:top w:val="nil"/>
              <w:left w:val="nil"/>
              <w:bottom w:val="nil"/>
              <w:right w:val="nil"/>
            </w:tcBorders>
            <w:shd w:val="clear" w:color="auto" w:fill="auto"/>
            <w:vAlign w:val="bottom"/>
          </w:tcPr>
          <w:p w14:paraId="167F9699" w14:textId="4EF3479D" w:rsidR="005020AA" w:rsidRPr="00226892" w:rsidRDefault="00672446"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7</w:t>
            </w:r>
            <w:r w:rsidR="00DB7328" w:rsidRPr="00226892">
              <w:rPr>
                <w:rFonts w:ascii="Arial" w:eastAsia="Times New Roman" w:hAnsi="Arial" w:cs="Arial"/>
                <w:color w:val="000000"/>
                <w:sz w:val="18"/>
                <w:szCs w:val="18"/>
                <w:lang w:eastAsia="sk-SK"/>
              </w:rPr>
              <w:t>86</w:t>
            </w:r>
          </w:p>
        </w:tc>
        <w:tc>
          <w:tcPr>
            <w:tcW w:w="91" w:type="pct"/>
            <w:tcBorders>
              <w:top w:val="nil"/>
              <w:left w:val="nil"/>
              <w:bottom w:val="nil"/>
              <w:right w:val="nil"/>
            </w:tcBorders>
            <w:shd w:val="clear" w:color="auto" w:fill="auto"/>
            <w:vAlign w:val="bottom"/>
          </w:tcPr>
          <w:p w14:paraId="37C12128" w14:textId="77777777" w:rsidR="005020AA" w:rsidRPr="00226892" w:rsidRDefault="005020AA" w:rsidP="005020AA">
            <w:pPr>
              <w:jc w:val="right"/>
              <w:rPr>
                <w:rFonts w:ascii="Arial" w:eastAsia="Times New Roman" w:hAnsi="Arial" w:cs="Arial"/>
                <w:color w:val="000000"/>
                <w:sz w:val="18"/>
                <w:szCs w:val="18"/>
                <w:lang w:eastAsia="sk-SK"/>
              </w:rPr>
            </w:pPr>
          </w:p>
        </w:tc>
        <w:tc>
          <w:tcPr>
            <w:tcW w:w="579" w:type="pct"/>
            <w:tcBorders>
              <w:top w:val="nil"/>
              <w:left w:val="nil"/>
              <w:bottom w:val="nil"/>
              <w:right w:val="nil"/>
            </w:tcBorders>
            <w:shd w:val="clear" w:color="auto" w:fill="auto"/>
            <w:vAlign w:val="bottom"/>
          </w:tcPr>
          <w:p w14:paraId="0721D081" w14:textId="77777777" w:rsidR="005020AA" w:rsidRPr="00226892" w:rsidRDefault="005020AA"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w:t>
            </w:r>
          </w:p>
        </w:tc>
        <w:tc>
          <w:tcPr>
            <w:tcW w:w="91" w:type="pct"/>
            <w:tcBorders>
              <w:top w:val="nil"/>
              <w:left w:val="nil"/>
              <w:bottom w:val="nil"/>
              <w:right w:val="nil"/>
            </w:tcBorders>
            <w:shd w:val="clear" w:color="auto" w:fill="auto"/>
            <w:vAlign w:val="bottom"/>
          </w:tcPr>
          <w:p w14:paraId="37489797" w14:textId="77777777" w:rsidR="005020AA" w:rsidRPr="00226892" w:rsidRDefault="005020AA" w:rsidP="005020AA">
            <w:pPr>
              <w:jc w:val="right"/>
              <w:rPr>
                <w:rFonts w:ascii="Arial" w:eastAsia="Times New Roman" w:hAnsi="Arial" w:cs="Arial"/>
                <w:color w:val="000000"/>
                <w:sz w:val="18"/>
                <w:szCs w:val="18"/>
                <w:highlight w:val="yellow"/>
                <w:lang w:eastAsia="sk-SK"/>
              </w:rPr>
            </w:pPr>
          </w:p>
        </w:tc>
        <w:tc>
          <w:tcPr>
            <w:tcW w:w="609" w:type="pct"/>
            <w:tcBorders>
              <w:top w:val="nil"/>
              <w:left w:val="nil"/>
              <w:bottom w:val="nil"/>
              <w:right w:val="nil"/>
            </w:tcBorders>
            <w:shd w:val="clear" w:color="auto" w:fill="auto"/>
            <w:vAlign w:val="bottom"/>
          </w:tcPr>
          <w:p w14:paraId="76EC5491" w14:textId="28F34466" w:rsidR="005020AA" w:rsidRPr="00226892" w:rsidRDefault="00672446" w:rsidP="005020AA">
            <w:pPr>
              <w:jc w:val="right"/>
              <w:rPr>
                <w:rFonts w:ascii="Arial" w:eastAsia="Times New Roman" w:hAnsi="Arial" w:cs="Arial"/>
                <w:b/>
                <w:bCs/>
                <w:color w:val="000000"/>
                <w:sz w:val="18"/>
                <w:szCs w:val="18"/>
                <w:highlight w:val="yellow"/>
                <w:lang w:val="en-US" w:eastAsia="sk-SK"/>
              </w:rPr>
            </w:pPr>
            <w:r w:rsidRPr="00226892">
              <w:rPr>
                <w:rFonts w:ascii="Arial" w:eastAsia="Times New Roman" w:hAnsi="Arial" w:cs="Arial"/>
                <w:b/>
                <w:bCs/>
                <w:color w:val="000000"/>
                <w:sz w:val="18"/>
                <w:szCs w:val="18"/>
                <w:lang w:eastAsia="sk-SK"/>
              </w:rPr>
              <w:t>7</w:t>
            </w:r>
            <w:r w:rsidR="00DB7328" w:rsidRPr="00226892">
              <w:rPr>
                <w:rFonts w:ascii="Arial" w:eastAsia="Times New Roman" w:hAnsi="Arial" w:cs="Arial"/>
                <w:b/>
                <w:bCs/>
                <w:color w:val="000000"/>
                <w:sz w:val="18"/>
                <w:szCs w:val="18"/>
                <w:lang w:eastAsia="sk-SK"/>
              </w:rPr>
              <w:t>86</w:t>
            </w:r>
          </w:p>
        </w:tc>
      </w:tr>
    </w:tbl>
    <w:p w14:paraId="24560B59" w14:textId="77777777" w:rsidR="005020AA" w:rsidRPr="00226892" w:rsidRDefault="005020AA" w:rsidP="005020AA">
      <w:pPr>
        <w:rPr>
          <w:rFonts w:ascii="Arial" w:hAnsi="Arial" w:cs="Arial"/>
        </w:rPr>
      </w:pPr>
    </w:p>
    <w:tbl>
      <w:tblPr>
        <w:tblW w:w="5000" w:type="pct"/>
        <w:tblCellMar>
          <w:left w:w="70" w:type="dxa"/>
          <w:right w:w="70" w:type="dxa"/>
        </w:tblCellMar>
        <w:tblLook w:val="04A0" w:firstRow="1" w:lastRow="0" w:firstColumn="1" w:lastColumn="0" w:noHBand="0" w:noVBand="1"/>
      </w:tblPr>
      <w:tblGrid>
        <w:gridCol w:w="3569"/>
        <w:gridCol w:w="1783"/>
        <w:gridCol w:w="174"/>
        <w:gridCol w:w="1475"/>
        <w:gridCol w:w="175"/>
        <w:gridCol w:w="1116"/>
        <w:gridCol w:w="175"/>
        <w:gridCol w:w="1172"/>
      </w:tblGrid>
      <w:tr w:rsidR="005020AA" w:rsidRPr="00226892" w14:paraId="3EAE3AF7" w14:textId="77777777" w:rsidTr="000405EF">
        <w:trPr>
          <w:trHeight w:val="227"/>
        </w:trPr>
        <w:tc>
          <w:tcPr>
            <w:tcW w:w="1851" w:type="pct"/>
            <w:tcBorders>
              <w:top w:val="nil"/>
              <w:left w:val="nil"/>
              <w:bottom w:val="nil"/>
              <w:right w:val="nil"/>
            </w:tcBorders>
            <w:shd w:val="clear" w:color="auto" w:fill="auto"/>
            <w:vAlign w:val="bottom"/>
            <w:hideMark/>
          </w:tcPr>
          <w:p w14:paraId="451D2341" w14:textId="77777777" w:rsidR="005020AA" w:rsidRPr="00226892" w:rsidRDefault="005020AA" w:rsidP="005020AA">
            <w:pPr>
              <w:rPr>
                <w:rFonts w:ascii="Arial" w:eastAsia="Times New Roman" w:hAnsi="Arial" w:cs="Arial"/>
                <w:b/>
                <w:bCs/>
                <w:color w:val="000000"/>
                <w:sz w:val="18"/>
                <w:szCs w:val="18"/>
                <w:lang w:eastAsia="sk-SK"/>
              </w:rPr>
            </w:pPr>
            <w:proofErr w:type="spellStart"/>
            <w:r w:rsidRPr="00226892">
              <w:rPr>
                <w:rFonts w:ascii="Arial" w:eastAsia="Times New Roman" w:hAnsi="Arial" w:cs="Arial"/>
                <w:b/>
                <w:bCs/>
                <w:color w:val="000000"/>
                <w:sz w:val="18"/>
                <w:szCs w:val="18"/>
                <w:lang w:eastAsia="sk-SK"/>
              </w:rPr>
              <w:t>Stav</w:t>
            </w:r>
            <w:proofErr w:type="spellEnd"/>
            <w:r w:rsidRPr="00226892">
              <w:rPr>
                <w:rFonts w:ascii="Arial" w:eastAsia="Times New Roman" w:hAnsi="Arial" w:cs="Arial"/>
                <w:b/>
                <w:bCs/>
                <w:color w:val="000000"/>
                <w:sz w:val="18"/>
                <w:szCs w:val="18"/>
                <w:lang w:eastAsia="sk-SK"/>
              </w:rPr>
              <w:t xml:space="preserve"> k 31-12-2017</w:t>
            </w:r>
          </w:p>
        </w:tc>
        <w:tc>
          <w:tcPr>
            <w:tcW w:w="925" w:type="pct"/>
            <w:tcBorders>
              <w:top w:val="nil"/>
              <w:left w:val="nil"/>
              <w:bottom w:val="nil"/>
              <w:right w:val="nil"/>
            </w:tcBorders>
            <w:shd w:val="clear" w:color="auto" w:fill="auto"/>
            <w:vAlign w:val="bottom"/>
          </w:tcPr>
          <w:p w14:paraId="09DE3C19" w14:textId="77777777" w:rsidR="005020AA" w:rsidRPr="00226892" w:rsidRDefault="005020AA" w:rsidP="005020AA">
            <w:pPr>
              <w:jc w:val="right"/>
              <w:rPr>
                <w:rFonts w:ascii="Arial" w:eastAsia="Times New Roman" w:hAnsi="Arial" w:cs="Arial"/>
                <w:sz w:val="18"/>
                <w:szCs w:val="18"/>
                <w:lang w:eastAsia="sk-SK"/>
              </w:rPr>
            </w:pPr>
          </w:p>
        </w:tc>
        <w:tc>
          <w:tcPr>
            <w:tcW w:w="90" w:type="pct"/>
            <w:tcBorders>
              <w:top w:val="nil"/>
              <w:left w:val="nil"/>
              <w:bottom w:val="nil"/>
              <w:right w:val="nil"/>
            </w:tcBorders>
            <w:shd w:val="clear" w:color="auto" w:fill="auto"/>
            <w:vAlign w:val="bottom"/>
          </w:tcPr>
          <w:p w14:paraId="2DB44980" w14:textId="77777777" w:rsidR="005020AA" w:rsidRPr="00226892" w:rsidRDefault="005020AA" w:rsidP="005020AA">
            <w:pPr>
              <w:jc w:val="right"/>
              <w:rPr>
                <w:rFonts w:ascii="Arial" w:eastAsia="Times New Roman" w:hAnsi="Arial" w:cs="Arial"/>
                <w:sz w:val="18"/>
                <w:szCs w:val="18"/>
                <w:lang w:eastAsia="sk-SK"/>
              </w:rPr>
            </w:pPr>
          </w:p>
        </w:tc>
        <w:tc>
          <w:tcPr>
            <w:tcW w:w="765" w:type="pct"/>
            <w:tcBorders>
              <w:top w:val="nil"/>
              <w:left w:val="nil"/>
              <w:bottom w:val="nil"/>
              <w:right w:val="nil"/>
            </w:tcBorders>
            <w:shd w:val="clear" w:color="auto" w:fill="auto"/>
            <w:vAlign w:val="bottom"/>
          </w:tcPr>
          <w:p w14:paraId="787472BD" w14:textId="77777777" w:rsidR="005020AA" w:rsidRPr="00226892" w:rsidRDefault="005020AA" w:rsidP="005020AA">
            <w:pPr>
              <w:jc w:val="right"/>
              <w:rPr>
                <w:rFonts w:ascii="Arial" w:eastAsia="Times New Roman" w:hAnsi="Arial" w:cs="Arial"/>
                <w:sz w:val="18"/>
                <w:szCs w:val="18"/>
                <w:lang w:eastAsia="sk-SK"/>
              </w:rPr>
            </w:pPr>
          </w:p>
        </w:tc>
        <w:tc>
          <w:tcPr>
            <w:tcW w:w="91" w:type="pct"/>
            <w:tcBorders>
              <w:top w:val="nil"/>
              <w:left w:val="nil"/>
              <w:bottom w:val="nil"/>
              <w:right w:val="nil"/>
            </w:tcBorders>
            <w:shd w:val="clear" w:color="auto" w:fill="auto"/>
            <w:vAlign w:val="bottom"/>
          </w:tcPr>
          <w:p w14:paraId="2662A231" w14:textId="77777777" w:rsidR="005020AA" w:rsidRPr="00226892" w:rsidRDefault="005020AA" w:rsidP="005020AA">
            <w:pPr>
              <w:jc w:val="right"/>
              <w:rPr>
                <w:rFonts w:ascii="Arial" w:eastAsia="Times New Roman" w:hAnsi="Arial" w:cs="Arial"/>
                <w:sz w:val="18"/>
                <w:szCs w:val="18"/>
                <w:lang w:eastAsia="sk-SK"/>
              </w:rPr>
            </w:pPr>
          </w:p>
        </w:tc>
        <w:tc>
          <w:tcPr>
            <w:tcW w:w="579" w:type="pct"/>
            <w:tcBorders>
              <w:top w:val="nil"/>
              <w:left w:val="nil"/>
              <w:bottom w:val="nil"/>
              <w:right w:val="nil"/>
            </w:tcBorders>
            <w:shd w:val="clear" w:color="auto" w:fill="auto"/>
            <w:vAlign w:val="bottom"/>
          </w:tcPr>
          <w:p w14:paraId="30F4EA13" w14:textId="77777777" w:rsidR="005020AA" w:rsidRPr="00226892" w:rsidRDefault="005020AA" w:rsidP="005020AA">
            <w:pPr>
              <w:jc w:val="right"/>
              <w:rPr>
                <w:rFonts w:ascii="Arial" w:eastAsia="Times New Roman" w:hAnsi="Arial" w:cs="Arial"/>
                <w:sz w:val="18"/>
                <w:szCs w:val="18"/>
                <w:lang w:eastAsia="sk-SK"/>
              </w:rPr>
            </w:pPr>
          </w:p>
        </w:tc>
        <w:tc>
          <w:tcPr>
            <w:tcW w:w="91" w:type="pct"/>
            <w:tcBorders>
              <w:top w:val="nil"/>
              <w:left w:val="nil"/>
              <w:bottom w:val="nil"/>
              <w:right w:val="nil"/>
            </w:tcBorders>
            <w:shd w:val="clear" w:color="auto" w:fill="auto"/>
            <w:vAlign w:val="bottom"/>
          </w:tcPr>
          <w:p w14:paraId="3EC49E30" w14:textId="77777777" w:rsidR="005020AA" w:rsidRPr="00226892" w:rsidRDefault="005020AA" w:rsidP="005020AA">
            <w:pPr>
              <w:jc w:val="right"/>
              <w:rPr>
                <w:rFonts w:ascii="Arial" w:eastAsia="Times New Roman" w:hAnsi="Arial" w:cs="Arial"/>
                <w:sz w:val="18"/>
                <w:szCs w:val="18"/>
                <w:lang w:eastAsia="sk-SK"/>
              </w:rPr>
            </w:pPr>
          </w:p>
        </w:tc>
        <w:tc>
          <w:tcPr>
            <w:tcW w:w="608" w:type="pct"/>
            <w:tcBorders>
              <w:top w:val="nil"/>
              <w:left w:val="nil"/>
              <w:bottom w:val="nil"/>
              <w:right w:val="nil"/>
            </w:tcBorders>
            <w:shd w:val="clear" w:color="auto" w:fill="auto"/>
            <w:vAlign w:val="bottom"/>
          </w:tcPr>
          <w:p w14:paraId="17F575A0" w14:textId="77777777" w:rsidR="005020AA" w:rsidRPr="00226892" w:rsidRDefault="005020AA" w:rsidP="005020AA">
            <w:pPr>
              <w:jc w:val="right"/>
              <w:rPr>
                <w:rFonts w:ascii="Arial" w:eastAsia="Times New Roman" w:hAnsi="Arial" w:cs="Arial"/>
                <w:sz w:val="18"/>
                <w:szCs w:val="18"/>
                <w:lang w:eastAsia="sk-SK"/>
              </w:rPr>
            </w:pPr>
          </w:p>
        </w:tc>
      </w:tr>
      <w:tr w:rsidR="005020AA" w:rsidRPr="00226892" w14:paraId="58059EB8" w14:textId="77777777" w:rsidTr="000405EF">
        <w:trPr>
          <w:trHeight w:val="227"/>
        </w:trPr>
        <w:tc>
          <w:tcPr>
            <w:tcW w:w="1851" w:type="pct"/>
            <w:tcBorders>
              <w:top w:val="nil"/>
              <w:left w:val="nil"/>
              <w:bottom w:val="nil"/>
              <w:right w:val="nil"/>
            </w:tcBorders>
            <w:shd w:val="clear" w:color="auto" w:fill="auto"/>
            <w:noWrap/>
            <w:vAlign w:val="bottom"/>
            <w:hideMark/>
          </w:tcPr>
          <w:p w14:paraId="3D18E647" w14:textId="77777777" w:rsidR="005020AA" w:rsidRPr="00226892" w:rsidRDefault="005020AA" w:rsidP="005020AA">
            <w:pPr>
              <w:rPr>
                <w:rFonts w:ascii="Arial" w:eastAsia="Times New Roman" w:hAnsi="Arial" w:cs="Arial"/>
                <w:color w:val="000000"/>
                <w:sz w:val="18"/>
                <w:szCs w:val="18"/>
                <w:lang w:eastAsia="sk-SK"/>
              </w:rPr>
            </w:pPr>
            <w:proofErr w:type="spellStart"/>
            <w:r w:rsidRPr="00226892">
              <w:rPr>
                <w:rFonts w:ascii="Arial" w:eastAsia="Times New Roman" w:hAnsi="Arial" w:cs="Arial"/>
                <w:color w:val="000000"/>
                <w:sz w:val="18"/>
                <w:szCs w:val="18"/>
                <w:lang w:eastAsia="sk-SK"/>
              </w:rPr>
              <w:t>Účtovná</w:t>
            </w:r>
            <w:proofErr w:type="spellEnd"/>
            <w:r w:rsidRPr="00226892">
              <w:rPr>
                <w:rFonts w:ascii="Arial" w:eastAsia="Times New Roman" w:hAnsi="Arial" w:cs="Arial"/>
                <w:color w:val="000000"/>
                <w:sz w:val="18"/>
                <w:szCs w:val="18"/>
                <w:lang w:eastAsia="sk-SK"/>
              </w:rPr>
              <w:t xml:space="preserve"> </w:t>
            </w:r>
            <w:proofErr w:type="spellStart"/>
            <w:r w:rsidRPr="00226892">
              <w:rPr>
                <w:rFonts w:ascii="Arial" w:eastAsia="Times New Roman" w:hAnsi="Arial" w:cs="Arial"/>
                <w:color w:val="000000"/>
                <w:sz w:val="18"/>
                <w:szCs w:val="18"/>
                <w:lang w:eastAsia="sk-SK"/>
              </w:rPr>
              <w:t>hodnota</w:t>
            </w:r>
            <w:proofErr w:type="spellEnd"/>
            <w:r w:rsidRPr="00226892">
              <w:rPr>
                <w:rFonts w:ascii="Arial" w:eastAsia="Times New Roman" w:hAnsi="Arial" w:cs="Arial"/>
                <w:color w:val="000000"/>
                <w:sz w:val="18"/>
                <w:szCs w:val="18"/>
                <w:lang w:eastAsia="sk-SK"/>
              </w:rPr>
              <w:t xml:space="preserve"> </w:t>
            </w:r>
          </w:p>
        </w:tc>
        <w:tc>
          <w:tcPr>
            <w:tcW w:w="925" w:type="pct"/>
            <w:tcBorders>
              <w:top w:val="nil"/>
              <w:left w:val="nil"/>
              <w:bottom w:val="nil"/>
              <w:right w:val="nil"/>
            </w:tcBorders>
            <w:shd w:val="clear" w:color="auto" w:fill="auto"/>
            <w:vAlign w:val="bottom"/>
          </w:tcPr>
          <w:p w14:paraId="7F4715BE" w14:textId="77777777" w:rsidR="005020AA" w:rsidRPr="00226892" w:rsidRDefault="005020AA"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w:t>
            </w:r>
          </w:p>
        </w:tc>
        <w:tc>
          <w:tcPr>
            <w:tcW w:w="90" w:type="pct"/>
            <w:tcBorders>
              <w:top w:val="nil"/>
              <w:left w:val="nil"/>
              <w:bottom w:val="nil"/>
              <w:right w:val="nil"/>
            </w:tcBorders>
            <w:shd w:val="clear" w:color="auto" w:fill="auto"/>
            <w:vAlign w:val="bottom"/>
          </w:tcPr>
          <w:p w14:paraId="651A2610" w14:textId="77777777" w:rsidR="005020AA" w:rsidRPr="00226892" w:rsidRDefault="005020AA" w:rsidP="005020AA">
            <w:pPr>
              <w:jc w:val="right"/>
              <w:rPr>
                <w:rFonts w:ascii="Arial" w:eastAsia="Times New Roman" w:hAnsi="Arial" w:cs="Arial"/>
                <w:color w:val="000000"/>
                <w:sz w:val="18"/>
                <w:szCs w:val="18"/>
                <w:lang w:eastAsia="sk-SK"/>
              </w:rPr>
            </w:pPr>
          </w:p>
        </w:tc>
        <w:tc>
          <w:tcPr>
            <w:tcW w:w="765" w:type="pct"/>
            <w:tcBorders>
              <w:top w:val="nil"/>
              <w:left w:val="nil"/>
              <w:bottom w:val="nil"/>
              <w:right w:val="nil"/>
            </w:tcBorders>
            <w:shd w:val="clear" w:color="auto" w:fill="auto"/>
            <w:vAlign w:val="bottom"/>
          </w:tcPr>
          <w:p w14:paraId="37332062" w14:textId="77777777" w:rsidR="005020AA" w:rsidRPr="00226892" w:rsidRDefault="005020AA"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826</w:t>
            </w:r>
          </w:p>
        </w:tc>
        <w:tc>
          <w:tcPr>
            <w:tcW w:w="91" w:type="pct"/>
            <w:tcBorders>
              <w:top w:val="nil"/>
              <w:left w:val="nil"/>
              <w:bottom w:val="nil"/>
              <w:right w:val="nil"/>
            </w:tcBorders>
            <w:shd w:val="clear" w:color="auto" w:fill="auto"/>
            <w:vAlign w:val="bottom"/>
          </w:tcPr>
          <w:p w14:paraId="3F6E3102" w14:textId="77777777" w:rsidR="005020AA" w:rsidRPr="00226892" w:rsidRDefault="005020AA" w:rsidP="005020AA">
            <w:pPr>
              <w:jc w:val="right"/>
              <w:rPr>
                <w:rFonts w:ascii="Arial" w:eastAsia="Times New Roman" w:hAnsi="Arial" w:cs="Arial"/>
                <w:color w:val="000000"/>
                <w:sz w:val="18"/>
                <w:szCs w:val="18"/>
                <w:lang w:eastAsia="sk-SK"/>
              </w:rPr>
            </w:pPr>
          </w:p>
        </w:tc>
        <w:tc>
          <w:tcPr>
            <w:tcW w:w="579" w:type="pct"/>
            <w:tcBorders>
              <w:top w:val="nil"/>
              <w:left w:val="nil"/>
              <w:bottom w:val="nil"/>
              <w:right w:val="nil"/>
            </w:tcBorders>
            <w:shd w:val="clear" w:color="auto" w:fill="auto"/>
            <w:vAlign w:val="bottom"/>
          </w:tcPr>
          <w:p w14:paraId="015AF8AA" w14:textId="77777777" w:rsidR="005020AA" w:rsidRPr="00226892" w:rsidRDefault="005020AA"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w:t>
            </w:r>
          </w:p>
        </w:tc>
        <w:tc>
          <w:tcPr>
            <w:tcW w:w="91" w:type="pct"/>
            <w:tcBorders>
              <w:top w:val="nil"/>
              <w:left w:val="nil"/>
              <w:bottom w:val="nil"/>
              <w:right w:val="nil"/>
            </w:tcBorders>
            <w:shd w:val="clear" w:color="auto" w:fill="auto"/>
            <w:vAlign w:val="bottom"/>
          </w:tcPr>
          <w:p w14:paraId="1A024A8E" w14:textId="77777777" w:rsidR="005020AA" w:rsidRPr="00226892" w:rsidRDefault="005020AA" w:rsidP="005020AA">
            <w:pPr>
              <w:jc w:val="right"/>
              <w:rPr>
                <w:rFonts w:ascii="Arial" w:eastAsia="Times New Roman" w:hAnsi="Arial" w:cs="Arial"/>
                <w:color w:val="000000"/>
                <w:sz w:val="18"/>
                <w:szCs w:val="18"/>
                <w:lang w:eastAsia="sk-SK"/>
              </w:rPr>
            </w:pPr>
          </w:p>
        </w:tc>
        <w:tc>
          <w:tcPr>
            <w:tcW w:w="608" w:type="pct"/>
            <w:tcBorders>
              <w:top w:val="nil"/>
              <w:left w:val="nil"/>
              <w:bottom w:val="nil"/>
              <w:right w:val="nil"/>
            </w:tcBorders>
            <w:shd w:val="clear" w:color="auto" w:fill="auto"/>
            <w:vAlign w:val="bottom"/>
          </w:tcPr>
          <w:p w14:paraId="64F2F749" w14:textId="77777777" w:rsidR="005020AA" w:rsidRPr="00226892" w:rsidRDefault="005020AA" w:rsidP="005020AA">
            <w:pPr>
              <w:jc w:val="right"/>
              <w:rPr>
                <w:rFonts w:ascii="Arial" w:eastAsia="Times New Roman" w:hAnsi="Arial" w:cs="Arial"/>
                <w:b/>
                <w:bCs/>
                <w:color w:val="000000"/>
                <w:sz w:val="18"/>
                <w:szCs w:val="18"/>
                <w:lang w:eastAsia="sk-SK"/>
              </w:rPr>
            </w:pPr>
            <w:r w:rsidRPr="00226892">
              <w:rPr>
                <w:rFonts w:ascii="Arial" w:eastAsia="Times New Roman" w:hAnsi="Arial" w:cs="Arial"/>
                <w:b/>
                <w:bCs/>
                <w:color w:val="000000"/>
                <w:sz w:val="18"/>
                <w:szCs w:val="18"/>
                <w:lang w:eastAsia="sk-SK"/>
              </w:rPr>
              <w:t>826</w:t>
            </w:r>
          </w:p>
        </w:tc>
      </w:tr>
    </w:tbl>
    <w:p w14:paraId="37876F0A" w14:textId="0C322397" w:rsidR="00DA5E9D" w:rsidRPr="00226892" w:rsidRDefault="00DA5E9D" w:rsidP="00DA5E9D">
      <w:pPr>
        <w:suppressAutoHyphens/>
        <w:rPr>
          <w:rFonts w:ascii="Arial" w:hAnsi="Arial" w:cs="Arial"/>
          <w:b/>
          <w:color w:val="000080"/>
          <w:sz w:val="18"/>
          <w:szCs w:val="18"/>
          <w:lang w:val="sk-SK"/>
        </w:rPr>
      </w:pPr>
    </w:p>
    <w:p w14:paraId="7A8C2088" w14:textId="6CC908F3" w:rsidR="004C79B8" w:rsidRPr="00226892" w:rsidRDefault="004C79B8" w:rsidP="00DA5E9D">
      <w:pPr>
        <w:suppressAutoHyphens/>
        <w:rPr>
          <w:rFonts w:ascii="Arial" w:hAnsi="Arial" w:cs="Arial"/>
          <w:b/>
          <w:color w:val="000080"/>
          <w:sz w:val="18"/>
          <w:szCs w:val="18"/>
          <w:lang w:val="sk-SK"/>
        </w:rPr>
      </w:pPr>
    </w:p>
    <w:p w14:paraId="4DB675D7" w14:textId="09A8C2F3" w:rsidR="003971D3" w:rsidRPr="00226892" w:rsidRDefault="003971D3" w:rsidP="003971D3">
      <w:pPr>
        <w:pStyle w:val="Nadpis3"/>
        <w:keepNext w:val="0"/>
        <w:widowControl/>
        <w:numPr>
          <w:ilvl w:val="0"/>
          <w:numId w:val="34"/>
        </w:numPr>
        <w:tabs>
          <w:tab w:val="clear" w:pos="1069"/>
          <w:tab w:val="num" w:pos="392"/>
        </w:tabs>
        <w:suppressAutoHyphens/>
        <w:spacing w:after="120"/>
        <w:ind w:left="1077" w:hanging="1077"/>
        <w:rPr>
          <w:rFonts w:ascii="Arial" w:hAnsi="Arial" w:cs="Arial"/>
          <w:sz w:val="20"/>
        </w:rPr>
      </w:pPr>
      <w:bookmarkStart w:id="523" w:name="_Toc27410006"/>
      <w:bookmarkStart w:id="524" w:name="_Toc325985810"/>
      <w:bookmarkStart w:id="525" w:name="_Toc387812512"/>
      <w:proofErr w:type="spellStart"/>
      <w:r w:rsidRPr="00226892">
        <w:rPr>
          <w:rFonts w:ascii="Arial" w:hAnsi="Arial" w:cs="Arial"/>
          <w:sz w:val="20"/>
        </w:rPr>
        <w:lastRenderedPageBreak/>
        <w:t>Odložená</w:t>
      </w:r>
      <w:proofErr w:type="spellEnd"/>
      <w:r w:rsidRPr="00226892">
        <w:rPr>
          <w:rFonts w:ascii="Arial" w:hAnsi="Arial" w:cs="Arial"/>
          <w:sz w:val="20"/>
        </w:rPr>
        <w:t xml:space="preserve"> </w:t>
      </w:r>
      <w:proofErr w:type="spellStart"/>
      <w:r w:rsidRPr="00226892">
        <w:rPr>
          <w:rFonts w:ascii="Arial" w:hAnsi="Arial" w:cs="Arial"/>
          <w:sz w:val="20"/>
        </w:rPr>
        <w:t>daň</w:t>
      </w:r>
      <w:proofErr w:type="spellEnd"/>
      <w:r w:rsidRPr="00226892">
        <w:rPr>
          <w:rFonts w:ascii="Arial" w:hAnsi="Arial" w:cs="Arial"/>
          <w:sz w:val="20"/>
        </w:rPr>
        <w:t xml:space="preserve"> z </w:t>
      </w:r>
      <w:proofErr w:type="spellStart"/>
      <w:r w:rsidRPr="00226892">
        <w:rPr>
          <w:rFonts w:ascii="Arial" w:hAnsi="Arial" w:cs="Arial"/>
          <w:sz w:val="20"/>
        </w:rPr>
        <w:t>príjmu</w:t>
      </w:r>
      <w:bookmarkEnd w:id="523"/>
      <w:proofErr w:type="spellEnd"/>
    </w:p>
    <w:p w14:paraId="6BD390D8" w14:textId="77777777" w:rsidR="003971D3" w:rsidRPr="00226892" w:rsidRDefault="003971D3" w:rsidP="00756C6D">
      <w:pPr>
        <w:suppressAutoHyphens/>
        <w:jc w:val="both"/>
        <w:rPr>
          <w:rFonts w:ascii="Arial" w:hAnsi="Arial" w:cs="Arial"/>
          <w:lang w:val="sk-SK"/>
        </w:rPr>
      </w:pPr>
      <w:r w:rsidRPr="00226892">
        <w:rPr>
          <w:rFonts w:ascii="Arial" w:hAnsi="Arial" w:cs="Arial"/>
          <w:lang w:val="sk-SK"/>
        </w:rPr>
        <w:t xml:space="preserve">Odložené daňové pohľadávky a záväzky sa vzájomne započítavajú v prípade, že Skupina má zo zákona vymáhateľné právo započítať krátkodobé daňové pohľadávky voči krátkodobým daňovým záväzkom a za predpokladu, že odloženú daň z príjmov vyberá rovnaký správca dane. </w:t>
      </w:r>
    </w:p>
    <w:p w14:paraId="2E68A335" w14:textId="77777777" w:rsidR="003971D3" w:rsidRPr="00226892" w:rsidRDefault="003971D3" w:rsidP="003971D3">
      <w:pPr>
        <w:suppressAutoHyphens/>
        <w:ind w:left="426"/>
        <w:jc w:val="both"/>
        <w:rPr>
          <w:rFonts w:ascii="Arial" w:hAnsi="Arial" w:cs="Arial"/>
          <w:lang w:val="sk-SK"/>
        </w:rPr>
      </w:pPr>
    </w:p>
    <w:p w14:paraId="7F4A0217" w14:textId="77777777" w:rsidR="003971D3" w:rsidRPr="00226892" w:rsidRDefault="003971D3" w:rsidP="00235CDF">
      <w:pPr>
        <w:pStyle w:val="odst"/>
      </w:pPr>
      <w:r w:rsidRPr="00226892">
        <w:t xml:space="preserve">Čiastky po započítaní sú nasledovné: </w:t>
      </w:r>
    </w:p>
    <w:p w14:paraId="553F2464" w14:textId="77777777" w:rsidR="003971D3" w:rsidRPr="00226892" w:rsidDel="00E10876" w:rsidRDefault="003971D3" w:rsidP="003971D3">
      <w:pPr>
        <w:suppressAutoHyphens/>
        <w:rPr>
          <w:rFonts w:ascii="Arial" w:hAnsi="Arial" w:cs="Arial"/>
          <w:szCs w:val="16"/>
          <w:highlight w:val="yellow"/>
          <w:lang w:val="sk-SK"/>
        </w:rPr>
      </w:pPr>
      <w:r w:rsidRPr="00226892">
        <w:rPr>
          <w:rFonts w:ascii="Arial" w:hAnsi="Arial" w:cs="Arial"/>
          <w:sz w:val="16"/>
          <w:szCs w:val="16"/>
          <w:highlight w:val="yellow"/>
          <w:lang w:val="sk-SK"/>
        </w:rPr>
        <w:t xml:space="preserve"> </w:t>
      </w:r>
    </w:p>
    <w:tbl>
      <w:tblPr>
        <w:tblW w:w="5000" w:type="pct"/>
        <w:tblCellMar>
          <w:left w:w="70" w:type="dxa"/>
          <w:right w:w="70" w:type="dxa"/>
        </w:tblCellMar>
        <w:tblLook w:val="04A0" w:firstRow="1" w:lastRow="0" w:firstColumn="1" w:lastColumn="0" w:noHBand="0" w:noVBand="1"/>
      </w:tblPr>
      <w:tblGrid>
        <w:gridCol w:w="5410"/>
        <w:gridCol w:w="201"/>
        <w:gridCol w:w="1916"/>
        <w:gridCol w:w="200"/>
        <w:gridCol w:w="1912"/>
      </w:tblGrid>
      <w:tr w:rsidR="003971D3" w:rsidRPr="00226892" w14:paraId="0B53517D" w14:textId="77777777" w:rsidTr="007D76CE">
        <w:trPr>
          <w:trHeight w:val="227"/>
        </w:trPr>
        <w:tc>
          <w:tcPr>
            <w:tcW w:w="2806" w:type="pct"/>
            <w:tcBorders>
              <w:top w:val="nil"/>
              <w:left w:val="nil"/>
              <w:bottom w:val="single" w:sz="4" w:space="0" w:color="auto"/>
              <w:right w:val="nil"/>
            </w:tcBorders>
            <w:shd w:val="clear" w:color="auto" w:fill="auto"/>
            <w:vAlign w:val="bottom"/>
            <w:hideMark/>
          </w:tcPr>
          <w:p w14:paraId="7263E9DD" w14:textId="77777777" w:rsidR="003971D3" w:rsidRPr="00226892" w:rsidRDefault="003971D3" w:rsidP="00023A96">
            <w:pPr>
              <w:rPr>
                <w:rFonts w:ascii="Arial" w:hAnsi="Arial" w:cs="Arial"/>
                <w:color w:val="000000"/>
                <w:sz w:val="18"/>
                <w:szCs w:val="18"/>
                <w:lang w:val="sk-SK" w:eastAsia="sk-SK"/>
              </w:rPr>
            </w:pPr>
            <w:r w:rsidRPr="00226892">
              <w:rPr>
                <w:rFonts w:ascii="Arial" w:hAnsi="Arial" w:cs="Arial"/>
                <w:color w:val="000000"/>
                <w:sz w:val="18"/>
                <w:szCs w:val="18"/>
                <w:lang w:val="sk-SK"/>
              </w:rPr>
              <w:t> </w:t>
            </w:r>
          </w:p>
        </w:tc>
        <w:tc>
          <w:tcPr>
            <w:tcW w:w="104" w:type="pct"/>
            <w:tcBorders>
              <w:top w:val="nil"/>
              <w:left w:val="nil"/>
              <w:bottom w:val="single" w:sz="4" w:space="0" w:color="auto"/>
              <w:right w:val="nil"/>
            </w:tcBorders>
            <w:shd w:val="clear" w:color="auto" w:fill="auto"/>
            <w:vAlign w:val="bottom"/>
            <w:hideMark/>
          </w:tcPr>
          <w:p w14:paraId="7E0FC5CF" w14:textId="77777777" w:rsidR="003971D3" w:rsidRPr="00226892" w:rsidRDefault="003971D3" w:rsidP="00023A96">
            <w:pPr>
              <w:rPr>
                <w:rFonts w:ascii="Arial" w:hAnsi="Arial" w:cs="Arial"/>
                <w:color w:val="000000"/>
                <w:sz w:val="18"/>
                <w:szCs w:val="18"/>
                <w:lang w:val="sk-SK"/>
              </w:rPr>
            </w:pPr>
            <w:r w:rsidRPr="00226892">
              <w:rPr>
                <w:rFonts w:ascii="Arial" w:hAnsi="Arial" w:cs="Arial"/>
                <w:color w:val="000000"/>
                <w:sz w:val="18"/>
                <w:szCs w:val="18"/>
                <w:lang w:val="sk-SK"/>
              </w:rPr>
              <w:t> </w:t>
            </w:r>
          </w:p>
        </w:tc>
        <w:tc>
          <w:tcPr>
            <w:tcW w:w="994" w:type="pct"/>
            <w:tcBorders>
              <w:top w:val="nil"/>
              <w:left w:val="nil"/>
              <w:bottom w:val="single" w:sz="4" w:space="0" w:color="auto"/>
              <w:right w:val="nil"/>
            </w:tcBorders>
            <w:shd w:val="clear" w:color="auto" w:fill="auto"/>
            <w:vAlign w:val="bottom"/>
            <w:hideMark/>
          </w:tcPr>
          <w:p w14:paraId="3E248039" w14:textId="444340C7" w:rsidR="003971D3" w:rsidRPr="00226892" w:rsidRDefault="003971D3" w:rsidP="00023A96">
            <w:pPr>
              <w:jc w:val="center"/>
              <w:rPr>
                <w:rFonts w:ascii="Arial" w:hAnsi="Arial" w:cs="Arial"/>
                <w:b/>
                <w:bCs/>
                <w:color w:val="000000"/>
                <w:sz w:val="18"/>
                <w:szCs w:val="18"/>
              </w:rPr>
            </w:pPr>
            <w:r w:rsidRPr="00226892">
              <w:rPr>
                <w:rFonts w:ascii="Arial" w:hAnsi="Arial" w:cs="Arial"/>
                <w:b/>
                <w:bCs/>
                <w:color w:val="000000"/>
                <w:sz w:val="18"/>
                <w:szCs w:val="18"/>
              </w:rPr>
              <w:t xml:space="preserve">31. </w:t>
            </w:r>
            <w:proofErr w:type="spellStart"/>
            <w:r w:rsidRPr="00226892">
              <w:rPr>
                <w:rFonts w:ascii="Arial" w:hAnsi="Arial" w:cs="Arial"/>
                <w:b/>
                <w:bCs/>
                <w:color w:val="000000"/>
                <w:sz w:val="18"/>
                <w:szCs w:val="18"/>
              </w:rPr>
              <w:t>december</w:t>
            </w:r>
            <w:proofErr w:type="spellEnd"/>
            <w:r w:rsidRPr="00226892">
              <w:rPr>
                <w:rFonts w:ascii="Arial" w:hAnsi="Arial" w:cs="Arial"/>
                <w:b/>
                <w:bCs/>
                <w:color w:val="000000"/>
                <w:sz w:val="18"/>
                <w:szCs w:val="18"/>
              </w:rPr>
              <w:t xml:space="preserve"> </w:t>
            </w:r>
            <w:r w:rsidR="00FD3AC5" w:rsidRPr="00226892">
              <w:rPr>
                <w:rFonts w:ascii="Arial" w:hAnsi="Arial" w:cs="Arial"/>
                <w:b/>
                <w:bCs/>
                <w:color w:val="000000"/>
                <w:sz w:val="18"/>
                <w:szCs w:val="18"/>
              </w:rPr>
              <w:t>2018</w:t>
            </w:r>
          </w:p>
        </w:tc>
        <w:tc>
          <w:tcPr>
            <w:tcW w:w="104" w:type="pct"/>
            <w:tcBorders>
              <w:top w:val="nil"/>
              <w:left w:val="nil"/>
              <w:bottom w:val="single" w:sz="4" w:space="0" w:color="auto"/>
              <w:right w:val="nil"/>
            </w:tcBorders>
            <w:shd w:val="clear" w:color="auto" w:fill="auto"/>
            <w:vAlign w:val="bottom"/>
            <w:hideMark/>
          </w:tcPr>
          <w:p w14:paraId="1957E573" w14:textId="77777777" w:rsidR="003971D3" w:rsidRPr="00226892" w:rsidRDefault="003971D3" w:rsidP="00023A96">
            <w:pPr>
              <w:jc w:val="center"/>
              <w:rPr>
                <w:rFonts w:ascii="Arial" w:hAnsi="Arial" w:cs="Arial"/>
                <w:b/>
                <w:bCs/>
                <w:color w:val="000000"/>
                <w:sz w:val="18"/>
                <w:szCs w:val="18"/>
              </w:rPr>
            </w:pPr>
            <w:r w:rsidRPr="00226892">
              <w:rPr>
                <w:rFonts w:ascii="Arial" w:hAnsi="Arial" w:cs="Arial"/>
                <w:b/>
                <w:bCs/>
                <w:color w:val="000000"/>
                <w:sz w:val="18"/>
                <w:szCs w:val="18"/>
              </w:rPr>
              <w:t> </w:t>
            </w:r>
          </w:p>
        </w:tc>
        <w:tc>
          <w:tcPr>
            <w:tcW w:w="994" w:type="pct"/>
            <w:tcBorders>
              <w:top w:val="nil"/>
              <w:left w:val="nil"/>
              <w:bottom w:val="single" w:sz="4" w:space="0" w:color="auto"/>
              <w:right w:val="nil"/>
            </w:tcBorders>
            <w:vAlign w:val="bottom"/>
          </w:tcPr>
          <w:p w14:paraId="5C0A1EFA" w14:textId="6318F75F" w:rsidR="003971D3" w:rsidRPr="00226892" w:rsidRDefault="003971D3" w:rsidP="00023A96">
            <w:pPr>
              <w:jc w:val="center"/>
              <w:rPr>
                <w:rFonts w:ascii="Arial" w:hAnsi="Arial" w:cs="Arial"/>
                <w:b/>
                <w:bCs/>
                <w:color w:val="000000"/>
                <w:sz w:val="18"/>
                <w:szCs w:val="18"/>
              </w:rPr>
            </w:pPr>
            <w:r w:rsidRPr="00226892">
              <w:rPr>
                <w:rFonts w:ascii="Arial" w:hAnsi="Arial" w:cs="Arial"/>
                <w:b/>
                <w:bCs/>
                <w:color w:val="000000"/>
                <w:sz w:val="18"/>
                <w:szCs w:val="18"/>
              </w:rPr>
              <w:t xml:space="preserve">31. </w:t>
            </w:r>
            <w:proofErr w:type="spellStart"/>
            <w:r w:rsidRPr="00226892">
              <w:rPr>
                <w:rFonts w:ascii="Arial" w:hAnsi="Arial" w:cs="Arial"/>
                <w:b/>
                <w:bCs/>
                <w:color w:val="000000"/>
                <w:sz w:val="18"/>
                <w:szCs w:val="18"/>
              </w:rPr>
              <w:t>december</w:t>
            </w:r>
            <w:proofErr w:type="spellEnd"/>
            <w:r w:rsidRPr="00226892">
              <w:rPr>
                <w:rFonts w:ascii="Arial" w:hAnsi="Arial" w:cs="Arial"/>
                <w:b/>
                <w:bCs/>
                <w:color w:val="000000"/>
                <w:sz w:val="18"/>
                <w:szCs w:val="18"/>
              </w:rPr>
              <w:t xml:space="preserve"> </w:t>
            </w:r>
            <w:r w:rsidR="00F63A77" w:rsidRPr="00226892">
              <w:rPr>
                <w:rFonts w:ascii="Arial" w:hAnsi="Arial" w:cs="Arial"/>
                <w:b/>
                <w:bCs/>
                <w:color w:val="000000"/>
                <w:sz w:val="18"/>
                <w:szCs w:val="18"/>
              </w:rPr>
              <w:t>2017</w:t>
            </w:r>
          </w:p>
        </w:tc>
      </w:tr>
      <w:tr w:rsidR="003971D3" w:rsidRPr="00226892" w14:paraId="70BB39D3" w14:textId="77777777" w:rsidTr="007D76CE">
        <w:trPr>
          <w:trHeight w:val="227"/>
        </w:trPr>
        <w:tc>
          <w:tcPr>
            <w:tcW w:w="2806" w:type="pct"/>
            <w:tcBorders>
              <w:top w:val="nil"/>
              <w:left w:val="nil"/>
              <w:bottom w:val="nil"/>
              <w:right w:val="nil"/>
            </w:tcBorders>
            <w:shd w:val="clear" w:color="auto" w:fill="auto"/>
            <w:vAlign w:val="bottom"/>
            <w:hideMark/>
          </w:tcPr>
          <w:p w14:paraId="1669D4C5" w14:textId="77777777" w:rsidR="003971D3" w:rsidRPr="00226892" w:rsidRDefault="003971D3" w:rsidP="00023A96">
            <w:pPr>
              <w:rPr>
                <w:rFonts w:ascii="Arial" w:hAnsi="Arial" w:cs="Arial"/>
                <w:i/>
                <w:iCs/>
                <w:color w:val="000000"/>
                <w:sz w:val="18"/>
                <w:szCs w:val="18"/>
              </w:rPr>
            </w:pPr>
            <w:proofErr w:type="spellStart"/>
            <w:r w:rsidRPr="00226892">
              <w:rPr>
                <w:rFonts w:ascii="Arial" w:hAnsi="Arial" w:cs="Arial"/>
                <w:i/>
                <w:iCs/>
                <w:color w:val="000000"/>
                <w:sz w:val="18"/>
                <w:szCs w:val="18"/>
              </w:rPr>
              <w:t>Odložené</w:t>
            </w:r>
            <w:proofErr w:type="spellEnd"/>
            <w:r w:rsidRPr="00226892">
              <w:rPr>
                <w:rFonts w:ascii="Arial" w:hAnsi="Arial" w:cs="Arial"/>
                <w:i/>
                <w:iCs/>
                <w:color w:val="000000"/>
                <w:sz w:val="18"/>
                <w:szCs w:val="18"/>
              </w:rPr>
              <w:t xml:space="preserve"> </w:t>
            </w:r>
            <w:proofErr w:type="spellStart"/>
            <w:r w:rsidRPr="00226892">
              <w:rPr>
                <w:rFonts w:ascii="Arial" w:hAnsi="Arial" w:cs="Arial"/>
                <w:i/>
                <w:iCs/>
                <w:color w:val="000000"/>
                <w:sz w:val="18"/>
                <w:szCs w:val="18"/>
              </w:rPr>
              <w:t>daňové</w:t>
            </w:r>
            <w:proofErr w:type="spellEnd"/>
            <w:r w:rsidRPr="00226892">
              <w:rPr>
                <w:rFonts w:ascii="Arial" w:hAnsi="Arial" w:cs="Arial"/>
                <w:i/>
                <w:iCs/>
                <w:color w:val="000000"/>
                <w:sz w:val="18"/>
                <w:szCs w:val="18"/>
              </w:rPr>
              <w:t xml:space="preserve"> </w:t>
            </w:r>
            <w:proofErr w:type="spellStart"/>
            <w:r w:rsidRPr="00226892">
              <w:rPr>
                <w:rFonts w:ascii="Arial" w:hAnsi="Arial" w:cs="Arial"/>
                <w:i/>
                <w:iCs/>
                <w:color w:val="000000"/>
                <w:sz w:val="18"/>
                <w:szCs w:val="18"/>
              </w:rPr>
              <w:t>pohľadávky</w:t>
            </w:r>
            <w:proofErr w:type="spellEnd"/>
            <w:r w:rsidRPr="00226892">
              <w:rPr>
                <w:rFonts w:ascii="Arial" w:hAnsi="Arial" w:cs="Arial"/>
                <w:i/>
                <w:iCs/>
                <w:color w:val="000000"/>
                <w:sz w:val="18"/>
                <w:szCs w:val="18"/>
              </w:rPr>
              <w:t>:</w:t>
            </w:r>
          </w:p>
        </w:tc>
        <w:tc>
          <w:tcPr>
            <w:tcW w:w="104" w:type="pct"/>
            <w:tcBorders>
              <w:top w:val="nil"/>
              <w:left w:val="nil"/>
              <w:bottom w:val="nil"/>
              <w:right w:val="nil"/>
            </w:tcBorders>
            <w:shd w:val="clear" w:color="auto" w:fill="auto"/>
            <w:vAlign w:val="bottom"/>
            <w:hideMark/>
          </w:tcPr>
          <w:p w14:paraId="7514516B" w14:textId="77777777" w:rsidR="003971D3" w:rsidRPr="00226892" w:rsidRDefault="003971D3" w:rsidP="00023A96">
            <w:pPr>
              <w:rPr>
                <w:rFonts w:ascii="Arial" w:hAnsi="Arial" w:cs="Arial"/>
                <w:i/>
                <w:iCs/>
                <w:color w:val="000000"/>
                <w:sz w:val="18"/>
                <w:szCs w:val="18"/>
                <w:highlight w:val="yellow"/>
              </w:rPr>
            </w:pPr>
          </w:p>
        </w:tc>
        <w:tc>
          <w:tcPr>
            <w:tcW w:w="994" w:type="pct"/>
            <w:tcBorders>
              <w:top w:val="nil"/>
              <w:left w:val="nil"/>
              <w:bottom w:val="nil"/>
              <w:right w:val="nil"/>
            </w:tcBorders>
            <w:shd w:val="clear" w:color="auto" w:fill="auto"/>
            <w:vAlign w:val="bottom"/>
            <w:hideMark/>
          </w:tcPr>
          <w:p w14:paraId="27847D7E" w14:textId="77777777" w:rsidR="003971D3" w:rsidRPr="00226892" w:rsidRDefault="003971D3" w:rsidP="00023A96">
            <w:pPr>
              <w:rPr>
                <w:rFonts w:ascii="Arial" w:hAnsi="Arial" w:cs="Arial"/>
                <w:sz w:val="18"/>
                <w:szCs w:val="18"/>
              </w:rPr>
            </w:pPr>
          </w:p>
        </w:tc>
        <w:tc>
          <w:tcPr>
            <w:tcW w:w="104" w:type="pct"/>
            <w:tcBorders>
              <w:top w:val="nil"/>
              <w:left w:val="nil"/>
              <w:bottom w:val="nil"/>
              <w:right w:val="nil"/>
            </w:tcBorders>
            <w:shd w:val="clear" w:color="auto" w:fill="auto"/>
            <w:vAlign w:val="bottom"/>
            <w:hideMark/>
          </w:tcPr>
          <w:p w14:paraId="20CF1BEC" w14:textId="77777777" w:rsidR="003971D3" w:rsidRPr="00226892" w:rsidRDefault="003971D3" w:rsidP="00023A96">
            <w:pPr>
              <w:rPr>
                <w:rFonts w:ascii="Arial" w:hAnsi="Arial" w:cs="Arial"/>
                <w:sz w:val="18"/>
                <w:szCs w:val="18"/>
              </w:rPr>
            </w:pPr>
          </w:p>
        </w:tc>
        <w:tc>
          <w:tcPr>
            <w:tcW w:w="994" w:type="pct"/>
            <w:tcBorders>
              <w:top w:val="nil"/>
              <w:left w:val="nil"/>
              <w:bottom w:val="nil"/>
              <w:right w:val="nil"/>
            </w:tcBorders>
            <w:vAlign w:val="bottom"/>
          </w:tcPr>
          <w:p w14:paraId="446EFBB5" w14:textId="77777777" w:rsidR="003971D3" w:rsidRPr="00226892" w:rsidRDefault="003971D3" w:rsidP="00023A96">
            <w:pPr>
              <w:rPr>
                <w:rFonts w:ascii="Arial" w:hAnsi="Arial" w:cs="Arial"/>
                <w:sz w:val="18"/>
                <w:szCs w:val="18"/>
              </w:rPr>
            </w:pPr>
          </w:p>
        </w:tc>
      </w:tr>
      <w:tr w:rsidR="003971D3" w:rsidRPr="00226892" w14:paraId="67A04634" w14:textId="77777777" w:rsidTr="007D76CE">
        <w:trPr>
          <w:trHeight w:val="227"/>
        </w:trPr>
        <w:tc>
          <w:tcPr>
            <w:tcW w:w="2909" w:type="pct"/>
            <w:gridSpan w:val="2"/>
            <w:tcBorders>
              <w:top w:val="nil"/>
              <w:left w:val="nil"/>
              <w:bottom w:val="nil"/>
              <w:right w:val="nil"/>
            </w:tcBorders>
            <w:shd w:val="clear" w:color="auto" w:fill="auto"/>
            <w:noWrap/>
            <w:vAlign w:val="bottom"/>
            <w:hideMark/>
          </w:tcPr>
          <w:p w14:paraId="3C08EA5B" w14:textId="77777777" w:rsidR="0036374F" w:rsidRPr="00226892" w:rsidRDefault="003971D3" w:rsidP="00023A96">
            <w:pPr>
              <w:rPr>
                <w:rFonts w:ascii="Arial" w:hAnsi="Arial" w:cs="Arial"/>
                <w:color w:val="000000"/>
                <w:sz w:val="18"/>
                <w:szCs w:val="18"/>
              </w:rPr>
            </w:pPr>
            <w:proofErr w:type="spellStart"/>
            <w:r w:rsidRPr="00226892">
              <w:rPr>
                <w:rFonts w:ascii="Arial" w:hAnsi="Arial" w:cs="Arial"/>
                <w:color w:val="000000"/>
                <w:sz w:val="18"/>
                <w:szCs w:val="18"/>
              </w:rPr>
              <w:t>Odložená</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daňová</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pohľadávka</w:t>
            </w:r>
            <w:proofErr w:type="spellEnd"/>
            <w:r w:rsidRPr="00226892">
              <w:rPr>
                <w:rFonts w:ascii="Arial" w:hAnsi="Arial" w:cs="Arial"/>
                <w:color w:val="000000"/>
                <w:sz w:val="18"/>
                <w:szCs w:val="18"/>
              </w:rPr>
              <w:t xml:space="preserve"> s </w:t>
            </w:r>
            <w:proofErr w:type="spellStart"/>
            <w:r w:rsidRPr="00226892">
              <w:rPr>
                <w:rFonts w:ascii="Arial" w:hAnsi="Arial" w:cs="Arial"/>
                <w:color w:val="000000"/>
                <w:sz w:val="18"/>
                <w:szCs w:val="18"/>
              </w:rPr>
              <w:t>očakávanou</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realizáciou</w:t>
            </w:r>
            <w:proofErr w:type="spellEnd"/>
            <w:r w:rsidRPr="00226892">
              <w:rPr>
                <w:rFonts w:ascii="Arial" w:hAnsi="Arial" w:cs="Arial"/>
                <w:color w:val="000000"/>
                <w:sz w:val="18"/>
                <w:szCs w:val="18"/>
              </w:rPr>
              <w:t xml:space="preserve"> </w:t>
            </w:r>
          </w:p>
          <w:p w14:paraId="59A64325" w14:textId="64FF9520" w:rsidR="003971D3" w:rsidRPr="00226892" w:rsidRDefault="003971D3" w:rsidP="00023A96">
            <w:pPr>
              <w:rPr>
                <w:rFonts w:ascii="Arial" w:hAnsi="Arial" w:cs="Arial"/>
                <w:color w:val="000000"/>
                <w:sz w:val="18"/>
                <w:szCs w:val="18"/>
              </w:rPr>
            </w:pPr>
            <w:r w:rsidRPr="00226892">
              <w:rPr>
                <w:rFonts w:ascii="Arial" w:hAnsi="Arial" w:cs="Arial"/>
                <w:color w:val="000000"/>
                <w:sz w:val="18"/>
                <w:szCs w:val="18"/>
              </w:rPr>
              <w:t xml:space="preserve">do 12 </w:t>
            </w:r>
            <w:proofErr w:type="spellStart"/>
            <w:r w:rsidRPr="00226892">
              <w:rPr>
                <w:rFonts w:ascii="Arial" w:hAnsi="Arial" w:cs="Arial"/>
                <w:color w:val="000000"/>
                <w:sz w:val="18"/>
                <w:szCs w:val="18"/>
              </w:rPr>
              <w:t>mesiacov</w:t>
            </w:r>
            <w:proofErr w:type="spellEnd"/>
          </w:p>
        </w:tc>
        <w:tc>
          <w:tcPr>
            <w:tcW w:w="994" w:type="pct"/>
            <w:tcBorders>
              <w:top w:val="nil"/>
              <w:left w:val="nil"/>
              <w:bottom w:val="nil"/>
              <w:right w:val="nil"/>
            </w:tcBorders>
            <w:shd w:val="clear" w:color="auto" w:fill="auto"/>
            <w:vAlign w:val="bottom"/>
          </w:tcPr>
          <w:p w14:paraId="5A6AC712" w14:textId="1D6B5F43" w:rsidR="003971D3" w:rsidRPr="00226892" w:rsidRDefault="001D0341" w:rsidP="002162CB">
            <w:pPr>
              <w:jc w:val="right"/>
              <w:rPr>
                <w:rFonts w:ascii="Arial" w:hAnsi="Arial" w:cs="Arial"/>
                <w:color w:val="000000"/>
                <w:sz w:val="18"/>
                <w:szCs w:val="18"/>
              </w:rPr>
            </w:pPr>
            <w:r w:rsidRPr="00226892">
              <w:rPr>
                <w:rFonts w:ascii="Arial" w:hAnsi="Arial" w:cs="Arial"/>
                <w:color w:val="000000"/>
                <w:sz w:val="18"/>
                <w:szCs w:val="18"/>
              </w:rPr>
              <w:t>-</w:t>
            </w:r>
            <w:r w:rsidR="005020AA" w:rsidRPr="00226892">
              <w:rPr>
                <w:rFonts w:ascii="Arial" w:hAnsi="Arial" w:cs="Arial"/>
                <w:color w:val="000000"/>
                <w:sz w:val="18"/>
                <w:szCs w:val="18"/>
              </w:rPr>
              <w:t>692</w:t>
            </w:r>
          </w:p>
        </w:tc>
        <w:tc>
          <w:tcPr>
            <w:tcW w:w="104" w:type="pct"/>
            <w:tcBorders>
              <w:top w:val="nil"/>
              <w:left w:val="nil"/>
              <w:bottom w:val="nil"/>
              <w:right w:val="nil"/>
            </w:tcBorders>
            <w:shd w:val="clear" w:color="auto" w:fill="auto"/>
            <w:vAlign w:val="bottom"/>
          </w:tcPr>
          <w:p w14:paraId="4D63D534" w14:textId="77777777" w:rsidR="003971D3" w:rsidRPr="00226892" w:rsidRDefault="003971D3" w:rsidP="002162CB">
            <w:pPr>
              <w:jc w:val="right"/>
              <w:rPr>
                <w:rFonts w:ascii="Arial" w:hAnsi="Arial" w:cs="Arial"/>
                <w:color w:val="000000"/>
                <w:sz w:val="18"/>
                <w:szCs w:val="18"/>
              </w:rPr>
            </w:pPr>
          </w:p>
        </w:tc>
        <w:tc>
          <w:tcPr>
            <w:tcW w:w="994" w:type="pct"/>
            <w:tcBorders>
              <w:top w:val="nil"/>
              <w:left w:val="nil"/>
              <w:bottom w:val="nil"/>
              <w:right w:val="nil"/>
            </w:tcBorders>
            <w:shd w:val="clear" w:color="auto" w:fill="auto"/>
            <w:vAlign w:val="bottom"/>
          </w:tcPr>
          <w:p w14:paraId="09F719AA" w14:textId="26F0C595" w:rsidR="003971D3" w:rsidRPr="00226892" w:rsidRDefault="001D0341" w:rsidP="002162CB">
            <w:pPr>
              <w:jc w:val="right"/>
              <w:rPr>
                <w:rFonts w:ascii="Arial" w:hAnsi="Arial" w:cs="Arial"/>
                <w:color w:val="000000"/>
                <w:sz w:val="18"/>
                <w:szCs w:val="18"/>
              </w:rPr>
            </w:pPr>
            <w:r w:rsidRPr="00226892">
              <w:rPr>
                <w:rFonts w:ascii="Arial" w:hAnsi="Arial" w:cs="Arial"/>
                <w:color w:val="000000"/>
                <w:sz w:val="18"/>
                <w:szCs w:val="18"/>
              </w:rPr>
              <w:t>-</w:t>
            </w:r>
            <w:r w:rsidR="005020AA" w:rsidRPr="00226892">
              <w:rPr>
                <w:rFonts w:ascii="Arial" w:hAnsi="Arial" w:cs="Arial"/>
                <w:color w:val="000000"/>
                <w:sz w:val="18"/>
                <w:szCs w:val="18"/>
              </w:rPr>
              <w:t>696</w:t>
            </w:r>
          </w:p>
        </w:tc>
      </w:tr>
      <w:tr w:rsidR="003971D3" w:rsidRPr="00226892" w14:paraId="2308722F" w14:textId="77777777" w:rsidTr="007D76CE">
        <w:trPr>
          <w:trHeight w:val="227"/>
        </w:trPr>
        <w:tc>
          <w:tcPr>
            <w:tcW w:w="2806" w:type="pct"/>
            <w:tcBorders>
              <w:top w:val="nil"/>
              <w:left w:val="nil"/>
              <w:bottom w:val="nil"/>
              <w:right w:val="nil"/>
            </w:tcBorders>
            <w:shd w:val="clear" w:color="auto" w:fill="auto"/>
            <w:vAlign w:val="bottom"/>
            <w:hideMark/>
          </w:tcPr>
          <w:p w14:paraId="6935EA77" w14:textId="77777777" w:rsidR="0036374F" w:rsidRPr="00226892" w:rsidRDefault="003971D3" w:rsidP="00023A96">
            <w:pPr>
              <w:rPr>
                <w:rFonts w:ascii="Arial" w:hAnsi="Arial" w:cs="Arial"/>
                <w:color w:val="000000"/>
                <w:sz w:val="18"/>
                <w:szCs w:val="18"/>
              </w:rPr>
            </w:pPr>
            <w:proofErr w:type="spellStart"/>
            <w:r w:rsidRPr="00226892">
              <w:rPr>
                <w:rFonts w:ascii="Arial" w:hAnsi="Arial" w:cs="Arial"/>
                <w:color w:val="000000"/>
                <w:sz w:val="18"/>
                <w:szCs w:val="18"/>
              </w:rPr>
              <w:t>Odložená</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daňová</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pohľadávka</w:t>
            </w:r>
            <w:proofErr w:type="spellEnd"/>
            <w:r w:rsidRPr="00226892">
              <w:rPr>
                <w:rFonts w:ascii="Arial" w:hAnsi="Arial" w:cs="Arial"/>
                <w:color w:val="000000"/>
                <w:sz w:val="18"/>
                <w:szCs w:val="18"/>
              </w:rPr>
              <w:t xml:space="preserve"> s </w:t>
            </w:r>
            <w:proofErr w:type="spellStart"/>
            <w:r w:rsidRPr="00226892">
              <w:rPr>
                <w:rFonts w:ascii="Arial" w:hAnsi="Arial" w:cs="Arial"/>
                <w:color w:val="000000"/>
                <w:sz w:val="18"/>
                <w:szCs w:val="18"/>
              </w:rPr>
              <w:t>očakávanou</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realizáciou</w:t>
            </w:r>
            <w:proofErr w:type="spellEnd"/>
            <w:r w:rsidRPr="00226892">
              <w:rPr>
                <w:rFonts w:ascii="Arial" w:hAnsi="Arial" w:cs="Arial"/>
                <w:color w:val="000000"/>
                <w:sz w:val="18"/>
                <w:szCs w:val="18"/>
              </w:rPr>
              <w:t xml:space="preserve"> </w:t>
            </w:r>
          </w:p>
          <w:p w14:paraId="0AB2229E" w14:textId="07372292" w:rsidR="003971D3" w:rsidRPr="00226892" w:rsidRDefault="003971D3" w:rsidP="00023A96">
            <w:pPr>
              <w:rPr>
                <w:rFonts w:ascii="Arial" w:hAnsi="Arial" w:cs="Arial"/>
                <w:color w:val="000000"/>
                <w:sz w:val="18"/>
                <w:szCs w:val="18"/>
              </w:rPr>
            </w:pPr>
            <w:r w:rsidRPr="00226892">
              <w:rPr>
                <w:rFonts w:ascii="Arial" w:hAnsi="Arial" w:cs="Arial"/>
                <w:color w:val="000000"/>
                <w:sz w:val="18"/>
                <w:szCs w:val="18"/>
              </w:rPr>
              <w:t xml:space="preserve">za </w:t>
            </w:r>
            <w:proofErr w:type="spellStart"/>
            <w:r w:rsidRPr="00226892">
              <w:rPr>
                <w:rFonts w:ascii="Arial" w:hAnsi="Arial" w:cs="Arial"/>
                <w:color w:val="000000"/>
                <w:sz w:val="18"/>
                <w:szCs w:val="18"/>
              </w:rPr>
              <w:t>viac</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ako</w:t>
            </w:r>
            <w:proofErr w:type="spellEnd"/>
            <w:r w:rsidRPr="00226892">
              <w:rPr>
                <w:rFonts w:ascii="Arial" w:hAnsi="Arial" w:cs="Arial"/>
                <w:color w:val="000000"/>
                <w:sz w:val="18"/>
                <w:szCs w:val="18"/>
              </w:rPr>
              <w:t xml:space="preserve"> 12 </w:t>
            </w:r>
            <w:proofErr w:type="spellStart"/>
            <w:r w:rsidRPr="00226892">
              <w:rPr>
                <w:rFonts w:ascii="Arial" w:hAnsi="Arial" w:cs="Arial"/>
                <w:color w:val="000000"/>
                <w:sz w:val="18"/>
                <w:szCs w:val="18"/>
              </w:rPr>
              <w:t>mesiacov</w:t>
            </w:r>
            <w:proofErr w:type="spellEnd"/>
          </w:p>
        </w:tc>
        <w:tc>
          <w:tcPr>
            <w:tcW w:w="104" w:type="pct"/>
            <w:tcBorders>
              <w:top w:val="nil"/>
              <w:left w:val="nil"/>
              <w:bottom w:val="nil"/>
              <w:right w:val="nil"/>
            </w:tcBorders>
            <w:shd w:val="clear" w:color="auto" w:fill="auto"/>
            <w:vAlign w:val="bottom"/>
            <w:hideMark/>
          </w:tcPr>
          <w:p w14:paraId="6EE6C630" w14:textId="77777777" w:rsidR="003971D3" w:rsidRPr="00226892" w:rsidRDefault="003971D3" w:rsidP="00023A96">
            <w:pPr>
              <w:rPr>
                <w:rFonts w:ascii="Arial" w:hAnsi="Arial" w:cs="Arial"/>
                <w:color w:val="000000"/>
                <w:sz w:val="18"/>
                <w:szCs w:val="18"/>
                <w:highlight w:val="yellow"/>
              </w:rPr>
            </w:pPr>
          </w:p>
        </w:tc>
        <w:tc>
          <w:tcPr>
            <w:tcW w:w="994" w:type="pct"/>
            <w:tcBorders>
              <w:top w:val="nil"/>
              <w:left w:val="nil"/>
              <w:bottom w:val="nil"/>
              <w:right w:val="nil"/>
            </w:tcBorders>
            <w:shd w:val="clear" w:color="auto" w:fill="auto"/>
            <w:vAlign w:val="bottom"/>
          </w:tcPr>
          <w:p w14:paraId="264E0185" w14:textId="5FBDCBFB" w:rsidR="003971D3" w:rsidRPr="00226892" w:rsidRDefault="001D0341" w:rsidP="002162CB">
            <w:pPr>
              <w:jc w:val="right"/>
              <w:rPr>
                <w:rFonts w:ascii="Arial" w:hAnsi="Arial" w:cs="Arial"/>
                <w:color w:val="000000"/>
                <w:sz w:val="18"/>
                <w:szCs w:val="18"/>
              </w:rPr>
            </w:pPr>
            <w:r w:rsidRPr="00226892">
              <w:rPr>
                <w:rFonts w:ascii="Arial" w:hAnsi="Arial" w:cs="Arial"/>
                <w:color w:val="000000"/>
                <w:sz w:val="18"/>
                <w:szCs w:val="18"/>
              </w:rPr>
              <w:t>-</w:t>
            </w:r>
          </w:p>
        </w:tc>
        <w:tc>
          <w:tcPr>
            <w:tcW w:w="104" w:type="pct"/>
            <w:tcBorders>
              <w:top w:val="nil"/>
              <w:left w:val="nil"/>
              <w:bottom w:val="nil"/>
              <w:right w:val="nil"/>
            </w:tcBorders>
            <w:shd w:val="clear" w:color="auto" w:fill="auto"/>
            <w:vAlign w:val="bottom"/>
          </w:tcPr>
          <w:p w14:paraId="199D1C51" w14:textId="77777777" w:rsidR="003971D3" w:rsidRPr="00226892" w:rsidRDefault="003971D3" w:rsidP="002162CB">
            <w:pPr>
              <w:jc w:val="right"/>
              <w:rPr>
                <w:rFonts w:ascii="Arial" w:hAnsi="Arial" w:cs="Arial"/>
                <w:color w:val="000000"/>
                <w:sz w:val="18"/>
                <w:szCs w:val="18"/>
              </w:rPr>
            </w:pPr>
          </w:p>
        </w:tc>
        <w:tc>
          <w:tcPr>
            <w:tcW w:w="994" w:type="pct"/>
            <w:tcBorders>
              <w:top w:val="nil"/>
              <w:left w:val="nil"/>
              <w:bottom w:val="nil"/>
              <w:right w:val="nil"/>
            </w:tcBorders>
            <w:vAlign w:val="bottom"/>
          </w:tcPr>
          <w:p w14:paraId="3B541077" w14:textId="0F473307" w:rsidR="003971D3" w:rsidRPr="00226892" w:rsidRDefault="001D0341" w:rsidP="002162CB">
            <w:pPr>
              <w:jc w:val="right"/>
              <w:rPr>
                <w:rFonts w:ascii="Arial" w:hAnsi="Arial" w:cs="Arial"/>
                <w:color w:val="000000"/>
                <w:sz w:val="18"/>
                <w:szCs w:val="18"/>
              </w:rPr>
            </w:pPr>
            <w:r w:rsidRPr="00226892">
              <w:rPr>
                <w:rFonts w:ascii="Arial" w:hAnsi="Arial" w:cs="Arial"/>
                <w:color w:val="000000"/>
                <w:sz w:val="18"/>
                <w:szCs w:val="18"/>
              </w:rPr>
              <w:t>-</w:t>
            </w:r>
          </w:p>
        </w:tc>
      </w:tr>
      <w:tr w:rsidR="003971D3" w:rsidRPr="00226892" w14:paraId="294EF670" w14:textId="77777777" w:rsidTr="007D76CE">
        <w:trPr>
          <w:trHeight w:val="227"/>
        </w:trPr>
        <w:tc>
          <w:tcPr>
            <w:tcW w:w="2806" w:type="pct"/>
            <w:tcBorders>
              <w:top w:val="nil"/>
              <w:left w:val="nil"/>
              <w:bottom w:val="nil"/>
              <w:right w:val="nil"/>
            </w:tcBorders>
            <w:shd w:val="clear" w:color="auto" w:fill="auto"/>
            <w:vAlign w:val="bottom"/>
            <w:hideMark/>
          </w:tcPr>
          <w:p w14:paraId="16113D75" w14:textId="77777777" w:rsidR="003971D3" w:rsidRPr="00226892" w:rsidRDefault="003971D3" w:rsidP="00023A96">
            <w:pPr>
              <w:rPr>
                <w:rFonts w:ascii="Arial" w:hAnsi="Arial" w:cs="Arial"/>
                <w:i/>
                <w:iCs/>
                <w:color w:val="000000"/>
                <w:sz w:val="18"/>
                <w:szCs w:val="18"/>
              </w:rPr>
            </w:pPr>
            <w:proofErr w:type="spellStart"/>
            <w:r w:rsidRPr="00226892">
              <w:rPr>
                <w:rFonts w:ascii="Arial" w:hAnsi="Arial" w:cs="Arial"/>
                <w:i/>
                <w:iCs/>
                <w:color w:val="000000"/>
                <w:sz w:val="18"/>
                <w:szCs w:val="18"/>
              </w:rPr>
              <w:t>Odložené</w:t>
            </w:r>
            <w:proofErr w:type="spellEnd"/>
            <w:r w:rsidRPr="00226892">
              <w:rPr>
                <w:rFonts w:ascii="Arial" w:hAnsi="Arial" w:cs="Arial"/>
                <w:i/>
                <w:iCs/>
                <w:color w:val="000000"/>
                <w:sz w:val="18"/>
                <w:szCs w:val="18"/>
              </w:rPr>
              <w:t xml:space="preserve"> </w:t>
            </w:r>
            <w:proofErr w:type="spellStart"/>
            <w:r w:rsidRPr="00226892">
              <w:rPr>
                <w:rFonts w:ascii="Arial" w:hAnsi="Arial" w:cs="Arial"/>
                <w:i/>
                <w:iCs/>
                <w:color w:val="000000"/>
                <w:sz w:val="18"/>
                <w:szCs w:val="18"/>
              </w:rPr>
              <w:t>daňové</w:t>
            </w:r>
            <w:proofErr w:type="spellEnd"/>
            <w:r w:rsidRPr="00226892">
              <w:rPr>
                <w:rFonts w:ascii="Arial" w:hAnsi="Arial" w:cs="Arial"/>
                <w:i/>
                <w:iCs/>
                <w:color w:val="000000"/>
                <w:sz w:val="18"/>
                <w:szCs w:val="18"/>
              </w:rPr>
              <w:t xml:space="preserve"> </w:t>
            </w:r>
            <w:proofErr w:type="spellStart"/>
            <w:r w:rsidRPr="00226892">
              <w:rPr>
                <w:rFonts w:ascii="Arial" w:hAnsi="Arial" w:cs="Arial"/>
                <w:i/>
                <w:iCs/>
                <w:color w:val="000000"/>
                <w:sz w:val="18"/>
                <w:szCs w:val="18"/>
              </w:rPr>
              <w:t>záväzky</w:t>
            </w:r>
            <w:proofErr w:type="spellEnd"/>
            <w:r w:rsidRPr="00226892">
              <w:rPr>
                <w:rFonts w:ascii="Arial" w:hAnsi="Arial" w:cs="Arial"/>
                <w:i/>
                <w:iCs/>
                <w:color w:val="000000"/>
                <w:sz w:val="18"/>
                <w:szCs w:val="18"/>
              </w:rPr>
              <w:t>:</w:t>
            </w:r>
          </w:p>
        </w:tc>
        <w:tc>
          <w:tcPr>
            <w:tcW w:w="104" w:type="pct"/>
            <w:tcBorders>
              <w:top w:val="nil"/>
              <w:left w:val="nil"/>
              <w:bottom w:val="nil"/>
              <w:right w:val="nil"/>
            </w:tcBorders>
            <w:shd w:val="clear" w:color="auto" w:fill="auto"/>
            <w:vAlign w:val="bottom"/>
            <w:hideMark/>
          </w:tcPr>
          <w:p w14:paraId="2E6F76D0" w14:textId="77777777" w:rsidR="003971D3" w:rsidRPr="00226892" w:rsidRDefault="003971D3" w:rsidP="00023A96">
            <w:pPr>
              <w:rPr>
                <w:rFonts w:ascii="Arial" w:hAnsi="Arial" w:cs="Arial"/>
                <w:i/>
                <w:iCs/>
                <w:color w:val="000000"/>
                <w:sz w:val="18"/>
                <w:szCs w:val="18"/>
                <w:highlight w:val="yellow"/>
              </w:rPr>
            </w:pPr>
          </w:p>
        </w:tc>
        <w:tc>
          <w:tcPr>
            <w:tcW w:w="994" w:type="pct"/>
            <w:tcBorders>
              <w:top w:val="nil"/>
              <w:left w:val="nil"/>
              <w:bottom w:val="nil"/>
              <w:right w:val="nil"/>
            </w:tcBorders>
            <w:shd w:val="clear" w:color="auto" w:fill="auto"/>
            <w:vAlign w:val="bottom"/>
          </w:tcPr>
          <w:p w14:paraId="052DE414" w14:textId="77777777" w:rsidR="003971D3" w:rsidRPr="00226892" w:rsidRDefault="003971D3" w:rsidP="002162CB">
            <w:pPr>
              <w:jc w:val="right"/>
              <w:rPr>
                <w:rFonts w:ascii="Arial" w:hAnsi="Arial" w:cs="Arial"/>
                <w:sz w:val="18"/>
                <w:szCs w:val="18"/>
                <w:highlight w:val="yellow"/>
              </w:rPr>
            </w:pPr>
          </w:p>
        </w:tc>
        <w:tc>
          <w:tcPr>
            <w:tcW w:w="104" w:type="pct"/>
            <w:tcBorders>
              <w:top w:val="nil"/>
              <w:left w:val="nil"/>
              <w:bottom w:val="nil"/>
              <w:right w:val="nil"/>
            </w:tcBorders>
            <w:shd w:val="clear" w:color="auto" w:fill="auto"/>
            <w:vAlign w:val="bottom"/>
          </w:tcPr>
          <w:p w14:paraId="4C9396ED" w14:textId="77777777" w:rsidR="003971D3" w:rsidRPr="00226892" w:rsidRDefault="003971D3" w:rsidP="002162CB">
            <w:pPr>
              <w:jc w:val="right"/>
              <w:rPr>
                <w:rFonts w:ascii="Arial" w:hAnsi="Arial" w:cs="Arial"/>
                <w:sz w:val="18"/>
                <w:szCs w:val="18"/>
                <w:highlight w:val="yellow"/>
              </w:rPr>
            </w:pPr>
          </w:p>
        </w:tc>
        <w:tc>
          <w:tcPr>
            <w:tcW w:w="994" w:type="pct"/>
            <w:tcBorders>
              <w:top w:val="nil"/>
              <w:left w:val="nil"/>
              <w:bottom w:val="nil"/>
              <w:right w:val="nil"/>
            </w:tcBorders>
            <w:vAlign w:val="bottom"/>
          </w:tcPr>
          <w:p w14:paraId="5511DCC3" w14:textId="77777777" w:rsidR="003971D3" w:rsidRPr="00226892" w:rsidRDefault="003971D3" w:rsidP="002162CB">
            <w:pPr>
              <w:jc w:val="right"/>
              <w:rPr>
                <w:rFonts w:ascii="Arial" w:hAnsi="Arial" w:cs="Arial"/>
                <w:sz w:val="18"/>
                <w:szCs w:val="18"/>
              </w:rPr>
            </w:pPr>
          </w:p>
        </w:tc>
      </w:tr>
      <w:tr w:rsidR="009F2456" w:rsidRPr="00226892" w14:paraId="78F2CD3F" w14:textId="77777777" w:rsidTr="007D76CE">
        <w:trPr>
          <w:trHeight w:val="227"/>
        </w:trPr>
        <w:tc>
          <w:tcPr>
            <w:tcW w:w="2806" w:type="pct"/>
            <w:tcBorders>
              <w:top w:val="nil"/>
              <w:left w:val="nil"/>
              <w:bottom w:val="nil"/>
              <w:right w:val="nil"/>
            </w:tcBorders>
            <w:shd w:val="clear" w:color="auto" w:fill="auto"/>
            <w:vAlign w:val="bottom"/>
            <w:hideMark/>
          </w:tcPr>
          <w:p w14:paraId="38D598AB" w14:textId="77777777" w:rsidR="009F2456" w:rsidRPr="00226892" w:rsidRDefault="009F2456" w:rsidP="009F2456">
            <w:pPr>
              <w:rPr>
                <w:rFonts w:ascii="Arial" w:hAnsi="Arial" w:cs="Arial"/>
                <w:color w:val="000000"/>
                <w:sz w:val="18"/>
                <w:szCs w:val="18"/>
              </w:rPr>
            </w:pPr>
            <w:proofErr w:type="spellStart"/>
            <w:r w:rsidRPr="00226892">
              <w:rPr>
                <w:rFonts w:ascii="Arial" w:hAnsi="Arial" w:cs="Arial"/>
                <w:color w:val="000000"/>
                <w:sz w:val="18"/>
                <w:szCs w:val="18"/>
              </w:rPr>
              <w:t>Odložený</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daňový</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záväzok</w:t>
            </w:r>
            <w:proofErr w:type="spellEnd"/>
            <w:r w:rsidRPr="00226892">
              <w:rPr>
                <w:rFonts w:ascii="Arial" w:hAnsi="Arial" w:cs="Arial"/>
                <w:color w:val="000000"/>
                <w:sz w:val="18"/>
                <w:szCs w:val="18"/>
              </w:rPr>
              <w:t xml:space="preserve"> s </w:t>
            </w:r>
            <w:proofErr w:type="spellStart"/>
            <w:r w:rsidRPr="00226892">
              <w:rPr>
                <w:rFonts w:ascii="Arial" w:hAnsi="Arial" w:cs="Arial"/>
                <w:color w:val="000000"/>
                <w:sz w:val="18"/>
                <w:szCs w:val="18"/>
              </w:rPr>
              <w:t>očakávanou</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realizáciou</w:t>
            </w:r>
            <w:proofErr w:type="spellEnd"/>
            <w:r w:rsidRPr="00226892">
              <w:rPr>
                <w:rFonts w:ascii="Arial" w:hAnsi="Arial" w:cs="Arial"/>
                <w:color w:val="000000"/>
                <w:sz w:val="18"/>
                <w:szCs w:val="18"/>
              </w:rPr>
              <w:t xml:space="preserve"> </w:t>
            </w:r>
          </w:p>
          <w:p w14:paraId="5550F91C" w14:textId="4BDB5841" w:rsidR="009F2456" w:rsidRPr="00226892" w:rsidRDefault="009F2456" w:rsidP="009F2456">
            <w:pPr>
              <w:rPr>
                <w:rFonts w:ascii="Arial" w:hAnsi="Arial" w:cs="Arial"/>
                <w:color w:val="000000"/>
                <w:sz w:val="18"/>
                <w:szCs w:val="18"/>
              </w:rPr>
            </w:pPr>
            <w:r w:rsidRPr="00226892">
              <w:rPr>
                <w:rFonts w:ascii="Arial" w:hAnsi="Arial" w:cs="Arial"/>
                <w:color w:val="000000"/>
                <w:sz w:val="18"/>
                <w:szCs w:val="18"/>
              </w:rPr>
              <w:t xml:space="preserve">do 12 </w:t>
            </w:r>
            <w:proofErr w:type="spellStart"/>
            <w:r w:rsidRPr="00226892">
              <w:rPr>
                <w:rFonts w:ascii="Arial" w:hAnsi="Arial" w:cs="Arial"/>
                <w:color w:val="000000"/>
                <w:sz w:val="18"/>
                <w:szCs w:val="18"/>
              </w:rPr>
              <w:t>mesiacov</w:t>
            </w:r>
            <w:proofErr w:type="spellEnd"/>
          </w:p>
        </w:tc>
        <w:tc>
          <w:tcPr>
            <w:tcW w:w="104" w:type="pct"/>
            <w:tcBorders>
              <w:top w:val="nil"/>
              <w:left w:val="nil"/>
              <w:bottom w:val="nil"/>
              <w:right w:val="nil"/>
            </w:tcBorders>
            <w:shd w:val="clear" w:color="auto" w:fill="auto"/>
            <w:vAlign w:val="bottom"/>
            <w:hideMark/>
          </w:tcPr>
          <w:p w14:paraId="1E717985" w14:textId="77777777" w:rsidR="009F2456" w:rsidRPr="00226892" w:rsidRDefault="009F2456" w:rsidP="009F2456">
            <w:pPr>
              <w:rPr>
                <w:rFonts w:ascii="Arial" w:hAnsi="Arial" w:cs="Arial"/>
                <w:color w:val="000000"/>
                <w:sz w:val="18"/>
                <w:szCs w:val="18"/>
                <w:highlight w:val="yellow"/>
              </w:rPr>
            </w:pPr>
          </w:p>
        </w:tc>
        <w:tc>
          <w:tcPr>
            <w:tcW w:w="994" w:type="pct"/>
            <w:tcBorders>
              <w:top w:val="nil"/>
              <w:left w:val="nil"/>
              <w:bottom w:val="nil"/>
              <w:right w:val="nil"/>
            </w:tcBorders>
            <w:shd w:val="clear" w:color="auto" w:fill="auto"/>
            <w:vAlign w:val="bottom"/>
          </w:tcPr>
          <w:p w14:paraId="024FAEB3" w14:textId="52FAB94A" w:rsidR="009F2456" w:rsidRPr="00226892" w:rsidRDefault="00364771" w:rsidP="009F2456">
            <w:pPr>
              <w:jc w:val="right"/>
              <w:rPr>
                <w:rFonts w:ascii="Arial" w:hAnsi="Arial" w:cs="Arial"/>
                <w:color w:val="000000"/>
                <w:sz w:val="18"/>
                <w:szCs w:val="18"/>
              </w:rPr>
            </w:pPr>
            <w:r w:rsidRPr="00226892">
              <w:rPr>
                <w:rFonts w:ascii="Arial" w:hAnsi="Arial" w:cs="Arial"/>
                <w:color w:val="000000"/>
                <w:sz w:val="18"/>
                <w:szCs w:val="18"/>
              </w:rPr>
              <w:t>-</w:t>
            </w:r>
          </w:p>
        </w:tc>
        <w:tc>
          <w:tcPr>
            <w:tcW w:w="104" w:type="pct"/>
            <w:tcBorders>
              <w:top w:val="nil"/>
              <w:left w:val="nil"/>
              <w:bottom w:val="nil"/>
              <w:right w:val="nil"/>
            </w:tcBorders>
            <w:shd w:val="clear" w:color="auto" w:fill="auto"/>
            <w:vAlign w:val="bottom"/>
          </w:tcPr>
          <w:p w14:paraId="45EDB22A" w14:textId="77777777" w:rsidR="009F2456" w:rsidRPr="00226892" w:rsidRDefault="009F2456" w:rsidP="009F2456">
            <w:pPr>
              <w:jc w:val="right"/>
              <w:rPr>
                <w:rFonts w:ascii="Arial" w:hAnsi="Arial" w:cs="Arial"/>
                <w:color w:val="000000"/>
                <w:sz w:val="18"/>
                <w:szCs w:val="18"/>
                <w:highlight w:val="yellow"/>
              </w:rPr>
            </w:pPr>
          </w:p>
        </w:tc>
        <w:tc>
          <w:tcPr>
            <w:tcW w:w="994" w:type="pct"/>
            <w:tcBorders>
              <w:top w:val="nil"/>
              <w:left w:val="nil"/>
              <w:bottom w:val="nil"/>
              <w:right w:val="nil"/>
            </w:tcBorders>
            <w:vAlign w:val="bottom"/>
          </w:tcPr>
          <w:p w14:paraId="4AD8C462" w14:textId="797807AD" w:rsidR="009F2456" w:rsidRPr="00226892" w:rsidRDefault="009F2456" w:rsidP="009F2456">
            <w:pPr>
              <w:jc w:val="right"/>
              <w:rPr>
                <w:rFonts w:ascii="Arial" w:hAnsi="Arial" w:cs="Arial"/>
                <w:color w:val="000000"/>
                <w:sz w:val="18"/>
                <w:szCs w:val="18"/>
              </w:rPr>
            </w:pPr>
            <w:r w:rsidRPr="00226892">
              <w:rPr>
                <w:rFonts w:ascii="Arial" w:hAnsi="Arial" w:cs="Arial"/>
                <w:color w:val="000000"/>
                <w:sz w:val="18"/>
                <w:szCs w:val="18"/>
              </w:rPr>
              <w:t>-</w:t>
            </w:r>
          </w:p>
        </w:tc>
      </w:tr>
      <w:tr w:rsidR="009F2456" w:rsidRPr="00226892" w14:paraId="25E67030" w14:textId="77777777" w:rsidTr="007D76CE">
        <w:trPr>
          <w:trHeight w:val="227"/>
        </w:trPr>
        <w:tc>
          <w:tcPr>
            <w:tcW w:w="2806" w:type="pct"/>
            <w:tcBorders>
              <w:top w:val="nil"/>
              <w:left w:val="nil"/>
              <w:bottom w:val="nil"/>
              <w:right w:val="nil"/>
            </w:tcBorders>
            <w:shd w:val="clear" w:color="auto" w:fill="auto"/>
            <w:vAlign w:val="bottom"/>
            <w:hideMark/>
          </w:tcPr>
          <w:p w14:paraId="4168E22C" w14:textId="77777777" w:rsidR="009F2456" w:rsidRPr="00226892" w:rsidRDefault="009F2456" w:rsidP="009F2456">
            <w:pPr>
              <w:rPr>
                <w:rFonts w:ascii="Arial" w:hAnsi="Arial" w:cs="Arial"/>
                <w:color w:val="000000"/>
                <w:sz w:val="18"/>
                <w:szCs w:val="18"/>
              </w:rPr>
            </w:pPr>
            <w:proofErr w:type="spellStart"/>
            <w:r w:rsidRPr="00226892">
              <w:rPr>
                <w:rFonts w:ascii="Arial" w:hAnsi="Arial" w:cs="Arial"/>
                <w:color w:val="000000"/>
                <w:sz w:val="18"/>
                <w:szCs w:val="18"/>
              </w:rPr>
              <w:t>Odložený</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daňový</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záväzok</w:t>
            </w:r>
            <w:proofErr w:type="spellEnd"/>
            <w:r w:rsidRPr="00226892">
              <w:rPr>
                <w:rFonts w:ascii="Arial" w:hAnsi="Arial" w:cs="Arial"/>
                <w:color w:val="000000"/>
                <w:sz w:val="18"/>
                <w:szCs w:val="18"/>
              </w:rPr>
              <w:t xml:space="preserve"> s </w:t>
            </w:r>
            <w:proofErr w:type="spellStart"/>
            <w:r w:rsidRPr="00226892">
              <w:rPr>
                <w:rFonts w:ascii="Arial" w:hAnsi="Arial" w:cs="Arial"/>
                <w:color w:val="000000"/>
                <w:sz w:val="18"/>
                <w:szCs w:val="18"/>
              </w:rPr>
              <w:t>očakávanou</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realizáciou</w:t>
            </w:r>
            <w:proofErr w:type="spellEnd"/>
            <w:r w:rsidRPr="00226892">
              <w:rPr>
                <w:rFonts w:ascii="Arial" w:hAnsi="Arial" w:cs="Arial"/>
                <w:color w:val="000000"/>
                <w:sz w:val="18"/>
                <w:szCs w:val="18"/>
              </w:rPr>
              <w:t xml:space="preserve"> </w:t>
            </w:r>
          </w:p>
          <w:p w14:paraId="15B8EE70" w14:textId="3AE36A11" w:rsidR="009F2456" w:rsidRPr="00226892" w:rsidRDefault="009F2456" w:rsidP="009F2456">
            <w:pPr>
              <w:rPr>
                <w:rFonts w:ascii="Arial" w:hAnsi="Arial" w:cs="Arial"/>
                <w:color w:val="000000"/>
                <w:sz w:val="18"/>
                <w:szCs w:val="18"/>
              </w:rPr>
            </w:pPr>
            <w:r w:rsidRPr="00226892">
              <w:rPr>
                <w:rFonts w:ascii="Arial" w:hAnsi="Arial" w:cs="Arial"/>
                <w:color w:val="000000"/>
                <w:sz w:val="18"/>
                <w:szCs w:val="18"/>
              </w:rPr>
              <w:t xml:space="preserve">za </w:t>
            </w:r>
            <w:proofErr w:type="spellStart"/>
            <w:r w:rsidRPr="00226892">
              <w:rPr>
                <w:rFonts w:ascii="Arial" w:hAnsi="Arial" w:cs="Arial"/>
                <w:color w:val="000000"/>
                <w:sz w:val="18"/>
                <w:szCs w:val="18"/>
              </w:rPr>
              <w:t>viac</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ako</w:t>
            </w:r>
            <w:proofErr w:type="spellEnd"/>
            <w:r w:rsidRPr="00226892">
              <w:rPr>
                <w:rFonts w:ascii="Arial" w:hAnsi="Arial" w:cs="Arial"/>
                <w:color w:val="000000"/>
                <w:sz w:val="18"/>
                <w:szCs w:val="18"/>
              </w:rPr>
              <w:t xml:space="preserve"> 12 </w:t>
            </w:r>
            <w:proofErr w:type="spellStart"/>
            <w:r w:rsidRPr="00226892">
              <w:rPr>
                <w:rFonts w:ascii="Arial" w:hAnsi="Arial" w:cs="Arial"/>
                <w:color w:val="000000"/>
                <w:sz w:val="18"/>
                <w:szCs w:val="18"/>
              </w:rPr>
              <w:t>mesiacov</w:t>
            </w:r>
            <w:proofErr w:type="spellEnd"/>
          </w:p>
        </w:tc>
        <w:tc>
          <w:tcPr>
            <w:tcW w:w="104" w:type="pct"/>
            <w:tcBorders>
              <w:top w:val="nil"/>
              <w:left w:val="nil"/>
              <w:bottom w:val="nil"/>
              <w:right w:val="nil"/>
            </w:tcBorders>
            <w:shd w:val="clear" w:color="auto" w:fill="auto"/>
            <w:vAlign w:val="bottom"/>
            <w:hideMark/>
          </w:tcPr>
          <w:p w14:paraId="729FFE99" w14:textId="77777777" w:rsidR="009F2456" w:rsidRPr="00226892" w:rsidRDefault="009F2456" w:rsidP="009F2456">
            <w:pPr>
              <w:rPr>
                <w:rFonts w:ascii="Arial" w:hAnsi="Arial" w:cs="Arial"/>
                <w:color w:val="000000"/>
                <w:sz w:val="18"/>
                <w:szCs w:val="18"/>
                <w:highlight w:val="yellow"/>
              </w:rPr>
            </w:pPr>
          </w:p>
        </w:tc>
        <w:tc>
          <w:tcPr>
            <w:tcW w:w="994" w:type="pct"/>
            <w:tcBorders>
              <w:top w:val="nil"/>
              <w:left w:val="nil"/>
              <w:bottom w:val="nil"/>
              <w:right w:val="nil"/>
            </w:tcBorders>
            <w:shd w:val="clear" w:color="auto" w:fill="auto"/>
            <w:vAlign w:val="bottom"/>
          </w:tcPr>
          <w:p w14:paraId="7EF73175" w14:textId="64E166AD" w:rsidR="009F2456" w:rsidRPr="00226892" w:rsidRDefault="00364771" w:rsidP="009F2456">
            <w:pPr>
              <w:jc w:val="right"/>
              <w:rPr>
                <w:rFonts w:ascii="Arial" w:hAnsi="Arial" w:cs="Arial"/>
                <w:color w:val="000000"/>
                <w:sz w:val="18"/>
                <w:szCs w:val="18"/>
              </w:rPr>
            </w:pPr>
            <w:r w:rsidRPr="00226892">
              <w:rPr>
                <w:rFonts w:ascii="Arial" w:hAnsi="Arial" w:cs="Arial"/>
                <w:color w:val="000000"/>
                <w:sz w:val="18"/>
                <w:szCs w:val="18"/>
              </w:rPr>
              <w:t>1 970</w:t>
            </w:r>
          </w:p>
        </w:tc>
        <w:tc>
          <w:tcPr>
            <w:tcW w:w="104" w:type="pct"/>
            <w:tcBorders>
              <w:top w:val="nil"/>
              <w:left w:val="nil"/>
              <w:bottom w:val="nil"/>
              <w:right w:val="nil"/>
            </w:tcBorders>
            <w:shd w:val="clear" w:color="auto" w:fill="auto"/>
            <w:vAlign w:val="bottom"/>
          </w:tcPr>
          <w:p w14:paraId="6C315BB3" w14:textId="77777777" w:rsidR="009F2456" w:rsidRPr="00226892" w:rsidRDefault="009F2456" w:rsidP="009F2456">
            <w:pPr>
              <w:jc w:val="right"/>
              <w:rPr>
                <w:rFonts w:ascii="Arial" w:hAnsi="Arial" w:cs="Arial"/>
                <w:color w:val="000000"/>
                <w:sz w:val="18"/>
                <w:szCs w:val="18"/>
                <w:highlight w:val="yellow"/>
              </w:rPr>
            </w:pPr>
          </w:p>
        </w:tc>
        <w:tc>
          <w:tcPr>
            <w:tcW w:w="994" w:type="pct"/>
            <w:tcBorders>
              <w:top w:val="nil"/>
              <w:left w:val="nil"/>
              <w:bottom w:val="nil"/>
              <w:right w:val="nil"/>
            </w:tcBorders>
            <w:vAlign w:val="bottom"/>
          </w:tcPr>
          <w:p w14:paraId="3C97C828" w14:textId="362CF5F5" w:rsidR="009F2456" w:rsidRPr="00226892" w:rsidRDefault="009F2456" w:rsidP="009F2456">
            <w:pPr>
              <w:jc w:val="right"/>
              <w:rPr>
                <w:rFonts w:ascii="Arial" w:hAnsi="Arial" w:cs="Arial"/>
                <w:color w:val="000000"/>
                <w:sz w:val="18"/>
                <w:szCs w:val="18"/>
              </w:rPr>
            </w:pPr>
            <w:r w:rsidRPr="00226892">
              <w:rPr>
                <w:rFonts w:ascii="Arial" w:hAnsi="Arial" w:cs="Arial"/>
                <w:color w:val="000000"/>
                <w:sz w:val="18"/>
                <w:szCs w:val="18"/>
              </w:rPr>
              <w:t>1 561</w:t>
            </w:r>
          </w:p>
        </w:tc>
      </w:tr>
      <w:tr w:rsidR="009F2456" w:rsidRPr="00226892" w14:paraId="337BA029" w14:textId="77777777" w:rsidTr="007D76CE">
        <w:trPr>
          <w:trHeight w:val="227"/>
        </w:trPr>
        <w:tc>
          <w:tcPr>
            <w:tcW w:w="2806" w:type="pct"/>
            <w:tcBorders>
              <w:top w:val="nil"/>
              <w:left w:val="nil"/>
              <w:bottom w:val="nil"/>
              <w:right w:val="nil"/>
            </w:tcBorders>
            <w:shd w:val="clear" w:color="auto" w:fill="auto"/>
            <w:vAlign w:val="bottom"/>
            <w:hideMark/>
          </w:tcPr>
          <w:p w14:paraId="146AAA1F" w14:textId="43816FDF" w:rsidR="009F2456" w:rsidRPr="00226892" w:rsidRDefault="005020AA" w:rsidP="009F2456">
            <w:pPr>
              <w:rPr>
                <w:rFonts w:ascii="Arial" w:hAnsi="Arial" w:cs="Arial"/>
                <w:b/>
                <w:bCs/>
                <w:color w:val="000000"/>
                <w:sz w:val="18"/>
                <w:szCs w:val="18"/>
              </w:rPr>
            </w:pPr>
            <w:proofErr w:type="spellStart"/>
            <w:r w:rsidRPr="00226892">
              <w:rPr>
                <w:rFonts w:ascii="Arial" w:hAnsi="Arial" w:cs="Arial"/>
                <w:b/>
                <w:bCs/>
                <w:color w:val="000000"/>
                <w:sz w:val="18"/>
                <w:szCs w:val="18"/>
              </w:rPr>
              <w:t>Spolu</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odložený</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daňový</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záväzok</w:t>
            </w:r>
            <w:proofErr w:type="spellEnd"/>
            <w:r w:rsidRPr="00226892">
              <w:rPr>
                <w:rFonts w:ascii="Arial" w:hAnsi="Arial" w:cs="Arial"/>
                <w:b/>
                <w:bCs/>
                <w:color w:val="000000"/>
                <w:sz w:val="18"/>
                <w:szCs w:val="18"/>
              </w:rPr>
              <w:t xml:space="preserve"> (+)/ </w:t>
            </w:r>
            <w:proofErr w:type="spellStart"/>
            <w:r w:rsidRPr="00226892">
              <w:rPr>
                <w:rFonts w:ascii="Arial" w:hAnsi="Arial" w:cs="Arial"/>
                <w:b/>
                <w:bCs/>
                <w:color w:val="000000"/>
                <w:sz w:val="18"/>
                <w:szCs w:val="18"/>
              </w:rPr>
              <w:t>odložená</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daňová</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pohľadávka</w:t>
            </w:r>
            <w:proofErr w:type="spellEnd"/>
            <w:r w:rsidRPr="00226892">
              <w:rPr>
                <w:rFonts w:ascii="Arial" w:hAnsi="Arial" w:cs="Arial"/>
                <w:b/>
                <w:bCs/>
                <w:color w:val="000000"/>
                <w:sz w:val="18"/>
                <w:szCs w:val="18"/>
              </w:rPr>
              <w:t xml:space="preserve"> (-)</w:t>
            </w:r>
          </w:p>
        </w:tc>
        <w:tc>
          <w:tcPr>
            <w:tcW w:w="104" w:type="pct"/>
            <w:tcBorders>
              <w:top w:val="nil"/>
              <w:left w:val="nil"/>
              <w:bottom w:val="nil"/>
              <w:right w:val="nil"/>
            </w:tcBorders>
            <w:shd w:val="clear" w:color="auto" w:fill="auto"/>
            <w:vAlign w:val="bottom"/>
            <w:hideMark/>
          </w:tcPr>
          <w:p w14:paraId="5B0D2214" w14:textId="77777777" w:rsidR="009F2456" w:rsidRPr="00226892" w:rsidRDefault="009F2456" w:rsidP="009F2456">
            <w:pPr>
              <w:rPr>
                <w:rFonts w:ascii="Arial" w:hAnsi="Arial" w:cs="Arial"/>
                <w:b/>
                <w:bCs/>
                <w:color w:val="000000"/>
                <w:sz w:val="18"/>
                <w:szCs w:val="18"/>
                <w:highlight w:val="yellow"/>
              </w:rPr>
            </w:pPr>
          </w:p>
        </w:tc>
        <w:tc>
          <w:tcPr>
            <w:tcW w:w="994" w:type="pct"/>
            <w:tcBorders>
              <w:top w:val="single" w:sz="4" w:space="0" w:color="auto"/>
              <w:left w:val="nil"/>
              <w:bottom w:val="double" w:sz="6" w:space="0" w:color="auto"/>
              <w:right w:val="nil"/>
            </w:tcBorders>
            <w:shd w:val="clear" w:color="auto" w:fill="auto"/>
            <w:vAlign w:val="bottom"/>
          </w:tcPr>
          <w:p w14:paraId="21E149A9" w14:textId="49CAD129" w:rsidR="009F2456" w:rsidRPr="00226892" w:rsidRDefault="009F2456" w:rsidP="009F2456">
            <w:pPr>
              <w:jc w:val="right"/>
              <w:rPr>
                <w:rFonts w:ascii="Arial" w:hAnsi="Arial" w:cs="Arial"/>
                <w:b/>
                <w:bCs/>
                <w:color w:val="000000"/>
                <w:sz w:val="18"/>
                <w:szCs w:val="18"/>
              </w:rPr>
            </w:pPr>
            <w:r w:rsidRPr="00226892">
              <w:rPr>
                <w:rFonts w:ascii="Arial" w:hAnsi="Arial" w:cs="Arial"/>
                <w:b/>
                <w:bCs/>
                <w:color w:val="000000"/>
                <w:sz w:val="18"/>
                <w:szCs w:val="18"/>
              </w:rPr>
              <w:t xml:space="preserve">1 </w:t>
            </w:r>
            <w:r w:rsidR="00206D7F" w:rsidRPr="00226892">
              <w:rPr>
                <w:rFonts w:ascii="Arial" w:hAnsi="Arial" w:cs="Arial"/>
                <w:b/>
                <w:bCs/>
                <w:color w:val="000000"/>
                <w:sz w:val="18"/>
                <w:szCs w:val="18"/>
              </w:rPr>
              <w:t>278</w:t>
            </w:r>
          </w:p>
        </w:tc>
        <w:tc>
          <w:tcPr>
            <w:tcW w:w="104" w:type="pct"/>
            <w:tcBorders>
              <w:top w:val="single" w:sz="4" w:space="0" w:color="auto"/>
              <w:left w:val="nil"/>
              <w:bottom w:val="double" w:sz="6" w:space="0" w:color="auto"/>
              <w:right w:val="nil"/>
            </w:tcBorders>
            <w:shd w:val="clear" w:color="auto" w:fill="auto"/>
            <w:vAlign w:val="bottom"/>
          </w:tcPr>
          <w:p w14:paraId="5AD39D8D" w14:textId="68366AB8" w:rsidR="009F2456" w:rsidRPr="00226892" w:rsidRDefault="009F2456" w:rsidP="009F2456">
            <w:pPr>
              <w:jc w:val="right"/>
              <w:rPr>
                <w:rFonts w:ascii="Arial" w:hAnsi="Arial" w:cs="Arial"/>
                <w:b/>
                <w:bCs/>
                <w:color w:val="000000"/>
                <w:sz w:val="18"/>
                <w:szCs w:val="18"/>
              </w:rPr>
            </w:pPr>
          </w:p>
        </w:tc>
        <w:tc>
          <w:tcPr>
            <w:tcW w:w="994" w:type="pct"/>
            <w:tcBorders>
              <w:top w:val="single" w:sz="4" w:space="0" w:color="auto"/>
              <w:left w:val="nil"/>
              <w:bottom w:val="double" w:sz="6" w:space="0" w:color="auto"/>
              <w:right w:val="nil"/>
            </w:tcBorders>
            <w:vAlign w:val="bottom"/>
          </w:tcPr>
          <w:p w14:paraId="03501D2B" w14:textId="597D2284" w:rsidR="009F2456" w:rsidRPr="00226892" w:rsidRDefault="009F2456" w:rsidP="009F2456">
            <w:pPr>
              <w:jc w:val="right"/>
              <w:rPr>
                <w:rFonts w:ascii="Arial" w:hAnsi="Arial" w:cs="Arial"/>
                <w:b/>
                <w:bCs/>
                <w:color w:val="000000"/>
                <w:sz w:val="18"/>
                <w:szCs w:val="18"/>
              </w:rPr>
            </w:pPr>
            <w:r w:rsidRPr="00226892">
              <w:rPr>
                <w:rFonts w:ascii="Arial" w:hAnsi="Arial" w:cs="Arial"/>
                <w:b/>
                <w:bCs/>
                <w:color w:val="000000"/>
                <w:sz w:val="18"/>
                <w:szCs w:val="18"/>
              </w:rPr>
              <w:t>865</w:t>
            </w:r>
          </w:p>
        </w:tc>
      </w:tr>
    </w:tbl>
    <w:p w14:paraId="28BC1ED0" w14:textId="77777777" w:rsidR="003971D3" w:rsidRPr="00226892" w:rsidRDefault="003971D3" w:rsidP="003971D3">
      <w:pPr>
        <w:suppressAutoHyphens/>
        <w:rPr>
          <w:rFonts w:ascii="Arial" w:hAnsi="Arial" w:cs="Arial"/>
          <w:szCs w:val="18"/>
          <w:highlight w:val="yellow"/>
        </w:rPr>
      </w:pPr>
      <w:r w:rsidRPr="00226892">
        <w:rPr>
          <w:rFonts w:ascii="Arial" w:hAnsi="Arial" w:cs="Arial"/>
          <w:sz w:val="18"/>
          <w:szCs w:val="18"/>
          <w:highlight w:val="yellow"/>
        </w:rPr>
        <w:t xml:space="preserve">  </w:t>
      </w:r>
    </w:p>
    <w:p w14:paraId="41D8E745" w14:textId="77777777" w:rsidR="004C79B8" w:rsidRPr="00226892" w:rsidRDefault="004C79B8" w:rsidP="00235CDF">
      <w:pPr>
        <w:pStyle w:val="odst"/>
      </w:pPr>
    </w:p>
    <w:p w14:paraId="008E01EA" w14:textId="71EA3AA6" w:rsidR="003971D3" w:rsidRPr="00226892" w:rsidRDefault="003971D3" w:rsidP="00235CDF">
      <w:pPr>
        <w:pStyle w:val="odst"/>
      </w:pPr>
      <w:r w:rsidRPr="00226892">
        <w:t>Štruktúra odloženej dane podľa krajiny, v ktorej odložená daň vznikla:</w:t>
      </w:r>
    </w:p>
    <w:p w14:paraId="62EC0FCC" w14:textId="77777777" w:rsidR="003971D3" w:rsidRPr="00226892" w:rsidDel="00F47C39" w:rsidRDefault="003971D3" w:rsidP="003971D3">
      <w:pPr>
        <w:suppressAutoHyphens/>
        <w:rPr>
          <w:rFonts w:ascii="Arial" w:hAnsi="Arial" w:cs="Arial"/>
          <w:szCs w:val="18"/>
          <w:highlight w:val="yellow"/>
          <w:lang w:val="sk-SK"/>
        </w:rPr>
      </w:pPr>
    </w:p>
    <w:tbl>
      <w:tblPr>
        <w:tblW w:w="5000" w:type="pct"/>
        <w:tblCellMar>
          <w:left w:w="70" w:type="dxa"/>
          <w:right w:w="70" w:type="dxa"/>
        </w:tblCellMar>
        <w:tblLook w:val="04A0" w:firstRow="1" w:lastRow="0" w:firstColumn="1" w:lastColumn="0" w:noHBand="0" w:noVBand="1"/>
      </w:tblPr>
      <w:tblGrid>
        <w:gridCol w:w="2415"/>
        <w:gridCol w:w="8"/>
        <w:gridCol w:w="191"/>
        <w:gridCol w:w="21"/>
        <w:gridCol w:w="1610"/>
        <w:gridCol w:w="164"/>
        <w:gridCol w:w="1617"/>
        <w:gridCol w:w="14"/>
        <w:gridCol w:w="145"/>
        <w:gridCol w:w="15"/>
        <w:gridCol w:w="1633"/>
        <w:gridCol w:w="164"/>
        <w:gridCol w:w="1581"/>
        <w:gridCol w:w="61"/>
      </w:tblGrid>
      <w:tr w:rsidR="003971D3" w:rsidRPr="00226892" w14:paraId="05151B52" w14:textId="77777777" w:rsidTr="007D76CE">
        <w:trPr>
          <w:trHeight w:val="227"/>
        </w:trPr>
        <w:tc>
          <w:tcPr>
            <w:tcW w:w="1259" w:type="pct"/>
            <w:gridSpan w:val="2"/>
            <w:tcBorders>
              <w:top w:val="nil"/>
              <w:left w:val="nil"/>
              <w:bottom w:val="nil"/>
              <w:right w:val="nil"/>
            </w:tcBorders>
            <w:shd w:val="clear" w:color="auto" w:fill="auto"/>
            <w:noWrap/>
            <w:vAlign w:val="bottom"/>
            <w:hideMark/>
          </w:tcPr>
          <w:p w14:paraId="1527023E" w14:textId="77777777" w:rsidR="003971D3" w:rsidRPr="00226892" w:rsidRDefault="003971D3" w:rsidP="00023A96">
            <w:pPr>
              <w:rPr>
                <w:rFonts w:ascii="Arial" w:hAnsi="Arial" w:cs="Arial"/>
                <w:sz w:val="18"/>
                <w:szCs w:val="18"/>
                <w:lang w:val="sk-SK" w:eastAsia="sk-SK"/>
              </w:rPr>
            </w:pPr>
          </w:p>
        </w:tc>
        <w:tc>
          <w:tcPr>
            <w:tcW w:w="86" w:type="pct"/>
            <w:tcBorders>
              <w:top w:val="nil"/>
              <w:left w:val="nil"/>
              <w:bottom w:val="nil"/>
              <w:right w:val="nil"/>
            </w:tcBorders>
            <w:shd w:val="clear" w:color="auto" w:fill="auto"/>
            <w:vAlign w:val="bottom"/>
            <w:hideMark/>
          </w:tcPr>
          <w:p w14:paraId="148DD081" w14:textId="77777777" w:rsidR="003971D3" w:rsidRPr="00226892" w:rsidRDefault="003971D3" w:rsidP="00023A96">
            <w:pPr>
              <w:rPr>
                <w:rFonts w:ascii="Arial" w:hAnsi="Arial" w:cs="Arial"/>
                <w:sz w:val="18"/>
                <w:szCs w:val="18"/>
                <w:lang w:val="sk-SK"/>
              </w:rPr>
            </w:pPr>
          </w:p>
        </w:tc>
        <w:tc>
          <w:tcPr>
            <w:tcW w:w="848" w:type="pct"/>
            <w:gridSpan w:val="2"/>
            <w:tcBorders>
              <w:top w:val="nil"/>
              <w:left w:val="nil"/>
              <w:bottom w:val="nil"/>
              <w:right w:val="nil"/>
            </w:tcBorders>
            <w:shd w:val="clear" w:color="auto" w:fill="auto"/>
            <w:vAlign w:val="bottom"/>
            <w:hideMark/>
          </w:tcPr>
          <w:p w14:paraId="1F849F62" w14:textId="30A1FD24" w:rsidR="003971D3" w:rsidRPr="00226892" w:rsidRDefault="003971D3" w:rsidP="008A08CF">
            <w:pPr>
              <w:jc w:val="center"/>
              <w:rPr>
                <w:rFonts w:ascii="Arial" w:hAnsi="Arial" w:cs="Arial"/>
                <w:b/>
                <w:bCs/>
                <w:color w:val="000000"/>
                <w:sz w:val="18"/>
                <w:szCs w:val="18"/>
              </w:rPr>
            </w:pPr>
            <w:r w:rsidRPr="00226892">
              <w:rPr>
                <w:rFonts w:ascii="Arial" w:hAnsi="Arial" w:cs="Arial"/>
                <w:b/>
                <w:bCs/>
                <w:color w:val="000000"/>
                <w:sz w:val="18"/>
                <w:szCs w:val="18"/>
              </w:rPr>
              <w:t xml:space="preserve">31. </w:t>
            </w:r>
            <w:proofErr w:type="spellStart"/>
            <w:r w:rsidRPr="00226892">
              <w:rPr>
                <w:rFonts w:ascii="Arial" w:hAnsi="Arial" w:cs="Arial"/>
                <w:b/>
                <w:bCs/>
                <w:color w:val="000000"/>
                <w:sz w:val="18"/>
                <w:szCs w:val="18"/>
              </w:rPr>
              <w:t>december</w:t>
            </w:r>
            <w:proofErr w:type="spellEnd"/>
            <w:r w:rsidRPr="00226892">
              <w:rPr>
                <w:rFonts w:ascii="Arial" w:hAnsi="Arial" w:cs="Arial"/>
                <w:b/>
                <w:bCs/>
                <w:color w:val="000000"/>
                <w:sz w:val="18"/>
                <w:szCs w:val="18"/>
              </w:rPr>
              <w:t xml:space="preserve"> </w:t>
            </w:r>
            <w:r w:rsidR="00FD3AC5" w:rsidRPr="00226892">
              <w:rPr>
                <w:rFonts w:ascii="Arial" w:hAnsi="Arial" w:cs="Arial"/>
                <w:b/>
                <w:bCs/>
                <w:color w:val="000000"/>
                <w:sz w:val="18"/>
                <w:szCs w:val="18"/>
              </w:rPr>
              <w:t>2018</w:t>
            </w:r>
          </w:p>
        </w:tc>
        <w:tc>
          <w:tcPr>
            <w:tcW w:w="86" w:type="pct"/>
            <w:tcBorders>
              <w:top w:val="nil"/>
              <w:left w:val="nil"/>
              <w:bottom w:val="nil"/>
              <w:right w:val="nil"/>
            </w:tcBorders>
            <w:shd w:val="clear" w:color="auto" w:fill="auto"/>
            <w:vAlign w:val="bottom"/>
            <w:hideMark/>
          </w:tcPr>
          <w:p w14:paraId="3DE3471F" w14:textId="77777777" w:rsidR="003971D3" w:rsidRPr="00226892" w:rsidRDefault="003971D3" w:rsidP="008A08CF">
            <w:pPr>
              <w:jc w:val="center"/>
              <w:rPr>
                <w:rFonts w:ascii="Arial" w:hAnsi="Arial" w:cs="Arial"/>
                <w:b/>
                <w:bCs/>
                <w:color w:val="000000"/>
                <w:sz w:val="18"/>
                <w:szCs w:val="18"/>
              </w:rPr>
            </w:pPr>
          </w:p>
        </w:tc>
        <w:tc>
          <w:tcPr>
            <w:tcW w:w="848" w:type="pct"/>
            <w:gridSpan w:val="2"/>
            <w:tcBorders>
              <w:top w:val="nil"/>
              <w:left w:val="nil"/>
              <w:bottom w:val="nil"/>
              <w:right w:val="nil"/>
            </w:tcBorders>
            <w:shd w:val="clear" w:color="auto" w:fill="auto"/>
            <w:vAlign w:val="bottom"/>
            <w:hideMark/>
          </w:tcPr>
          <w:p w14:paraId="532C45E7" w14:textId="77777777" w:rsidR="003971D3" w:rsidRPr="00226892" w:rsidRDefault="003971D3" w:rsidP="008A08CF">
            <w:pPr>
              <w:jc w:val="center"/>
              <w:rPr>
                <w:rFonts w:ascii="Arial" w:hAnsi="Arial" w:cs="Arial"/>
                <w:sz w:val="18"/>
                <w:szCs w:val="18"/>
              </w:rPr>
            </w:pPr>
          </w:p>
        </w:tc>
        <w:tc>
          <w:tcPr>
            <w:tcW w:w="86" w:type="pct"/>
            <w:gridSpan w:val="2"/>
            <w:tcBorders>
              <w:top w:val="nil"/>
              <w:left w:val="nil"/>
              <w:bottom w:val="nil"/>
              <w:right w:val="nil"/>
            </w:tcBorders>
            <w:shd w:val="clear" w:color="auto" w:fill="auto"/>
            <w:vAlign w:val="bottom"/>
            <w:hideMark/>
          </w:tcPr>
          <w:p w14:paraId="6482A05C" w14:textId="77777777" w:rsidR="003971D3" w:rsidRPr="00226892" w:rsidRDefault="003971D3" w:rsidP="008A08CF">
            <w:pPr>
              <w:jc w:val="center"/>
              <w:rPr>
                <w:rFonts w:ascii="Arial" w:hAnsi="Arial" w:cs="Arial"/>
                <w:sz w:val="18"/>
                <w:szCs w:val="18"/>
                <w:highlight w:val="yellow"/>
              </w:rPr>
            </w:pPr>
          </w:p>
        </w:tc>
        <w:tc>
          <w:tcPr>
            <w:tcW w:w="848" w:type="pct"/>
            <w:tcBorders>
              <w:top w:val="nil"/>
              <w:left w:val="nil"/>
              <w:bottom w:val="nil"/>
              <w:right w:val="nil"/>
            </w:tcBorders>
            <w:shd w:val="clear" w:color="auto" w:fill="auto"/>
            <w:vAlign w:val="bottom"/>
            <w:hideMark/>
          </w:tcPr>
          <w:p w14:paraId="024EC36A" w14:textId="51792A17" w:rsidR="003971D3" w:rsidRPr="00226892" w:rsidRDefault="003971D3" w:rsidP="008A08CF">
            <w:pPr>
              <w:jc w:val="center"/>
              <w:rPr>
                <w:rFonts w:ascii="Arial" w:hAnsi="Arial" w:cs="Arial"/>
                <w:b/>
                <w:bCs/>
                <w:color w:val="000000"/>
                <w:sz w:val="18"/>
                <w:szCs w:val="18"/>
              </w:rPr>
            </w:pPr>
            <w:r w:rsidRPr="00226892">
              <w:rPr>
                <w:rFonts w:ascii="Arial" w:hAnsi="Arial" w:cs="Arial"/>
                <w:b/>
                <w:bCs/>
                <w:color w:val="000000"/>
                <w:sz w:val="18"/>
                <w:szCs w:val="18"/>
              </w:rPr>
              <w:t xml:space="preserve">31. </w:t>
            </w:r>
            <w:proofErr w:type="spellStart"/>
            <w:r w:rsidRPr="00226892">
              <w:rPr>
                <w:rFonts w:ascii="Arial" w:hAnsi="Arial" w:cs="Arial"/>
                <w:b/>
                <w:bCs/>
                <w:color w:val="000000"/>
                <w:sz w:val="18"/>
                <w:szCs w:val="18"/>
              </w:rPr>
              <w:t>december</w:t>
            </w:r>
            <w:proofErr w:type="spellEnd"/>
            <w:r w:rsidRPr="00226892">
              <w:rPr>
                <w:rFonts w:ascii="Arial" w:hAnsi="Arial" w:cs="Arial"/>
                <w:b/>
                <w:bCs/>
                <w:color w:val="000000"/>
                <w:sz w:val="18"/>
                <w:szCs w:val="18"/>
              </w:rPr>
              <w:t xml:space="preserve"> </w:t>
            </w:r>
            <w:r w:rsidR="00F63A77" w:rsidRPr="00226892">
              <w:rPr>
                <w:rFonts w:ascii="Arial" w:hAnsi="Arial" w:cs="Arial"/>
                <w:b/>
                <w:bCs/>
                <w:color w:val="000000"/>
                <w:sz w:val="18"/>
                <w:szCs w:val="18"/>
              </w:rPr>
              <w:t>2017</w:t>
            </w:r>
          </w:p>
        </w:tc>
        <w:tc>
          <w:tcPr>
            <w:tcW w:w="86" w:type="pct"/>
            <w:tcBorders>
              <w:top w:val="nil"/>
              <w:left w:val="nil"/>
              <w:bottom w:val="nil"/>
              <w:right w:val="nil"/>
            </w:tcBorders>
            <w:shd w:val="clear" w:color="auto" w:fill="auto"/>
            <w:vAlign w:val="bottom"/>
            <w:hideMark/>
          </w:tcPr>
          <w:p w14:paraId="22AB72C1" w14:textId="77777777" w:rsidR="003971D3" w:rsidRPr="00226892" w:rsidRDefault="003971D3" w:rsidP="008A08CF">
            <w:pPr>
              <w:jc w:val="center"/>
              <w:rPr>
                <w:rFonts w:ascii="Arial" w:hAnsi="Arial" w:cs="Arial"/>
                <w:b/>
                <w:bCs/>
                <w:color w:val="000000"/>
                <w:sz w:val="18"/>
                <w:szCs w:val="18"/>
              </w:rPr>
            </w:pPr>
          </w:p>
        </w:tc>
        <w:tc>
          <w:tcPr>
            <w:tcW w:w="852" w:type="pct"/>
            <w:gridSpan w:val="2"/>
            <w:tcBorders>
              <w:top w:val="nil"/>
              <w:left w:val="nil"/>
              <w:bottom w:val="nil"/>
              <w:right w:val="nil"/>
            </w:tcBorders>
            <w:shd w:val="clear" w:color="auto" w:fill="auto"/>
            <w:vAlign w:val="bottom"/>
            <w:hideMark/>
          </w:tcPr>
          <w:p w14:paraId="265E2744" w14:textId="77777777" w:rsidR="003971D3" w:rsidRPr="00226892" w:rsidRDefault="003971D3" w:rsidP="008A08CF">
            <w:pPr>
              <w:jc w:val="center"/>
              <w:rPr>
                <w:rFonts w:ascii="Arial" w:hAnsi="Arial" w:cs="Arial"/>
                <w:sz w:val="18"/>
                <w:szCs w:val="18"/>
              </w:rPr>
            </w:pPr>
          </w:p>
        </w:tc>
      </w:tr>
      <w:tr w:rsidR="003971D3" w:rsidRPr="00226892" w14:paraId="237D81B3" w14:textId="77777777" w:rsidTr="007D76CE">
        <w:trPr>
          <w:trHeight w:val="227"/>
        </w:trPr>
        <w:tc>
          <w:tcPr>
            <w:tcW w:w="1259" w:type="pct"/>
            <w:gridSpan w:val="2"/>
            <w:tcBorders>
              <w:top w:val="nil"/>
              <w:left w:val="nil"/>
              <w:bottom w:val="single" w:sz="4" w:space="0" w:color="auto"/>
              <w:right w:val="nil"/>
            </w:tcBorders>
            <w:shd w:val="clear" w:color="auto" w:fill="auto"/>
            <w:noWrap/>
            <w:vAlign w:val="bottom"/>
            <w:hideMark/>
          </w:tcPr>
          <w:p w14:paraId="15C5D46F" w14:textId="77777777" w:rsidR="003971D3" w:rsidRPr="00226892" w:rsidRDefault="003971D3" w:rsidP="00023A96">
            <w:pPr>
              <w:rPr>
                <w:rFonts w:ascii="Arial" w:hAnsi="Arial" w:cs="Arial"/>
                <w:color w:val="000000"/>
                <w:sz w:val="18"/>
                <w:szCs w:val="18"/>
              </w:rPr>
            </w:pPr>
            <w:r w:rsidRPr="00226892">
              <w:rPr>
                <w:rFonts w:ascii="Arial" w:hAnsi="Arial" w:cs="Arial"/>
                <w:color w:val="000000"/>
                <w:sz w:val="18"/>
                <w:szCs w:val="18"/>
              </w:rPr>
              <w:t> </w:t>
            </w:r>
          </w:p>
        </w:tc>
        <w:tc>
          <w:tcPr>
            <w:tcW w:w="86" w:type="pct"/>
            <w:tcBorders>
              <w:top w:val="nil"/>
              <w:left w:val="nil"/>
              <w:bottom w:val="single" w:sz="4" w:space="0" w:color="auto"/>
              <w:right w:val="nil"/>
            </w:tcBorders>
            <w:shd w:val="clear" w:color="auto" w:fill="auto"/>
            <w:vAlign w:val="bottom"/>
            <w:hideMark/>
          </w:tcPr>
          <w:p w14:paraId="61737047" w14:textId="77777777" w:rsidR="003971D3" w:rsidRPr="00226892" w:rsidRDefault="003971D3" w:rsidP="00023A96">
            <w:pPr>
              <w:rPr>
                <w:rFonts w:ascii="Arial" w:hAnsi="Arial" w:cs="Arial"/>
                <w:color w:val="000000"/>
                <w:sz w:val="18"/>
                <w:szCs w:val="18"/>
              </w:rPr>
            </w:pPr>
            <w:r w:rsidRPr="00226892">
              <w:rPr>
                <w:rFonts w:ascii="Arial" w:hAnsi="Arial" w:cs="Arial"/>
                <w:color w:val="000000"/>
                <w:sz w:val="18"/>
                <w:szCs w:val="18"/>
              </w:rPr>
              <w:t> </w:t>
            </w:r>
          </w:p>
        </w:tc>
        <w:tc>
          <w:tcPr>
            <w:tcW w:w="848" w:type="pct"/>
            <w:gridSpan w:val="2"/>
            <w:tcBorders>
              <w:top w:val="nil"/>
              <w:left w:val="nil"/>
              <w:bottom w:val="single" w:sz="4" w:space="0" w:color="auto"/>
              <w:right w:val="nil"/>
            </w:tcBorders>
            <w:shd w:val="clear" w:color="auto" w:fill="auto"/>
            <w:vAlign w:val="bottom"/>
            <w:hideMark/>
          </w:tcPr>
          <w:p w14:paraId="24A73859" w14:textId="77777777" w:rsidR="003971D3" w:rsidRPr="00226892" w:rsidRDefault="003971D3" w:rsidP="008A08CF">
            <w:pPr>
              <w:jc w:val="center"/>
              <w:rPr>
                <w:rFonts w:ascii="Arial" w:hAnsi="Arial" w:cs="Arial"/>
                <w:b/>
                <w:bCs/>
                <w:color w:val="000000"/>
                <w:sz w:val="18"/>
                <w:szCs w:val="18"/>
              </w:rPr>
            </w:pPr>
            <w:proofErr w:type="spellStart"/>
            <w:r w:rsidRPr="00226892">
              <w:rPr>
                <w:rFonts w:ascii="Arial" w:hAnsi="Arial" w:cs="Arial"/>
                <w:b/>
                <w:bCs/>
                <w:color w:val="000000"/>
                <w:sz w:val="18"/>
                <w:szCs w:val="18"/>
              </w:rPr>
              <w:t>Odložený</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daňový</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záväzok</w:t>
            </w:r>
            <w:proofErr w:type="spellEnd"/>
          </w:p>
        </w:tc>
        <w:tc>
          <w:tcPr>
            <w:tcW w:w="86" w:type="pct"/>
            <w:tcBorders>
              <w:top w:val="nil"/>
              <w:left w:val="nil"/>
              <w:bottom w:val="single" w:sz="4" w:space="0" w:color="auto"/>
              <w:right w:val="nil"/>
            </w:tcBorders>
            <w:shd w:val="clear" w:color="auto" w:fill="auto"/>
            <w:vAlign w:val="bottom"/>
            <w:hideMark/>
          </w:tcPr>
          <w:p w14:paraId="3E297F08" w14:textId="1F4462F1" w:rsidR="003971D3" w:rsidRPr="00226892" w:rsidRDefault="003971D3" w:rsidP="008A08CF">
            <w:pPr>
              <w:jc w:val="center"/>
              <w:rPr>
                <w:rFonts w:ascii="Arial" w:hAnsi="Arial" w:cs="Arial"/>
                <w:b/>
                <w:bCs/>
                <w:i/>
                <w:iCs/>
                <w:color w:val="000000"/>
                <w:sz w:val="18"/>
                <w:szCs w:val="18"/>
              </w:rPr>
            </w:pPr>
          </w:p>
        </w:tc>
        <w:tc>
          <w:tcPr>
            <w:tcW w:w="848" w:type="pct"/>
            <w:gridSpan w:val="2"/>
            <w:tcBorders>
              <w:top w:val="nil"/>
              <w:left w:val="nil"/>
              <w:bottom w:val="single" w:sz="4" w:space="0" w:color="auto"/>
              <w:right w:val="nil"/>
            </w:tcBorders>
            <w:shd w:val="clear" w:color="auto" w:fill="auto"/>
            <w:vAlign w:val="bottom"/>
            <w:hideMark/>
          </w:tcPr>
          <w:p w14:paraId="58FB216F" w14:textId="653ED628" w:rsidR="003971D3" w:rsidRPr="00226892" w:rsidRDefault="003971D3" w:rsidP="008A08CF">
            <w:pPr>
              <w:jc w:val="center"/>
              <w:rPr>
                <w:rFonts w:ascii="Arial" w:hAnsi="Arial" w:cs="Arial"/>
                <w:b/>
                <w:bCs/>
                <w:color w:val="000000"/>
                <w:sz w:val="18"/>
                <w:szCs w:val="18"/>
              </w:rPr>
            </w:pPr>
            <w:proofErr w:type="spellStart"/>
            <w:r w:rsidRPr="00226892">
              <w:rPr>
                <w:rFonts w:ascii="Arial" w:hAnsi="Arial" w:cs="Arial"/>
                <w:b/>
                <w:bCs/>
                <w:color w:val="000000"/>
                <w:sz w:val="18"/>
                <w:szCs w:val="18"/>
              </w:rPr>
              <w:t>Odložená</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daňová</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pohľadávka</w:t>
            </w:r>
            <w:proofErr w:type="spellEnd"/>
          </w:p>
        </w:tc>
        <w:tc>
          <w:tcPr>
            <w:tcW w:w="86" w:type="pct"/>
            <w:gridSpan w:val="2"/>
            <w:tcBorders>
              <w:top w:val="nil"/>
              <w:left w:val="nil"/>
              <w:bottom w:val="single" w:sz="4" w:space="0" w:color="auto"/>
              <w:right w:val="nil"/>
            </w:tcBorders>
            <w:shd w:val="clear" w:color="auto" w:fill="auto"/>
            <w:vAlign w:val="bottom"/>
            <w:hideMark/>
          </w:tcPr>
          <w:p w14:paraId="353E7CC3" w14:textId="36AAAB5A" w:rsidR="003971D3" w:rsidRPr="00226892" w:rsidRDefault="003971D3" w:rsidP="008A08CF">
            <w:pPr>
              <w:jc w:val="center"/>
              <w:rPr>
                <w:rFonts w:ascii="Arial" w:hAnsi="Arial" w:cs="Arial"/>
                <w:b/>
                <w:bCs/>
                <w:i/>
                <w:iCs/>
                <w:color w:val="000000"/>
                <w:sz w:val="18"/>
                <w:szCs w:val="18"/>
              </w:rPr>
            </w:pPr>
          </w:p>
        </w:tc>
        <w:tc>
          <w:tcPr>
            <w:tcW w:w="848" w:type="pct"/>
            <w:tcBorders>
              <w:top w:val="nil"/>
              <w:left w:val="nil"/>
              <w:bottom w:val="single" w:sz="4" w:space="0" w:color="auto"/>
              <w:right w:val="nil"/>
            </w:tcBorders>
            <w:shd w:val="clear" w:color="auto" w:fill="auto"/>
            <w:vAlign w:val="bottom"/>
            <w:hideMark/>
          </w:tcPr>
          <w:p w14:paraId="39450BB9" w14:textId="77777777" w:rsidR="003971D3" w:rsidRPr="00226892" w:rsidRDefault="003971D3" w:rsidP="008A08CF">
            <w:pPr>
              <w:jc w:val="center"/>
              <w:rPr>
                <w:rFonts w:ascii="Arial" w:hAnsi="Arial" w:cs="Arial"/>
                <w:b/>
                <w:bCs/>
                <w:color w:val="000000"/>
                <w:sz w:val="18"/>
                <w:szCs w:val="18"/>
              </w:rPr>
            </w:pPr>
            <w:proofErr w:type="spellStart"/>
            <w:r w:rsidRPr="00226892">
              <w:rPr>
                <w:rFonts w:ascii="Arial" w:hAnsi="Arial" w:cs="Arial"/>
                <w:b/>
                <w:bCs/>
                <w:color w:val="000000"/>
                <w:sz w:val="18"/>
                <w:szCs w:val="18"/>
              </w:rPr>
              <w:t>Odložený</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daňový</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záväzok</w:t>
            </w:r>
            <w:proofErr w:type="spellEnd"/>
          </w:p>
        </w:tc>
        <w:tc>
          <w:tcPr>
            <w:tcW w:w="86" w:type="pct"/>
            <w:tcBorders>
              <w:top w:val="nil"/>
              <w:left w:val="nil"/>
              <w:bottom w:val="single" w:sz="4" w:space="0" w:color="auto"/>
              <w:right w:val="nil"/>
            </w:tcBorders>
            <w:shd w:val="clear" w:color="auto" w:fill="auto"/>
            <w:vAlign w:val="bottom"/>
            <w:hideMark/>
          </w:tcPr>
          <w:p w14:paraId="28DF8B9B" w14:textId="4C7C67F9" w:rsidR="003971D3" w:rsidRPr="00226892" w:rsidRDefault="003971D3" w:rsidP="008A08CF">
            <w:pPr>
              <w:jc w:val="center"/>
              <w:rPr>
                <w:rFonts w:ascii="Arial" w:hAnsi="Arial" w:cs="Arial"/>
                <w:b/>
                <w:bCs/>
                <w:i/>
                <w:iCs/>
                <w:color w:val="000000"/>
                <w:sz w:val="18"/>
                <w:szCs w:val="18"/>
              </w:rPr>
            </w:pPr>
          </w:p>
        </w:tc>
        <w:tc>
          <w:tcPr>
            <w:tcW w:w="852" w:type="pct"/>
            <w:gridSpan w:val="2"/>
            <w:tcBorders>
              <w:top w:val="nil"/>
              <w:left w:val="nil"/>
              <w:bottom w:val="single" w:sz="4" w:space="0" w:color="auto"/>
              <w:right w:val="nil"/>
            </w:tcBorders>
            <w:shd w:val="clear" w:color="auto" w:fill="auto"/>
            <w:vAlign w:val="bottom"/>
            <w:hideMark/>
          </w:tcPr>
          <w:p w14:paraId="22FB7328" w14:textId="2CC11C3B" w:rsidR="003971D3" w:rsidRPr="00226892" w:rsidRDefault="003971D3" w:rsidP="008A08CF">
            <w:pPr>
              <w:jc w:val="center"/>
              <w:rPr>
                <w:rFonts w:ascii="Arial" w:hAnsi="Arial" w:cs="Arial"/>
                <w:b/>
                <w:bCs/>
                <w:color w:val="000000"/>
                <w:sz w:val="18"/>
                <w:szCs w:val="18"/>
              </w:rPr>
            </w:pPr>
            <w:proofErr w:type="spellStart"/>
            <w:r w:rsidRPr="00226892">
              <w:rPr>
                <w:rFonts w:ascii="Arial" w:hAnsi="Arial" w:cs="Arial"/>
                <w:b/>
                <w:bCs/>
                <w:color w:val="000000"/>
                <w:sz w:val="18"/>
                <w:szCs w:val="18"/>
              </w:rPr>
              <w:t>Odložená</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daňová</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pohľadávka</w:t>
            </w:r>
            <w:proofErr w:type="spellEnd"/>
          </w:p>
        </w:tc>
      </w:tr>
      <w:tr w:rsidR="009F2456" w:rsidRPr="00226892" w14:paraId="12B777A6" w14:textId="77777777" w:rsidTr="007D76CE">
        <w:trPr>
          <w:trHeight w:val="227"/>
        </w:trPr>
        <w:tc>
          <w:tcPr>
            <w:tcW w:w="1259" w:type="pct"/>
            <w:gridSpan w:val="2"/>
            <w:tcBorders>
              <w:top w:val="nil"/>
              <w:left w:val="nil"/>
              <w:bottom w:val="nil"/>
              <w:right w:val="nil"/>
            </w:tcBorders>
            <w:shd w:val="clear" w:color="auto" w:fill="auto"/>
            <w:vAlign w:val="bottom"/>
            <w:hideMark/>
          </w:tcPr>
          <w:p w14:paraId="20E58466" w14:textId="77777777" w:rsidR="009F2456" w:rsidRPr="00226892" w:rsidRDefault="009F2456" w:rsidP="009F2456">
            <w:pPr>
              <w:rPr>
                <w:rFonts w:ascii="Arial" w:hAnsi="Arial" w:cs="Arial"/>
                <w:color w:val="000000"/>
                <w:sz w:val="18"/>
                <w:szCs w:val="18"/>
              </w:rPr>
            </w:pPr>
            <w:proofErr w:type="spellStart"/>
            <w:r w:rsidRPr="00226892">
              <w:rPr>
                <w:rFonts w:ascii="Arial" w:hAnsi="Arial" w:cs="Arial"/>
                <w:color w:val="000000"/>
                <w:sz w:val="18"/>
                <w:szCs w:val="18"/>
              </w:rPr>
              <w:t>Česká</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republika</w:t>
            </w:r>
            <w:proofErr w:type="spellEnd"/>
          </w:p>
        </w:tc>
        <w:tc>
          <w:tcPr>
            <w:tcW w:w="86" w:type="pct"/>
            <w:tcBorders>
              <w:top w:val="nil"/>
              <w:left w:val="nil"/>
              <w:bottom w:val="nil"/>
              <w:right w:val="nil"/>
            </w:tcBorders>
            <w:shd w:val="clear" w:color="auto" w:fill="auto"/>
            <w:vAlign w:val="bottom"/>
            <w:hideMark/>
          </w:tcPr>
          <w:p w14:paraId="201504C3" w14:textId="77777777" w:rsidR="009F2456" w:rsidRPr="00226892" w:rsidRDefault="009F2456" w:rsidP="009F2456">
            <w:pPr>
              <w:rPr>
                <w:rFonts w:ascii="Arial" w:hAnsi="Arial" w:cs="Arial"/>
                <w:color w:val="000000"/>
                <w:sz w:val="18"/>
                <w:szCs w:val="18"/>
              </w:rPr>
            </w:pPr>
          </w:p>
        </w:tc>
        <w:tc>
          <w:tcPr>
            <w:tcW w:w="848" w:type="pct"/>
            <w:gridSpan w:val="2"/>
            <w:tcBorders>
              <w:top w:val="nil"/>
              <w:left w:val="nil"/>
              <w:bottom w:val="nil"/>
              <w:right w:val="nil"/>
            </w:tcBorders>
            <w:shd w:val="clear" w:color="auto" w:fill="auto"/>
            <w:vAlign w:val="bottom"/>
          </w:tcPr>
          <w:p w14:paraId="61648029" w14:textId="3050904B" w:rsidR="009F2456" w:rsidRPr="00226892" w:rsidRDefault="009F2456" w:rsidP="009F2456">
            <w:pPr>
              <w:jc w:val="right"/>
              <w:rPr>
                <w:rFonts w:ascii="Arial" w:hAnsi="Arial" w:cs="Arial"/>
                <w:color w:val="000000"/>
                <w:sz w:val="18"/>
                <w:szCs w:val="18"/>
              </w:rPr>
            </w:pPr>
            <w:r w:rsidRPr="00226892">
              <w:rPr>
                <w:rFonts w:ascii="Arial" w:hAnsi="Arial" w:cs="Arial"/>
                <w:color w:val="000000"/>
                <w:sz w:val="18"/>
                <w:szCs w:val="18"/>
              </w:rPr>
              <w:t>66</w:t>
            </w:r>
          </w:p>
        </w:tc>
        <w:tc>
          <w:tcPr>
            <w:tcW w:w="86" w:type="pct"/>
            <w:tcBorders>
              <w:top w:val="nil"/>
              <w:left w:val="nil"/>
              <w:bottom w:val="nil"/>
              <w:right w:val="nil"/>
            </w:tcBorders>
            <w:shd w:val="clear" w:color="auto" w:fill="auto"/>
            <w:vAlign w:val="bottom"/>
          </w:tcPr>
          <w:p w14:paraId="67957E22" w14:textId="77777777" w:rsidR="009F2456" w:rsidRPr="00226892" w:rsidRDefault="009F2456" w:rsidP="009F2456">
            <w:pPr>
              <w:jc w:val="right"/>
              <w:rPr>
                <w:rFonts w:ascii="Arial" w:hAnsi="Arial" w:cs="Arial"/>
                <w:color w:val="000000"/>
                <w:sz w:val="18"/>
                <w:szCs w:val="18"/>
              </w:rPr>
            </w:pPr>
          </w:p>
        </w:tc>
        <w:tc>
          <w:tcPr>
            <w:tcW w:w="848" w:type="pct"/>
            <w:gridSpan w:val="2"/>
            <w:tcBorders>
              <w:top w:val="nil"/>
              <w:left w:val="nil"/>
              <w:bottom w:val="nil"/>
              <w:right w:val="nil"/>
            </w:tcBorders>
            <w:shd w:val="clear" w:color="auto" w:fill="auto"/>
            <w:vAlign w:val="bottom"/>
          </w:tcPr>
          <w:p w14:paraId="6D14C500" w14:textId="3D6BBB00" w:rsidR="009F2456" w:rsidRPr="00226892" w:rsidRDefault="009F2456" w:rsidP="009F2456">
            <w:pPr>
              <w:jc w:val="right"/>
              <w:rPr>
                <w:rFonts w:ascii="Arial" w:hAnsi="Arial" w:cs="Arial"/>
                <w:color w:val="000000"/>
                <w:sz w:val="18"/>
                <w:szCs w:val="18"/>
              </w:rPr>
            </w:pPr>
            <w:r w:rsidRPr="00226892">
              <w:rPr>
                <w:rFonts w:ascii="Arial" w:hAnsi="Arial" w:cs="Arial"/>
                <w:color w:val="000000"/>
                <w:sz w:val="18"/>
                <w:szCs w:val="18"/>
              </w:rPr>
              <w:t>-</w:t>
            </w:r>
          </w:p>
        </w:tc>
        <w:tc>
          <w:tcPr>
            <w:tcW w:w="86" w:type="pct"/>
            <w:gridSpan w:val="2"/>
            <w:tcBorders>
              <w:top w:val="nil"/>
              <w:left w:val="nil"/>
              <w:bottom w:val="nil"/>
              <w:right w:val="nil"/>
            </w:tcBorders>
            <w:shd w:val="clear" w:color="auto" w:fill="auto"/>
            <w:vAlign w:val="bottom"/>
          </w:tcPr>
          <w:p w14:paraId="50D68B5B" w14:textId="77777777" w:rsidR="009F2456" w:rsidRPr="00226892" w:rsidRDefault="009F2456" w:rsidP="009F2456">
            <w:pPr>
              <w:jc w:val="right"/>
              <w:rPr>
                <w:rFonts w:ascii="Arial" w:hAnsi="Arial" w:cs="Arial"/>
                <w:color w:val="000000"/>
                <w:sz w:val="18"/>
                <w:szCs w:val="18"/>
                <w:highlight w:val="yellow"/>
              </w:rPr>
            </w:pPr>
          </w:p>
        </w:tc>
        <w:tc>
          <w:tcPr>
            <w:tcW w:w="848" w:type="pct"/>
            <w:tcBorders>
              <w:top w:val="nil"/>
              <w:left w:val="nil"/>
              <w:bottom w:val="nil"/>
              <w:right w:val="nil"/>
            </w:tcBorders>
            <w:shd w:val="clear" w:color="auto" w:fill="auto"/>
            <w:vAlign w:val="bottom"/>
          </w:tcPr>
          <w:p w14:paraId="51AD13B9" w14:textId="1DBC6238" w:rsidR="009F2456" w:rsidRPr="00226892" w:rsidRDefault="009F2456" w:rsidP="009F2456">
            <w:pPr>
              <w:jc w:val="right"/>
              <w:rPr>
                <w:rFonts w:ascii="Arial" w:hAnsi="Arial" w:cs="Arial"/>
                <w:color w:val="000000"/>
                <w:sz w:val="18"/>
                <w:szCs w:val="18"/>
              </w:rPr>
            </w:pPr>
            <w:r w:rsidRPr="00226892">
              <w:rPr>
                <w:rFonts w:ascii="Arial" w:hAnsi="Arial" w:cs="Arial"/>
                <w:color w:val="000000"/>
                <w:sz w:val="18"/>
                <w:szCs w:val="18"/>
              </w:rPr>
              <w:t>59</w:t>
            </w:r>
          </w:p>
        </w:tc>
        <w:tc>
          <w:tcPr>
            <w:tcW w:w="86" w:type="pct"/>
            <w:tcBorders>
              <w:top w:val="nil"/>
              <w:left w:val="nil"/>
              <w:bottom w:val="nil"/>
              <w:right w:val="nil"/>
            </w:tcBorders>
            <w:shd w:val="clear" w:color="auto" w:fill="auto"/>
            <w:vAlign w:val="bottom"/>
          </w:tcPr>
          <w:p w14:paraId="77DA8F19" w14:textId="77777777" w:rsidR="009F2456" w:rsidRPr="00226892" w:rsidRDefault="009F2456" w:rsidP="009F2456">
            <w:pPr>
              <w:jc w:val="right"/>
              <w:rPr>
                <w:rFonts w:ascii="Arial" w:hAnsi="Arial" w:cs="Arial"/>
                <w:color w:val="000000"/>
                <w:sz w:val="18"/>
                <w:szCs w:val="18"/>
              </w:rPr>
            </w:pPr>
          </w:p>
        </w:tc>
        <w:tc>
          <w:tcPr>
            <w:tcW w:w="852" w:type="pct"/>
            <w:gridSpan w:val="2"/>
            <w:tcBorders>
              <w:top w:val="nil"/>
              <w:left w:val="nil"/>
              <w:bottom w:val="nil"/>
              <w:right w:val="nil"/>
            </w:tcBorders>
            <w:shd w:val="clear" w:color="auto" w:fill="auto"/>
            <w:vAlign w:val="bottom"/>
          </w:tcPr>
          <w:p w14:paraId="16B0ABB2" w14:textId="7AAC775A" w:rsidR="009F2456" w:rsidRPr="00226892" w:rsidRDefault="009F2456" w:rsidP="009F2456">
            <w:pPr>
              <w:jc w:val="right"/>
              <w:rPr>
                <w:rFonts w:ascii="Arial" w:hAnsi="Arial" w:cs="Arial"/>
                <w:color w:val="000000"/>
                <w:sz w:val="18"/>
                <w:szCs w:val="18"/>
              </w:rPr>
            </w:pPr>
            <w:r w:rsidRPr="00226892">
              <w:rPr>
                <w:rFonts w:ascii="Arial" w:hAnsi="Arial" w:cs="Arial"/>
                <w:color w:val="000000"/>
                <w:sz w:val="18"/>
                <w:szCs w:val="18"/>
              </w:rPr>
              <w:t>-</w:t>
            </w:r>
          </w:p>
        </w:tc>
      </w:tr>
      <w:tr w:rsidR="009F2456" w:rsidRPr="00226892" w14:paraId="020D8DA8" w14:textId="77777777" w:rsidTr="007D76CE">
        <w:trPr>
          <w:trHeight w:val="227"/>
        </w:trPr>
        <w:tc>
          <w:tcPr>
            <w:tcW w:w="1259" w:type="pct"/>
            <w:gridSpan w:val="2"/>
            <w:tcBorders>
              <w:top w:val="nil"/>
              <w:left w:val="nil"/>
              <w:bottom w:val="nil"/>
              <w:right w:val="nil"/>
            </w:tcBorders>
            <w:shd w:val="clear" w:color="auto" w:fill="auto"/>
            <w:vAlign w:val="bottom"/>
          </w:tcPr>
          <w:p w14:paraId="63C561A3" w14:textId="503286D7" w:rsidR="009F2456" w:rsidRPr="00226892" w:rsidRDefault="009F2456" w:rsidP="009F2456">
            <w:pPr>
              <w:rPr>
                <w:rFonts w:ascii="Arial" w:hAnsi="Arial" w:cs="Arial"/>
                <w:color w:val="000000"/>
                <w:sz w:val="18"/>
                <w:szCs w:val="18"/>
              </w:rPr>
            </w:pPr>
            <w:proofErr w:type="spellStart"/>
            <w:r w:rsidRPr="00226892">
              <w:rPr>
                <w:rFonts w:ascii="Arial" w:hAnsi="Arial" w:cs="Arial"/>
                <w:color w:val="000000"/>
                <w:sz w:val="18"/>
                <w:szCs w:val="18"/>
              </w:rPr>
              <w:t>Slovensko</w:t>
            </w:r>
            <w:proofErr w:type="spellEnd"/>
          </w:p>
        </w:tc>
        <w:tc>
          <w:tcPr>
            <w:tcW w:w="86" w:type="pct"/>
            <w:tcBorders>
              <w:top w:val="nil"/>
              <w:left w:val="nil"/>
              <w:bottom w:val="nil"/>
              <w:right w:val="nil"/>
            </w:tcBorders>
            <w:shd w:val="clear" w:color="auto" w:fill="auto"/>
            <w:vAlign w:val="bottom"/>
          </w:tcPr>
          <w:p w14:paraId="263FA2C7" w14:textId="77777777" w:rsidR="009F2456" w:rsidRPr="00226892" w:rsidRDefault="009F2456" w:rsidP="009F2456">
            <w:pPr>
              <w:rPr>
                <w:rFonts w:ascii="Arial" w:hAnsi="Arial" w:cs="Arial"/>
                <w:color w:val="000000"/>
                <w:sz w:val="18"/>
                <w:szCs w:val="18"/>
              </w:rPr>
            </w:pPr>
          </w:p>
        </w:tc>
        <w:tc>
          <w:tcPr>
            <w:tcW w:w="848" w:type="pct"/>
            <w:gridSpan w:val="2"/>
            <w:tcBorders>
              <w:top w:val="nil"/>
              <w:left w:val="nil"/>
              <w:bottom w:val="nil"/>
              <w:right w:val="nil"/>
            </w:tcBorders>
            <w:shd w:val="clear" w:color="auto" w:fill="auto"/>
            <w:vAlign w:val="bottom"/>
          </w:tcPr>
          <w:p w14:paraId="725469BB" w14:textId="5F10B112" w:rsidR="009F2456" w:rsidRPr="00226892" w:rsidRDefault="009F2456" w:rsidP="009F2456">
            <w:pPr>
              <w:jc w:val="right"/>
              <w:rPr>
                <w:rFonts w:ascii="Arial" w:hAnsi="Arial" w:cs="Arial"/>
                <w:color w:val="000000"/>
                <w:sz w:val="18"/>
                <w:szCs w:val="18"/>
              </w:rPr>
            </w:pPr>
            <w:r w:rsidRPr="00226892">
              <w:rPr>
                <w:rFonts w:ascii="Arial" w:hAnsi="Arial" w:cs="Arial"/>
                <w:color w:val="000000"/>
                <w:sz w:val="18"/>
                <w:szCs w:val="18"/>
              </w:rPr>
              <w:t xml:space="preserve">1 </w:t>
            </w:r>
            <w:r w:rsidR="00364771" w:rsidRPr="00226892">
              <w:rPr>
                <w:rFonts w:ascii="Arial" w:hAnsi="Arial" w:cs="Arial"/>
                <w:color w:val="000000"/>
                <w:sz w:val="18"/>
                <w:szCs w:val="18"/>
              </w:rPr>
              <w:t>212</w:t>
            </w:r>
          </w:p>
        </w:tc>
        <w:tc>
          <w:tcPr>
            <w:tcW w:w="86" w:type="pct"/>
            <w:tcBorders>
              <w:top w:val="nil"/>
              <w:left w:val="nil"/>
              <w:bottom w:val="nil"/>
              <w:right w:val="nil"/>
            </w:tcBorders>
            <w:shd w:val="clear" w:color="auto" w:fill="auto"/>
            <w:vAlign w:val="bottom"/>
          </w:tcPr>
          <w:p w14:paraId="2B69290A" w14:textId="77777777" w:rsidR="009F2456" w:rsidRPr="00226892" w:rsidRDefault="009F2456" w:rsidP="009F2456">
            <w:pPr>
              <w:jc w:val="right"/>
              <w:rPr>
                <w:rFonts w:ascii="Arial" w:hAnsi="Arial" w:cs="Arial"/>
                <w:color w:val="000000"/>
                <w:sz w:val="18"/>
                <w:szCs w:val="18"/>
              </w:rPr>
            </w:pPr>
          </w:p>
        </w:tc>
        <w:tc>
          <w:tcPr>
            <w:tcW w:w="848" w:type="pct"/>
            <w:gridSpan w:val="2"/>
            <w:tcBorders>
              <w:top w:val="nil"/>
              <w:left w:val="nil"/>
              <w:bottom w:val="nil"/>
              <w:right w:val="nil"/>
            </w:tcBorders>
            <w:shd w:val="clear" w:color="auto" w:fill="auto"/>
            <w:vAlign w:val="bottom"/>
          </w:tcPr>
          <w:p w14:paraId="7C583314" w14:textId="4E75EF95" w:rsidR="009F2456" w:rsidRPr="00226892" w:rsidRDefault="009F2456" w:rsidP="009F2456">
            <w:pPr>
              <w:jc w:val="right"/>
              <w:rPr>
                <w:rFonts w:ascii="Arial" w:hAnsi="Arial" w:cs="Arial"/>
                <w:color w:val="000000"/>
                <w:sz w:val="18"/>
                <w:szCs w:val="18"/>
              </w:rPr>
            </w:pPr>
            <w:r w:rsidRPr="00226892">
              <w:rPr>
                <w:rFonts w:ascii="Arial" w:hAnsi="Arial" w:cs="Arial"/>
                <w:color w:val="000000"/>
                <w:sz w:val="18"/>
                <w:szCs w:val="18"/>
              </w:rPr>
              <w:t>-</w:t>
            </w:r>
          </w:p>
        </w:tc>
        <w:tc>
          <w:tcPr>
            <w:tcW w:w="86" w:type="pct"/>
            <w:gridSpan w:val="2"/>
            <w:tcBorders>
              <w:top w:val="nil"/>
              <w:left w:val="nil"/>
              <w:bottom w:val="nil"/>
              <w:right w:val="nil"/>
            </w:tcBorders>
            <w:shd w:val="clear" w:color="auto" w:fill="auto"/>
            <w:vAlign w:val="bottom"/>
          </w:tcPr>
          <w:p w14:paraId="5EAC8D49" w14:textId="77777777" w:rsidR="009F2456" w:rsidRPr="00226892" w:rsidRDefault="009F2456" w:rsidP="009F2456">
            <w:pPr>
              <w:jc w:val="right"/>
              <w:rPr>
                <w:rFonts w:ascii="Arial" w:hAnsi="Arial" w:cs="Arial"/>
                <w:color w:val="000000"/>
                <w:sz w:val="18"/>
                <w:szCs w:val="18"/>
                <w:highlight w:val="yellow"/>
              </w:rPr>
            </w:pPr>
          </w:p>
        </w:tc>
        <w:tc>
          <w:tcPr>
            <w:tcW w:w="848" w:type="pct"/>
            <w:tcBorders>
              <w:top w:val="nil"/>
              <w:left w:val="nil"/>
              <w:bottom w:val="nil"/>
              <w:right w:val="nil"/>
            </w:tcBorders>
            <w:shd w:val="clear" w:color="auto" w:fill="auto"/>
            <w:vAlign w:val="bottom"/>
          </w:tcPr>
          <w:p w14:paraId="1CB50FA6" w14:textId="1E65D842" w:rsidR="009F2456" w:rsidRPr="00226892" w:rsidRDefault="009F2456" w:rsidP="009F2456">
            <w:pPr>
              <w:jc w:val="right"/>
              <w:rPr>
                <w:rFonts w:ascii="Arial" w:hAnsi="Arial" w:cs="Arial"/>
                <w:color w:val="000000"/>
                <w:sz w:val="18"/>
                <w:szCs w:val="18"/>
              </w:rPr>
            </w:pPr>
            <w:r w:rsidRPr="00226892">
              <w:rPr>
                <w:rFonts w:ascii="Arial" w:hAnsi="Arial" w:cs="Arial"/>
                <w:color w:val="000000"/>
                <w:sz w:val="18"/>
                <w:szCs w:val="18"/>
              </w:rPr>
              <w:t>806</w:t>
            </w:r>
          </w:p>
        </w:tc>
        <w:tc>
          <w:tcPr>
            <w:tcW w:w="86" w:type="pct"/>
            <w:tcBorders>
              <w:top w:val="nil"/>
              <w:left w:val="nil"/>
              <w:bottom w:val="nil"/>
              <w:right w:val="nil"/>
            </w:tcBorders>
            <w:shd w:val="clear" w:color="auto" w:fill="auto"/>
            <w:vAlign w:val="bottom"/>
          </w:tcPr>
          <w:p w14:paraId="69261CE2" w14:textId="77777777" w:rsidR="009F2456" w:rsidRPr="00226892" w:rsidRDefault="009F2456" w:rsidP="009F2456">
            <w:pPr>
              <w:jc w:val="right"/>
              <w:rPr>
                <w:rFonts w:ascii="Arial" w:hAnsi="Arial" w:cs="Arial"/>
                <w:color w:val="000000"/>
                <w:sz w:val="18"/>
                <w:szCs w:val="18"/>
              </w:rPr>
            </w:pPr>
          </w:p>
        </w:tc>
        <w:tc>
          <w:tcPr>
            <w:tcW w:w="852" w:type="pct"/>
            <w:gridSpan w:val="2"/>
            <w:tcBorders>
              <w:top w:val="nil"/>
              <w:left w:val="nil"/>
              <w:bottom w:val="nil"/>
              <w:right w:val="nil"/>
            </w:tcBorders>
            <w:shd w:val="clear" w:color="auto" w:fill="auto"/>
            <w:vAlign w:val="bottom"/>
          </w:tcPr>
          <w:p w14:paraId="762EF22D" w14:textId="456BC1CA" w:rsidR="009F2456" w:rsidRPr="00226892" w:rsidRDefault="009F2456" w:rsidP="009F2456">
            <w:pPr>
              <w:jc w:val="right"/>
              <w:rPr>
                <w:rFonts w:ascii="Arial" w:hAnsi="Arial" w:cs="Arial"/>
                <w:color w:val="000000"/>
                <w:sz w:val="18"/>
                <w:szCs w:val="18"/>
              </w:rPr>
            </w:pPr>
            <w:r w:rsidRPr="00226892">
              <w:rPr>
                <w:rFonts w:ascii="Arial" w:hAnsi="Arial" w:cs="Arial"/>
                <w:color w:val="000000"/>
                <w:sz w:val="18"/>
                <w:szCs w:val="18"/>
              </w:rPr>
              <w:t>-</w:t>
            </w:r>
          </w:p>
        </w:tc>
      </w:tr>
      <w:tr w:rsidR="009F2456" w:rsidRPr="00226892" w14:paraId="5D2414C3" w14:textId="77777777" w:rsidTr="007D76CE">
        <w:trPr>
          <w:trHeight w:val="227"/>
        </w:trPr>
        <w:tc>
          <w:tcPr>
            <w:tcW w:w="1259" w:type="pct"/>
            <w:gridSpan w:val="2"/>
            <w:tcBorders>
              <w:top w:val="nil"/>
              <w:left w:val="nil"/>
              <w:bottom w:val="nil"/>
              <w:right w:val="nil"/>
            </w:tcBorders>
            <w:shd w:val="clear" w:color="auto" w:fill="auto"/>
            <w:vAlign w:val="bottom"/>
            <w:hideMark/>
          </w:tcPr>
          <w:p w14:paraId="5D000952" w14:textId="77777777" w:rsidR="009F2456" w:rsidRPr="00226892" w:rsidRDefault="009F2456" w:rsidP="009F2456">
            <w:pPr>
              <w:rPr>
                <w:rFonts w:ascii="Arial" w:hAnsi="Arial" w:cs="Arial"/>
                <w:b/>
                <w:bCs/>
                <w:color w:val="000000"/>
                <w:sz w:val="18"/>
                <w:szCs w:val="18"/>
              </w:rPr>
            </w:pPr>
            <w:proofErr w:type="spellStart"/>
            <w:r w:rsidRPr="00226892">
              <w:rPr>
                <w:rFonts w:ascii="Arial" w:hAnsi="Arial" w:cs="Arial"/>
                <w:b/>
                <w:bCs/>
                <w:color w:val="000000"/>
                <w:sz w:val="18"/>
                <w:szCs w:val="18"/>
              </w:rPr>
              <w:t>Spolu</w:t>
            </w:r>
            <w:proofErr w:type="spellEnd"/>
          </w:p>
        </w:tc>
        <w:tc>
          <w:tcPr>
            <w:tcW w:w="86" w:type="pct"/>
            <w:tcBorders>
              <w:top w:val="nil"/>
              <w:left w:val="nil"/>
              <w:bottom w:val="nil"/>
              <w:right w:val="nil"/>
            </w:tcBorders>
            <w:shd w:val="clear" w:color="auto" w:fill="auto"/>
            <w:vAlign w:val="bottom"/>
            <w:hideMark/>
          </w:tcPr>
          <w:p w14:paraId="65727DD5" w14:textId="77777777" w:rsidR="009F2456" w:rsidRPr="00226892" w:rsidRDefault="009F2456" w:rsidP="009F2456">
            <w:pPr>
              <w:rPr>
                <w:rFonts w:ascii="Arial" w:hAnsi="Arial" w:cs="Arial"/>
                <w:b/>
                <w:bCs/>
                <w:color w:val="000000"/>
                <w:sz w:val="18"/>
                <w:szCs w:val="18"/>
              </w:rPr>
            </w:pPr>
          </w:p>
        </w:tc>
        <w:tc>
          <w:tcPr>
            <w:tcW w:w="848" w:type="pct"/>
            <w:gridSpan w:val="2"/>
            <w:tcBorders>
              <w:top w:val="single" w:sz="4" w:space="0" w:color="auto"/>
              <w:left w:val="nil"/>
              <w:bottom w:val="double" w:sz="6" w:space="0" w:color="auto"/>
              <w:right w:val="nil"/>
            </w:tcBorders>
            <w:shd w:val="clear" w:color="auto" w:fill="auto"/>
            <w:vAlign w:val="bottom"/>
          </w:tcPr>
          <w:p w14:paraId="74524C90" w14:textId="442611DA" w:rsidR="009F2456" w:rsidRPr="00226892" w:rsidRDefault="009F2456" w:rsidP="009F2456">
            <w:pPr>
              <w:jc w:val="right"/>
              <w:rPr>
                <w:rFonts w:ascii="Arial" w:hAnsi="Arial" w:cs="Arial"/>
                <w:b/>
                <w:bCs/>
                <w:color w:val="000000"/>
                <w:sz w:val="18"/>
                <w:szCs w:val="18"/>
              </w:rPr>
            </w:pPr>
            <w:r w:rsidRPr="00226892">
              <w:rPr>
                <w:rFonts w:ascii="Arial" w:hAnsi="Arial" w:cs="Arial"/>
                <w:b/>
                <w:bCs/>
                <w:color w:val="000000"/>
                <w:sz w:val="18"/>
                <w:szCs w:val="18"/>
              </w:rPr>
              <w:t xml:space="preserve">1 </w:t>
            </w:r>
            <w:r w:rsidR="00364771" w:rsidRPr="00226892">
              <w:rPr>
                <w:rFonts w:ascii="Arial" w:hAnsi="Arial" w:cs="Arial"/>
                <w:b/>
                <w:bCs/>
                <w:color w:val="000000"/>
                <w:sz w:val="18"/>
                <w:szCs w:val="18"/>
              </w:rPr>
              <w:t>278</w:t>
            </w:r>
          </w:p>
        </w:tc>
        <w:tc>
          <w:tcPr>
            <w:tcW w:w="86" w:type="pct"/>
            <w:tcBorders>
              <w:top w:val="nil"/>
              <w:left w:val="nil"/>
              <w:bottom w:val="nil"/>
              <w:right w:val="nil"/>
            </w:tcBorders>
            <w:shd w:val="clear" w:color="auto" w:fill="auto"/>
            <w:vAlign w:val="bottom"/>
          </w:tcPr>
          <w:p w14:paraId="145017A4" w14:textId="77777777" w:rsidR="009F2456" w:rsidRPr="00226892" w:rsidRDefault="009F2456" w:rsidP="009F2456">
            <w:pPr>
              <w:jc w:val="right"/>
              <w:rPr>
                <w:rFonts w:ascii="Arial" w:hAnsi="Arial" w:cs="Arial"/>
                <w:b/>
                <w:bCs/>
                <w:color w:val="000000"/>
                <w:sz w:val="18"/>
                <w:szCs w:val="18"/>
              </w:rPr>
            </w:pPr>
          </w:p>
        </w:tc>
        <w:tc>
          <w:tcPr>
            <w:tcW w:w="848" w:type="pct"/>
            <w:gridSpan w:val="2"/>
            <w:tcBorders>
              <w:top w:val="single" w:sz="4" w:space="0" w:color="auto"/>
              <w:left w:val="nil"/>
              <w:bottom w:val="double" w:sz="6" w:space="0" w:color="auto"/>
              <w:right w:val="nil"/>
            </w:tcBorders>
            <w:shd w:val="clear" w:color="auto" w:fill="auto"/>
            <w:vAlign w:val="bottom"/>
          </w:tcPr>
          <w:p w14:paraId="5FA7B4A2" w14:textId="68F1C11F" w:rsidR="009F2456" w:rsidRPr="00226892" w:rsidRDefault="009F2456" w:rsidP="009F2456">
            <w:pPr>
              <w:jc w:val="right"/>
              <w:rPr>
                <w:rFonts w:ascii="Arial" w:hAnsi="Arial" w:cs="Arial"/>
                <w:b/>
                <w:bCs/>
                <w:color w:val="000000"/>
                <w:sz w:val="18"/>
                <w:szCs w:val="18"/>
              </w:rPr>
            </w:pPr>
            <w:r w:rsidRPr="00226892">
              <w:rPr>
                <w:rFonts w:ascii="Arial" w:hAnsi="Arial" w:cs="Arial"/>
                <w:b/>
                <w:bCs/>
                <w:color w:val="000000"/>
                <w:sz w:val="18"/>
                <w:szCs w:val="18"/>
              </w:rPr>
              <w:t>-</w:t>
            </w:r>
          </w:p>
        </w:tc>
        <w:tc>
          <w:tcPr>
            <w:tcW w:w="86" w:type="pct"/>
            <w:gridSpan w:val="2"/>
            <w:tcBorders>
              <w:top w:val="nil"/>
              <w:left w:val="nil"/>
              <w:bottom w:val="nil"/>
              <w:right w:val="nil"/>
            </w:tcBorders>
            <w:shd w:val="clear" w:color="auto" w:fill="auto"/>
            <w:vAlign w:val="bottom"/>
          </w:tcPr>
          <w:p w14:paraId="3FC9A4AF" w14:textId="77777777" w:rsidR="009F2456" w:rsidRPr="00226892" w:rsidRDefault="009F2456" w:rsidP="009F2456">
            <w:pPr>
              <w:jc w:val="right"/>
              <w:rPr>
                <w:rFonts w:ascii="Arial" w:hAnsi="Arial" w:cs="Arial"/>
                <w:b/>
                <w:bCs/>
                <w:color w:val="000000"/>
                <w:sz w:val="18"/>
                <w:szCs w:val="18"/>
                <w:highlight w:val="yellow"/>
              </w:rPr>
            </w:pPr>
          </w:p>
        </w:tc>
        <w:tc>
          <w:tcPr>
            <w:tcW w:w="848" w:type="pct"/>
            <w:tcBorders>
              <w:top w:val="single" w:sz="4" w:space="0" w:color="auto"/>
              <w:left w:val="nil"/>
              <w:bottom w:val="double" w:sz="6" w:space="0" w:color="auto"/>
              <w:right w:val="nil"/>
            </w:tcBorders>
            <w:shd w:val="clear" w:color="auto" w:fill="auto"/>
            <w:vAlign w:val="bottom"/>
          </w:tcPr>
          <w:p w14:paraId="35BFB4C0" w14:textId="0387A2AE" w:rsidR="009F2456" w:rsidRPr="00226892" w:rsidRDefault="009F2456" w:rsidP="009F2456">
            <w:pPr>
              <w:jc w:val="right"/>
              <w:rPr>
                <w:rFonts w:ascii="Arial" w:hAnsi="Arial" w:cs="Arial"/>
                <w:b/>
                <w:bCs/>
                <w:color w:val="000000"/>
                <w:sz w:val="18"/>
                <w:szCs w:val="18"/>
              </w:rPr>
            </w:pPr>
            <w:r w:rsidRPr="00226892">
              <w:rPr>
                <w:rFonts w:ascii="Arial" w:hAnsi="Arial" w:cs="Arial"/>
                <w:b/>
                <w:bCs/>
                <w:color w:val="000000"/>
                <w:sz w:val="18"/>
                <w:szCs w:val="18"/>
              </w:rPr>
              <w:t>865</w:t>
            </w:r>
          </w:p>
        </w:tc>
        <w:tc>
          <w:tcPr>
            <w:tcW w:w="86" w:type="pct"/>
            <w:tcBorders>
              <w:top w:val="nil"/>
              <w:left w:val="nil"/>
              <w:bottom w:val="nil"/>
              <w:right w:val="nil"/>
            </w:tcBorders>
            <w:shd w:val="clear" w:color="auto" w:fill="auto"/>
            <w:vAlign w:val="bottom"/>
          </w:tcPr>
          <w:p w14:paraId="1686082A" w14:textId="77777777" w:rsidR="009F2456" w:rsidRPr="00226892" w:rsidRDefault="009F2456" w:rsidP="009F2456">
            <w:pPr>
              <w:jc w:val="right"/>
              <w:rPr>
                <w:rFonts w:ascii="Arial" w:hAnsi="Arial" w:cs="Arial"/>
                <w:b/>
                <w:bCs/>
                <w:color w:val="000000"/>
                <w:sz w:val="18"/>
                <w:szCs w:val="18"/>
              </w:rPr>
            </w:pPr>
          </w:p>
        </w:tc>
        <w:tc>
          <w:tcPr>
            <w:tcW w:w="852" w:type="pct"/>
            <w:gridSpan w:val="2"/>
            <w:tcBorders>
              <w:top w:val="single" w:sz="4" w:space="0" w:color="auto"/>
              <w:left w:val="nil"/>
              <w:bottom w:val="double" w:sz="6" w:space="0" w:color="auto"/>
              <w:right w:val="nil"/>
            </w:tcBorders>
            <w:shd w:val="clear" w:color="auto" w:fill="auto"/>
            <w:vAlign w:val="bottom"/>
          </w:tcPr>
          <w:p w14:paraId="2EF3E1A4" w14:textId="51F6333B" w:rsidR="009F2456" w:rsidRPr="00226892" w:rsidRDefault="009F2456" w:rsidP="009F2456">
            <w:pPr>
              <w:jc w:val="right"/>
              <w:rPr>
                <w:rFonts w:ascii="Arial" w:hAnsi="Arial" w:cs="Arial"/>
                <w:b/>
                <w:bCs/>
                <w:color w:val="000000"/>
                <w:sz w:val="18"/>
                <w:szCs w:val="18"/>
              </w:rPr>
            </w:pPr>
            <w:r w:rsidRPr="00226892">
              <w:rPr>
                <w:rFonts w:ascii="Arial" w:hAnsi="Arial" w:cs="Arial"/>
                <w:b/>
                <w:bCs/>
                <w:color w:val="000000"/>
                <w:sz w:val="18"/>
                <w:szCs w:val="18"/>
              </w:rPr>
              <w:t>-</w:t>
            </w:r>
          </w:p>
        </w:tc>
      </w:tr>
      <w:tr w:rsidR="001D0341" w:rsidRPr="00226892" w14:paraId="01FC3010" w14:textId="77777777" w:rsidTr="007D76CE">
        <w:trPr>
          <w:gridAfter w:val="1"/>
          <w:wAfter w:w="33" w:type="pct"/>
          <w:trHeight w:val="227"/>
        </w:trPr>
        <w:tc>
          <w:tcPr>
            <w:tcW w:w="1254" w:type="pct"/>
            <w:tcBorders>
              <w:top w:val="nil"/>
              <w:left w:val="nil"/>
              <w:bottom w:val="nil"/>
              <w:right w:val="nil"/>
            </w:tcBorders>
            <w:shd w:val="clear" w:color="auto" w:fill="auto"/>
            <w:noWrap/>
            <w:vAlign w:val="bottom"/>
          </w:tcPr>
          <w:p w14:paraId="4C3D61EB" w14:textId="77777777" w:rsidR="001D0341" w:rsidRPr="00226892" w:rsidRDefault="001D0341" w:rsidP="001D0341">
            <w:pPr>
              <w:suppressAutoHyphens/>
              <w:rPr>
                <w:rFonts w:ascii="Arial" w:eastAsia="Times New Roman" w:hAnsi="Arial" w:cs="Arial"/>
                <w:sz w:val="18"/>
                <w:szCs w:val="18"/>
                <w:lang w:val="sk-SK" w:eastAsia="sk-SK"/>
              </w:rPr>
            </w:pPr>
          </w:p>
        </w:tc>
        <w:tc>
          <w:tcPr>
            <w:tcW w:w="103" w:type="pct"/>
            <w:gridSpan w:val="3"/>
            <w:tcBorders>
              <w:top w:val="nil"/>
              <w:left w:val="nil"/>
              <w:bottom w:val="nil"/>
              <w:right w:val="nil"/>
            </w:tcBorders>
            <w:shd w:val="clear" w:color="auto" w:fill="auto"/>
            <w:vAlign w:val="bottom"/>
          </w:tcPr>
          <w:p w14:paraId="69E24F7B" w14:textId="77777777" w:rsidR="001D0341" w:rsidRPr="00226892" w:rsidRDefault="001D0341" w:rsidP="001D0341">
            <w:pPr>
              <w:suppressAutoHyphens/>
              <w:rPr>
                <w:rFonts w:ascii="Arial" w:eastAsia="Times New Roman" w:hAnsi="Arial" w:cs="Arial"/>
                <w:sz w:val="18"/>
                <w:szCs w:val="18"/>
                <w:lang w:val="sk-SK" w:eastAsia="sk-SK"/>
              </w:rPr>
            </w:pPr>
          </w:p>
        </w:tc>
        <w:tc>
          <w:tcPr>
            <w:tcW w:w="1762" w:type="pct"/>
            <w:gridSpan w:val="3"/>
            <w:tcBorders>
              <w:top w:val="nil"/>
              <w:left w:val="nil"/>
              <w:bottom w:val="nil"/>
              <w:right w:val="nil"/>
            </w:tcBorders>
            <w:shd w:val="clear" w:color="auto" w:fill="auto"/>
            <w:vAlign w:val="bottom"/>
          </w:tcPr>
          <w:p w14:paraId="2A101D18" w14:textId="77777777" w:rsidR="001D0341" w:rsidRPr="00226892" w:rsidRDefault="001D0341" w:rsidP="001D0341">
            <w:pPr>
              <w:suppressAutoHyphens/>
              <w:jc w:val="center"/>
              <w:rPr>
                <w:rFonts w:ascii="Arial" w:eastAsia="Times New Roman" w:hAnsi="Arial" w:cs="Arial"/>
                <w:sz w:val="18"/>
                <w:szCs w:val="18"/>
                <w:lang w:val="sk-SK" w:eastAsia="sk-SK"/>
              </w:rPr>
            </w:pPr>
          </w:p>
        </w:tc>
        <w:tc>
          <w:tcPr>
            <w:tcW w:w="85" w:type="pct"/>
            <w:gridSpan w:val="2"/>
            <w:tcBorders>
              <w:top w:val="nil"/>
              <w:left w:val="nil"/>
              <w:bottom w:val="nil"/>
              <w:right w:val="nil"/>
            </w:tcBorders>
            <w:shd w:val="clear" w:color="auto" w:fill="auto"/>
            <w:vAlign w:val="bottom"/>
          </w:tcPr>
          <w:p w14:paraId="4738DB6A" w14:textId="77777777" w:rsidR="001D0341" w:rsidRPr="00226892" w:rsidRDefault="001D0341" w:rsidP="001D0341">
            <w:pPr>
              <w:suppressAutoHyphens/>
              <w:jc w:val="center"/>
              <w:rPr>
                <w:rFonts w:ascii="Arial" w:eastAsia="Times New Roman" w:hAnsi="Arial" w:cs="Arial"/>
                <w:sz w:val="18"/>
                <w:szCs w:val="18"/>
                <w:lang w:val="sk-SK" w:eastAsia="sk-SK"/>
              </w:rPr>
            </w:pPr>
          </w:p>
        </w:tc>
        <w:tc>
          <w:tcPr>
            <w:tcW w:w="1764" w:type="pct"/>
            <w:gridSpan w:val="4"/>
            <w:tcBorders>
              <w:top w:val="nil"/>
              <w:left w:val="nil"/>
              <w:bottom w:val="nil"/>
              <w:right w:val="nil"/>
            </w:tcBorders>
            <w:shd w:val="clear" w:color="auto" w:fill="auto"/>
            <w:vAlign w:val="bottom"/>
          </w:tcPr>
          <w:p w14:paraId="6B464619" w14:textId="77777777" w:rsidR="001D0341" w:rsidRPr="00226892" w:rsidRDefault="001D0341" w:rsidP="001D0341">
            <w:pPr>
              <w:suppressAutoHyphens/>
              <w:jc w:val="center"/>
              <w:rPr>
                <w:rFonts w:ascii="Arial" w:eastAsia="Times New Roman" w:hAnsi="Arial" w:cs="Arial"/>
                <w:sz w:val="18"/>
                <w:szCs w:val="18"/>
                <w:lang w:val="sk-SK" w:eastAsia="sk-SK"/>
              </w:rPr>
            </w:pPr>
          </w:p>
        </w:tc>
      </w:tr>
    </w:tbl>
    <w:p w14:paraId="43221CC2" w14:textId="77777777" w:rsidR="008A08CF" w:rsidRPr="00226892" w:rsidRDefault="008A08CF" w:rsidP="00235CDF">
      <w:pPr>
        <w:pStyle w:val="odst"/>
      </w:pPr>
    </w:p>
    <w:p w14:paraId="38E74E26" w14:textId="0764DA94" w:rsidR="003971D3" w:rsidRPr="00226892" w:rsidRDefault="003971D3" w:rsidP="00235CDF">
      <w:pPr>
        <w:pStyle w:val="odst"/>
      </w:pPr>
      <w:r w:rsidRPr="00226892">
        <w:t>Pohyb odloženej dane je nasledujúci:</w:t>
      </w:r>
    </w:p>
    <w:p w14:paraId="1CADD489" w14:textId="77777777" w:rsidR="003971D3" w:rsidRPr="00226892" w:rsidDel="00E10876" w:rsidRDefault="003971D3" w:rsidP="003971D3">
      <w:pPr>
        <w:suppressAutoHyphens/>
        <w:jc w:val="both"/>
        <w:rPr>
          <w:rFonts w:ascii="Arial" w:hAnsi="Arial" w:cs="Arial"/>
          <w:szCs w:val="18"/>
          <w:highlight w:val="yellow"/>
        </w:rPr>
      </w:pPr>
      <w:r w:rsidRPr="00226892">
        <w:rPr>
          <w:rFonts w:ascii="Arial" w:hAnsi="Arial" w:cs="Arial"/>
          <w:sz w:val="18"/>
          <w:szCs w:val="18"/>
          <w:highlight w:val="yellow"/>
        </w:rPr>
        <w:t xml:space="preserve"> </w:t>
      </w:r>
    </w:p>
    <w:tbl>
      <w:tblPr>
        <w:tblW w:w="5000" w:type="pct"/>
        <w:tblCellMar>
          <w:left w:w="70" w:type="dxa"/>
          <w:right w:w="70" w:type="dxa"/>
        </w:tblCellMar>
        <w:tblLook w:val="04A0" w:firstRow="1" w:lastRow="0" w:firstColumn="1" w:lastColumn="0" w:noHBand="0" w:noVBand="1"/>
      </w:tblPr>
      <w:tblGrid>
        <w:gridCol w:w="6738"/>
        <w:gridCol w:w="1322"/>
        <w:gridCol w:w="199"/>
        <w:gridCol w:w="1380"/>
      </w:tblGrid>
      <w:tr w:rsidR="0036374F" w:rsidRPr="00226892" w14:paraId="41F43038" w14:textId="77777777" w:rsidTr="007D76CE">
        <w:trPr>
          <w:trHeight w:val="227"/>
        </w:trPr>
        <w:tc>
          <w:tcPr>
            <w:tcW w:w="3495" w:type="pct"/>
            <w:tcBorders>
              <w:top w:val="nil"/>
              <w:left w:val="nil"/>
              <w:bottom w:val="single" w:sz="4" w:space="0" w:color="auto"/>
              <w:right w:val="nil"/>
            </w:tcBorders>
            <w:shd w:val="clear" w:color="auto" w:fill="auto"/>
            <w:noWrap/>
            <w:vAlign w:val="bottom"/>
            <w:hideMark/>
          </w:tcPr>
          <w:p w14:paraId="53BF3F3F" w14:textId="77777777" w:rsidR="0036374F" w:rsidRPr="00226892" w:rsidRDefault="0036374F" w:rsidP="00023A96">
            <w:pPr>
              <w:rPr>
                <w:rFonts w:ascii="Arial" w:hAnsi="Arial" w:cs="Arial"/>
                <w:color w:val="000000"/>
                <w:sz w:val="18"/>
                <w:szCs w:val="18"/>
                <w:lang w:val="sk-SK" w:eastAsia="sk-SK"/>
              </w:rPr>
            </w:pPr>
            <w:r w:rsidRPr="00226892">
              <w:rPr>
                <w:rFonts w:ascii="Arial" w:hAnsi="Arial" w:cs="Arial"/>
                <w:color w:val="000000"/>
                <w:sz w:val="18"/>
                <w:szCs w:val="18"/>
              </w:rPr>
              <w:t> </w:t>
            </w:r>
          </w:p>
        </w:tc>
        <w:tc>
          <w:tcPr>
            <w:tcW w:w="686" w:type="pct"/>
            <w:tcBorders>
              <w:top w:val="nil"/>
              <w:left w:val="nil"/>
              <w:bottom w:val="single" w:sz="4" w:space="0" w:color="auto"/>
              <w:right w:val="nil"/>
            </w:tcBorders>
            <w:shd w:val="clear" w:color="auto" w:fill="auto"/>
            <w:vAlign w:val="bottom"/>
            <w:hideMark/>
          </w:tcPr>
          <w:p w14:paraId="33AFB857" w14:textId="05788F75" w:rsidR="0036374F" w:rsidRPr="00226892" w:rsidRDefault="00FD3AC5" w:rsidP="00023A96">
            <w:pPr>
              <w:jc w:val="center"/>
              <w:rPr>
                <w:rFonts w:ascii="Arial" w:hAnsi="Arial" w:cs="Arial"/>
                <w:b/>
                <w:bCs/>
                <w:color w:val="000000"/>
                <w:sz w:val="18"/>
                <w:szCs w:val="18"/>
              </w:rPr>
            </w:pPr>
            <w:r w:rsidRPr="00226892">
              <w:rPr>
                <w:rFonts w:ascii="Arial" w:hAnsi="Arial" w:cs="Arial"/>
                <w:b/>
                <w:bCs/>
                <w:color w:val="000000"/>
                <w:sz w:val="18"/>
                <w:szCs w:val="18"/>
              </w:rPr>
              <w:t>2018</w:t>
            </w:r>
          </w:p>
        </w:tc>
        <w:tc>
          <w:tcPr>
            <w:tcW w:w="103" w:type="pct"/>
            <w:tcBorders>
              <w:top w:val="nil"/>
              <w:left w:val="nil"/>
              <w:bottom w:val="single" w:sz="4" w:space="0" w:color="auto"/>
              <w:right w:val="nil"/>
            </w:tcBorders>
            <w:shd w:val="clear" w:color="auto" w:fill="auto"/>
            <w:vAlign w:val="bottom"/>
            <w:hideMark/>
          </w:tcPr>
          <w:p w14:paraId="773FAFE7" w14:textId="77777777" w:rsidR="0036374F" w:rsidRPr="00226892" w:rsidRDefault="0036374F" w:rsidP="00023A96">
            <w:pPr>
              <w:rPr>
                <w:rFonts w:ascii="Arial" w:hAnsi="Arial" w:cs="Arial"/>
                <w:b/>
                <w:bCs/>
                <w:color w:val="000000"/>
                <w:sz w:val="18"/>
                <w:szCs w:val="18"/>
              </w:rPr>
            </w:pPr>
            <w:r w:rsidRPr="00226892">
              <w:rPr>
                <w:rFonts w:ascii="Arial" w:hAnsi="Arial" w:cs="Arial"/>
                <w:b/>
                <w:bCs/>
                <w:color w:val="000000"/>
                <w:sz w:val="18"/>
                <w:szCs w:val="18"/>
              </w:rPr>
              <w:t> </w:t>
            </w:r>
          </w:p>
        </w:tc>
        <w:tc>
          <w:tcPr>
            <w:tcW w:w="716" w:type="pct"/>
            <w:tcBorders>
              <w:top w:val="nil"/>
              <w:left w:val="nil"/>
              <w:bottom w:val="single" w:sz="4" w:space="0" w:color="auto"/>
              <w:right w:val="nil"/>
            </w:tcBorders>
            <w:shd w:val="clear" w:color="auto" w:fill="auto"/>
            <w:vAlign w:val="bottom"/>
            <w:hideMark/>
          </w:tcPr>
          <w:p w14:paraId="614C2A00" w14:textId="7D242F5A" w:rsidR="0036374F" w:rsidRPr="00226892" w:rsidRDefault="00F63A77" w:rsidP="00023A96">
            <w:pPr>
              <w:jc w:val="center"/>
              <w:rPr>
                <w:rFonts w:ascii="Arial" w:hAnsi="Arial" w:cs="Arial"/>
                <w:b/>
                <w:bCs/>
                <w:color w:val="000000"/>
                <w:sz w:val="18"/>
                <w:szCs w:val="18"/>
              </w:rPr>
            </w:pPr>
            <w:r w:rsidRPr="00226892">
              <w:rPr>
                <w:rFonts w:ascii="Arial" w:hAnsi="Arial" w:cs="Arial"/>
                <w:b/>
                <w:bCs/>
                <w:color w:val="000000"/>
                <w:sz w:val="18"/>
                <w:szCs w:val="18"/>
              </w:rPr>
              <w:t>2017</w:t>
            </w:r>
          </w:p>
        </w:tc>
      </w:tr>
      <w:tr w:rsidR="009F2456" w:rsidRPr="00226892" w14:paraId="04079A42" w14:textId="77777777" w:rsidTr="007D76CE">
        <w:trPr>
          <w:trHeight w:val="227"/>
        </w:trPr>
        <w:tc>
          <w:tcPr>
            <w:tcW w:w="3495" w:type="pct"/>
            <w:tcBorders>
              <w:top w:val="nil"/>
              <w:left w:val="nil"/>
              <w:bottom w:val="nil"/>
              <w:right w:val="nil"/>
            </w:tcBorders>
            <w:shd w:val="clear" w:color="auto" w:fill="auto"/>
            <w:vAlign w:val="bottom"/>
            <w:hideMark/>
          </w:tcPr>
          <w:p w14:paraId="4FEAB59A" w14:textId="77777777" w:rsidR="009F2456" w:rsidRPr="00226892" w:rsidRDefault="009F2456" w:rsidP="009F2456">
            <w:pPr>
              <w:rPr>
                <w:rFonts w:ascii="Arial" w:hAnsi="Arial" w:cs="Arial"/>
                <w:b/>
                <w:bCs/>
                <w:color w:val="000000"/>
                <w:sz w:val="18"/>
                <w:szCs w:val="18"/>
              </w:rPr>
            </w:pPr>
            <w:proofErr w:type="spellStart"/>
            <w:r w:rsidRPr="00226892">
              <w:rPr>
                <w:rFonts w:ascii="Arial" w:hAnsi="Arial" w:cs="Arial"/>
                <w:b/>
                <w:bCs/>
                <w:color w:val="000000"/>
                <w:sz w:val="18"/>
                <w:szCs w:val="18"/>
              </w:rPr>
              <w:t>Stav</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na</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začiatku</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roka</w:t>
            </w:r>
            <w:proofErr w:type="spellEnd"/>
          </w:p>
        </w:tc>
        <w:tc>
          <w:tcPr>
            <w:tcW w:w="686" w:type="pct"/>
            <w:tcBorders>
              <w:top w:val="single" w:sz="4" w:space="0" w:color="auto"/>
              <w:left w:val="nil"/>
              <w:bottom w:val="nil"/>
              <w:right w:val="nil"/>
            </w:tcBorders>
            <w:shd w:val="clear" w:color="auto" w:fill="auto"/>
            <w:vAlign w:val="bottom"/>
          </w:tcPr>
          <w:p w14:paraId="5CFBF5F3" w14:textId="70398435" w:rsidR="009F2456" w:rsidRPr="00226892" w:rsidRDefault="009F2456" w:rsidP="009F2456">
            <w:pPr>
              <w:jc w:val="right"/>
              <w:rPr>
                <w:rFonts w:ascii="Arial" w:hAnsi="Arial" w:cs="Arial"/>
                <w:color w:val="000000"/>
                <w:sz w:val="18"/>
                <w:szCs w:val="18"/>
              </w:rPr>
            </w:pPr>
            <w:r w:rsidRPr="00226892">
              <w:rPr>
                <w:rFonts w:ascii="Arial" w:hAnsi="Arial" w:cs="Arial"/>
                <w:color w:val="000000"/>
                <w:sz w:val="18"/>
                <w:szCs w:val="18"/>
              </w:rPr>
              <w:t>865</w:t>
            </w:r>
          </w:p>
        </w:tc>
        <w:tc>
          <w:tcPr>
            <w:tcW w:w="103" w:type="pct"/>
            <w:tcBorders>
              <w:top w:val="single" w:sz="4" w:space="0" w:color="auto"/>
              <w:left w:val="nil"/>
              <w:bottom w:val="nil"/>
              <w:right w:val="nil"/>
            </w:tcBorders>
            <w:shd w:val="clear" w:color="auto" w:fill="auto"/>
            <w:vAlign w:val="bottom"/>
          </w:tcPr>
          <w:p w14:paraId="49175E97" w14:textId="77777777" w:rsidR="009F2456" w:rsidRPr="00226892" w:rsidRDefault="009F2456" w:rsidP="009F2456">
            <w:pPr>
              <w:jc w:val="right"/>
              <w:rPr>
                <w:rFonts w:ascii="Arial" w:hAnsi="Arial" w:cs="Arial"/>
                <w:color w:val="000000"/>
                <w:sz w:val="18"/>
                <w:szCs w:val="18"/>
              </w:rPr>
            </w:pPr>
          </w:p>
        </w:tc>
        <w:tc>
          <w:tcPr>
            <w:tcW w:w="716" w:type="pct"/>
            <w:tcBorders>
              <w:top w:val="single" w:sz="4" w:space="0" w:color="auto"/>
              <w:left w:val="nil"/>
              <w:bottom w:val="nil"/>
              <w:right w:val="nil"/>
            </w:tcBorders>
            <w:shd w:val="clear" w:color="auto" w:fill="auto"/>
            <w:vAlign w:val="bottom"/>
          </w:tcPr>
          <w:p w14:paraId="2094B59A" w14:textId="6991D079" w:rsidR="009F2456" w:rsidRPr="00226892" w:rsidRDefault="009F2456" w:rsidP="009F2456">
            <w:pPr>
              <w:jc w:val="right"/>
              <w:rPr>
                <w:rFonts w:ascii="Arial" w:hAnsi="Arial" w:cs="Arial"/>
                <w:color w:val="000000"/>
                <w:sz w:val="18"/>
                <w:szCs w:val="18"/>
              </w:rPr>
            </w:pPr>
            <w:r w:rsidRPr="00226892">
              <w:rPr>
                <w:rFonts w:ascii="Arial" w:hAnsi="Arial" w:cs="Arial"/>
                <w:color w:val="000000"/>
                <w:sz w:val="18"/>
                <w:szCs w:val="18"/>
              </w:rPr>
              <w:t>303</w:t>
            </w:r>
          </w:p>
        </w:tc>
      </w:tr>
      <w:tr w:rsidR="009F2456" w:rsidRPr="00226892" w14:paraId="43C21A1C" w14:textId="77777777" w:rsidTr="007D76CE">
        <w:trPr>
          <w:trHeight w:val="227"/>
        </w:trPr>
        <w:tc>
          <w:tcPr>
            <w:tcW w:w="3495" w:type="pct"/>
            <w:tcBorders>
              <w:top w:val="nil"/>
              <w:left w:val="nil"/>
              <w:bottom w:val="nil"/>
              <w:right w:val="nil"/>
            </w:tcBorders>
            <w:shd w:val="clear" w:color="auto" w:fill="auto"/>
            <w:noWrap/>
            <w:vAlign w:val="bottom"/>
          </w:tcPr>
          <w:p w14:paraId="64F59BE0" w14:textId="1DDA3F62" w:rsidR="009F2456" w:rsidRPr="00226892" w:rsidRDefault="009F2456" w:rsidP="009F2456">
            <w:pPr>
              <w:rPr>
                <w:rFonts w:ascii="Arial" w:hAnsi="Arial" w:cs="Arial"/>
                <w:color w:val="000000"/>
                <w:sz w:val="18"/>
                <w:szCs w:val="18"/>
              </w:rPr>
            </w:pPr>
            <w:proofErr w:type="spellStart"/>
            <w:r w:rsidRPr="00226892">
              <w:rPr>
                <w:rFonts w:ascii="Arial" w:hAnsi="Arial" w:cs="Arial"/>
                <w:color w:val="000000"/>
                <w:sz w:val="18"/>
                <w:szCs w:val="18"/>
              </w:rPr>
              <w:t>Zmeny</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vykázané</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cez</w:t>
            </w:r>
            <w:proofErr w:type="spellEnd"/>
            <w:r w:rsidRPr="00226892">
              <w:rPr>
                <w:rFonts w:ascii="Arial" w:hAnsi="Arial" w:cs="Arial"/>
                <w:color w:val="000000"/>
                <w:sz w:val="18"/>
                <w:szCs w:val="18"/>
              </w:rPr>
              <w:t xml:space="preserve"> v</w:t>
            </w:r>
            <w:r w:rsidRPr="00226892">
              <w:rPr>
                <w:rFonts w:ascii="Arial" w:hAnsi="Arial" w:cs="Arial"/>
                <w:color w:val="000000"/>
                <w:sz w:val="18"/>
                <w:szCs w:val="18"/>
                <w:lang w:val="sk-SK"/>
              </w:rPr>
              <w:t>ý</w:t>
            </w:r>
            <w:proofErr w:type="spellStart"/>
            <w:r w:rsidRPr="00226892">
              <w:rPr>
                <w:rFonts w:ascii="Arial" w:hAnsi="Arial" w:cs="Arial"/>
                <w:color w:val="000000"/>
                <w:sz w:val="18"/>
                <w:szCs w:val="18"/>
              </w:rPr>
              <w:t>kaz</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súhrnných</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ziskov</w:t>
            </w:r>
            <w:proofErr w:type="spellEnd"/>
            <w:r w:rsidRPr="00226892">
              <w:rPr>
                <w:rFonts w:ascii="Arial" w:hAnsi="Arial" w:cs="Arial"/>
                <w:color w:val="000000"/>
                <w:sz w:val="18"/>
                <w:szCs w:val="18"/>
              </w:rPr>
              <w:t xml:space="preserve"> a </w:t>
            </w:r>
            <w:proofErr w:type="spellStart"/>
            <w:r w:rsidRPr="00226892">
              <w:rPr>
                <w:rFonts w:ascii="Arial" w:hAnsi="Arial" w:cs="Arial"/>
                <w:color w:val="000000"/>
                <w:sz w:val="18"/>
                <w:szCs w:val="18"/>
              </w:rPr>
              <w:t>strát</w:t>
            </w:r>
            <w:proofErr w:type="spellEnd"/>
            <w:r w:rsidR="005020AA" w:rsidRPr="00226892">
              <w:rPr>
                <w:rFonts w:ascii="Arial" w:hAnsi="Arial" w:cs="Arial"/>
                <w:color w:val="000000"/>
                <w:sz w:val="18"/>
                <w:szCs w:val="18"/>
              </w:rPr>
              <w:t xml:space="preserve"> (</w:t>
            </w:r>
            <w:proofErr w:type="spellStart"/>
            <w:r w:rsidR="005020AA" w:rsidRPr="00226892">
              <w:rPr>
                <w:rFonts w:ascii="Arial" w:hAnsi="Arial" w:cs="Arial"/>
                <w:color w:val="000000"/>
                <w:sz w:val="18"/>
                <w:szCs w:val="18"/>
              </w:rPr>
              <w:t>Pozn</w:t>
            </w:r>
            <w:proofErr w:type="spellEnd"/>
            <w:r w:rsidR="005020AA" w:rsidRPr="00226892">
              <w:rPr>
                <w:rFonts w:ascii="Arial" w:hAnsi="Arial" w:cs="Arial"/>
                <w:color w:val="000000"/>
                <w:sz w:val="18"/>
                <w:szCs w:val="18"/>
              </w:rPr>
              <w:t>. 25)</w:t>
            </w:r>
          </w:p>
        </w:tc>
        <w:tc>
          <w:tcPr>
            <w:tcW w:w="686" w:type="pct"/>
            <w:tcBorders>
              <w:top w:val="nil"/>
              <w:left w:val="nil"/>
              <w:bottom w:val="nil"/>
              <w:right w:val="nil"/>
            </w:tcBorders>
            <w:shd w:val="clear" w:color="auto" w:fill="auto"/>
            <w:vAlign w:val="bottom"/>
          </w:tcPr>
          <w:p w14:paraId="1EE28195" w14:textId="19F7AF77" w:rsidR="009F2456" w:rsidRPr="00226892" w:rsidRDefault="00364771" w:rsidP="009F2456">
            <w:pPr>
              <w:jc w:val="right"/>
              <w:rPr>
                <w:rFonts w:ascii="Arial" w:hAnsi="Arial" w:cs="Arial"/>
                <w:color w:val="000000"/>
                <w:sz w:val="18"/>
                <w:szCs w:val="18"/>
              </w:rPr>
            </w:pPr>
            <w:r w:rsidRPr="00226892">
              <w:rPr>
                <w:rFonts w:ascii="Arial" w:hAnsi="Arial" w:cs="Arial"/>
                <w:color w:val="000000"/>
                <w:sz w:val="18"/>
                <w:szCs w:val="18"/>
              </w:rPr>
              <w:t>413</w:t>
            </w:r>
          </w:p>
        </w:tc>
        <w:tc>
          <w:tcPr>
            <w:tcW w:w="103" w:type="pct"/>
            <w:tcBorders>
              <w:top w:val="nil"/>
              <w:left w:val="nil"/>
              <w:bottom w:val="nil"/>
              <w:right w:val="nil"/>
            </w:tcBorders>
            <w:shd w:val="clear" w:color="auto" w:fill="auto"/>
            <w:vAlign w:val="bottom"/>
          </w:tcPr>
          <w:p w14:paraId="7291F1F0" w14:textId="77777777" w:rsidR="009F2456" w:rsidRPr="00226892" w:rsidRDefault="009F2456" w:rsidP="009F2456">
            <w:pPr>
              <w:jc w:val="right"/>
              <w:rPr>
                <w:rFonts w:ascii="Arial" w:hAnsi="Arial" w:cs="Arial"/>
                <w:color w:val="000000"/>
                <w:sz w:val="18"/>
                <w:szCs w:val="18"/>
              </w:rPr>
            </w:pPr>
          </w:p>
        </w:tc>
        <w:tc>
          <w:tcPr>
            <w:tcW w:w="716" w:type="pct"/>
            <w:tcBorders>
              <w:top w:val="nil"/>
              <w:left w:val="nil"/>
              <w:bottom w:val="nil"/>
              <w:right w:val="nil"/>
            </w:tcBorders>
            <w:shd w:val="clear" w:color="auto" w:fill="auto"/>
            <w:vAlign w:val="bottom"/>
          </w:tcPr>
          <w:p w14:paraId="63FB88F5" w14:textId="4E132539" w:rsidR="009F2456" w:rsidRPr="00226892" w:rsidRDefault="009F2456" w:rsidP="009F2456">
            <w:pPr>
              <w:jc w:val="right"/>
              <w:rPr>
                <w:rFonts w:ascii="Arial" w:hAnsi="Arial" w:cs="Arial"/>
                <w:color w:val="000000"/>
                <w:sz w:val="18"/>
                <w:szCs w:val="18"/>
              </w:rPr>
            </w:pPr>
            <w:r w:rsidRPr="00226892">
              <w:rPr>
                <w:rFonts w:ascii="Arial" w:hAnsi="Arial" w:cs="Arial"/>
                <w:color w:val="000000"/>
                <w:sz w:val="18"/>
                <w:szCs w:val="18"/>
              </w:rPr>
              <w:t>562</w:t>
            </w:r>
          </w:p>
        </w:tc>
      </w:tr>
      <w:tr w:rsidR="009F2456" w:rsidRPr="00226892" w14:paraId="442919EB" w14:textId="77777777" w:rsidTr="007D76CE">
        <w:trPr>
          <w:trHeight w:val="227"/>
        </w:trPr>
        <w:tc>
          <w:tcPr>
            <w:tcW w:w="3495" w:type="pct"/>
            <w:tcBorders>
              <w:top w:val="nil"/>
              <w:left w:val="nil"/>
              <w:bottom w:val="nil"/>
              <w:right w:val="nil"/>
            </w:tcBorders>
            <w:shd w:val="clear" w:color="auto" w:fill="auto"/>
            <w:vAlign w:val="bottom"/>
            <w:hideMark/>
          </w:tcPr>
          <w:p w14:paraId="08708EB9" w14:textId="77777777" w:rsidR="009F2456" w:rsidRPr="00226892" w:rsidRDefault="009F2456" w:rsidP="009F2456">
            <w:pPr>
              <w:rPr>
                <w:rFonts w:ascii="Arial" w:hAnsi="Arial" w:cs="Arial"/>
                <w:b/>
                <w:bCs/>
                <w:color w:val="000000"/>
                <w:sz w:val="18"/>
                <w:szCs w:val="18"/>
              </w:rPr>
            </w:pPr>
            <w:proofErr w:type="spellStart"/>
            <w:r w:rsidRPr="00226892">
              <w:rPr>
                <w:rFonts w:ascii="Arial" w:hAnsi="Arial" w:cs="Arial"/>
                <w:b/>
                <w:bCs/>
                <w:color w:val="000000"/>
                <w:sz w:val="18"/>
                <w:szCs w:val="18"/>
              </w:rPr>
              <w:t>Stav</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na</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konci</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roka</w:t>
            </w:r>
            <w:proofErr w:type="spellEnd"/>
          </w:p>
        </w:tc>
        <w:tc>
          <w:tcPr>
            <w:tcW w:w="686" w:type="pct"/>
            <w:tcBorders>
              <w:top w:val="single" w:sz="4" w:space="0" w:color="auto"/>
              <w:left w:val="nil"/>
              <w:bottom w:val="double" w:sz="6" w:space="0" w:color="auto"/>
              <w:right w:val="nil"/>
            </w:tcBorders>
            <w:shd w:val="clear" w:color="auto" w:fill="auto"/>
            <w:vAlign w:val="bottom"/>
          </w:tcPr>
          <w:p w14:paraId="25C2F1D9" w14:textId="4F87D000" w:rsidR="009F2456" w:rsidRPr="00226892" w:rsidRDefault="009F2456" w:rsidP="009F2456">
            <w:pPr>
              <w:jc w:val="right"/>
              <w:rPr>
                <w:rFonts w:ascii="Arial" w:hAnsi="Arial" w:cs="Arial"/>
                <w:b/>
                <w:bCs/>
                <w:color w:val="000000"/>
                <w:sz w:val="18"/>
                <w:szCs w:val="18"/>
              </w:rPr>
            </w:pPr>
            <w:r w:rsidRPr="00226892">
              <w:rPr>
                <w:rFonts w:ascii="Arial" w:hAnsi="Arial" w:cs="Arial"/>
                <w:b/>
                <w:bCs/>
                <w:color w:val="000000"/>
                <w:sz w:val="18"/>
                <w:szCs w:val="18"/>
              </w:rPr>
              <w:t xml:space="preserve">1 </w:t>
            </w:r>
            <w:r w:rsidR="00364771" w:rsidRPr="00226892">
              <w:rPr>
                <w:rFonts w:ascii="Arial" w:hAnsi="Arial" w:cs="Arial"/>
                <w:b/>
                <w:bCs/>
                <w:color w:val="000000"/>
                <w:sz w:val="18"/>
                <w:szCs w:val="18"/>
              </w:rPr>
              <w:t>278</w:t>
            </w:r>
          </w:p>
        </w:tc>
        <w:tc>
          <w:tcPr>
            <w:tcW w:w="103" w:type="pct"/>
            <w:tcBorders>
              <w:left w:val="nil"/>
              <w:right w:val="nil"/>
            </w:tcBorders>
            <w:shd w:val="clear" w:color="auto" w:fill="auto"/>
            <w:vAlign w:val="bottom"/>
          </w:tcPr>
          <w:p w14:paraId="42C4E6E0" w14:textId="0FDAB864" w:rsidR="009F2456" w:rsidRPr="00226892" w:rsidRDefault="009F2456" w:rsidP="009F2456">
            <w:pPr>
              <w:jc w:val="right"/>
              <w:rPr>
                <w:rFonts w:ascii="Arial" w:hAnsi="Arial" w:cs="Arial"/>
                <w:b/>
                <w:bCs/>
                <w:color w:val="000000"/>
                <w:sz w:val="18"/>
                <w:szCs w:val="18"/>
              </w:rPr>
            </w:pPr>
          </w:p>
        </w:tc>
        <w:tc>
          <w:tcPr>
            <w:tcW w:w="716" w:type="pct"/>
            <w:tcBorders>
              <w:top w:val="single" w:sz="4" w:space="0" w:color="auto"/>
              <w:left w:val="nil"/>
              <w:bottom w:val="double" w:sz="6" w:space="0" w:color="auto"/>
              <w:right w:val="nil"/>
            </w:tcBorders>
            <w:shd w:val="clear" w:color="auto" w:fill="auto"/>
            <w:vAlign w:val="bottom"/>
          </w:tcPr>
          <w:p w14:paraId="16D9FF70" w14:textId="2843771A" w:rsidR="009F2456" w:rsidRPr="00226892" w:rsidRDefault="009F2456" w:rsidP="009F2456">
            <w:pPr>
              <w:jc w:val="right"/>
              <w:rPr>
                <w:rFonts w:ascii="Arial" w:hAnsi="Arial" w:cs="Arial"/>
                <w:b/>
                <w:bCs/>
                <w:color w:val="000000"/>
                <w:sz w:val="18"/>
                <w:szCs w:val="18"/>
              </w:rPr>
            </w:pPr>
            <w:r w:rsidRPr="00226892">
              <w:rPr>
                <w:rFonts w:ascii="Arial" w:hAnsi="Arial" w:cs="Arial"/>
                <w:b/>
                <w:bCs/>
                <w:color w:val="000000"/>
                <w:sz w:val="18"/>
                <w:szCs w:val="18"/>
              </w:rPr>
              <w:t>865</w:t>
            </w:r>
          </w:p>
        </w:tc>
      </w:tr>
    </w:tbl>
    <w:p w14:paraId="1ED402AE" w14:textId="431DC895" w:rsidR="004C79B8" w:rsidRPr="00226892" w:rsidRDefault="003971D3" w:rsidP="00770DA7">
      <w:pPr>
        <w:suppressAutoHyphens/>
        <w:jc w:val="both"/>
        <w:rPr>
          <w:rFonts w:ascii="Arial" w:hAnsi="Arial" w:cs="Arial"/>
          <w:lang w:val="sk-SK"/>
        </w:rPr>
      </w:pPr>
      <w:r w:rsidRPr="00226892">
        <w:rPr>
          <w:rFonts w:ascii="Arial" w:hAnsi="Arial" w:cs="Arial"/>
          <w:sz w:val="18"/>
          <w:szCs w:val="18"/>
          <w:highlight w:val="yellow"/>
        </w:rPr>
        <w:t xml:space="preserve"> </w:t>
      </w:r>
    </w:p>
    <w:p w14:paraId="0C13B94E" w14:textId="1B45767D" w:rsidR="003971D3" w:rsidRPr="00226892" w:rsidRDefault="003971D3" w:rsidP="00265134">
      <w:pPr>
        <w:rPr>
          <w:rFonts w:ascii="Arial" w:hAnsi="Arial" w:cs="Arial"/>
          <w:lang w:val="sk-SK"/>
        </w:rPr>
      </w:pPr>
      <w:r w:rsidRPr="00226892">
        <w:rPr>
          <w:rFonts w:ascii="Arial" w:hAnsi="Arial" w:cs="Arial"/>
          <w:lang w:val="sk-SK"/>
        </w:rPr>
        <w:t>Zmeny odložených daňových pohľadávok a záväzkov v priebehu roka, pred kompenzáciou zostatkov v rámci tej istej daňovej jurisdikcie, sú nasledovné:</w:t>
      </w:r>
    </w:p>
    <w:p w14:paraId="6BB8A207" w14:textId="77777777" w:rsidR="003971D3" w:rsidRPr="00226892" w:rsidDel="00E10876" w:rsidRDefault="003971D3" w:rsidP="00235CDF">
      <w:pPr>
        <w:pStyle w:val="odst"/>
        <w:rPr>
          <w:highlight w:val="yellow"/>
        </w:rPr>
      </w:pPr>
    </w:p>
    <w:tbl>
      <w:tblPr>
        <w:tblW w:w="5000" w:type="pct"/>
        <w:tblCellMar>
          <w:left w:w="70" w:type="dxa"/>
          <w:right w:w="70" w:type="dxa"/>
        </w:tblCellMar>
        <w:tblLook w:val="04A0" w:firstRow="1" w:lastRow="0" w:firstColumn="1" w:lastColumn="0" w:noHBand="0" w:noVBand="1"/>
      </w:tblPr>
      <w:tblGrid>
        <w:gridCol w:w="2966"/>
        <w:gridCol w:w="1925"/>
        <w:gridCol w:w="291"/>
        <w:gridCol w:w="2051"/>
        <w:gridCol w:w="191"/>
        <w:gridCol w:w="2215"/>
      </w:tblGrid>
      <w:tr w:rsidR="00770DA7" w:rsidRPr="00226892" w14:paraId="21139326" w14:textId="77777777" w:rsidTr="007D76CE">
        <w:trPr>
          <w:trHeight w:val="227"/>
        </w:trPr>
        <w:tc>
          <w:tcPr>
            <w:tcW w:w="1538" w:type="pct"/>
            <w:tcBorders>
              <w:top w:val="nil"/>
              <w:left w:val="nil"/>
              <w:bottom w:val="single" w:sz="4" w:space="0" w:color="auto"/>
              <w:right w:val="nil"/>
            </w:tcBorders>
            <w:shd w:val="clear" w:color="auto" w:fill="auto"/>
            <w:noWrap/>
            <w:vAlign w:val="bottom"/>
            <w:hideMark/>
          </w:tcPr>
          <w:p w14:paraId="252CC554" w14:textId="77777777" w:rsidR="00770DA7" w:rsidRPr="00226892" w:rsidRDefault="00770DA7" w:rsidP="00023A96">
            <w:pPr>
              <w:rPr>
                <w:rFonts w:ascii="Arial" w:hAnsi="Arial" w:cs="Arial"/>
                <w:color w:val="000000"/>
                <w:sz w:val="18"/>
                <w:szCs w:val="18"/>
                <w:lang w:val="sk-SK" w:eastAsia="sk-SK"/>
              </w:rPr>
            </w:pPr>
            <w:r w:rsidRPr="00226892">
              <w:rPr>
                <w:rFonts w:ascii="Arial" w:hAnsi="Arial" w:cs="Arial"/>
                <w:color w:val="000000"/>
                <w:sz w:val="18"/>
                <w:szCs w:val="18"/>
              </w:rPr>
              <w:t> </w:t>
            </w:r>
          </w:p>
        </w:tc>
        <w:tc>
          <w:tcPr>
            <w:tcW w:w="998" w:type="pct"/>
            <w:tcBorders>
              <w:top w:val="nil"/>
              <w:left w:val="nil"/>
              <w:bottom w:val="single" w:sz="4" w:space="0" w:color="auto"/>
              <w:right w:val="nil"/>
            </w:tcBorders>
            <w:vAlign w:val="bottom"/>
          </w:tcPr>
          <w:p w14:paraId="71482079" w14:textId="128D0A05" w:rsidR="00770DA7" w:rsidRPr="00226892" w:rsidRDefault="00770DA7" w:rsidP="007D76CE">
            <w:pPr>
              <w:jc w:val="center"/>
              <w:rPr>
                <w:rFonts w:ascii="Arial" w:hAnsi="Arial" w:cs="Arial"/>
                <w:b/>
                <w:bCs/>
                <w:color w:val="000000"/>
                <w:sz w:val="18"/>
                <w:szCs w:val="18"/>
              </w:rPr>
            </w:pPr>
            <w:proofErr w:type="spellStart"/>
            <w:r w:rsidRPr="00226892">
              <w:rPr>
                <w:rFonts w:ascii="Arial" w:hAnsi="Arial" w:cs="Arial"/>
                <w:b/>
                <w:bCs/>
                <w:color w:val="000000"/>
                <w:sz w:val="18"/>
                <w:szCs w:val="18"/>
              </w:rPr>
              <w:t>Stav</w:t>
            </w:r>
            <w:proofErr w:type="spellEnd"/>
            <w:r w:rsidRPr="00226892">
              <w:rPr>
                <w:rFonts w:ascii="Arial" w:hAnsi="Arial" w:cs="Arial"/>
                <w:b/>
                <w:bCs/>
                <w:color w:val="000000"/>
                <w:sz w:val="18"/>
                <w:szCs w:val="18"/>
              </w:rPr>
              <w:t xml:space="preserve"> k 1. </w:t>
            </w:r>
            <w:proofErr w:type="spellStart"/>
            <w:r w:rsidRPr="00226892">
              <w:rPr>
                <w:rFonts w:ascii="Arial" w:hAnsi="Arial" w:cs="Arial"/>
                <w:b/>
                <w:bCs/>
                <w:color w:val="000000"/>
                <w:sz w:val="18"/>
                <w:szCs w:val="18"/>
              </w:rPr>
              <w:t>janu</w:t>
            </w:r>
            <w:proofErr w:type="spellEnd"/>
            <w:r w:rsidRPr="00226892">
              <w:rPr>
                <w:rFonts w:ascii="Arial" w:hAnsi="Arial" w:cs="Arial"/>
                <w:b/>
                <w:bCs/>
                <w:color w:val="000000"/>
                <w:sz w:val="18"/>
                <w:szCs w:val="18"/>
                <w:lang w:val="sk-SK"/>
              </w:rPr>
              <w:t>áru</w:t>
            </w:r>
            <w:r w:rsidRPr="00226892">
              <w:rPr>
                <w:rFonts w:ascii="Arial" w:hAnsi="Arial" w:cs="Arial"/>
                <w:b/>
                <w:bCs/>
                <w:color w:val="000000"/>
                <w:sz w:val="18"/>
                <w:szCs w:val="18"/>
              </w:rPr>
              <w:t xml:space="preserve"> 2018</w:t>
            </w:r>
          </w:p>
        </w:tc>
        <w:tc>
          <w:tcPr>
            <w:tcW w:w="151" w:type="pct"/>
            <w:tcBorders>
              <w:top w:val="nil"/>
              <w:left w:val="nil"/>
              <w:bottom w:val="single" w:sz="4" w:space="0" w:color="auto"/>
              <w:right w:val="nil"/>
            </w:tcBorders>
            <w:shd w:val="clear" w:color="auto" w:fill="auto"/>
            <w:vAlign w:val="bottom"/>
            <w:hideMark/>
          </w:tcPr>
          <w:p w14:paraId="7712A4C9" w14:textId="47C62C5F" w:rsidR="00770DA7" w:rsidRPr="00226892" w:rsidRDefault="00770DA7" w:rsidP="007D76CE">
            <w:pPr>
              <w:jc w:val="center"/>
              <w:rPr>
                <w:rFonts w:ascii="Arial" w:hAnsi="Arial" w:cs="Arial"/>
                <w:b/>
                <w:bCs/>
                <w:color w:val="000000"/>
                <w:sz w:val="18"/>
                <w:szCs w:val="18"/>
                <w:highlight w:val="yellow"/>
              </w:rPr>
            </w:pPr>
          </w:p>
        </w:tc>
        <w:tc>
          <w:tcPr>
            <w:tcW w:w="1064" w:type="pct"/>
            <w:tcBorders>
              <w:top w:val="nil"/>
              <w:left w:val="nil"/>
              <w:bottom w:val="single" w:sz="4" w:space="0" w:color="auto"/>
              <w:right w:val="nil"/>
            </w:tcBorders>
            <w:shd w:val="clear" w:color="auto" w:fill="auto"/>
            <w:vAlign w:val="bottom"/>
            <w:hideMark/>
          </w:tcPr>
          <w:p w14:paraId="2148A357" w14:textId="18A10817" w:rsidR="00770DA7" w:rsidRPr="00226892" w:rsidRDefault="00770DA7" w:rsidP="007D76CE">
            <w:pPr>
              <w:jc w:val="center"/>
              <w:rPr>
                <w:rFonts w:ascii="Arial" w:hAnsi="Arial" w:cs="Arial"/>
                <w:b/>
                <w:bCs/>
                <w:color w:val="000000"/>
                <w:sz w:val="18"/>
                <w:szCs w:val="18"/>
                <w:highlight w:val="yellow"/>
              </w:rPr>
            </w:pPr>
            <w:proofErr w:type="spellStart"/>
            <w:r w:rsidRPr="00226892">
              <w:rPr>
                <w:rFonts w:ascii="Arial" w:hAnsi="Arial" w:cs="Arial"/>
                <w:b/>
                <w:bCs/>
                <w:color w:val="000000"/>
                <w:sz w:val="18"/>
                <w:szCs w:val="18"/>
              </w:rPr>
              <w:t>Náklad</w:t>
            </w:r>
            <w:proofErr w:type="spellEnd"/>
            <w:r w:rsidRPr="00226892">
              <w:rPr>
                <w:rFonts w:ascii="Arial" w:hAnsi="Arial" w:cs="Arial"/>
                <w:b/>
                <w:bCs/>
                <w:color w:val="000000"/>
                <w:sz w:val="18"/>
                <w:szCs w:val="18"/>
              </w:rPr>
              <w:t xml:space="preserve">/ (-) </w:t>
            </w:r>
            <w:proofErr w:type="spellStart"/>
            <w:r w:rsidRPr="00226892">
              <w:rPr>
                <w:rFonts w:ascii="Arial" w:hAnsi="Arial" w:cs="Arial"/>
                <w:b/>
                <w:bCs/>
                <w:color w:val="000000"/>
                <w:sz w:val="18"/>
                <w:szCs w:val="18"/>
              </w:rPr>
              <w:t>Výnos</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vo</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výkaze</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ziskov</w:t>
            </w:r>
            <w:proofErr w:type="spellEnd"/>
            <w:r w:rsidRPr="00226892">
              <w:rPr>
                <w:rFonts w:ascii="Arial" w:hAnsi="Arial" w:cs="Arial"/>
                <w:b/>
                <w:bCs/>
                <w:color w:val="000000"/>
                <w:sz w:val="18"/>
                <w:szCs w:val="18"/>
              </w:rPr>
              <w:t xml:space="preserve"> a </w:t>
            </w:r>
            <w:proofErr w:type="spellStart"/>
            <w:r w:rsidRPr="00226892">
              <w:rPr>
                <w:rFonts w:ascii="Arial" w:hAnsi="Arial" w:cs="Arial"/>
                <w:b/>
                <w:bCs/>
                <w:color w:val="000000"/>
                <w:sz w:val="18"/>
                <w:szCs w:val="18"/>
              </w:rPr>
              <w:t>strát</w:t>
            </w:r>
            <w:proofErr w:type="spellEnd"/>
          </w:p>
        </w:tc>
        <w:tc>
          <w:tcPr>
            <w:tcW w:w="99" w:type="pct"/>
            <w:tcBorders>
              <w:top w:val="nil"/>
              <w:left w:val="nil"/>
              <w:bottom w:val="single" w:sz="4" w:space="0" w:color="auto"/>
              <w:right w:val="nil"/>
            </w:tcBorders>
            <w:shd w:val="clear" w:color="auto" w:fill="auto"/>
            <w:vAlign w:val="bottom"/>
            <w:hideMark/>
          </w:tcPr>
          <w:p w14:paraId="7AAEFEDE" w14:textId="74C00A15" w:rsidR="00770DA7" w:rsidRPr="00226892" w:rsidRDefault="00770DA7" w:rsidP="007D76CE">
            <w:pPr>
              <w:jc w:val="center"/>
              <w:rPr>
                <w:rFonts w:ascii="Arial" w:hAnsi="Arial" w:cs="Arial"/>
                <w:color w:val="000000"/>
                <w:sz w:val="18"/>
                <w:szCs w:val="18"/>
              </w:rPr>
            </w:pPr>
          </w:p>
        </w:tc>
        <w:tc>
          <w:tcPr>
            <w:tcW w:w="1149" w:type="pct"/>
            <w:tcBorders>
              <w:top w:val="nil"/>
              <w:left w:val="nil"/>
              <w:bottom w:val="single" w:sz="4" w:space="0" w:color="auto"/>
              <w:right w:val="nil"/>
            </w:tcBorders>
            <w:vAlign w:val="bottom"/>
          </w:tcPr>
          <w:p w14:paraId="67F79B74" w14:textId="064FBC85" w:rsidR="00770DA7" w:rsidRPr="00226892" w:rsidRDefault="00770DA7" w:rsidP="007D76CE">
            <w:pPr>
              <w:jc w:val="center"/>
              <w:rPr>
                <w:rFonts w:ascii="Arial" w:hAnsi="Arial" w:cs="Arial"/>
                <w:b/>
                <w:bCs/>
                <w:color w:val="000000"/>
                <w:sz w:val="18"/>
                <w:szCs w:val="18"/>
              </w:rPr>
            </w:pPr>
            <w:proofErr w:type="spellStart"/>
            <w:r w:rsidRPr="00226892">
              <w:rPr>
                <w:rFonts w:ascii="Arial" w:hAnsi="Arial" w:cs="Arial"/>
                <w:b/>
                <w:bCs/>
                <w:color w:val="000000"/>
                <w:sz w:val="18"/>
                <w:szCs w:val="18"/>
              </w:rPr>
              <w:t>Stav</w:t>
            </w:r>
            <w:proofErr w:type="spellEnd"/>
            <w:r w:rsidRPr="00226892">
              <w:rPr>
                <w:rFonts w:ascii="Arial" w:hAnsi="Arial" w:cs="Arial"/>
                <w:b/>
                <w:bCs/>
                <w:color w:val="000000"/>
                <w:sz w:val="18"/>
                <w:szCs w:val="18"/>
              </w:rPr>
              <w:t xml:space="preserve"> k 31. </w:t>
            </w:r>
            <w:proofErr w:type="spellStart"/>
            <w:r w:rsidRPr="00226892">
              <w:rPr>
                <w:rFonts w:ascii="Arial" w:hAnsi="Arial" w:cs="Arial"/>
                <w:b/>
                <w:bCs/>
                <w:color w:val="000000"/>
                <w:sz w:val="18"/>
                <w:szCs w:val="18"/>
              </w:rPr>
              <w:t>decembru</w:t>
            </w:r>
            <w:proofErr w:type="spellEnd"/>
            <w:r w:rsidRPr="00226892">
              <w:rPr>
                <w:rFonts w:ascii="Arial" w:hAnsi="Arial" w:cs="Arial"/>
                <w:b/>
                <w:bCs/>
                <w:color w:val="000000"/>
                <w:sz w:val="18"/>
                <w:szCs w:val="18"/>
              </w:rPr>
              <w:t xml:space="preserve"> 2018</w:t>
            </w:r>
          </w:p>
        </w:tc>
      </w:tr>
      <w:tr w:rsidR="00770DA7" w:rsidRPr="00226892" w14:paraId="12B37CF1" w14:textId="77777777" w:rsidTr="007D76CE">
        <w:trPr>
          <w:trHeight w:val="227"/>
        </w:trPr>
        <w:tc>
          <w:tcPr>
            <w:tcW w:w="1538" w:type="pct"/>
            <w:tcBorders>
              <w:top w:val="nil"/>
              <w:left w:val="nil"/>
              <w:bottom w:val="nil"/>
              <w:right w:val="nil"/>
            </w:tcBorders>
            <w:shd w:val="clear" w:color="auto" w:fill="auto"/>
            <w:vAlign w:val="bottom"/>
            <w:hideMark/>
          </w:tcPr>
          <w:p w14:paraId="0700E2C3" w14:textId="77777777" w:rsidR="00770DA7" w:rsidRPr="00226892" w:rsidRDefault="00770DA7" w:rsidP="009F2456">
            <w:pPr>
              <w:rPr>
                <w:rFonts w:ascii="Arial" w:hAnsi="Arial" w:cs="Arial"/>
                <w:color w:val="000000"/>
                <w:sz w:val="18"/>
                <w:szCs w:val="18"/>
              </w:rPr>
            </w:pPr>
            <w:proofErr w:type="spellStart"/>
            <w:r w:rsidRPr="00226892">
              <w:rPr>
                <w:rFonts w:ascii="Arial" w:hAnsi="Arial" w:cs="Arial"/>
                <w:color w:val="000000"/>
                <w:sz w:val="18"/>
                <w:szCs w:val="18"/>
              </w:rPr>
              <w:t>Opravné</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položky</w:t>
            </w:r>
            <w:proofErr w:type="spellEnd"/>
            <w:r w:rsidRPr="00226892">
              <w:rPr>
                <w:rFonts w:ascii="Arial" w:hAnsi="Arial" w:cs="Arial"/>
                <w:color w:val="000000"/>
                <w:sz w:val="18"/>
                <w:szCs w:val="18"/>
              </w:rPr>
              <w:t xml:space="preserve"> k </w:t>
            </w:r>
            <w:proofErr w:type="spellStart"/>
            <w:r w:rsidRPr="00226892">
              <w:rPr>
                <w:rFonts w:ascii="Arial" w:hAnsi="Arial" w:cs="Arial"/>
                <w:color w:val="000000"/>
                <w:sz w:val="18"/>
                <w:szCs w:val="18"/>
              </w:rPr>
              <w:t>nedobytným</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pohľadávkam</w:t>
            </w:r>
            <w:proofErr w:type="spellEnd"/>
          </w:p>
        </w:tc>
        <w:tc>
          <w:tcPr>
            <w:tcW w:w="998" w:type="pct"/>
            <w:tcBorders>
              <w:top w:val="nil"/>
              <w:left w:val="nil"/>
              <w:bottom w:val="nil"/>
              <w:right w:val="nil"/>
            </w:tcBorders>
            <w:vAlign w:val="bottom"/>
          </w:tcPr>
          <w:p w14:paraId="7882309A" w14:textId="0288208B" w:rsidR="00770DA7" w:rsidRPr="00226892" w:rsidRDefault="00770DA7" w:rsidP="009F2456">
            <w:pPr>
              <w:jc w:val="right"/>
              <w:rPr>
                <w:rFonts w:ascii="Arial" w:hAnsi="Arial" w:cs="Arial"/>
                <w:color w:val="000000"/>
                <w:sz w:val="18"/>
                <w:szCs w:val="18"/>
              </w:rPr>
            </w:pPr>
            <w:r w:rsidRPr="00226892">
              <w:rPr>
                <w:rFonts w:ascii="Arial" w:hAnsi="Arial" w:cs="Arial"/>
                <w:color w:val="000000"/>
                <w:sz w:val="18"/>
                <w:szCs w:val="18"/>
              </w:rPr>
              <w:t>-</w:t>
            </w:r>
          </w:p>
        </w:tc>
        <w:tc>
          <w:tcPr>
            <w:tcW w:w="151" w:type="pct"/>
            <w:tcBorders>
              <w:top w:val="nil"/>
              <w:left w:val="nil"/>
              <w:bottom w:val="nil"/>
              <w:right w:val="nil"/>
            </w:tcBorders>
            <w:shd w:val="clear" w:color="auto" w:fill="auto"/>
            <w:vAlign w:val="bottom"/>
          </w:tcPr>
          <w:p w14:paraId="358F75D6" w14:textId="77777777" w:rsidR="00770DA7" w:rsidRPr="00226892" w:rsidRDefault="00770DA7" w:rsidP="009F2456">
            <w:pPr>
              <w:jc w:val="right"/>
              <w:rPr>
                <w:rFonts w:ascii="Arial" w:hAnsi="Arial" w:cs="Arial"/>
                <w:color w:val="000000"/>
                <w:sz w:val="18"/>
                <w:szCs w:val="18"/>
                <w:highlight w:val="yellow"/>
              </w:rPr>
            </w:pPr>
          </w:p>
        </w:tc>
        <w:tc>
          <w:tcPr>
            <w:tcW w:w="1064" w:type="pct"/>
            <w:tcBorders>
              <w:top w:val="nil"/>
              <w:left w:val="nil"/>
              <w:bottom w:val="nil"/>
              <w:right w:val="nil"/>
            </w:tcBorders>
            <w:shd w:val="clear" w:color="auto" w:fill="auto"/>
            <w:vAlign w:val="bottom"/>
          </w:tcPr>
          <w:p w14:paraId="5BA8702D" w14:textId="3B55177D" w:rsidR="00770DA7" w:rsidRPr="00226892" w:rsidRDefault="00770DA7" w:rsidP="009F2456">
            <w:pPr>
              <w:jc w:val="right"/>
              <w:rPr>
                <w:rFonts w:ascii="Arial" w:hAnsi="Arial" w:cs="Arial"/>
                <w:color w:val="000000"/>
                <w:sz w:val="18"/>
                <w:szCs w:val="18"/>
              </w:rPr>
            </w:pPr>
            <w:r w:rsidRPr="00226892">
              <w:rPr>
                <w:rFonts w:ascii="Arial" w:hAnsi="Arial" w:cs="Arial"/>
                <w:color w:val="000000"/>
                <w:sz w:val="18"/>
                <w:szCs w:val="18"/>
              </w:rPr>
              <w:t>-</w:t>
            </w:r>
          </w:p>
        </w:tc>
        <w:tc>
          <w:tcPr>
            <w:tcW w:w="99" w:type="pct"/>
            <w:tcBorders>
              <w:top w:val="nil"/>
              <w:left w:val="nil"/>
              <w:bottom w:val="nil"/>
              <w:right w:val="nil"/>
            </w:tcBorders>
            <w:shd w:val="clear" w:color="auto" w:fill="auto"/>
            <w:vAlign w:val="bottom"/>
          </w:tcPr>
          <w:p w14:paraId="67E45B97" w14:textId="77777777" w:rsidR="00770DA7" w:rsidRPr="00226892" w:rsidRDefault="00770DA7" w:rsidP="009F2456">
            <w:pPr>
              <w:jc w:val="right"/>
              <w:rPr>
                <w:rFonts w:ascii="Arial" w:hAnsi="Arial" w:cs="Arial"/>
                <w:color w:val="000000"/>
                <w:sz w:val="18"/>
                <w:szCs w:val="18"/>
                <w:highlight w:val="yellow"/>
              </w:rPr>
            </w:pPr>
          </w:p>
        </w:tc>
        <w:tc>
          <w:tcPr>
            <w:tcW w:w="1149" w:type="pct"/>
            <w:tcBorders>
              <w:top w:val="nil"/>
              <w:left w:val="nil"/>
              <w:bottom w:val="nil"/>
              <w:right w:val="nil"/>
            </w:tcBorders>
            <w:vAlign w:val="bottom"/>
          </w:tcPr>
          <w:p w14:paraId="30CBBA36" w14:textId="4A72E995" w:rsidR="00770DA7" w:rsidRPr="00226892" w:rsidRDefault="00770DA7" w:rsidP="009F2456">
            <w:pPr>
              <w:jc w:val="right"/>
              <w:rPr>
                <w:rFonts w:ascii="Arial" w:hAnsi="Arial" w:cs="Arial"/>
                <w:color w:val="000000"/>
                <w:sz w:val="18"/>
                <w:szCs w:val="18"/>
                <w:lang w:val="en-US"/>
              </w:rPr>
            </w:pPr>
            <w:r w:rsidRPr="00226892">
              <w:rPr>
                <w:rFonts w:ascii="Arial" w:hAnsi="Arial" w:cs="Arial"/>
                <w:color w:val="000000"/>
                <w:sz w:val="18"/>
                <w:szCs w:val="18"/>
                <w:lang w:val="en-US"/>
              </w:rPr>
              <w:t>-</w:t>
            </w:r>
          </w:p>
        </w:tc>
      </w:tr>
      <w:tr w:rsidR="00770DA7" w:rsidRPr="00226892" w14:paraId="6F034FE5" w14:textId="77777777" w:rsidTr="007D76CE">
        <w:trPr>
          <w:trHeight w:val="227"/>
        </w:trPr>
        <w:tc>
          <w:tcPr>
            <w:tcW w:w="1538" w:type="pct"/>
            <w:tcBorders>
              <w:top w:val="nil"/>
              <w:left w:val="nil"/>
              <w:bottom w:val="nil"/>
              <w:right w:val="nil"/>
            </w:tcBorders>
            <w:shd w:val="clear" w:color="auto" w:fill="auto"/>
            <w:vAlign w:val="bottom"/>
            <w:hideMark/>
          </w:tcPr>
          <w:p w14:paraId="0ACCDC6E" w14:textId="77777777" w:rsidR="00770DA7" w:rsidRPr="00226892" w:rsidRDefault="00770DA7" w:rsidP="009F2456">
            <w:pPr>
              <w:rPr>
                <w:rFonts w:ascii="Arial" w:hAnsi="Arial" w:cs="Arial"/>
                <w:color w:val="000000"/>
                <w:sz w:val="18"/>
                <w:szCs w:val="18"/>
              </w:rPr>
            </w:pPr>
            <w:proofErr w:type="spellStart"/>
            <w:r w:rsidRPr="00226892">
              <w:rPr>
                <w:rFonts w:ascii="Arial" w:hAnsi="Arial" w:cs="Arial"/>
                <w:color w:val="000000"/>
                <w:sz w:val="18"/>
                <w:szCs w:val="18"/>
              </w:rPr>
              <w:t>Úpravy</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na</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majetku</w:t>
            </w:r>
            <w:proofErr w:type="spellEnd"/>
            <w:r w:rsidRPr="00226892">
              <w:rPr>
                <w:rFonts w:ascii="Arial" w:hAnsi="Arial" w:cs="Arial"/>
                <w:color w:val="000000"/>
                <w:sz w:val="18"/>
                <w:szCs w:val="18"/>
              </w:rPr>
              <w:t xml:space="preserve"> – </w:t>
            </w:r>
            <w:proofErr w:type="spellStart"/>
            <w:r w:rsidRPr="00226892">
              <w:rPr>
                <w:rFonts w:ascii="Arial" w:hAnsi="Arial" w:cs="Arial"/>
                <w:color w:val="000000"/>
                <w:sz w:val="18"/>
                <w:szCs w:val="18"/>
              </w:rPr>
              <w:t>netto</w:t>
            </w:r>
            <w:proofErr w:type="spellEnd"/>
          </w:p>
        </w:tc>
        <w:tc>
          <w:tcPr>
            <w:tcW w:w="998" w:type="pct"/>
            <w:tcBorders>
              <w:top w:val="nil"/>
              <w:left w:val="nil"/>
              <w:bottom w:val="nil"/>
              <w:right w:val="nil"/>
            </w:tcBorders>
            <w:vAlign w:val="bottom"/>
          </w:tcPr>
          <w:p w14:paraId="28E1F33F" w14:textId="3577DB70" w:rsidR="00770DA7" w:rsidRPr="00226892" w:rsidRDefault="00770DA7" w:rsidP="009F2456">
            <w:pPr>
              <w:jc w:val="right"/>
              <w:rPr>
                <w:rFonts w:ascii="Arial" w:hAnsi="Arial" w:cs="Arial"/>
                <w:color w:val="000000"/>
                <w:sz w:val="18"/>
                <w:szCs w:val="18"/>
              </w:rPr>
            </w:pPr>
            <w:r w:rsidRPr="00226892">
              <w:rPr>
                <w:rFonts w:ascii="Arial" w:hAnsi="Arial" w:cs="Arial"/>
                <w:color w:val="000000"/>
                <w:sz w:val="18"/>
                <w:szCs w:val="18"/>
              </w:rPr>
              <w:t>3 038</w:t>
            </w:r>
          </w:p>
        </w:tc>
        <w:tc>
          <w:tcPr>
            <w:tcW w:w="151" w:type="pct"/>
            <w:tcBorders>
              <w:top w:val="nil"/>
              <w:left w:val="nil"/>
              <w:bottom w:val="nil"/>
              <w:right w:val="nil"/>
            </w:tcBorders>
            <w:shd w:val="clear" w:color="auto" w:fill="auto"/>
            <w:vAlign w:val="bottom"/>
          </w:tcPr>
          <w:p w14:paraId="7F3D8330" w14:textId="77777777" w:rsidR="00770DA7" w:rsidRPr="00226892" w:rsidRDefault="00770DA7" w:rsidP="009F2456">
            <w:pPr>
              <w:jc w:val="right"/>
              <w:rPr>
                <w:rFonts w:ascii="Arial" w:hAnsi="Arial" w:cs="Arial"/>
                <w:color w:val="000000"/>
                <w:sz w:val="18"/>
                <w:szCs w:val="18"/>
                <w:highlight w:val="yellow"/>
              </w:rPr>
            </w:pPr>
          </w:p>
        </w:tc>
        <w:tc>
          <w:tcPr>
            <w:tcW w:w="1064" w:type="pct"/>
            <w:tcBorders>
              <w:top w:val="nil"/>
              <w:left w:val="nil"/>
              <w:bottom w:val="nil"/>
              <w:right w:val="nil"/>
            </w:tcBorders>
            <w:shd w:val="clear" w:color="auto" w:fill="auto"/>
            <w:vAlign w:val="bottom"/>
          </w:tcPr>
          <w:p w14:paraId="75DEB754" w14:textId="522A1727" w:rsidR="00770DA7" w:rsidRPr="00226892" w:rsidRDefault="00770DA7" w:rsidP="009F2456">
            <w:pPr>
              <w:jc w:val="right"/>
              <w:rPr>
                <w:rFonts w:ascii="Arial" w:hAnsi="Arial" w:cs="Arial"/>
                <w:color w:val="000000"/>
                <w:sz w:val="18"/>
                <w:szCs w:val="18"/>
              </w:rPr>
            </w:pPr>
            <w:r w:rsidRPr="00226892">
              <w:rPr>
                <w:rFonts w:ascii="Arial" w:hAnsi="Arial" w:cs="Arial"/>
                <w:color w:val="000000"/>
                <w:sz w:val="18"/>
                <w:szCs w:val="18"/>
              </w:rPr>
              <w:t>411</w:t>
            </w:r>
          </w:p>
        </w:tc>
        <w:tc>
          <w:tcPr>
            <w:tcW w:w="99" w:type="pct"/>
            <w:tcBorders>
              <w:top w:val="nil"/>
              <w:left w:val="nil"/>
              <w:bottom w:val="nil"/>
              <w:right w:val="nil"/>
            </w:tcBorders>
            <w:shd w:val="clear" w:color="auto" w:fill="auto"/>
            <w:vAlign w:val="bottom"/>
          </w:tcPr>
          <w:p w14:paraId="7C2C0B1F" w14:textId="77777777" w:rsidR="00770DA7" w:rsidRPr="00226892" w:rsidRDefault="00770DA7" w:rsidP="009F2456">
            <w:pPr>
              <w:jc w:val="right"/>
              <w:rPr>
                <w:rFonts w:ascii="Arial" w:hAnsi="Arial" w:cs="Arial"/>
                <w:color w:val="000000"/>
                <w:sz w:val="18"/>
                <w:szCs w:val="18"/>
                <w:highlight w:val="yellow"/>
              </w:rPr>
            </w:pPr>
          </w:p>
        </w:tc>
        <w:tc>
          <w:tcPr>
            <w:tcW w:w="1149" w:type="pct"/>
            <w:tcBorders>
              <w:top w:val="nil"/>
              <w:left w:val="nil"/>
              <w:bottom w:val="nil"/>
              <w:right w:val="nil"/>
            </w:tcBorders>
            <w:vAlign w:val="bottom"/>
          </w:tcPr>
          <w:p w14:paraId="1901A428" w14:textId="33C7073D" w:rsidR="00770DA7" w:rsidRPr="00226892" w:rsidRDefault="00770DA7" w:rsidP="009F2456">
            <w:pPr>
              <w:jc w:val="right"/>
              <w:rPr>
                <w:rFonts w:ascii="Arial" w:hAnsi="Arial" w:cs="Arial"/>
                <w:color w:val="000000"/>
                <w:sz w:val="18"/>
                <w:szCs w:val="18"/>
              </w:rPr>
            </w:pPr>
            <w:r w:rsidRPr="00226892">
              <w:rPr>
                <w:rFonts w:ascii="Arial" w:hAnsi="Arial" w:cs="Arial"/>
                <w:color w:val="000000"/>
                <w:sz w:val="18"/>
                <w:szCs w:val="18"/>
              </w:rPr>
              <w:t>3 449</w:t>
            </w:r>
          </w:p>
        </w:tc>
      </w:tr>
      <w:tr w:rsidR="00770DA7" w:rsidRPr="00226892" w14:paraId="757C740B" w14:textId="77777777" w:rsidTr="007D76CE">
        <w:trPr>
          <w:trHeight w:val="227"/>
        </w:trPr>
        <w:tc>
          <w:tcPr>
            <w:tcW w:w="1538" w:type="pct"/>
            <w:tcBorders>
              <w:top w:val="nil"/>
              <w:left w:val="nil"/>
              <w:bottom w:val="nil"/>
              <w:right w:val="nil"/>
            </w:tcBorders>
            <w:shd w:val="clear" w:color="auto" w:fill="auto"/>
            <w:vAlign w:val="bottom"/>
            <w:hideMark/>
          </w:tcPr>
          <w:p w14:paraId="6D1CFB53" w14:textId="4163FF63" w:rsidR="00770DA7" w:rsidRPr="00226892" w:rsidRDefault="00770DA7" w:rsidP="009F2456">
            <w:pPr>
              <w:rPr>
                <w:rFonts w:ascii="Arial" w:hAnsi="Arial" w:cs="Arial"/>
                <w:color w:val="000000"/>
                <w:sz w:val="18"/>
                <w:szCs w:val="18"/>
              </w:rPr>
            </w:pPr>
            <w:proofErr w:type="spellStart"/>
            <w:r w:rsidRPr="00226892">
              <w:rPr>
                <w:rFonts w:ascii="Arial" w:hAnsi="Arial" w:cs="Arial"/>
                <w:color w:val="000000"/>
                <w:sz w:val="18"/>
                <w:szCs w:val="18"/>
              </w:rPr>
              <w:t>Opravné</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položky</w:t>
            </w:r>
            <w:proofErr w:type="spellEnd"/>
            <w:r w:rsidRPr="00226892">
              <w:rPr>
                <w:rFonts w:ascii="Arial" w:hAnsi="Arial" w:cs="Arial"/>
                <w:color w:val="000000"/>
                <w:sz w:val="18"/>
                <w:szCs w:val="18"/>
              </w:rPr>
              <w:t xml:space="preserve"> k </w:t>
            </w:r>
            <w:proofErr w:type="spellStart"/>
            <w:r w:rsidRPr="00226892">
              <w:rPr>
                <w:rFonts w:ascii="Arial" w:hAnsi="Arial" w:cs="Arial"/>
                <w:color w:val="000000"/>
                <w:sz w:val="18"/>
                <w:szCs w:val="18"/>
              </w:rPr>
              <w:t>zásobám</w:t>
            </w:r>
            <w:proofErr w:type="spellEnd"/>
            <w:r w:rsidRPr="00226892">
              <w:rPr>
                <w:rFonts w:ascii="Arial" w:hAnsi="Arial" w:cs="Arial"/>
                <w:color w:val="000000"/>
                <w:sz w:val="18"/>
                <w:szCs w:val="18"/>
              </w:rPr>
              <w:t xml:space="preserve"> </w:t>
            </w:r>
            <w:proofErr w:type="gramStart"/>
            <w:r w:rsidRPr="00226892">
              <w:rPr>
                <w:rFonts w:ascii="Arial" w:hAnsi="Arial" w:cs="Arial"/>
                <w:color w:val="000000"/>
                <w:sz w:val="18"/>
                <w:szCs w:val="18"/>
              </w:rPr>
              <w:t>a</w:t>
            </w:r>
            <w:proofErr w:type="gram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ocenenie</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zásob</w:t>
            </w:r>
            <w:proofErr w:type="spellEnd"/>
          </w:p>
        </w:tc>
        <w:tc>
          <w:tcPr>
            <w:tcW w:w="998" w:type="pct"/>
            <w:tcBorders>
              <w:top w:val="nil"/>
              <w:left w:val="nil"/>
              <w:bottom w:val="nil"/>
              <w:right w:val="nil"/>
            </w:tcBorders>
            <w:vAlign w:val="bottom"/>
          </w:tcPr>
          <w:p w14:paraId="0EF44439" w14:textId="756D815B" w:rsidR="00770DA7" w:rsidRPr="00226892" w:rsidRDefault="00770DA7" w:rsidP="009F2456">
            <w:pPr>
              <w:jc w:val="right"/>
              <w:rPr>
                <w:rFonts w:ascii="Arial" w:hAnsi="Arial" w:cs="Arial"/>
                <w:color w:val="000000"/>
                <w:sz w:val="18"/>
                <w:szCs w:val="18"/>
              </w:rPr>
            </w:pPr>
            <w:r w:rsidRPr="00226892">
              <w:rPr>
                <w:rFonts w:ascii="Arial" w:hAnsi="Arial" w:cs="Arial"/>
                <w:color w:val="000000"/>
                <w:sz w:val="18"/>
                <w:szCs w:val="18"/>
              </w:rPr>
              <w:t>74</w:t>
            </w:r>
          </w:p>
        </w:tc>
        <w:tc>
          <w:tcPr>
            <w:tcW w:w="151" w:type="pct"/>
            <w:tcBorders>
              <w:top w:val="nil"/>
              <w:left w:val="nil"/>
              <w:bottom w:val="nil"/>
              <w:right w:val="nil"/>
            </w:tcBorders>
            <w:shd w:val="clear" w:color="auto" w:fill="auto"/>
            <w:vAlign w:val="bottom"/>
          </w:tcPr>
          <w:p w14:paraId="4BEA04B1" w14:textId="77777777" w:rsidR="00770DA7" w:rsidRPr="00226892" w:rsidRDefault="00770DA7" w:rsidP="009F2456">
            <w:pPr>
              <w:jc w:val="right"/>
              <w:rPr>
                <w:rFonts w:ascii="Arial" w:hAnsi="Arial" w:cs="Arial"/>
                <w:color w:val="000000"/>
                <w:sz w:val="18"/>
                <w:szCs w:val="18"/>
                <w:highlight w:val="yellow"/>
              </w:rPr>
            </w:pPr>
          </w:p>
        </w:tc>
        <w:tc>
          <w:tcPr>
            <w:tcW w:w="1064" w:type="pct"/>
            <w:tcBorders>
              <w:top w:val="nil"/>
              <w:left w:val="nil"/>
              <w:bottom w:val="nil"/>
              <w:right w:val="nil"/>
            </w:tcBorders>
            <w:shd w:val="clear" w:color="auto" w:fill="auto"/>
            <w:vAlign w:val="bottom"/>
          </w:tcPr>
          <w:p w14:paraId="6BC2C6CD" w14:textId="050863DE" w:rsidR="00770DA7" w:rsidRPr="00226892" w:rsidRDefault="00770DA7" w:rsidP="009F2456">
            <w:pPr>
              <w:jc w:val="right"/>
              <w:rPr>
                <w:rFonts w:ascii="Arial" w:hAnsi="Arial" w:cs="Arial"/>
                <w:color w:val="000000"/>
                <w:sz w:val="18"/>
                <w:szCs w:val="18"/>
              </w:rPr>
            </w:pPr>
            <w:r w:rsidRPr="00226892">
              <w:rPr>
                <w:rFonts w:ascii="Arial" w:hAnsi="Arial" w:cs="Arial"/>
                <w:color w:val="000000"/>
                <w:sz w:val="18"/>
                <w:szCs w:val="18"/>
              </w:rPr>
              <w:t>-418</w:t>
            </w:r>
          </w:p>
        </w:tc>
        <w:tc>
          <w:tcPr>
            <w:tcW w:w="99" w:type="pct"/>
            <w:tcBorders>
              <w:top w:val="nil"/>
              <w:left w:val="nil"/>
              <w:right w:val="nil"/>
            </w:tcBorders>
            <w:shd w:val="clear" w:color="auto" w:fill="auto"/>
            <w:vAlign w:val="bottom"/>
          </w:tcPr>
          <w:p w14:paraId="2A5191C6" w14:textId="77777777" w:rsidR="00770DA7" w:rsidRPr="00226892" w:rsidRDefault="00770DA7" w:rsidP="009F2456">
            <w:pPr>
              <w:jc w:val="right"/>
              <w:rPr>
                <w:rFonts w:ascii="Arial" w:hAnsi="Arial" w:cs="Arial"/>
                <w:color w:val="000000"/>
                <w:sz w:val="18"/>
                <w:szCs w:val="18"/>
                <w:highlight w:val="yellow"/>
              </w:rPr>
            </w:pPr>
          </w:p>
        </w:tc>
        <w:tc>
          <w:tcPr>
            <w:tcW w:w="1149" w:type="pct"/>
            <w:tcBorders>
              <w:top w:val="nil"/>
              <w:left w:val="nil"/>
              <w:bottom w:val="nil"/>
              <w:right w:val="nil"/>
            </w:tcBorders>
            <w:vAlign w:val="bottom"/>
          </w:tcPr>
          <w:p w14:paraId="507D6444" w14:textId="5EA49916" w:rsidR="00770DA7" w:rsidRPr="00226892" w:rsidRDefault="00770DA7" w:rsidP="009F2456">
            <w:pPr>
              <w:jc w:val="right"/>
              <w:rPr>
                <w:rFonts w:ascii="Arial" w:hAnsi="Arial" w:cs="Arial"/>
                <w:color w:val="000000"/>
                <w:sz w:val="18"/>
                <w:szCs w:val="18"/>
              </w:rPr>
            </w:pPr>
            <w:r w:rsidRPr="00226892">
              <w:rPr>
                <w:rFonts w:ascii="Arial" w:hAnsi="Arial" w:cs="Arial"/>
                <w:color w:val="000000"/>
                <w:sz w:val="18"/>
                <w:szCs w:val="18"/>
              </w:rPr>
              <w:t>-344</w:t>
            </w:r>
          </w:p>
        </w:tc>
      </w:tr>
      <w:tr w:rsidR="00770DA7" w:rsidRPr="00226892" w14:paraId="3141D467" w14:textId="77777777" w:rsidTr="007D76CE">
        <w:trPr>
          <w:trHeight w:val="227"/>
        </w:trPr>
        <w:tc>
          <w:tcPr>
            <w:tcW w:w="1538" w:type="pct"/>
            <w:tcBorders>
              <w:top w:val="nil"/>
              <w:left w:val="nil"/>
              <w:bottom w:val="nil"/>
              <w:right w:val="nil"/>
            </w:tcBorders>
            <w:shd w:val="clear" w:color="auto" w:fill="auto"/>
            <w:vAlign w:val="bottom"/>
            <w:hideMark/>
          </w:tcPr>
          <w:p w14:paraId="427CC70D" w14:textId="77777777" w:rsidR="00770DA7" w:rsidRPr="00226892" w:rsidRDefault="00770DA7" w:rsidP="009F2456">
            <w:pPr>
              <w:rPr>
                <w:rFonts w:ascii="Arial" w:hAnsi="Arial" w:cs="Arial"/>
                <w:color w:val="000000"/>
                <w:sz w:val="18"/>
                <w:szCs w:val="18"/>
              </w:rPr>
            </w:pPr>
            <w:proofErr w:type="spellStart"/>
            <w:r w:rsidRPr="00226892">
              <w:rPr>
                <w:rFonts w:ascii="Arial" w:hAnsi="Arial" w:cs="Arial"/>
                <w:color w:val="000000"/>
                <w:sz w:val="18"/>
                <w:szCs w:val="18"/>
              </w:rPr>
              <w:t>Neumorené</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daňové</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straty</w:t>
            </w:r>
            <w:proofErr w:type="spellEnd"/>
          </w:p>
        </w:tc>
        <w:tc>
          <w:tcPr>
            <w:tcW w:w="998" w:type="pct"/>
            <w:tcBorders>
              <w:top w:val="nil"/>
              <w:left w:val="nil"/>
              <w:bottom w:val="nil"/>
              <w:right w:val="nil"/>
            </w:tcBorders>
            <w:vAlign w:val="bottom"/>
          </w:tcPr>
          <w:p w14:paraId="6E997661" w14:textId="4EF0F3EB" w:rsidR="00770DA7" w:rsidRPr="00226892" w:rsidRDefault="00770DA7" w:rsidP="009F2456">
            <w:pPr>
              <w:jc w:val="right"/>
              <w:rPr>
                <w:rFonts w:ascii="Arial" w:hAnsi="Arial" w:cs="Arial"/>
                <w:color w:val="000000"/>
                <w:sz w:val="18"/>
                <w:szCs w:val="18"/>
              </w:rPr>
            </w:pPr>
            <w:r w:rsidRPr="00226892">
              <w:rPr>
                <w:rFonts w:ascii="Arial" w:hAnsi="Arial" w:cs="Arial"/>
                <w:color w:val="000000"/>
                <w:sz w:val="18"/>
                <w:szCs w:val="18"/>
              </w:rPr>
              <w:t>-172</w:t>
            </w:r>
          </w:p>
        </w:tc>
        <w:tc>
          <w:tcPr>
            <w:tcW w:w="151" w:type="pct"/>
            <w:tcBorders>
              <w:top w:val="nil"/>
              <w:left w:val="nil"/>
              <w:bottom w:val="nil"/>
              <w:right w:val="nil"/>
            </w:tcBorders>
            <w:shd w:val="clear" w:color="auto" w:fill="auto"/>
            <w:vAlign w:val="bottom"/>
          </w:tcPr>
          <w:p w14:paraId="105F47F9" w14:textId="77777777" w:rsidR="00770DA7" w:rsidRPr="00226892" w:rsidRDefault="00770DA7" w:rsidP="009F2456">
            <w:pPr>
              <w:jc w:val="right"/>
              <w:rPr>
                <w:rFonts w:ascii="Arial" w:hAnsi="Arial" w:cs="Arial"/>
                <w:color w:val="000000"/>
                <w:sz w:val="18"/>
                <w:szCs w:val="18"/>
                <w:highlight w:val="yellow"/>
              </w:rPr>
            </w:pPr>
          </w:p>
        </w:tc>
        <w:tc>
          <w:tcPr>
            <w:tcW w:w="1064" w:type="pct"/>
            <w:tcBorders>
              <w:top w:val="nil"/>
              <w:left w:val="nil"/>
              <w:bottom w:val="nil"/>
              <w:right w:val="nil"/>
            </w:tcBorders>
            <w:shd w:val="clear" w:color="auto" w:fill="auto"/>
            <w:vAlign w:val="bottom"/>
          </w:tcPr>
          <w:p w14:paraId="3258E21E" w14:textId="0CCA5810" w:rsidR="00770DA7" w:rsidRPr="00226892" w:rsidRDefault="00770DA7" w:rsidP="009F2456">
            <w:pPr>
              <w:jc w:val="right"/>
              <w:rPr>
                <w:rFonts w:ascii="Arial" w:hAnsi="Arial" w:cs="Arial"/>
                <w:color w:val="000000"/>
                <w:sz w:val="18"/>
                <w:szCs w:val="18"/>
              </w:rPr>
            </w:pPr>
            <w:r w:rsidRPr="00226892">
              <w:rPr>
                <w:rFonts w:ascii="Arial" w:hAnsi="Arial" w:cs="Arial"/>
                <w:color w:val="000000"/>
                <w:sz w:val="18"/>
                <w:szCs w:val="18"/>
              </w:rPr>
              <w:t>144</w:t>
            </w:r>
          </w:p>
        </w:tc>
        <w:tc>
          <w:tcPr>
            <w:tcW w:w="99" w:type="pct"/>
            <w:tcBorders>
              <w:top w:val="nil"/>
              <w:left w:val="nil"/>
              <w:bottom w:val="nil"/>
              <w:right w:val="nil"/>
            </w:tcBorders>
            <w:shd w:val="clear" w:color="auto" w:fill="auto"/>
            <w:vAlign w:val="bottom"/>
          </w:tcPr>
          <w:p w14:paraId="16E75764" w14:textId="77777777" w:rsidR="00770DA7" w:rsidRPr="00226892" w:rsidRDefault="00770DA7" w:rsidP="009F2456">
            <w:pPr>
              <w:jc w:val="right"/>
              <w:rPr>
                <w:rFonts w:ascii="Arial" w:hAnsi="Arial" w:cs="Arial"/>
                <w:color w:val="000000"/>
                <w:sz w:val="18"/>
                <w:szCs w:val="18"/>
                <w:highlight w:val="yellow"/>
              </w:rPr>
            </w:pPr>
          </w:p>
        </w:tc>
        <w:tc>
          <w:tcPr>
            <w:tcW w:w="1149" w:type="pct"/>
            <w:tcBorders>
              <w:top w:val="nil"/>
              <w:left w:val="nil"/>
              <w:bottom w:val="nil"/>
              <w:right w:val="nil"/>
            </w:tcBorders>
            <w:vAlign w:val="bottom"/>
          </w:tcPr>
          <w:p w14:paraId="498C9520" w14:textId="49A1218C" w:rsidR="00770DA7" w:rsidRPr="00226892" w:rsidDel="00D90891" w:rsidRDefault="00770DA7" w:rsidP="009F2456">
            <w:pPr>
              <w:jc w:val="right"/>
              <w:rPr>
                <w:rFonts w:ascii="Arial" w:hAnsi="Arial" w:cs="Arial"/>
                <w:color w:val="000000"/>
                <w:sz w:val="18"/>
                <w:szCs w:val="18"/>
              </w:rPr>
            </w:pPr>
            <w:r w:rsidRPr="00226892">
              <w:rPr>
                <w:rFonts w:ascii="Arial" w:hAnsi="Arial" w:cs="Arial"/>
                <w:color w:val="000000"/>
                <w:sz w:val="18"/>
                <w:szCs w:val="18"/>
              </w:rPr>
              <w:t>-28</w:t>
            </w:r>
          </w:p>
        </w:tc>
      </w:tr>
      <w:tr w:rsidR="00770DA7" w:rsidRPr="00226892" w14:paraId="6062B650" w14:textId="77777777" w:rsidTr="007D76CE">
        <w:trPr>
          <w:trHeight w:val="227"/>
        </w:trPr>
        <w:tc>
          <w:tcPr>
            <w:tcW w:w="1538" w:type="pct"/>
            <w:tcBorders>
              <w:top w:val="nil"/>
              <w:left w:val="nil"/>
              <w:bottom w:val="nil"/>
              <w:right w:val="nil"/>
            </w:tcBorders>
            <w:shd w:val="clear" w:color="auto" w:fill="auto"/>
            <w:vAlign w:val="bottom"/>
          </w:tcPr>
          <w:p w14:paraId="457E3CD9" w14:textId="1D31F55E" w:rsidR="00770DA7" w:rsidRPr="00226892" w:rsidRDefault="00770DA7" w:rsidP="009F2456">
            <w:pPr>
              <w:rPr>
                <w:rFonts w:ascii="Arial" w:hAnsi="Arial" w:cs="Arial"/>
                <w:color w:val="000000"/>
                <w:sz w:val="18"/>
                <w:szCs w:val="18"/>
                <w:lang w:val="sk-SK"/>
              </w:rPr>
            </w:pPr>
            <w:proofErr w:type="spellStart"/>
            <w:r w:rsidRPr="00226892">
              <w:rPr>
                <w:rFonts w:ascii="Arial" w:hAnsi="Arial" w:cs="Arial"/>
                <w:color w:val="000000"/>
                <w:sz w:val="18"/>
                <w:szCs w:val="18"/>
              </w:rPr>
              <w:t>Nevyu</w:t>
            </w:r>
            <w:proofErr w:type="spellEnd"/>
            <w:r w:rsidRPr="00226892">
              <w:rPr>
                <w:rFonts w:ascii="Arial" w:hAnsi="Arial" w:cs="Arial"/>
                <w:color w:val="000000"/>
                <w:sz w:val="18"/>
                <w:szCs w:val="18"/>
                <w:lang w:val="sk-SK"/>
              </w:rPr>
              <w:t>žité daňové úľavy</w:t>
            </w:r>
          </w:p>
        </w:tc>
        <w:tc>
          <w:tcPr>
            <w:tcW w:w="998" w:type="pct"/>
            <w:tcBorders>
              <w:top w:val="nil"/>
              <w:left w:val="nil"/>
              <w:bottom w:val="nil"/>
              <w:right w:val="nil"/>
            </w:tcBorders>
            <w:vAlign w:val="bottom"/>
          </w:tcPr>
          <w:p w14:paraId="3D0A59A4" w14:textId="4590D97E" w:rsidR="00770DA7" w:rsidRPr="00226892" w:rsidRDefault="00770DA7" w:rsidP="009F2456">
            <w:pPr>
              <w:jc w:val="right"/>
              <w:rPr>
                <w:rFonts w:ascii="Arial" w:hAnsi="Arial" w:cs="Arial"/>
                <w:color w:val="000000"/>
                <w:sz w:val="18"/>
                <w:szCs w:val="18"/>
                <w:lang w:val="en-US"/>
              </w:rPr>
            </w:pPr>
            <w:r w:rsidRPr="00226892">
              <w:rPr>
                <w:rFonts w:ascii="Arial" w:hAnsi="Arial" w:cs="Arial"/>
                <w:color w:val="000000"/>
                <w:sz w:val="18"/>
                <w:szCs w:val="18"/>
                <w:lang w:val="en-US"/>
              </w:rPr>
              <w:t>-1 425</w:t>
            </w:r>
          </w:p>
        </w:tc>
        <w:tc>
          <w:tcPr>
            <w:tcW w:w="151" w:type="pct"/>
            <w:tcBorders>
              <w:top w:val="nil"/>
              <w:left w:val="nil"/>
              <w:right w:val="nil"/>
            </w:tcBorders>
            <w:shd w:val="clear" w:color="auto" w:fill="auto"/>
            <w:vAlign w:val="bottom"/>
          </w:tcPr>
          <w:p w14:paraId="511DB17C" w14:textId="77777777" w:rsidR="00770DA7" w:rsidRPr="00226892" w:rsidRDefault="00770DA7" w:rsidP="009F2456">
            <w:pPr>
              <w:jc w:val="right"/>
              <w:rPr>
                <w:rFonts w:ascii="Arial" w:hAnsi="Arial" w:cs="Arial"/>
                <w:color w:val="000000"/>
                <w:sz w:val="18"/>
                <w:szCs w:val="18"/>
              </w:rPr>
            </w:pPr>
          </w:p>
        </w:tc>
        <w:tc>
          <w:tcPr>
            <w:tcW w:w="1064" w:type="pct"/>
            <w:tcBorders>
              <w:top w:val="nil"/>
              <w:left w:val="nil"/>
              <w:bottom w:val="nil"/>
              <w:right w:val="nil"/>
            </w:tcBorders>
            <w:shd w:val="clear" w:color="auto" w:fill="auto"/>
            <w:vAlign w:val="bottom"/>
          </w:tcPr>
          <w:p w14:paraId="7B2EB1C4" w14:textId="60F4843F" w:rsidR="00770DA7" w:rsidRPr="00226892" w:rsidRDefault="00770DA7" w:rsidP="009F2456">
            <w:pPr>
              <w:jc w:val="right"/>
              <w:rPr>
                <w:rFonts w:ascii="Arial" w:hAnsi="Arial" w:cs="Arial"/>
                <w:color w:val="000000"/>
                <w:sz w:val="18"/>
                <w:szCs w:val="18"/>
              </w:rPr>
            </w:pPr>
            <w:r w:rsidRPr="00226892">
              <w:rPr>
                <w:rFonts w:ascii="Arial" w:hAnsi="Arial" w:cs="Arial"/>
                <w:color w:val="000000"/>
                <w:sz w:val="18"/>
                <w:szCs w:val="18"/>
              </w:rPr>
              <w:t>166</w:t>
            </w:r>
          </w:p>
        </w:tc>
        <w:tc>
          <w:tcPr>
            <w:tcW w:w="99" w:type="pct"/>
            <w:tcBorders>
              <w:top w:val="nil"/>
              <w:left w:val="nil"/>
              <w:bottom w:val="nil"/>
              <w:right w:val="nil"/>
            </w:tcBorders>
            <w:shd w:val="clear" w:color="auto" w:fill="auto"/>
            <w:vAlign w:val="bottom"/>
          </w:tcPr>
          <w:p w14:paraId="4966B698" w14:textId="77777777" w:rsidR="00770DA7" w:rsidRPr="00226892" w:rsidRDefault="00770DA7" w:rsidP="009F2456">
            <w:pPr>
              <w:jc w:val="right"/>
              <w:rPr>
                <w:rFonts w:ascii="Arial" w:hAnsi="Arial" w:cs="Arial"/>
                <w:color w:val="000000"/>
                <w:sz w:val="18"/>
                <w:szCs w:val="18"/>
              </w:rPr>
            </w:pPr>
          </w:p>
        </w:tc>
        <w:tc>
          <w:tcPr>
            <w:tcW w:w="1149" w:type="pct"/>
            <w:tcBorders>
              <w:top w:val="nil"/>
              <w:left w:val="nil"/>
              <w:bottom w:val="nil"/>
              <w:right w:val="nil"/>
            </w:tcBorders>
            <w:vAlign w:val="bottom"/>
          </w:tcPr>
          <w:p w14:paraId="4BAA53EE" w14:textId="506BD8FC" w:rsidR="00770DA7" w:rsidRPr="00226892" w:rsidDel="00D90891" w:rsidRDefault="00770DA7" w:rsidP="009F2456">
            <w:pPr>
              <w:jc w:val="right"/>
              <w:rPr>
                <w:rFonts w:ascii="Arial" w:hAnsi="Arial" w:cs="Arial"/>
                <w:color w:val="000000"/>
                <w:sz w:val="18"/>
                <w:szCs w:val="18"/>
                <w:lang w:val="en-US"/>
              </w:rPr>
            </w:pPr>
            <w:r w:rsidRPr="00226892">
              <w:rPr>
                <w:rFonts w:ascii="Arial" w:hAnsi="Arial" w:cs="Arial"/>
                <w:color w:val="000000"/>
                <w:sz w:val="18"/>
                <w:szCs w:val="18"/>
                <w:lang w:val="en-US"/>
              </w:rPr>
              <w:t>-1 259</w:t>
            </w:r>
          </w:p>
        </w:tc>
      </w:tr>
      <w:tr w:rsidR="00770DA7" w:rsidRPr="00226892" w14:paraId="6DBF69C6" w14:textId="77777777" w:rsidTr="007D76CE">
        <w:trPr>
          <w:trHeight w:val="227"/>
        </w:trPr>
        <w:tc>
          <w:tcPr>
            <w:tcW w:w="1538" w:type="pct"/>
            <w:tcBorders>
              <w:top w:val="nil"/>
              <w:left w:val="nil"/>
              <w:bottom w:val="nil"/>
              <w:right w:val="nil"/>
            </w:tcBorders>
            <w:shd w:val="clear" w:color="auto" w:fill="auto"/>
            <w:noWrap/>
            <w:vAlign w:val="bottom"/>
            <w:hideMark/>
          </w:tcPr>
          <w:p w14:paraId="45F907A2" w14:textId="77777777" w:rsidR="00770DA7" w:rsidRPr="00226892" w:rsidRDefault="00770DA7" w:rsidP="009F2456">
            <w:pPr>
              <w:rPr>
                <w:rFonts w:ascii="Arial" w:hAnsi="Arial" w:cs="Arial"/>
                <w:color w:val="000000"/>
                <w:sz w:val="18"/>
                <w:szCs w:val="18"/>
              </w:rPr>
            </w:pPr>
            <w:proofErr w:type="spellStart"/>
            <w:r w:rsidRPr="00226892">
              <w:rPr>
                <w:rFonts w:ascii="Arial" w:hAnsi="Arial" w:cs="Arial"/>
                <w:color w:val="000000"/>
                <w:sz w:val="18"/>
                <w:szCs w:val="18"/>
              </w:rPr>
              <w:t>Ostatné</w:t>
            </w:r>
            <w:proofErr w:type="spellEnd"/>
          </w:p>
        </w:tc>
        <w:tc>
          <w:tcPr>
            <w:tcW w:w="998" w:type="pct"/>
            <w:tcBorders>
              <w:top w:val="nil"/>
              <w:left w:val="nil"/>
              <w:bottom w:val="single" w:sz="4" w:space="0" w:color="auto"/>
              <w:right w:val="nil"/>
            </w:tcBorders>
            <w:vAlign w:val="bottom"/>
          </w:tcPr>
          <w:p w14:paraId="7F37C9E8" w14:textId="675EC12F" w:rsidR="00770DA7" w:rsidRPr="00226892" w:rsidRDefault="00770DA7" w:rsidP="009F2456">
            <w:pPr>
              <w:jc w:val="right"/>
              <w:rPr>
                <w:rFonts w:ascii="Arial" w:hAnsi="Arial" w:cs="Arial"/>
                <w:color w:val="000000"/>
                <w:sz w:val="18"/>
                <w:szCs w:val="18"/>
              </w:rPr>
            </w:pPr>
            <w:r w:rsidRPr="00226892">
              <w:rPr>
                <w:rFonts w:ascii="Arial" w:hAnsi="Arial" w:cs="Arial"/>
                <w:color w:val="000000"/>
                <w:sz w:val="18"/>
                <w:szCs w:val="18"/>
              </w:rPr>
              <w:t>-650</w:t>
            </w:r>
          </w:p>
        </w:tc>
        <w:tc>
          <w:tcPr>
            <w:tcW w:w="151" w:type="pct"/>
            <w:tcBorders>
              <w:top w:val="nil"/>
              <w:left w:val="nil"/>
              <w:right w:val="nil"/>
            </w:tcBorders>
            <w:shd w:val="clear" w:color="auto" w:fill="auto"/>
            <w:vAlign w:val="bottom"/>
          </w:tcPr>
          <w:p w14:paraId="1A49CEE2" w14:textId="77777777" w:rsidR="00770DA7" w:rsidRPr="00226892" w:rsidRDefault="00770DA7" w:rsidP="009F2456">
            <w:pPr>
              <w:jc w:val="right"/>
              <w:rPr>
                <w:rFonts w:ascii="Arial" w:hAnsi="Arial" w:cs="Arial"/>
                <w:color w:val="000000"/>
                <w:sz w:val="18"/>
                <w:szCs w:val="18"/>
                <w:highlight w:val="yellow"/>
              </w:rPr>
            </w:pPr>
          </w:p>
        </w:tc>
        <w:tc>
          <w:tcPr>
            <w:tcW w:w="1064" w:type="pct"/>
            <w:tcBorders>
              <w:top w:val="nil"/>
              <w:left w:val="nil"/>
              <w:bottom w:val="single" w:sz="4" w:space="0" w:color="auto"/>
              <w:right w:val="nil"/>
            </w:tcBorders>
            <w:shd w:val="clear" w:color="auto" w:fill="auto"/>
            <w:vAlign w:val="bottom"/>
          </w:tcPr>
          <w:p w14:paraId="1C92627C" w14:textId="39260536" w:rsidR="00770DA7" w:rsidRPr="00226892" w:rsidRDefault="00770DA7" w:rsidP="009F2456">
            <w:pPr>
              <w:jc w:val="right"/>
              <w:rPr>
                <w:rFonts w:ascii="Arial" w:hAnsi="Arial" w:cs="Arial"/>
                <w:color w:val="000000"/>
                <w:sz w:val="18"/>
                <w:szCs w:val="18"/>
              </w:rPr>
            </w:pPr>
            <w:r w:rsidRPr="00226892">
              <w:rPr>
                <w:rFonts w:ascii="Arial" w:hAnsi="Arial" w:cs="Arial"/>
                <w:color w:val="000000"/>
                <w:sz w:val="18"/>
                <w:szCs w:val="18"/>
              </w:rPr>
              <w:t>110</w:t>
            </w:r>
          </w:p>
        </w:tc>
        <w:tc>
          <w:tcPr>
            <w:tcW w:w="99" w:type="pct"/>
            <w:tcBorders>
              <w:top w:val="nil"/>
              <w:left w:val="nil"/>
              <w:right w:val="nil"/>
            </w:tcBorders>
            <w:shd w:val="clear" w:color="auto" w:fill="auto"/>
            <w:vAlign w:val="bottom"/>
          </w:tcPr>
          <w:p w14:paraId="36D8F33C" w14:textId="77777777" w:rsidR="00770DA7" w:rsidRPr="00226892" w:rsidRDefault="00770DA7" w:rsidP="009F2456">
            <w:pPr>
              <w:jc w:val="right"/>
              <w:rPr>
                <w:rFonts w:ascii="Arial" w:hAnsi="Arial" w:cs="Arial"/>
                <w:color w:val="000000"/>
                <w:sz w:val="18"/>
                <w:szCs w:val="18"/>
                <w:highlight w:val="yellow"/>
              </w:rPr>
            </w:pPr>
          </w:p>
        </w:tc>
        <w:tc>
          <w:tcPr>
            <w:tcW w:w="1149" w:type="pct"/>
            <w:tcBorders>
              <w:top w:val="nil"/>
              <w:left w:val="nil"/>
              <w:bottom w:val="single" w:sz="4" w:space="0" w:color="auto"/>
              <w:right w:val="nil"/>
            </w:tcBorders>
            <w:vAlign w:val="bottom"/>
          </w:tcPr>
          <w:p w14:paraId="78A85B31" w14:textId="02A2B9FE" w:rsidR="00770DA7" w:rsidRPr="00226892" w:rsidRDefault="00770DA7" w:rsidP="009F2456">
            <w:pPr>
              <w:jc w:val="right"/>
              <w:rPr>
                <w:rFonts w:ascii="Arial" w:hAnsi="Arial" w:cs="Arial"/>
                <w:color w:val="000000"/>
                <w:sz w:val="18"/>
                <w:szCs w:val="18"/>
              </w:rPr>
            </w:pPr>
            <w:r w:rsidRPr="00226892">
              <w:rPr>
                <w:rFonts w:ascii="Arial" w:hAnsi="Arial" w:cs="Arial"/>
                <w:color w:val="000000"/>
                <w:sz w:val="18"/>
                <w:szCs w:val="18"/>
              </w:rPr>
              <w:t>-540</w:t>
            </w:r>
          </w:p>
        </w:tc>
      </w:tr>
      <w:tr w:rsidR="00770DA7" w:rsidRPr="00226892" w14:paraId="34656D51" w14:textId="77777777" w:rsidTr="007D76CE">
        <w:trPr>
          <w:trHeight w:val="227"/>
        </w:trPr>
        <w:tc>
          <w:tcPr>
            <w:tcW w:w="1538" w:type="pct"/>
            <w:tcBorders>
              <w:top w:val="nil"/>
              <w:left w:val="nil"/>
              <w:bottom w:val="nil"/>
              <w:right w:val="nil"/>
            </w:tcBorders>
            <w:shd w:val="clear" w:color="auto" w:fill="auto"/>
            <w:noWrap/>
            <w:vAlign w:val="bottom"/>
            <w:hideMark/>
          </w:tcPr>
          <w:p w14:paraId="6349BE40" w14:textId="77777777" w:rsidR="00770DA7" w:rsidRPr="00226892" w:rsidRDefault="00770DA7" w:rsidP="009F2456">
            <w:pPr>
              <w:rPr>
                <w:rFonts w:ascii="Arial" w:hAnsi="Arial" w:cs="Arial"/>
                <w:b/>
                <w:bCs/>
                <w:color w:val="000000"/>
                <w:sz w:val="18"/>
                <w:szCs w:val="18"/>
              </w:rPr>
            </w:pPr>
            <w:proofErr w:type="spellStart"/>
            <w:r w:rsidRPr="00226892">
              <w:rPr>
                <w:rFonts w:ascii="Arial" w:hAnsi="Arial" w:cs="Arial"/>
                <w:b/>
                <w:bCs/>
                <w:color w:val="000000"/>
                <w:sz w:val="18"/>
                <w:szCs w:val="18"/>
              </w:rPr>
              <w:t>Spolu</w:t>
            </w:r>
            <w:proofErr w:type="spellEnd"/>
          </w:p>
        </w:tc>
        <w:tc>
          <w:tcPr>
            <w:tcW w:w="998" w:type="pct"/>
            <w:tcBorders>
              <w:top w:val="single" w:sz="4" w:space="0" w:color="auto"/>
              <w:left w:val="nil"/>
              <w:bottom w:val="double" w:sz="4" w:space="0" w:color="auto"/>
              <w:right w:val="nil"/>
            </w:tcBorders>
            <w:vAlign w:val="bottom"/>
          </w:tcPr>
          <w:p w14:paraId="6F407DFD" w14:textId="37C602CA" w:rsidR="00770DA7" w:rsidRPr="00226892" w:rsidRDefault="00770DA7" w:rsidP="009F2456">
            <w:pPr>
              <w:jc w:val="right"/>
              <w:rPr>
                <w:rFonts w:ascii="Arial" w:hAnsi="Arial" w:cs="Arial"/>
                <w:b/>
                <w:bCs/>
                <w:color w:val="000000"/>
                <w:sz w:val="18"/>
                <w:szCs w:val="18"/>
              </w:rPr>
            </w:pPr>
            <w:r w:rsidRPr="00226892">
              <w:rPr>
                <w:rFonts w:ascii="Arial" w:hAnsi="Arial" w:cs="Arial"/>
                <w:b/>
                <w:bCs/>
                <w:color w:val="000000"/>
                <w:sz w:val="18"/>
                <w:szCs w:val="18"/>
              </w:rPr>
              <w:t>865</w:t>
            </w:r>
          </w:p>
        </w:tc>
        <w:tc>
          <w:tcPr>
            <w:tcW w:w="151" w:type="pct"/>
            <w:tcBorders>
              <w:left w:val="nil"/>
              <w:right w:val="nil"/>
            </w:tcBorders>
            <w:shd w:val="clear" w:color="auto" w:fill="auto"/>
            <w:vAlign w:val="bottom"/>
          </w:tcPr>
          <w:p w14:paraId="182E580F" w14:textId="77777777" w:rsidR="00770DA7" w:rsidRPr="00226892" w:rsidRDefault="00770DA7" w:rsidP="009F2456">
            <w:pPr>
              <w:jc w:val="right"/>
              <w:rPr>
                <w:rFonts w:ascii="Arial" w:hAnsi="Arial" w:cs="Arial"/>
                <w:b/>
                <w:bCs/>
                <w:color w:val="000000"/>
                <w:sz w:val="18"/>
                <w:szCs w:val="18"/>
                <w:highlight w:val="yellow"/>
              </w:rPr>
            </w:pPr>
          </w:p>
        </w:tc>
        <w:tc>
          <w:tcPr>
            <w:tcW w:w="1064" w:type="pct"/>
            <w:tcBorders>
              <w:top w:val="single" w:sz="4" w:space="0" w:color="auto"/>
              <w:left w:val="nil"/>
              <w:bottom w:val="double" w:sz="4" w:space="0" w:color="auto"/>
              <w:right w:val="nil"/>
            </w:tcBorders>
            <w:shd w:val="clear" w:color="auto" w:fill="auto"/>
            <w:vAlign w:val="bottom"/>
          </w:tcPr>
          <w:p w14:paraId="44F508BF" w14:textId="4265DE18" w:rsidR="00770DA7" w:rsidRPr="00226892" w:rsidRDefault="00770DA7" w:rsidP="009F2456">
            <w:pPr>
              <w:pStyle w:val="Odsekzoznamu"/>
              <w:jc w:val="right"/>
              <w:rPr>
                <w:rFonts w:ascii="Arial" w:hAnsi="Arial" w:cs="Arial"/>
                <w:b/>
                <w:bCs/>
                <w:color w:val="000000"/>
                <w:sz w:val="18"/>
                <w:szCs w:val="18"/>
              </w:rPr>
            </w:pPr>
            <w:r w:rsidRPr="00226892">
              <w:rPr>
                <w:rFonts w:ascii="Arial" w:hAnsi="Arial" w:cs="Arial"/>
                <w:b/>
                <w:bCs/>
                <w:color w:val="000000"/>
                <w:sz w:val="18"/>
                <w:szCs w:val="18"/>
              </w:rPr>
              <w:t>413</w:t>
            </w:r>
          </w:p>
        </w:tc>
        <w:tc>
          <w:tcPr>
            <w:tcW w:w="99" w:type="pct"/>
            <w:tcBorders>
              <w:left w:val="nil"/>
              <w:right w:val="nil"/>
            </w:tcBorders>
            <w:shd w:val="clear" w:color="auto" w:fill="auto"/>
            <w:vAlign w:val="bottom"/>
          </w:tcPr>
          <w:p w14:paraId="075D644D" w14:textId="77777777" w:rsidR="00770DA7" w:rsidRPr="00226892" w:rsidRDefault="00770DA7" w:rsidP="009F2456">
            <w:pPr>
              <w:jc w:val="right"/>
              <w:rPr>
                <w:rFonts w:ascii="Arial" w:hAnsi="Arial" w:cs="Arial"/>
                <w:b/>
                <w:bCs/>
                <w:color w:val="000000"/>
                <w:sz w:val="18"/>
                <w:szCs w:val="18"/>
                <w:highlight w:val="yellow"/>
              </w:rPr>
            </w:pPr>
          </w:p>
        </w:tc>
        <w:tc>
          <w:tcPr>
            <w:tcW w:w="1149" w:type="pct"/>
            <w:tcBorders>
              <w:top w:val="single" w:sz="4" w:space="0" w:color="auto"/>
              <w:left w:val="nil"/>
              <w:bottom w:val="double" w:sz="4" w:space="0" w:color="auto"/>
              <w:right w:val="nil"/>
            </w:tcBorders>
            <w:vAlign w:val="bottom"/>
          </w:tcPr>
          <w:p w14:paraId="2A0246DE" w14:textId="59061FF9" w:rsidR="00770DA7" w:rsidRPr="00226892" w:rsidRDefault="00770DA7" w:rsidP="009F2456">
            <w:pPr>
              <w:jc w:val="right"/>
              <w:rPr>
                <w:rFonts w:ascii="Arial" w:hAnsi="Arial" w:cs="Arial"/>
                <w:b/>
                <w:bCs/>
                <w:color w:val="000000"/>
                <w:sz w:val="18"/>
                <w:szCs w:val="18"/>
              </w:rPr>
            </w:pPr>
            <w:r w:rsidRPr="00226892">
              <w:rPr>
                <w:rFonts w:ascii="Arial" w:hAnsi="Arial" w:cs="Arial"/>
                <w:b/>
                <w:bCs/>
                <w:color w:val="000000"/>
                <w:sz w:val="18"/>
                <w:szCs w:val="18"/>
              </w:rPr>
              <w:t>1 278</w:t>
            </w:r>
          </w:p>
        </w:tc>
      </w:tr>
    </w:tbl>
    <w:p w14:paraId="321F9EE2" w14:textId="4C5FC8D3" w:rsidR="003971D3" w:rsidRPr="00226892" w:rsidRDefault="003971D3" w:rsidP="00235CDF">
      <w:pPr>
        <w:pStyle w:val="odst"/>
        <w:rPr>
          <w:highlight w:val="yellow"/>
        </w:rPr>
      </w:pPr>
    </w:p>
    <w:p w14:paraId="11A8321A" w14:textId="7C96D50D" w:rsidR="004C79B8" w:rsidRPr="00226892" w:rsidRDefault="004C79B8" w:rsidP="00235CDF">
      <w:pPr>
        <w:pStyle w:val="odst"/>
        <w:rPr>
          <w:highlight w:val="yellow"/>
        </w:rPr>
      </w:pPr>
    </w:p>
    <w:p w14:paraId="41784A1C" w14:textId="3EBFEDB6" w:rsidR="004C79B8" w:rsidRPr="00226892" w:rsidRDefault="004C79B8" w:rsidP="00235CDF">
      <w:pPr>
        <w:pStyle w:val="odst"/>
        <w:rPr>
          <w:highlight w:val="yellow"/>
        </w:rPr>
      </w:pPr>
    </w:p>
    <w:p w14:paraId="640F3B47" w14:textId="58C056AF" w:rsidR="004C79B8" w:rsidRPr="00226892" w:rsidRDefault="004C79B8" w:rsidP="00235CDF">
      <w:pPr>
        <w:pStyle w:val="odst"/>
        <w:rPr>
          <w:highlight w:val="yellow"/>
        </w:rPr>
      </w:pPr>
    </w:p>
    <w:p w14:paraId="65CA595B" w14:textId="77777777" w:rsidR="0002499D" w:rsidRPr="00226892" w:rsidRDefault="0002499D" w:rsidP="00235CDF">
      <w:pPr>
        <w:pStyle w:val="odst"/>
        <w:rPr>
          <w:highlight w:val="yellow"/>
        </w:rPr>
      </w:pPr>
    </w:p>
    <w:p w14:paraId="4526F8D9" w14:textId="032576AD" w:rsidR="004C79B8" w:rsidRPr="00226892" w:rsidRDefault="004C79B8" w:rsidP="00235CDF">
      <w:pPr>
        <w:pStyle w:val="odst"/>
        <w:rPr>
          <w:highlight w:val="yellow"/>
        </w:rPr>
      </w:pPr>
    </w:p>
    <w:p w14:paraId="4F467628" w14:textId="77777777" w:rsidR="004C79B8" w:rsidRPr="00226892" w:rsidRDefault="004C79B8" w:rsidP="00235CDF">
      <w:pPr>
        <w:pStyle w:val="odst"/>
        <w:rPr>
          <w:highlight w:val="yellow"/>
        </w:rPr>
      </w:pPr>
    </w:p>
    <w:tbl>
      <w:tblPr>
        <w:tblW w:w="4989" w:type="pct"/>
        <w:tblCellMar>
          <w:left w:w="70" w:type="dxa"/>
          <w:right w:w="70" w:type="dxa"/>
        </w:tblCellMar>
        <w:tblLook w:val="04A0" w:firstRow="1" w:lastRow="0" w:firstColumn="1" w:lastColumn="0" w:noHBand="0" w:noVBand="1"/>
      </w:tblPr>
      <w:tblGrid>
        <w:gridCol w:w="2951"/>
        <w:gridCol w:w="1760"/>
        <w:gridCol w:w="204"/>
        <w:gridCol w:w="2031"/>
        <w:gridCol w:w="171"/>
        <w:gridCol w:w="2501"/>
      </w:tblGrid>
      <w:tr w:rsidR="006E545B" w:rsidRPr="00226892" w14:paraId="2C1BFE77" w14:textId="77777777" w:rsidTr="00E52A07">
        <w:trPr>
          <w:trHeight w:val="227"/>
        </w:trPr>
        <w:tc>
          <w:tcPr>
            <w:tcW w:w="1534" w:type="pct"/>
            <w:tcBorders>
              <w:top w:val="nil"/>
              <w:left w:val="nil"/>
              <w:bottom w:val="single" w:sz="4" w:space="0" w:color="auto"/>
              <w:right w:val="nil"/>
            </w:tcBorders>
            <w:shd w:val="clear" w:color="auto" w:fill="auto"/>
            <w:noWrap/>
            <w:vAlign w:val="bottom"/>
            <w:hideMark/>
          </w:tcPr>
          <w:p w14:paraId="439C777E" w14:textId="64A0E47A" w:rsidR="006E545B" w:rsidRPr="00226892" w:rsidRDefault="006E545B" w:rsidP="007C698C">
            <w:pPr>
              <w:rPr>
                <w:rFonts w:ascii="Arial" w:hAnsi="Arial" w:cs="Arial"/>
                <w:color w:val="000000"/>
                <w:sz w:val="18"/>
                <w:szCs w:val="18"/>
              </w:rPr>
            </w:pPr>
          </w:p>
          <w:p w14:paraId="0B6A1602" w14:textId="77777777" w:rsidR="006E545B" w:rsidRPr="00226892" w:rsidRDefault="006E545B" w:rsidP="007C698C">
            <w:pPr>
              <w:rPr>
                <w:rFonts w:ascii="Arial" w:hAnsi="Arial" w:cs="Arial"/>
                <w:color w:val="000000"/>
                <w:sz w:val="18"/>
                <w:szCs w:val="18"/>
              </w:rPr>
            </w:pPr>
          </w:p>
          <w:p w14:paraId="0210FFCF" w14:textId="5BD78F29" w:rsidR="006E545B" w:rsidRPr="00226892" w:rsidRDefault="006E545B" w:rsidP="007C698C">
            <w:pPr>
              <w:rPr>
                <w:rFonts w:ascii="Arial" w:hAnsi="Arial" w:cs="Arial"/>
                <w:color w:val="000000"/>
                <w:sz w:val="18"/>
                <w:szCs w:val="18"/>
                <w:lang w:val="sk-SK" w:eastAsia="sk-SK"/>
              </w:rPr>
            </w:pPr>
            <w:r w:rsidRPr="00226892">
              <w:rPr>
                <w:rFonts w:ascii="Arial" w:hAnsi="Arial" w:cs="Arial"/>
                <w:color w:val="000000"/>
                <w:sz w:val="18"/>
                <w:szCs w:val="18"/>
              </w:rPr>
              <w:t> </w:t>
            </w:r>
          </w:p>
        </w:tc>
        <w:tc>
          <w:tcPr>
            <w:tcW w:w="915" w:type="pct"/>
            <w:tcBorders>
              <w:top w:val="nil"/>
              <w:left w:val="nil"/>
              <w:bottom w:val="single" w:sz="4" w:space="0" w:color="auto"/>
              <w:right w:val="nil"/>
            </w:tcBorders>
            <w:shd w:val="clear" w:color="auto" w:fill="auto"/>
            <w:vAlign w:val="bottom"/>
            <w:hideMark/>
          </w:tcPr>
          <w:p w14:paraId="6389894D" w14:textId="5B058AD1" w:rsidR="006E545B" w:rsidRPr="00226892" w:rsidRDefault="006E545B" w:rsidP="007C698C">
            <w:pPr>
              <w:jc w:val="center"/>
              <w:rPr>
                <w:rFonts w:ascii="Arial" w:hAnsi="Arial" w:cs="Arial"/>
                <w:b/>
                <w:bCs/>
                <w:color w:val="000000"/>
                <w:sz w:val="18"/>
                <w:szCs w:val="18"/>
              </w:rPr>
            </w:pPr>
            <w:proofErr w:type="spellStart"/>
            <w:r w:rsidRPr="00226892">
              <w:rPr>
                <w:rFonts w:ascii="Arial" w:hAnsi="Arial" w:cs="Arial"/>
                <w:b/>
                <w:bCs/>
                <w:color w:val="000000"/>
                <w:sz w:val="18"/>
                <w:szCs w:val="18"/>
              </w:rPr>
              <w:t>Stav</w:t>
            </w:r>
            <w:proofErr w:type="spellEnd"/>
            <w:r w:rsidRPr="00226892">
              <w:rPr>
                <w:rFonts w:ascii="Arial" w:hAnsi="Arial" w:cs="Arial"/>
                <w:b/>
                <w:bCs/>
                <w:color w:val="000000"/>
                <w:sz w:val="18"/>
                <w:szCs w:val="18"/>
              </w:rPr>
              <w:t xml:space="preserve"> k 1. </w:t>
            </w:r>
            <w:proofErr w:type="spellStart"/>
            <w:r w:rsidRPr="00226892">
              <w:rPr>
                <w:rFonts w:ascii="Arial" w:hAnsi="Arial" w:cs="Arial"/>
                <w:b/>
                <w:bCs/>
                <w:color w:val="000000"/>
                <w:sz w:val="18"/>
                <w:szCs w:val="18"/>
              </w:rPr>
              <w:t>januáru</w:t>
            </w:r>
            <w:proofErr w:type="spellEnd"/>
            <w:r w:rsidRPr="00226892">
              <w:rPr>
                <w:rFonts w:ascii="Arial" w:hAnsi="Arial" w:cs="Arial"/>
                <w:b/>
                <w:bCs/>
                <w:color w:val="000000"/>
                <w:sz w:val="18"/>
                <w:szCs w:val="18"/>
              </w:rPr>
              <w:t xml:space="preserve"> 2017</w:t>
            </w:r>
          </w:p>
        </w:tc>
        <w:tc>
          <w:tcPr>
            <w:tcW w:w="106" w:type="pct"/>
            <w:tcBorders>
              <w:top w:val="nil"/>
              <w:left w:val="nil"/>
              <w:bottom w:val="single" w:sz="4" w:space="0" w:color="auto"/>
              <w:right w:val="nil"/>
            </w:tcBorders>
            <w:shd w:val="clear" w:color="auto" w:fill="auto"/>
            <w:vAlign w:val="bottom"/>
            <w:hideMark/>
          </w:tcPr>
          <w:p w14:paraId="2E653D0B" w14:textId="731FC725" w:rsidR="006E545B" w:rsidRPr="00226892" w:rsidRDefault="006E545B" w:rsidP="007C698C">
            <w:pPr>
              <w:jc w:val="center"/>
              <w:rPr>
                <w:rFonts w:ascii="Arial" w:hAnsi="Arial" w:cs="Arial"/>
                <w:b/>
                <w:bCs/>
                <w:color w:val="000000"/>
                <w:sz w:val="18"/>
                <w:szCs w:val="18"/>
              </w:rPr>
            </w:pPr>
          </w:p>
        </w:tc>
        <w:tc>
          <w:tcPr>
            <w:tcW w:w="1056" w:type="pct"/>
            <w:tcBorders>
              <w:top w:val="nil"/>
              <w:left w:val="nil"/>
              <w:bottom w:val="single" w:sz="4" w:space="0" w:color="auto"/>
              <w:right w:val="nil"/>
            </w:tcBorders>
            <w:shd w:val="clear" w:color="auto" w:fill="auto"/>
            <w:vAlign w:val="bottom"/>
            <w:hideMark/>
          </w:tcPr>
          <w:p w14:paraId="7CE3A250" w14:textId="2527CCAE" w:rsidR="006E545B" w:rsidRPr="00226892" w:rsidRDefault="006E545B" w:rsidP="007C698C">
            <w:pPr>
              <w:jc w:val="center"/>
              <w:rPr>
                <w:rFonts w:ascii="Arial" w:hAnsi="Arial" w:cs="Arial"/>
                <w:b/>
                <w:bCs/>
                <w:color w:val="000000"/>
                <w:sz w:val="18"/>
                <w:szCs w:val="18"/>
              </w:rPr>
            </w:pPr>
            <w:proofErr w:type="spellStart"/>
            <w:r w:rsidRPr="00226892">
              <w:rPr>
                <w:rFonts w:ascii="Arial" w:hAnsi="Arial" w:cs="Arial"/>
                <w:b/>
                <w:bCs/>
                <w:color w:val="000000"/>
                <w:sz w:val="18"/>
                <w:szCs w:val="18"/>
              </w:rPr>
              <w:t>Náklad</w:t>
            </w:r>
            <w:proofErr w:type="spellEnd"/>
            <w:r w:rsidRPr="00226892">
              <w:rPr>
                <w:rFonts w:ascii="Arial" w:hAnsi="Arial" w:cs="Arial"/>
                <w:b/>
                <w:bCs/>
                <w:color w:val="000000"/>
                <w:sz w:val="18"/>
                <w:szCs w:val="18"/>
              </w:rPr>
              <w:t xml:space="preserve">/ (-) </w:t>
            </w:r>
            <w:proofErr w:type="spellStart"/>
            <w:r w:rsidRPr="00226892">
              <w:rPr>
                <w:rFonts w:ascii="Arial" w:hAnsi="Arial" w:cs="Arial"/>
                <w:b/>
                <w:bCs/>
                <w:color w:val="000000"/>
                <w:sz w:val="18"/>
                <w:szCs w:val="18"/>
              </w:rPr>
              <w:t>Výnos</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vo</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výkaze</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ziskov</w:t>
            </w:r>
            <w:proofErr w:type="spellEnd"/>
            <w:r w:rsidRPr="00226892">
              <w:rPr>
                <w:rFonts w:ascii="Arial" w:hAnsi="Arial" w:cs="Arial"/>
                <w:b/>
                <w:bCs/>
                <w:color w:val="000000"/>
                <w:sz w:val="18"/>
                <w:szCs w:val="18"/>
              </w:rPr>
              <w:t xml:space="preserve"> a </w:t>
            </w:r>
            <w:proofErr w:type="spellStart"/>
            <w:r w:rsidRPr="00226892">
              <w:rPr>
                <w:rFonts w:ascii="Arial" w:hAnsi="Arial" w:cs="Arial"/>
                <w:b/>
                <w:bCs/>
                <w:color w:val="000000"/>
                <w:sz w:val="18"/>
                <w:szCs w:val="18"/>
              </w:rPr>
              <w:t>strát</w:t>
            </w:r>
            <w:proofErr w:type="spellEnd"/>
          </w:p>
        </w:tc>
        <w:tc>
          <w:tcPr>
            <w:tcW w:w="89" w:type="pct"/>
            <w:tcBorders>
              <w:top w:val="nil"/>
              <w:left w:val="nil"/>
              <w:bottom w:val="single" w:sz="4" w:space="0" w:color="auto"/>
              <w:right w:val="nil"/>
            </w:tcBorders>
            <w:shd w:val="clear" w:color="auto" w:fill="auto"/>
            <w:vAlign w:val="bottom"/>
            <w:hideMark/>
          </w:tcPr>
          <w:p w14:paraId="33FC5603" w14:textId="7F1FA1B4" w:rsidR="006E545B" w:rsidRPr="00226892" w:rsidRDefault="006E545B" w:rsidP="007C698C">
            <w:pPr>
              <w:jc w:val="center"/>
              <w:rPr>
                <w:rFonts w:ascii="Arial" w:hAnsi="Arial" w:cs="Arial"/>
                <w:b/>
                <w:bCs/>
                <w:color w:val="000000"/>
                <w:sz w:val="18"/>
                <w:szCs w:val="18"/>
              </w:rPr>
            </w:pPr>
          </w:p>
        </w:tc>
        <w:tc>
          <w:tcPr>
            <w:tcW w:w="1300" w:type="pct"/>
            <w:tcBorders>
              <w:top w:val="nil"/>
              <w:left w:val="nil"/>
              <w:bottom w:val="single" w:sz="4" w:space="0" w:color="auto"/>
              <w:right w:val="nil"/>
            </w:tcBorders>
            <w:shd w:val="clear" w:color="auto" w:fill="auto"/>
            <w:noWrap/>
            <w:vAlign w:val="bottom"/>
            <w:hideMark/>
          </w:tcPr>
          <w:p w14:paraId="727C7832" w14:textId="7B8B7DA3" w:rsidR="006E545B" w:rsidRPr="00226892" w:rsidRDefault="006E545B" w:rsidP="007C698C">
            <w:pPr>
              <w:jc w:val="center"/>
              <w:rPr>
                <w:rFonts w:ascii="Arial" w:hAnsi="Arial" w:cs="Arial"/>
                <w:b/>
                <w:bCs/>
                <w:color w:val="000000"/>
                <w:sz w:val="18"/>
                <w:szCs w:val="18"/>
              </w:rPr>
            </w:pPr>
            <w:proofErr w:type="spellStart"/>
            <w:r w:rsidRPr="00226892">
              <w:rPr>
                <w:rFonts w:ascii="Arial" w:hAnsi="Arial" w:cs="Arial"/>
                <w:b/>
                <w:bCs/>
                <w:color w:val="000000"/>
                <w:sz w:val="18"/>
                <w:szCs w:val="18"/>
              </w:rPr>
              <w:t>Stav</w:t>
            </w:r>
            <w:proofErr w:type="spellEnd"/>
            <w:r w:rsidRPr="00226892">
              <w:rPr>
                <w:rFonts w:ascii="Arial" w:hAnsi="Arial" w:cs="Arial"/>
                <w:b/>
                <w:bCs/>
                <w:color w:val="000000"/>
                <w:sz w:val="18"/>
                <w:szCs w:val="18"/>
              </w:rPr>
              <w:t xml:space="preserve"> k 31. </w:t>
            </w:r>
            <w:proofErr w:type="spellStart"/>
            <w:r w:rsidRPr="00226892">
              <w:rPr>
                <w:rFonts w:ascii="Arial" w:hAnsi="Arial" w:cs="Arial"/>
                <w:b/>
                <w:bCs/>
                <w:color w:val="000000"/>
                <w:sz w:val="18"/>
                <w:szCs w:val="18"/>
              </w:rPr>
              <w:t>decembru</w:t>
            </w:r>
            <w:proofErr w:type="spellEnd"/>
            <w:r w:rsidRPr="00226892">
              <w:rPr>
                <w:rFonts w:ascii="Arial" w:hAnsi="Arial" w:cs="Arial"/>
                <w:b/>
                <w:bCs/>
                <w:color w:val="000000"/>
                <w:sz w:val="18"/>
                <w:szCs w:val="18"/>
              </w:rPr>
              <w:t xml:space="preserve"> 2017</w:t>
            </w:r>
          </w:p>
        </w:tc>
      </w:tr>
      <w:tr w:rsidR="006E545B" w:rsidRPr="00226892" w14:paraId="21657396" w14:textId="77777777" w:rsidTr="00E52A07">
        <w:trPr>
          <w:trHeight w:val="227"/>
        </w:trPr>
        <w:tc>
          <w:tcPr>
            <w:tcW w:w="1534" w:type="pct"/>
            <w:tcBorders>
              <w:top w:val="nil"/>
              <w:left w:val="nil"/>
              <w:bottom w:val="nil"/>
              <w:right w:val="nil"/>
            </w:tcBorders>
            <w:shd w:val="clear" w:color="auto" w:fill="auto"/>
            <w:vAlign w:val="bottom"/>
            <w:hideMark/>
          </w:tcPr>
          <w:p w14:paraId="48FDEF13" w14:textId="77777777" w:rsidR="006E545B" w:rsidRPr="00226892" w:rsidRDefault="006E545B" w:rsidP="007C698C">
            <w:pPr>
              <w:rPr>
                <w:rFonts w:ascii="Arial" w:hAnsi="Arial" w:cs="Arial"/>
                <w:color w:val="000000"/>
                <w:sz w:val="18"/>
                <w:szCs w:val="18"/>
              </w:rPr>
            </w:pPr>
            <w:proofErr w:type="spellStart"/>
            <w:r w:rsidRPr="00226892">
              <w:rPr>
                <w:rFonts w:ascii="Arial" w:hAnsi="Arial" w:cs="Arial"/>
                <w:color w:val="000000"/>
                <w:sz w:val="18"/>
                <w:szCs w:val="18"/>
              </w:rPr>
              <w:t>Opravné</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položky</w:t>
            </w:r>
            <w:proofErr w:type="spellEnd"/>
            <w:r w:rsidRPr="00226892">
              <w:rPr>
                <w:rFonts w:ascii="Arial" w:hAnsi="Arial" w:cs="Arial"/>
                <w:color w:val="000000"/>
                <w:sz w:val="18"/>
                <w:szCs w:val="18"/>
              </w:rPr>
              <w:t xml:space="preserve"> k </w:t>
            </w:r>
            <w:proofErr w:type="spellStart"/>
            <w:r w:rsidRPr="00226892">
              <w:rPr>
                <w:rFonts w:ascii="Arial" w:hAnsi="Arial" w:cs="Arial"/>
                <w:color w:val="000000"/>
                <w:sz w:val="18"/>
                <w:szCs w:val="18"/>
              </w:rPr>
              <w:t>nedobytným</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pohľadávkam</w:t>
            </w:r>
            <w:proofErr w:type="spellEnd"/>
          </w:p>
        </w:tc>
        <w:tc>
          <w:tcPr>
            <w:tcW w:w="915" w:type="pct"/>
            <w:tcBorders>
              <w:top w:val="nil"/>
              <w:left w:val="nil"/>
              <w:bottom w:val="nil"/>
              <w:right w:val="nil"/>
            </w:tcBorders>
            <w:shd w:val="clear" w:color="auto" w:fill="auto"/>
            <w:vAlign w:val="bottom"/>
          </w:tcPr>
          <w:p w14:paraId="5F952AC1" w14:textId="0EDB7278" w:rsidR="006E545B" w:rsidRPr="00226892" w:rsidRDefault="006E545B" w:rsidP="007C698C">
            <w:pPr>
              <w:jc w:val="right"/>
              <w:rPr>
                <w:rFonts w:ascii="Arial" w:hAnsi="Arial" w:cs="Arial"/>
                <w:color w:val="000000"/>
                <w:sz w:val="18"/>
                <w:szCs w:val="18"/>
              </w:rPr>
            </w:pPr>
            <w:r w:rsidRPr="00226892">
              <w:rPr>
                <w:rFonts w:ascii="Arial" w:hAnsi="Arial" w:cs="Arial"/>
                <w:color w:val="000000"/>
                <w:sz w:val="18"/>
                <w:szCs w:val="18"/>
              </w:rPr>
              <w:t>-15</w:t>
            </w:r>
          </w:p>
        </w:tc>
        <w:tc>
          <w:tcPr>
            <w:tcW w:w="106" w:type="pct"/>
            <w:tcBorders>
              <w:top w:val="nil"/>
              <w:left w:val="nil"/>
              <w:bottom w:val="nil"/>
              <w:right w:val="nil"/>
            </w:tcBorders>
            <w:shd w:val="clear" w:color="auto" w:fill="auto"/>
            <w:vAlign w:val="bottom"/>
          </w:tcPr>
          <w:p w14:paraId="789604BA" w14:textId="77777777" w:rsidR="006E545B" w:rsidRPr="00226892" w:rsidRDefault="006E545B" w:rsidP="007C698C">
            <w:pPr>
              <w:jc w:val="right"/>
              <w:rPr>
                <w:rFonts w:ascii="Arial" w:hAnsi="Arial" w:cs="Arial"/>
                <w:color w:val="000000"/>
                <w:sz w:val="18"/>
                <w:szCs w:val="18"/>
              </w:rPr>
            </w:pPr>
          </w:p>
        </w:tc>
        <w:tc>
          <w:tcPr>
            <w:tcW w:w="1056" w:type="pct"/>
            <w:tcBorders>
              <w:top w:val="nil"/>
              <w:left w:val="nil"/>
              <w:bottom w:val="nil"/>
              <w:right w:val="nil"/>
            </w:tcBorders>
            <w:shd w:val="clear" w:color="auto" w:fill="auto"/>
            <w:vAlign w:val="bottom"/>
          </w:tcPr>
          <w:p w14:paraId="2E4052E0" w14:textId="13C32E0D" w:rsidR="006E545B" w:rsidRPr="00226892" w:rsidRDefault="006E545B" w:rsidP="007C698C">
            <w:pPr>
              <w:jc w:val="right"/>
              <w:rPr>
                <w:rFonts w:ascii="Arial" w:hAnsi="Arial" w:cs="Arial"/>
                <w:color w:val="000000"/>
                <w:sz w:val="18"/>
                <w:szCs w:val="18"/>
              </w:rPr>
            </w:pPr>
            <w:r w:rsidRPr="00226892">
              <w:rPr>
                <w:rFonts w:ascii="Arial" w:hAnsi="Arial" w:cs="Arial"/>
                <w:color w:val="000000"/>
                <w:sz w:val="18"/>
                <w:szCs w:val="18"/>
              </w:rPr>
              <w:t>15</w:t>
            </w:r>
          </w:p>
        </w:tc>
        <w:tc>
          <w:tcPr>
            <w:tcW w:w="89" w:type="pct"/>
            <w:tcBorders>
              <w:top w:val="nil"/>
              <w:left w:val="nil"/>
              <w:bottom w:val="nil"/>
              <w:right w:val="nil"/>
            </w:tcBorders>
            <w:shd w:val="clear" w:color="auto" w:fill="auto"/>
            <w:vAlign w:val="bottom"/>
          </w:tcPr>
          <w:p w14:paraId="19C63614" w14:textId="77777777" w:rsidR="006E545B" w:rsidRPr="00226892" w:rsidRDefault="006E545B" w:rsidP="007C698C">
            <w:pPr>
              <w:jc w:val="right"/>
              <w:rPr>
                <w:rFonts w:ascii="Arial" w:hAnsi="Arial" w:cs="Arial"/>
                <w:color w:val="000000"/>
                <w:sz w:val="18"/>
                <w:szCs w:val="18"/>
              </w:rPr>
            </w:pPr>
          </w:p>
        </w:tc>
        <w:tc>
          <w:tcPr>
            <w:tcW w:w="1300" w:type="pct"/>
            <w:tcBorders>
              <w:top w:val="nil"/>
              <w:left w:val="nil"/>
              <w:bottom w:val="nil"/>
              <w:right w:val="nil"/>
            </w:tcBorders>
            <w:shd w:val="clear" w:color="auto" w:fill="auto"/>
            <w:vAlign w:val="bottom"/>
          </w:tcPr>
          <w:p w14:paraId="641554DC" w14:textId="41CA7500" w:rsidR="006E545B" w:rsidRPr="00226892" w:rsidRDefault="006E545B" w:rsidP="007C698C">
            <w:pPr>
              <w:jc w:val="right"/>
              <w:rPr>
                <w:rFonts w:ascii="Arial" w:hAnsi="Arial" w:cs="Arial"/>
                <w:color w:val="000000"/>
                <w:sz w:val="18"/>
                <w:szCs w:val="18"/>
              </w:rPr>
            </w:pPr>
            <w:r w:rsidRPr="00226892">
              <w:rPr>
                <w:rFonts w:ascii="Arial" w:hAnsi="Arial" w:cs="Arial"/>
                <w:color w:val="000000"/>
                <w:sz w:val="18"/>
                <w:szCs w:val="18"/>
              </w:rPr>
              <w:t>-</w:t>
            </w:r>
          </w:p>
        </w:tc>
      </w:tr>
      <w:tr w:rsidR="006E545B" w:rsidRPr="00226892" w14:paraId="0237F144" w14:textId="77777777" w:rsidTr="00E52A07">
        <w:trPr>
          <w:trHeight w:val="227"/>
        </w:trPr>
        <w:tc>
          <w:tcPr>
            <w:tcW w:w="1534" w:type="pct"/>
            <w:tcBorders>
              <w:top w:val="nil"/>
              <w:left w:val="nil"/>
              <w:bottom w:val="nil"/>
              <w:right w:val="nil"/>
            </w:tcBorders>
            <w:shd w:val="clear" w:color="auto" w:fill="auto"/>
            <w:vAlign w:val="bottom"/>
            <w:hideMark/>
          </w:tcPr>
          <w:p w14:paraId="4C0FF80A" w14:textId="77777777" w:rsidR="006E545B" w:rsidRPr="00226892" w:rsidRDefault="006E545B" w:rsidP="007C698C">
            <w:pPr>
              <w:rPr>
                <w:rFonts w:ascii="Arial" w:hAnsi="Arial" w:cs="Arial"/>
                <w:color w:val="000000"/>
                <w:sz w:val="18"/>
                <w:szCs w:val="18"/>
              </w:rPr>
            </w:pPr>
            <w:proofErr w:type="spellStart"/>
            <w:r w:rsidRPr="00226892">
              <w:rPr>
                <w:rFonts w:ascii="Arial" w:hAnsi="Arial" w:cs="Arial"/>
                <w:color w:val="000000"/>
                <w:sz w:val="18"/>
                <w:szCs w:val="18"/>
              </w:rPr>
              <w:t>Úpravy</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na</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majetku</w:t>
            </w:r>
            <w:proofErr w:type="spellEnd"/>
            <w:r w:rsidRPr="00226892">
              <w:rPr>
                <w:rFonts w:ascii="Arial" w:hAnsi="Arial" w:cs="Arial"/>
                <w:color w:val="000000"/>
                <w:sz w:val="18"/>
                <w:szCs w:val="18"/>
              </w:rPr>
              <w:t xml:space="preserve"> – </w:t>
            </w:r>
            <w:proofErr w:type="spellStart"/>
            <w:r w:rsidRPr="00226892">
              <w:rPr>
                <w:rFonts w:ascii="Arial" w:hAnsi="Arial" w:cs="Arial"/>
                <w:color w:val="000000"/>
                <w:sz w:val="18"/>
                <w:szCs w:val="18"/>
              </w:rPr>
              <w:t>netto</w:t>
            </w:r>
            <w:proofErr w:type="spellEnd"/>
          </w:p>
        </w:tc>
        <w:tc>
          <w:tcPr>
            <w:tcW w:w="915" w:type="pct"/>
            <w:tcBorders>
              <w:top w:val="nil"/>
              <w:left w:val="nil"/>
              <w:bottom w:val="nil"/>
              <w:right w:val="nil"/>
            </w:tcBorders>
            <w:shd w:val="clear" w:color="auto" w:fill="auto"/>
            <w:vAlign w:val="bottom"/>
          </w:tcPr>
          <w:p w14:paraId="1C85F11D" w14:textId="0EF75765" w:rsidR="006E545B" w:rsidRPr="00226892" w:rsidRDefault="006E545B" w:rsidP="007C698C">
            <w:pPr>
              <w:jc w:val="right"/>
              <w:rPr>
                <w:rFonts w:ascii="Arial" w:hAnsi="Arial" w:cs="Arial"/>
                <w:color w:val="000000"/>
                <w:sz w:val="18"/>
                <w:szCs w:val="18"/>
              </w:rPr>
            </w:pPr>
            <w:r w:rsidRPr="00226892">
              <w:rPr>
                <w:rFonts w:ascii="Arial" w:hAnsi="Arial" w:cs="Arial"/>
                <w:color w:val="000000"/>
                <w:sz w:val="18"/>
                <w:szCs w:val="18"/>
              </w:rPr>
              <w:t>2 300</w:t>
            </w:r>
          </w:p>
        </w:tc>
        <w:tc>
          <w:tcPr>
            <w:tcW w:w="106" w:type="pct"/>
            <w:tcBorders>
              <w:top w:val="nil"/>
              <w:left w:val="nil"/>
              <w:bottom w:val="nil"/>
              <w:right w:val="nil"/>
            </w:tcBorders>
            <w:shd w:val="clear" w:color="auto" w:fill="auto"/>
            <w:vAlign w:val="bottom"/>
          </w:tcPr>
          <w:p w14:paraId="597F9CC2" w14:textId="77777777" w:rsidR="006E545B" w:rsidRPr="00226892" w:rsidRDefault="006E545B" w:rsidP="007C698C">
            <w:pPr>
              <w:jc w:val="right"/>
              <w:rPr>
                <w:rFonts w:ascii="Arial" w:hAnsi="Arial" w:cs="Arial"/>
                <w:color w:val="000000"/>
                <w:sz w:val="18"/>
                <w:szCs w:val="18"/>
              </w:rPr>
            </w:pPr>
          </w:p>
        </w:tc>
        <w:tc>
          <w:tcPr>
            <w:tcW w:w="1056" w:type="pct"/>
            <w:tcBorders>
              <w:top w:val="nil"/>
              <w:left w:val="nil"/>
              <w:bottom w:val="nil"/>
              <w:right w:val="nil"/>
            </w:tcBorders>
            <w:shd w:val="clear" w:color="auto" w:fill="auto"/>
            <w:vAlign w:val="bottom"/>
          </w:tcPr>
          <w:p w14:paraId="0FAD934C" w14:textId="41E081BA" w:rsidR="006E545B" w:rsidRPr="00226892" w:rsidRDefault="006E545B" w:rsidP="007C698C">
            <w:pPr>
              <w:jc w:val="right"/>
              <w:rPr>
                <w:rFonts w:ascii="Arial" w:hAnsi="Arial" w:cs="Arial"/>
                <w:color w:val="000000"/>
                <w:sz w:val="18"/>
                <w:szCs w:val="18"/>
              </w:rPr>
            </w:pPr>
            <w:r w:rsidRPr="00226892">
              <w:rPr>
                <w:rFonts w:ascii="Arial" w:hAnsi="Arial" w:cs="Arial"/>
                <w:color w:val="000000"/>
                <w:sz w:val="18"/>
                <w:szCs w:val="18"/>
              </w:rPr>
              <w:t>738</w:t>
            </w:r>
          </w:p>
        </w:tc>
        <w:tc>
          <w:tcPr>
            <w:tcW w:w="89" w:type="pct"/>
            <w:tcBorders>
              <w:top w:val="nil"/>
              <w:left w:val="nil"/>
              <w:bottom w:val="nil"/>
              <w:right w:val="nil"/>
            </w:tcBorders>
            <w:shd w:val="clear" w:color="auto" w:fill="auto"/>
            <w:vAlign w:val="bottom"/>
          </w:tcPr>
          <w:p w14:paraId="3D5A7F99" w14:textId="77777777" w:rsidR="006E545B" w:rsidRPr="00226892" w:rsidRDefault="006E545B" w:rsidP="007C698C">
            <w:pPr>
              <w:jc w:val="right"/>
              <w:rPr>
                <w:rFonts w:ascii="Arial" w:hAnsi="Arial" w:cs="Arial"/>
                <w:color w:val="000000"/>
                <w:sz w:val="18"/>
                <w:szCs w:val="18"/>
              </w:rPr>
            </w:pPr>
          </w:p>
        </w:tc>
        <w:tc>
          <w:tcPr>
            <w:tcW w:w="1300" w:type="pct"/>
            <w:tcBorders>
              <w:top w:val="nil"/>
              <w:left w:val="nil"/>
              <w:bottom w:val="nil"/>
              <w:right w:val="nil"/>
            </w:tcBorders>
            <w:shd w:val="clear" w:color="auto" w:fill="auto"/>
            <w:vAlign w:val="bottom"/>
          </w:tcPr>
          <w:p w14:paraId="53DDE21A" w14:textId="5CDD93B6" w:rsidR="006E545B" w:rsidRPr="00226892" w:rsidRDefault="006E545B" w:rsidP="007C698C">
            <w:pPr>
              <w:jc w:val="right"/>
              <w:rPr>
                <w:rFonts w:ascii="Arial" w:hAnsi="Arial" w:cs="Arial"/>
                <w:color w:val="000000"/>
                <w:sz w:val="18"/>
                <w:szCs w:val="18"/>
              </w:rPr>
            </w:pPr>
            <w:r w:rsidRPr="00226892">
              <w:rPr>
                <w:rFonts w:ascii="Arial" w:hAnsi="Arial" w:cs="Arial"/>
                <w:color w:val="000000"/>
                <w:sz w:val="18"/>
                <w:szCs w:val="18"/>
              </w:rPr>
              <w:t>3 038</w:t>
            </w:r>
          </w:p>
        </w:tc>
      </w:tr>
      <w:tr w:rsidR="006E545B" w:rsidRPr="00226892" w14:paraId="7F1F5622" w14:textId="77777777" w:rsidTr="00E52A07">
        <w:trPr>
          <w:trHeight w:val="227"/>
        </w:trPr>
        <w:tc>
          <w:tcPr>
            <w:tcW w:w="1534" w:type="pct"/>
            <w:tcBorders>
              <w:top w:val="nil"/>
              <w:left w:val="nil"/>
              <w:bottom w:val="nil"/>
              <w:right w:val="nil"/>
            </w:tcBorders>
            <w:shd w:val="clear" w:color="auto" w:fill="auto"/>
            <w:vAlign w:val="bottom"/>
            <w:hideMark/>
          </w:tcPr>
          <w:p w14:paraId="372F6DCF" w14:textId="77C4006D" w:rsidR="006E545B" w:rsidRPr="00226892" w:rsidRDefault="006E545B" w:rsidP="007C698C">
            <w:pPr>
              <w:rPr>
                <w:rFonts w:ascii="Arial" w:hAnsi="Arial" w:cs="Arial"/>
                <w:color w:val="000000"/>
                <w:sz w:val="18"/>
                <w:szCs w:val="18"/>
              </w:rPr>
            </w:pPr>
            <w:proofErr w:type="spellStart"/>
            <w:r w:rsidRPr="00226892">
              <w:rPr>
                <w:rFonts w:ascii="Arial" w:hAnsi="Arial" w:cs="Arial"/>
                <w:color w:val="000000"/>
                <w:sz w:val="18"/>
                <w:szCs w:val="18"/>
              </w:rPr>
              <w:t>Opravné</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položky</w:t>
            </w:r>
            <w:proofErr w:type="spellEnd"/>
            <w:r w:rsidRPr="00226892">
              <w:rPr>
                <w:rFonts w:ascii="Arial" w:hAnsi="Arial" w:cs="Arial"/>
                <w:color w:val="000000"/>
                <w:sz w:val="18"/>
                <w:szCs w:val="18"/>
              </w:rPr>
              <w:t xml:space="preserve"> k </w:t>
            </w:r>
            <w:proofErr w:type="spellStart"/>
            <w:r w:rsidRPr="00226892">
              <w:rPr>
                <w:rFonts w:ascii="Arial" w:hAnsi="Arial" w:cs="Arial"/>
                <w:color w:val="000000"/>
                <w:sz w:val="18"/>
                <w:szCs w:val="18"/>
              </w:rPr>
              <w:t>zásobám</w:t>
            </w:r>
            <w:proofErr w:type="spellEnd"/>
            <w:r w:rsidRPr="00226892">
              <w:rPr>
                <w:rFonts w:ascii="Arial" w:hAnsi="Arial" w:cs="Arial"/>
                <w:color w:val="000000"/>
                <w:sz w:val="18"/>
                <w:szCs w:val="18"/>
              </w:rPr>
              <w:t xml:space="preserve"> </w:t>
            </w:r>
            <w:proofErr w:type="gramStart"/>
            <w:r w:rsidRPr="00226892">
              <w:rPr>
                <w:rFonts w:ascii="Arial" w:hAnsi="Arial" w:cs="Arial"/>
                <w:color w:val="000000"/>
                <w:sz w:val="18"/>
                <w:szCs w:val="18"/>
              </w:rPr>
              <w:t>a</w:t>
            </w:r>
            <w:proofErr w:type="gram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ocenenie</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zásob</w:t>
            </w:r>
            <w:proofErr w:type="spellEnd"/>
          </w:p>
        </w:tc>
        <w:tc>
          <w:tcPr>
            <w:tcW w:w="915" w:type="pct"/>
            <w:tcBorders>
              <w:top w:val="nil"/>
              <w:left w:val="nil"/>
              <w:bottom w:val="nil"/>
              <w:right w:val="nil"/>
            </w:tcBorders>
            <w:shd w:val="clear" w:color="auto" w:fill="auto"/>
            <w:vAlign w:val="bottom"/>
          </w:tcPr>
          <w:p w14:paraId="2594D9EB" w14:textId="3B789079" w:rsidR="006E545B" w:rsidRPr="00226892" w:rsidRDefault="006E545B" w:rsidP="007C698C">
            <w:pPr>
              <w:jc w:val="right"/>
              <w:rPr>
                <w:rFonts w:ascii="Arial" w:hAnsi="Arial" w:cs="Arial"/>
                <w:color w:val="000000"/>
                <w:sz w:val="18"/>
                <w:szCs w:val="18"/>
              </w:rPr>
            </w:pPr>
            <w:r w:rsidRPr="00226892">
              <w:rPr>
                <w:rFonts w:ascii="Arial" w:hAnsi="Arial" w:cs="Arial"/>
                <w:color w:val="000000"/>
                <w:sz w:val="18"/>
                <w:szCs w:val="18"/>
              </w:rPr>
              <w:t>11</w:t>
            </w:r>
          </w:p>
        </w:tc>
        <w:tc>
          <w:tcPr>
            <w:tcW w:w="106" w:type="pct"/>
            <w:tcBorders>
              <w:top w:val="nil"/>
              <w:left w:val="nil"/>
              <w:bottom w:val="nil"/>
              <w:right w:val="nil"/>
            </w:tcBorders>
            <w:shd w:val="clear" w:color="auto" w:fill="auto"/>
            <w:vAlign w:val="bottom"/>
          </w:tcPr>
          <w:p w14:paraId="5A78C0AB" w14:textId="77777777" w:rsidR="006E545B" w:rsidRPr="00226892" w:rsidRDefault="006E545B" w:rsidP="007C698C">
            <w:pPr>
              <w:jc w:val="right"/>
              <w:rPr>
                <w:rFonts w:ascii="Arial" w:hAnsi="Arial" w:cs="Arial"/>
                <w:color w:val="000000"/>
                <w:sz w:val="18"/>
                <w:szCs w:val="18"/>
              </w:rPr>
            </w:pPr>
          </w:p>
        </w:tc>
        <w:tc>
          <w:tcPr>
            <w:tcW w:w="1056" w:type="pct"/>
            <w:tcBorders>
              <w:top w:val="nil"/>
              <w:left w:val="nil"/>
              <w:bottom w:val="nil"/>
              <w:right w:val="nil"/>
            </w:tcBorders>
            <w:shd w:val="clear" w:color="auto" w:fill="auto"/>
            <w:vAlign w:val="bottom"/>
          </w:tcPr>
          <w:p w14:paraId="65845814" w14:textId="1B4B4641" w:rsidR="006E545B" w:rsidRPr="00226892" w:rsidRDefault="006E545B" w:rsidP="007C698C">
            <w:pPr>
              <w:jc w:val="right"/>
              <w:rPr>
                <w:rFonts w:ascii="Arial" w:hAnsi="Arial" w:cs="Arial"/>
                <w:color w:val="000000"/>
                <w:sz w:val="18"/>
                <w:szCs w:val="18"/>
              </w:rPr>
            </w:pPr>
            <w:r w:rsidRPr="00226892">
              <w:rPr>
                <w:rFonts w:ascii="Arial" w:hAnsi="Arial" w:cs="Arial"/>
                <w:color w:val="000000"/>
                <w:sz w:val="18"/>
                <w:szCs w:val="18"/>
              </w:rPr>
              <w:t>63</w:t>
            </w:r>
          </w:p>
        </w:tc>
        <w:tc>
          <w:tcPr>
            <w:tcW w:w="89" w:type="pct"/>
            <w:tcBorders>
              <w:top w:val="nil"/>
              <w:left w:val="nil"/>
              <w:bottom w:val="nil"/>
              <w:right w:val="nil"/>
            </w:tcBorders>
            <w:shd w:val="clear" w:color="auto" w:fill="auto"/>
            <w:vAlign w:val="bottom"/>
          </w:tcPr>
          <w:p w14:paraId="1AA27EEB" w14:textId="77777777" w:rsidR="006E545B" w:rsidRPr="00226892" w:rsidRDefault="006E545B" w:rsidP="007C698C">
            <w:pPr>
              <w:jc w:val="right"/>
              <w:rPr>
                <w:rFonts w:ascii="Arial" w:hAnsi="Arial" w:cs="Arial"/>
                <w:color w:val="000000"/>
                <w:sz w:val="18"/>
                <w:szCs w:val="18"/>
              </w:rPr>
            </w:pPr>
          </w:p>
        </w:tc>
        <w:tc>
          <w:tcPr>
            <w:tcW w:w="1300" w:type="pct"/>
            <w:tcBorders>
              <w:top w:val="nil"/>
              <w:left w:val="nil"/>
              <w:bottom w:val="nil"/>
              <w:right w:val="nil"/>
            </w:tcBorders>
            <w:shd w:val="clear" w:color="auto" w:fill="auto"/>
            <w:vAlign w:val="bottom"/>
          </w:tcPr>
          <w:p w14:paraId="66EBCCDE" w14:textId="31D2EC5A" w:rsidR="006E545B" w:rsidRPr="00226892" w:rsidRDefault="006E545B" w:rsidP="007C698C">
            <w:pPr>
              <w:jc w:val="right"/>
              <w:rPr>
                <w:rFonts w:ascii="Arial" w:hAnsi="Arial" w:cs="Arial"/>
                <w:color w:val="000000"/>
                <w:sz w:val="18"/>
                <w:szCs w:val="18"/>
              </w:rPr>
            </w:pPr>
            <w:r w:rsidRPr="00226892">
              <w:rPr>
                <w:rFonts w:ascii="Arial" w:hAnsi="Arial" w:cs="Arial"/>
                <w:color w:val="000000"/>
                <w:sz w:val="18"/>
                <w:szCs w:val="18"/>
              </w:rPr>
              <w:t>74</w:t>
            </w:r>
          </w:p>
        </w:tc>
      </w:tr>
      <w:tr w:rsidR="006E545B" w:rsidRPr="00226892" w14:paraId="1E9ECD18" w14:textId="77777777" w:rsidTr="00E52A07">
        <w:trPr>
          <w:trHeight w:val="227"/>
        </w:trPr>
        <w:tc>
          <w:tcPr>
            <w:tcW w:w="1534" w:type="pct"/>
            <w:tcBorders>
              <w:top w:val="nil"/>
              <w:left w:val="nil"/>
              <w:bottom w:val="nil"/>
              <w:right w:val="nil"/>
            </w:tcBorders>
            <w:shd w:val="clear" w:color="auto" w:fill="auto"/>
            <w:vAlign w:val="bottom"/>
            <w:hideMark/>
          </w:tcPr>
          <w:p w14:paraId="70384F5C" w14:textId="77777777" w:rsidR="006E545B" w:rsidRPr="00226892" w:rsidRDefault="006E545B" w:rsidP="007C698C">
            <w:pPr>
              <w:rPr>
                <w:rFonts w:ascii="Arial" w:hAnsi="Arial" w:cs="Arial"/>
                <w:color w:val="000000"/>
                <w:sz w:val="18"/>
                <w:szCs w:val="18"/>
              </w:rPr>
            </w:pPr>
            <w:proofErr w:type="spellStart"/>
            <w:r w:rsidRPr="00226892">
              <w:rPr>
                <w:rFonts w:ascii="Arial" w:hAnsi="Arial" w:cs="Arial"/>
                <w:color w:val="000000"/>
                <w:sz w:val="18"/>
                <w:szCs w:val="18"/>
              </w:rPr>
              <w:t>Neumorené</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daňové</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straty</w:t>
            </w:r>
            <w:proofErr w:type="spellEnd"/>
          </w:p>
        </w:tc>
        <w:tc>
          <w:tcPr>
            <w:tcW w:w="915" w:type="pct"/>
            <w:tcBorders>
              <w:top w:val="nil"/>
              <w:left w:val="nil"/>
              <w:bottom w:val="nil"/>
              <w:right w:val="nil"/>
            </w:tcBorders>
            <w:shd w:val="clear" w:color="auto" w:fill="auto"/>
            <w:vAlign w:val="bottom"/>
          </w:tcPr>
          <w:p w14:paraId="098482D0" w14:textId="03C21024" w:rsidR="006E545B" w:rsidRPr="00226892" w:rsidRDefault="006E545B" w:rsidP="007C698C">
            <w:pPr>
              <w:jc w:val="right"/>
              <w:rPr>
                <w:rFonts w:ascii="Arial" w:hAnsi="Arial" w:cs="Arial"/>
                <w:color w:val="000000"/>
                <w:sz w:val="18"/>
                <w:szCs w:val="18"/>
              </w:rPr>
            </w:pPr>
            <w:r w:rsidRPr="00226892">
              <w:rPr>
                <w:rFonts w:ascii="Arial" w:hAnsi="Arial" w:cs="Arial"/>
                <w:color w:val="000000"/>
                <w:sz w:val="18"/>
                <w:szCs w:val="18"/>
              </w:rPr>
              <w:t>-</w:t>
            </w:r>
          </w:p>
        </w:tc>
        <w:tc>
          <w:tcPr>
            <w:tcW w:w="106" w:type="pct"/>
            <w:tcBorders>
              <w:top w:val="nil"/>
              <w:left w:val="nil"/>
              <w:bottom w:val="nil"/>
              <w:right w:val="nil"/>
            </w:tcBorders>
            <w:shd w:val="clear" w:color="auto" w:fill="auto"/>
            <w:vAlign w:val="bottom"/>
          </w:tcPr>
          <w:p w14:paraId="3B9B12AC" w14:textId="77777777" w:rsidR="006E545B" w:rsidRPr="00226892" w:rsidRDefault="006E545B" w:rsidP="007C698C">
            <w:pPr>
              <w:jc w:val="right"/>
              <w:rPr>
                <w:rFonts w:ascii="Arial" w:hAnsi="Arial" w:cs="Arial"/>
                <w:color w:val="000000"/>
                <w:sz w:val="18"/>
                <w:szCs w:val="18"/>
              </w:rPr>
            </w:pPr>
          </w:p>
        </w:tc>
        <w:tc>
          <w:tcPr>
            <w:tcW w:w="1056" w:type="pct"/>
            <w:tcBorders>
              <w:top w:val="nil"/>
              <w:left w:val="nil"/>
              <w:bottom w:val="nil"/>
              <w:right w:val="nil"/>
            </w:tcBorders>
            <w:shd w:val="clear" w:color="auto" w:fill="auto"/>
            <w:vAlign w:val="bottom"/>
          </w:tcPr>
          <w:p w14:paraId="4728114C" w14:textId="46F1E794" w:rsidR="006E545B" w:rsidRPr="00226892" w:rsidRDefault="006E545B" w:rsidP="007C698C">
            <w:pPr>
              <w:jc w:val="right"/>
              <w:rPr>
                <w:rFonts w:ascii="Arial" w:hAnsi="Arial" w:cs="Arial"/>
                <w:color w:val="000000"/>
                <w:sz w:val="18"/>
                <w:szCs w:val="18"/>
              </w:rPr>
            </w:pPr>
            <w:r w:rsidRPr="00226892">
              <w:rPr>
                <w:rFonts w:ascii="Arial" w:hAnsi="Arial" w:cs="Arial"/>
                <w:color w:val="000000"/>
                <w:sz w:val="18"/>
                <w:szCs w:val="18"/>
              </w:rPr>
              <w:t>-172</w:t>
            </w:r>
          </w:p>
        </w:tc>
        <w:tc>
          <w:tcPr>
            <w:tcW w:w="89" w:type="pct"/>
            <w:tcBorders>
              <w:top w:val="nil"/>
              <w:left w:val="nil"/>
              <w:bottom w:val="nil"/>
              <w:right w:val="nil"/>
            </w:tcBorders>
            <w:shd w:val="clear" w:color="auto" w:fill="auto"/>
            <w:vAlign w:val="bottom"/>
          </w:tcPr>
          <w:p w14:paraId="13DF4380" w14:textId="77777777" w:rsidR="006E545B" w:rsidRPr="00226892" w:rsidRDefault="006E545B" w:rsidP="007C698C">
            <w:pPr>
              <w:jc w:val="right"/>
              <w:rPr>
                <w:rFonts w:ascii="Arial" w:hAnsi="Arial" w:cs="Arial"/>
                <w:color w:val="000000"/>
                <w:sz w:val="18"/>
                <w:szCs w:val="18"/>
              </w:rPr>
            </w:pPr>
          </w:p>
        </w:tc>
        <w:tc>
          <w:tcPr>
            <w:tcW w:w="1300" w:type="pct"/>
            <w:tcBorders>
              <w:top w:val="nil"/>
              <w:left w:val="nil"/>
              <w:bottom w:val="nil"/>
              <w:right w:val="nil"/>
            </w:tcBorders>
            <w:shd w:val="clear" w:color="auto" w:fill="auto"/>
            <w:vAlign w:val="bottom"/>
          </w:tcPr>
          <w:p w14:paraId="772D4436" w14:textId="494E02F0" w:rsidR="006E545B" w:rsidRPr="00226892" w:rsidRDefault="006E545B" w:rsidP="007C698C">
            <w:pPr>
              <w:jc w:val="right"/>
              <w:rPr>
                <w:rFonts w:ascii="Arial" w:hAnsi="Arial" w:cs="Arial"/>
                <w:color w:val="000000"/>
                <w:sz w:val="18"/>
                <w:szCs w:val="18"/>
              </w:rPr>
            </w:pPr>
            <w:r w:rsidRPr="00226892">
              <w:rPr>
                <w:rFonts w:ascii="Arial" w:hAnsi="Arial" w:cs="Arial"/>
                <w:color w:val="000000"/>
                <w:sz w:val="18"/>
                <w:szCs w:val="18"/>
              </w:rPr>
              <w:t>-172</w:t>
            </w:r>
          </w:p>
        </w:tc>
      </w:tr>
      <w:tr w:rsidR="006E545B" w:rsidRPr="00226892" w14:paraId="6AEEC37A" w14:textId="77777777" w:rsidTr="00E52A07">
        <w:trPr>
          <w:trHeight w:val="227"/>
        </w:trPr>
        <w:tc>
          <w:tcPr>
            <w:tcW w:w="1534" w:type="pct"/>
            <w:tcBorders>
              <w:top w:val="nil"/>
              <w:left w:val="nil"/>
              <w:bottom w:val="nil"/>
              <w:right w:val="nil"/>
            </w:tcBorders>
            <w:shd w:val="clear" w:color="auto" w:fill="auto"/>
            <w:vAlign w:val="bottom"/>
          </w:tcPr>
          <w:p w14:paraId="4D2EE6C3" w14:textId="77777777" w:rsidR="006E545B" w:rsidRPr="00226892" w:rsidRDefault="006E545B" w:rsidP="007C698C">
            <w:pPr>
              <w:rPr>
                <w:rFonts w:ascii="Arial" w:hAnsi="Arial" w:cs="Arial"/>
                <w:color w:val="000000"/>
                <w:sz w:val="18"/>
                <w:szCs w:val="18"/>
                <w:lang w:val="sk-SK"/>
              </w:rPr>
            </w:pPr>
            <w:proofErr w:type="spellStart"/>
            <w:r w:rsidRPr="00226892">
              <w:rPr>
                <w:rFonts w:ascii="Arial" w:hAnsi="Arial" w:cs="Arial"/>
                <w:color w:val="000000"/>
                <w:sz w:val="18"/>
                <w:szCs w:val="18"/>
              </w:rPr>
              <w:t>Nevyu</w:t>
            </w:r>
            <w:proofErr w:type="spellEnd"/>
            <w:r w:rsidRPr="00226892">
              <w:rPr>
                <w:rFonts w:ascii="Arial" w:hAnsi="Arial" w:cs="Arial"/>
                <w:color w:val="000000"/>
                <w:sz w:val="18"/>
                <w:szCs w:val="18"/>
                <w:lang w:val="sk-SK"/>
              </w:rPr>
              <w:t>žité daňové odpočty</w:t>
            </w:r>
          </w:p>
        </w:tc>
        <w:tc>
          <w:tcPr>
            <w:tcW w:w="915" w:type="pct"/>
            <w:tcBorders>
              <w:top w:val="nil"/>
              <w:left w:val="nil"/>
              <w:bottom w:val="nil"/>
              <w:right w:val="nil"/>
            </w:tcBorders>
            <w:shd w:val="clear" w:color="auto" w:fill="auto"/>
            <w:vAlign w:val="bottom"/>
          </w:tcPr>
          <w:p w14:paraId="0CAA9A27" w14:textId="50D399C9" w:rsidR="006E545B" w:rsidRPr="00226892" w:rsidRDefault="006E545B" w:rsidP="007C698C">
            <w:pPr>
              <w:jc w:val="right"/>
              <w:rPr>
                <w:rFonts w:ascii="Arial" w:hAnsi="Arial" w:cs="Arial"/>
                <w:color w:val="000000"/>
                <w:sz w:val="18"/>
                <w:szCs w:val="18"/>
                <w:lang w:val="en-US"/>
              </w:rPr>
            </w:pPr>
            <w:r w:rsidRPr="00226892">
              <w:rPr>
                <w:rFonts w:ascii="Arial" w:hAnsi="Arial" w:cs="Arial"/>
                <w:color w:val="000000"/>
                <w:sz w:val="18"/>
                <w:szCs w:val="18"/>
                <w:lang w:val="en-US"/>
              </w:rPr>
              <w:t>-1 425</w:t>
            </w:r>
          </w:p>
        </w:tc>
        <w:tc>
          <w:tcPr>
            <w:tcW w:w="106" w:type="pct"/>
            <w:tcBorders>
              <w:top w:val="nil"/>
              <w:left w:val="nil"/>
              <w:bottom w:val="nil"/>
              <w:right w:val="nil"/>
            </w:tcBorders>
            <w:shd w:val="clear" w:color="auto" w:fill="auto"/>
            <w:vAlign w:val="bottom"/>
          </w:tcPr>
          <w:p w14:paraId="07E8806B" w14:textId="77777777" w:rsidR="006E545B" w:rsidRPr="00226892" w:rsidRDefault="006E545B" w:rsidP="007C698C">
            <w:pPr>
              <w:jc w:val="right"/>
              <w:rPr>
                <w:rFonts w:ascii="Arial" w:hAnsi="Arial" w:cs="Arial"/>
                <w:color w:val="000000"/>
                <w:sz w:val="18"/>
                <w:szCs w:val="18"/>
              </w:rPr>
            </w:pPr>
          </w:p>
        </w:tc>
        <w:tc>
          <w:tcPr>
            <w:tcW w:w="1056" w:type="pct"/>
            <w:tcBorders>
              <w:top w:val="nil"/>
              <w:left w:val="nil"/>
              <w:bottom w:val="nil"/>
              <w:right w:val="nil"/>
            </w:tcBorders>
            <w:shd w:val="clear" w:color="auto" w:fill="auto"/>
            <w:vAlign w:val="bottom"/>
          </w:tcPr>
          <w:p w14:paraId="7D934FD3" w14:textId="60BFA3BC" w:rsidR="006E545B" w:rsidRPr="00226892" w:rsidRDefault="006E545B" w:rsidP="007C698C">
            <w:pPr>
              <w:jc w:val="right"/>
              <w:rPr>
                <w:rFonts w:ascii="Arial" w:hAnsi="Arial" w:cs="Arial"/>
                <w:color w:val="000000"/>
                <w:sz w:val="18"/>
                <w:szCs w:val="18"/>
              </w:rPr>
            </w:pPr>
            <w:r w:rsidRPr="00226892">
              <w:rPr>
                <w:rFonts w:ascii="Arial" w:hAnsi="Arial" w:cs="Arial"/>
                <w:color w:val="000000"/>
                <w:sz w:val="18"/>
                <w:szCs w:val="18"/>
              </w:rPr>
              <w:t>-</w:t>
            </w:r>
          </w:p>
        </w:tc>
        <w:tc>
          <w:tcPr>
            <w:tcW w:w="89" w:type="pct"/>
            <w:tcBorders>
              <w:top w:val="nil"/>
              <w:left w:val="nil"/>
              <w:bottom w:val="nil"/>
              <w:right w:val="nil"/>
            </w:tcBorders>
            <w:shd w:val="clear" w:color="auto" w:fill="auto"/>
            <w:vAlign w:val="bottom"/>
          </w:tcPr>
          <w:p w14:paraId="141525CD" w14:textId="77777777" w:rsidR="006E545B" w:rsidRPr="00226892" w:rsidRDefault="006E545B" w:rsidP="007C698C">
            <w:pPr>
              <w:jc w:val="right"/>
              <w:rPr>
                <w:rFonts w:ascii="Arial" w:hAnsi="Arial" w:cs="Arial"/>
                <w:color w:val="000000"/>
                <w:sz w:val="18"/>
                <w:szCs w:val="18"/>
              </w:rPr>
            </w:pPr>
          </w:p>
        </w:tc>
        <w:tc>
          <w:tcPr>
            <w:tcW w:w="1300" w:type="pct"/>
            <w:tcBorders>
              <w:top w:val="nil"/>
              <w:left w:val="nil"/>
              <w:bottom w:val="nil"/>
              <w:right w:val="nil"/>
            </w:tcBorders>
            <w:shd w:val="clear" w:color="auto" w:fill="auto"/>
            <w:vAlign w:val="bottom"/>
          </w:tcPr>
          <w:p w14:paraId="0A57F215" w14:textId="32F95CD5" w:rsidR="006E545B" w:rsidRPr="00226892" w:rsidRDefault="006E545B" w:rsidP="007C698C">
            <w:pPr>
              <w:jc w:val="right"/>
              <w:rPr>
                <w:rFonts w:ascii="Arial" w:hAnsi="Arial" w:cs="Arial"/>
                <w:color w:val="000000"/>
                <w:sz w:val="18"/>
                <w:szCs w:val="18"/>
              </w:rPr>
            </w:pPr>
            <w:r w:rsidRPr="00226892">
              <w:rPr>
                <w:rFonts w:ascii="Arial" w:hAnsi="Arial" w:cs="Arial"/>
                <w:color w:val="000000"/>
                <w:sz w:val="18"/>
                <w:szCs w:val="18"/>
                <w:lang w:val="en-US"/>
              </w:rPr>
              <w:t>-1 425</w:t>
            </w:r>
          </w:p>
        </w:tc>
      </w:tr>
      <w:tr w:rsidR="006E545B" w:rsidRPr="00226892" w14:paraId="5D2C749C" w14:textId="77777777" w:rsidTr="00E52A07">
        <w:trPr>
          <w:trHeight w:val="227"/>
        </w:trPr>
        <w:tc>
          <w:tcPr>
            <w:tcW w:w="1534" w:type="pct"/>
            <w:tcBorders>
              <w:top w:val="nil"/>
              <w:left w:val="nil"/>
              <w:bottom w:val="nil"/>
              <w:right w:val="nil"/>
            </w:tcBorders>
            <w:shd w:val="clear" w:color="auto" w:fill="auto"/>
            <w:noWrap/>
            <w:vAlign w:val="bottom"/>
            <w:hideMark/>
          </w:tcPr>
          <w:p w14:paraId="64CE13D5" w14:textId="77777777" w:rsidR="006E545B" w:rsidRPr="00226892" w:rsidRDefault="006E545B" w:rsidP="007C698C">
            <w:pPr>
              <w:rPr>
                <w:rFonts w:ascii="Arial" w:hAnsi="Arial" w:cs="Arial"/>
                <w:color w:val="000000"/>
                <w:sz w:val="18"/>
                <w:szCs w:val="18"/>
              </w:rPr>
            </w:pPr>
            <w:proofErr w:type="spellStart"/>
            <w:r w:rsidRPr="00226892">
              <w:rPr>
                <w:rFonts w:ascii="Arial" w:hAnsi="Arial" w:cs="Arial"/>
                <w:color w:val="000000"/>
                <w:sz w:val="18"/>
                <w:szCs w:val="18"/>
              </w:rPr>
              <w:t>Ostatné</w:t>
            </w:r>
            <w:proofErr w:type="spellEnd"/>
          </w:p>
        </w:tc>
        <w:tc>
          <w:tcPr>
            <w:tcW w:w="915" w:type="pct"/>
            <w:tcBorders>
              <w:top w:val="nil"/>
              <w:left w:val="nil"/>
              <w:bottom w:val="nil"/>
              <w:right w:val="nil"/>
            </w:tcBorders>
            <w:shd w:val="clear" w:color="auto" w:fill="auto"/>
            <w:vAlign w:val="bottom"/>
          </w:tcPr>
          <w:p w14:paraId="19059404" w14:textId="6D6F6BED" w:rsidR="006E545B" w:rsidRPr="00226892" w:rsidRDefault="006E545B" w:rsidP="007C698C">
            <w:pPr>
              <w:jc w:val="right"/>
              <w:rPr>
                <w:rFonts w:ascii="Arial" w:hAnsi="Arial" w:cs="Arial"/>
                <w:color w:val="000000"/>
                <w:sz w:val="18"/>
                <w:szCs w:val="18"/>
              </w:rPr>
            </w:pPr>
            <w:r w:rsidRPr="00226892">
              <w:rPr>
                <w:rFonts w:ascii="Arial" w:hAnsi="Arial" w:cs="Arial"/>
                <w:color w:val="000000"/>
                <w:sz w:val="18"/>
                <w:szCs w:val="18"/>
              </w:rPr>
              <w:t>-568</w:t>
            </w:r>
          </w:p>
        </w:tc>
        <w:tc>
          <w:tcPr>
            <w:tcW w:w="106" w:type="pct"/>
            <w:tcBorders>
              <w:top w:val="nil"/>
              <w:left w:val="nil"/>
              <w:bottom w:val="nil"/>
              <w:right w:val="nil"/>
            </w:tcBorders>
            <w:shd w:val="clear" w:color="auto" w:fill="auto"/>
            <w:vAlign w:val="bottom"/>
          </w:tcPr>
          <w:p w14:paraId="060C137B" w14:textId="77777777" w:rsidR="006E545B" w:rsidRPr="00226892" w:rsidRDefault="006E545B" w:rsidP="007C698C">
            <w:pPr>
              <w:jc w:val="right"/>
              <w:rPr>
                <w:rFonts w:ascii="Arial" w:hAnsi="Arial" w:cs="Arial"/>
                <w:color w:val="000000"/>
                <w:sz w:val="18"/>
                <w:szCs w:val="18"/>
              </w:rPr>
            </w:pPr>
          </w:p>
        </w:tc>
        <w:tc>
          <w:tcPr>
            <w:tcW w:w="1056" w:type="pct"/>
            <w:tcBorders>
              <w:top w:val="nil"/>
              <w:left w:val="nil"/>
              <w:bottom w:val="nil"/>
              <w:right w:val="nil"/>
            </w:tcBorders>
            <w:shd w:val="clear" w:color="auto" w:fill="auto"/>
            <w:vAlign w:val="bottom"/>
          </w:tcPr>
          <w:p w14:paraId="185407BD" w14:textId="2DD98BA0" w:rsidR="006E545B" w:rsidRPr="00226892" w:rsidRDefault="006E545B" w:rsidP="007C698C">
            <w:pPr>
              <w:jc w:val="right"/>
              <w:rPr>
                <w:rFonts w:ascii="Arial" w:hAnsi="Arial" w:cs="Arial"/>
                <w:color w:val="000000"/>
                <w:sz w:val="18"/>
                <w:szCs w:val="18"/>
              </w:rPr>
            </w:pPr>
            <w:r w:rsidRPr="00226892">
              <w:rPr>
                <w:rFonts w:ascii="Arial" w:hAnsi="Arial" w:cs="Arial"/>
                <w:color w:val="000000"/>
                <w:sz w:val="18"/>
                <w:szCs w:val="18"/>
              </w:rPr>
              <w:t>-82</w:t>
            </w:r>
          </w:p>
        </w:tc>
        <w:tc>
          <w:tcPr>
            <w:tcW w:w="89" w:type="pct"/>
            <w:tcBorders>
              <w:top w:val="nil"/>
              <w:left w:val="nil"/>
              <w:bottom w:val="nil"/>
              <w:right w:val="nil"/>
            </w:tcBorders>
            <w:shd w:val="clear" w:color="auto" w:fill="auto"/>
            <w:vAlign w:val="bottom"/>
          </w:tcPr>
          <w:p w14:paraId="311A7D8D" w14:textId="77777777" w:rsidR="006E545B" w:rsidRPr="00226892" w:rsidRDefault="006E545B" w:rsidP="007C698C">
            <w:pPr>
              <w:jc w:val="right"/>
              <w:rPr>
                <w:rFonts w:ascii="Arial" w:hAnsi="Arial" w:cs="Arial"/>
                <w:color w:val="000000"/>
                <w:sz w:val="18"/>
                <w:szCs w:val="18"/>
              </w:rPr>
            </w:pPr>
          </w:p>
        </w:tc>
        <w:tc>
          <w:tcPr>
            <w:tcW w:w="1300" w:type="pct"/>
            <w:tcBorders>
              <w:top w:val="nil"/>
              <w:left w:val="nil"/>
              <w:bottom w:val="nil"/>
              <w:right w:val="nil"/>
            </w:tcBorders>
            <w:shd w:val="clear" w:color="auto" w:fill="auto"/>
            <w:vAlign w:val="bottom"/>
          </w:tcPr>
          <w:p w14:paraId="604F4C3C" w14:textId="07C04B0F" w:rsidR="006E545B" w:rsidRPr="00226892" w:rsidRDefault="006E545B" w:rsidP="007C698C">
            <w:pPr>
              <w:jc w:val="right"/>
              <w:rPr>
                <w:rFonts w:ascii="Arial" w:hAnsi="Arial" w:cs="Arial"/>
                <w:color w:val="000000"/>
                <w:sz w:val="18"/>
                <w:szCs w:val="18"/>
              </w:rPr>
            </w:pPr>
            <w:r w:rsidRPr="00226892">
              <w:rPr>
                <w:rFonts w:ascii="Arial" w:hAnsi="Arial" w:cs="Arial"/>
                <w:color w:val="000000"/>
                <w:sz w:val="18"/>
                <w:szCs w:val="18"/>
              </w:rPr>
              <w:t>-650</w:t>
            </w:r>
          </w:p>
        </w:tc>
      </w:tr>
      <w:tr w:rsidR="006E545B" w:rsidRPr="00226892" w14:paraId="77B4AD3E" w14:textId="77777777" w:rsidTr="00E52A07">
        <w:trPr>
          <w:trHeight w:val="227"/>
        </w:trPr>
        <w:tc>
          <w:tcPr>
            <w:tcW w:w="1534" w:type="pct"/>
            <w:tcBorders>
              <w:top w:val="nil"/>
              <w:left w:val="nil"/>
              <w:bottom w:val="nil"/>
              <w:right w:val="nil"/>
            </w:tcBorders>
            <w:shd w:val="clear" w:color="auto" w:fill="auto"/>
            <w:noWrap/>
            <w:vAlign w:val="bottom"/>
            <w:hideMark/>
          </w:tcPr>
          <w:p w14:paraId="0D826435" w14:textId="77777777" w:rsidR="006E545B" w:rsidRPr="00226892" w:rsidRDefault="006E545B" w:rsidP="007C698C">
            <w:pPr>
              <w:rPr>
                <w:rFonts w:ascii="Arial" w:hAnsi="Arial" w:cs="Arial"/>
                <w:b/>
                <w:bCs/>
                <w:color w:val="000000"/>
                <w:sz w:val="18"/>
                <w:szCs w:val="18"/>
              </w:rPr>
            </w:pPr>
            <w:proofErr w:type="spellStart"/>
            <w:r w:rsidRPr="00226892">
              <w:rPr>
                <w:rFonts w:ascii="Arial" w:hAnsi="Arial" w:cs="Arial"/>
                <w:b/>
                <w:bCs/>
                <w:color w:val="000000"/>
                <w:sz w:val="18"/>
                <w:szCs w:val="18"/>
              </w:rPr>
              <w:t>Spolu</w:t>
            </w:r>
            <w:proofErr w:type="spellEnd"/>
          </w:p>
        </w:tc>
        <w:tc>
          <w:tcPr>
            <w:tcW w:w="915" w:type="pct"/>
            <w:tcBorders>
              <w:top w:val="single" w:sz="4" w:space="0" w:color="auto"/>
              <w:left w:val="nil"/>
              <w:bottom w:val="double" w:sz="6" w:space="0" w:color="auto"/>
              <w:right w:val="nil"/>
            </w:tcBorders>
            <w:shd w:val="clear" w:color="auto" w:fill="auto"/>
            <w:vAlign w:val="bottom"/>
          </w:tcPr>
          <w:p w14:paraId="009BE86D" w14:textId="770C2A5B" w:rsidR="006E545B" w:rsidRPr="00226892" w:rsidRDefault="006E545B" w:rsidP="007C698C">
            <w:pPr>
              <w:jc w:val="right"/>
              <w:rPr>
                <w:rFonts w:ascii="Arial" w:hAnsi="Arial" w:cs="Arial"/>
                <w:b/>
                <w:bCs/>
                <w:color w:val="000000"/>
                <w:sz w:val="18"/>
                <w:szCs w:val="18"/>
              </w:rPr>
            </w:pPr>
            <w:r w:rsidRPr="00226892">
              <w:rPr>
                <w:rFonts w:ascii="Arial" w:hAnsi="Arial" w:cs="Arial"/>
                <w:b/>
                <w:bCs/>
                <w:color w:val="000000"/>
                <w:sz w:val="18"/>
                <w:szCs w:val="18"/>
              </w:rPr>
              <w:t>303</w:t>
            </w:r>
          </w:p>
        </w:tc>
        <w:tc>
          <w:tcPr>
            <w:tcW w:w="106" w:type="pct"/>
            <w:tcBorders>
              <w:top w:val="nil"/>
              <w:left w:val="nil"/>
              <w:bottom w:val="nil"/>
              <w:right w:val="nil"/>
            </w:tcBorders>
            <w:shd w:val="clear" w:color="auto" w:fill="auto"/>
            <w:vAlign w:val="bottom"/>
          </w:tcPr>
          <w:p w14:paraId="78303B91" w14:textId="77777777" w:rsidR="006E545B" w:rsidRPr="00226892" w:rsidRDefault="006E545B" w:rsidP="007C698C">
            <w:pPr>
              <w:jc w:val="right"/>
              <w:rPr>
                <w:rFonts w:ascii="Arial" w:hAnsi="Arial" w:cs="Arial"/>
                <w:b/>
                <w:bCs/>
                <w:color w:val="000000"/>
                <w:sz w:val="18"/>
                <w:szCs w:val="18"/>
              </w:rPr>
            </w:pPr>
          </w:p>
        </w:tc>
        <w:tc>
          <w:tcPr>
            <w:tcW w:w="1056" w:type="pct"/>
            <w:tcBorders>
              <w:top w:val="single" w:sz="4" w:space="0" w:color="auto"/>
              <w:left w:val="nil"/>
              <w:bottom w:val="double" w:sz="6" w:space="0" w:color="auto"/>
              <w:right w:val="nil"/>
            </w:tcBorders>
            <w:shd w:val="clear" w:color="auto" w:fill="auto"/>
            <w:vAlign w:val="bottom"/>
          </w:tcPr>
          <w:p w14:paraId="6D6A1CB0" w14:textId="28C1CFD5" w:rsidR="006E545B" w:rsidRPr="00226892" w:rsidRDefault="006E545B" w:rsidP="007C698C">
            <w:pPr>
              <w:pStyle w:val="Odsekzoznamu"/>
              <w:jc w:val="right"/>
              <w:rPr>
                <w:rFonts w:ascii="Arial" w:hAnsi="Arial" w:cs="Arial"/>
                <w:b/>
                <w:bCs/>
                <w:color w:val="000000"/>
                <w:sz w:val="18"/>
                <w:szCs w:val="18"/>
              </w:rPr>
            </w:pPr>
            <w:r w:rsidRPr="00226892">
              <w:rPr>
                <w:rFonts w:ascii="Arial" w:hAnsi="Arial" w:cs="Arial"/>
                <w:b/>
                <w:bCs/>
                <w:color w:val="000000"/>
                <w:sz w:val="18"/>
                <w:szCs w:val="18"/>
              </w:rPr>
              <w:t>562</w:t>
            </w:r>
          </w:p>
        </w:tc>
        <w:tc>
          <w:tcPr>
            <w:tcW w:w="89" w:type="pct"/>
            <w:tcBorders>
              <w:top w:val="nil"/>
              <w:left w:val="nil"/>
              <w:bottom w:val="nil"/>
              <w:right w:val="nil"/>
            </w:tcBorders>
            <w:shd w:val="clear" w:color="auto" w:fill="auto"/>
            <w:vAlign w:val="bottom"/>
          </w:tcPr>
          <w:p w14:paraId="7A98AE3A" w14:textId="77777777" w:rsidR="006E545B" w:rsidRPr="00226892" w:rsidRDefault="006E545B" w:rsidP="007C698C">
            <w:pPr>
              <w:jc w:val="right"/>
              <w:rPr>
                <w:rFonts w:ascii="Arial" w:hAnsi="Arial" w:cs="Arial"/>
                <w:b/>
                <w:bCs/>
                <w:color w:val="000000"/>
                <w:sz w:val="18"/>
                <w:szCs w:val="18"/>
              </w:rPr>
            </w:pPr>
          </w:p>
        </w:tc>
        <w:tc>
          <w:tcPr>
            <w:tcW w:w="1300" w:type="pct"/>
            <w:tcBorders>
              <w:top w:val="single" w:sz="4" w:space="0" w:color="auto"/>
              <w:left w:val="nil"/>
              <w:bottom w:val="double" w:sz="6" w:space="0" w:color="auto"/>
              <w:right w:val="nil"/>
            </w:tcBorders>
            <w:shd w:val="clear" w:color="auto" w:fill="auto"/>
            <w:vAlign w:val="bottom"/>
          </w:tcPr>
          <w:p w14:paraId="4E60EEC4" w14:textId="2E4EF213" w:rsidR="006E545B" w:rsidRPr="00226892" w:rsidRDefault="006E545B" w:rsidP="007C698C">
            <w:pPr>
              <w:jc w:val="right"/>
              <w:rPr>
                <w:rFonts w:ascii="Arial" w:hAnsi="Arial" w:cs="Arial"/>
                <w:b/>
                <w:bCs/>
                <w:color w:val="000000"/>
                <w:sz w:val="18"/>
                <w:szCs w:val="18"/>
              </w:rPr>
            </w:pPr>
            <w:r w:rsidRPr="00226892">
              <w:rPr>
                <w:rFonts w:ascii="Arial" w:hAnsi="Arial" w:cs="Arial"/>
                <w:b/>
                <w:bCs/>
                <w:color w:val="000000"/>
                <w:sz w:val="18"/>
                <w:szCs w:val="18"/>
              </w:rPr>
              <w:t>865</w:t>
            </w:r>
          </w:p>
        </w:tc>
      </w:tr>
    </w:tbl>
    <w:p w14:paraId="61E0DF5A" w14:textId="6B49DFF9" w:rsidR="00837450" w:rsidRPr="00226892" w:rsidRDefault="00837450">
      <w:pPr>
        <w:suppressAutoHyphens/>
        <w:rPr>
          <w:rFonts w:ascii="Arial" w:hAnsi="Arial" w:cs="Arial"/>
          <w:b/>
          <w:color w:val="000080"/>
          <w:sz w:val="18"/>
          <w:szCs w:val="18"/>
          <w:highlight w:val="yellow"/>
        </w:rPr>
      </w:pPr>
      <w:bookmarkStart w:id="526" w:name="RANGE!C6:K16"/>
      <w:bookmarkEnd w:id="524"/>
      <w:bookmarkEnd w:id="525"/>
      <w:bookmarkEnd w:id="526"/>
    </w:p>
    <w:p w14:paraId="5345A7BB" w14:textId="3F707376" w:rsidR="00F2233E" w:rsidRPr="00226892" w:rsidRDefault="00F2233E" w:rsidP="00756C6D">
      <w:pPr>
        <w:suppressAutoHyphens/>
        <w:jc w:val="both"/>
        <w:rPr>
          <w:rFonts w:ascii="Arial" w:eastAsia="Times" w:hAnsi="Arial" w:cs="Arial"/>
          <w:bCs/>
          <w:snapToGrid w:val="0"/>
          <w:szCs w:val="18"/>
          <w:lang w:val="sk-SK"/>
        </w:rPr>
      </w:pPr>
      <w:bookmarkStart w:id="527" w:name="_Toc135379411"/>
      <w:r w:rsidRPr="00226892">
        <w:rPr>
          <w:rFonts w:ascii="Arial" w:eastAsia="Times" w:hAnsi="Arial" w:cs="Arial"/>
          <w:bCs/>
          <w:snapToGrid w:val="0"/>
          <w:szCs w:val="18"/>
          <w:lang w:val="sk-SK"/>
        </w:rPr>
        <w:t xml:space="preserve">Spoločnosť obdržala na základe zmluvy zo dňa 25. januára 2016 štátnu pomoc vo forme úľavy na dani z príjmu v maximálnej nominálnej výške 1 700 tis. EUR a štátnu pomoc formou dotácie na obstaraný dlhodobý hmotný a nehmotný majetok na realizáciu investičného zámeru „Rozšírenie výroby so zameraním na lisovanie materiálov hliníkových zliatin pre automobilový priemysel“ v maximálnej nominálnej výške 3 250 tis. EUR (viď </w:t>
      </w:r>
      <w:r w:rsidR="00D13161" w:rsidRPr="00226892">
        <w:rPr>
          <w:rFonts w:ascii="Arial" w:eastAsia="Times" w:hAnsi="Arial" w:cs="Arial"/>
          <w:bCs/>
          <w:snapToGrid w:val="0"/>
          <w:szCs w:val="18"/>
          <w:lang w:val="sk-SK"/>
        </w:rPr>
        <w:t>bod 1</w:t>
      </w:r>
      <w:r w:rsidR="00522218" w:rsidRPr="00226892">
        <w:rPr>
          <w:rFonts w:ascii="Arial" w:eastAsia="Times" w:hAnsi="Arial" w:cs="Arial"/>
          <w:bCs/>
          <w:snapToGrid w:val="0"/>
          <w:szCs w:val="18"/>
          <w:lang w:val="sk-SK"/>
        </w:rPr>
        <w:t>9</w:t>
      </w:r>
      <w:r w:rsidR="00D13161" w:rsidRPr="00226892">
        <w:rPr>
          <w:rFonts w:ascii="Arial" w:eastAsia="Times" w:hAnsi="Arial" w:cs="Arial"/>
          <w:bCs/>
          <w:snapToGrid w:val="0"/>
          <w:szCs w:val="18"/>
          <w:lang w:val="sk-SK"/>
        </w:rPr>
        <w:t xml:space="preserve"> p</w:t>
      </w:r>
      <w:r w:rsidRPr="00226892">
        <w:rPr>
          <w:rFonts w:ascii="Arial" w:eastAsia="Times" w:hAnsi="Arial" w:cs="Arial"/>
          <w:bCs/>
          <w:snapToGrid w:val="0"/>
          <w:szCs w:val="18"/>
          <w:lang w:val="sk-SK"/>
        </w:rPr>
        <w:t>oznám</w:t>
      </w:r>
      <w:r w:rsidR="00D13161" w:rsidRPr="00226892">
        <w:rPr>
          <w:rFonts w:ascii="Arial" w:eastAsia="Times" w:hAnsi="Arial" w:cs="Arial"/>
          <w:bCs/>
          <w:snapToGrid w:val="0"/>
          <w:szCs w:val="18"/>
          <w:lang w:val="sk-SK"/>
        </w:rPr>
        <w:t>ok</w:t>
      </w:r>
      <w:r w:rsidRPr="00226892">
        <w:rPr>
          <w:rFonts w:ascii="Arial" w:eastAsia="Times" w:hAnsi="Arial" w:cs="Arial"/>
          <w:bCs/>
          <w:snapToGrid w:val="0"/>
          <w:szCs w:val="18"/>
          <w:lang w:val="sk-SK"/>
        </w:rPr>
        <w:t xml:space="preserve">). </w:t>
      </w:r>
    </w:p>
    <w:p w14:paraId="20C99FD9" w14:textId="1A3C69F9" w:rsidR="00F2233E" w:rsidRPr="00226892" w:rsidRDefault="00F2233E" w:rsidP="00756C6D">
      <w:pPr>
        <w:suppressAutoHyphens/>
        <w:jc w:val="both"/>
        <w:rPr>
          <w:rFonts w:ascii="Arial" w:eastAsia="Times" w:hAnsi="Arial" w:cs="Arial"/>
          <w:bCs/>
          <w:snapToGrid w:val="0"/>
          <w:szCs w:val="18"/>
          <w:lang w:val="sk-SK"/>
        </w:rPr>
      </w:pPr>
    </w:p>
    <w:p w14:paraId="1ABA36A6" w14:textId="79529BD7" w:rsidR="00F2233E" w:rsidRPr="00226892" w:rsidRDefault="00F2233E" w:rsidP="00756C6D">
      <w:pPr>
        <w:suppressAutoHyphens/>
        <w:jc w:val="both"/>
        <w:rPr>
          <w:rFonts w:ascii="Arial" w:eastAsia="Times" w:hAnsi="Arial" w:cs="Arial"/>
          <w:bCs/>
          <w:snapToGrid w:val="0"/>
          <w:szCs w:val="18"/>
          <w:lang w:val="sk-SK"/>
        </w:rPr>
      </w:pPr>
      <w:r w:rsidRPr="00226892">
        <w:rPr>
          <w:rFonts w:ascii="Arial" w:eastAsia="Times" w:hAnsi="Arial" w:cs="Arial"/>
          <w:bCs/>
          <w:snapToGrid w:val="0"/>
          <w:szCs w:val="18"/>
          <w:lang w:val="sk-SK"/>
        </w:rPr>
        <w:t>Hlavné podmienky dotácie sa vzťahujú k potrebe preinvestovania celkových oprávnených nákladov, ktoré dosiahnu minimálnu nominálnu výšku 22 361 tis. EUR a k tvorbe a udržaniu minimálneho počtu pracovných miest vytvorených v priamej súvislosti s investičným zámerom a to minimálne 176 nových pracovných miest do konca roku 2018, ktoré musia byť obsadené najmenej po dobu piatich rokov odo dňa prvého obsadenia pracovného miesta.</w:t>
      </w:r>
    </w:p>
    <w:p w14:paraId="71317506" w14:textId="4184706E" w:rsidR="00F2233E" w:rsidRPr="00226892" w:rsidRDefault="00F2233E" w:rsidP="00756C6D">
      <w:pPr>
        <w:suppressAutoHyphens/>
        <w:jc w:val="both"/>
        <w:rPr>
          <w:rFonts w:ascii="Arial" w:eastAsia="Times" w:hAnsi="Arial" w:cs="Arial"/>
          <w:bCs/>
          <w:snapToGrid w:val="0"/>
          <w:szCs w:val="18"/>
          <w:lang w:val="sk-SK"/>
        </w:rPr>
      </w:pPr>
    </w:p>
    <w:p w14:paraId="10DA0341" w14:textId="009C187A" w:rsidR="00F2233E" w:rsidRPr="00226892" w:rsidRDefault="00F2233E" w:rsidP="00756C6D">
      <w:pPr>
        <w:suppressAutoHyphens/>
        <w:jc w:val="both"/>
        <w:rPr>
          <w:rFonts w:ascii="Arial" w:eastAsia="Times" w:hAnsi="Arial" w:cs="Arial"/>
          <w:bCs/>
          <w:snapToGrid w:val="0"/>
          <w:szCs w:val="18"/>
          <w:lang w:val="sk-SK"/>
        </w:rPr>
      </w:pPr>
      <w:r w:rsidRPr="00226892">
        <w:rPr>
          <w:rFonts w:ascii="Arial" w:eastAsia="Times" w:hAnsi="Arial" w:cs="Arial"/>
          <w:bCs/>
          <w:snapToGrid w:val="0"/>
          <w:szCs w:val="18"/>
          <w:lang w:val="sk-SK"/>
        </w:rPr>
        <w:t xml:space="preserve">Dňa 21. marca 2019 vykonali zamestnanci oddelenia kontroly investičnej pomoci z odboru investícií Ministerstva hospodárstva SR finančnú kontrolu plnenia podmienok uvedených v Rozhodnutí č. 48/2015  o schválení investičnej pomoci. Kontrolou neboli zistené žiadne nedostatky a bolo konštatované, že Spoločnosť k 31. decembru 2018 plní podmienky stanovené pre poskytnutie a čerpanie štátnej pomoci. </w:t>
      </w:r>
    </w:p>
    <w:p w14:paraId="7F63C061" w14:textId="08AA53B7" w:rsidR="00F2233E" w:rsidRPr="00226892" w:rsidRDefault="00F2233E" w:rsidP="00756C6D">
      <w:pPr>
        <w:suppressAutoHyphens/>
        <w:jc w:val="both"/>
        <w:rPr>
          <w:rFonts w:ascii="Arial" w:eastAsia="Times" w:hAnsi="Arial" w:cs="Arial"/>
          <w:bCs/>
          <w:snapToGrid w:val="0"/>
          <w:szCs w:val="18"/>
          <w:lang w:val="sk-SK"/>
        </w:rPr>
      </w:pPr>
    </w:p>
    <w:p w14:paraId="095A490F" w14:textId="087447D4" w:rsidR="00F2233E" w:rsidRPr="00226892" w:rsidRDefault="00F2233E" w:rsidP="00756C6D">
      <w:pPr>
        <w:suppressAutoHyphens/>
        <w:jc w:val="both"/>
        <w:rPr>
          <w:rFonts w:ascii="Arial" w:eastAsia="Times" w:hAnsi="Arial" w:cs="Arial"/>
          <w:bCs/>
          <w:snapToGrid w:val="0"/>
          <w:szCs w:val="18"/>
          <w:lang w:val="sk-SK"/>
        </w:rPr>
      </w:pPr>
      <w:r w:rsidRPr="00226892">
        <w:rPr>
          <w:rFonts w:ascii="Arial" w:eastAsia="Times" w:hAnsi="Arial" w:cs="Arial"/>
          <w:bCs/>
          <w:snapToGrid w:val="0"/>
          <w:szCs w:val="18"/>
          <w:lang w:val="sk-SK"/>
        </w:rPr>
        <w:t>Spoločnosť v rokoch 2016 až 2018 splnila a rovnako je presvedčená, že v budúcnosti bude naďalej plniť všetky podmienky na využitie daňovej úľavy a tak účtovala o odloženej daňovej pohľadávke z nej v hodnote 1 2</w:t>
      </w:r>
      <w:r w:rsidR="00206D7F" w:rsidRPr="00226892">
        <w:rPr>
          <w:rFonts w:ascii="Arial" w:eastAsia="Times" w:hAnsi="Arial" w:cs="Arial"/>
          <w:bCs/>
          <w:snapToGrid w:val="0"/>
          <w:szCs w:val="18"/>
          <w:lang w:val="sk-SK"/>
        </w:rPr>
        <w:t>59</w:t>
      </w:r>
      <w:r w:rsidRPr="00226892">
        <w:rPr>
          <w:rFonts w:ascii="Arial" w:eastAsia="Times" w:hAnsi="Arial" w:cs="Arial"/>
          <w:bCs/>
          <w:snapToGrid w:val="0"/>
          <w:szCs w:val="18"/>
          <w:lang w:val="sk-SK"/>
        </w:rPr>
        <w:t xml:space="preserve"> tis. EUR (k 31. decembru 2017: 1 425 tis.  EUR).</w:t>
      </w:r>
    </w:p>
    <w:p w14:paraId="503D4AD8" w14:textId="71681A92" w:rsidR="005B7760" w:rsidRPr="00226892" w:rsidRDefault="005B7760" w:rsidP="00756C6D">
      <w:pPr>
        <w:suppressAutoHyphens/>
        <w:jc w:val="both"/>
        <w:rPr>
          <w:rFonts w:ascii="Arial" w:eastAsia="Times" w:hAnsi="Arial" w:cs="Arial"/>
          <w:bCs/>
          <w:snapToGrid w:val="0"/>
          <w:szCs w:val="18"/>
          <w:lang w:val="sk-SK"/>
        </w:rPr>
      </w:pPr>
    </w:p>
    <w:p w14:paraId="41D035F2" w14:textId="5856FD39" w:rsidR="005B7760" w:rsidRPr="00226892" w:rsidRDefault="005B7760" w:rsidP="00756C6D">
      <w:pPr>
        <w:suppressAutoHyphens/>
        <w:jc w:val="both"/>
        <w:rPr>
          <w:rFonts w:ascii="Arial" w:eastAsia="Times" w:hAnsi="Arial" w:cs="Arial"/>
          <w:bCs/>
          <w:snapToGrid w:val="0"/>
          <w:szCs w:val="18"/>
          <w:lang w:val="sk-SK"/>
        </w:rPr>
      </w:pPr>
      <w:r w:rsidRPr="00226892">
        <w:rPr>
          <w:rFonts w:ascii="Arial" w:eastAsia="Times" w:hAnsi="Arial" w:cs="Arial"/>
          <w:bCs/>
          <w:snapToGrid w:val="0"/>
          <w:szCs w:val="18"/>
          <w:lang w:val="sk-SK"/>
        </w:rPr>
        <w:t xml:space="preserve">Z uvedenej výšky daňovej úľavy bolo v roku 2018 uplatnených </w:t>
      </w:r>
      <w:r w:rsidR="0049047A" w:rsidRPr="00226892">
        <w:rPr>
          <w:rFonts w:ascii="Arial" w:eastAsia="Times" w:hAnsi="Arial" w:cs="Arial"/>
          <w:bCs/>
          <w:snapToGrid w:val="0"/>
          <w:szCs w:val="18"/>
          <w:lang w:val="sk-SK"/>
        </w:rPr>
        <w:t>166</w:t>
      </w:r>
      <w:r w:rsidRPr="00226892">
        <w:rPr>
          <w:rFonts w:ascii="Arial" w:eastAsia="Times" w:hAnsi="Arial" w:cs="Arial"/>
          <w:bCs/>
          <w:snapToGrid w:val="0"/>
          <w:szCs w:val="18"/>
          <w:lang w:val="sk-SK"/>
        </w:rPr>
        <w:t xml:space="preserve"> tis. EUR. Spoločnosť predpokladá, že na základe súčasného vývoja činnosti vyčerpá daňovú úľavu do konca roka 2024.</w:t>
      </w:r>
    </w:p>
    <w:p w14:paraId="1C3D5EC8" w14:textId="347D3D71" w:rsidR="00235CDF" w:rsidRPr="00226892" w:rsidRDefault="00235CDF" w:rsidP="00756C6D">
      <w:pPr>
        <w:suppressAutoHyphens/>
        <w:jc w:val="both"/>
        <w:rPr>
          <w:rFonts w:ascii="Arial" w:eastAsia="Times" w:hAnsi="Arial" w:cs="Arial"/>
          <w:bCs/>
          <w:snapToGrid w:val="0"/>
          <w:szCs w:val="18"/>
          <w:lang w:val="sk-SK"/>
        </w:rPr>
      </w:pPr>
    </w:p>
    <w:p w14:paraId="43AAF509" w14:textId="77777777" w:rsidR="00BA6D86" w:rsidRPr="00226892" w:rsidRDefault="00BA6D86" w:rsidP="00756C6D">
      <w:pPr>
        <w:suppressAutoHyphens/>
        <w:jc w:val="both"/>
        <w:rPr>
          <w:rFonts w:ascii="Arial" w:eastAsia="Times" w:hAnsi="Arial" w:cs="Arial"/>
          <w:bCs/>
          <w:snapToGrid w:val="0"/>
          <w:szCs w:val="18"/>
          <w:lang w:val="sk-SK"/>
        </w:rPr>
      </w:pPr>
    </w:p>
    <w:p w14:paraId="7E7D2218" w14:textId="185AB646" w:rsidR="00256577" w:rsidRPr="00226892" w:rsidRDefault="00256577" w:rsidP="00256577">
      <w:pPr>
        <w:pStyle w:val="Nadpis3"/>
        <w:keepNext w:val="0"/>
        <w:widowControl/>
        <w:numPr>
          <w:ilvl w:val="0"/>
          <w:numId w:val="34"/>
        </w:numPr>
        <w:tabs>
          <w:tab w:val="clear" w:pos="1069"/>
          <w:tab w:val="num" w:pos="392"/>
        </w:tabs>
        <w:suppressAutoHyphens/>
        <w:spacing w:after="120"/>
        <w:ind w:left="1077" w:hanging="1077"/>
        <w:rPr>
          <w:rFonts w:ascii="Arial" w:hAnsi="Arial" w:cs="Arial"/>
          <w:sz w:val="20"/>
          <w:lang w:val="sk-SK"/>
        </w:rPr>
      </w:pPr>
      <w:bookmarkStart w:id="528" w:name="_Toc27410007"/>
      <w:r w:rsidRPr="00226892">
        <w:rPr>
          <w:rFonts w:ascii="Arial" w:hAnsi="Arial" w:cs="Arial"/>
          <w:sz w:val="20"/>
          <w:lang w:val="sk-SK"/>
        </w:rPr>
        <w:t>Rezervy</w:t>
      </w:r>
      <w:bookmarkEnd w:id="528"/>
    </w:p>
    <w:p w14:paraId="1C4CAEC4" w14:textId="6B0F5439" w:rsidR="00256577" w:rsidRPr="00226892" w:rsidRDefault="00256577" w:rsidP="00756C6D">
      <w:pPr>
        <w:suppressAutoHyphens/>
        <w:jc w:val="both"/>
        <w:rPr>
          <w:rFonts w:ascii="Arial" w:hAnsi="Arial" w:cs="Arial"/>
          <w:bCs/>
          <w:szCs w:val="18"/>
          <w:lang w:val="sk-SK"/>
        </w:rPr>
      </w:pPr>
      <w:r w:rsidRPr="00226892">
        <w:rPr>
          <w:rFonts w:ascii="Arial" w:eastAsia="Times" w:hAnsi="Arial" w:cs="Arial"/>
          <w:bCs/>
          <w:snapToGrid w:val="0"/>
          <w:szCs w:val="18"/>
          <w:lang w:val="sk-SK"/>
        </w:rPr>
        <w:t>Vývoj rezerv je uvedený v nasledujúcej tabuľke:</w:t>
      </w:r>
      <w:r w:rsidRPr="00226892">
        <w:rPr>
          <w:rFonts w:ascii="Arial" w:hAnsi="Arial" w:cs="Arial"/>
          <w:bCs/>
          <w:szCs w:val="18"/>
          <w:lang w:val="sk-SK"/>
        </w:rPr>
        <w:t xml:space="preserve"> </w:t>
      </w:r>
    </w:p>
    <w:p w14:paraId="44D94DC6" w14:textId="77777777" w:rsidR="00256577" w:rsidRPr="00226892" w:rsidRDefault="00256577" w:rsidP="00256577">
      <w:pPr>
        <w:suppressAutoHyphens/>
        <w:rPr>
          <w:rFonts w:ascii="Arial" w:eastAsia="Times" w:hAnsi="Arial" w:cs="Arial"/>
          <w:szCs w:val="16"/>
          <w:lang w:val="sk-SK"/>
        </w:rPr>
      </w:pPr>
    </w:p>
    <w:tbl>
      <w:tblPr>
        <w:tblW w:w="5000" w:type="pct"/>
        <w:tblCellMar>
          <w:left w:w="70" w:type="dxa"/>
          <w:right w:w="70" w:type="dxa"/>
        </w:tblCellMar>
        <w:tblLook w:val="04A0" w:firstRow="1" w:lastRow="0" w:firstColumn="1" w:lastColumn="0" w:noHBand="0" w:noVBand="1"/>
      </w:tblPr>
      <w:tblGrid>
        <w:gridCol w:w="2077"/>
        <w:gridCol w:w="1511"/>
        <w:gridCol w:w="1899"/>
        <w:gridCol w:w="2373"/>
        <w:gridCol w:w="1779"/>
      </w:tblGrid>
      <w:tr w:rsidR="00256577" w:rsidRPr="00226892" w14:paraId="0C018BBF" w14:textId="77777777" w:rsidTr="00094C0C">
        <w:trPr>
          <w:trHeight w:val="170"/>
        </w:trPr>
        <w:tc>
          <w:tcPr>
            <w:tcW w:w="1077" w:type="pct"/>
            <w:tcBorders>
              <w:top w:val="nil"/>
              <w:left w:val="nil"/>
              <w:bottom w:val="single" w:sz="4" w:space="0" w:color="auto"/>
              <w:right w:val="nil"/>
            </w:tcBorders>
            <w:shd w:val="clear" w:color="auto" w:fill="auto"/>
            <w:vAlign w:val="bottom"/>
            <w:hideMark/>
          </w:tcPr>
          <w:p w14:paraId="5F898416" w14:textId="77777777" w:rsidR="00256577" w:rsidRPr="00226892" w:rsidRDefault="00256577" w:rsidP="00734402">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w:t>
            </w:r>
          </w:p>
        </w:tc>
        <w:tc>
          <w:tcPr>
            <w:tcW w:w="784" w:type="pct"/>
            <w:tcBorders>
              <w:top w:val="nil"/>
              <w:left w:val="nil"/>
              <w:bottom w:val="single" w:sz="4" w:space="0" w:color="auto"/>
              <w:right w:val="nil"/>
            </w:tcBorders>
            <w:shd w:val="clear" w:color="auto" w:fill="auto"/>
            <w:vAlign w:val="bottom"/>
            <w:hideMark/>
          </w:tcPr>
          <w:p w14:paraId="399D340F" w14:textId="0AF1F143" w:rsidR="00256577" w:rsidRPr="00226892" w:rsidRDefault="00256577" w:rsidP="00094C0C">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K 1. januáru </w:t>
            </w:r>
            <w:r w:rsidR="00FD3AC5" w:rsidRPr="00226892">
              <w:rPr>
                <w:rFonts w:ascii="Arial" w:eastAsia="Times New Roman" w:hAnsi="Arial" w:cs="Arial"/>
                <w:b/>
                <w:bCs/>
                <w:color w:val="000000"/>
                <w:sz w:val="18"/>
                <w:szCs w:val="18"/>
                <w:lang w:val="sk-SK" w:eastAsia="sk-SK"/>
              </w:rPr>
              <w:t>2018</w:t>
            </w:r>
          </w:p>
        </w:tc>
        <w:tc>
          <w:tcPr>
            <w:tcW w:w="985" w:type="pct"/>
            <w:tcBorders>
              <w:top w:val="nil"/>
              <w:left w:val="nil"/>
              <w:bottom w:val="single" w:sz="4" w:space="0" w:color="auto"/>
              <w:right w:val="nil"/>
            </w:tcBorders>
            <w:shd w:val="clear" w:color="auto" w:fill="auto"/>
            <w:vAlign w:val="bottom"/>
            <w:hideMark/>
          </w:tcPr>
          <w:p w14:paraId="5EE2E4C9" w14:textId="5931DC28" w:rsidR="00256577" w:rsidRPr="00226892" w:rsidRDefault="00256577" w:rsidP="00094C0C">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Tvorba</w:t>
            </w:r>
          </w:p>
        </w:tc>
        <w:tc>
          <w:tcPr>
            <w:tcW w:w="1231" w:type="pct"/>
            <w:tcBorders>
              <w:top w:val="nil"/>
              <w:left w:val="nil"/>
              <w:bottom w:val="single" w:sz="4" w:space="0" w:color="auto"/>
              <w:right w:val="nil"/>
            </w:tcBorders>
            <w:shd w:val="clear" w:color="auto" w:fill="auto"/>
            <w:vAlign w:val="bottom"/>
            <w:hideMark/>
          </w:tcPr>
          <w:p w14:paraId="416FDBD8" w14:textId="396FB85B" w:rsidR="00256577" w:rsidRPr="00226892" w:rsidRDefault="00256577" w:rsidP="00094C0C">
            <w:pPr>
              <w:jc w:val="center"/>
              <w:rPr>
                <w:rFonts w:ascii="Arial" w:eastAsia="Times New Roman" w:hAnsi="Arial" w:cs="Arial"/>
                <w:b/>
                <w:bCs/>
                <w:sz w:val="18"/>
                <w:szCs w:val="18"/>
                <w:lang w:val="sk-SK" w:eastAsia="sk-SK"/>
              </w:rPr>
            </w:pPr>
            <w:r w:rsidRPr="00226892">
              <w:rPr>
                <w:rFonts w:ascii="Arial" w:eastAsia="Times New Roman" w:hAnsi="Arial" w:cs="Arial"/>
                <w:b/>
                <w:bCs/>
                <w:sz w:val="18"/>
                <w:szCs w:val="18"/>
                <w:lang w:val="sk-SK" w:eastAsia="sk-SK"/>
              </w:rPr>
              <w:t>Použitie / rozpustenie</w:t>
            </w:r>
          </w:p>
        </w:tc>
        <w:tc>
          <w:tcPr>
            <w:tcW w:w="923" w:type="pct"/>
            <w:tcBorders>
              <w:top w:val="nil"/>
              <w:left w:val="nil"/>
              <w:bottom w:val="single" w:sz="4" w:space="0" w:color="auto"/>
              <w:right w:val="nil"/>
            </w:tcBorders>
            <w:shd w:val="clear" w:color="auto" w:fill="auto"/>
            <w:vAlign w:val="bottom"/>
            <w:hideMark/>
          </w:tcPr>
          <w:p w14:paraId="7B51CBBA" w14:textId="3CC318DE" w:rsidR="00256577" w:rsidRPr="00226892" w:rsidRDefault="00256577" w:rsidP="00094C0C">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K 31. decembru </w:t>
            </w:r>
            <w:r w:rsidR="00FD3AC5" w:rsidRPr="00226892">
              <w:rPr>
                <w:rFonts w:ascii="Arial" w:eastAsia="Times New Roman" w:hAnsi="Arial" w:cs="Arial"/>
                <w:b/>
                <w:bCs/>
                <w:color w:val="000000"/>
                <w:sz w:val="18"/>
                <w:szCs w:val="18"/>
                <w:lang w:val="sk-SK" w:eastAsia="sk-SK"/>
              </w:rPr>
              <w:t>2018</w:t>
            </w:r>
          </w:p>
        </w:tc>
      </w:tr>
      <w:tr w:rsidR="00256577" w:rsidRPr="00226892" w14:paraId="17AA0542" w14:textId="77777777" w:rsidTr="00756C6D">
        <w:trPr>
          <w:trHeight w:val="170"/>
        </w:trPr>
        <w:tc>
          <w:tcPr>
            <w:tcW w:w="1077" w:type="pct"/>
            <w:tcBorders>
              <w:top w:val="nil"/>
              <w:left w:val="nil"/>
              <w:bottom w:val="nil"/>
              <w:right w:val="nil"/>
            </w:tcBorders>
            <w:shd w:val="clear" w:color="auto" w:fill="auto"/>
            <w:vAlign w:val="bottom"/>
            <w:hideMark/>
          </w:tcPr>
          <w:p w14:paraId="325AC487" w14:textId="391F8AC6" w:rsidR="00256577" w:rsidRPr="00226892" w:rsidRDefault="00256577" w:rsidP="00734402">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Rezerva na kvalitu výrobkov</w:t>
            </w:r>
          </w:p>
        </w:tc>
        <w:tc>
          <w:tcPr>
            <w:tcW w:w="784" w:type="pct"/>
            <w:tcBorders>
              <w:top w:val="nil"/>
              <w:left w:val="nil"/>
              <w:bottom w:val="nil"/>
              <w:right w:val="nil"/>
            </w:tcBorders>
            <w:shd w:val="clear" w:color="auto" w:fill="auto"/>
            <w:vAlign w:val="bottom"/>
          </w:tcPr>
          <w:p w14:paraId="5F3233FA" w14:textId="60360CFA" w:rsidR="00256577" w:rsidRPr="00226892" w:rsidRDefault="009F2456" w:rsidP="00734402">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322</w:t>
            </w:r>
          </w:p>
        </w:tc>
        <w:tc>
          <w:tcPr>
            <w:tcW w:w="985" w:type="pct"/>
            <w:tcBorders>
              <w:top w:val="nil"/>
              <w:left w:val="nil"/>
              <w:bottom w:val="nil"/>
              <w:right w:val="nil"/>
            </w:tcBorders>
            <w:shd w:val="clear" w:color="auto" w:fill="auto"/>
            <w:vAlign w:val="bottom"/>
          </w:tcPr>
          <w:p w14:paraId="2400DBDB" w14:textId="5EABE69C" w:rsidR="00256577" w:rsidRPr="00226892" w:rsidRDefault="009F2456" w:rsidP="00734402">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231" w:type="pct"/>
            <w:tcBorders>
              <w:top w:val="nil"/>
              <w:left w:val="nil"/>
              <w:bottom w:val="nil"/>
              <w:right w:val="nil"/>
            </w:tcBorders>
            <w:shd w:val="clear" w:color="auto" w:fill="auto"/>
            <w:vAlign w:val="bottom"/>
          </w:tcPr>
          <w:p w14:paraId="4FFF38D3" w14:textId="32293E8D" w:rsidR="00256577" w:rsidRPr="00226892" w:rsidRDefault="009F2456" w:rsidP="00734402">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214</w:t>
            </w:r>
          </w:p>
        </w:tc>
        <w:tc>
          <w:tcPr>
            <w:tcW w:w="923" w:type="pct"/>
            <w:tcBorders>
              <w:top w:val="nil"/>
              <w:left w:val="nil"/>
              <w:bottom w:val="nil"/>
              <w:right w:val="nil"/>
            </w:tcBorders>
            <w:shd w:val="clear" w:color="auto" w:fill="auto"/>
            <w:vAlign w:val="bottom"/>
          </w:tcPr>
          <w:p w14:paraId="0D33CF72" w14:textId="19A00B2D" w:rsidR="00256577" w:rsidRPr="00226892" w:rsidRDefault="009F2456" w:rsidP="00734402">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108</w:t>
            </w:r>
          </w:p>
        </w:tc>
      </w:tr>
      <w:tr w:rsidR="00256577" w:rsidRPr="00226892" w14:paraId="3664ACA4" w14:textId="77777777" w:rsidTr="00756C6D">
        <w:trPr>
          <w:trHeight w:val="170"/>
        </w:trPr>
        <w:tc>
          <w:tcPr>
            <w:tcW w:w="1077" w:type="pct"/>
            <w:tcBorders>
              <w:top w:val="nil"/>
              <w:left w:val="nil"/>
              <w:bottom w:val="nil"/>
              <w:right w:val="nil"/>
            </w:tcBorders>
            <w:shd w:val="clear" w:color="auto" w:fill="auto"/>
            <w:vAlign w:val="bottom"/>
            <w:hideMark/>
          </w:tcPr>
          <w:p w14:paraId="6CF8C988" w14:textId="77777777" w:rsidR="00256577" w:rsidRPr="00226892" w:rsidRDefault="00256577" w:rsidP="00734402">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Spolu </w:t>
            </w:r>
          </w:p>
        </w:tc>
        <w:tc>
          <w:tcPr>
            <w:tcW w:w="784" w:type="pct"/>
            <w:tcBorders>
              <w:top w:val="single" w:sz="4" w:space="0" w:color="auto"/>
              <w:left w:val="nil"/>
              <w:bottom w:val="double" w:sz="6" w:space="0" w:color="auto"/>
              <w:right w:val="nil"/>
            </w:tcBorders>
            <w:shd w:val="clear" w:color="auto" w:fill="auto"/>
            <w:vAlign w:val="bottom"/>
          </w:tcPr>
          <w:p w14:paraId="1F5845CB" w14:textId="51458F41" w:rsidR="00256577" w:rsidRPr="00226892" w:rsidRDefault="009F2456" w:rsidP="00734402">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322</w:t>
            </w:r>
          </w:p>
        </w:tc>
        <w:tc>
          <w:tcPr>
            <w:tcW w:w="985" w:type="pct"/>
            <w:tcBorders>
              <w:top w:val="single" w:sz="4" w:space="0" w:color="auto"/>
              <w:left w:val="nil"/>
              <w:bottom w:val="double" w:sz="6" w:space="0" w:color="auto"/>
              <w:right w:val="nil"/>
            </w:tcBorders>
            <w:shd w:val="clear" w:color="auto" w:fill="auto"/>
            <w:vAlign w:val="bottom"/>
          </w:tcPr>
          <w:p w14:paraId="187A3911" w14:textId="26D3A27D" w:rsidR="00256577" w:rsidRPr="00226892" w:rsidRDefault="009F2456" w:rsidP="00734402">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w:t>
            </w:r>
          </w:p>
        </w:tc>
        <w:tc>
          <w:tcPr>
            <w:tcW w:w="1231" w:type="pct"/>
            <w:tcBorders>
              <w:top w:val="single" w:sz="4" w:space="0" w:color="auto"/>
              <w:left w:val="nil"/>
              <w:bottom w:val="double" w:sz="6" w:space="0" w:color="auto"/>
              <w:right w:val="nil"/>
            </w:tcBorders>
            <w:shd w:val="clear" w:color="auto" w:fill="auto"/>
            <w:vAlign w:val="bottom"/>
          </w:tcPr>
          <w:p w14:paraId="23EBFD1F" w14:textId="3BA8DBFF" w:rsidR="00256577" w:rsidRPr="00226892" w:rsidRDefault="009F2456" w:rsidP="00734402">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214</w:t>
            </w:r>
          </w:p>
        </w:tc>
        <w:tc>
          <w:tcPr>
            <w:tcW w:w="923" w:type="pct"/>
            <w:tcBorders>
              <w:top w:val="single" w:sz="4" w:space="0" w:color="auto"/>
              <w:left w:val="nil"/>
              <w:bottom w:val="double" w:sz="6" w:space="0" w:color="auto"/>
              <w:right w:val="nil"/>
            </w:tcBorders>
            <w:shd w:val="clear" w:color="auto" w:fill="auto"/>
            <w:vAlign w:val="bottom"/>
          </w:tcPr>
          <w:p w14:paraId="2F5A4DBA" w14:textId="752CB590" w:rsidR="00256577" w:rsidRPr="00226892" w:rsidRDefault="009F2456" w:rsidP="00734402">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108</w:t>
            </w:r>
          </w:p>
        </w:tc>
      </w:tr>
    </w:tbl>
    <w:p w14:paraId="2AF68F5D" w14:textId="6F497E1F" w:rsidR="00256577" w:rsidRPr="00226892" w:rsidRDefault="00256577">
      <w:pPr>
        <w:rPr>
          <w:rFonts w:ascii="Arial" w:hAnsi="Arial" w:cs="Arial"/>
          <w:b/>
          <w:snapToGrid w:val="0"/>
          <w:color w:val="000000"/>
          <w:sz w:val="18"/>
          <w:szCs w:val="18"/>
          <w:lang w:val="sk-SK"/>
        </w:rPr>
      </w:pPr>
    </w:p>
    <w:p w14:paraId="71787068" w14:textId="77777777" w:rsidR="00BA6D86" w:rsidRPr="00226892" w:rsidRDefault="00BA6D86">
      <w:pPr>
        <w:rPr>
          <w:rFonts w:ascii="Arial" w:hAnsi="Arial" w:cs="Arial"/>
          <w:b/>
          <w:snapToGrid w:val="0"/>
          <w:color w:val="000000"/>
          <w:sz w:val="18"/>
          <w:szCs w:val="18"/>
          <w:lang w:val="sk-SK"/>
        </w:rPr>
      </w:pPr>
    </w:p>
    <w:tbl>
      <w:tblPr>
        <w:tblW w:w="5000" w:type="pct"/>
        <w:tblCellMar>
          <w:left w:w="70" w:type="dxa"/>
          <w:right w:w="70" w:type="dxa"/>
        </w:tblCellMar>
        <w:tblLook w:val="04A0" w:firstRow="1" w:lastRow="0" w:firstColumn="1" w:lastColumn="0" w:noHBand="0" w:noVBand="1"/>
      </w:tblPr>
      <w:tblGrid>
        <w:gridCol w:w="2077"/>
        <w:gridCol w:w="1511"/>
        <w:gridCol w:w="1899"/>
        <w:gridCol w:w="2373"/>
        <w:gridCol w:w="1779"/>
      </w:tblGrid>
      <w:tr w:rsidR="00256577" w:rsidRPr="00226892" w14:paraId="4F5BE43F" w14:textId="77777777" w:rsidTr="00094C0C">
        <w:trPr>
          <w:trHeight w:val="170"/>
        </w:trPr>
        <w:tc>
          <w:tcPr>
            <w:tcW w:w="1077" w:type="pct"/>
            <w:tcBorders>
              <w:top w:val="nil"/>
              <w:left w:val="nil"/>
              <w:bottom w:val="single" w:sz="4" w:space="0" w:color="auto"/>
              <w:right w:val="nil"/>
            </w:tcBorders>
            <w:shd w:val="clear" w:color="auto" w:fill="auto"/>
            <w:vAlign w:val="bottom"/>
            <w:hideMark/>
          </w:tcPr>
          <w:p w14:paraId="4FE6AC84" w14:textId="77777777" w:rsidR="00256577" w:rsidRPr="00226892" w:rsidRDefault="00256577" w:rsidP="00734402">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w:t>
            </w:r>
          </w:p>
        </w:tc>
        <w:tc>
          <w:tcPr>
            <w:tcW w:w="784" w:type="pct"/>
            <w:tcBorders>
              <w:top w:val="nil"/>
              <w:left w:val="nil"/>
              <w:bottom w:val="single" w:sz="4" w:space="0" w:color="auto"/>
              <w:right w:val="nil"/>
            </w:tcBorders>
            <w:shd w:val="clear" w:color="auto" w:fill="auto"/>
            <w:vAlign w:val="bottom"/>
            <w:hideMark/>
          </w:tcPr>
          <w:p w14:paraId="5F75139A" w14:textId="239DC94D" w:rsidR="00256577" w:rsidRPr="00226892" w:rsidRDefault="00256577" w:rsidP="00094C0C">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K 1. januáru </w:t>
            </w:r>
            <w:r w:rsidR="00F63A77" w:rsidRPr="00226892">
              <w:rPr>
                <w:rFonts w:ascii="Arial" w:eastAsia="Times New Roman" w:hAnsi="Arial" w:cs="Arial"/>
                <w:b/>
                <w:bCs/>
                <w:color w:val="000000"/>
                <w:sz w:val="18"/>
                <w:szCs w:val="18"/>
                <w:lang w:val="sk-SK" w:eastAsia="sk-SK"/>
              </w:rPr>
              <w:t>2017</w:t>
            </w:r>
          </w:p>
        </w:tc>
        <w:tc>
          <w:tcPr>
            <w:tcW w:w="985" w:type="pct"/>
            <w:tcBorders>
              <w:top w:val="nil"/>
              <w:left w:val="nil"/>
              <w:bottom w:val="single" w:sz="4" w:space="0" w:color="auto"/>
              <w:right w:val="nil"/>
            </w:tcBorders>
            <w:shd w:val="clear" w:color="auto" w:fill="auto"/>
            <w:vAlign w:val="bottom"/>
            <w:hideMark/>
          </w:tcPr>
          <w:p w14:paraId="297DD802" w14:textId="7BF67142" w:rsidR="00256577" w:rsidRPr="00226892" w:rsidRDefault="00256577" w:rsidP="00094C0C">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Tvorba</w:t>
            </w:r>
          </w:p>
        </w:tc>
        <w:tc>
          <w:tcPr>
            <w:tcW w:w="1231" w:type="pct"/>
            <w:tcBorders>
              <w:top w:val="nil"/>
              <w:left w:val="nil"/>
              <w:bottom w:val="single" w:sz="4" w:space="0" w:color="auto"/>
              <w:right w:val="nil"/>
            </w:tcBorders>
            <w:shd w:val="clear" w:color="auto" w:fill="auto"/>
            <w:vAlign w:val="bottom"/>
            <w:hideMark/>
          </w:tcPr>
          <w:p w14:paraId="5BD48F21" w14:textId="6D0B84C0" w:rsidR="00256577" w:rsidRPr="00226892" w:rsidRDefault="00256577" w:rsidP="00094C0C">
            <w:pPr>
              <w:jc w:val="center"/>
              <w:rPr>
                <w:rFonts w:ascii="Arial" w:eastAsia="Times New Roman" w:hAnsi="Arial" w:cs="Arial"/>
                <w:b/>
                <w:bCs/>
                <w:sz w:val="18"/>
                <w:szCs w:val="18"/>
                <w:lang w:val="sk-SK" w:eastAsia="sk-SK"/>
              </w:rPr>
            </w:pPr>
            <w:r w:rsidRPr="00226892">
              <w:rPr>
                <w:rFonts w:ascii="Arial" w:eastAsia="Times New Roman" w:hAnsi="Arial" w:cs="Arial"/>
                <w:b/>
                <w:bCs/>
                <w:sz w:val="18"/>
                <w:szCs w:val="18"/>
                <w:lang w:val="sk-SK" w:eastAsia="sk-SK"/>
              </w:rPr>
              <w:t>Použitie / rozpustenie</w:t>
            </w:r>
          </w:p>
        </w:tc>
        <w:tc>
          <w:tcPr>
            <w:tcW w:w="923" w:type="pct"/>
            <w:tcBorders>
              <w:top w:val="nil"/>
              <w:left w:val="nil"/>
              <w:bottom w:val="single" w:sz="4" w:space="0" w:color="auto"/>
              <w:right w:val="nil"/>
            </w:tcBorders>
            <w:shd w:val="clear" w:color="auto" w:fill="auto"/>
            <w:vAlign w:val="bottom"/>
            <w:hideMark/>
          </w:tcPr>
          <w:p w14:paraId="0483CCFE" w14:textId="42C2295D" w:rsidR="00256577" w:rsidRPr="00226892" w:rsidRDefault="00256577" w:rsidP="00094C0C">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K 31. decembru </w:t>
            </w:r>
            <w:r w:rsidR="00F63A77" w:rsidRPr="00226892">
              <w:rPr>
                <w:rFonts w:ascii="Arial" w:eastAsia="Times New Roman" w:hAnsi="Arial" w:cs="Arial"/>
                <w:b/>
                <w:bCs/>
                <w:color w:val="000000"/>
                <w:sz w:val="18"/>
                <w:szCs w:val="18"/>
                <w:lang w:val="sk-SK" w:eastAsia="sk-SK"/>
              </w:rPr>
              <w:t>2017</w:t>
            </w:r>
          </w:p>
        </w:tc>
      </w:tr>
      <w:tr w:rsidR="009F2456" w:rsidRPr="00226892" w14:paraId="2CA76390" w14:textId="77777777" w:rsidTr="00756C6D">
        <w:trPr>
          <w:trHeight w:val="170"/>
        </w:trPr>
        <w:tc>
          <w:tcPr>
            <w:tcW w:w="1077" w:type="pct"/>
            <w:tcBorders>
              <w:top w:val="nil"/>
              <w:left w:val="nil"/>
              <w:bottom w:val="nil"/>
              <w:right w:val="nil"/>
            </w:tcBorders>
            <w:shd w:val="clear" w:color="auto" w:fill="auto"/>
            <w:vAlign w:val="bottom"/>
            <w:hideMark/>
          </w:tcPr>
          <w:p w14:paraId="135012AA" w14:textId="77777777"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Rezerva na kvalitu výrobkov</w:t>
            </w:r>
          </w:p>
        </w:tc>
        <w:tc>
          <w:tcPr>
            <w:tcW w:w="784" w:type="pct"/>
            <w:tcBorders>
              <w:top w:val="nil"/>
              <w:left w:val="nil"/>
              <w:bottom w:val="nil"/>
              <w:right w:val="nil"/>
            </w:tcBorders>
            <w:shd w:val="clear" w:color="auto" w:fill="auto"/>
            <w:vAlign w:val="bottom"/>
            <w:hideMark/>
          </w:tcPr>
          <w:p w14:paraId="01E8CC11" w14:textId="102E6865"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213  </w:t>
            </w:r>
          </w:p>
        </w:tc>
        <w:tc>
          <w:tcPr>
            <w:tcW w:w="985" w:type="pct"/>
            <w:tcBorders>
              <w:top w:val="nil"/>
              <w:left w:val="nil"/>
              <w:bottom w:val="nil"/>
              <w:right w:val="nil"/>
            </w:tcBorders>
            <w:shd w:val="clear" w:color="auto" w:fill="auto"/>
            <w:vAlign w:val="bottom"/>
            <w:hideMark/>
          </w:tcPr>
          <w:p w14:paraId="5AE96684" w14:textId="28A9A113"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109    </w:t>
            </w:r>
          </w:p>
        </w:tc>
        <w:tc>
          <w:tcPr>
            <w:tcW w:w="1231" w:type="pct"/>
            <w:tcBorders>
              <w:top w:val="nil"/>
              <w:left w:val="nil"/>
              <w:bottom w:val="nil"/>
              <w:right w:val="nil"/>
            </w:tcBorders>
            <w:shd w:val="clear" w:color="auto" w:fill="auto"/>
            <w:vAlign w:val="bottom"/>
            <w:hideMark/>
          </w:tcPr>
          <w:p w14:paraId="470EB497" w14:textId="09EB5981"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w:t>
            </w:r>
          </w:p>
        </w:tc>
        <w:tc>
          <w:tcPr>
            <w:tcW w:w="923" w:type="pct"/>
            <w:tcBorders>
              <w:top w:val="nil"/>
              <w:left w:val="nil"/>
              <w:bottom w:val="nil"/>
              <w:right w:val="nil"/>
            </w:tcBorders>
            <w:shd w:val="clear" w:color="auto" w:fill="auto"/>
            <w:vAlign w:val="bottom"/>
            <w:hideMark/>
          </w:tcPr>
          <w:p w14:paraId="1A32DF26" w14:textId="28E63EB8"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322    </w:t>
            </w:r>
          </w:p>
        </w:tc>
      </w:tr>
      <w:tr w:rsidR="009F2456" w:rsidRPr="00226892" w14:paraId="5033848C" w14:textId="77777777" w:rsidTr="00756C6D">
        <w:trPr>
          <w:trHeight w:val="170"/>
        </w:trPr>
        <w:tc>
          <w:tcPr>
            <w:tcW w:w="1077" w:type="pct"/>
            <w:tcBorders>
              <w:top w:val="nil"/>
              <w:left w:val="nil"/>
              <w:bottom w:val="nil"/>
              <w:right w:val="nil"/>
            </w:tcBorders>
            <w:shd w:val="clear" w:color="auto" w:fill="auto"/>
            <w:vAlign w:val="bottom"/>
            <w:hideMark/>
          </w:tcPr>
          <w:p w14:paraId="2CA34BFA" w14:textId="77777777" w:rsidR="009F2456" w:rsidRPr="00226892" w:rsidRDefault="009F2456" w:rsidP="009F2456">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Spolu </w:t>
            </w:r>
          </w:p>
        </w:tc>
        <w:tc>
          <w:tcPr>
            <w:tcW w:w="784" w:type="pct"/>
            <w:tcBorders>
              <w:top w:val="single" w:sz="4" w:space="0" w:color="auto"/>
              <w:left w:val="nil"/>
              <w:bottom w:val="double" w:sz="6" w:space="0" w:color="auto"/>
              <w:right w:val="nil"/>
            </w:tcBorders>
            <w:shd w:val="clear" w:color="auto" w:fill="auto"/>
            <w:vAlign w:val="bottom"/>
            <w:hideMark/>
          </w:tcPr>
          <w:p w14:paraId="0FA6864C" w14:textId="4FCA7F05" w:rsidR="009F2456" w:rsidRPr="00226892" w:rsidRDefault="009F2456" w:rsidP="00265134">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213    </w:t>
            </w:r>
          </w:p>
        </w:tc>
        <w:tc>
          <w:tcPr>
            <w:tcW w:w="985" w:type="pct"/>
            <w:tcBorders>
              <w:top w:val="single" w:sz="4" w:space="0" w:color="auto"/>
              <w:left w:val="nil"/>
              <w:bottom w:val="double" w:sz="6" w:space="0" w:color="auto"/>
              <w:right w:val="nil"/>
            </w:tcBorders>
            <w:shd w:val="clear" w:color="auto" w:fill="auto"/>
            <w:vAlign w:val="bottom"/>
            <w:hideMark/>
          </w:tcPr>
          <w:p w14:paraId="027AC83C" w14:textId="58BE7F86" w:rsidR="009F2456" w:rsidRPr="00226892" w:rsidRDefault="009F2456" w:rsidP="009F245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109    </w:t>
            </w:r>
          </w:p>
        </w:tc>
        <w:tc>
          <w:tcPr>
            <w:tcW w:w="1231" w:type="pct"/>
            <w:tcBorders>
              <w:top w:val="single" w:sz="4" w:space="0" w:color="auto"/>
              <w:left w:val="nil"/>
              <w:bottom w:val="double" w:sz="6" w:space="0" w:color="auto"/>
              <w:right w:val="nil"/>
            </w:tcBorders>
            <w:shd w:val="clear" w:color="auto" w:fill="auto"/>
            <w:vAlign w:val="bottom"/>
            <w:hideMark/>
          </w:tcPr>
          <w:p w14:paraId="3B60693C" w14:textId="6D60BA3C" w:rsidR="009F2456" w:rsidRPr="00226892" w:rsidRDefault="009F2456" w:rsidP="009F245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    </w:t>
            </w:r>
          </w:p>
        </w:tc>
        <w:tc>
          <w:tcPr>
            <w:tcW w:w="923" w:type="pct"/>
            <w:tcBorders>
              <w:top w:val="single" w:sz="4" w:space="0" w:color="auto"/>
              <w:left w:val="nil"/>
              <w:bottom w:val="double" w:sz="6" w:space="0" w:color="auto"/>
              <w:right w:val="nil"/>
            </w:tcBorders>
            <w:shd w:val="clear" w:color="auto" w:fill="auto"/>
            <w:vAlign w:val="bottom"/>
            <w:hideMark/>
          </w:tcPr>
          <w:p w14:paraId="7CB1E88E" w14:textId="42A0E8C0" w:rsidR="009F2456" w:rsidRPr="00226892" w:rsidRDefault="009F2456" w:rsidP="009F245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322    </w:t>
            </w:r>
          </w:p>
        </w:tc>
      </w:tr>
    </w:tbl>
    <w:p w14:paraId="5E267F18" w14:textId="5214CE47" w:rsidR="00A3304B" w:rsidRPr="00226892" w:rsidRDefault="00A3304B">
      <w:pPr>
        <w:rPr>
          <w:rFonts w:ascii="Arial" w:hAnsi="Arial" w:cs="Arial"/>
          <w:b/>
          <w:snapToGrid w:val="0"/>
          <w:color w:val="000000"/>
          <w:sz w:val="18"/>
          <w:szCs w:val="18"/>
          <w:lang w:val="sk-SK"/>
        </w:rPr>
      </w:pPr>
    </w:p>
    <w:p w14:paraId="62C12588" w14:textId="5D2FB5EC" w:rsidR="00256577" w:rsidRPr="00226892" w:rsidRDefault="00256577">
      <w:pPr>
        <w:rPr>
          <w:rFonts w:ascii="Arial" w:hAnsi="Arial" w:cs="Arial"/>
          <w:b/>
          <w:snapToGrid w:val="0"/>
          <w:color w:val="000000"/>
          <w:sz w:val="18"/>
          <w:szCs w:val="18"/>
          <w:lang w:val="sk-SK"/>
        </w:rPr>
      </w:pPr>
    </w:p>
    <w:p w14:paraId="0A6303F7" w14:textId="16C78D4B" w:rsidR="004C79B8" w:rsidRPr="00226892" w:rsidRDefault="004C79B8">
      <w:pPr>
        <w:rPr>
          <w:rFonts w:ascii="Arial" w:hAnsi="Arial" w:cs="Arial"/>
          <w:b/>
          <w:snapToGrid w:val="0"/>
          <w:color w:val="000000"/>
          <w:sz w:val="18"/>
          <w:szCs w:val="18"/>
          <w:lang w:val="sk-SK"/>
        </w:rPr>
      </w:pPr>
    </w:p>
    <w:p w14:paraId="008443CD" w14:textId="2492A664" w:rsidR="004C79B8" w:rsidRPr="00226892" w:rsidRDefault="004C79B8">
      <w:pPr>
        <w:rPr>
          <w:rFonts w:ascii="Arial" w:hAnsi="Arial" w:cs="Arial"/>
          <w:b/>
          <w:snapToGrid w:val="0"/>
          <w:color w:val="000000"/>
          <w:sz w:val="18"/>
          <w:szCs w:val="18"/>
          <w:lang w:val="sk-SK"/>
        </w:rPr>
      </w:pPr>
    </w:p>
    <w:p w14:paraId="29061E2D" w14:textId="3B257838" w:rsidR="004C79B8" w:rsidRPr="00226892" w:rsidRDefault="004C79B8">
      <w:pPr>
        <w:rPr>
          <w:rFonts w:ascii="Arial" w:hAnsi="Arial" w:cs="Arial"/>
          <w:b/>
          <w:snapToGrid w:val="0"/>
          <w:color w:val="000000"/>
          <w:sz w:val="18"/>
          <w:szCs w:val="18"/>
          <w:lang w:val="sk-SK"/>
        </w:rPr>
      </w:pPr>
    </w:p>
    <w:p w14:paraId="2781D549" w14:textId="20346016" w:rsidR="004C79B8" w:rsidRPr="00226892" w:rsidRDefault="004C79B8">
      <w:pPr>
        <w:rPr>
          <w:rFonts w:ascii="Arial" w:hAnsi="Arial" w:cs="Arial"/>
          <w:b/>
          <w:snapToGrid w:val="0"/>
          <w:color w:val="000000"/>
          <w:sz w:val="18"/>
          <w:szCs w:val="18"/>
          <w:lang w:val="sk-SK"/>
        </w:rPr>
      </w:pPr>
    </w:p>
    <w:p w14:paraId="1456FBA5" w14:textId="4273252F" w:rsidR="004C79B8" w:rsidRPr="00226892" w:rsidRDefault="004C79B8">
      <w:pPr>
        <w:rPr>
          <w:rFonts w:ascii="Arial" w:hAnsi="Arial" w:cs="Arial"/>
          <w:b/>
          <w:snapToGrid w:val="0"/>
          <w:color w:val="000000"/>
          <w:sz w:val="18"/>
          <w:szCs w:val="18"/>
          <w:lang w:val="sk-SK"/>
        </w:rPr>
      </w:pPr>
    </w:p>
    <w:p w14:paraId="56665A68" w14:textId="642785BE" w:rsidR="004C79B8" w:rsidRDefault="004C79B8">
      <w:pPr>
        <w:rPr>
          <w:rFonts w:ascii="Arial" w:hAnsi="Arial" w:cs="Arial"/>
          <w:b/>
          <w:snapToGrid w:val="0"/>
          <w:color w:val="000000"/>
          <w:sz w:val="18"/>
          <w:szCs w:val="18"/>
          <w:lang w:val="sk-SK"/>
        </w:rPr>
      </w:pPr>
    </w:p>
    <w:p w14:paraId="5B42AB0E" w14:textId="77777777" w:rsidR="00CB2089" w:rsidRPr="00226892" w:rsidRDefault="00CB2089">
      <w:pPr>
        <w:rPr>
          <w:rFonts w:ascii="Arial" w:hAnsi="Arial" w:cs="Arial"/>
          <w:b/>
          <w:snapToGrid w:val="0"/>
          <w:color w:val="000000"/>
          <w:sz w:val="18"/>
          <w:szCs w:val="18"/>
          <w:lang w:val="sk-SK"/>
        </w:rPr>
      </w:pPr>
    </w:p>
    <w:p w14:paraId="066412E1" w14:textId="0B84F6FE" w:rsidR="004C79B8" w:rsidRPr="00226892" w:rsidRDefault="004C79B8">
      <w:pPr>
        <w:rPr>
          <w:rFonts w:ascii="Arial" w:hAnsi="Arial" w:cs="Arial"/>
          <w:b/>
          <w:snapToGrid w:val="0"/>
          <w:color w:val="000000"/>
          <w:sz w:val="18"/>
          <w:szCs w:val="18"/>
          <w:lang w:val="sk-SK"/>
        </w:rPr>
      </w:pPr>
    </w:p>
    <w:p w14:paraId="05E6AB97" w14:textId="6490EF48" w:rsidR="008F683A" w:rsidRPr="00226892" w:rsidRDefault="00DA5E9D" w:rsidP="003578C0">
      <w:pPr>
        <w:pStyle w:val="Nadpis3"/>
        <w:keepNext w:val="0"/>
        <w:widowControl/>
        <w:numPr>
          <w:ilvl w:val="0"/>
          <w:numId w:val="34"/>
        </w:numPr>
        <w:tabs>
          <w:tab w:val="clear" w:pos="1069"/>
          <w:tab w:val="num" w:pos="392"/>
        </w:tabs>
        <w:suppressAutoHyphens/>
        <w:spacing w:after="120"/>
        <w:ind w:left="1077" w:hanging="1077"/>
        <w:rPr>
          <w:rFonts w:ascii="Arial" w:hAnsi="Arial" w:cs="Arial"/>
          <w:sz w:val="20"/>
          <w:lang w:val="sk-SK"/>
        </w:rPr>
      </w:pPr>
      <w:bookmarkStart w:id="529" w:name="_Toc326330716"/>
      <w:bookmarkStart w:id="530" w:name="_Toc327260937"/>
      <w:bookmarkStart w:id="531" w:name="_Toc327263412"/>
      <w:bookmarkStart w:id="532" w:name="_Toc325985811"/>
      <w:bookmarkStart w:id="533" w:name="_Toc387812513"/>
      <w:bookmarkStart w:id="534" w:name="_Toc27410008"/>
      <w:bookmarkEnd w:id="529"/>
      <w:bookmarkEnd w:id="530"/>
      <w:bookmarkEnd w:id="531"/>
      <w:r w:rsidRPr="00226892">
        <w:rPr>
          <w:rFonts w:ascii="Arial" w:hAnsi="Arial" w:cs="Arial"/>
          <w:sz w:val="20"/>
          <w:lang w:val="sk-SK"/>
        </w:rPr>
        <w:lastRenderedPageBreak/>
        <w:t>Záväzky z obchodného styku a </w:t>
      </w:r>
      <w:r w:rsidR="00963F83" w:rsidRPr="00226892">
        <w:rPr>
          <w:rFonts w:ascii="Arial" w:hAnsi="Arial" w:cs="Arial"/>
          <w:sz w:val="20"/>
          <w:lang w:val="sk-SK"/>
        </w:rPr>
        <w:t>ostatn</w:t>
      </w:r>
      <w:r w:rsidRPr="00226892">
        <w:rPr>
          <w:rFonts w:ascii="Arial" w:hAnsi="Arial" w:cs="Arial"/>
          <w:sz w:val="20"/>
          <w:lang w:val="sk-SK"/>
        </w:rPr>
        <w:t>é záväzky</w:t>
      </w:r>
      <w:bookmarkEnd w:id="527"/>
      <w:bookmarkEnd w:id="532"/>
      <w:bookmarkEnd w:id="533"/>
      <w:bookmarkEnd w:id="534"/>
    </w:p>
    <w:p w14:paraId="493F94E8" w14:textId="77777777" w:rsidR="00790C36" w:rsidRPr="00226892" w:rsidRDefault="00790C36" w:rsidP="00790C36">
      <w:pPr>
        <w:suppressAutoHyphens/>
        <w:jc w:val="both"/>
        <w:rPr>
          <w:rFonts w:ascii="Arial" w:hAnsi="Arial" w:cs="Arial"/>
          <w:sz w:val="18"/>
          <w:szCs w:val="18"/>
          <w:lang w:val="sk-SK"/>
        </w:rPr>
      </w:pPr>
      <w:bookmarkStart w:id="535" w:name="FWT_TradeAndOthPayables"/>
      <w:r w:rsidRPr="00226892">
        <w:rPr>
          <w:rFonts w:ascii="Arial" w:hAnsi="Arial" w:cs="Arial"/>
          <w:sz w:val="18"/>
          <w:szCs w:val="18"/>
          <w:lang w:val="sk-SK"/>
        </w:rPr>
        <w:t xml:space="preserve"> </w:t>
      </w:r>
    </w:p>
    <w:tbl>
      <w:tblPr>
        <w:tblW w:w="5000" w:type="pct"/>
        <w:tblCellMar>
          <w:left w:w="70" w:type="dxa"/>
          <w:right w:w="70" w:type="dxa"/>
        </w:tblCellMar>
        <w:tblLook w:val="04A0" w:firstRow="1" w:lastRow="0" w:firstColumn="1" w:lastColumn="0" w:noHBand="0" w:noVBand="1"/>
      </w:tblPr>
      <w:tblGrid>
        <w:gridCol w:w="5174"/>
        <w:gridCol w:w="212"/>
        <w:gridCol w:w="2144"/>
        <w:gridCol w:w="191"/>
        <w:gridCol w:w="1918"/>
      </w:tblGrid>
      <w:tr w:rsidR="00790C36" w:rsidRPr="00226892" w14:paraId="63A63550" w14:textId="77777777" w:rsidTr="008248DB">
        <w:trPr>
          <w:trHeight w:val="227"/>
        </w:trPr>
        <w:tc>
          <w:tcPr>
            <w:tcW w:w="2684" w:type="pct"/>
            <w:tcBorders>
              <w:top w:val="nil"/>
              <w:left w:val="nil"/>
              <w:bottom w:val="single" w:sz="4" w:space="0" w:color="auto"/>
              <w:right w:val="nil"/>
            </w:tcBorders>
            <w:shd w:val="clear" w:color="auto" w:fill="auto"/>
            <w:vAlign w:val="bottom"/>
            <w:hideMark/>
          </w:tcPr>
          <w:p w14:paraId="2740680B" w14:textId="77777777" w:rsidR="00790C36" w:rsidRPr="00226892" w:rsidRDefault="00790C36" w:rsidP="00790C3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10" w:type="pct"/>
            <w:tcBorders>
              <w:top w:val="nil"/>
              <w:left w:val="nil"/>
              <w:bottom w:val="single" w:sz="4" w:space="0" w:color="auto"/>
              <w:right w:val="nil"/>
            </w:tcBorders>
            <w:shd w:val="clear" w:color="auto" w:fill="auto"/>
            <w:vAlign w:val="bottom"/>
            <w:hideMark/>
          </w:tcPr>
          <w:p w14:paraId="6CE426B7" w14:textId="77777777" w:rsidR="00790C36" w:rsidRPr="00226892" w:rsidRDefault="00790C3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112" w:type="pct"/>
            <w:tcBorders>
              <w:top w:val="nil"/>
              <w:left w:val="nil"/>
              <w:bottom w:val="single" w:sz="4" w:space="0" w:color="auto"/>
              <w:right w:val="nil"/>
            </w:tcBorders>
            <w:shd w:val="clear" w:color="auto" w:fill="auto"/>
            <w:vAlign w:val="bottom"/>
            <w:hideMark/>
          </w:tcPr>
          <w:p w14:paraId="07AE2794" w14:textId="58AB9259" w:rsidR="00790C36" w:rsidRPr="00226892" w:rsidRDefault="00790C36">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D3AC5" w:rsidRPr="00226892">
              <w:rPr>
                <w:rFonts w:ascii="Arial" w:eastAsia="Times New Roman" w:hAnsi="Arial" w:cs="Arial"/>
                <w:b/>
                <w:bCs/>
                <w:color w:val="000000"/>
                <w:sz w:val="18"/>
                <w:szCs w:val="18"/>
                <w:lang w:val="sk-SK" w:eastAsia="sk-SK"/>
              </w:rPr>
              <w:t>2018</w:t>
            </w:r>
          </w:p>
        </w:tc>
        <w:tc>
          <w:tcPr>
            <w:tcW w:w="99" w:type="pct"/>
            <w:tcBorders>
              <w:top w:val="nil"/>
              <w:left w:val="nil"/>
              <w:bottom w:val="single" w:sz="4" w:space="0" w:color="auto"/>
              <w:right w:val="nil"/>
            </w:tcBorders>
            <w:shd w:val="clear" w:color="auto" w:fill="auto"/>
            <w:vAlign w:val="bottom"/>
            <w:hideMark/>
          </w:tcPr>
          <w:p w14:paraId="3F311E39" w14:textId="77777777" w:rsidR="00790C36" w:rsidRPr="00226892" w:rsidRDefault="00790C3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995" w:type="pct"/>
            <w:tcBorders>
              <w:top w:val="nil"/>
              <w:left w:val="nil"/>
              <w:bottom w:val="single" w:sz="4" w:space="0" w:color="auto"/>
              <w:right w:val="nil"/>
            </w:tcBorders>
            <w:shd w:val="clear" w:color="auto" w:fill="auto"/>
            <w:vAlign w:val="bottom"/>
            <w:hideMark/>
          </w:tcPr>
          <w:p w14:paraId="5A615928" w14:textId="0FD748E8" w:rsidR="00790C36" w:rsidRPr="00226892" w:rsidRDefault="00790C36">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63A77" w:rsidRPr="00226892">
              <w:rPr>
                <w:rFonts w:ascii="Arial" w:eastAsia="Times New Roman" w:hAnsi="Arial" w:cs="Arial"/>
                <w:b/>
                <w:bCs/>
                <w:color w:val="000000"/>
                <w:sz w:val="18"/>
                <w:szCs w:val="18"/>
                <w:lang w:val="sk-SK" w:eastAsia="sk-SK"/>
              </w:rPr>
              <w:t>2017</w:t>
            </w:r>
          </w:p>
        </w:tc>
      </w:tr>
      <w:tr w:rsidR="009F2456" w:rsidRPr="00226892" w14:paraId="2C29871A" w14:textId="77777777" w:rsidTr="008248DB">
        <w:trPr>
          <w:trHeight w:val="227"/>
        </w:trPr>
        <w:tc>
          <w:tcPr>
            <w:tcW w:w="2684" w:type="pct"/>
            <w:tcBorders>
              <w:top w:val="nil"/>
              <w:left w:val="nil"/>
              <w:bottom w:val="nil"/>
              <w:right w:val="nil"/>
            </w:tcBorders>
            <w:shd w:val="clear" w:color="auto" w:fill="auto"/>
            <w:vAlign w:val="bottom"/>
            <w:hideMark/>
          </w:tcPr>
          <w:p w14:paraId="7A581979" w14:textId="77777777"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Záväzky z obchodného styku</w:t>
            </w:r>
          </w:p>
        </w:tc>
        <w:tc>
          <w:tcPr>
            <w:tcW w:w="110" w:type="pct"/>
            <w:tcBorders>
              <w:top w:val="nil"/>
              <w:left w:val="nil"/>
              <w:bottom w:val="nil"/>
              <w:right w:val="nil"/>
            </w:tcBorders>
            <w:shd w:val="clear" w:color="auto" w:fill="auto"/>
            <w:vAlign w:val="bottom"/>
            <w:hideMark/>
          </w:tcPr>
          <w:p w14:paraId="20D627E0" w14:textId="77777777" w:rsidR="009F2456" w:rsidRPr="00226892" w:rsidRDefault="009F2456" w:rsidP="009F2456">
            <w:pPr>
              <w:rPr>
                <w:rFonts w:ascii="Arial" w:eastAsia="Times New Roman" w:hAnsi="Arial" w:cs="Arial"/>
                <w:color w:val="000000"/>
                <w:sz w:val="18"/>
                <w:szCs w:val="18"/>
                <w:lang w:val="sk-SK" w:eastAsia="sk-SK"/>
              </w:rPr>
            </w:pPr>
          </w:p>
        </w:tc>
        <w:tc>
          <w:tcPr>
            <w:tcW w:w="1112" w:type="pct"/>
            <w:tcBorders>
              <w:top w:val="nil"/>
              <w:left w:val="nil"/>
              <w:bottom w:val="nil"/>
              <w:right w:val="nil"/>
            </w:tcBorders>
            <w:shd w:val="clear" w:color="auto" w:fill="auto"/>
            <w:vAlign w:val="bottom"/>
          </w:tcPr>
          <w:p w14:paraId="52C48C06" w14:textId="2849DBFD"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28 </w:t>
            </w:r>
            <w:r w:rsidR="0049047A" w:rsidRPr="00226892">
              <w:rPr>
                <w:rFonts w:ascii="Arial" w:eastAsia="Times New Roman" w:hAnsi="Arial" w:cs="Arial"/>
                <w:color w:val="000000"/>
                <w:sz w:val="18"/>
                <w:szCs w:val="18"/>
                <w:lang w:val="sk-SK" w:eastAsia="sk-SK"/>
              </w:rPr>
              <w:t>194</w:t>
            </w:r>
          </w:p>
        </w:tc>
        <w:tc>
          <w:tcPr>
            <w:tcW w:w="99" w:type="pct"/>
            <w:tcBorders>
              <w:top w:val="nil"/>
              <w:left w:val="nil"/>
              <w:bottom w:val="nil"/>
              <w:right w:val="nil"/>
            </w:tcBorders>
            <w:shd w:val="clear" w:color="auto" w:fill="auto"/>
            <w:vAlign w:val="bottom"/>
          </w:tcPr>
          <w:p w14:paraId="593C9F3D"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995" w:type="pct"/>
            <w:tcBorders>
              <w:top w:val="nil"/>
              <w:left w:val="nil"/>
              <w:bottom w:val="nil"/>
              <w:right w:val="nil"/>
            </w:tcBorders>
            <w:shd w:val="clear" w:color="auto" w:fill="auto"/>
            <w:vAlign w:val="bottom"/>
          </w:tcPr>
          <w:p w14:paraId="05B5D7EE" w14:textId="18BF7D20"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25 140</w:t>
            </w:r>
          </w:p>
        </w:tc>
      </w:tr>
      <w:tr w:rsidR="009F2456" w:rsidRPr="00226892" w14:paraId="0F6DFEA4" w14:textId="77777777" w:rsidTr="008248DB">
        <w:trPr>
          <w:trHeight w:val="227"/>
        </w:trPr>
        <w:tc>
          <w:tcPr>
            <w:tcW w:w="2684" w:type="pct"/>
            <w:tcBorders>
              <w:top w:val="nil"/>
              <w:left w:val="nil"/>
              <w:bottom w:val="nil"/>
              <w:right w:val="nil"/>
            </w:tcBorders>
            <w:shd w:val="clear" w:color="auto" w:fill="auto"/>
            <w:noWrap/>
            <w:vAlign w:val="bottom"/>
            <w:hideMark/>
          </w:tcPr>
          <w:p w14:paraId="5030A86B" w14:textId="204A114A"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Záväzky voči spriazneným osobám (Pozn. 3</w:t>
            </w:r>
            <w:r w:rsidR="00522218" w:rsidRPr="00226892">
              <w:rPr>
                <w:rFonts w:ascii="Arial" w:eastAsia="Times New Roman" w:hAnsi="Arial" w:cs="Arial"/>
                <w:color w:val="000000"/>
                <w:sz w:val="18"/>
                <w:szCs w:val="18"/>
                <w:lang w:val="sk-SK" w:eastAsia="sk-SK"/>
              </w:rPr>
              <w:t>1</w:t>
            </w:r>
            <w:r w:rsidRPr="00226892">
              <w:rPr>
                <w:rFonts w:ascii="Arial" w:eastAsia="Times New Roman" w:hAnsi="Arial" w:cs="Arial"/>
                <w:color w:val="000000"/>
                <w:sz w:val="18"/>
                <w:szCs w:val="18"/>
                <w:lang w:val="sk-SK" w:eastAsia="sk-SK"/>
              </w:rPr>
              <w:t>)</w:t>
            </w:r>
          </w:p>
        </w:tc>
        <w:tc>
          <w:tcPr>
            <w:tcW w:w="110" w:type="pct"/>
            <w:tcBorders>
              <w:top w:val="nil"/>
              <w:left w:val="nil"/>
              <w:bottom w:val="nil"/>
              <w:right w:val="nil"/>
            </w:tcBorders>
            <w:shd w:val="clear" w:color="auto" w:fill="auto"/>
            <w:vAlign w:val="bottom"/>
            <w:hideMark/>
          </w:tcPr>
          <w:p w14:paraId="75B9DEA5" w14:textId="77777777" w:rsidR="009F2456" w:rsidRPr="00226892" w:rsidRDefault="009F2456" w:rsidP="009F2456">
            <w:pPr>
              <w:rPr>
                <w:rFonts w:ascii="Arial" w:eastAsia="Times New Roman" w:hAnsi="Arial" w:cs="Arial"/>
                <w:color w:val="000000"/>
                <w:sz w:val="18"/>
                <w:szCs w:val="18"/>
                <w:lang w:val="sk-SK" w:eastAsia="sk-SK"/>
              </w:rPr>
            </w:pPr>
          </w:p>
        </w:tc>
        <w:tc>
          <w:tcPr>
            <w:tcW w:w="1112" w:type="pct"/>
            <w:tcBorders>
              <w:top w:val="nil"/>
              <w:left w:val="nil"/>
              <w:bottom w:val="nil"/>
              <w:right w:val="nil"/>
            </w:tcBorders>
            <w:shd w:val="clear" w:color="auto" w:fill="auto"/>
            <w:vAlign w:val="bottom"/>
          </w:tcPr>
          <w:p w14:paraId="769F4E9C" w14:textId="685D536F" w:rsidR="009F2456" w:rsidRPr="00226892" w:rsidRDefault="0080561D"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31</w:t>
            </w:r>
          </w:p>
        </w:tc>
        <w:tc>
          <w:tcPr>
            <w:tcW w:w="99" w:type="pct"/>
            <w:tcBorders>
              <w:top w:val="nil"/>
              <w:left w:val="nil"/>
              <w:bottom w:val="nil"/>
              <w:right w:val="nil"/>
            </w:tcBorders>
            <w:shd w:val="clear" w:color="auto" w:fill="auto"/>
            <w:vAlign w:val="bottom"/>
          </w:tcPr>
          <w:p w14:paraId="58979B73"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995" w:type="pct"/>
            <w:tcBorders>
              <w:top w:val="nil"/>
              <w:left w:val="nil"/>
              <w:bottom w:val="nil"/>
              <w:right w:val="nil"/>
            </w:tcBorders>
            <w:shd w:val="clear" w:color="auto" w:fill="auto"/>
            <w:vAlign w:val="bottom"/>
          </w:tcPr>
          <w:p w14:paraId="4B337074" w14:textId="16EB78DE"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3 915</w:t>
            </w:r>
          </w:p>
        </w:tc>
      </w:tr>
      <w:tr w:rsidR="009F2456" w:rsidRPr="00226892" w14:paraId="51E0EA37" w14:textId="77777777" w:rsidTr="008248DB">
        <w:trPr>
          <w:trHeight w:val="227"/>
        </w:trPr>
        <w:tc>
          <w:tcPr>
            <w:tcW w:w="2684" w:type="pct"/>
            <w:tcBorders>
              <w:top w:val="nil"/>
              <w:left w:val="nil"/>
              <w:bottom w:val="nil"/>
              <w:right w:val="nil"/>
            </w:tcBorders>
            <w:shd w:val="clear" w:color="auto" w:fill="auto"/>
            <w:vAlign w:val="bottom"/>
            <w:hideMark/>
          </w:tcPr>
          <w:p w14:paraId="09CE8DA8" w14:textId="77777777"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Záväzky voči zamestnancom</w:t>
            </w:r>
          </w:p>
        </w:tc>
        <w:tc>
          <w:tcPr>
            <w:tcW w:w="110" w:type="pct"/>
            <w:tcBorders>
              <w:top w:val="nil"/>
              <w:left w:val="nil"/>
              <w:bottom w:val="nil"/>
              <w:right w:val="nil"/>
            </w:tcBorders>
            <w:shd w:val="clear" w:color="auto" w:fill="auto"/>
            <w:vAlign w:val="bottom"/>
            <w:hideMark/>
          </w:tcPr>
          <w:p w14:paraId="541D22B9" w14:textId="77777777" w:rsidR="009F2456" w:rsidRPr="00226892" w:rsidRDefault="009F2456" w:rsidP="009F2456">
            <w:pPr>
              <w:rPr>
                <w:rFonts w:ascii="Arial" w:eastAsia="Times New Roman" w:hAnsi="Arial" w:cs="Arial"/>
                <w:color w:val="000000"/>
                <w:sz w:val="18"/>
                <w:szCs w:val="18"/>
                <w:lang w:val="sk-SK" w:eastAsia="sk-SK"/>
              </w:rPr>
            </w:pPr>
          </w:p>
        </w:tc>
        <w:tc>
          <w:tcPr>
            <w:tcW w:w="1112" w:type="pct"/>
            <w:tcBorders>
              <w:top w:val="nil"/>
              <w:left w:val="nil"/>
              <w:bottom w:val="nil"/>
              <w:right w:val="nil"/>
            </w:tcBorders>
            <w:shd w:val="clear" w:color="auto" w:fill="auto"/>
            <w:vAlign w:val="bottom"/>
          </w:tcPr>
          <w:p w14:paraId="7CC9F1FD" w14:textId="6288A2C8"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1 401</w:t>
            </w:r>
          </w:p>
        </w:tc>
        <w:tc>
          <w:tcPr>
            <w:tcW w:w="99" w:type="pct"/>
            <w:tcBorders>
              <w:top w:val="nil"/>
              <w:left w:val="nil"/>
              <w:bottom w:val="nil"/>
              <w:right w:val="nil"/>
            </w:tcBorders>
            <w:shd w:val="clear" w:color="auto" w:fill="auto"/>
            <w:vAlign w:val="bottom"/>
          </w:tcPr>
          <w:p w14:paraId="6A556E7E"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995" w:type="pct"/>
            <w:tcBorders>
              <w:top w:val="nil"/>
              <w:left w:val="nil"/>
              <w:bottom w:val="nil"/>
              <w:right w:val="nil"/>
            </w:tcBorders>
            <w:shd w:val="clear" w:color="auto" w:fill="auto"/>
            <w:vAlign w:val="bottom"/>
          </w:tcPr>
          <w:p w14:paraId="6A7CD414" w14:textId="2ED9AD19"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1 108</w:t>
            </w:r>
          </w:p>
        </w:tc>
      </w:tr>
      <w:tr w:rsidR="009F2456" w:rsidRPr="00226892" w14:paraId="68176335" w14:textId="77777777" w:rsidTr="008248DB">
        <w:trPr>
          <w:trHeight w:val="227"/>
        </w:trPr>
        <w:tc>
          <w:tcPr>
            <w:tcW w:w="2684" w:type="pct"/>
            <w:tcBorders>
              <w:top w:val="nil"/>
              <w:left w:val="nil"/>
              <w:bottom w:val="nil"/>
              <w:right w:val="nil"/>
            </w:tcBorders>
            <w:shd w:val="clear" w:color="auto" w:fill="auto"/>
            <w:vAlign w:val="bottom"/>
            <w:hideMark/>
          </w:tcPr>
          <w:p w14:paraId="3C862FD9" w14:textId="77777777"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Sociálne zabezpečenie a ostatné dane</w:t>
            </w:r>
          </w:p>
        </w:tc>
        <w:tc>
          <w:tcPr>
            <w:tcW w:w="110" w:type="pct"/>
            <w:tcBorders>
              <w:top w:val="nil"/>
              <w:left w:val="nil"/>
              <w:bottom w:val="nil"/>
              <w:right w:val="nil"/>
            </w:tcBorders>
            <w:shd w:val="clear" w:color="auto" w:fill="auto"/>
            <w:vAlign w:val="bottom"/>
            <w:hideMark/>
          </w:tcPr>
          <w:p w14:paraId="02E678F1" w14:textId="77777777" w:rsidR="009F2456" w:rsidRPr="00226892" w:rsidRDefault="009F2456" w:rsidP="009F2456">
            <w:pPr>
              <w:rPr>
                <w:rFonts w:ascii="Arial" w:eastAsia="Times New Roman" w:hAnsi="Arial" w:cs="Arial"/>
                <w:color w:val="000000"/>
                <w:sz w:val="18"/>
                <w:szCs w:val="18"/>
                <w:lang w:val="sk-SK" w:eastAsia="sk-SK"/>
              </w:rPr>
            </w:pPr>
          </w:p>
        </w:tc>
        <w:tc>
          <w:tcPr>
            <w:tcW w:w="1112" w:type="pct"/>
            <w:tcBorders>
              <w:top w:val="nil"/>
              <w:left w:val="nil"/>
              <w:bottom w:val="nil"/>
              <w:right w:val="nil"/>
            </w:tcBorders>
            <w:shd w:val="clear" w:color="auto" w:fill="auto"/>
            <w:vAlign w:val="bottom"/>
          </w:tcPr>
          <w:p w14:paraId="5EBA789C" w14:textId="100D70A5"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1 215</w:t>
            </w:r>
          </w:p>
        </w:tc>
        <w:tc>
          <w:tcPr>
            <w:tcW w:w="99" w:type="pct"/>
            <w:tcBorders>
              <w:top w:val="nil"/>
              <w:left w:val="nil"/>
              <w:bottom w:val="nil"/>
              <w:right w:val="nil"/>
            </w:tcBorders>
            <w:shd w:val="clear" w:color="auto" w:fill="auto"/>
            <w:vAlign w:val="bottom"/>
          </w:tcPr>
          <w:p w14:paraId="32B1E852"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995" w:type="pct"/>
            <w:tcBorders>
              <w:top w:val="nil"/>
              <w:left w:val="nil"/>
              <w:bottom w:val="nil"/>
              <w:right w:val="nil"/>
            </w:tcBorders>
            <w:shd w:val="clear" w:color="auto" w:fill="auto"/>
            <w:vAlign w:val="bottom"/>
          </w:tcPr>
          <w:p w14:paraId="6E2A4EA1" w14:textId="730B0EB6"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998</w:t>
            </w:r>
          </w:p>
        </w:tc>
      </w:tr>
      <w:tr w:rsidR="009F2456" w:rsidRPr="00226892" w14:paraId="63D58A47" w14:textId="77777777" w:rsidTr="008248DB">
        <w:trPr>
          <w:trHeight w:val="227"/>
        </w:trPr>
        <w:tc>
          <w:tcPr>
            <w:tcW w:w="2684" w:type="pct"/>
            <w:tcBorders>
              <w:top w:val="nil"/>
              <w:left w:val="nil"/>
              <w:bottom w:val="nil"/>
              <w:right w:val="nil"/>
            </w:tcBorders>
            <w:shd w:val="clear" w:color="auto" w:fill="auto"/>
            <w:vAlign w:val="bottom"/>
            <w:hideMark/>
          </w:tcPr>
          <w:p w14:paraId="6445D7AC" w14:textId="77777777"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Dohadné položky</w:t>
            </w:r>
          </w:p>
        </w:tc>
        <w:tc>
          <w:tcPr>
            <w:tcW w:w="110" w:type="pct"/>
            <w:tcBorders>
              <w:top w:val="nil"/>
              <w:left w:val="nil"/>
              <w:bottom w:val="nil"/>
              <w:right w:val="nil"/>
            </w:tcBorders>
            <w:shd w:val="clear" w:color="auto" w:fill="auto"/>
            <w:vAlign w:val="bottom"/>
            <w:hideMark/>
          </w:tcPr>
          <w:p w14:paraId="666FBF25" w14:textId="77777777" w:rsidR="009F2456" w:rsidRPr="00226892" w:rsidRDefault="009F2456" w:rsidP="009F2456">
            <w:pPr>
              <w:rPr>
                <w:rFonts w:ascii="Arial" w:eastAsia="Times New Roman" w:hAnsi="Arial" w:cs="Arial"/>
                <w:color w:val="000000"/>
                <w:sz w:val="18"/>
                <w:szCs w:val="18"/>
                <w:lang w:val="sk-SK" w:eastAsia="sk-SK"/>
              </w:rPr>
            </w:pPr>
          </w:p>
        </w:tc>
        <w:tc>
          <w:tcPr>
            <w:tcW w:w="1112" w:type="pct"/>
            <w:tcBorders>
              <w:top w:val="nil"/>
              <w:left w:val="nil"/>
              <w:bottom w:val="nil"/>
              <w:right w:val="nil"/>
            </w:tcBorders>
            <w:shd w:val="clear" w:color="auto" w:fill="auto"/>
            <w:vAlign w:val="bottom"/>
          </w:tcPr>
          <w:p w14:paraId="6804CA3A" w14:textId="0A4053C8"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6 657</w:t>
            </w:r>
          </w:p>
        </w:tc>
        <w:tc>
          <w:tcPr>
            <w:tcW w:w="99" w:type="pct"/>
            <w:tcBorders>
              <w:top w:val="nil"/>
              <w:left w:val="nil"/>
              <w:bottom w:val="nil"/>
              <w:right w:val="nil"/>
            </w:tcBorders>
            <w:shd w:val="clear" w:color="auto" w:fill="auto"/>
            <w:vAlign w:val="bottom"/>
          </w:tcPr>
          <w:p w14:paraId="1ACF0078"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995" w:type="pct"/>
            <w:tcBorders>
              <w:top w:val="nil"/>
              <w:left w:val="nil"/>
              <w:bottom w:val="nil"/>
              <w:right w:val="nil"/>
            </w:tcBorders>
            <w:shd w:val="clear" w:color="auto" w:fill="auto"/>
            <w:vAlign w:val="bottom"/>
          </w:tcPr>
          <w:p w14:paraId="1251B691" w14:textId="60DAD647"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151</w:t>
            </w:r>
          </w:p>
        </w:tc>
      </w:tr>
      <w:tr w:rsidR="009F2456" w:rsidRPr="00226892" w14:paraId="3B100E16" w14:textId="77777777" w:rsidTr="008248DB">
        <w:trPr>
          <w:trHeight w:val="227"/>
        </w:trPr>
        <w:tc>
          <w:tcPr>
            <w:tcW w:w="2684" w:type="pct"/>
            <w:tcBorders>
              <w:top w:val="nil"/>
              <w:left w:val="nil"/>
              <w:bottom w:val="nil"/>
              <w:right w:val="nil"/>
            </w:tcBorders>
            <w:shd w:val="clear" w:color="auto" w:fill="auto"/>
            <w:vAlign w:val="bottom"/>
            <w:hideMark/>
          </w:tcPr>
          <w:p w14:paraId="1226A913" w14:textId="46CCED0C"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Daň z pridanej hodnoty </w:t>
            </w:r>
          </w:p>
        </w:tc>
        <w:tc>
          <w:tcPr>
            <w:tcW w:w="110" w:type="pct"/>
            <w:tcBorders>
              <w:top w:val="nil"/>
              <w:left w:val="nil"/>
              <w:bottom w:val="nil"/>
              <w:right w:val="nil"/>
            </w:tcBorders>
            <w:shd w:val="clear" w:color="auto" w:fill="auto"/>
            <w:vAlign w:val="bottom"/>
            <w:hideMark/>
          </w:tcPr>
          <w:p w14:paraId="70310B3A" w14:textId="77777777" w:rsidR="009F2456" w:rsidRPr="00226892" w:rsidRDefault="009F2456" w:rsidP="009F2456">
            <w:pPr>
              <w:rPr>
                <w:rFonts w:ascii="Arial" w:eastAsia="Times New Roman" w:hAnsi="Arial" w:cs="Arial"/>
                <w:color w:val="000000"/>
                <w:sz w:val="18"/>
                <w:szCs w:val="18"/>
                <w:lang w:val="sk-SK" w:eastAsia="sk-SK"/>
              </w:rPr>
            </w:pPr>
          </w:p>
        </w:tc>
        <w:tc>
          <w:tcPr>
            <w:tcW w:w="1112" w:type="pct"/>
            <w:tcBorders>
              <w:top w:val="nil"/>
              <w:left w:val="nil"/>
              <w:bottom w:val="nil"/>
              <w:right w:val="nil"/>
            </w:tcBorders>
            <w:shd w:val="clear" w:color="auto" w:fill="auto"/>
            <w:vAlign w:val="bottom"/>
          </w:tcPr>
          <w:p w14:paraId="24889B4B" w14:textId="465B4B97"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2 125</w:t>
            </w:r>
          </w:p>
        </w:tc>
        <w:tc>
          <w:tcPr>
            <w:tcW w:w="99" w:type="pct"/>
            <w:tcBorders>
              <w:top w:val="nil"/>
              <w:left w:val="nil"/>
              <w:bottom w:val="nil"/>
              <w:right w:val="nil"/>
            </w:tcBorders>
            <w:shd w:val="clear" w:color="auto" w:fill="auto"/>
            <w:vAlign w:val="bottom"/>
          </w:tcPr>
          <w:p w14:paraId="27BA6364"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995" w:type="pct"/>
            <w:tcBorders>
              <w:top w:val="nil"/>
              <w:left w:val="nil"/>
              <w:bottom w:val="nil"/>
              <w:right w:val="nil"/>
            </w:tcBorders>
            <w:shd w:val="clear" w:color="auto" w:fill="auto"/>
            <w:vAlign w:val="bottom"/>
          </w:tcPr>
          <w:p w14:paraId="3483B052" w14:textId="376FCBFA"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223</w:t>
            </w:r>
          </w:p>
        </w:tc>
      </w:tr>
      <w:tr w:rsidR="009F2456" w:rsidRPr="00226892" w14:paraId="5C8FF1A1" w14:textId="77777777" w:rsidTr="008248DB">
        <w:trPr>
          <w:trHeight w:val="227"/>
        </w:trPr>
        <w:tc>
          <w:tcPr>
            <w:tcW w:w="2684" w:type="pct"/>
            <w:tcBorders>
              <w:top w:val="nil"/>
              <w:left w:val="nil"/>
              <w:bottom w:val="nil"/>
              <w:right w:val="nil"/>
            </w:tcBorders>
            <w:shd w:val="clear" w:color="auto" w:fill="auto"/>
            <w:vAlign w:val="bottom"/>
            <w:hideMark/>
          </w:tcPr>
          <w:p w14:paraId="71F922BA" w14:textId="77777777"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Ostatné záväzky</w:t>
            </w:r>
          </w:p>
        </w:tc>
        <w:tc>
          <w:tcPr>
            <w:tcW w:w="110" w:type="pct"/>
            <w:tcBorders>
              <w:top w:val="nil"/>
              <w:left w:val="nil"/>
              <w:bottom w:val="nil"/>
              <w:right w:val="nil"/>
            </w:tcBorders>
            <w:shd w:val="clear" w:color="auto" w:fill="auto"/>
            <w:vAlign w:val="bottom"/>
            <w:hideMark/>
          </w:tcPr>
          <w:p w14:paraId="7DB6375F" w14:textId="77777777" w:rsidR="009F2456" w:rsidRPr="00226892" w:rsidRDefault="009F2456" w:rsidP="009F2456">
            <w:pPr>
              <w:rPr>
                <w:rFonts w:ascii="Arial" w:eastAsia="Times New Roman" w:hAnsi="Arial" w:cs="Arial"/>
                <w:color w:val="000000"/>
                <w:sz w:val="18"/>
                <w:szCs w:val="18"/>
                <w:lang w:val="sk-SK" w:eastAsia="sk-SK"/>
              </w:rPr>
            </w:pPr>
          </w:p>
        </w:tc>
        <w:tc>
          <w:tcPr>
            <w:tcW w:w="1112" w:type="pct"/>
            <w:tcBorders>
              <w:top w:val="nil"/>
              <w:left w:val="nil"/>
              <w:bottom w:val="nil"/>
              <w:right w:val="nil"/>
            </w:tcBorders>
            <w:shd w:val="clear" w:color="auto" w:fill="auto"/>
            <w:vAlign w:val="bottom"/>
          </w:tcPr>
          <w:p w14:paraId="527736D0" w14:textId="09BC9FB7"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1 94</w:t>
            </w:r>
            <w:r w:rsidR="00206D7F" w:rsidRPr="00226892">
              <w:rPr>
                <w:rFonts w:ascii="Arial" w:eastAsia="Times New Roman" w:hAnsi="Arial" w:cs="Arial"/>
                <w:color w:val="000000"/>
                <w:sz w:val="18"/>
                <w:szCs w:val="18"/>
                <w:lang w:val="sk-SK" w:eastAsia="sk-SK"/>
              </w:rPr>
              <w:t>5</w:t>
            </w:r>
          </w:p>
        </w:tc>
        <w:tc>
          <w:tcPr>
            <w:tcW w:w="99" w:type="pct"/>
            <w:tcBorders>
              <w:top w:val="nil"/>
              <w:left w:val="nil"/>
              <w:bottom w:val="nil"/>
              <w:right w:val="nil"/>
            </w:tcBorders>
            <w:shd w:val="clear" w:color="auto" w:fill="auto"/>
            <w:vAlign w:val="bottom"/>
          </w:tcPr>
          <w:p w14:paraId="427EBAC8"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995" w:type="pct"/>
            <w:tcBorders>
              <w:top w:val="nil"/>
              <w:left w:val="nil"/>
              <w:bottom w:val="nil"/>
              <w:right w:val="nil"/>
            </w:tcBorders>
            <w:shd w:val="clear" w:color="auto" w:fill="auto"/>
            <w:vAlign w:val="bottom"/>
          </w:tcPr>
          <w:p w14:paraId="12D04FBE" w14:textId="66CECD0D"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316</w:t>
            </w:r>
          </w:p>
        </w:tc>
      </w:tr>
      <w:tr w:rsidR="009F2456" w:rsidRPr="00226892" w14:paraId="12958121" w14:textId="77777777" w:rsidTr="008248DB">
        <w:trPr>
          <w:trHeight w:val="227"/>
        </w:trPr>
        <w:tc>
          <w:tcPr>
            <w:tcW w:w="2684" w:type="pct"/>
            <w:tcBorders>
              <w:top w:val="nil"/>
              <w:left w:val="nil"/>
              <w:bottom w:val="nil"/>
              <w:right w:val="nil"/>
            </w:tcBorders>
            <w:shd w:val="clear" w:color="auto" w:fill="auto"/>
            <w:vAlign w:val="bottom"/>
            <w:hideMark/>
          </w:tcPr>
          <w:p w14:paraId="1935A3E1" w14:textId="77777777" w:rsidR="009F2456" w:rsidRPr="00226892" w:rsidRDefault="009F2456" w:rsidP="009F2456">
            <w:pPr>
              <w:ind w:right="-213"/>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Záväzky z obchodného styku a iné záväzky – krátkodobé</w:t>
            </w:r>
          </w:p>
        </w:tc>
        <w:tc>
          <w:tcPr>
            <w:tcW w:w="110" w:type="pct"/>
            <w:tcBorders>
              <w:top w:val="nil"/>
              <w:left w:val="nil"/>
              <w:bottom w:val="nil"/>
              <w:right w:val="nil"/>
            </w:tcBorders>
            <w:shd w:val="clear" w:color="auto" w:fill="auto"/>
            <w:vAlign w:val="bottom"/>
            <w:hideMark/>
          </w:tcPr>
          <w:p w14:paraId="39DCA1EA" w14:textId="77777777" w:rsidR="009F2456" w:rsidRPr="00226892" w:rsidRDefault="009F2456" w:rsidP="009F2456">
            <w:pPr>
              <w:rPr>
                <w:rFonts w:ascii="Arial" w:eastAsia="Times New Roman" w:hAnsi="Arial" w:cs="Arial"/>
                <w:b/>
                <w:bCs/>
                <w:color w:val="000000"/>
                <w:sz w:val="18"/>
                <w:szCs w:val="18"/>
                <w:lang w:val="sk-SK" w:eastAsia="sk-SK"/>
              </w:rPr>
            </w:pPr>
          </w:p>
        </w:tc>
        <w:tc>
          <w:tcPr>
            <w:tcW w:w="1112" w:type="pct"/>
            <w:tcBorders>
              <w:top w:val="single" w:sz="4" w:space="0" w:color="auto"/>
              <w:left w:val="nil"/>
              <w:bottom w:val="double" w:sz="6" w:space="0" w:color="auto"/>
              <w:right w:val="nil"/>
            </w:tcBorders>
            <w:shd w:val="clear" w:color="auto" w:fill="auto"/>
            <w:vAlign w:val="bottom"/>
          </w:tcPr>
          <w:p w14:paraId="603C6A2B" w14:textId="3E5E34AF" w:rsidR="009F2456" w:rsidRPr="00226892" w:rsidRDefault="009F2456" w:rsidP="009F245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41 </w:t>
            </w:r>
            <w:r w:rsidR="0049047A" w:rsidRPr="00226892">
              <w:rPr>
                <w:rFonts w:ascii="Arial" w:eastAsia="Times New Roman" w:hAnsi="Arial" w:cs="Arial"/>
                <w:b/>
                <w:bCs/>
                <w:color w:val="000000"/>
                <w:sz w:val="18"/>
                <w:szCs w:val="18"/>
                <w:lang w:val="sk-SK" w:eastAsia="sk-SK"/>
              </w:rPr>
              <w:t>568</w:t>
            </w:r>
          </w:p>
        </w:tc>
        <w:tc>
          <w:tcPr>
            <w:tcW w:w="99" w:type="pct"/>
            <w:tcBorders>
              <w:top w:val="nil"/>
              <w:left w:val="nil"/>
              <w:bottom w:val="nil"/>
              <w:right w:val="nil"/>
            </w:tcBorders>
            <w:shd w:val="clear" w:color="auto" w:fill="auto"/>
            <w:vAlign w:val="bottom"/>
          </w:tcPr>
          <w:p w14:paraId="08C1DD80" w14:textId="77777777" w:rsidR="009F2456" w:rsidRPr="00226892" w:rsidRDefault="009F2456" w:rsidP="009F2456">
            <w:pPr>
              <w:jc w:val="right"/>
              <w:rPr>
                <w:rFonts w:ascii="Arial" w:eastAsia="Times New Roman" w:hAnsi="Arial" w:cs="Arial"/>
                <w:b/>
                <w:bCs/>
                <w:color w:val="000000"/>
                <w:sz w:val="18"/>
                <w:szCs w:val="18"/>
                <w:lang w:val="sk-SK" w:eastAsia="sk-SK"/>
              </w:rPr>
            </w:pPr>
          </w:p>
        </w:tc>
        <w:tc>
          <w:tcPr>
            <w:tcW w:w="995" w:type="pct"/>
            <w:tcBorders>
              <w:top w:val="single" w:sz="4" w:space="0" w:color="auto"/>
              <w:left w:val="nil"/>
              <w:bottom w:val="double" w:sz="6" w:space="0" w:color="auto"/>
              <w:right w:val="nil"/>
            </w:tcBorders>
            <w:shd w:val="clear" w:color="auto" w:fill="auto"/>
            <w:vAlign w:val="bottom"/>
          </w:tcPr>
          <w:p w14:paraId="105B1DDE" w14:textId="7DDDF050" w:rsidR="009F2456" w:rsidRPr="00226892" w:rsidRDefault="009F2456" w:rsidP="009F245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31 851</w:t>
            </w:r>
          </w:p>
        </w:tc>
      </w:tr>
      <w:tr w:rsidR="00EB58C3" w:rsidRPr="00226892" w14:paraId="0AF9843F" w14:textId="77777777" w:rsidTr="008248DB">
        <w:trPr>
          <w:trHeight w:val="227"/>
        </w:trPr>
        <w:tc>
          <w:tcPr>
            <w:tcW w:w="2684" w:type="pct"/>
            <w:tcBorders>
              <w:top w:val="nil"/>
              <w:left w:val="nil"/>
              <w:bottom w:val="nil"/>
              <w:right w:val="nil"/>
            </w:tcBorders>
            <w:shd w:val="clear" w:color="auto" w:fill="auto"/>
            <w:vAlign w:val="bottom"/>
            <w:hideMark/>
          </w:tcPr>
          <w:p w14:paraId="0C877A4D" w14:textId="77777777" w:rsidR="00EB58C3" w:rsidRPr="00226892" w:rsidRDefault="00EB58C3" w:rsidP="00EB58C3">
            <w:pPr>
              <w:rPr>
                <w:rFonts w:ascii="Arial" w:eastAsia="Times New Roman" w:hAnsi="Arial" w:cs="Arial"/>
                <w:b/>
                <w:bCs/>
                <w:color w:val="000000"/>
                <w:sz w:val="18"/>
                <w:szCs w:val="18"/>
                <w:lang w:val="sk-SK" w:eastAsia="sk-SK"/>
              </w:rPr>
            </w:pPr>
          </w:p>
        </w:tc>
        <w:tc>
          <w:tcPr>
            <w:tcW w:w="110" w:type="pct"/>
            <w:tcBorders>
              <w:top w:val="nil"/>
              <w:left w:val="nil"/>
              <w:bottom w:val="nil"/>
              <w:right w:val="nil"/>
            </w:tcBorders>
            <w:shd w:val="clear" w:color="auto" w:fill="auto"/>
            <w:vAlign w:val="bottom"/>
            <w:hideMark/>
          </w:tcPr>
          <w:p w14:paraId="446B8F00" w14:textId="77777777" w:rsidR="00EB58C3" w:rsidRPr="00226892" w:rsidRDefault="00EB58C3" w:rsidP="00EB58C3">
            <w:pPr>
              <w:rPr>
                <w:rFonts w:ascii="Arial" w:eastAsia="Times New Roman" w:hAnsi="Arial" w:cs="Arial"/>
                <w:sz w:val="18"/>
                <w:szCs w:val="18"/>
                <w:lang w:val="sk-SK" w:eastAsia="sk-SK"/>
              </w:rPr>
            </w:pPr>
          </w:p>
        </w:tc>
        <w:tc>
          <w:tcPr>
            <w:tcW w:w="1112" w:type="pct"/>
            <w:tcBorders>
              <w:top w:val="nil"/>
              <w:left w:val="nil"/>
              <w:bottom w:val="nil"/>
              <w:right w:val="nil"/>
            </w:tcBorders>
            <w:shd w:val="clear" w:color="auto" w:fill="auto"/>
            <w:vAlign w:val="center"/>
          </w:tcPr>
          <w:p w14:paraId="6D59C139" w14:textId="77777777" w:rsidR="00EB58C3" w:rsidRPr="00226892" w:rsidRDefault="00EB58C3" w:rsidP="00EB58C3">
            <w:pPr>
              <w:jc w:val="right"/>
              <w:rPr>
                <w:rFonts w:ascii="Arial" w:eastAsia="Times New Roman" w:hAnsi="Arial" w:cs="Arial"/>
                <w:sz w:val="18"/>
                <w:szCs w:val="18"/>
                <w:lang w:val="sk-SK" w:eastAsia="sk-SK"/>
              </w:rPr>
            </w:pPr>
          </w:p>
        </w:tc>
        <w:tc>
          <w:tcPr>
            <w:tcW w:w="99" w:type="pct"/>
            <w:tcBorders>
              <w:top w:val="nil"/>
              <w:left w:val="nil"/>
              <w:bottom w:val="nil"/>
              <w:right w:val="nil"/>
            </w:tcBorders>
            <w:shd w:val="clear" w:color="auto" w:fill="auto"/>
            <w:vAlign w:val="bottom"/>
          </w:tcPr>
          <w:p w14:paraId="275699D3" w14:textId="77777777" w:rsidR="00EB58C3" w:rsidRPr="00226892" w:rsidRDefault="00EB58C3" w:rsidP="00EB58C3">
            <w:pPr>
              <w:jc w:val="right"/>
              <w:rPr>
                <w:rFonts w:ascii="Arial" w:eastAsia="Times New Roman" w:hAnsi="Arial" w:cs="Arial"/>
                <w:sz w:val="18"/>
                <w:szCs w:val="18"/>
                <w:lang w:val="sk-SK" w:eastAsia="sk-SK"/>
              </w:rPr>
            </w:pPr>
          </w:p>
        </w:tc>
        <w:tc>
          <w:tcPr>
            <w:tcW w:w="995" w:type="pct"/>
            <w:tcBorders>
              <w:top w:val="nil"/>
              <w:left w:val="nil"/>
              <w:bottom w:val="nil"/>
              <w:right w:val="nil"/>
            </w:tcBorders>
            <w:shd w:val="clear" w:color="auto" w:fill="auto"/>
            <w:vAlign w:val="center"/>
          </w:tcPr>
          <w:p w14:paraId="4057FFB4" w14:textId="77777777" w:rsidR="00EB58C3" w:rsidRPr="00226892" w:rsidRDefault="00EB58C3" w:rsidP="00EB58C3">
            <w:pPr>
              <w:jc w:val="right"/>
              <w:rPr>
                <w:rFonts w:ascii="Arial" w:eastAsia="Times New Roman" w:hAnsi="Arial" w:cs="Arial"/>
                <w:sz w:val="18"/>
                <w:szCs w:val="18"/>
                <w:lang w:val="sk-SK" w:eastAsia="sk-SK"/>
              </w:rPr>
            </w:pPr>
          </w:p>
        </w:tc>
      </w:tr>
      <w:bookmarkEnd w:id="535"/>
    </w:tbl>
    <w:p w14:paraId="455C5C9B" w14:textId="241198E5" w:rsidR="00A3304B" w:rsidRPr="00226892" w:rsidRDefault="00A3304B" w:rsidP="00790C36">
      <w:pPr>
        <w:suppressAutoHyphens/>
        <w:jc w:val="both"/>
        <w:rPr>
          <w:rFonts w:ascii="Arial" w:hAnsi="Arial" w:cs="Arial"/>
          <w:sz w:val="18"/>
          <w:szCs w:val="18"/>
        </w:rPr>
      </w:pPr>
    </w:p>
    <w:p w14:paraId="5458B614" w14:textId="1E4D4138" w:rsidR="00837450" w:rsidRPr="00226892" w:rsidRDefault="00DA5E9D" w:rsidP="00756C6D">
      <w:pPr>
        <w:suppressAutoHyphens/>
        <w:jc w:val="both"/>
        <w:rPr>
          <w:rFonts w:ascii="Arial" w:hAnsi="Arial" w:cs="Arial"/>
        </w:rPr>
      </w:pPr>
      <w:r w:rsidRPr="00226892">
        <w:rPr>
          <w:rFonts w:ascii="Arial" w:hAnsi="Arial" w:cs="Arial"/>
          <w:lang w:val="sk-SK"/>
        </w:rPr>
        <w:t>Z toho finančné záväzky predstavujú:</w:t>
      </w:r>
    </w:p>
    <w:p w14:paraId="2FA8CDDB" w14:textId="03CBE858" w:rsidR="00790C36" w:rsidRPr="00226892" w:rsidRDefault="00790C36" w:rsidP="00790C36">
      <w:pPr>
        <w:suppressAutoHyphens/>
        <w:rPr>
          <w:rFonts w:ascii="Arial" w:hAnsi="Arial" w:cs="Arial"/>
          <w:szCs w:val="16"/>
        </w:rPr>
      </w:pPr>
      <w:bookmarkStart w:id="536" w:name="FWT_FinancialLiab"/>
      <w:r w:rsidRPr="00226892">
        <w:rPr>
          <w:rFonts w:ascii="Arial" w:hAnsi="Arial" w:cs="Arial"/>
          <w:sz w:val="16"/>
          <w:szCs w:val="16"/>
        </w:rPr>
        <w:t xml:space="preserve"> </w:t>
      </w:r>
    </w:p>
    <w:tbl>
      <w:tblPr>
        <w:tblW w:w="5000" w:type="pct"/>
        <w:tblCellMar>
          <w:left w:w="70" w:type="dxa"/>
          <w:right w:w="70" w:type="dxa"/>
        </w:tblCellMar>
        <w:tblLook w:val="04A0" w:firstRow="1" w:lastRow="0" w:firstColumn="1" w:lastColumn="0" w:noHBand="0" w:noVBand="1"/>
      </w:tblPr>
      <w:tblGrid>
        <w:gridCol w:w="5187"/>
        <w:gridCol w:w="191"/>
        <w:gridCol w:w="2140"/>
        <w:gridCol w:w="197"/>
        <w:gridCol w:w="1924"/>
      </w:tblGrid>
      <w:tr w:rsidR="00790C36" w:rsidRPr="00226892" w14:paraId="30FA2157" w14:textId="77777777" w:rsidTr="0054176C">
        <w:trPr>
          <w:trHeight w:val="240"/>
        </w:trPr>
        <w:tc>
          <w:tcPr>
            <w:tcW w:w="2691" w:type="pct"/>
            <w:tcBorders>
              <w:top w:val="nil"/>
              <w:left w:val="nil"/>
              <w:bottom w:val="single" w:sz="4" w:space="0" w:color="auto"/>
              <w:right w:val="nil"/>
            </w:tcBorders>
            <w:shd w:val="clear" w:color="auto" w:fill="auto"/>
            <w:vAlign w:val="bottom"/>
            <w:hideMark/>
          </w:tcPr>
          <w:p w14:paraId="79EE17A8" w14:textId="77777777" w:rsidR="00790C36" w:rsidRPr="00226892" w:rsidRDefault="00790C3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99" w:type="pct"/>
            <w:tcBorders>
              <w:top w:val="nil"/>
              <w:left w:val="nil"/>
              <w:bottom w:val="single" w:sz="4" w:space="0" w:color="auto"/>
              <w:right w:val="nil"/>
            </w:tcBorders>
            <w:shd w:val="clear" w:color="auto" w:fill="auto"/>
            <w:vAlign w:val="bottom"/>
            <w:hideMark/>
          </w:tcPr>
          <w:p w14:paraId="3E0E84B6" w14:textId="77777777" w:rsidR="00790C36" w:rsidRPr="00226892" w:rsidRDefault="00790C3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110" w:type="pct"/>
            <w:tcBorders>
              <w:top w:val="nil"/>
              <w:left w:val="nil"/>
              <w:bottom w:val="single" w:sz="4" w:space="0" w:color="auto"/>
              <w:right w:val="nil"/>
            </w:tcBorders>
            <w:shd w:val="clear" w:color="auto" w:fill="auto"/>
            <w:vAlign w:val="bottom"/>
            <w:hideMark/>
          </w:tcPr>
          <w:p w14:paraId="4E061D8C" w14:textId="6569C40A" w:rsidR="00790C36" w:rsidRPr="00226892" w:rsidRDefault="00790C36">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D3AC5" w:rsidRPr="00226892">
              <w:rPr>
                <w:rFonts w:ascii="Arial" w:eastAsia="Times New Roman" w:hAnsi="Arial" w:cs="Arial"/>
                <w:b/>
                <w:bCs/>
                <w:color w:val="000000"/>
                <w:sz w:val="18"/>
                <w:szCs w:val="18"/>
                <w:lang w:val="sk-SK" w:eastAsia="sk-SK"/>
              </w:rPr>
              <w:t>2018</w:t>
            </w:r>
          </w:p>
        </w:tc>
        <w:tc>
          <w:tcPr>
            <w:tcW w:w="102" w:type="pct"/>
            <w:tcBorders>
              <w:top w:val="nil"/>
              <w:left w:val="nil"/>
              <w:bottom w:val="single" w:sz="4" w:space="0" w:color="auto"/>
              <w:right w:val="nil"/>
            </w:tcBorders>
            <w:shd w:val="clear" w:color="auto" w:fill="auto"/>
            <w:vAlign w:val="bottom"/>
            <w:hideMark/>
          </w:tcPr>
          <w:p w14:paraId="5BA85F1F" w14:textId="77777777" w:rsidR="00790C36" w:rsidRPr="00226892" w:rsidRDefault="00790C36">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w:t>
            </w:r>
          </w:p>
        </w:tc>
        <w:tc>
          <w:tcPr>
            <w:tcW w:w="999" w:type="pct"/>
            <w:tcBorders>
              <w:top w:val="nil"/>
              <w:left w:val="nil"/>
              <w:bottom w:val="single" w:sz="4" w:space="0" w:color="auto"/>
              <w:right w:val="nil"/>
            </w:tcBorders>
            <w:shd w:val="clear" w:color="auto" w:fill="auto"/>
            <w:vAlign w:val="bottom"/>
            <w:hideMark/>
          </w:tcPr>
          <w:p w14:paraId="65560B3D" w14:textId="035B4059" w:rsidR="00790C36" w:rsidRPr="00226892" w:rsidRDefault="00790C36">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63A77" w:rsidRPr="00226892">
              <w:rPr>
                <w:rFonts w:ascii="Arial" w:eastAsia="Times New Roman" w:hAnsi="Arial" w:cs="Arial"/>
                <w:b/>
                <w:bCs/>
                <w:color w:val="000000"/>
                <w:sz w:val="18"/>
                <w:szCs w:val="18"/>
                <w:lang w:val="sk-SK" w:eastAsia="sk-SK"/>
              </w:rPr>
              <w:t>2017</w:t>
            </w:r>
          </w:p>
        </w:tc>
      </w:tr>
      <w:tr w:rsidR="009F2456" w:rsidRPr="00226892" w14:paraId="311CC829" w14:textId="77777777" w:rsidTr="0054176C">
        <w:trPr>
          <w:trHeight w:val="240"/>
        </w:trPr>
        <w:tc>
          <w:tcPr>
            <w:tcW w:w="2691" w:type="pct"/>
            <w:tcBorders>
              <w:top w:val="nil"/>
              <w:left w:val="nil"/>
              <w:bottom w:val="nil"/>
              <w:right w:val="nil"/>
            </w:tcBorders>
            <w:shd w:val="clear" w:color="auto" w:fill="auto"/>
            <w:vAlign w:val="bottom"/>
            <w:hideMark/>
          </w:tcPr>
          <w:p w14:paraId="06DDDBF4" w14:textId="77777777"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Záväzky z obchodného styku</w:t>
            </w:r>
          </w:p>
        </w:tc>
        <w:tc>
          <w:tcPr>
            <w:tcW w:w="99" w:type="pct"/>
            <w:tcBorders>
              <w:top w:val="nil"/>
              <w:left w:val="nil"/>
              <w:bottom w:val="nil"/>
              <w:right w:val="nil"/>
            </w:tcBorders>
            <w:shd w:val="clear" w:color="auto" w:fill="auto"/>
            <w:vAlign w:val="bottom"/>
            <w:hideMark/>
          </w:tcPr>
          <w:p w14:paraId="084BCED9" w14:textId="77777777" w:rsidR="009F2456" w:rsidRPr="00226892" w:rsidRDefault="009F2456" w:rsidP="009F2456">
            <w:pPr>
              <w:rPr>
                <w:rFonts w:ascii="Arial" w:eastAsia="Times New Roman" w:hAnsi="Arial" w:cs="Arial"/>
                <w:color w:val="000000"/>
                <w:sz w:val="18"/>
                <w:szCs w:val="18"/>
                <w:lang w:val="sk-SK" w:eastAsia="sk-SK"/>
              </w:rPr>
            </w:pPr>
          </w:p>
        </w:tc>
        <w:tc>
          <w:tcPr>
            <w:tcW w:w="1110" w:type="pct"/>
            <w:tcBorders>
              <w:top w:val="nil"/>
              <w:left w:val="nil"/>
              <w:bottom w:val="nil"/>
              <w:right w:val="nil"/>
            </w:tcBorders>
            <w:shd w:val="clear" w:color="auto" w:fill="auto"/>
            <w:vAlign w:val="bottom"/>
          </w:tcPr>
          <w:p w14:paraId="5F4B1EF1" w14:textId="70720F58"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28 </w:t>
            </w:r>
            <w:r w:rsidR="0049047A" w:rsidRPr="00226892">
              <w:rPr>
                <w:rFonts w:ascii="Arial" w:eastAsia="Times New Roman" w:hAnsi="Arial" w:cs="Arial"/>
                <w:color w:val="000000"/>
                <w:sz w:val="18"/>
                <w:szCs w:val="18"/>
                <w:lang w:val="sk-SK" w:eastAsia="sk-SK"/>
              </w:rPr>
              <w:t>194</w:t>
            </w:r>
          </w:p>
        </w:tc>
        <w:tc>
          <w:tcPr>
            <w:tcW w:w="102" w:type="pct"/>
            <w:tcBorders>
              <w:top w:val="nil"/>
              <w:left w:val="nil"/>
              <w:bottom w:val="nil"/>
              <w:right w:val="nil"/>
            </w:tcBorders>
            <w:shd w:val="clear" w:color="auto" w:fill="auto"/>
            <w:vAlign w:val="bottom"/>
          </w:tcPr>
          <w:p w14:paraId="5FEEE1A9"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999" w:type="pct"/>
            <w:tcBorders>
              <w:top w:val="nil"/>
              <w:left w:val="nil"/>
              <w:bottom w:val="nil"/>
              <w:right w:val="nil"/>
            </w:tcBorders>
            <w:shd w:val="clear" w:color="auto" w:fill="auto"/>
            <w:vAlign w:val="bottom"/>
          </w:tcPr>
          <w:p w14:paraId="6A53EFA0" w14:textId="051E9E24"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25 140</w:t>
            </w:r>
          </w:p>
        </w:tc>
      </w:tr>
      <w:tr w:rsidR="009F2456" w:rsidRPr="00226892" w14:paraId="4E838ACA" w14:textId="77777777" w:rsidTr="0054176C">
        <w:trPr>
          <w:trHeight w:val="240"/>
        </w:trPr>
        <w:tc>
          <w:tcPr>
            <w:tcW w:w="2691" w:type="pct"/>
            <w:tcBorders>
              <w:top w:val="nil"/>
              <w:left w:val="nil"/>
              <w:bottom w:val="nil"/>
              <w:right w:val="nil"/>
            </w:tcBorders>
            <w:shd w:val="clear" w:color="auto" w:fill="auto"/>
            <w:vAlign w:val="bottom"/>
            <w:hideMark/>
          </w:tcPr>
          <w:p w14:paraId="38378A1D" w14:textId="32F39025"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Záväzky voči spriazneným osobám (Pozn. 3</w:t>
            </w:r>
            <w:r w:rsidR="00522218" w:rsidRPr="00226892">
              <w:rPr>
                <w:rFonts w:ascii="Arial" w:eastAsia="Times New Roman" w:hAnsi="Arial" w:cs="Arial"/>
                <w:color w:val="000000"/>
                <w:sz w:val="18"/>
                <w:szCs w:val="18"/>
                <w:lang w:val="sk-SK" w:eastAsia="sk-SK"/>
              </w:rPr>
              <w:t>1</w:t>
            </w:r>
            <w:r w:rsidRPr="00226892">
              <w:rPr>
                <w:rFonts w:ascii="Arial" w:eastAsia="Times New Roman" w:hAnsi="Arial" w:cs="Arial"/>
                <w:color w:val="000000"/>
                <w:sz w:val="18"/>
                <w:szCs w:val="18"/>
                <w:lang w:val="sk-SK" w:eastAsia="sk-SK"/>
              </w:rPr>
              <w:t>)</w:t>
            </w:r>
          </w:p>
        </w:tc>
        <w:tc>
          <w:tcPr>
            <w:tcW w:w="99" w:type="pct"/>
            <w:tcBorders>
              <w:top w:val="nil"/>
              <w:left w:val="nil"/>
              <w:bottom w:val="nil"/>
              <w:right w:val="nil"/>
            </w:tcBorders>
            <w:shd w:val="clear" w:color="auto" w:fill="auto"/>
            <w:vAlign w:val="bottom"/>
            <w:hideMark/>
          </w:tcPr>
          <w:p w14:paraId="45BA3D5F" w14:textId="77777777" w:rsidR="009F2456" w:rsidRPr="00226892" w:rsidRDefault="009F2456" w:rsidP="009F2456">
            <w:pPr>
              <w:rPr>
                <w:rFonts w:ascii="Arial" w:eastAsia="Times New Roman" w:hAnsi="Arial" w:cs="Arial"/>
                <w:color w:val="000000"/>
                <w:sz w:val="18"/>
                <w:szCs w:val="18"/>
                <w:lang w:val="sk-SK" w:eastAsia="sk-SK"/>
              </w:rPr>
            </w:pPr>
          </w:p>
        </w:tc>
        <w:tc>
          <w:tcPr>
            <w:tcW w:w="1110" w:type="pct"/>
            <w:tcBorders>
              <w:top w:val="nil"/>
              <w:left w:val="nil"/>
              <w:bottom w:val="nil"/>
              <w:right w:val="nil"/>
            </w:tcBorders>
            <w:shd w:val="clear" w:color="auto" w:fill="auto"/>
            <w:vAlign w:val="bottom"/>
          </w:tcPr>
          <w:p w14:paraId="14D14041" w14:textId="5F0CE9DA" w:rsidR="009F2456" w:rsidRPr="00226892" w:rsidRDefault="009C7BCF"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31</w:t>
            </w:r>
          </w:p>
        </w:tc>
        <w:tc>
          <w:tcPr>
            <w:tcW w:w="102" w:type="pct"/>
            <w:tcBorders>
              <w:top w:val="nil"/>
              <w:left w:val="nil"/>
              <w:bottom w:val="nil"/>
              <w:right w:val="nil"/>
            </w:tcBorders>
            <w:shd w:val="clear" w:color="auto" w:fill="auto"/>
            <w:vAlign w:val="bottom"/>
          </w:tcPr>
          <w:p w14:paraId="3A9AAFD1"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999" w:type="pct"/>
            <w:tcBorders>
              <w:top w:val="nil"/>
              <w:left w:val="nil"/>
              <w:bottom w:val="nil"/>
              <w:right w:val="nil"/>
            </w:tcBorders>
            <w:shd w:val="clear" w:color="auto" w:fill="auto"/>
            <w:vAlign w:val="bottom"/>
          </w:tcPr>
          <w:p w14:paraId="5B57B339" w14:textId="05648636"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3 915</w:t>
            </w:r>
          </w:p>
        </w:tc>
      </w:tr>
      <w:tr w:rsidR="009F2456" w:rsidRPr="00226892" w14:paraId="0A934954" w14:textId="77777777" w:rsidTr="0054176C">
        <w:trPr>
          <w:trHeight w:val="240"/>
        </w:trPr>
        <w:tc>
          <w:tcPr>
            <w:tcW w:w="2691" w:type="pct"/>
            <w:tcBorders>
              <w:top w:val="nil"/>
              <w:left w:val="nil"/>
              <w:bottom w:val="nil"/>
              <w:right w:val="nil"/>
            </w:tcBorders>
            <w:shd w:val="clear" w:color="auto" w:fill="auto"/>
            <w:vAlign w:val="bottom"/>
            <w:hideMark/>
          </w:tcPr>
          <w:p w14:paraId="2770559B" w14:textId="77777777"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Mínus:  Prijaté preddavky</w:t>
            </w:r>
          </w:p>
        </w:tc>
        <w:tc>
          <w:tcPr>
            <w:tcW w:w="99" w:type="pct"/>
            <w:tcBorders>
              <w:top w:val="nil"/>
              <w:left w:val="nil"/>
              <w:bottom w:val="nil"/>
              <w:right w:val="nil"/>
            </w:tcBorders>
            <w:shd w:val="clear" w:color="auto" w:fill="auto"/>
            <w:vAlign w:val="bottom"/>
            <w:hideMark/>
          </w:tcPr>
          <w:p w14:paraId="1B90D634" w14:textId="77777777" w:rsidR="009F2456" w:rsidRPr="00226892" w:rsidRDefault="009F2456" w:rsidP="009F2456">
            <w:pPr>
              <w:rPr>
                <w:rFonts w:ascii="Arial" w:eastAsia="Times New Roman" w:hAnsi="Arial" w:cs="Arial"/>
                <w:color w:val="000000"/>
                <w:sz w:val="18"/>
                <w:szCs w:val="18"/>
                <w:lang w:val="sk-SK" w:eastAsia="sk-SK"/>
              </w:rPr>
            </w:pPr>
          </w:p>
        </w:tc>
        <w:tc>
          <w:tcPr>
            <w:tcW w:w="1110" w:type="pct"/>
            <w:tcBorders>
              <w:top w:val="nil"/>
              <w:left w:val="nil"/>
              <w:bottom w:val="nil"/>
              <w:right w:val="nil"/>
            </w:tcBorders>
            <w:shd w:val="clear" w:color="auto" w:fill="auto"/>
            <w:vAlign w:val="bottom"/>
          </w:tcPr>
          <w:p w14:paraId="1E7659E4" w14:textId="7C7D8920"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02" w:type="pct"/>
            <w:tcBorders>
              <w:top w:val="nil"/>
              <w:left w:val="nil"/>
              <w:bottom w:val="nil"/>
              <w:right w:val="nil"/>
            </w:tcBorders>
            <w:shd w:val="clear" w:color="auto" w:fill="auto"/>
            <w:vAlign w:val="bottom"/>
          </w:tcPr>
          <w:p w14:paraId="3D6340DE"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999" w:type="pct"/>
            <w:tcBorders>
              <w:top w:val="nil"/>
              <w:left w:val="nil"/>
              <w:bottom w:val="nil"/>
              <w:right w:val="nil"/>
            </w:tcBorders>
            <w:shd w:val="clear" w:color="auto" w:fill="auto"/>
            <w:vAlign w:val="bottom"/>
          </w:tcPr>
          <w:p w14:paraId="23BC519A" w14:textId="770283B6"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r>
      <w:tr w:rsidR="009F2456" w:rsidRPr="00226892" w14:paraId="4A6D31CB" w14:textId="77777777" w:rsidTr="0054176C">
        <w:trPr>
          <w:trHeight w:val="240"/>
        </w:trPr>
        <w:tc>
          <w:tcPr>
            <w:tcW w:w="2691" w:type="pct"/>
            <w:tcBorders>
              <w:top w:val="nil"/>
              <w:left w:val="nil"/>
              <w:bottom w:val="nil"/>
              <w:right w:val="nil"/>
            </w:tcBorders>
            <w:shd w:val="clear" w:color="auto" w:fill="auto"/>
            <w:noWrap/>
            <w:vAlign w:val="bottom"/>
            <w:hideMark/>
          </w:tcPr>
          <w:p w14:paraId="754643CF" w14:textId="77777777"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Dohadné položky</w:t>
            </w:r>
          </w:p>
        </w:tc>
        <w:tc>
          <w:tcPr>
            <w:tcW w:w="99" w:type="pct"/>
            <w:tcBorders>
              <w:top w:val="nil"/>
              <w:left w:val="nil"/>
              <w:bottom w:val="nil"/>
              <w:right w:val="nil"/>
            </w:tcBorders>
            <w:shd w:val="clear" w:color="auto" w:fill="auto"/>
            <w:vAlign w:val="bottom"/>
            <w:hideMark/>
          </w:tcPr>
          <w:p w14:paraId="23A44DF1" w14:textId="77777777" w:rsidR="009F2456" w:rsidRPr="00226892" w:rsidRDefault="009F2456" w:rsidP="009F2456">
            <w:pPr>
              <w:rPr>
                <w:rFonts w:ascii="Arial" w:eastAsia="Times New Roman" w:hAnsi="Arial" w:cs="Arial"/>
                <w:color w:val="000000"/>
                <w:sz w:val="18"/>
                <w:szCs w:val="18"/>
                <w:lang w:val="sk-SK" w:eastAsia="sk-SK"/>
              </w:rPr>
            </w:pPr>
          </w:p>
        </w:tc>
        <w:tc>
          <w:tcPr>
            <w:tcW w:w="1110" w:type="pct"/>
            <w:tcBorders>
              <w:top w:val="nil"/>
              <w:left w:val="nil"/>
              <w:bottom w:val="nil"/>
              <w:right w:val="nil"/>
            </w:tcBorders>
            <w:shd w:val="clear" w:color="auto" w:fill="auto"/>
            <w:vAlign w:val="bottom"/>
          </w:tcPr>
          <w:p w14:paraId="714EE632" w14:textId="3683DD52"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6 657</w:t>
            </w:r>
          </w:p>
        </w:tc>
        <w:tc>
          <w:tcPr>
            <w:tcW w:w="102" w:type="pct"/>
            <w:tcBorders>
              <w:top w:val="nil"/>
              <w:left w:val="nil"/>
              <w:bottom w:val="nil"/>
              <w:right w:val="nil"/>
            </w:tcBorders>
            <w:shd w:val="clear" w:color="auto" w:fill="auto"/>
            <w:vAlign w:val="bottom"/>
          </w:tcPr>
          <w:p w14:paraId="7AE20F96"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999" w:type="pct"/>
            <w:tcBorders>
              <w:top w:val="nil"/>
              <w:left w:val="nil"/>
              <w:bottom w:val="nil"/>
              <w:right w:val="nil"/>
            </w:tcBorders>
            <w:shd w:val="clear" w:color="auto" w:fill="auto"/>
            <w:vAlign w:val="bottom"/>
          </w:tcPr>
          <w:p w14:paraId="4D7CDE69" w14:textId="7BCE6488"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151</w:t>
            </w:r>
          </w:p>
        </w:tc>
      </w:tr>
      <w:tr w:rsidR="009F2456" w:rsidRPr="00226892" w14:paraId="4B930738" w14:textId="77777777" w:rsidTr="0054176C">
        <w:trPr>
          <w:trHeight w:val="240"/>
        </w:trPr>
        <w:tc>
          <w:tcPr>
            <w:tcW w:w="2691" w:type="pct"/>
            <w:tcBorders>
              <w:top w:val="nil"/>
              <w:left w:val="nil"/>
              <w:bottom w:val="nil"/>
              <w:right w:val="nil"/>
            </w:tcBorders>
            <w:shd w:val="clear" w:color="auto" w:fill="auto"/>
            <w:vAlign w:val="bottom"/>
            <w:hideMark/>
          </w:tcPr>
          <w:p w14:paraId="5A1C15CE" w14:textId="77777777"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Ostatné záväzky – krátkodobé</w:t>
            </w:r>
          </w:p>
        </w:tc>
        <w:tc>
          <w:tcPr>
            <w:tcW w:w="99" w:type="pct"/>
            <w:tcBorders>
              <w:top w:val="nil"/>
              <w:left w:val="nil"/>
              <w:bottom w:val="nil"/>
              <w:right w:val="nil"/>
            </w:tcBorders>
            <w:shd w:val="clear" w:color="auto" w:fill="auto"/>
            <w:vAlign w:val="bottom"/>
            <w:hideMark/>
          </w:tcPr>
          <w:p w14:paraId="027D709B" w14:textId="77777777" w:rsidR="009F2456" w:rsidRPr="00226892" w:rsidRDefault="009F2456" w:rsidP="009F2456">
            <w:pPr>
              <w:rPr>
                <w:rFonts w:ascii="Arial" w:eastAsia="Times New Roman" w:hAnsi="Arial" w:cs="Arial"/>
                <w:color w:val="000000"/>
                <w:sz w:val="18"/>
                <w:szCs w:val="18"/>
                <w:lang w:val="sk-SK" w:eastAsia="sk-SK"/>
              </w:rPr>
            </w:pPr>
          </w:p>
        </w:tc>
        <w:tc>
          <w:tcPr>
            <w:tcW w:w="1110" w:type="pct"/>
            <w:tcBorders>
              <w:top w:val="nil"/>
              <w:left w:val="nil"/>
              <w:bottom w:val="nil"/>
              <w:right w:val="nil"/>
            </w:tcBorders>
            <w:shd w:val="clear" w:color="auto" w:fill="auto"/>
            <w:vAlign w:val="bottom"/>
          </w:tcPr>
          <w:p w14:paraId="2155ABF3" w14:textId="37F3BC21"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106</w:t>
            </w:r>
          </w:p>
        </w:tc>
        <w:tc>
          <w:tcPr>
            <w:tcW w:w="102" w:type="pct"/>
            <w:tcBorders>
              <w:top w:val="nil"/>
              <w:left w:val="nil"/>
              <w:bottom w:val="nil"/>
              <w:right w:val="nil"/>
            </w:tcBorders>
            <w:shd w:val="clear" w:color="auto" w:fill="auto"/>
            <w:vAlign w:val="bottom"/>
          </w:tcPr>
          <w:p w14:paraId="6EB24140"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999" w:type="pct"/>
            <w:tcBorders>
              <w:top w:val="nil"/>
              <w:left w:val="nil"/>
              <w:bottom w:val="nil"/>
              <w:right w:val="nil"/>
            </w:tcBorders>
            <w:shd w:val="clear" w:color="auto" w:fill="auto"/>
            <w:vAlign w:val="bottom"/>
          </w:tcPr>
          <w:p w14:paraId="477E1907" w14:textId="1C85083F"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111</w:t>
            </w:r>
          </w:p>
        </w:tc>
      </w:tr>
      <w:tr w:rsidR="009F2456" w:rsidRPr="00226892" w14:paraId="2228AD18" w14:textId="77777777" w:rsidTr="0054176C">
        <w:trPr>
          <w:trHeight w:val="240"/>
        </w:trPr>
        <w:tc>
          <w:tcPr>
            <w:tcW w:w="2691" w:type="pct"/>
            <w:tcBorders>
              <w:top w:val="nil"/>
              <w:left w:val="nil"/>
              <w:bottom w:val="nil"/>
              <w:right w:val="nil"/>
            </w:tcBorders>
            <w:shd w:val="clear" w:color="auto" w:fill="auto"/>
            <w:vAlign w:val="bottom"/>
            <w:hideMark/>
          </w:tcPr>
          <w:p w14:paraId="6288DBD7" w14:textId="77777777"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Ostatné záväzky – dlhodobé</w:t>
            </w:r>
          </w:p>
        </w:tc>
        <w:tc>
          <w:tcPr>
            <w:tcW w:w="99" w:type="pct"/>
            <w:tcBorders>
              <w:top w:val="nil"/>
              <w:left w:val="nil"/>
              <w:bottom w:val="nil"/>
              <w:right w:val="nil"/>
            </w:tcBorders>
            <w:shd w:val="clear" w:color="auto" w:fill="auto"/>
            <w:vAlign w:val="bottom"/>
            <w:hideMark/>
          </w:tcPr>
          <w:p w14:paraId="3766A18B" w14:textId="77777777" w:rsidR="009F2456" w:rsidRPr="00226892" w:rsidRDefault="009F2456" w:rsidP="009F2456">
            <w:pPr>
              <w:rPr>
                <w:rFonts w:ascii="Arial" w:eastAsia="Times New Roman" w:hAnsi="Arial" w:cs="Arial"/>
                <w:color w:val="000000"/>
                <w:sz w:val="18"/>
                <w:szCs w:val="18"/>
                <w:lang w:val="sk-SK" w:eastAsia="sk-SK"/>
              </w:rPr>
            </w:pPr>
          </w:p>
        </w:tc>
        <w:tc>
          <w:tcPr>
            <w:tcW w:w="1110" w:type="pct"/>
            <w:tcBorders>
              <w:top w:val="nil"/>
              <w:left w:val="nil"/>
              <w:bottom w:val="nil"/>
              <w:right w:val="nil"/>
            </w:tcBorders>
            <w:shd w:val="clear" w:color="auto" w:fill="auto"/>
            <w:vAlign w:val="bottom"/>
          </w:tcPr>
          <w:p w14:paraId="7750348C" w14:textId="369A0C97"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02" w:type="pct"/>
            <w:tcBorders>
              <w:top w:val="nil"/>
              <w:left w:val="nil"/>
              <w:bottom w:val="nil"/>
              <w:right w:val="nil"/>
            </w:tcBorders>
            <w:shd w:val="clear" w:color="auto" w:fill="auto"/>
            <w:vAlign w:val="bottom"/>
          </w:tcPr>
          <w:p w14:paraId="5AFCE401"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999" w:type="pct"/>
            <w:tcBorders>
              <w:top w:val="nil"/>
              <w:left w:val="nil"/>
              <w:bottom w:val="nil"/>
              <w:right w:val="nil"/>
            </w:tcBorders>
            <w:shd w:val="clear" w:color="auto" w:fill="auto"/>
            <w:vAlign w:val="bottom"/>
          </w:tcPr>
          <w:p w14:paraId="32C3F206" w14:textId="4EE1BD12"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r>
      <w:tr w:rsidR="009F2456" w:rsidRPr="00226892" w14:paraId="12DB7912" w14:textId="77777777" w:rsidTr="0054176C">
        <w:trPr>
          <w:trHeight w:val="240"/>
        </w:trPr>
        <w:tc>
          <w:tcPr>
            <w:tcW w:w="2691" w:type="pct"/>
            <w:tcBorders>
              <w:top w:val="nil"/>
              <w:left w:val="nil"/>
              <w:bottom w:val="nil"/>
              <w:right w:val="nil"/>
            </w:tcBorders>
            <w:shd w:val="clear" w:color="auto" w:fill="auto"/>
            <w:vAlign w:val="bottom"/>
            <w:hideMark/>
          </w:tcPr>
          <w:p w14:paraId="0D852E30" w14:textId="380B5E09" w:rsidR="009F2456" w:rsidRPr="00226892" w:rsidRDefault="009F2456" w:rsidP="009F2456">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Finančné záväzky – v účtovnej hodnote</w:t>
            </w:r>
            <w:r w:rsidR="005020AA" w:rsidRPr="00226892">
              <w:rPr>
                <w:rFonts w:ascii="Arial" w:eastAsia="Times New Roman" w:hAnsi="Arial" w:cs="Arial"/>
                <w:b/>
                <w:bCs/>
                <w:color w:val="000000"/>
                <w:sz w:val="18"/>
                <w:szCs w:val="18"/>
                <w:lang w:val="sk-SK" w:eastAsia="sk-SK"/>
              </w:rPr>
              <w:t xml:space="preserve"> (Pozn. 9)</w:t>
            </w:r>
          </w:p>
        </w:tc>
        <w:tc>
          <w:tcPr>
            <w:tcW w:w="99" w:type="pct"/>
            <w:tcBorders>
              <w:top w:val="nil"/>
              <w:left w:val="nil"/>
              <w:bottom w:val="nil"/>
              <w:right w:val="nil"/>
            </w:tcBorders>
            <w:shd w:val="clear" w:color="auto" w:fill="auto"/>
            <w:vAlign w:val="bottom"/>
            <w:hideMark/>
          </w:tcPr>
          <w:p w14:paraId="4949B151" w14:textId="77777777" w:rsidR="009F2456" w:rsidRPr="00226892" w:rsidRDefault="009F2456" w:rsidP="009F2456">
            <w:pPr>
              <w:rPr>
                <w:rFonts w:ascii="Arial" w:eastAsia="Times New Roman" w:hAnsi="Arial" w:cs="Arial"/>
                <w:b/>
                <w:bCs/>
                <w:color w:val="000000"/>
                <w:sz w:val="18"/>
                <w:szCs w:val="18"/>
                <w:lang w:val="sk-SK" w:eastAsia="sk-SK"/>
              </w:rPr>
            </w:pPr>
          </w:p>
        </w:tc>
        <w:tc>
          <w:tcPr>
            <w:tcW w:w="1110" w:type="pct"/>
            <w:tcBorders>
              <w:top w:val="single" w:sz="4" w:space="0" w:color="auto"/>
              <w:left w:val="nil"/>
              <w:bottom w:val="double" w:sz="6" w:space="0" w:color="auto"/>
              <w:right w:val="nil"/>
            </w:tcBorders>
            <w:shd w:val="clear" w:color="auto" w:fill="auto"/>
            <w:vAlign w:val="bottom"/>
          </w:tcPr>
          <w:p w14:paraId="2B244E03" w14:textId="7EE1B1D5" w:rsidR="009F2456" w:rsidRPr="00226892" w:rsidRDefault="009F2456" w:rsidP="009F245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w:t>
            </w:r>
            <w:r w:rsidR="0049047A" w:rsidRPr="00226892">
              <w:rPr>
                <w:rFonts w:ascii="Arial" w:eastAsia="Times New Roman" w:hAnsi="Arial" w:cs="Arial"/>
                <w:b/>
                <w:bCs/>
                <w:color w:val="000000"/>
                <w:sz w:val="18"/>
                <w:szCs w:val="18"/>
                <w:lang w:val="sk-SK" w:eastAsia="sk-SK"/>
              </w:rPr>
              <w:t>4 988</w:t>
            </w:r>
          </w:p>
        </w:tc>
        <w:tc>
          <w:tcPr>
            <w:tcW w:w="102" w:type="pct"/>
            <w:tcBorders>
              <w:top w:val="nil"/>
              <w:left w:val="nil"/>
              <w:bottom w:val="nil"/>
              <w:right w:val="nil"/>
            </w:tcBorders>
            <w:shd w:val="clear" w:color="auto" w:fill="auto"/>
            <w:vAlign w:val="bottom"/>
          </w:tcPr>
          <w:p w14:paraId="2AD19DE9" w14:textId="77777777" w:rsidR="009F2456" w:rsidRPr="00226892" w:rsidRDefault="009F2456" w:rsidP="009F2456">
            <w:pPr>
              <w:jc w:val="right"/>
              <w:rPr>
                <w:rFonts w:ascii="Arial" w:eastAsia="Times New Roman" w:hAnsi="Arial" w:cs="Arial"/>
                <w:b/>
                <w:bCs/>
                <w:color w:val="000000"/>
                <w:sz w:val="18"/>
                <w:szCs w:val="18"/>
                <w:lang w:val="sk-SK" w:eastAsia="sk-SK"/>
              </w:rPr>
            </w:pPr>
          </w:p>
        </w:tc>
        <w:tc>
          <w:tcPr>
            <w:tcW w:w="999" w:type="pct"/>
            <w:tcBorders>
              <w:top w:val="single" w:sz="4" w:space="0" w:color="auto"/>
              <w:left w:val="nil"/>
              <w:bottom w:val="double" w:sz="6" w:space="0" w:color="auto"/>
              <w:right w:val="nil"/>
            </w:tcBorders>
            <w:shd w:val="clear" w:color="auto" w:fill="auto"/>
            <w:vAlign w:val="bottom"/>
          </w:tcPr>
          <w:p w14:paraId="46A3BECC" w14:textId="57641206" w:rsidR="009F2456" w:rsidRPr="00226892" w:rsidRDefault="009F2456" w:rsidP="009F245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29 317</w:t>
            </w:r>
          </w:p>
        </w:tc>
      </w:tr>
      <w:bookmarkEnd w:id="536"/>
    </w:tbl>
    <w:p w14:paraId="36DCF227" w14:textId="77777777" w:rsidR="00EA7C3C" w:rsidRPr="00226892" w:rsidRDefault="00EA7C3C" w:rsidP="00837450">
      <w:pPr>
        <w:suppressAutoHyphens/>
        <w:rPr>
          <w:rFonts w:ascii="Arial" w:hAnsi="Arial" w:cs="Arial"/>
          <w:sz w:val="18"/>
        </w:rPr>
      </w:pPr>
    </w:p>
    <w:p w14:paraId="7F443510" w14:textId="33DE7B46" w:rsidR="00837450" w:rsidRPr="00226892" w:rsidRDefault="00DA5E9D" w:rsidP="00235CDF">
      <w:pPr>
        <w:pStyle w:val="odst"/>
      </w:pPr>
      <w:r w:rsidRPr="00226892">
        <w:t>Štruktúra krátkodobých záväzkov z obchodného styku a iných záväzkov podľa zostatkovej doby splatnosti je uvedená v nasledujúcich tabuľkách:</w:t>
      </w:r>
    </w:p>
    <w:p w14:paraId="5DBE9796" w14:textId="154B8541" w:rsidR="00790C36" w:rsidRPr="00226892" w:rsidRDefault="00790C36">
      <w:pPr>
        <w:suppressAutoHyphens/>
        <w:jc w:val="both"/>
        <w:rPr>
          <w:rFonts w:ascii="Arial" w:hAnsi="Arial" w:cs="Arial"/>
          <w:sz w:val="18"/>
          <w:szCs w:val="18"/>
          <w:lang w:val="sk-SK"/>
        </w:rPr>
      </w:pPr>
      <w:bookmarkStart w:id="537" w:name="FWT_ShortTermPayablesAgeing"/>
      <w:r w:rsidRPr="00226892">
        <w:rPr>
          <w:rFonts w:ascii="Arial" w:hAnsi="Arial" w:cs="Arial"/>
          <w:sz w:val="18"/>
          <w:szCs w:val="18"/>
          <w:lang w:val="sk-SK"/>
        </w:rPr>
        <w:t xml:space="preserve"> </w:t>
      </w:r>
    </w:p>
    <w:tbl>
      <w:tblPr>
        <w:tblW w:w="5000" w:type="pct"/>
        <w:tblCellMar>
          <w:left w:w="70" w:type="dxa"/>
          <w:right w:w="70" w:type="dxa"/>
        </w:tblCellMar>
        <w:tblLook w:val="04A0" w:firstRow="1" w:lastRow="0" w:firstColumn="1" w:lastColumn="0" w:noHBand="0" w:noVBand="1"/>
      </w:tblPr>
      <w:tblGrid>
        <w:gridCol w:w="4958"/>
        <w:gridCol w:w="411"/>
        <w:gridCol w:w="2134"/>
        <w:gridCol w:w="210"/>
        <w:gridCol w:w="1926"/>
      </w:tblGrid>
      <w:tr w:rsidR="007826E8" w:rsidRPr="00226892" w14:paraId="5CE403BE" w14:textId="77777777" w:rsidTr="0044577D">
        <w:trPr>
          <w:trHeight w:val="251"/>
        </w:trPr>
        <w:tc>
          <w:tcPr>
            <w:tcW w:w="2572" w:type="pct"/>
            <w:tcBorders>
              <w:top w:val="nil"/>
              <w:left w:val="nil"/>
              <w:bottom w:val="single" w:sz="4" w:space="0" w:color="auto"/>
              <w:right w:val="nil"/>
            </w:tcBorders>
            <w:shd w:val="clear" w:color="auto" w:fill="auto"/>
            <w:noWrap/>
            <w:vAlign w:val="bottom"/>
            <w:hideMark/>
          </w:tcPr>
          <w:p w14:paraId="2CBDB235" w14:textId="77777777" w:rsidR="007826E8" w:rsidRPr="00226892" w:rsidRDefault="007826E8" w:rsidP="00BA675C">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213" w:type="pct"/>
            <w:tcBorders>
              <w:top w:val="nil"/>
              <w:left w:val="nil"/>
              <w:bottom w:val="single" w:sz="4" w:space="0" w:color="auto"/>
              <w:right w:val="nil"/>
            </w:tcBorders>
            <w:shd w:val="clear" w:color="auto" w:fill="auto"/>
            <w:vAlign w:val="bottom"/>
            <w:hideMark/>
          </w:tcPr>
          <w:p w14:paraId="046A67AF" w14:textId="77777777" w:rsidR="007826E8" w:rsidRPr="00226892" w:rsidRDefault="007826E8" w:rsidP="00BA675C">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107" w:type="pct"/>
            <w:tcBorders>
              <w:top w:val="nil"/>
              <w:left w:val="nil"/>
              <w:bottom w:val="single" w:sz="4" w:space="0" w:color="auto"/>
              <w:right w:val="nil"/>
            </w:tcBorders>
            <w:shd w:val="clear" w:color="auto" w:fill="auto"/>
            <w:vAlign w:val="bottom"/>
            <w:hideMark/>
          </w:tcPr>
          <w:p w14:paraId="0118628B" w14:textId="68767BD2" w:rsidR="007826E8" w:rsidRPr="00226892" w:rsidRDefault="007826E8" w:rsidP="00BA675C">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D3AC5" w:rsidRPr="00226892">
              <w:rPr>
                <w:rFonts w:ascii="Arial" w:eastAsia="Times New Roman" w:hAnsi="Arial" w:cs="Arial"/>
                <w:b/>
                <w:bCs/>
                <w:color w:val="000000"/>
                <w:sz w:val="18"/>
                <w:szCs w:val="18"/>
                <w:lang w:val="sk-SK" w:eastAsia="sk-SK"/>
              </w:rPr>
              <w:t>2018</w:t>
            </w:r>
          </w:p>
        </w:tc>
        <w:tc>
          <w:tcPr>
            <w:tcW w:w="109" w:type="pct"/>
            <w:tcBorders>
              <w:top w:val="nil"/>
              <w:left w:val="nil"/>
              <w:bottom w:val="single" w:sz="4" w:space="0" w:color="auto"/>
              <w:right w:val="nil"/>
            </w:tcBorders>
          </w:tcPr>
          <w:p w14:paraId="1F892A4B" w14:textId="77777777" w:rsidR="007826E8" w:rsidRPr="00226892" w:rsidRDefault="007826E8" w:rsidP="00BA675C">
            <w:pPr>
              <w:jc w:val="center"/>
              <w:rPr>
                <w:rFonts w:ascii="Arial" w:eastAsia="Times New Roman" w:hAnsi="Arial" w:cs="Arial"/>
                <w:b/>
                <w:bCs/>
                <w:color w:val="000000"/>
                <w:sz w:val="18"/>
                <w:szCs w:val="18"/>
                <w:lang w:val="sk-SK" w:eastAsia="sk-SK"/>
              </w:rPr>
            </w:pPr>
          </w:p>
        </w:tc>
        <w:tc>
          <w:tcPr>
            <w:tcW w:w="999" w:type="pct"/>
            <w:tcBorders>
              <w:top w:val="nil"/>
              <w:left w:val="nil"/>
              <w:bottom w:val="single" w:sz="4" w:space="0" w:color="auto"/>
              <w:right w:val="nil"/>
            </w:tcBorders>
            <w:shd w:val="clear" w:color="auto" w:fill="auto"/>
            <w:vAlign w:val="bottom"/>
            <w:hideMark/>
          </w:tcPr>
          <w:p w14:paraId="6C2830C6" w14:textId="5312EACE" w:rsidR="007826E8" w:rsidRPr="00226892" w:rsidRDefault="007826E8" w:rsidP="00BA675C">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63A77" w:rsidRPr="00226892">
              <w:rPr>
                <w:rFonts w:ascii="Arial" w:eastAsia="Times New Roman" w:hAnsi="Arial" w:cs="Arial"/>
                <w:b/>
                <w:bCs/>
                <w:color w:val="000000"/>
                <w:sz w:val="18"/>
                <w:szCs w:val="18"/>
                <w:lang w:val="sk-SK" w:eastAsia="sk-SK"/>
              </w:rPr>
              <w:t>2017</w:t>
            </w:r>
          </w:p>
        </w:tc>
      </w:tr>
      <w:tr w:rsidR="009F2456" w:rsidRPr="00226892" w14:paraId="6FF036BE" w14:textId="77777777" w:rsidTr="0044577D">
        <w:trPr>
          <w:trHeight w:val="251"/>
        </w:trPr>
        <w:tc>
          <w:tcPr>
            <w:tcW w:w="2572" w:type="pct"/>
            <w:tcBorders>
              <w:top w:val="nil"/>
              <w:left w:val="nil"/>
              <w:bottom w:val="nil"/>
              <w:right w:val="nil"/>
            </w:tcBorders>
            <w:shd w:val="clear" w:color="auto" w:fill="auto"/>
            <w:vAlign w:val="bottom"/>
            <w:hideMark/>
          </w:tcPr>
          <w:p w14:paraId="32707028" w14:textId="77777777"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Záväzky po lehote splatnosti</w:t>
            </w:r>
          </w:p>
        </w:tc>
        <w:tc>
          <w:tcPr>
            <w:tcW w:w="213" w:type="pct"/>
            <w:tcBorders>
              <w:top w:val="nil"/>
              <w:left w:val="nil"/>
              <w:bottom w:val="nil"/>
              <w:right w:val="nil"/>
            </w:tcBorders>
            <w:shd w:val="clear" w:color="auto" w:fill="auto"/>
            <w:vAlign w:val="bottom"/>
            <w:hideMark/>
          </w:tcPr>
          <w:p w14:paraId="1E8B8A19" w14:textId="77777777" w:rsidR="009F2456" w:rsidRPr="00226892" w:rsidRDefault="009F2456" w:rsidP="009F2456">
            <w:pPr>
              <w:rPr>
                <w:rFonts w:ascii="Arial" w:eastAsia="Times New Roman" w:hAnsi="Arial" w:cs="Arial"/>
                <w:color w:val="000000"/>
                <w:sz w:val="18"/>
                <w:szCs w:val="18"/>
                <w:lang w:val="sk-SK" w:eastAsia="sk-SK"/>
              </w:rPr>
            </w:pPr>
          </w:p>
        </w:tc>
        <w:tc>
          <w:tcPr>
            <w:tcW w:w="1107" w:type="pct"/>
            <w:tcBorders>
              <w:top w:val="nil"/>
              <w:left w:val="nil"/>
              <w:bottom w:val="nil"/>
              <w:right w:val="nil"/>
            </w:tcBorders>
            <w:shd w:val="clear" w:color="auto" w:fill="auto"/>
            <w:vAlign w:val="bottom"/>
          </w:tcPr>
          <w:p w14:paraId="6A3D9335" w14:textId="17C6B44F"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8 888</w:t>
            </w:r>
          </w:p>
        </w:tc>
        <w:tc>
          <w:tcPr>
            <w:tcW w:w="109" w:type="pct"/>
            <w:tcBorders>
              <w:top w:val="nil"/>
              <w:left w:val="nil"/>
              <w:bottom w:val="nil"/>
              <w:right w:val="nil"/>
            </w:tcBorders>
          </w:tcPr>
          <w:p w14:paraId="574545F3"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999" w:type="pct"/>
            <w:tcBorders>
              <w:top w:val="nil"/>
              <w:left w:val="nil"/>
              <w:bottom w:val="nil"/>
              <w:right w:val="nil"/>
            </w:tcBorders>
            <w:shd w:val="clear" w:color="auto" w:fill="auto"/>
            <w:vAlign w:val="bottom"/>
          </w:tcPr>
          <w:p w14:paraId="1799521F" w14:textId="3CFFFB83"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6 851</w:t>
            </w:r>
          </w:p>
        </w:tc>
      </w:tr>
      <w:tr w:rsidR="009F2456" w:rsidRPr="00226892" w14:paraId="47428D84" w14:textId="77777777" w:rsidTr="0044577D">
        <w:trPr>
          <w:trHeight w:val="251"/>
        </w:trPr>
        <w:tc>
          <w:tcPr>
            <w:tcW w:w="2572" w:type="pct"/>
            <w:tcBorders>
              <w:top w:val="nil"/>
              <w:left w:val="nil"/>
              <w:bottom w:val="nil"/>
              <w:right w:val="nil"/>
            </w:tcBorders>
            <w:shd w:val="clear" w:color="auto" w:fill="auto"/>
            <w:vAlign w:val="bottom"/>
            <w:hideMark/>
          </w:tcPr>
          <w:p w14:paraId="6D70FBCD" w14:textId="77777777"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Záväzky so zostatkovou dobou splatnosti do 1 roka</w:t>
            </w:r>
          </w:p>
        </w:tc>
        <w:tc>
          <w:tcPr>
            <w:tcW w:w="213" w:type="pct"/>
            <w:tcBorders>
              <w:top w:val="nil"/>
              <w:left w:val="nil"/>
              <w:bottom w:val="nil"/>
              <w:right w:val="nil"/>
            </w:tcBorders>
            <w:shd w:val="clear" w:color="auto" w:fill="auto"/>
            <w:vAlign w:val="bottom"/>
            <w:hideMark/>
          </w:tcPr>
          <w:p w14:paraId="2278CD27" w14:textId="77777777" w:rsidR="009F2456" w:rsidRPr="00226892" w:rsidRDefault="009F2456" w:rsidP="009F2456">
            <w:pPr>
              <w:rPr>
                <w:rFonts w:ascii="Arial" w:eastAsia="Times New Roman" w:hAnsi="Arial" w:cs="Arial"/>
                <w:color w:val="000000"/>
                <w:sz w:val="18"/>
                <w:szCs w:val="18"/>
                <w:lang w:val="sk-SK" w:eastAsia="sk-SK"/>
              </w:rPr>
            </w:pPr>
          </w:p>
        </w:tc>
        <w:tc>
          <w:tcPr>
            <w:tcW w:w="1107" w:type="pct"/>
            <w:tcBorders>
              <w:top w:val="nil"/>
              <w:left w:val="nil"/>
              <w:bottom w:val="nil"/>
              <w:right w:val="nil"/>
            </w:tcBorders>
            <w:shd w:val="clear" w:color="auto" w:fill="auto"/>
            <w:vAlign w:val="bottom"/>
          </w:tcPr>
          <w:p w14:paraId="0F631761" w14:textId="79793CAF"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32 </w:t>
            </w:r>
            <w:r w:rsidR="0049047A" w:rsidRPr="00226892">
              <w:rPr>
                <w:rFonts w:ascii="Arial" w:eastAsia="Times New Roman" w:hAnsi="Arial" w:cs="Arial"/>
                <w:color w:val="000000"/>
                <w:sz w:val="18"/>
                <w:szCs w:val="18"/>
                <w:lang w:val="sk-SK" w:eastAsia="sk-SK"/>
              </w:rPr>
              <w:t>680</w:t>
            </w:r>
          </w:p>
        </w:tc>
        <w:tc>
          <w:tcPr>
            <w:tcW w:w="109" w:type="pct"/>
            <w:tcBorders>
              <w:top w:val="nil"/>
              <w:left w:val="nil"/>
              <w:bottom w:val="nil"/>
              <w:right w:val="nil"/>
            </w:tcBorders>
          </w:tcPr>
          <w:p w14:paraId="67849F48"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999" w:type="pct"/>
            <w:tcBorders>
              <w:top w:val="nil"/>
              <w:left w:val="nil"/>
              <w:bottom w:val="nil"/>
              <w:right w:val="nil"/>
            </w:tcBorders>
            <w:shd w:val="clear" w:color="auto" w:fill="auto"/>
            <w:vAlign w:val="bottom"/>
          </w:tcPr>
          <w:p w14:paraId="65DF6C17" w14:textId="6F2667BE"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25 000</w:t>
            </w:r>
          </w:p>
        </w:tc>
      </w:tr>
      <w:tr w:rsidR="009F2456" w:rsidRPr="00226892" w14:paraId="6CB64018" w14:textId="77777777" w:rsidTr="0044577D">
        <w:trPr>
          <w:trHeight w:val="251"/>
        </w:trPr>
        <w:tc>
          <w:tcPr>
            <w:tcW w:w="2572" w:type="pct"/>
            <w:tcBorders>
              <w:top w:val="nil"/>
              <w:left w:val="nil"/>
              <w:bottom w:val="nil"/>
              <w:right w:val="nil"/>
            </w:tcBorders>
            <w:shd w:val="clear" w:color="auto" w:fill="auto"/>
            <w:noWrap/>
            <w:vAlign w:val="bottom"/>
            <w:hideMark/>
          </w:tcPr>
          <w:p w14:paraId="5F3BCEA7" w14:textId="77777777" w:rsidR="009F2456" w:rsidRPr="00226892" w:rsidRDefault="009F2456" w:rsidP="009F2456">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Krátkodobé záväzky spolu</w:t>
            </w:r>
          </w:p>
        </w:tc>
        <w:tc>
          <w:tcPr>
            <w:tcW w:w="213" w:type="pct"/>
            <w:tcBorders>
              <w:top w:val="nil"/>
              <w:left w:val="nil"/>
              <w:bottom w:val="nil"/>
              <w:right w:val="nil"/>
            </w:tcBorders>
            <w:shd w:val="clear" w:color="auto" w:fill="auto"/>
            <w:vAlign w:val="bottom"/>
            <w:hideMark/>
          </w:tcPr>
          <w:p w14:paraId="1473C45F" w14:textId="77777777" w:rsidR="009F2456" w:rsidRPr="00226892" w:rsidRDefault="009F2456" w:rsidP="009F2456">
            <w:pPr>
              <w:rPr>
                <w:rFonts w:ascii="Arial" w:eastAsia="Times New Roman" w:hAnsi="Arial" w:cs="Arial"/>
                <w:b/>
                <w:bCs/>
                <w:color w:val="000000"/>
                <w:sz w:val="18"/>
                <w:szCs w:val="18"/>
                <w:lang w:val="sk-SK" w:eastAsia="sk-SK"/>
              </w:rPr>
            </w:pPr>
          </w:p>
        </w:tc>
        <w:tc>
          <w:tcPr>
            <w:tcW w:w="1107" w:type="pct"/>
            <w:tcBorders>
              <w:top w:val="single" w:sz="4" w:space="0" w:color="auto"/>
              <w:left w:val="nil"/>
              <w:bottom w:val="double" w:sz="6" w:space="0" w:color="auto"/>
              <w:right w:val="nil"/>
            </w:tcBorders>
            <w:shd w:val="clear" w:color="auto" w:fill="auto"/>
            <w:vAlign w:val="bottom"/>
          </w:tcPr>
          <w:p w14:paraId="384132F9" w14:textId="3515DA4E" w:rsidR="009F2456" w:rsidRPr="00226892" w:rsidRDefault="009F2456" w:rsidP="009F245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41 </w:t>
            </w:r>
            <w:r w:rsidR="0049047A" w:rsidRPr="00226892">
              <w:rPr>
                <w:rFonts w:ascii="Arial" w:eastAsia="Times New Roman" w:hAnsi="Arial" w:cs="Arial"/>
                <w:b/>
                <w:bCs/>
                <w:color w:val="000000"/>
                <w:sz w:val="18"/>
                <w:szCs w:val="18"/>
                <w:lang w:val="sk-SK" w:eastAsia="sk-SK"/>
              </w:rPr>
              <w:t>568</w:t>
            </w:r>
          </w:p>
        </w:tc>
        <w:tc>
          <w:tcPr>
            <w:tcW w:w="109" w:type="pct"/>
            <w:tcBorders>
              <w:top w:val="single" w:sz="4" w:space="0" w:color="auto"/>
              <w:left w:val="nil"/>
              <w:bottom w:val="double" w:sz="6" w:space="0" w:color="auto"/>
              <w:right w:val="nil"/>
            </w:tcBorders>
          </w:tcPr>
          <w:p w14:paraId="384D58B8" w14:textId="77777777" w:rsidR="009F2456" w:rsidRPr="00226892" w:rsidRDefault="009F2456" w:rsidP="009F2456">
            <w:pPr>
              <w:jc w:val="right"/>
              <w:rPr>
                <w:rFonts w:ascii="Arial" w:eastAsia="Times New Roman" w:hAnsi="Arial" w:cs="Arial"/>
                <w:b/>
                <w:bCs/>
                <w:color w:val="000000"/>
                <w:sz w:val="18"/>
                <w:szCs w:val="18"/>
                <w:lang w:val="sk-SK" w:eastAsia="sk-SK"/>
              </w:rPr>
            </w:pPr>
          </w:p>
        </w:tc>
        <w:tc>
          <w:tcPr>
            <w:tcW w:w="999" w:type="pct"/>
            <w:tcBorders>
              <w:top w:val="single" w:sz="4" w:space="0" w:color="auto"/>
              <w:left w:val="nil"/>
              <w:bottom w:val="double" w:sz="6" w:space="0" w:color="auto"/>
              <w:right w:val="nil"/>
            </w:tcBorders>
            <w:shd w:val="clear" w:color="auto" w:fill="auto"/>
            <w:vAlign w:val="bottom"/>
          </w:tcPr>
          <w:p w14:paraId="0A5151A8" w14:textId="6FEAC5C0" w:rsidR="009F2456" w:rsidRPr="00226892" w:rsidRDefault="009F2456" w:rsidP="009F245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31 851</w:t>
            </w:r>
          </w:p>
        </w:tc>
      </w:tr>
      <w:bookmarkEnd w:id="537"/>
    </w:tbl>
    <w:p w14:paraId="3C08DA69" w14:textId="77777777" w:rsidR="00BF01B0" w:rsidRPr="00226892" w:rsidRDefault="00BF01B0" w:rsidP="00837450">
      <w:pPr>
        <w:suppressAutoHyphens/>
        <w:jc w:val="both"/>
        <w:rPr>
          <w:rFonts w:ascii="Arial" w:hAnsi="Arial" w:cs="Arial"/>
          <w:sz w:val="18"/>
          <w:szCs w:val="18"/>
        </w:rPr>
      </w:pPr>
    </w:p>
    <w:p w14:paraId="2C0FC313" w14:textId="219265FA" w:rsidR="00BD0FC2" w:rsidRPr="00226892" w:rsidRDefault="00B45E97" w:rsidP="00756C6D">
      <w:pPr>
        <w:suppressAutoHyphens/>
        <w:jc w:val="both"/>
        <w:rPr>
          <w:rFonts w:ascii="Arial" w:hAnsi="Arial" w:cs="Arial"/>
          <w:lang w:val="sk-SK"/>
        </w:rPr>
      </w:pPr>
      <w:r w:rsidRPr="00226892">
        <w:rPr>
          <w:rFonts w:ascii="Arial" w:hAnsi="Arial" w:cs="Arial"/>
          <w:lang w:val="sk-SK"/>
        </w:rPr>
        <w:t>Z</w:t>
      </w:r>
      <w:r w:rsidR="00BD0FC2" w:rsidRPr="00226892">
        <w:rPr>
          <w:rFonts w:ascii="Arial" w:hAnsi="Arial" w:cs="Arial"/>
          <w:lang w:val="sk-SK"/>
        </w:rPr>
        <w:t>áväzky po lehote splatnosti k 31</w:t>
      </w:r>
      <w:r w:rsidR="00BD0FC2" w:rsidRPr="00226892">
        <w:rPr>
          <w:rFonts w:ascii="Arial" w:hAnsi="Arial" w:cs="Arial"/>
          <w:lang w:val="en-US"/>
        </w:rPr>
        <w:t>.</w:t>
      </w:r>
      <w:r w:rsidRPr="00226892">
        <w:rPr>
          <w:rFonts w:ascii="Arial" w:hAnsi="Arial" w:cs="Arial"/>
          <w:lang w:val="en-US"/>
        </w:rPr>
        <w:t xml:space="preserve"> </w:t>
      </w:r>
      <w:proofErr w:type="spellStart"/>
      <w:r w:rsidRPr="00226892">
        <w:rPr>
          <w:rFonts w:ascii="Arial" w:hAnsi="Arial" w:cs="Arial"/>
          <w:lang w:val="en-US"/>
        </w:rPr>
        <w:t>decembru</w:t>
      </w:r>
      <w:proofErr w:type="spellEnd"/>
      <w:r w:rsidRPr="00226892">
        <w:rPr>
          <w:rFonts w:ascii="Arial" w:hAnsi="Arial" w:cs="Arial"/>
          <w:lang w:val="en-US"/>
        </w:rPr>
        <w:t xml:space="preserve"> </w:t>
      </w:r>
      <w:r w:rsidR="00FD3AC5" w:rsidRPr="00226892">
        <w:rPr>
          <w:rFonts w:ascii="Arial" w:hAnsi="Arial" w:cs="Arial"/>
          <w:lang w:val="en-US"/>
        </w:rPr>
        <w:t>2018</w:t>
      </w:r>
      <w:r w:rsidR="00734700" w:rsidRPr="00226892">
        <w:rPr>
          <w:rFonts w:ascii="Arial" w:hAnsi="Arial" w:cs="Arial"/>
          <w:lang w:val="en-US"/>
        </w:rPr>
        <w:t xml:space="preserve"> </w:t>
      </w:r>
      <w:r w:rsidRPr="00226892">
        <w:rPr>
          <w:rFonts w:ascii="Arial" w:hAnsi="Arial" w:cs="Arial"/>
          <w:lang w:val="en-US"/>
        </w:rPr>
        <w:t xml:space="preserve">a 31. </w:t>
      </w:r>
      <w:proofErr w:type="spellStart"/>
      <w:r w:rsidRPr="00226892">
        <w:rPr>
          <w:rFonts w:ascii="Arial" w:hAnsi="Arial" w:cs="Arial"/>
          <w:lang w:val="en-US"/>
        </w:rPr>
        <w:t>decembru</w:t>
      </w:r>
      <w:proofErr w:type="spellEnd"/>
      <w:r w:rsidRPr="00226892">
        <w:rPr>
          <w:rFonts w:ascii="Arial" w:hAnsi="Arial" w:cs="Arial"/>
          <w:lang w:val="en-US"/>
        </w:rPr>
        <w:t xml:space="preserve"> </w:t>
      </w:r>
      <w:r w:rsidR="00F63A77" w:rsidRPr="00226892">
        <w:rPr>
          <w:rFonts w:ascii="Arial" w:hAnsi="Arial" w:cs="Arial"/>
          <w:lang w:val="en-US"/>
        </w:rPr>
        <w:t>2017</w:t>
      </w:r>
      <w:r w:rsidR="00734700" w:rsidRPr="00226892">
        <w:rPr>
          <w:rFonts w:ascii="Arial" w:hAnsi="Arial" w:cs="Arial"/>
          <w:lang w:val="sk-SK"/>
        </w:rPr>
        <w:t xml:space="preserve"> </w:t>
      </w:r>
      <w:r w:rsidR="00BD0FC2" w:rsidRPr="00226892">
        <w:rPr>
          <w:rFonts w:ascii="Arial" w:hAnsi="Arial" w:cs="Arial"/>
          <w:lang w:val="sk-SK"/>
        </w:rPr>
        <w:t>boli splatené bez sankcií.</w:t>
      </w:r>
    </w:p>
    <w:p w14:paraId="52E2F676" w14:textId="0D43C9A9" w:rsidR="00F0792F" w:rsidRPr="00226892" w:rsidRDefault="00F0792F">
      <w:pPr>
        <w:suppressAutoHyphens/>
        <w:jc w:val="both"/>
        <w:rPr>
          <w:rFonts w:ascii="Arial" w:hAnsi="Arial" w:cs="Arial"/>
          <w:sz w:val="18"/>
          <w:szCs w:val="18"/>
        </w:rPr>
      </w:pPr>
      <w:bookmarkStart w:id="538" w:name="FWT_LongTermPayablesAgeing"/>
      <w:r w:rsidRPr="00226892">
        <w:rPr>
          <w:rFonts w:ascii="Arial" w:hAnsi="Arial" w:cs="Arial"/>
          <w:sz w:val="18"/>
          <w:szCs w:val="18"/>
        </w:rPr>
        <w:t xml:space="preserve"> </w:t>
      </w:r>
    </w:p>
    <w:tbl>
      <w:tblPr>
        <w:tblW w:w="5000" w:type="pct"/>
        <w:tblCellMar>
          <w:left w:w="70" w:type="dxa"/>
          <w:right w:w="70" w:type="dxa"/>
        </w:tblCellMar>
        <w:tblLook w:val="04A0" w:firstRow="1" w:lastRow="0" w:firstColumn="1" w:lastColumn="0" w:noHBand="0" w:noVBand="1"/>
      </w:tblPr>
      <w:tblGrid>
        <w:gridCol w:w="5187"/>
        <w:gridCol w:w="191"/>
        <w:gridCol w:w="2111"/>
        <w:gridCol w:w="224"/>
        <w:gridCol w:w="1926"/>
      </w:tblGrid>
      <w:tr w:rsidR="00F0792F" w:rsidRPr="00226892" w14:paraId="5E4FDF82" w14:textId="77777777" w:rsidTr="0044577D">
        <w:trPr>
          <w:trHeight w:val="240"/>
        </w:trPr>
        <w:tc>
          <w:tcPr>
            <w:tcW w:w="2691" w:type="pct"/>
            <w:tcBorders>
              <w:top w:val="nil"/>
              <w:left w:val="nil"/>
              <w:bottom w:val="single" w:sz="4" w:space="0" w:color="auto"/>
              <w:right w:val="nil"/>
            </w:tcBorders>
            <w:shd w:val="clear" w:color="auto" w:fill="auto"/>
            <w:noWrap/>
            <w:vAlign w:val="bottom"/>
            <w:hideMark/>
          </w:tcPr>
          <w:p w14:paraId="6815E2CF" w14:textId="77777777" w:rsidR="00F0792F" w:rsidRPr="00226892" w:rsidRDefault="00F0792F">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99" w:type="pct"/>
            <w:tcBorders>
              <w:top w:val="nil"/>
              <w:left w:val="nil"/>
              <w:bottom w:val="single" w:sz="4" w:space="0" w:color="auto"/>
              <w:right w:val="nil"/>
            </w:tcBorders>
            <w:shd w:val="clear" w:color="auto" w:fill="auto"/>
            <w:vAlign w:val="bottom"/>
            <w:hideMark/>
          </w:tcPr>
          <w:p w14:paraId="2AAB0627" w14:textId="77777777" w:rsidR="00F0792F" w:rsidRPr="00226892" w:rsidRDefault="00F0792F">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095" w:type="pct"/>
            <w:tcBorders>
              <w:top w:val="nil"/>
              <w:left w:val="nil"/>
              <w:bottom w:val="single" w:sz="4" w:space="0" w:color="auto"/>
              <w:right w:val="nil"/>
            </w:tcBorders>
            <w:shd w:val="clear" w:color="auto" w:fill="auto"/>
            <w:vAlign w:val="bottom"/>
            <w:hideMark/>
          </w:tcPr>
          <w:p w14:paraId="7E17CFAB" w14:textId="085EE26B" w:rsidR="00F0792F" w:rsidRPr="00226892" w:rsidRDefault="00E6378A">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D3AC5" w:rsidRPr="00226892">
              <w:rPr>
                <w:rFonts w:ascii="Arial" w:eastAsia="Times New Roman" w:hAnsi="Arial" w:cs="Arial"/>
                <w:b/>
                <w:bCs/>
                <w:color w:val="000000"/>
                <w:sz w:val="18"/>
                <w:szCs w:val="18"/>
                <w:lang w:val="sk-SK" w:eastAsia="sk-SK"/>
              </w:rPr>
              <w:t>2018</w:t>
            </w:r>
          </w:p>
        </w:tc>
        <w:tc>
          <w:tcPr>
            <w:tcW w:w="116" w:type="pct"/>
            <w:tcBorders>
              <w:top w:val="nil"/>
              <w:left w:val="nil"/>
              <w:bottom w:val="single" w:sz="4" w:space="0" w:color="auto"/>
              <w:right w:val="nil"/>
            </w:tcBorders>
            <w:shd w:val="clear" w:color="auto" w:fill="auto"/>
            <w:vAlign w:val="bottom"/>
            <w:hideMark/>
          </w:tcPr>
          <w:p w14:paraId="7286DA97" w14:textId="77777777" w:rsidR="00F0792F" w:rsidRPr="00226892" w:rsidRDefault="00F0792F">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w:t>
            </w:r>
          </w:p>
        </w:tc>
        <w:tc>
          <w:tcPr>
            <w:tcW w:w="999" w:type="pct"/>
            <w:tcBorders>
              <w:top w:val="nil"/>
              <w:left w:val="nil"/>
              <w:bottom w:val="single" w:sz="4" w:space="0" w:color="auto"/>
              <w:right w:val="nil"/>
            </w:tcBorders>
            <w:shd w:val="clear" w:color="auto" w:fill="auto"/>
            <w:vAlign w:val="bottom"/>
            <w:hideMark/>
          </w:tcPr>
          <w:p w14:paraId="3A7CBC48" w14:textId="760B2328" w:rsidR="00F0792F" w:rsidRPr="00226892" w:rsidRDefault="00F0792F">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63A77" w:rsidRPr="00226892">
              <w:rPr>
                <w:rFonts w:ascii="Arial" w:eastAsia="Times New Roman" w:hAnsi="Arial" w:cs="Arial"/>
                <w:b/>
                <w:bCs/>
                <w:color w:val="000000"/>
                <w:sz w:val="18"/>
                <w:szCs w:val="18"/>
                <w:lang w:val="sk-SK" w:eastAsia="sk-SK"/>
              </w:rPr>
              <w:t>2017</w:t>
            </w:r>
          </w:p>
        </w:tc>
      </w:tr>
      <w:tr w:rsidR="00E6378A" w:rsidRPr="00226892" w14:paraId="72468651" w14:textId="77777777" w:rsidTr="0044577D">
        <w:trPr>
          <w:trHeight w:val="240"/>
        </w:trPr>
        <w:tc>
          <w:tcPr>
            <w:tcW w:w="2691" w:type="pct"/>
            <w:tcBorders>
              <w:top w:val="nil"/>
              <w:left w:val="nil"/>
              <w:bottom w:val="nil"/>
              <w:right w:val="nil"/>
            </w:tcBorders>
            <w:shd w:val="clear" w:color="auto" w:fill="auto"/>
            <w:vAlign w:val="bottom"/>
            <w:hideMark/>
          </w:tcPr>
          <w:p w14:paraId="393E77C3" w14:textId="77777777" w:rsidR="00E6378A" w:rsidRPr="00226892" w:rsidRDefault="00E6378A" w:rsidP="00E6378A">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Záväzky s lehotou splatnosti 1 – 5 rokov</w:t>
            </w:r>
          </w:p>
        </w:tc>
        <w:tc>
          <w:tcPr>
            <w:tcW w:w="99" w:type="pct"/>
            <w:tcBorders>
              <w:top w:val="nil"/>
              <w:left w:val="nil"/>
              <w:bottom w:val="nil"/>
              <w:right w:val="nil"/>
            </w:tcBorders>
            <w:shd w:val="clear" w:color="auto" w:fill="auto"/>
            <w:vAlign w:val="bottom"/>
            <w:hideMark/>
          </w:tcPr>
          <w:p w14:paraId="2C853F25" w14:textId="77777777" w:rsidR="00E6378A" w:rsidRPr="00226892" w:rsidRDefault="00E6378A" w:rsidP="00E6378A">
            <w:pPr>
              <w:rPr>
                <w:rFonts w:ascii="Arial" w:eastAsia="Times New Roman" w:hAnsi="Arial" w:cs="Arial"/>
                <w:color w:val="000000"/>
                <w:sz w:val="18"/>
                <w:szCs w:val="18"/>
                <w:lang w:val="sk-SK" w:eastAsia="sk-SK"/>
              </w:rPr>
            </w:pPr>
          </w:p>
        </w:tc>
        <w:tc>
          <w:tcPr>
            <w:tcW w:w="1095" w:type="pct"/>
            <w:tcBorders>
              <w:top w:val="nil"/>
              <w:left w:val="nil"/>
              <w:bottom w:val="nil"/>
              <w:right w:val="nil"/>
            </w:tcBorders>
            <w:shd w:val="clear" w:color="auto" w:fill="auto"/>
            <w:vAlign w:val="bottom"/>
          </w:tcPr>
          <w:p w14:paraId="0ED436FA" w14:textId="1BFC2FC2" w:rsidR="00E6378A" w:rsidRPr="00226892" w:rsidRDefault="00FA07BB" w:rsidP="00E6378A">
            <w:pPr>
              <w:jc w:val="right"/>
              <w:rPr>
                <w:rFonts w:ascii="Arial" w:eastAsia="Times New Roman" w:hAnsi="Arial" w:cs="Arial"/>
                <w:color w:val="000000"/>
                <w:sz w:val="16"/>
                <w:szCs w:val="16"/>
                <w:lang w:val="sk-SK" w:eastAsia="sk-SK"/>
              </w:rPr>
            </w:pPr>
            <w:r w:rsidRPr="00226892">
              <w:rPr>
                <w:rFonts w:ascii="Arial" w:eastAsia="Times New Roman" w:hAnsi="Arial" w:cs="Arial"/>
                <w:color w:val="000000"/>
                <w:sz w:val="16"/>
                <w:szCs w:val="16"/>
                <w:lang w:val="sk-SK" w:eastAsia="sk-SK"/>
              </w:rPr>
              <w:t>-</w:t>
            </w:r>
          </w:p>
        </w:tc>
        <w:tc>
          <w:tcPr>
            <w:tcW w:w="116" w:type="pct"/>
            <w:tcBorders>
              <w:top w:val="nil"/>
              <w:left w:val="nil"/>
              <w:bottom w:val="nil"/>
              <w:right w:val="nil"/>
            </w:tcBorders>
            <w:shd w:val="clear" w:color="auto" w:fill="auto"/>
            <w:vAlign w:val="bottom"/>
          </w:tcPr>
          <w:p w14:paraId="7E4DC1B3" w14:textId="77777777" w:rsidR="00E6378A" w:rsidRPr="00226892" w:rsidRDefault="00E6378A" w:rsidP="00E6378A">
            <w:pPr>
              <w:jc w:val="right"/>
              <w:rPr>
                <w:rFonts w:ascii="Arial" w:eastAsia="Times New Roman" w:hAnsi="Arial" w:cs="Arial"/>
                <w:color w:val="000000"/>
                <w:sz w:val="16"/>
                <w:szCs w:val="16"/>
                <w:lang w:val="sk-SK" w:eastAsia="sk-SK"/>
              </w:rPr>
            </w:pPr>
          </w:p>
        </w:tc>
        <w:tc>
          <w:tcPr>
            <w:tcW w:w="999" w:type="pct"/>
            <w:tcBorders>
              <w:top w:val="nil"/>
              <w:left w:val="nil"/>
              <w:bottom w:val="nil"/>
              <w:right w:val="nil"/>
            </w:tcBorders>
            <w:shd w:val="clear" w:color="auto" w:fill="auto"/>
            <w:vAlign w:val="bottom"/>
          </w:tcPr>
          <w:p w14:paraId="080CE8AA" w14:textId="64A36212" w:rsidR="00E6378A" w:rsidRPr="00226892" w:rsidRDefault="00FA07BB" w:rsidP="00E6378A">
            <w:pPr>
              <w:jc w:val="right"/>
              <w:rPr>
                <w:rFonts w:ascii="Arial" w:eastAsia="Times New Roman" w:hAnsi="Arial" w:cs="Arial"/>
                <w:color w:val="000000"/>
                <w:sz w:val="18"/>
                <w:szCs w:val="16"/>
                <w:lang w:val="sk-SK" w:eastAsia="sk-SK"/>
              </w:rPr>
            </w:pPr>
            <w:r w:rsidRPr="00226892">
              <w:rPr>
                <w:rFonts w:ascii="Arial" w:eastAsia="Times New Roman" w:hAnsi="Arial" w:cs="Arial"/>
                <w:color w:val="000000"/>
                <w:sz w:val="18"/>
                <w:szCs w:val="16"/>
                <w:lang w:val="sk-SK" w:eastAsia="sk-SK"/>
              </w:rPr>
              <w:t>-</w:t>
            </w:r>
          </w:p>
        </w:tc>
      </w:tr>
      <w:tr w:rsidR="00E6378A" w:rsidRPr="00226892" w14:paraId="546DC0C9" w14:textId="77777777" w:rsidTr="0044577D">
        <w:trPr>
          <w:trHeight w:val="240"/>
        </w:trPr>
        <w:tc>
          <w:tcPr>
            <w:tcW w:w="2691" w:type="pct"/>
            <w:tcBorders>
              <w:top w:val="nil"/>
              <w:left w:val="nil"/>
              <w:bottom w:val="nil"/>
              <w:right w:val="nil"/>
            </w:tcBorders>
            <w:shd w:val="clear" w:color="auto" w:fill="auto"/>
            <w:vAlign w:val="bottom"/>
            <w:hideMark/>
          </w:tcPr>
          <w:p w14:paraId="169BB2FC" w14:textId="77777777" w:rsidR="00E6378A" w:rsidRPr="00226892" w:rsidRDefault="00E6378A" w:rsidP="00E6378A">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Dlhodobé záväzky spolu</w:t>
            </w:r>
          </w:p>
        </w:tc>
        <w:tc>
          <w:tcPr>
            <w:tcW w:w="99" w:type="pct"/>
            <w:tcBorders>
              <w:top w:val="nil"/>
              <w:left w:val="nil"/>
              <w:bottom w:val="nil"/>
              <w:right w:val="nil"/>
            </w:tcBorders>
            <w:shd w:val="clear" w:color="auto" w:fill="auto"/>
            <w:vAlign w:val="bottom"/>
            <w:hideMark/>
          </w:tcPr>
          <w:p w14:paraId="6E2E3434" w14:textId="77777777" w:rsidR="00E6378A" w:rsidRPr="00226892" w:rsidRDefault="00E6378A" w:rsidP="00E6378A">
            <w:pPr>
              <w:rPr>
                <w:rFonts w:ascii="Arial" w:eastAsia="Times New Roman" w:hAnsi="Arial" w:cs="Arial"/>
                <w:b/>
                <w:bCs/>
                <w:color w:val="000000"/>
                <w:sz w:val="18"/>
                <w:szCs w:val="18"/>
                <w:lang w:val="sk-SK" w:eastAsia="sk-SK"/>
              </w:rPr>
            </w:pPr>
          </w:p>
        </w:tc>
        <w:tc>
          <w:tcPr>
            <w:tcW w:w="1095" w:type="pct"/>
            <w:tcBorders>
              <w:top w:val="single" w:sz="4" w:space="0" w:color="auto"/>
              <w:left w:val="nil"/>
              <w:bottom w:val="double" w:sz="6" w:space="0" w:color="auto"/>
              <w:right w:val="nil"/>
            </w:tcBorders>
            <w:shd w:val="clear" w:color="auto" w:fill="auto"/>
            <w:vAlign w:val="bottom"/>
          </w:tcPr>
          <w:p w14:paraId="7D9593BE" w14:textId="34C0D475" w:rsidR="00E6378A" w:rsidRPr="00226892" w:rsidRDefault="00FA07BB" w:rsidP="00E6378A">
            <w:pPr>
              <w:jc w:val="right"/>
              <w:rPr>
                <w:rFonts w:ascii="Arial" w:eastAsia="Times New Roman" w:hAnsi="Arial" w:cs="Arial"/>
                <w:b/>
                <w:bCs/>
                <w:color w:val="000000"/>
                <w:sz w:val="16"/>
                <w:szCs w:val="16"/>
                <w:lang w:val="sk-SK" w:eastAsia="sk-SK"/>
              </w:rPr>
            </w:pPr>
            <w:r w:rsidRPr="00226892">
              <w:rPr>
                <w:rFonts w:ascii="Arial" w:eastAsia="Times New Roman" w:hAnsi="Arial" w:cs="Arial"/>
                <w:b/>
                <w:bCs/>
                <w:color w:val="000000"/>
                <w:sz w:val="16"/>
                <w:szCs w:val="16"/>
                <w:lang w:val="sk-SK" w:eastAsia="sk-SK"/>
              </w:rPr>
              <w:t>-</w:t>
            </w:r>
          </w:p>
        </w:tc>
        <w:tc>
          <w:tcPr>
            <w:tcW w:w="116" w:type="pct"/>
            <w:tcBorders>
              <w:top w:val="nil"/>
              <w:left w:val="nil"/>
              <w:bottom w:val="nil"/>
              <w:right w:val="nil"/>
            </w:tcBorders>
            <w:shd w:val="clear" w:color="auto" w:fill="auto"/>
            <w:vAlign w:val="bottom"/>
          </w:tcPr>
          <w:p w14:paraId="6E51CCBE" w14:textId="77777777" w:rsidR="00E6378A" w:rsidRPr="00226892" w:rsidRDefault="00E6378A" w:rsidP="00E6378A">
            <w:pPr>
              <w:jc w:val="right"/>
              <w:rPr>
                <w:rFonts w:ascii="Arial" w:eastAsia="Times New Roman" w:hAnsi="Arial" w:cs="Arial"/>
                <w:b/>
                <w:bCs/>
                <w:color w:val="000000"/>
                <w:sz w:val="16"/>
                <w:szCs w:val="16"/>
                <w:lang w:val="sk-SK" w:eastAsia="sk-SK"/>
              </w:rPr>
            </w:pPr>
          </w:p>
        </w:tc>
        <w:tc>
          <w:tcPr>
            <w:tcW w:w="999" w:type="pct"/>
            <w:tcBorders>
              <w:top w:val="single" w:sz="4" w:space="0" w:color="auto"/>
              <w:left w:val="nil"/>
              <w:bottom w:val="double" w:sz="6" w:space="0" w:color="auto"/>
              <w:right w:val="nil"/>
            </w:tcBorders>
            <w:shd w:val="clear" w:color="auto" w:fill="auto"/>
            <w:vAlign w:val="bottom"/>
          </w:tcPr>
          <w:p w14:paraId="53288471" w14:textId="6AF63703" w:rsidR="00E6378A" w:rsidRPr="00226892" w:rsidRDefault="00FA07BB" w:rsidP="00E6378A">
            <w:pPr>
              <w:jc w:val="right"/>
              <w:rPr>
                <w:rFonts w:ascii="Arial" w:eastAsia="Times New Roman" w:hAnsi="Arial" w:cs="Arial"/>
                <w:b/>
                <w:bCs/>
                <w:color w:val="000000"/>
                <w:sz w:val="18"/>
                <w:szCs w:val="16"/>
                <w:lang w:val="sk-SK" w:eastAsia="sk-SK"/>
              </w:rPr>
            </w:pPr>
            <w:r w:rsidRPr="00226892">
              <w:rPr>
                <w:rFonts w:ascii="Arial" w:eastAsia="Times New Roman" w:hAnsi="Arial" w:cs="Arial"/>
                <w:b/>
                <w:bCs/>
                <w:color w:val="000000"/>
                <w:sz w:val="18"/>
                <w:szCs w:val="16"/>
                <w:lang w:val="sk-SK" w:eastAsia="sk-SK"/>
              </w:rPr>
              <w:t>-</w:t>
            </w:r>
          </w:p>
        </w:tc>
      </w:tr>
      <w:bookmarkEnd w:id="538"/>
    </w:tbl>
    <w:p w14:paraId="5EA087EB" w14:textId="2E39B5BE" w:rsidR="00BF01B0" w:rsidRPr="00226892" w:rsidRDefault="00BF01B0" w:rsidP="00837450">
      <w:pPr>
        <w:suppressAutoHyphens/>
        <w:jc w:val="both"/>
        <w:rPr>
          <w:rFonts w:ascii="Arial" w:hAnsi="Arial" w:cs="Arial"/>
          <w:sz w:val="18"/>
          <w:szCs w:val="18"/>
        </w:rPr>
      </w:pPr>
    </w:p>
    <w:p w14:paraId="7A0AA39A" w14:textId="033A6E3C" w:rsidR="0027033D" w:rsidRPr="00226892" w:rsidRDefault="00DA5E9D" w:rsidP="00235CDF">
      <w:pPr>
        <w:pStyle w:val="odst"/>
      </w:pPr>
      <w:r w:rsidRPr="00226892">
        <w:t>Účtovná hodnota záväzkov z obchodného styku a iných záväzkov je denominovaná v nasledujúcich menách:</w:t>
      </w:r>
    </w:p>
    <w:p w14:paraId="4721F3F4" w14:textId="0A43B2E5" w:rsidR="00F0792F" w:rsidRPr="00226892" w:rsidRDefault="00F0792F">
      <w:pPr>
        <w:suppressAutoHyphens/>
        <w:rPr>
          <w:rFonts w:ascii="Arial" w:hAnsi="Arial" w:cs="Arial"/>
          <w:sz w:val="18"/>
          <w:szCs w:val="18"/>
        </w:rPr>
      </w:pPr>
      <w:bookmarkStart w:id="539" w:name="FWT_OthPayablesCurrencies"/>
      <w:r w:rsidRPr="00226892">
        <w:rPr>
          <w:rFonts w:ascii="Arial" w:hAnsi="Arial" w:cs="Arial"/>
          <w:sz w:val="18"/>
          <w:szCs w:val="18"/>
        </w:rPr>
        <w:t xml:space="preserve"> </w:t>
      </w:r>
    </w:p>
    <w:tbl>
      <w:tblPr>
        <w:tblW w:w="5000" w:type="pct"/>
        <w:tblCellMar>
          <w:left w:w="70" w:type="dxa"/>
          <w:right w:w="70" w:type="dxa"/>
        </w:tblCellMar>
        <w:tblLook w:val="04A0" w:firstRow="1" w:lastRow="0" w:firstColumn="1" w:lastColumn="0" w:noHBand="0" w:noVBand="1"/>
      </w:tblPr>
      <w:tblGrid>
        <w:gridCol w:w="5187"/>
        <w:gridCol w:w="191"/>
        <w:gridCol w:w="2036"/>
        <w:gridCol w:w="191"/>
        <w:gridCol w:w="2034"/>
      </w:tblGrid>
      <w:tr w:rsidR="00F0792F" w:rsidRPr="00226892" w14:paraId="7DFB8A5C" w14:textId="77777777" w:rsidTr="00756C6D">
        <w:trPr>
          <w:trHeight w:val="240"/>
        </w:trPr>
        <w:tc>
          <w:tcPr>
            <w:tcW w:w="2699" w:type="pct"/>
            <w:tcBorders>
              <w:top w:val="nil"/>
              <w:left w:val="nil"/>
              <w:bottom w:val="single" w:sz="4" w:space="0" w:color="auto"/>
              <w:right w:val="nil"/>
            </w:tcBorders>
            <w:shd w:val="clear" w:color="auto" w:fill="auto"/>
            <w:noWrap/>
            <w:vAlign w:val="bottom"/>
            <w:hideMark/>
          </w:tcPr>
          <w:p w14:paraId="7C989FCB" w14:textId="77777777" w:rsidR="00F0792F" w:rsidRPr="00226892" w:rsidRDefault="00F0792F">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87" w:type="pct"/>
            <w:tcBorders>
              <w:top w:val="nil"/>
              <w:left w:val="nil"/>
              <w:bottom w:val="single" w:sz="4" w:space="0" w:color="auto"/>
              <w:right w:val="nil"/>
            </w:tcBorders>
            <w:shd w:val="clear" w:color="auto" w:fill="auto"/>
            <w:vAlign w:val="bottom"/>
            <w:hideMark/>
          </w:tcPr>
          <w:p w14:paraId="06372BE1" w14:textId="77777777" w:rsidR="00F0792F" w:rsidRPr="00226892" w:rsidRDefault="00F0792F">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064" w:type="pct"/>
            <w:tcBorders>
              <w:top w:val="nil"/>
              <w:left w:val="nil"/>
              <w:bottom w:val="single" w:sz="4" w:space="0" w:color="auto"/>
              <w:right w:val="nil"/>
            </w:tcBorders>
            <w:shd w:val="clear" w:color="auto" w:fill="auto"/>
            <w:vAlign w:val="bottom"/>
            <w:hideMark/>
          </w:tcPr>
          <w:p w14:paraId="0D9B1768" w14:textId="4530D7E0" w:rsidR="00F0792F" w:rsidRPr="00226892" w:rsidRDefault="00F0792F">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D3AC5" w:rsidRPr="00226892">
              <w:rPr>
                <w:rFonts w:ascii="Arial" w:eastAsia="Times New Roman" w:hAnsi="Arial" w:cs="Arial"/>
                <w:b/>
                <w:bCs/>
                <w:color w:val="000000"/>
                <w:sz w:val="18"/>
                <w:szCs w:val="18"/>
                <w:lang w:val="sk-SK" w:eastAsia="sk-SK"/>
              </w:rPr>
              <w:t>2018</w:t>
            </w:r>
          </w:p>
        </w:tc>
        <w:tc>
          <w:tcPr>
            <w:tcW w:w="87" w:type="pct"/>
            <w:tcBorders>
              <w:top w:val="nil"/>
              <w:left w:val="nil"/>
              <w:bottom w:val="single" w:sz="4" w:space="0" w:color="auto"/>
              <w:right w:val="nil"/>
            </w:tcBorders>
            <w:shd w:val="clear" w:color="auto" w:fill="auto"/>
            <w:vAlign w:val="bottom"/>
            <w:hideMark/>
          </w:tcPr>
          <w:p w14:paraId="11DD9AE5" w14:textId="77777777" w:rsidR="00F0792F" w:rsidRPr="00226892" w:rsidRDefault="00F0792F">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w:t>
            </w:r>
          </w:p>
        </w:tc>
        <w:tc>
          <w:tcPr>
            <w:tcW w:w="1064" w:type="pct"/>
            <w:tcBorders>
              <w:top w:val="nil"/>
              <w:left w:val="nil"/>
              <w:bottom w:val="single" w:sz="4" w:space="0" w:color="auto"/>
              <w:right w:val="nil"/>
            </w:tcBorders>
            <w:shd w:val="clear" w:color="auto" w:fill="auto"/>
            <w:vAlign w:val="bottom"/>
            <w:hideMark/>
          </w:tcPr>
          <w:p w14:paraId="7D8BF9D0" w14:textId="28B9EB3C" w:rsidR="00F0792F" w:rsidRPr="00226892" w:rsidRDefault="00F0792F">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63A77" w:rsidRPr="00226892">
              <w:rPr>
                <w:rFonts w:ascii="Arial" w:eastAsia="Times New Roman" w:hAnsi="Arial" w:cs="Arial"/>
                <w:b/>
                <w:bCs/>
                <w:color w:val="000000"/>
                <w:sz w:val="18"/>
                <w:szCs w:val="18"/>
                <w:lang w:val="sk-SK" w:eastAsia="sk-SK"/>
              </w:rPr>
              <w:t>2017</w:t>
            </w:r>
          </w:p>
        </w:tc>
      </w:tr>
      <w:tr w:rsidR="009F2456" w:rsidRPr="00226892" w14:paraId="69488D08" w14:textId="77777777" w:rsidTr="00756C6D">
        <w:trPr>
          <w:trHeight w:val="240"/>
        </w:trPr>
        <w:tc>
          <w:tcPr>
            <w:tcW w:w="2699" w:type="pct"/>
            <w:tcBorders>
              <w:top w:val="nil"/>
              <w:left w:val="nil"/>
              <w:bottom w:val="nil"/>
              <w:right w:val="nil"/>
            </w:tcBorders>
            <w:shd w:val="clear" w:color="auto" w:fill="auto"/>
            <w:noWrap/>
            <w:vAlign w:val="bottom"/>
            <w:hideMark/>
          </w:tcPr>
          <w:p w14:paraId="35F7D78B" w14:textId="77777777"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EUR</w:t>
            </w:r>
          </w:p>
        </w:tc>
        <w:tc>
          <w:tcPr>
            <w:tcW w:w="87" w:type="pct"/>
            <w:tcBorders>
              <w:top w:val="nil"/>
              <w:left w:val="nil"/>
              <w:bottom w:val="nil"/>
              <w:right w:val="nil"/>
            </w:tcBorders>
            <w:shd w:val="clear" w:color="auto" w:fill="auto"/>
            <w:vAlign w:val="bottom"/>
            <w:hideMark/>
          </w:tcPr>
          <w:p w14:paraId="0014CD89" w14:textId="77777777" w:rsidR="009F2456" w:rsidRPr="00226892" w:rsidRDefault="009F2456" w:rsidP="009F2456">
            <w:pPr>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391DB2AC" w14:textId="5C831FC7" w:rsidR="009F2456" w:rsidRPr="00226892" w:rsidRDefault="009F2456" w:rsidP="009F2456">
            <w:pPr>
              <w:jc w:val="right"/>
              <w:rPr>
                <w:rFonts w:ascii="Arial" w:eastAsia="Times New Roman" w:hAnsi="Arial" w:cs="Arial"/>
                <w:color w:val="000000"/>
                <w:sz w:val="18"/>
                <w:szCs w:val="16"/>
                <w:lang w:val="sk-SK" w:eastAsia="sk-SK"/>
              </w:rPr>
            </w:pPr>
            <w:r w:rsidRPr="00226892">
              <w:rPr>
                <w:rFonts w:ascii="Arial" w:eastAsia="Times New Roman" w:hAnsi="Arial" w:cs="Arial"/>
                <w:color w:val="000000"/>
                <w:sz w:val="18"/>
                <w:szCs w:val="16"/>
                <w:lang w:val="sk-SK" w:eastAsia="sk-SK"/>
              </w:rPr>
              <w:t xml:space="preserve">40 </w:t>
            </w:r>
            <w:r w:rsidR="0049047A" w:rsidRPr="00226892">
              <w:rPr>
                <w:rFonts w:ascii="Arial" w:eastAsia="Times New Roman" w:hAnsi="Arial" w:cs="Arial"/>
                <w:color w:val="000000"/>
                <w:sz w:val="18"/>
                <w:szCs w:val="16"/>
                <w:lang w:val="sk-SK" w:eastAsia="sk-SK"/>
              </w:rPr>
              <w:t>368</w:t>
            </w:r>
            <w:r w:rsidRPr="00226892">
              <w:rPr>
                <w:rFonts w:ascii="Arial" w:eastAsia="Times New Roman" w:hAnsi="Arial" w:cs="Arial"/>
                <w:color w:val="000000"/>
                <w:sz w:val="18"/>
                <w:szCs w:val="16"/>
                <w:lang w:val="sk-SK" w:eastAsia="sk-SK"/>
              </w:rPr>
              <w:t xml:space="preserve"> </w:t>
            </w:r>
          </w:p>
        </w:tc>
        <w:tc>
          <w:tcPr>
            <w:tcW w:w="87" w:type="pct"/>
            <w:tcBorders>
              <w:top w:val="nil"/>
              <w:left w:val="nil"/>
              <w:bottom w:val="nil"/>
              <w:right w:val="nil"/>
            </w:tcBorders>
            <w:shd w:val="clear" w:color="auto" w:fill="auto"/>
            <w:vAlign w:val="bottom"/>
          </w:tcPr>
          <w:p w14:paraId="435C4947" w14:textId="77777777" w:rsidR="009F2456" w:rsidRPr="00226892" w:rsidRDefault="009F2456" w:rsidP="009F2456">
            <w:pPr>
              <w:jc w:val="right"/>
              <w:rPr>
                <w:rFonts w:ascii="Arial" w:eastAsia="Times New Roman" w:hAnsi="Arial" w:cs="Arial"/>
                <w:color w:val="000000"/>
                <w:sz w:val="16"/>
                <w:szCs w:val="16"/>
                <w:lang w:val="sk-SK" w:eastAsia="sk-SK"/>
              </w:rPr>
            </w:pPr>
          </w:p>
        </w:tc>
        <w:tc>
          <w:tcPr>
            <w:tcW w:w="1064" w:type="pct"/>
            <w:tcBorders>
              <w:top w:val="nil"/>
              <w:left w:val="nil"/>
              <w:bottom w:val="nil"/>
              <w:right w:val="nil"/>
            </w:tcBorders>
            <w:shd w:val="clear" w:color="auto" w:fill="auto"/>
            <w:vAlign w:val="bottom"/>
          </w:tcPr>
          <w:p w14:paraId="4673F346" w14:textId="3D43CD41" w:rsidR="009F2456" w:rsidRPr="00226892" w:rsidRDefault="009F2456" w:rsidP="009F2456">
            <w:pPr>
              <w:jc w:val="right"/>
              <w:rPr>
                <w:rFonts w:ascii="Arial" w:eastAsia="Times New Roman" w:hAnsi="Arial" w:cs="Arial"/>
                <w:color w:val="000000"/>
                <w:sz w:val="18"/>
                <w:szCs w:val="16"/>
                <w:lang w:val="sk-SK" w:eastAsia="sk-SK"/>
              </w:rPr>
            </w:pPr>
            <w:r w:rsidRPr="00226892">
              <w:rPr>
                <w:rFonts w:ascii="Arial" w:eastAsia="Times New Roman" w:hAnsi="Arial" w:cs="Arial"/>
                <w:color w:val="000000"/>
                <w:sz w:val="18"/>
                <w:szCs w:val="16"/>
                <w:lang w:val="sk-SK" w:eastAsia="sk-SK"/>
              </w:rPr>
              <w:t>30 563</w:t>
            </w:r>
          </w:p>
        </w:tc>
      </w:tr>
      <w:tr w:rsidR="009F2456" w:rsidRPr="00226892" w14:paraId="27CA4CED" w14:textId="77777777" w:rsidTr="00756C6D">
        <w:trPr>
          <w:trHeight w:val="240"/>
        </w:trPr>
        <w:tc>
          <w:tcPr>
            <w:tcW w:w="2699" w:type="pct"/>
            <w:tcBorders>
              <w:top w:val="nil"/>
              <w:left w:val="nil"/>
              <w:bottom w:val="nil"/>
              <w:right w:val="nil"/>
            </w:tcBorders>
            <w:shd w:val="clear" w:color="auto" w:fill="auto"/>
            <w:noWrap/>
            <w:vAlign w:val="bottom"/>
            <w:hideMark/>
          </w:tcPr>
          <w:p w14:paraId="79932F03" w14:textId="5932DF48"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CZK</w:t>
            </w:r>
          </w:p>
        </w:tc>
        <w:tc>
          <w:tcPr>
            <w:tcW w:w="87" w:type="pct"/>
            <w:tcBorders>
              <w:top w:val="nil"/>
              <w:left w:val="nil"/>
              <w:bottom w:val="nil"/>
              <w:right w:val="nil"/>
            </w:tcBorders>
            <w:shd w:val="clear" w:color="auto" w:fill="auto"/>
            <w:vAlign w:val="bottom"/>
            <w:hideMark/>
          </w:tcPr>
          <w:p w14:paraId="1E7F7A3B" w14:textId="77777777" w:rsidR="009F2456" w:rsidRPr="00226892" w:rsidRDefault="009F2456" w:rsidP="009F2456">
            <w:pPr>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1B80F1E4" w14:textId="6D2616BE" w:rsidR="009F2456" w:rsidRPr="00226892" w:rsidRDefault="009F2456" w:rsidP="009F2456">
            <w:pPr>
              <w:jc w:val="right"/>
              <w:rPr>
                <w:rFonts w:ascii="Arial" w:eastAsia="Times New Roman" w:hAnsi="Arial" w:cs="Arial"/>
                <w:color w:val="000000"/>
                <w:sz w:val="18"/>
                <w:szCs w:val="16"/>
                <w:lang w:val="sk-SK" w:eastAsia="sk-SK"/>
              </w:rPr>
            </w:pPr>
            <w:r w:rsidRPr="00226892">
              <w:rPr>
                <w:rFonts w:ascii="Arial" w:eastAsia="Times New Roman" w:hAnsi="Arial" w:cs="Arial"/>
                <w:color w:val="000000"/>
                <w:sz w:val="18"/>
                <w:szCs w:val="16"/>
                <w:lang w:val="sk-SK" w:eastAsia="sk-SK"/>
              </w:rPr>
              <w:t>1 200</w:t>
            </w:r>
          </w:p>
        </w:tc>
        <w:tc>
          <w:tcPr>
            <w:tcW w:w="87" w:type="pct"/>
            <w:tcBorders>
              <w:top w:val="nil"/>
              <w:left w:val="nil"/>
              <w:bottom w:val="nil"/>
              <w:right w:val="nil"/>
            </w:tcBorders>
            <w:shd w:val="clear" w:color="auto" w:fill="auto"/>
            <w:vAlign w:val="bottom"/>
          </w:tcPr>
          <w:p w14:paraId="3CCC841B" w14:textId="77777777" w:rsidR="009F2456" w:rsidRPr="00226892" w:rsidRDefault="009F2456" w:rsidP="009F2456">
            <w:pPr>
              <w:jc w:val="right"/>
              <w:rPr>
                <w:rFonts w:ascii="Arial" w:eastAsia="Times New Roman" w:hAnsi="Arial" w:cs="Arial"/>
                <w:color w:val="000000"/>
                <w:sz w:val="18"/>
                <w:szCs w:val="16"/>
                <w:lang w:val="sk-SK" w:eastAsia="sk-SK"/>
              </w:rPr>
            </w:pPr>
          </w:p>
        </w:tc>
        <w:tc>
          <w:tcPr>
            <w:tcW w:w="1064" w:type="pct"/>
            <w:tcBorders>
              <w:top w:val="nil"/>
              <w:left w:val="nil"/>
              <w:bottom w:val="nil"/>
              <w:right w:val="nil"/>
            </w:tcBorders>
            <w:shd w:val="clear" w:color="auto" w:fill="auto"/>
            <w:vAlign w:val="bottom"/>
          </w:tcPr>
          <w:p w14:paraId="0CF4D634" w14:textId="694378F2" w:rsidR="009F2456" w:rsidRPr="00226892" w:rsidRDefault="009F2456" w:rsidP="009F2456">
            <w:pPr>
              <w:jc w:val="right"/>
              <w:rPr>
                <w:rFonts w:ascii="Arial" w:eastAsia="Times New Roman" w:hAnsi="Arial" w:cs="Arial"/>
                <w:color w:val="000000"/>
                <w:sz w:val="18"/>
                <w:szCs w:val="16"/>
                <w:lang w:val="sk-SK" w:eastAsia="sk-SK"/>
              </w:rPr>
            </w:pPr>
            <w:r w:rsidRPr="00226892">
              <w:rPr>
                <w:rFonts w:ascii="Arial" w:eastAsia="Times New Roman" w:hAnsi="Arial" w:cs="Arial"/>
                <w:color w:val="000000"/>
                <w:sz w:val="18"/>
                <w:szCs w:val="16"/>
                <w:lang w:val="sk-SK" w:eastAsia="sk-SK"/>
              </w:rPr>
              <w:t>1 288</w:t>
            </w:r>
          </w:p>
        </w:tc>
      </w:tr>
      <w:tr w:rsidR="009F2456" w:rsidRPr="00226892" w14:paraId="7BCDEB3D" w14:textId="77777777" w:rsidTr="00756C6D">
        <w:trPr>
          <w:trHeight w:val="240"/>
        </w:trPr>
        <w:tc>
          <w:tcPr>
            <w:tcW w:w="2699" w:type="pct"/>
            <w:tcBorders>
              <w:top w:val="nil"/>
              <w:left w:val="nil"/>
              <w:bottom w:val="nil"/>
              <w:right w:val="nil"/>
            </w:tcBorders>
            <w:shd w:val="clear" w:color="auto" w:fill="auto"/>
            <w:vAlign w:val="bottom"/>
            <w:hideMark/>
          </w:tcPr>
          <w:p w14:paraId="3D7EFA72" w14:textId="77777777" w:rsidR="009F2456" w:rsidRPr="00226892" w:rsidRDefault="009F2456" w:rsidP="009F2456">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Záväzky z obchodného styku a iné záväzky spolu</w:t>
            </w:r>
          </w:p>
        </w:tc>
        <w:tc>
          <w:tcPr>
            <w:tcW w:w="87" w:type="pct"/>
            <w:tcBorders>
              <w:top w:val="nil"/>
              <w:left w:val="nil"/>
              <w:bottom w:val="nil"/>
              <w:right w:val="nil"/>
            </w:tcBorders>
            <w:shd w:val="clear" w:color="auto" w:fill="auto"/>
            <w:vAlign w:val="bottom"/>
            <w:hideMark/>
          </w:tcPr>
          <w:p w14:paraId="4B5ACF90" w14:textId="77777777" w:rsidR="009F2456" w:rsidRPr="00226892" w:rsidRDefault="009F2456" w:rsidP="009F2456">
            <w:pPr>
              <w:rPr>
                <w:rFonts w:ascii="Arial" w:eastAsia="Times New Roman" w:hAnsi="Arial" w:cs="Arial"/>
                <w:b/>
                <w:bCs/>
                <w:color w:val="000000"/>
                <w:sz w:val="18"/>
                <w:szCs w:val="18"/>
                <w:lang w:val="sk-SK" w:eastAsia="sk-SK"/>
              </w:rPr>
            </w:pPr>
          </w:p>
        </w:tc>
        <w:tc>
          <w:tcPr>
            <w:tcW w:w="1064" w:type="pct"/>
            <w:tcBorders>
              <w:top w:val="single" w:sz="4" w:space="0" w:color="auto"/>
              <w:left w:val="nil"/>
              <w:bottom w:val="double" w:sz="6" w:space="0" w:color="auto"/>
              <w:right w:val="nil"/>
            </w:tcBorders>
            <w:shd w:val="clear" w:color="auto" w:fill="auto"/>
            <w:vAlign w:val="bottom"/>
          </w:tcPr>
          <w:p w14:paraId="75D9B395" w14:textId="79D288FB" w:rsidR="009F2456" w:rsidRPr="00226892" w:rsidRDefault="009F2456" w:rsidP="009F2456">
            <w:pPr>
              <w:jc w:val="right"/>
              <w:rPr>
                <w:rFonts w:ascii="Arial" w:eastAsia="Times New Roman" w:hAnsi="Arial" w:cs="Arial"/>
                <w:b/>
                <w:bCs/>
                <w:color w:val="000000"/>
                <w:sz w:val="18"/>
                <w:szCs w:val="16"/>
                <w:lang w:val="sk-SK" w:eastAsia="sk-SK"/>
              </w:rPr>
            </w:pPr>
            <w:r w:rsidRPr="00226892">
              <w:rPr>
                <w:rFonts w:ascii="Arial" w:eastAsia="Times New Roman" w:hAnsi="Arial" w:cs="Arial"/>
                <w:b/>
                <w:bCs/>
                <w:color w:val="000000"/>
                <w:sz w:val="18"/>
                <w:szCs w:val="16"/>
                <w:lang w:val="sk-SK" w:eastAsia="sk-SK"/>
              </w:rPr>
              <w:t xml:space="preserve">41 </w:t>
            </w:r>
            <w:r w:rsidR="0049047A" w:rsidRPr="00226892">
              <w:rPr>
                <w:rFonts w:ascii="Arial" w:eastAsia="Times New Roman" w:hAnsi="Arial" w:cs="Arial"/>
                <w:b/>
                <w:bCs/>
                <w:color w:val="000000"/>
                <w:sz w:val="18"/>
                <w:szCs w:val="16"/>
                <w:lang w:val="sk-SK" w:eastAsia="sk-SK"/>
              </w:rPr>
              <w:t>568</w:t>
            </w:r>
          </w:p>
        </w:tc>
        <w:tc>
          <w:tcPr>
            <w:tcW w:w="87" w:type="pct"/>
            <w:tcBorders>
              <w:top w:val="nil"/>
              <w:left w:val="nil"/>
              <w:bottom w:val="nil"/>
              <w:right w:val="nil"/>
            </w:tcBorders>
            <w:shd w:val="clear" w:color="auto" w:fill="auto"/>
            <w:vAlign w:val="bottom"/>
          </w:tcPr>
          <w:p w14:paraId="3BCB4707" w14:textId="77777777" w:rsidR="009F2456" w:rsidRPr="00226892" w:rsidRDefault="009F2456" w:rsidP="009F2456">
            <w:pPr>
              <w:jc w:val="right"/>
              <w:rPr>
                <w:rFonts w:ascii="Arial" w:eastAsia="Times New Roman" w:hAnsi="Arial" w:cs="Arial"/>
                <w:b/>
                <w:bCs/>
                <w:color w:val="000000"/>
                <w:sz w:val="16"/>
                <w:szCs w:val="16"/>
                <w:lang w:val="sk-SK" w:eastAsia="sk-SK"/>
              </w:rPr>
            </w:pPr>
          </w:p>
        </w:tc>
        <w:tc>
          <w:tcPr>
            <w:tcW w:w="1064" w:type="pct"/>
            <w:tcBorders>
              <w:top w:val="single" w:sz="4" w:space="0" w:color="auto"/>
              <w:left w:val="nil"/>
              <w:bottom w:val="double" w:sz="6" w:space="0" w:color="auto"/>
              <w:right w:val="nil"/>
            </w:tcBorders>
            <w:shd w:val="clear" w:color="auto" w:fill="auto"/>
            <w:vAlign w:val="bottom"/>
          </w:tcPr>
          <w:p w14:paraId="0070A09A" w14:textId="49723EA4" w:rsidR="009F2456" w:rsidRPr="00226892" w:rsidRDefault="009F2456" w:rsidP="009F2456">
            <w:pPr>
              <w:jc w:val="right"/>
              <w:rPr>
                <w:rFonts w:ascii="Arial" w:eastAsia="Times New Roman" w:hAnsi="Arial" w:cs="Arial"/>
                <w:b/>
                <w:bCs/>
                <w:color w:val="000000"/>
                <w:sz w:val="18"/>
                <w:szCs w:val="16"/>
                <w:lang w:val="sk-SK" w:eastAsia="sk-SK"/>
              </w:rPr>
            </w:pPr>
            <w:r w:rsidRPr="00226892">
              <w:rPr>
                <w:rFonts w:ascii="Arial" w:eastAsia="Times New Roman" w:hAnsi="Arial" w:cs="Arial"/>
                <w:b/>
                <w:bCs/>
                <w:color w:val="000000"/>
                <w:sz w:val="18"/>
                <w:szCs w:val="16"/>
                <w:lang w:val="sk-SK" w:eastAsia="sk-SK"/>
              </w:rPr>
              <w:t>31 851</w:t>
            </w:r>
          </w:p>
        </w:tc>
      </w:tr>
      <w:bookmarkEnd w:id="539"/>
    </w:tbl>
    <w:p w14:paraId="205BDF50" w14:textId="77777777" w:rsidR="00BF01B0" w:rsidRPr="00226892" w:rsidRDefault="00BF01B0">
      <w:pPr>
        <w:suppressAutoHyphens/>
        <w:rPr>
          <w:rFonts w:ascii="Arial" w:hAnsi="Arial" w:cs="Arial"/>
          <w:sz w:val="18"/>
          <w:szCs w:val="18"/>
        </w:rPr>
      </w:pPr>
    </w:p>
    <w:p w14:paraId="17BA6CAC" w14:textId="77777777" w:rsidR="006C38F0" w:rsidRPr="00226892" w:rsidRDefault="006C38F0" w:rsidP="00756C6D">
      <w:pPr>
        <w:suppressAutoHyphens/>
        <w:rPr>
          <w:rFonts w:ascii="Arial" w:hAnsi="Arial" w:cs="Arial"/>
          <w:lang w:val="sk-SK"/>
        </w:rPr>
      </w:pPr>
      <w:r w:rsidRPr="00226892">
        <w:rPr>
          <w:rFonts w:ascii="Arial" w:hAnsi="Arial" w:cs="Arial"/>
          <w:lang w:val="sk-SK"/>
        </w:rPr>
        <w:t>Záväzky nie sú kryté záložným právom.</w:t>
      </w:r>
    </w:p>
    <w:p w14:paraId="05CC2994" w14:textId="77777777" w:rsidR="00DA5E9D" w:rsidRPr="00226892" w:rsidRDefault="00DA5E9D" w:rsidP="00756C6D">
      <w:pPr>
        <w:suppressAutoHyphens/>
        <w:rPr>
          <w:rFonts w:ascii="Arial" w:hAnsi="Arial" w:cs="Arial"/>
          <w:sz w:val="16"/>
          <w:szCs w:val="16"/>
          <w:lang w:val="sk-SK"/>
        </w:rPr>
      </w:pPr>
    </w:p>
    <w:p w14:paraId="12C9EC4C" w14:textId="1100BCD4" w:rsidR="00BF01B0" w:rsidRPr="00226892" w:rsidRDefault="00DA5E9D" w:rsidP="00756C6D">
      <w:pPr>
        <w:suppressAutoHyphens/>
        <w:jc w:val="both"/>
        <w:rPr>
          <w:rFonts w:ascii="Arial" w:hAnsi="Arial" w:cs="Arial"/>
          <w:lang w:val="sk-SK"/>
        </w:rPr>
      </w:pPr>
      <w:r w:rsidRPr="00226892">
        <w:rPr>
          <w:rFonts w:ascii="Arial" w:hAnsi="Arial" w:cs="Arial"/>
          <w:lang w:val="sk-SK"/>
        </w:rPr>
        <w:t>Reálna hodnota záväzkov z obchodného styku a iných záväzkov nie je významne odlišná od ich účtovnej hodnoty.</w:t>
      </w:r>
    </w:p>
    <w:p w14:paraId="6458C41D" w14:textId="06BB50EB" w:rsidR="00235CDF" w:rsidRPr="00226892" w:rsidRDefault="00235CDF" w:rsidP="00756C6D">
      <w:pPr>
        <w:suppressAutoHyphens/>
        <w:jc w:val="both"/>
        <w:rPr>
          <w:rFonts w:ascii="Arial" w:hAnsi="Arial" w:cs="Arial"/>
          <w:lang w:val="sk-SK"/>
        </w:rPr>
      </w:pPr>
    </w:p>
    <w:p w14:paraId="5B1BF8D3" w14:textId="0D81345E" w:rsidR="004C79B8" w:rsidRPr="00226892" w:rsidRDefault="004C79B8" w:rsidP="00756C6D">
      <w:pPr>
        <w:suppressAutoHyphens/>
        <w:jc w:val="both"/>
        <w:rPr>
          <w:rFonts w:ascii="Arial" w:hAnsi="Arial" w:cs="Arial"/>
          <w:lang w:val="sk-SK"/>
        </w:rPr>
      </w:pPr>
    </w:p>
    <w:p w14:paraId="6814D247" w14:textId="77777777" w:rsidR="008248DB" w:rsidRPr="00226892" w:rsidRDefault="008248DB">
      <w:pPr>
        <w:rPr>
          <w:rFonts w:ascii="Arial" w:hAnsi="Arial" w:cs="Arial"/>
          <w:lang w:val="sk-SK"/>
        </w:rPr>
      </w:pPr>
    </w:p>
    <w:p w14:paraId="3608933B" w14:textId="77777777" w:rsidR="008248DB" w:rsidRPr="00226892" w:rsidRDefault="008248DB">
      <w:pPr>
        <w:rPr>
          <w:rFonts w:ascii="Arial" w:hAnsi="Arial" w:cs="Arial"/>
          <w:lang w:val="sk-SK"/>
        </w:rPr>
      </w:pPr>
    </w:p>
    <w:p w14:paraId="155C4252" w14:textId="77777777" w:rsidR="008248DB" w:rsidRPr="00226892" w:rsidRDefault="008248DB">
      <w:pPr>
        <w:rPr>
          <w:rFonts w:ascii="Arial" w:hAnsi="Arial" w:cs="Arial"/>
          <w:lang w:val="sk-SK"/>
        </w:rPr>
      </w:pPr>
    </w:p>
    <w:p w14:paraId="47E8BFA1" w14:textId="77777777" w:rsidR="008248DB" w:rsidRPr="00226892" w:rsidRDefault="008248DB">
      <w:pPr>
        <w:rPr>
          <w:rFonts w:ascii="Arial" w:hAnsi="Arial" w:cs="Arial"/>
          <w:lang w:val="sk-SK"/>
        </w:rPr>
      </w:pPr>
    </w:p>
    <w:p w14:paraId="30C2B1E5" w14:textId="470C6113" w:rsidR="00B61C9C" w:rsidRPr="00226892" w:rsidRDefault="00B61C9C">
      <w:pPr>
        <w:rPr>
          <w:rFonts w:ascii="Arial" w:hAnsi="Arial" w:cs="Arial"/>
          <w:lang w:val="sk-SK"/>
        </w:rPr>
      </w:pPr>
      <w:r w:rsidRPr="00226892">
        <w:rPr>
          <w:rFonts w:ascii="Arial" w:hAnsi="Arial" w:cs="Arial"/>
          <w:lang w:val="sk-SK"/>
        </w:rPr>
        <w:br w:type="page"/>
      </w:r>
    </w:p>
    <w:p w14:paraId="13FB40FE" w14:textId="65E13941" w:rsidR="008B7A3C" w:rsidRPr="00226892" w:rsidRDefault="00DA5E9D" w:rsidP="003578C0">
      <w:pPr>
        <w:pStyle w:val="Nadpis3"/>
        <w:keepNext w:val="0"/>
        <w:widowControl/>
        <w:numPr>
          <w:ilvl w:val="0"/>
          <w:numId w:val="34"/>
        </w:numPr>
        <w:tabs>
          <w:tab w:val="clear" w:pos="1069"/>
          <w:tab w:val="num" w:pos="392"/>
        </w:tabs>
        <w:suppressAutoHyphens/>
        <w:spacing w:after="120"/>
        <w:ind w:left="1077" w:hanging="1077"/>
        <w:rPr>
          <w:rFonts w:ascii="Arial" w:hAnsi="Arial" w:cs="Arial"/>
          <w:sz w:val="20"/>
        </w:rPr>
      </w:pPr>
      <w:bookmarkStart w:id="540" w:name="_Toc516654850"/>
      <w:bookmarkStart w:id="541" w:name="_Toc516654851"/>
      <w:bookmarkStart w:id="542" w:name="_Toc326330718"/>
      <w:bookmarkStart w:id="543" w:name="_Toc327260939"/>
      <w:bookmarkStart w:id="544" w:name="_Toc327263414"/>
      <w:bookmarkStart w:id="545" w:name="RANGE!C3:I11"/>
      <w:bookmarkStart w:id="546" w:name="_Toc329090308"/>
      <w:bookmarkStart w:id="547" w:name="_Toc516654852"/>
      <w:bookmarkStart w:id="548" w:name="_Toc516654853"/>
      <w:bookmarkStart w:id="549" w:name="_Toc516654854"/>
      <w:bookmarkStart w:id="550" w:name="_Toc516654855"/>
      <w:bookmarkStart w:id="551" w:name="_Toc516654880"/>
      <w:bookmarkStart w:id="552" w:name="_Toc516654881"/>
      <w:bookmarkStart w:id="553" w:name="_Toc516654882"/>
      <w:bookmarkStart w:id="554" w:name="_Toc516654883"/>
      <w:bookmarkStart w:id="555" w:name="_Toc516654884"/>
      <w:bookmarkStart w:id="556" w:name="_Toc516654909"/>
      <w:bookmarkStart w:id="557" w:name="_Toc516654910"/>
      <w:bookmarkStart w:id="558" w:name="_Toc516654911"/>
      <w:bookmarkStart w:id="559" w:name="_Toc516654912"/>
      <w:bookmarkStart w:id="560" w:name="_Toc516654925"/>
      <w:bookmarkStart w:id="561" w:name="_Toc516654926"/>
      <w:bookmarkStart w:id="562" w:name="_Toc516654939"/>
      <w:bookmarkStart w:id="563" w:name="_Toc516654940"/>
      <w:bookmarkStart w:id="564" w:name="_Toc516654941"/>
      <w:bookmarkStart w:id="565" w:name="_Toc516654942"/>
      <w:bookmarkStart w:id="566" w:name="_Toc516654943"/>
      <w:bookmarkStart w:id="567" w:name="_Toc516654944"/>
      <w:bookmarkStart w:id="568" w:name="_Toc387812516"/>
      <w:bookmarkStart w:id="569" w:name="_Toc2741000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roofErr w:type="spellStart"/>
      <w:r w:rsidRPr="00226892">
        <w:rPr>
          <w:rFonts w:ascii="Arial" w:hAnsi="Arial" w:cs="Arial"/>
          <w:sz w:val="20"/>
        </w:rPr>
        <w:lastRenderedPageBreak/>
        <w:t>Výnosy</w:t>
      </w:r>
      <w:proofErr w:type="spellEnd"/>
      <w:r w:rsidRPr="00226892">
        <w:rPr>
          <w:rFonts w:ascii="Arial" w:hAnsi="Arial" w:cs="Arial"/>
          <w:sz w:val="20"/>
        </w:rPr>
        <w:t xml:space="preserve"> </w:t>
      </w:r>
      <w:proofErr w:type="spellStart"/>
      <w:r w:rsidRPr="00226892">
        <w:rPr>
          <w:rFonts w:ascii="Arial" w:hAnsi="Arial" w:cs="Arial"/>
          <w:sz w:val="20"/>
        </w:rPr>
        <w:t>budúcich</w:t>
      </w:r>
      <w:proofErr w:type="spellEnd"/>
      <w:r w:rsidRPr="00226892">
        <w:rPr>
          <w:rFonts w:ascii="Arial" w:hAnsi="Arial" w:cs="Arial"/>
          <w:sz w:val="20"/>
        </w:rPr>
        <w:t xml:space="preserve"> </w:t>
      </w:r>
      <w:proofErr w:type="spellStart"/>
      <w:r w:rsidRPr="00226892">
        <w:rPr>
          <w:rFonts w:ascii="Arial" w:hAnsi="Arial" w:cs="Arial"/>
          <w:sz w:val="20"/>
        </w:rPr>
        <w:t>období</w:t>
      </w:r>
      <w:bookmarkEnd w:id="568"/>
      <w:bookmarkEnd w:id="569"/>
      <w:proofErr w:type="spellEnd"/>
    </w:p>
    <w:p w14:paraId="6F6CD807" w14:textId="77777777" w:rsidR="008F23F8" w:rsidRPr="00226892" w:rsidRDefault="008F23F8" w:rsidP="00833CC0">
      <w:pPr>
        <w:suppressAutoHyphens/>
        <w:jc w:val="both"/>
        <w:rPr>
          <w:rFonts w:ascii="Arial" w:hAnsi="Arial" w:cs="Arial"/>
          <w:szCs w:val="18"/>
          <w:lang w:val="sk-SK"/>
        </w:rPr>
      </w:pPr>
      <w:bookmarkStart w:id="570" w:name="FWT_DefIncome"/>
      <w:r w:rsidRPr="00226892">
        <w:rPr>
          <w:rFonts w:ascii="Arial" w:hAnsi="Arial" w:cs="Arial"/>
          <w:sz w:val="18"/>
          <w:szCs w:val="18"/>
          <w:lang w:val="sk-SK"/>
        </w:rPr>
        <w:t xml:space="preserve"> </w:t>
      </w:r>
    </w:p>
    <w:tbl>
      <w:tblPr>
        <w:tblW w:w="5000" w:type="pct"/>
        <w:tblCellMar>
          <w:left w:w="70" w:type="dxa"/>
          <w:right w:w="70" w:type="dxa"/>
        </w:tblCellMar>
        <w:tblLook w:val="04A0" w:firstRow="1" w:lastRow="0" w:firstColumn="1" w:lastColumn="0" w:noHBand="0" w:noVBand="1"/>
      </w:tblPr>
      <w:tblGrid>
        <w:gridCol w:w="5197"/>
        <w:gridCol w:w="191"/>
        <w:gridCol w:w="2045"/>
        <w:gridCol w:w="162"/>
        <w:gridCol w:w="2044"/>
      </w:tblGrid>
      <w:tr w:rsidR="008F23F8" w:rsidRPr="00226892" w14:paraId="1A3513A1" w14:textId="77777777" w:rsidTr="00BF78B4">
        <w:trPr>
          <w:trHeight w:val="227"/>
        </w:trPr>
        <w:tc>
          <w:tcPr>
            <w:tcW w:w="2699" w:type="pct"/>
            <w:tcBorders>
              <w:top w:val="nil"/>
              <w:left w:val="nil"/>
              <w:bottom w:val="single" w:sz="4" w:space="0" w:color="auto"/>
              <w:right w:val="nil"/>
            </w:tcBorders>
            <w:shd w:val="clear" w:color="auto" w:fill="auto"/>
            <w:noWrap/>
            <w:vAlign w:val="bottom"/>
            <w:hideMark/>
          </w:tcPr>
          <w:p w14:paraId="3DA87922" w14:textId="77777777" w:rsidR="008F23F8" w:rsidRPr="00226892" w:rsidRDefault="008F23F8" w:rsidP="00833CC0">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87" w:type="pct"/>
            <w:tcBorders>
              <w:top w:val="nil"/>
              <w:left w:val="nil"/>
              <w:bottom w:val="single" w:sz="4" w:space="0" w:color="auto"/>
              <w:right w:val="nil"/>
            </w:tcBorders>
            <w:shd w:val="clear" w:color="auto" w:fill="auto"/>
            <w:vAlign w:val="bottom"/>
            <w:hideMark/>
          </w:tcPr>
          <w:p w14:paraId="033BD91C" w14:textId="77777777" w:rsidR="008F23F8" w:rsidRPr="00226892" w:rsidRDefault="008F23F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064" w:type="pct"/>
            <w:tcBorders>
              <w:top w:val="nil"/>
              <w:left w:val="nil"/>
              <w:bottom w:val="single" w:sz="4" w:space="0" w:color="auto"/>
              <w:right w:val="nil"/>
            </w:tcBorders>
            <w:shd w:val="clear" w:color="auto" w:fill="auto"/>
            <w:vAlign w:val="bottom"/>
            <w:hideMark/>
          </w:tcPr>
          <w:p w14:paraId="2A04ACCA" w14:textId="48ACF4F1" w:rsidR="008F23F8" w:rsidRPr="00226892" w:rsidRDefault="008F23F8" w:rsidP="00BF78B4">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D3AC5" w:rsidRPr="00226892">
              <w:rPr>
                <w:rFonts w:ascii="Arial" w:eastAsia="Times New Roman" w:hAnsi="Arial" w:cs="Arial"/>
                <w:b/>
                <w:bCs/>
                <w:color w:val="000000"/>
                <w:sz w:val="18"/>
                <w:szCs w:val="18"/>
                <w:lang w:val="sk-SK" w:eastAsia="sk-SK"/>
              </w:rPr>
              <w:t>2018</w:t>
            </w:r>
          </w:p>
        </w:tc>
        <w:tc>
          <w:tcPr>
            <w:tcW w:w="87" w:type="pct"/>
            <w:tcBorders>
              <w:top w:val="nil"/>
              <w:left w:val="nil"/>
              <w:bottom w:val="single" w:sz="4" w:space="0" w:color="auto"/>
              <w:right w:val="nil"/>
            </w:tcBorders>
            <w:shd w:val="clear" w:color="auto" w:fill="auto"/>
            <w:vAlign w:val="bottom"/>
            <w:hideMark/>
          </w:tcPr>
          <w:p w14:paraId="10657BE8" w14:textId="56935692" w:rsidR="008F23F8" w:rsidRPr="00226892" w:rsidRDefault="008F23F8" w:rsidP="00BF78B4">
            <w:pPr>
              <w:jc w:val="center"/>
              <w:rPr>
                <w:rFonts w:ascii="Arial" w:eastAsia="Times New Roman" w:hAnsi="Arial" w:cs="Arial"/>
                <w:b/>
                <w:bCs/>
                <w:color w:val="000000"/>
                <w:sz w:val="18"/>
                <w:szCs w:val="18"/>
                <w:lang w:val="sk-SK" w:eastAsia="sk-SK"/>
              </w:rPr>
            </w:pPr>
          </w:p>
        </w:tc>
        <w:tc>
          <w:tcPr>
            <w:tcW w:w="1064" w:type="pct"/>
            <w:tcBorders>
              <w:top w:val="nil"/>
              <w:left w:val="nil"/>
              <w:bottom w:val="single" w:sz="4" w:space="0" w:color="auto"/>
              <w:right w:val="nil"/>
            </w:tcBorders>
            <w:shd w:val="clear" w:color="auto" w:fill="auto"/>
            <w:vAlign w:val="bottom"/>
            <w:hideMark/>
          </w:tcPr>
          <w:p w14:paraId="204F3871" w14:textId="0D149647" w:rsidR="008F23F8" w:rsidRPr="00226892" w:rsidRDefault="008F23F8" w:rsidP="00BF78B4">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31. december </w:t>
            </w:r>
            <w:r w:rsidR="00F63A77" w:rsidRPr="00226892">
              <w:rPr>
                <w:rFonts w:ascii="Arial" w:eastAsia="Times New Roman" w:hAnsi="Arial" w:cs="Arial"/>
                <w:b/>
                <w:bCs/>
                <w:color w:val="000000"/>
                <w:sz w:val="18"/>
                <w:szCs w:val="18"/>
                <w:lang w:val="sk-SK" w:eastAsia="sk-SK"/>
              </w:rPr>
              <w:t>2017</w:t>
            </w:r>
          </w:p>
        </w:tc>
      </w:tr>
      <w:tr w:rsidR="009F2456" w:rsidRPr="00226892" w14:paraId="7AECEC71" w14:textId="77777777" w:rsidTr="00756C6D">
        <w:trPr>
          <w:trHeight w:val="227"/>
        </w:trPr>
        <w:tc>
          <w:tcPr>
            <w:tcW w:w="2699" w:type="pct"/>
            <w:tcBorders>
              <w:top w:val="nil"/>
              <w:left w:val="nil"/>
              <w:bottom w:val="nil"/>
              <w:right w:val="nil"/>
            </w:tcBorders>
            <w:shd w:val="clear" w:color="auto" w:fill="auto"/>
            <w:noWrap/>
            <w:vAlign w:val="bottom"/>
            <w:hideMark/>
          </w:tcPr>
          <w:p w14:paraId="013ED365" w14:textId="13BDBC72"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Dotácie </w:t>
            </w:r>
          </w:p>
        </w:tc>
        <w:tc>
          <w:tcPr>
            <w:tcW w:w="87" w:type="pct"/>
            <w:tcBorders>
              <w:top w:val="nil"/>
              <w:left w:val="nil"/>
              <w:bottom w:val="nil"/>
              <w:right w:val="nil"/>
            </w:tcBorders>
            <w:shd w:val="clear" w:color="auto" w:fill="auto"/>
            <w:vAlign w:val="bottom"/>
            <w:hideMark/>
          </w:tcPr>
          <w:p w14:paraId="62407D3E" w14:textId="77777777" w:rsidR="009F2456" w:rsidRPr="00226892" w:rsidRDefault="009F2456" w:rsidP="009F2456">
            <w:pPr>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5F118C2A" w14:textId="69D5E4B4"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2 481</w:t>
            </w:r>
          </w:p>
        </w:tc>
        <w:tc>
          <w:tcPr>
            <w:tcW w:w="87" w:type="pct"/>
            <w:tcBorders>
              <w:top w:val="nil"/>
              <w:left w:val="nil"/>
              <w:bottom w:val="nil"/>
              <w:right w:val="nil"/>
            </w:tcBorders>
            <w:shd w:val="clear" w:color="auto" w:fill="auto"/>
            <w:vAlign w:val="bottom"/>
          </w:tcPr>
          <w:p w14:paraId="3F3B07FE"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56AE61DB" w14:textId="4DB3AF19"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2 658</w:t>
            </w:r>
          </w:p>
        </w:tc>
      </w:tr>
      <w:tr w:rsidR="009F2456" w:rsidRPr="00226892" w14:paraId="287372C1" w14:textId="77777777" w:rsidTr="00756C6D">
        <w:trPr>
          <w:trHeight w:val="227"/>
        </w:trPr>
        <w:tc>
          <w:tcPr>
            <w:tcW w:w="2699" w:type="pct"/>
            <w:tcBorders>
              <w:top w:val="nil"/>
              <w:left w:val="nil"/>
              <w:bottom w:val="nil"/>
              <w:right w:val="nil"/>
            </w:tcBorders>
            <w:shd w:val="clear" w:color="auto" w:fill="auto"/>
            <w:noWrap/>
            <w:vAlign w:val="bottom"/>
            <w:hideMark/>
          </w:tcPr>
          <w:p w14:paraId="6E379BBE" w14:textId="066C041C" w:rsidR="009F2456" w:rsidRPr="00226892" w:rsidRDefault="009F2456" w:rsidP="009F2456">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Výnosy budúcich období dlhodobé</w:t>
            </w:r>
          </w:p>
        </w:tc>
        <w:tc>
          <w:tcPr>
            <w:tcW w:w="87" w:type="pct"/>
            <w:tcBorders>
              <w:top w:val="nil"/>
              <w:left w:val="nil"/>
              <w:bottom w:val="nil"/>
              <w:right w:val="nil"/>
            </w:tcBorders>
            <w:shd w:val="clear" w:color="auto" w:fill="auto"/>
            <w:vAlign w:val="bottom"/>
            <w:hideMark/>
          </w:tcPr>
          <w:p w14:paraId="665EA90E" w14:textId="77777777" w:rsidR="009F2456" w:rsidRPr="00226892" w:rsidRDefault="009F2456" w:rsidP="009F2456">
            <w:pPr>
              <w:rPr>
                <w:rFonts w:ascii="Arial" w:eastAsia="Times New Roman" w:hAnsi="Arial" w:cs="Arial"/>
                <w:b/>
                <w:bCs/>
                <w:color w:val="000000"/>
                <w:sz w:val="18"/>
                <w:szCs w:val="18"/>
                <w:lang w:val="sk-SK" w:eastAsia="sk-SK"/>
              </w:rPr>
            </w:pPr>
          </w:p>
        </w:tc>
        <w:tc>
          <w:tcPr>
            <w:tcW w:w="1064" w:type="pct"/>
            <w:tcBorders>
              <w:top w:val="single" w:sz="4" w:space="0" w:color="auto"/>
              <w:left w:val="nil"/>
              <w:bottom w:val="double" w:sz="6" w:space="0" w:color="auto"/>
              <w:right w:val="nil"/>
            </w:tcBorders>
            <w:shd w:val="clear" w:color="auto" w:fill="auto"/>
            <w:vAlign w:val="bottom"/>
          </w:tcPr>
          <w:p w14:paraId="5888609E" w14:textId="01512688" w:rsidR="009F2456" w:rsidRPr="00226892" w:rsidRDefault="009F2456" w:rsidP="009F245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2 481</w:t>
            </w:r>
          </w:p>
        </w:tc>
        <w:tc>
          <w:tcPr>
            <w:tcW w:w="87" w:type="pct"/>
            <w:tcBorders>
              <w:top w:val="nil"/>
              <w:left w:val="nil"/>
              <w:bottom w:val="nil"/>
              <w:right w:val="nil"/>
            </w:tcBorders>
            <w:shd w:val="clear" w:color="auto" w:fill="auto"/>
            <w:vAlign w:val="bottom"/>
          </w:tcPr>
          <w:p w14:paraId="02EF61C6" w14:textId="77777777" w:rsidR="009F2456" w:rsidRPr="00226892" w:rsidRDefault="009F2456" w:rsidP="009F2456">
            <w:pPr>
              <w:jc w:val="right"/>
              <w:rPr>
                <w:rFonts w:ascii="Arial" w:eastAsia="Times New Roman" w:hAnsi="Arial" w:cs="Arial"/>
                <w:b/>
                <w:bCs/>
                <w:color w:val="000000"/>
                <w:sz w:val="18"/>
                <w:szCs w:val="18"/>
                <w:lang w:val="sk-SK" w:eastAsia="sk-SK"/>
              </w:rPr>
            </w:pPr>
          </w:p>
        </w:tc>
        <w:tc>
          <w:tcPr>
            <w:tcW w:w="1064" w:type="pct"/>
            <w:tcBorders>
              <w:top w:val="single" w:sz="4" w:space="0" w:color="auto"/>
              <w:left w:val="nil"/>
              <w:bottom w:val="double" w:sz="6" w:space="0" w:color="auto"/>
              <w:right w:val="nil"/>
            </w:tcBorders>
            <w:shd w:val="clear" w:color="auto" w:fill="auto"/>
            <w:vAlign w:val="bottom"/>
          </w:tcPr>
          <w:p w14:paraId="34868A46" w14:textId="5457CA71" w:rsidR="009F2456" w:rsidRPr="00226892" w:rsidRDefault="009F2456" w:rsidP="009F245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2 6</w:t>
            </w:r>
            <w:r w:rsidR="0049047A" w:rsidRPr="00226892">
              <w:rPr>
                <w:rFonts w:ascii="Arial" w:eastAsia="Times New Roman" w:hAnsi="Arial" w:cs="Arial"/>
                <w:b/>
                <w:bCs/>
                <w:color w:val="000000"/>
                <w:sz w:val="18"/>
                <w:szCs w:val="18"/>
                <w:lang w:val="sk-SK" w:eastAsia="sk-SK"/>
              </w:rPr>
              <w:t>58</w:t>
            </w:r>
          </w:p>
        </w:tc>
      </w:tr>
      <w:tr w:rsidR="009F2456" w:rsidRPr="00226892" w14:paraId="705C2F06" w14:textId="77777777" w:rsidTr="00756C6D">
        <w:trPr>
          <w:trHeight w:val="227"/>
        </w:trPr>
        <w:tc>
          <w:tcPr>
            <w:tcW w:w="2699" w:type="pct"/>
            <w:tcBorders>
              <w:top w:val="nil"/>
              <w:left w:val="nil"/>
              <w:bottom w:val="nil"/>
              <w:right w:val="nil"/>
            </w:tcBorders>
            <w:shd w:val="clear" w:color="auto" w:fill="auto"/>
            <w:noWrap/>
            <w:vAlign w:val="bottom"/>
            <w:hideMark/>
          </w:tcPr>
          <w:p w14:paraId="70061FFD" w14:textId="77777777" w:rsidR="009F2456" w:rsidRPr="00226892" w:rsidRDefault="009F2456" w:rsidP="009F2456">
            <w:pPr>
              <w:rPr>
                <w:rFonts w:ascii="Arial" w:eastAsia="Times New Roman" w:hAnsi="Arial" w:cs="Arial"/>
                <w:b/>
                <w:bCs/>
                <w:color w:val="000000"/>
                <w:sz w:val="16"/>
                <w:szCs w:val="16"/>
                <w:lang w:val="sk-SK" w:eastAsia="sk-SK"/>
              </w:rPr>
            </w:pPr>
          </w:p>
        </w:tc>
        <w:tc>
          <w:tcPr>
            <w:tcW w:w="87" w:type="pct"/>
            <w:tcBorders>
              <w:top w:val="nil"/>
              <w:left w:val="nil"/>
              <w:bottom w:val="nil"/>
              <w:right w:val="nil"/>
            </w:tcBorders>
            <w:shd w:val="clear" w:color="auto" w:fill="auto"/>
            <w:vAlign w:val="bottom"/>
            <w:hideMark/>
          </w:tcPr>
          <w:p w14:paraId="360630DC" w14:textId="77777777" w:rsidR="009F2456" w:rsidRPr="00226892" w:rsidRDefault="009F2456" w:rsidP="009F2456">
            <w:pPr>
              <w:rPr>
                <w:rFonts w:ascii="Arial" w:eastAsia="Times New Roman" w:hAnsi="Arial" w:cs="Arial"/>
                <w:lang w:val="sk-SK" w:eastAsia="sk-SK"/>
              </w:rPr>
            </w:pPr>
          </w:p>
        </w:tc>
        <w:tc>
          <w:tcPr>
            <w:tcW w:w="1064" w:type="pct"/>
            <w:tcBorders>
              <w:top w:val="nil"/>
              <w:left w:val="nil"/>
              <w:bottom w:val="nil"/>
              <w:right w:val="nil"/>
            </w:tcBorders>
            <w:shd w:val="clear" w:color="auto" w:fill="auto"/>
            <w:vAlign w:val="bottom"/>
          </w:tcPr>
          <w:p w14:paraId="268D3CD1" w14:textId="77777777" w:rsidR="009F2456" w:rsidRPr="00226892" w:rsidRDefault="009F2456" w:rsidP="009F2456">
            <w:pPr>
              <w:jc w:val="right"/>
              <w:rPr>
                <w:rFonts w:ascii="Arial" w:eastAsia="Times New Roman" w:hAnsi="Arial" w:cs="Arial"/>
                <w:sz w:val="18"/>
                <w:szCs w:val="18"/>
                <w:lang w:val="sk-SK" w:eastAsia="sk-SK"/>
              </w:rPr>
            </w:pPr>
          </w:p>
        </w:tc>
        <w:tc>
          <w:tcPr>
            <w:tcW w:w="87" w:type="pct"/>
            <w:tcBorders>
              <w:top w:val="nil"/>
              <w:left w:val="nil"/>
              <w:bottom w:val="nil"/>
              <w:right w:val="nil"/>
            </w:tcBorders>
            <w:shd w:val="clear" w:color="auto" w:fill="auto"/>
            <w:vAlign w:val="bottom"/>
          </w:tcPr>
          <w:p w14:paraId="1362F00D" w14:textId="77777777" w:rsidR="009F2456" w:rsidRPr="00226892" w:rsidRDefault="009F2456" w:rsidP="009F2456">
            <w:pPr>
              <w:jc w:val="right"/>
              <w:rPr>
                <w:rFonts w:ascii="Arial" w:eastAsia="Times New Roman" w:hAnsi="Arial" w:cs="Arial"/>
                <w:sz w:val="18"/>
                <w:szCs w:val="18"/>
                <w:lang w:val="sk-SK" w:eastAsia="sk-SK"/>
              </w:rPr>
            </w:pPr>
          </w:p>
        </w:tc>
        <w:tc>
          <w:tcPr>
            <w:tcW w:w="1064" w:type="pct"/>
            <w:tcBorders>
              <w:top w:val="nil"/>
              <w:left w:val="nil"/>
              <w:bottom w:val="nil"/>
              <w:right w:val="nil"/>
            </w:tcBorders>
            <w:shd w:val="clear" w:color="auto" w:fill="auto"/>
            <w:vAlign w:val="bottom"/>
          </w:tcPr>
          <w:p w14:paraId="559FD932" w14:textId="77777777" w:rsidR="009F2456" w:rsidRPr="00226892" w:rsidRDefault="009F2456" w:rsidP="009F2456">
            <w:pPr>
              <w:jc w:val="right"/>
              <w:rPr>
                <w:rFonts w:ascii="Arial" w:eastAsia="Times New Roman" w:hAnsi="Arial" w:cs="Arial"/>
                <w:sz w:val="18"/>
                <w:szCs w:val="18"/>
                <w:lang w:val="sk-SK" w:eastAsia="sk-SK"/>
              </w:rPr>
            </w:pPr>
          </w:p>
        </w:tc>
      </w:tr>
      <w:tr w:rsidR="009F2456" w:rsidRPr="00226892" w14:paraId="1108F5C4" w14:textId="77777777" w:rsidTr="00756C6D">
        <w:trPr>
          <w:trHeight w:val="227"/>
        </w:trPr>
        <w:tc>
          <w:tcPr>
            <w:tcW w:w="2699" w:type="pct"/>
            <w:tcBorders>
              <w:top w:val="nil"/>
              <w:left w:val="nil"/>
              <w:bottom w:val="nil"/>
              <w:right w:val="nil"/>
            </w:tcBorders>
            <w:shd w:val="clear" w:color="auto" w:fill="auto"/>
            <w:noWrap/>
            <w:vAlign w:val="bottom"/>
            <w:hideMark/>
          </w:tcPr>
          <w:p w14:paraId="468AFAE3" w14:textId="70F32153"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Dotácie </w:t>
            </w:r>
          </w:p>
        </w:tc>
        <w:tc>
          <w:tcPr>
            <w:tcW w:w="87" w:type="pct"/>
            <w:tcBorders>
              <w:top w:val="nil"/>
              <w:left w:val="nil"/>
              <w:bottom w:val="nil"/>
              <w:right w:val="nil"/>
            </w:tcBorders>
            <w:shd w:val="clear" w:color="auto" w:fill="auto"/>
            <w:vAlign w:val="bottom"/>
            <w:hideMark/>
          </w:tcPr>
          <w:p w14:paraId="5CC7A164" w14:textId="77777777" w:rsidR="009F2456" w:rsidRPr="00226892" w:rsidRDefault="009F2456" w:rsidP="009F2456">
            <w:pPr>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71876BBE" w14:textId="29437D0C"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293</w:t>
            </w:r>
          </w:p>
        </w:tc>
        <w:tc>
          <w:tcPr>
            <w:tcW w:w="87" w:type="pct"/>
            <w:tcBorders>
              <w:top w:val="nil"/>
              <w:left w:val="nil"/>
              <w:bottom w:val="nil"/>
              <w:right w:val="nil"/>
            </w:tcBorders>
            <w:shd w:val="clear" w:color="auto" w:fill="auto"/>
            <w:vAlign w:val="bottom"/>
          </w:tcPr>
          <w:p w14:paraId="733D3FDF"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0FC844ED" w14:textId="1D20F41D"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585</w:t>
            </w:r>
          </w:p>
        </w:tc>
      </w:tr>
      <w:tr w:rsidR="009F2456" w:rsidRPr="00226892" w14:paraId="38BA58E2" w14:textId="77777777" w:rsidTr="00756C6D">
        <w:trPr>
          <w:trHeight w:val="227"/>
        </w:trPr>
        <w:tc>
          <w:tcPr>
            <w:tcW w:w="2699" w:type="pct"/>
            <w:tcBorders>
              <w:top w:val="nil"/>
              <w:left w:val="nil"/>
              <w:bottom w:val="nil"/>
              <w:right w:val="nil"/>
            </w:tcBorders>
            <w:shd w:val="clear" w:color="auto" w:fill="auto"/>
            <w:noWrap/>
            <w:vAlign w:val="bottom"/>
            <w:hideMark/>
          </w:tcPr>
          <w:p w14:paraId="1B84ED8C" w14:textId="087018BD"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Ostatné výnosy budúcich období - nástroje</w:t>
            </w:r>
          </w:p>
        </w:tc>
        <w:tc>
          <w:tcPr>
            <w:tcW w:w="87" w:type="pct"/>
            <w:tcBorders>
              <w:top w:val="nil"/>
              <w:left w:val="nil"/>
              <w:bottom w:val="nil"/>
              <w:right w:val="nil"/>
            </w:tcBorders>
            <w:shd w:val="clear" w:color="auto" w:fill="auto"/>
            <w:vAlign w:val="bottom"/>
            <w:hideMark/>
          </w:tcPr>
          <w:p w14:paraId="5599CAC8" w14:textId="77777777" w:rsidR="009F2456" w:rsidRPr="00226892" w:rsidRDefault="009F2456" w:rsidP="009F2456">
            <w:pPr>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080539F8" w14:textId="1441C7F4"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87" w:type="pct"/>
            <w:tcBorders>
              <w:top w:val="nil"/>
              <w:left w:val="nil"/>
              <w:bottom w:val="nil"/>
              <w:right w:val="nil"/>
            </w:tcBorders>
            <w:shd w:val="clear" w:color="auto" w:fill="auto"/>
            <w:vAlign w:val="bottom"/>
          </w:tcPr>
          <w:p w14:paraId="4B8D945E"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1181B99C" w14:textId="3AA09B71"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4 291</w:t>
            </w:r>
          </w:p>
        </w:tc>
      </w:tr>
      <w:tr w:rsidR="009F2456" w:rsidRPr="00226892" w14:paraId="5136AD64" w14:textId="77777777" w:rsidTr="00756C6D">
        <w:trPr>
          <w:trHeight w:val="227"/>
        </w:trPr>
        <w:tc>
          <w:tcPr>
            <w:tcW w:w="2699" w:type="pct"/>
            <w:tcBorders>
              <w:top w:val="nil"/>
              <w:left w:val="nil"/>
              <w:bottom w:val="nil"/>
              <w:right w:val="nil"/>
            </w:tcBorders>
            <w:shd w:val="clear" w:color="auto" w:fill="auto"/>
            <w:vAlign w:val="bottom"/>
            <w:hideMark/>
          </w:tcPr>
          <w:p w14:paraId="5FF0AD51" w14:textId="1864D512" w:rsidR="009F2456" w:rsidRPr="00226892" w:rsidRDefault="009F2456" w:rsidP="009F2456">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Výnosy budúcich období krátkodobé</w:t>
            </w:r>
          </w:p>
        </w:tc>
        <w:tc>
          <w:tcPr>
            <w:tcW w:w="87" w:type="pct"/>
            <w:tcBorders>
              <w:top w:val="nil"/>
              <w:left w:val="nil"/>
              <w:bottom w:val="nil"/>
              <w:right w:val="nil"/>
            </w:tcBorders>
            <w:shd w:val="clear" w:color="auto" w:fill="auto"/>
            <w:vAlign w:val="bottom"/>
            <w:hideMark/>
          </w:tcPr>
          <w:p w14:paraId="2F35E6C0" w14:textId="77777777" w:rsidR="009F2456" w:rsidRPr="00226892" w:rsidRDefault="009F2456" w:rsidP="009F2456">
            <w:pPr>
              <w:rPr>
                <w:rFonts w:ascii="Arial" w:eastAsia="Times New Roman" w:hAnsi="Arial" w:cs="Arial"/>
                <w:b/>
                <w:bCs/>
                <w:color w:val="000000"/>
                <w:sz w:val="18"/>
                <w:szCs w:val="18"/>
                <w:lang w:val="sk-SK" w:eastAsia="sk-SK"/>
              </w:rPr>
            </w:pPr>
          </w:p>
        </w:tc>
        <w:tc>
          <w:tcPr>
            <w:tcW w:w="1064" w:type="pct"/>
            <w:tcBorders>
              <w:top w:val="single" w:sz="4" w:space="0" w:color="auto"/>
              <w:left w:val="nil"/>
              <w:bottom w:val="double" w:sz="6" w:space="0" w:color="auto"/>
              <w:right w:val="nil"/>
            </w:tcBorders>
            <w:shd w:val="clear" w:color="auto" w:fill="auto"/>
            <w:vAlign w:val="bottom"/>
          </w:tcPr>
          <w:p w14:paraId="41E223EC" w14:textId="3E781E4C" w:rsidR="009F2456" w:rsidRPr="00226892" w:rsidRDefault="009F2456" w:rsidP="009F245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293</w:t>
            </w:r>
          </w:p>
        </w:tc>
        <w:tc>
          <w:tcPr>
            <w:tcW w:w="87" w:type="pct"/>
            <w:tcBorders>
              <w:top w:val="nil"/>
              <w:left w:val="nil"/>
              <w:bottom w:val="nil"/>
              <w:right w:val="nil"/>
            </w:tcBorders>
            <w:shd w:val="clear" w:color="auto" w:fill="auto"/>
            <w:vAlign w:val="bottom"/>
          </w:tcPr>
          <w:p w14:paraId="1B88FC37" w14:textId="77777777" w:rsidR="009F2456" w:rsidRPr="00226892" w:rsidRDefault="009F2456" w:rsidP="009F2456">
            <w:pPr>
              <w:jc w:val="right"/>
              <w:rPr>
                <w:rFonts w:ascii="Arial" w:eastAsia="Times New Roman" w:hAnsi="Arial" w:cs="Arial"/>
                <w:b/>
                <w:bCs/>
                <w:color w:val="000000"/>
                <w:sz w:val="18"/>
                <w:szCs w:val="18"/>
                <w:lang w:val="sk-SK" w:eastAsia="sk-SK"/>
              </w:rPr>
            </w:pPr>
          </w:p>
        </w:tc>
        <w:tc>
          <w:tcPr>
            <w:tcW w:w="1064" w:type="pct"/>
            <w:tcBorders>
              <w:top w:val="single" w:sz="4" w:space="0" w:color="auto"/>
              <w:left w:val="nil"/>
              <w:bottom w:val="double" w:sz="6" w:space="0" w:color="auto"/>
              <w:right w:val="nil"/>
            </w:tcBorders>
            <w:shd w:val="clear" w:color="auto" w:fill="auto"/>
            <w:vAlign w:val="bottom"/>
          </w:tcPr>
          <w:p w14:paraId="71407789" w14:textId="212F1C7B" w:rsidR="009F2456" w:rsidRPr="00226892" w:rsidRDefault="009F2456" w:rsidP="009F245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4 876</w:t>
            </w:r>
          </w:p>
        </w:tc>
      </w:tr>
    </w:tbl>
    <w:p w14:paraId="3B30F3BB" w14:textId="0DD21A52" w:rsidR="00B25EB9" w:rsidRPr="00226892" w:rsidRDefault="008F23F8" w:rsidP="00833CC0">
      <w:pPr>
        <w:suppressAutoHyphens/>
        <w:jc w:val="both"/>
        <w:rPr>
          <w:rFonts w:ascii="Arial" w:hAnsi="Arial" w:cs="Arial"/>
          <w:szCs w:val="18"/>
          <w:lang w:val="sk-SK"/>
        </w:rPr>
      </w:pPr>
      <w:r w:rsidRPr="00226892">
        <w:rPr>
          <w:rFonts w:ascii="Arial" w:hAnsi="Arial" w:cs="Arial"/>
          <w:sz w:val="18"/>
          <w:szCs w:val="18"/>
          <w:lang w:val="sk-SK"/>
        </w:rPr>
        <w:t xml:space="preserve"> </w:t>
      </w:r>
      <w:bookmarkEnd w:id="570"/>
      <w:r w:rsidRPr="00226892">
        <w:rPr>
          <w:rFonts w:ascii="Arial" w:hAnsi="Arial" w:cs="Arial"/>
          <w:sz w:val="18"/>
          <w:szCs w:val="18"/>
          <w:lang w:val="sk-SK"/>
        </w:rPr>
        <w:t xml:space="preserve"> </w:t>
      </w:r>
    </w:p>
    <w:p w14:paraId="35E9A8D3" w14:textId="603294EC" w:rsidR="007D3433" w:rsidRPr="00226892" w:rsidRDefault="007D3433" w:rsidP="00756C6D">
      <w:pPr>
        <w:jc w:val="both"/>
        <w:rPr>
          <w:rFonts w:ascii="Arial" w:hAnsi="Arial" w:cs="Arial"/>
          <w:lang w:val="sk-SK"/>
        </w:rPr>
      </w:pPr>
      <w:r w:rsidRPr="00226892">
        <w:rPr>
          <w:rFonts w:ascii="Arial" w:hAnsi="Arial" w:cs="Arial"/>
          <w:lang w:val="sk-SK"/>
        </w:rPr>
        <w:t xml:space="preserve">Zostatok na účte výnosov budúcich období vo výške </w:t>
      </w:r>
      <w:r w:rsidR="009F2456" w:rsidRPr="00226892">
        <w:rPr>
          <w:rFonts w:ascii="Arial" w:hAnsi="Arial" w:cs="Arial"/>
          <w:lang w:val="sk-SK"/>
        </w:rPr>
        <w:t>2 481</w:t>
      </w:r>
      <w:r w:rsidR="0047552E" w:rsidRPr="00226892">
        <w:rPr>
          <w:rFonts w:ascii="Arial" w:hAnsi="Arial" w:cs="Arial"/>
          <w:lang w:val="sk-SK"/>
        </w:rPr>
        <w:t xml:space="preserve"> tis.</w:t>
      </w:r>
      <w:r w:rsidRPr="00226892">
        <w:rPr>
          <w:rFonts w:ascii="Arial" w:hAnsi="Arial" w:cs="Arial"/>
          <w:lang w:val="sk-SK"/>
        </w:rPr>
        <w:t xml:space="preserve"> EUR</w:t>
      </w:r>
      <w:r w:rsidR="0047552E" w:rsidRPr="00226892">
        <w:rPr>
          <w:rFonts w:ascii="Arial" w:hAnsi="Arial" w:cs="Arial"/>
          <w:lang w:val="sk-SK"/>
        </w:rPr>
        <w:t xml:space="preserve"> </w:t>
      </w:r>
      <w:r w:rsidRPr="00226892">
        <w:rPr>
          <w:rFonts w:ascii="Arial" w:hAnsi="Arial" w:cs="Arial"/>
          <w:lang w:val="sk-SK"/>
        </w:rPr>
        <w:t>- dlhodobá časť</w:t>
      </w:r>
      <w:r w:rsidR="0047552E" w:rsidRPr="00226892">
        <w:rPr>
          <w:rFonts w:ascii="Arial" w:hAnsi="Arial" w:cs="Arial"/>
          <w:lang w:val="sk-SK"/>
        </w:rPr>
        <w:t xml:space="preserve"> (</w:t>
      </w:r>
      <w:r w:rsidR="009F2456" w:rsidRPr="00226892">
        <w:rPr>
          <w:rFonts w:ascii="Arial" w:hAnsi="Arial" w:cs="Arial"/>
          <w:lang w:val="sk-SK"/>
        </w:rPr>
        <w:t xml:space="preserve">2 658 </w:t>
      </w:r>
      <w:r w:rsidR="0047552E" w:rsidRPr="00226892">
        <w:rPr>
          <w:rFonts w:ascii="Arial" w:hAnsi="Arial" w:cs="Arial"/>
          <w:lang w:val="sk-SK"/>
        </w:rPr>
        <w:t xml:space="preserve"> tis. EUR k 31. decembru </w:t>
      </w:r>
      <w:r w:rsidR="00F63A77" w:rsidRPr="00226892">
        <w:rPr>
          <w:rFonts w:ascii="Arial" w:hAnsi="Arial" w:cs="Arial"/>
          <w:lang w:val="sk-SK"/>
        </w:rPr>
        <w:t>2017</w:t>
      </w:r>
      <w:r w:rsidR="0047552E" w:rsidRPr="00226892">
        <w:rPr>
          <w:rFonts w:ascii="Arial" w:hAnsi="Arial" w:cs="Arial"/>
          <w:lang w:val="sk-SK"/>
        </w:rPr>
        <w:t>)</w:t>
      </w:r>
      <w:r w:rsidRPr="00226892">
        <w:rPr>
          <w:rFonts w:ascii="Arial" w:hAnsi="Arial" w:cs="Arial"/>
          <w:lang w:val="sk-SK"/>
        </w:rPr>
        <w:t xml:space="preserve"> a</w:t>
      </w:r>
      <w:r w:rsidR="0047552E" w:rsidRPr="00226892">
        <w:rPr>
          <w:rFonts w:ascii="Arial" w:hAnsi="Arial" w:cs="Arial"/>
          <w:lang w:val="sk-SK"/>
        </w:rPr>
        <w:t> </w:t>
      </w:r>
      <w:r w:rsidR="009F2456" w:rsidRPr="00226892">
        <w:rPr>
          <w:rFonts w:ascii="Arial" w:hAnsi="Arial" w:cs="Arial"/>
          <w:lang w:val="sk-SK"/>
        </w:rPr>
        <w:t xml:space="preserve">293 </w:t>
      </w:r>
      <w:r w:rsidR="0047552E" w:rsidRPr="00226892">
        <w:rPr>
          <w:rFonts w:ascii="Arial" w:hAnsi="Arial" w:cs="Arial"/>
          <w:lang w:val="sk-SK"/>
        </w:rPr>
        <w:t>tis.</w:t>
      </w:r>
      <w:r w:rsidRPr="00226892">
        <w:rPr>
          <w:rFonts w:ascii="Arial" w:hAnsi="Arial" w:cs="Arial"/>
          <w:lang w:val="sk-SK"/>
        </w:rPr>
        <w:t xml:space="preserve"> EUR – krátkod</w:t>
      </w:r>
      <w:r w:rsidR="00C64EFD" w:rsidRPr="00226892">
        <w:rPr>
          <w:rFonts w:ascii="Arial" w:hAnsi="Arial" w:cs="Arial"/>
          <w:lang w:val="sk-SK"/>
        </w:rPr>
        <w:t xml:space="preserve">obá časť k 31.decembru </w:t>
      </w:r>
      <w:r w:rsidR="00FD3AC5" w:rsidRPr="00226892">
        <w:rPr>
          <w:rFonts w:ascii="Arial" w:hAnsi="Arial" w:cs="Arial"/>
          <w:lang w:val="sk-SK"/>
        </w:rPr>
        <w:t>2018</w:t>
      </w:r>
      <w:r w:rsidR="00C64EFD" w:rsidRPr="00226892">
        <w:rPr>
          <w:rFonts w:ascii="Arial" w:hAnsi="Arial" w:cs="Arial"/>
          <w:lang w:val="sk-SK"/>
        </w:rPr>
        <w:t xml:space="preserve"> (</w:t>
      </w:r>
      <w:r w:rsidR="009F2456" w:rsidRPr="00226892">
        <w:rPr>
          <w:rFonts w:ascii="Arial" w:hAnsi="Arial" w:cs="Arial"/>
          <w:lang w:val="sk-SK"/>
        </w:rPr>
        <w:t>585</w:t>
      </w:r>
      <w:r w:rsidR="0047552E" w:rsidRPr="00226892">
        <w:rPr>
          <w:rFonts w:ascii="Arial" w:hAnsi="Arial" w:cs="Arial"/>
          <w:lang w:val="sk-SK"/>
        </w:rPr>
        <w:t xml:space="preserve"> tis. EUR</w:t>
      </w:r>
      <w:r w:rsidRPr="00226892">
        <w:rPr>
          <w:rFonts w:ascii="Arial" w:hAnsi="Arial" w:cs="Arial"/>
          <w:lang w:val="sk-SK"/>
        </w:rPr>
        <w:t xml:space="preserve"> k 31.decembru </w:t>
      </w:r>
      <w:r w:rsidR="00F63A77" w:rsidRPr="00226892">
        <w:rPr>
          <w:rFonts w:ascii="Arial" w:hAnsi="Arial" w:cs="Arial"/>
          <w:lang w:val="sk-SK"/>
        </w:rPr>
        <w:t>2017</w:t>
      </w:r>
      <w:r w:rsidRPr="00226892">
        <w:rPr>
          <w:rFonts w:ascii="Arial" w:hAnsi="Arial" w:cs="Arial"/>
          <w:lang w:val="sk-SK"/>
        </w:rPr>
        <w:t>) je po rozpustení časti dotácie oproti odpisom dlhodobého hmotného majetku, na ktorý bola dotácia poskytnutá a ktorý bol počas finančného roka obstaraný a zaradený do používania.</w:t>
      </w:r>
    </w:p>
    <w:p w14:paraId="0F87FFB3" w14:textId="6F6937F6" w:rsidR="005020AA" w:rsidRPr="00226892" w:rsidRDefault="005020AA" w:rsidP="007D3433">
      <w:pPr>
        <w:ind w:left="425"/>
        <w:jc w:val="both"/>
        <w:rPr>
          <w:rFonts w:ascii="Arial" w:hAnsi="Arial" w:cs="Arial"/>
          <w:lang w:val="sk-SK"/>
        </w:rPr>
      </w:pPr>
    </w:p>
    <w:tbl>
      <w:tblPr>
        <w:tblW w:w="5000" w:type="pct"/>
        <w:tblCellMar>
          <w:left w:w="70" w:type="dxa"/>
          <w:right w:w="70" w:type="dxa"/>
        </w:tblCellMar>
        <w:tblLook w:val="04A0" w:firstRow="1" w:lastRow="0" w:firstColumn="1" w:lastColumn="0" w:noHBand="0" w:noVBand="1"/>
      </w:tblPr>
      <w:tblGrid>
        <w:gridCol w:w="7231"/>
        <w:gridCol w:w="281"/>
        <w:gridCol w:w="995"/>
        <w:gridCol w:w="162"/>
        <w:gridCol w:w="970"/>
      </w:tblGrid>
      <w:tr w:rsidR="005020AA" w:rsidRPr="00226892" w14:paraId="3A17050E" w14:textId="77777777" w:rsidTr="00BF78B4">
        <w:trPr>
          <w:trHeight w:val="227"/>
        </w:trPr>
        <w:tc>
          <w:tcPr>
            <w:tcW w:w="3750" w:type="pct"/>
            <w:tcBorders>
              <w:top w:val="nil"/>
              <w:left w:val="nil"/>
              <w:bottom w:val="single" w:sz="4" w:space="0" w:color="auto"/>
              <w:right w:val="nil"/>
            </w:tcBorders>
            <w:shd w:val="clear" w:color="auto" w:fill="auto"/>
            <w:noWrap/>
            <w:vAlign w:val="bottom"/>
            <w:hideMark/>
          </w:tcPr>
          <w:p w14:paraId="125F3523" w14:textId="77777777" w:rsidR="005020AA" w:rsidRPr="00226892" w:rsidRDefault="005020AA" w:rsidP="005020AA">
            <w:pPr>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 </w:t>
            </w:r>
          </w:p>
        </w:tc>
        <w:tc>
          <w:tcPr>
            <w:tcW w:w="146" w:type="pct"/>
            <w:tcBorders>
              <w:top w:val="nil"/>
              <w:left w:val="nil"/>
              <w:bottom w:val="single" w:sz="4" w:space="0" w:color="auto"/>
              <w:right w:val="nil"/>
            </w:tcBorders>
            <w:shd w:val="clear" w:color="auto" w:fill="auto"/>
            <w:vAlign w:val="bottom"/>
            <w:hideMark/>
          </w:tcPr>
          <w:p w14:paraId="69862A1F" w14:textId="77777777" w:rsidR="005020AA" w:rsidRPr="00226892" w:rsidRDefault="005020AA" w:rsidP="005020AA">
            <w:pPr>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 </w:t>
            </w:r>
          </w:p>
        </w:tc>
        <w:tc>
          <w:tcPr>
            <w:tcW w:w="516" w:type="pct"/>
            <w:tcBorders>
              <w:top w:val="nil"/>
              <w:left w:val="nil"/>
              <w:bottom w:val="single" w:sz="4" w:space="0" w:color="auto"/>
              <w:right w:val="nil"/>
            </w:tcBorders>
            <w:shd w:val="clear" w:color="auto" w:fill="auto"/>
            <w:vAlign w:val="bottom"/>
            <w:hideMark/>
          </w:tcPr>
          <w:p w14:paraId="5B0AE01F" w14:textId="3424ABA2" w:rsidR="005020AA" w:rsidRPr="00226892" w:rsidRDefault="005020AA" w:rsidP="00BF78B4">
            <w:pPr>
              <w:jc w:val="center"/>
              <w:rPr>
                <w:rFonts w:ascii="Arial" w:eastAsia="Times New Roman" w:hAnsi="Arial" w:cs="Arial"/>
                <w:b/>
                <w:bCs/>
                <w:color w:val="000000"/>
                <w:sz w:val="18"/>
                <w:szCs w:val="18"/>
                <w:lang w:eastAsia="sk-SK"/>
              </w:rPr>
            </w:pPr>
            <w:r w:rsidRPr="00226892">
              <w:rPr>
                <w:rFonts w:ascii="Arial" w:eastAsia="Times New Roman" w:hAnsi="Arial" w:cs="Arial"/>
                <w:b/>
                <w:bCs/>
                <w:color w:val="000000"/>
                <w:sz w:val="18"/>
                <w:szCs w:val="18"/>
                <w:lang w:eastAsia="sk-SK"/>
              </w:rPr>
              <w:t>2018</w:t>
            </w:r>
          </w:p>
        </w:tc>
        <w:tc>
          <w:tcPr>
            <w:tcW w:w="84" w:type="pct"/>
            <w:tcBorders>
              <w:top w:val="nil"/>
              <w:left w:val="nil"/>
              <w:bottom w:val="single" w:sz="4" w:space="0" w:color="auto"/>
              <w:right w:val="nil"/>
            </w:tcBorders>
            <w:shd w:val="clear" w:color="auto" w:fill="auto"/>
            <w:vAlign w:val="bottom"/>
            <w:hideMark/>
          </w:tcPr>
          <w:p w14:paraId="4B44DE93" w14:textId="6D6CF1AF" w:rsidR="005020AA" w:rsidRPr="00226892" w:rsidRDefault="005020AA" w:rsidP="00BF78B4">
            <w:pPr>
              <w:jc w:val="center"/>
              <w:rPr>
                <w:rFonts w:ascii="Arial" w:eastAsia="Times New Roman" w:hAnsi="Arial" w:cs="Arial"/>
                <w:b/>
                <w:bCs/>
                <w:color w:val="000000"/>
                <w:sz w:val="18"/>
                <w:szCs w:val="18"/>
                <w:lang w:eastAsia="sk-SK"/>
              </w:rPr>
            </w:pPr>
          </w:p>
        </w:tc>
        <w:tc>
          <w:tcPr>
            <w:tcW w:w="503" w:type="pct"/>
            <w:tcBorders>
              <w:top w:val="nil"/>
              <w:left w:val="nil"/>
              <w:bottom w:val="single" w:sz="4" w:space="0" w:color="auto"/>
              <w:right w:val="nil"/>
            </w:tcBorders>
            <w:shd w:val="clear" w:color="auto" w:fill="auto"/>
            <w:vAlign w:val="bottom"/>
            <w:hideMark/>
          </w:tcPr>
          <w:p w14:paraId="2C1B9B06" w14:textId="05837810" w:rsidR="005020AA" w:rsidRPr="00226892" w:rsidRDefault="005020AA" w:rsidP="00BF78B4">
            <w:pPr>
              <w:jc w:val="center"/>
              <w:rPr>
                <w:rFonts w:ascii="Arial" w:eastAsia="Times New Roman" w:hAnsi="Arial" w:cs="Arial"/>
                <w:b/>
                <w:bCs/>
                <w:color w:val="000000"/>
                <w:sz w:val="18"/>
                <w:szCs w:val="18"/>
                <w:lang w:eastAsia="sk-SK"/>
              </w:rPr>
            </w:pPr>
            <w:r w:rsidRPr="00226892">
              <w:rPr>
                <w:rFonts w:ascii="Arial" w:eastAsia="Times New Roman" w:hAnsi="Arial" w:cs="Arial"/>
                <w:b/>
                <w:bCs/>
                <w:color w:val="000000"/>
                <w:sz w:val="18"/>
                <w:szCs w:val="18"/>
                <w:lang w:eastAsia="sk-SK"/>
              </w:rPr>
              <w:t>2017</w:t>
            </w:r>
          </w:p>
        </w:tc>
      </w:tr>
      <w:tr w:rsidR="005020AA" w:rsidRPr="00226892" w14:paraId="5A5F2515" w14:textId="77777777" w:rsidTr="00BF78B4">
        <w:trPr>
          <w:trHeight w:val="227"/>
        </w:trPr>
        <w:tc>
          <w:tcPr>
            <w:tcW w:w="3750" w:type="pct"/>
            <w:tcBorders>
              <w:top w:val="single" w:sz="4" w:space="0" w:color="auto"/>
              <w:left w:val="nil"/>
              <w:bottom w:val="nil"/>
              <w:right w:val="nil"/>
            </w:tcBorders>
            <w:shd w:val="clear" w:color="auto" w:fill="auto"/>
            <w:noWrap/>
            <w:vAlign w:val="bottom"/>
          </w:tcPr>
          <w:p w14:paraId="2029B5B1" w14:textId="77777777" w:rsidR="005020AA" w:rsidRPr="00226892" w:rsidRDefault="005020AA" w:rsidP="005020AA">
            <w:pPr>
              <w:rPr>
                <w:rFonts w:ascii="Arial" w:eastAsia="Times New Roman" w:hAnsi="Arial" w:cs="Arial"/>
                <w:b/>
                <w:bCs/>
                <w:color w:val="000000"/>
                <w:sz w:val="18"/>
                <w:szCs w:val="18"/>
                <w:lang w:eastAsia="sk-SK"/>
              </w:rPr>
            </w:pPr>
            <w:proofErr w:type="spellStart"/>
            <w:r w:rsidRPr="00226892">
              <w:rPr>
                <w:rFonts w:ascii="Arial" w:eastAsia="Times New Roman" w:hAnsi="Arial" w:cs="Arial"/>
                <w:b/>
                <w:bCs/>
                <w:color w:val="000000"/>
                <w:sz w:val="18"/>
                <w:szCs w:val="18"/>
                <w:lang w:eastAsia="sk-SK"/>
              </w:rPr>
              <w:t>Počiatočný</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stav</w:t>
            </w:r>
            <w:proofErr w:type="spellEnd"/>
            <w:r w:rsidRPr="00226892">
              <w:rPr>
                <w:rFonts w:ascii="Arial" w:eastAsia="Times New Roman" w:hAnsi="Arial" w:cs="Arial"/>
                <w:b/>
                <w:bCs/>
                <w:color w:val="000000"/>
                <w:sz w:val="18"/>
                <w:szCs w:val="18"/>
                <w:lang w:eastAsia="sk-SK"/>
              </w:rPr>
              <w:t xml:space="preserve"> k 1.1.</w:t>
            </w:r>
          </w:p>
        </w:tc>
        <w:tc>
          <w:tcPr>
            <w:tcW w:w="146" w:type="pct"/>
            <w:tcBorders>
              <w:top w:val="single" w:sz="4" w:space="0" w:color="auto"/>
              <w:left w:val="nil"/>
              <w:bottom w:val="nil"/>
              <w:right w:val="nil"/>
            </w:tcBorders>
            <w:shd w:val="clear" w:color="auto" w:fill="auto"/>
            <w:vAlign w:val="bottom"/>
          </w:tcPr>
          <w:p w14:paraId="7B2C0557" w14:textId="77777777" w:rsidR="005020AA" w:rsidRPr="00226892" w:rsidRDefault="005020AA" w:rsidP="005020AA">
            <w:pPr>
              <w:rPr>
                <w:rFonts w:ascii="Arial" w:eastAsia="Times New Roman" w:hAnsi="Arial" w:cs="Arial"/>
                <w:b/>
                <w:bCs/>
                <w:color w:val="000000"/>
                <w:sz w:val="18"/>
                <w:szCs w:val="18"/>
                <w:lang w:eastAsia="sk-SK"/>
              </w:rPr>
            </w:pPr>
          </w:p>
        </w:tc>
        <w:tc>
          <w:tcPr>
            <w:tcW w:w="516" w:type="pct"/>
            <w:tcBorders>
              <w:top w:val="single" w:sz="4" w:space="0" w:color="auto"/>
              <w:left w:val="nil"/>
              <w:bottom w:val="nil"/>
              <w:right w:val="nil"/>
            </w:tcBorders>
            <w:shd w:val="clear" w:color="auto" w:fill="auto"/>
            <w:vAlign w:val="bottom"/>
          </w:tcPr>
          <w:p w14:paraId="62D5C3BA" w14:textId="64311499" w:rsidR="005020AA" w:rsidRPr="00226892" w:rsidRDefault="005020AA" w:rsidP="005020AA">
            <w:pPr>
              <w:jc w:val="right"/>
              <w:rPr>
                <w:rFonts w:ascii="Arial" w:eastAsia="Times New Roman" w:hAnsi="Arial" w:cs="Arial"/>
                <w:b/>
                <w:bCs/>
                <w:color w:val="000000"/>
                <w:sz w:val="18"/>
                <w:szCs w:val="18"/>
                <w:lang w:eastAsia="sk-SK"/>
              </w:rPr>
            </w:pPr>
            <w:r w:rsidRPr="00226892">
              <w:rPr>
                <w:rFonts w:ascii="Arial" w:eastAsia="Times New Roman" w:hAnsi="Arial" w:cs="Arial"/>
                <w:b/>
                <w:bCs/>
                <w:color w:val="000000"/>
                <w:sz w:val="18"/>
                <w:szCs w:val="18"/>
                <w:lang w:eastAsia="sk-SK"/>
              </w:rPr>
              <w:t>3 243</w:t>
            </w:r>
          </w:p>
        </w:tc>
        <w:tc>
          <w:tcPr>
            <w:tcW w:w="84" w:type="pct"/>
            <w:tcBorders>
              <w:top w:val="single" w:sz="4" w:space="0" w:color="auto"/>
              <w:left w:val="nil"/>
              <w:bottom w:val="nil"/>
              <w:right w:val="nil"/>
            </w:tcBorders>
            <w:shd w:val="clear" w:color="auto" w:fill="auto"/>
            <w:vAlign w:val="bottom"/>
          </w:tcPr>
          <w:p w14:paraId="3DC2B0C7" w14:textId="77777777" w:rsidR="005020AA" w:rsidRPr="00226892" w:rsidRDefault="005020AA" w:rsidP="005020AA">
            <w:pPr>
              <w:jc w:val="right"/>
              <w:rPr>
                <w:rFonts w:ascii="Arial" w:eastAsia="Times New Roman" w:hAnsi="Arial" w:cs="Arial"/>
                <w:b/>
                <w:bCs/>
                <w:color w:val="000000"/>
                <w:sz w:val="18"/>
                <w:szCs w:val="18"/>
                <w:lang w:eastAsia="sk-SK"/>
              </w:rPr>
            </w:pPr>
          </w:p>
        </w:tc>
        <w:tc>
          <w:tcPr>
            <w:tcW w:w="503" w:type="pct"/>
            <w:tcBorders>
              <w:top w:val="single" w:sz="4" w:space="0" w:color="auto"/>
              <w:left w:val="nil"/>
              <w:bottom w:val="nil"/>
              <w:right w:val="nil"/>
            </w:tcBorders>
            <w:shd w:val="clear" w:color="auto" w:fill="auto"/>
            <w:vAlign w:val="bottom"/>
          </w:tcPr>
          <w:p w14:paraId="7104A5F2" w14:textId="168EB2EA" w:rsidR="005020AA" w:rsidRPr="00226892" w:rsidRDefault="005020AA" w:rsidP="005020AA">
            <w:pPr>
              <w:jc w:val="right"/>
              <w:rPr>
                <w:rFonts w:ascii="Arial" w:eastAsia="Times New Roman" w:hAnsi="Arial" w:cs="Arial"/>
                <w:b/>
                <w:bCs/>
                <w:color w:val="000000"/>
                <w:sz w:val="18"/>
                <w:szCs w:val="18"/>
                <w:lang w:eastAsia="sk-SK"/>
              </w:rPr>
            </w:pPr>
            <w:r w:rsidRPr="00226892">
              <w:rPr>
                <w:rFonts w:ascii="Arial" w:eastAsia="Times New Roman" w:hAnsi="Arial" w:cs="Arial"/>
                <w:b/>
                <w:bCs/>
                <w:color w:val="000000"/>
                <w:sz w:val="18"/>
                <w:szCs w:val="18"/>
                <w:lang w:eastAsia="sk-SK"/>
              </w:rPr>
              <w:t>3 731</w:t>
            </w:r>
          </w:p>
        </w:tc>
      </w:tr>
      <w:tr w:rsidR="005020AA" w:rsidRPr="00226892" w14:paraId="3FEB3A07" w14:textId="77777777" w:rsidTr="00BF78B4">
        <w:trPr>
          <w:trHeight w:val="227"/>
        </w:trPr>
        <w:tc>
          <w:tcPr>
            <w:tcW w:w="3750" w:type="pct"/>
            <w:tcBorders>
              <w:left w:val="nil"/>
              <w:right w:val="nil"/>
            </w:tcBorders>
            <w:shd w:val="clear" w:color="auto" w:fill="auto"/>
            <w:noWrap/>
            <w:vAlign w:val="bottom"/>
          </w:tcPr>
          <w:p w14:paraId="0F1E6D53" w14:textId="77777777" w:rsidR="005020AA" w:rsidRPr="00226892" w:rsidRDefault="005020AA" w:rsidP="005020AA">
            <w:pPr>
              <w:rPr>
                <w:rFonts w:ascii="Arial" w:eastAsia="Times New Roman" w:hAnsi="Arial" w:cs="Arial"/>
                <w:color w:val="000000"/>
                <w:sz w:val="18"/>
                <w:szCs w:val="18"/>
                <w:lang w:eastAsia="sk-SK"/>
              </w:rPr>
            </w:pPr>
            <w:proofErr w:type="spellStart"/>
            <w:r w:rsidRPr="00226892">
              <w:rPr>
                <w:rFonts w:ascii="Arial" w:eastAsia="Times New Roman" w:hAnsi="Arial" w:cs="Arial"/>
                <w:color w:val="000000"/>
                <w:sz w:val="18"/>
                <w:szCs w:val="18"/>
                <w:lang w:eastAsia="sk-SK"/>
              </w:rPr>
              <w:t>Pridelenie</w:t>
            </w:r>
            <w:proofErr w:type="spellEnd"/>
            <w:r w:rsidRPr="00226892">
              <w:rPr>
                <w:rFonts w:ascii="Arial" w:eastAsia="Times New Roman" w:hAnsi="Arial" w:cs="Arial"/>
                <w:color w:val="000000"/>
                <w:sz w:val="18"/>
                <w:szCs w:val="18"/>
                <w:lang w:eastAsia="sk-SK"/>
              </w:rPr>
              <w:t xml:space="preserve"> </w:t>
            </w:r>
            <w:proofErr w:type="spellStart"/>
            <w:r w:rsidRPr="00226892">
              <w:rPr>
                <w:rFonts w:ascii="Arial" w:eastAsia="Times New Roman" w:hAnsi="Arial" w:cs="Arial"/>
                <w:color w:val="000000"/>
                <w:sz w:val="18"/>
                <w:szCs w:val="18"/>
                <w:lang w:eastAsia="sk-SK"/>
              </w:rPr>
              <w:t>nových</w:t>
            </w:r>
            <w:proofErr w:type="spellEnd"/>
            <w:r w:rsidRPr="00226892">
              <w:rPr>
                <w:rFonts w:ascii="Arial" w:eastAsia="Times New Roman" w:hAnsi="Arial" w:cs="Arial"/>
                <w:color w:val="000000"/>
                <w:sz w:val="18"/>
                <w:szCs w:val="18"/>
                <w:lang w:eastAsia="sk-SK"/>
              </w:rPr>
              <w:t xml:space="preserve"> </w:t>
            </w:r>
            <w:proofErr w:type="spellStart"/>
            <w:r w:rsidRPr="00226892">
              <w:rPr>
                <w:rFonts w:ascii="Arial" w:eastAsia="Times New Roman" w:hAnsi="Arial" w:cs="Arial"/>
                <w:color w:val="000000"/>
                <w:sz w:val="18"/>
                <w:szCs w:val="18"/>
                <w:lang w:eastAsia="sk-SK"/>
              </w:rPr>
              <w:t>dotácií</w:t>
            </w:r>
            <w:proofErr w:type="spellEnd"/>
          </w:p>
        </w:tc>
        <w:tc>
          <w:tcPr>
            <w:tcW w:w="146" w:type="pct"/>
            <w:tcBorders>
              <w:left w:val="nil"/>
              <w:right w:val="nil"/>
            </w:tcBorders>
            <w:shd w:val="clear" w:color="auto" w:fill="auto"/>
            <w:vAlign w:val="bottom"/>
          </w:tcPr>
          <w:p w14:paraId="1D54C2B3" w14:textId="77777777" w:rsidR="005020AA" w:rsidRPr="00226892" w:rsidRDefault="005020AA" w:rsidP="005020AA">
            <w:pPr>
              <w:rPr>
                <w:rFonts w:ascii="Arial" w:eastAsia="Times New Roman" w:hAnsi="Arial" w:cs="Arial"/>
                <w:color w:val="000000"/>
                <w:sz w:val="18"/>
                <w:szCs w:val="18"/>
                <w:lang w:eastAsia="sk-SK"/>
              </w:rPr>
            </w:pPr>
          </w:p>
        </w:tc>
        <w:tc>
          <w:tcPr>
            <w:tcW w:w="516" w:type="pct"/>
            <w:tcBorders>
              <w:left w:val="nil"/>
              <w:right w:val="nil"/>
            </w:tcBorders>
            <w:shd w:val="clear" w:color="auto" w:fill="auto"/>
            <w:vAlign w:val="bottom"/>
          </w:tcPr>
          <w:p w14:paraId="57BE13AF" w14:textId="77777777" w:rsidR="005020AA" w:rsidRPr="00226892" w:rsidRDefault="005020AA"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w:t>
            </w:r>
          </w:p>
        </w:tc>
        <w:tc>
          <w:tcPr>
            <w:tcW w:w="84" w:type="pct"/>
            <w:tcBorders>
              <w:left w:val="nil"/>
              <w:right w:val="nil"/>
            </w:tcBorders>
            <w:shd w:val="clear" w:color="auto" w:fill="auto"/>
            <w:vAlign w:val="bottom"/>
          </w:tcPr>
          <w:p w14:paraId="3206056E" w14:textId="77777777" w:rsidR="005020AA" w:rsidRPr="00226892" w:rsidRDefault="005020AA" w:rsidP="005020AA">
            <w:pPr>
              <w:jc w:val="right"/>
              <w:rPr>
                <w:rFonts w:ascii="Arial" w:eastAsia="Times New Roman" w:hAnsi="Arial" w:cs="Arial"/>
                <w:color w:val="000000"/>
                <w:sz w:val="18"/>
                <w:szCs w:val="18"/>
                <w:lang w:eastAsia="sk-SK"/>
              </w:rPr>
            </w:pPr>
          </w:p>
        </w:tc>
        <w:tc>
          <w:tcPr>
            <w:tcW w:w="503" w:type="pct"/>
            <w:tcBorders>
              <w:left w:val="nil"/>
              <w:right w:val="nil"/>
            </w:tcBorders>
            <w:shd w:val="clear" w:color="auto" w:fill="auto"/>
            <w:vAlign w:val="bottom"/>
          </w:tcPr>
          <w:p w14:paraId="2C0B132C" w14:textId="722A6404" w:rsidR="005020AA" w:rsidRPr="00226892" w:rsidRDefault="005020AA" w:rsidP="005020AA">
            <w:pPr>
              <w:jc w:val="right"/>
              <w:rPr>
                <w:rFonts w:ascii="Arial" w:eastAsia="Times New Roman" w:hAnsi="Arial" w:cs="Arial"/>
                <w:color w:val="000000"/>
                <w:sz w:val="18"/>
                <w:szCs w:val="18"/>
                <w:lang w:eastAsia="sk-SK"/>
              </w:rPr>
            </w:pPr>
            <w:r w:rsidRPr="00226892">
              <w:rPr>
                <w:rFonts w:ascii="Arial" w:eastAsia="Times New Roman" w:hAnsi="Arial" w:cs="Arial"/>
                <w:color w:val="000000"/>
                <w:sz w:val="18"/>
                <w:szCs w:val="18"/>
                <w:lang w:eastAsia="sk-SK"/>
              </w:rPr>
              <w:t>-</w:t>
            </w:r>
          </w:p>
        </w:tc>
      </w:tr>
      <w:tr w:rsidR="005020AA" w:rsidRPr="00226892" w14:paraId="5148A55E" w14:textId="77777777" w:rsidTr="00BF78B4">
        <w:trPr>
          <w:trHeight w:val="227"/>
        </w:trPr>
        <w:tc>
          <w:tcPr>
            <w:tcW w:w="3750" w:type="pct"/>
            <w:tcBorders>
              <w:top w:val="nil"/>
              <w:left w:val="nil"/>
              <w:bottom w:val="nil"/>
              <w:right w:val="nil"/>
            </w:tcBorders>
            <w:shd w:val="clear" w:color="auto" w:fill="auto"/>
            <w:noWrap/>
            <w:vAlign w:val="bottom"/>
          </w:tcPr>
          <w:p w14:paraId="3E1DFD7A" w14:textId="77777777" w:rsidR="005020AA" w:rsidRPr="00226892" w:rsidRDefault="005020AA" w:rsidP="005020AA">
            <w:pPr>
              <w:rPr>
                <w:rFonts w:ascii="Arial" w:eastAsia="Times New Roman" w:hAnsi="Arial" w:cs="Arial"/>
                <w:color w:val="000000"/>
                <w:sz w:val="18"/>
                <w:szCs w:val="18"/>
                <w:lang w:eastAsia="sk-SK"/>
              </w:rPr>
            </w:pPr>
            <w:proofErr w:type="spellStart"/>
            <w:r w:rsidRPr="00226892">
              <w:rPr>
                <w:rFonts w:ascii="Arial" w:eastAsia="Times New Roman" w:hAnsi="Arial" w:cs="Arial"/>
                <w:color w:val="000000"/>
                <w:sz w:val="18"/>
                <w:szCs w:val="18"/>
                <w:lang w:eastAsia="sk-SK"/>
              </w:rPr>
              <w:t>Odúčtovanie</w:t>
            </w:r>
            <w:proofErr w:type="spellEnd"/>
            <w:r w:rsidRPr="00226892">
              <w:rPr>
                <w:rFonts w:ascii="Arial" w:eastAsia="Times New Roman" w:hAnsi="Arial" w:cs="Arial"/>
                <w:color w:val="000000"/>
                <w:sz w:val="18"/>
                <w:szCs w:val="18"/>
                <w:lang w:eastAsia="sk-SK"/>
              </w:rPr>
              <w:t xml:space="preserve"> do </w:t>
            </w:r>
            <w:proofErr w:type="spellStart"/>
            <w:r w:rsidRPr="00226892">
              <w:rPr>
                <w:rFonts w:ascii="Arial" w:eastAsia="Times New Roman" w:hAnsi="Arial" w:cs="Arial"/>
                <w:color w:val="000000"/>
                <w:sz w:val="18"/>
                <w:szCs w:val="18"/>
                <w:lang w:eastAsia="sk-SK"/>
              </w:rPr>
              <w:t>výnosov</w:t>
            </w:r>
            <w:proofErr w:type="spellEnd"/>
            <w:r w:rsidRPr="00226892">
              <w:rPr>
                <w:rFonts w:ascii="Arial" w:eastAsia="Times New Roman" w:hAnsi="Arial" w:cs="Arial"/>
                <w:color w:val="000000"/>
                <w:sz w:val="18"/>
                <w:szCs w:val="18"/>
                <w:lang w:eastAsia="sk-SK"/>
              </w:rPr>
              <w:t xml:space="preserve"> </w:t>
            </w:r>
            <w:proofErr w:type="spellStart"/>
            <w:r w:rsidRPr="00226892">
              <w:rPr>
                <w:rFonts w:ascii="Arial" w:eastAsia="Times New Roman" w:hAnsi="Arial" w:cs="Arial"/>
                <w:color w:val="000000"/>
                <w:sz w:val="18"/>
                <w:szCs w:val="18"/>
                <w:lang w:eastAsia="sk-SK"/>
              </w:rPr>
              <w:t>oproti</w:t>
            </w:r>
            <w:proofErr w:type="spellEnd"/>
            <w:r w:rsidRPr="00226892">
              <w:rPr>
                <w:rFonts w:ascii="Arial" w:eastAsia="Times New Roman" w:hAnsi="Arial" w:cs="Arial"/>
                <w:color w:val="000000"/>
                <w:sz w:val="18"/>
                <w:szCs w:val="18"/>
                <w:lang w:eastAsia="sk-SK"/>
              </w:rPr>
              <w:t xml:space="preserve"> </w:t>
            </w:r>
            <w:proofErr w:type="spellStart"/>
            <w:r w:rsidRPr="00226892">
              <w:rPr>
                <w:rFonts w:ascii="Arial" w:eastAsia="Times New Roman" w:hAnsi="Arial" w:cs="Arial"/>
                <w:color w:val="000000"/>
                <w:sz w:val="18"/>
                <w:szCs w:val="18"/>
                <w:lang w:eastAsia="sk-SK"/>
              </w:rPr>
              <w:t>odpisom</w:t>
            </w:r>
            <w:proofErr w:type="spellEnd"/>
            <w:r w:rsidRPr="00226892">
              <w:rPr>
                <w:rFonts w:ascii="Arial" w:eastAsia="Times New Roman" w:hAnsi="Arial" w:cs="Arial"/>
                <w:color w:val="000000"/>
                <w:sz w:val="18"/>
                <w:szCs w:val="18"/>
                <w:lang w:eastAsia="sk-SK"/>
              </w:rPr>
              <w:t xml:space="preserve"> </w:t>
            </w:r>
            <w:proofErr w:type="spellStart"/>
            <w:r w:rsidRPr="00226892">
              <w:rPr>
                <w:rFonts w:ascii="Arial" w:eastAsia="Times New Roman" w:hAnsi="Arial" w:cs="Arial"/>
                <w:color w:val="000000"/>
                <w:sz w:val="18"/>
                <w:szCs w:val="18"/>
                <w:lang w:eastAsia="sk-SK"/>
              </w:rPr>
              <w:t>dlhodobého</w:t>
            </w:r>
            <w:proofErr w:type="spellEnd"/>
            <w:r w:rsidRPr="00226892">
              <w:rPr>
                <w:rFonts w:ascii="Arial" w:eastAsia="Times New Roman" w:hAnsi="Arial" w:cs="Arial"/>
                <w:color w:val="000000"/>
                <w:sz w:val="18"/>
                <w:szCs w:val="18"/>
                <w:lang w:eastAsia="sk-SK"/>
              </w:rPr>
              <w:t xml:space="preserve"> </w:t>
            </w:r>
            <w:proofErr w:type="spellStart"/>
            <w:r w:rsidRPr="00226892">
              <w:rPr>
                <w:rFonts w:ascii="Arial" w:eastAsia="Times New Roman" w:hAnsi="Arial" w:cs="Arial"/>
                <w:color w:val="000000"/>
                <w:sz w:val="18"/>
                <w:szCs w:val="18"/>
                <w:lang w:eastAsia="sk-SK"/>
              </w:rPr>
              <w:t>hmotného</w:t>
            </w:r>
            <w:proofErr w:type="spellEnd"/>
            <w:r w:rsidRPr="00226892">
              <w:rPr>
                <w:rFonts w:ascii="Arial" w:eastAsia="Times New Roman" w:hAnsi="Arial" w:cs="Arial"/>
                <w:color w:val="000000"/>
                <w:sz w:val="18"/>
                <w:szCs w:val="18"/>
                <w:lang w:eastAsia="sk-SK"/>
              </w:rPr>
              <w:t xml:space="preserve"> </w:t>
            </w:r>
            <w:proofErr w:type="spellStart"/>
            <w:r w:rsidRPr="00226892">
              <w:rPr>
                <w:rFonts w:ascii="Arial" w:eastAsia="Times New Roman" w:hAnsi="Arial" w:cs="Arial"/>
                <w:color w:val="000000"/>
                <w:sz w:val="18"/>
                <w:szCs w:val="18"/>
                <w:lang w:eastAsia="sk-SK"/>
              </w:rPr>
              <w:t>majetku</w:t>
            </w:r>
            <w:proofErr w:type="spellEnd"/>
            <w:r w:rsidRPr="00226892">
              <w:rPr>
                <w:rFonts w:ascii="Arial" w:eastAsia="Times New Roman" w:hAnsi="Arial" w:cs="Arial"/>
                <w:color w:val="000000"/>
                <w:sz w:val="18"/>
                <w:szCs w:val="18"/>
                <w:lang w:eastAsia="sk-SK"/>
              </w:rPr>
              <w:t xml:space="preserve"> (</w:t>
            </w:r>
            <w:proofErr w:type="spellStart"/>
            <w:r w:rsidRPr="00226892">
              <w:rPr>
                <w:rFonts w:ascii="Arial" w:eastAsia="Times New Roman" w:hAnsi="Arial" w:cs="Arial"/>
                <w:color w:val="000000"/>
                <w:sz w:val="18"/>
                <w:szCs w:val="18"/>
                <w:lang w:eastAsia="sk-SK"/>
              </w:rPr>
              <w:t>Pozn</w:t>
            </w:r>
            <w:proofErr w:type="spellEnd"/>
            <w:r w:rsidRPr="00226892">
              <w:rPr>
                <w:rFonts w:ascii="Arial" w:eastAsia="Times New Roman" w:hAnsi="Arial" w:cs="Arial"/>
                <w:color w:val="000000"/>
                <w:sz w:val="18"/>
                <w:szCs w:val="18"/>
                <w:lang w:eastAsia="sk-SK"/>
              </w:rPr>
              <w:t>. 21)</w:t>
            </w:r>
          </w:p>
        </w:tc>
        <w:tc>
          <w:tcPr>
            <w:tcW w:w="146" w:type="pct"/>
            <w:tcBorders>
              <w:top w:val="nil"/>
              <w:left w:val="nil"/>
              <w:bottom w:val="nil"/>
              <w:right w:val="nil"/>
            </w:tcBorders>
            <w:shd w:val="clear" w:color="auto" w:fill="auto"/>
            <w:vAlign w:val="bottom"/>
          </w:tcPr>
          <w:p w14:paraId="1F92107B" w14:textId="77777777" w:rsidR="005020AA" w:rsidRPr="00226892" w:rsidRDefault="005020AA" w:rsidP="005020AA">
            <w:pPr>
              <w:rPr>
                <w:rFonts w:ascii="Arial" w:eastAsia="Times New Roman" w:hAnsi="Arial" w:cs="Arial"/>
                <w:sz w:val="18"/>
                <w:szCs w:val="18"/>
                <w:lang w:eastAsia="sk-SK"/>
              </w:rPr>
            </w:pPr>
          </w:p>
        </w:tc>
        <w:tc>
          <w:tcPr>
            <w:tcW w:w="516" w:type="pct"/>
            <w:tcBorders>
              <w:top w:val="nil"/>
              <w:left w:val="nil"/>
              <w:bottom w:val="nil"/>
              <w:right w:val="nil"/>
            </w:tcBorders>
            <w:shd w:val="clear" w:color="auto" w:fill="auto"/>
            <w:vAlign w:val="bottom"/>
          </w:tcPr>
          <w:p w14:paraId="418F0C62" w14:textId="047F17DD" w:rsidR="005020AA" w:rsidRPr="00226892" w:rsidRDefault="005020AA" w:rsidP="005020AA">
            <w:pPr>
              <w:jc w:val="right"/>
              <w:rPr>
                <w:rFonts w:ascii="Arial" w:eastAsia="Times New Roman" w:hAnsi="Arial" w:cs="Arial"/>
                <w:sz w:val="18"/>
                <w:szCs w:val="18"/>
                <w:lang w:eastAsia="sk-SK"/>
              </w:rPr>
            </w:pPr>
            <w:r w:rsidRPr="00226892">
              <w:rPr>
                <w:rFonts w:ascii="Arial" w:eastAsia="Times New Roman" w:hAnsi="Arial" w:cs="Arial"/>
                <w:sz w:val="18"/>
                <w:szCs w:val="18"/>
                <w:lang w:eastAsia="sk-SK"/>
              </w:rPr>
              <w:t>-469</w:t>
            </w:r>
          </w:p>
        </w:tc>
        <w:tc>
          <w:tcPr>
            <w:tcW w:w="84" w:type="pct"/>
            <w:tcBorders>
              <w:top w:val="nil"/>
              <w:left w:val="nil"/>
              <w:bottom w:val="nil"/>
              <w:right w:val="nil"/>
            </w:tcBorders>
            <w:shd w:val="clear" w:color="auto" w:fill="auto"/>
            <w:vAlign w:val="bottom"/>
          </w:tcPr>
          <w:p w14:paraId="27DAF34E" w14:textId="77777777" w:rsidR="005020AA" w:rsidRPr="00226892" w:rsidRDefault="005020AA" w:rsidP="005020AA">
            <w:pPr>
              <w:jc w:val="right"/>
              <w:rPr>
                <w:rFonts w:ascii="Arial" w:eastAsia="Times New Roman" w:hAnsi="Arial" w:cs="Arial"/>
                <w:sz w:val="18"/>
                <w:szCs w:val="18"/>
                <w:lang w:eastAsia="sk-SK"/>
              </w:rPr>
            </w:pPr>
          </w:p>
        </w:tc>
        <w:tc>
          <w:tcPr>
            <w:tcW w:w="503" w:type="pct"/>
            <w:tcBorders>
              <w:top w:val="nil"/>
              <w:left w:val="nil"/>
              <w:bottom w:val="nil"/>
              <w:right w:val="nil"/>
            </w:tcBorders>
            <w:shd w:val="clear" w:color="auto" w:fill="auto"/>
            <w:vAlign w:val="bottom"/>
          </w:tcPr>
          <w:p w14:paraId="15B4B9CD" w14:textId="7BE0FAB1" w:rsidR="005020AA" w:rsidRPr="00226892" w:rsidRDefault="005020AA" w:rsidP="005020AA">
            <w:pPr>
              <w:jc w:val="right"/>
              <w:rPr>
                <w:rFonts w:ascii="Arial" w:eastAsia="Times New Roman" w:hAnsi="Arial" w:cs="Arial"/>
                <w:sz w:val="18"/>
                <w:szCs w:val="18"/>
                <w:lang w:eastAsia="sk-SK"/>
              </w:rPr>
            </w:pPr>
            <w:r w:rsidRPr="00226892">
              <w:rPr>
                <w:rFonts w:ascii="Arial" w:eastAsia="Times New Roman" w:hAnsi="Arial" w:cs="Arial"/>
                <w:sz w:val="18"/>
                <w:szCs w:val="18"/>
                <w:lang w:eastAsia="sk-SK"/>
              </w:rPr>
              <w:t>-488</w:t>
            </w:r>
          </w:p>
        </w:tc>
      </w:tr>
      <w:tr w:rsidR="005020AA" w:rsidRPr="00226892" w14:paraId="3EBD38D5" w14:textId="77777777" w:rsidTr="00BF78B4">
        <w:trPr>
          <w:trHeight w:val="227"/>
        </w:trPr>
        <w:tc>
          <w:tcPr>
            <w:tcW w:w="3750" w:type="pct"/>
            <w:tcBorders>
              <w:top w:val="nil"/>
              <w:left w:val="nil"/>
              <w:bottom w:val="nil"/>
              <w:right w:val="nil"/>
            </w:tcBorders>
            <w:shd w:val="clear" w:color="auto" w:fill="auto"/>
            <w:noWrap/>
            <w:vAlign w:val="bottom"/>
          </w:tcPr>
          <w:p w14:paraId="6AFCF451" w14:textId="77777777" w:rsidR="005020AA" w:rsidRPr="00226892" w:rsidRDefault="005020AA" w:rsidP="005020AA">
            <w:pPr>
              <w:rPr>
                <w:rFonts w:ascii="Arial" w:eastAsia="Times New Roman" w:hAnsi="Arial" w:cs="Arial"/>
                <w:color w:val="000000"/>
                <w:sz w:val="18"/>
                <w:szCs w:val="18"/>
                <w:lang w:eastAsia="sk-SK"/>
              </w:rPr>
            </w:pPr>
          </w:p>
        </w:tc>
        <w:tc>
          <w:tcPr>
            <w:tcW w:w="146" w:type="pct"/>
            <w:tcBorders>
              <w:top w:val="nil"/>
              <w:left w:val="nil"/>
              <w:bottom w:val="nil"/>
              <w:right w:val="nil"/>
            </w:tcBorders>
            <w:shd w:val="clear" w:color="auto" w:fill="auto"/>
            <w:vAlign w:val="bottom"/>
          </w:tcPr>
          <w:p w14:paraId="0535BA38" w14:textId="77777777" w:rsidR="005020AA" w:rsidRPr="00226892" w:rsidRDefault="005020AA" w:rsidP="005020AA">
            <w:pPr>
              <w:rPr>
                <w:rFonts w:ascii="Arial" w:eastAsia="Times New Roman" w:hAnsi="Arial" w:cs="Arial"/>
                <w:color w:val="000000"/>
                <w:sz w:val="18"/>
                <w:szCs w:val="18"/>
                <w:lang w:eastAsia="sk-SK"/>
              </w:rPr>
            </w:pPr>
          </w:p>
        </w:tc>
        <w:tc>
          <w:tcPr>
            <w:tcW w:w="516" w:type="pct"/>
            <w:tcBorders>
              <w:top w:val="nil"/>
              <w:left w:val="nil"/>
              <w:bottom w:val="single" w:sz="4" w:space="0" w:color="auto"/>
              <w:right w:val="nil"/>
            </w:tcBorders>
            <w:shd w:val="clear" w:color="auto" w:fill="auto"/>
            <w:vAlign w:val="bottom"/>
          </w:tcPr>
          <w:p w14:paraId="7935B44E" w14:textId="77777777" w:rsidR="005020AA" w:rsidRPr="00226892" w:rsidRDefault="005020AA" w:rsidP="005020AA">
            <w:pPr>
              <w:jc w:val="right"/>
              <w:rPr>
                <w:rFonts w:ascii="Arial" w:eastAsia="Times New Roman" w:hAnsi="Arial" w:cs="Arial"/>
                <w:color w:val="000000"/>
                <w:sz w:val="18"/>
                <w:szCs w:val="18"/>
                <w:lang w:eastAsia="sk-SK"/>
              </w:rPr>
            </w:pPr>
          </w:p>
        </w:tc>
        <w:tc>
          <w:tcPr>
            <w:tcW w:w="84" w:type="pct"/>
            <w:tcBorders>
              <w:top w:val="nil"/>
              <w:left w:val="nil"/>
              <w:bottom w:val="nil"/>
              <w:right w:val="nil"/>
            </w:tcBorders>
            <w:shd w:val="clear" w:color="auto" w:fill="auto"/>
            <w:vAlign w:val="bottom"/>
          </w:tcPr>
          <w:p w14:paraId="1C531CDC" w14:textId="77777777" w:rsidR="005020AA" w:rsidRPr="00226892" w:rsidRDefault="005020AA" w:rsidP="005020AA">
            <w:pPr>
              <w:jc w:val="right"/>
              <w:rPr>
                <w:rFonts w:ascii="Arial" w:eastAsia="Times New Roman" w:hAnsi="Arial" w:cs="Arial"/>
                <w:color w:val="000000"/>
                <w:sz w:val="18"/>
                <w:szCs w:val="18"/>
                <w:lang w:eastAsia="sk-SK"/>
              </w:rPr>
            </w:pPr>
          </w:p>
        </w:tc>
        <w:tc>
          <w:tcPr>
            <w:tcW w:w="503" w:type="pct"/>
            <w:tcBorders>
              <w:top w:val="nil"/>
              <w:left w:val="nil"/>
              <w:bottom w:val="single" w:sz="4" w:space="0" w:color="auto"/>
              <w:right w:val="nil"/>
            </w:tcBorders>
            <w:shd w:val="clear" w:color="auto" w:fill="auto"/>
            <w:vAlign w:val="bottom"/>
          </w:tcPr>
          <w:p w14:paraId="3B86D59A" w14:textId="77777777" w:rsidR="005020AA" w:rsidRPr="00226892" w:rsidRDefault="005020AA" w:rsidP="005020AA">
            <w:pPr>
              <w:jc w:val="right"/>
              <w:rPr>
                <w:rFonts w:ascii="Arial" w:eastAsia="Times New Roman" w:hAnsi="Arial" w:cs="Arial"/>
                <w:color w:val="000000"/>
                <w:sz w:val="18"/>
                <w:szCs w:val="18"/>
                <w:lang w:eastAsia="sk-SK"/>
              </w:rPr>
            </w:pPr>
          </w:p>
        </w:tc>
      </w:tr>
      <w:tr w:rsidR="005020AA" w:rsidRPr="00226892" w14:paraId="58001C9F" w14:textId="77777777" w:rsidTr="00BF78B4">
        <w:trPr>
          <w:trHeight w:val="227"/>
        </w:trPr>
        <w:tc>
          <w:tcPr>
            <w:tcW w:w="3750" w:type="pct"/>
            <w:tcBorders>
              <w:top w:val="nil"/>
              <w:left w:val="nil"/>
              <w:bottom w:val="nil"/>
              <w:right w:val="nil"/>
            </w:tcBorders>
            <w:shd w:val="clear" w:color="auto" w:fill="auto"/>
            <w:noWrap/>
            <w:vAlign w:val="bottom"/>
          </w:tcPr>
          <w:p w14:paraId="7C3A0C95" w14:textId="77777777" w:rsidR="005020AA" w:rsidRPr="00226892" w:rsidRDefault="005020AA" w:rsidP="005020AA">
            <w:pPr>
              <w:rPr>
                <w:rFonts w:ascii="Arial" w:eastAsia="Times New Roman" w:hAnsi="Arial" w:cs="Arial"/>
                <w:b/>
                <w:bCs/>
                <w:color w:val="000000"/>
                <w:sz w:val="18"/>
                <w:szCs w:val="18"/>
                <w:lang w:eastAsia="sk-SK"/>
              </w:rPr>
            </w:pPr>
            <w:proofErr w:type="spellStart"/>
            <w:r w:rsidRPr="00226892">
              <w:rPr>
                <w:rFonts w:ascii="Arial" w:eastAsia="Times New Roman" w:hAnsi="Arial" w:cs="Arial"/>
                <w:b/>
                <w:bCs/>
                <w:color w:val="000000"/>
                <w:sz w:val="18"/>
                <w:szCs w:val="18"/>
                <w:lang w:eastAsia="sk-SK"/>
              </w:rPr>
              <w:t>Konečný</w:t>
            </w:r>
            <w:proofErr w:type="spellEnd"/>
            <w:r w:rsidRPr="00226892">
              <w:rPr>
                <w:rFonts w:ascii="Arial" w:eastAsia="Times New Roman" w:hAnsi="Arial" w:cs="Arial"/>
                <w:b/>
                <w:bCs/>
                <w:color w:val="000000"/>
                <w:sz w:val="18"/>
                <w:szCs w:val="18"/>
                <w:lang w:eastAsia="sk-SK"/>
              </w:rPr>
              <w:t xml:space="preserve"> </w:t>
            </w:r>
            <w:proofErr w:type="spellStart"/>
            <w:r w:rsidRPr="00226892">
              <w:rPr>
                <w:rFonts w:ascii="Arial" w:eastAsia="Times New Roman" w:hAnsi="Arial" w:cs="Arial"/>
                <w:b/>
                <w:bCs/>
                <w:color w:val="000000"/>
                <w:sz w:val="18"/>
                <w:szCs w:val="18"/>
                <w:lang w:eastAsia="sk-SK"/>
              </w:rPr>
              <w:t>stav</w:t>
            </w:r>
            <w:proofErr w:type="spellEnd"/>
            <w:r w:rsidRPr="00226892">
              <w:rPr>
                <w:rFonts w:ascii="Arial" w:eastAsia="Times New Roman" w:hAnsi="Arial" w:cs="Arial"/>
                <w:b/>
                <w:bCs/>
                <w:color w:val="000000"/>
                <w:sz w:val="18"/>
                <w:szCs w:val="18"/>
                <w:lang w:eastAsia="sk-SK"/>
              </w:rPr>
              <w:t xml:space="preserve"> k 31.12.</w:t>
            </w:r>
          </w:p>
        </w:tc>
        <w:tc>
          <w:tcPr>
            <w:tcW w:w="146" w:type="pct"/>
            <w:tcBorders>
              <w:top w:val="nil"/>
              <w:left w:val="nil"/>
              <w:bottom w:val="nil"/>
              <w:right w:val="nil"/>
            </w:tcBorders>
            <w:shd w:val="clear" w:color="auto" w:fill="auto"/>
            <w:vAlign w:val="bottom"/>
          </w:tcPr>
          <w:p w14:paraId="5A019BBA" w14:textId="77777777" w:rsidR="005020AA" w:rsidRPr="00226892" w:rsidRDefault="005020AA" w:rsidP="005020AA">
            <w:pPr>
              <w:rPr>
                <w:rFonts w:ascii="Arial" w:eastAsia="Times New Roman" w:hAnsi="Arial" w:cs="Arial"/>
                <w:b/>
                <w:bCs/>
                <w:color w:val="000000"/>
                <w:sz w:val="18"/>
                <w:szCs w:val="18"/>
                <w:lang w:eastAsia="sk-SK"/>
              </w:rPr>
            </w:pPr>
          </w:p>
        </w:tc>
        <w:tc>
          <w:tcPr>
            <w:tcW w:w="516" w:type="pct"/>
            <w:tcBorders>
              <w:top w:val="single" w:sz="4" w:space="0" w:color="auto"/>
              <w:left w:val="nil"/>
              <w:bottom w:val="double" w:sz="4" w:space="0" w:color="auto"/>
              <w:right w:val="nil"/>
            </w:tcBorders>
            <w:shd w:val="clear" w:color="auto" w:fill="auto"/>
            <w:vAlign w:val="bottom"/>
          </w:tcPr>
          <w:p w14:paraId="0AC0021E" w14:textId="37C73EA8" w:rsidR="005020AA" w:rsidRPr="00226892" w:rsidRDefault="005020AA" w:rsidP="005020AA">
            <w:pPr>
              <w:jc w:val="right"/>
              <w:rPr>
                <w:rFonts w:ascii="Arial" w:eastAsia="Times New Roman" w:hAnsi="Arial" w:cs="Arial"/>
                <w:b/>
                <w:bCs/>
                <w:color w:val="000000"/>
                <w:sz w:val="18"/>
                <w:szCs w:val="18"/>
                <w:lang w:eastAsia="sk-SK"/>
              </w:rPr>
            </w:pPr>
            <w:r w:rsidRPr="00226892">
              <w:rPr>
                <w:rFonts w:ascii="Arial" w:eastAsia="Times New Roman" w:hAnsi="Arial" w:cs="Arial"/>
                <w:b/>
                <w:bCs/>
                <w:color w:val="000000"/>
                <w:sz w:val="18"/>
                <w:szCs w:val="18"/>
                <w:lang w:eastAsia="sk-SK"/>
              </w:rPr>
              <w:t>2 774</w:t>
            </w:r>
          </w:p>
        </w:tc>
        <w:tc>
          <w:tcPr>
            <w:tcW w:w="84" w:type="pct"/>
            <w:tcBorders>
              <w:top w:val="nil"/>
              <w:left w:val="nil"/>
              <w:bottom w:val="nil"/>
              <w:right w:val="nil"/>
            </w:tcBorders>
            <w:shd w:val="clear" w:color="auto" w:fill="auto"/>
            <w:vAlign w:val="bottom"/>
          </w:tcPr>
          <w:p w14:paraId="031E00AF" w14:textId="77777777" w:rsidR="005020AA" w:rsidRPr="00226892" w:rsidRDefault="005020AA" w:rsidP="005020AA">
            <w:pPr>
              <w:jc w:val="right"/>
              <w:rPr>
                <w:rFonts w:ascii="Arial" w:eastAsia="Times New Roman" w:hAnsi="Arial" w:cs="Arial"/>
                <w:b/>
                <w:bCs/>
                <w:color w:val="000000"/>
                <w:sz w:val="18"/>
                <w:szCs w:val="18"/>
                <w:lang w:eastAsia="sk-SK"/>
              </w:rPr>
            </w:pPr>
          </w:p>
        </w:tc>
        <w:tc>
          <w:tcPr>
            <w:tcW w:w="503" w:type="pct"/>
            <w:tcBorders>
              <w:top w:val="single" w:sz="4" w:space="0" w:color="auto"/>
              <w:left w:val="nil"/>
              <w:bottom w:val="double" w:sz="4" w:space="0" w:color="auto"/>
              <w:right w:val="nil"/>
            </w:tcBorders>
            <w:shd w:val="clear" w:color="auto" w:fill="auto"/>
            <w:vAlign w:val="bottom"/>
          </w:tcPr>
          <w:p w14:paraId="310CED80" w14:textId="3995F307" w:rsidR="005020AA" w:rsidRPr="00226892" w:rsidRDefault="005020AA" w:rsidP="005020AA">
            <w:pPr>
              <w:jc w:val="right"/>
              <w:rPr>
                <w:rFonts w:ascii="Arial" w:eastAsia="Times New Roman" w:hAnsi="Arial" w:cs="Arial"/>
                <w:b/>
                <w:bCs/>
                <w:color w:val="000000"/>
                <w:sz w:val="18"/>
                <w:szCs w:val="18"/>
                <w:lang w:eastAsia="sk-SK"/>
              </w:rPr>
            </w:pPr>
            <w:r w:rsidRPr="00226892">
              <w:rPr>
                <w:rFonts w:ascii="Arial" w:eastAsia="Times New Roman" w:hAnsi="Arial" w:cs="Arial"/>
                <w:b/>
                <w:bCs/>
                <w:color w:val="000000"/>
                <w:sz w:val="18"/>
                <w:szCs w:val="18"/>
                <w:lang w:eastAsia="sk-SK"/>
              </w:rPr>
              <w:t>3 243</w:t>
            </w:r>
          </w:p>
        </w:tc>
      </w:tr>
      <w:tr w:rsidR="005020AA" w:rsidRPr="00226892" w14:paraId="0DA6EC4B" w14:textId="77777777" w:rsidTr="00BF78B4">
        <w:trPr>
          <w:trHeight w:val="227"/>
        </w:trPr>
        <w:tc>
          <w:tcPr>
            <w:tcW w:w="3750" w:type="pct"/>
            <w:tcBorders>
              <w:left w:val="nil"/>
              <w:right w:val="nil"/>
            </w:tcBorders>
            <w:shd w:val="clear" w:color="auto" w:fill="auto"/>
            <w:vAlign w:val="bottom"/>
          </w:tcPr>
          <w:p w14:paraId="1756D76E" w14:textId="77777777" w:rsidR="005020AA" w:rsidRPr="00226892" w:rsidRDefault="005020AA" w:rsidP="005020AA">
            <w:pPr>
              <w:rPr>
                <w:rFonts w:ascii="Arial" w:eastAsia="Times New Roman" w:hAnsi="Arial" w:cs="Arial"/>
                <w:b/>
                <w:bCs/>
                <w:color w:val="000000"/>
                <w:sz w:val="18"/>
                <w:szCs w:val="18"/>
                <w:lang w:eastAsia="sk-SK"/>
              </w:rPr>
            </w:pPr>
          </w:p>
        </w:tc>
        <w:tc>
          <w:tcPr>
            <w:tcW w:w="146" w:type="pct"/>
            <w:tcBorders>
              <w:left w:val="nil"/>
              <w:right w:val="nil"/>
            </w:tcBorders>
            <w:shd w:val="clear" w:color="auto" w:fill="auto"/>
            <w:vAlign w:val="bottom"/>
          </w:tcPr>
          <w:p w14:paraId="79935E5D" w14:textId="77777777" w:rsidR="005020AA" w:rsidRPr="00226892" w:rsidRDefault="005020AA" w:rsidP="005020AA">
            <w:pPr>
              <w:rPr>
                <w:rFonts w:ascii="Arial" w:eastAsia="Times New Roman" w:hAnsi="Arial" w:cs="Arial"/>
                <w:b/>
                <w:bCs/>
                <w:color w:val="000000"/>
                <w:sz w:val="18"/>
                <w:szCs w:val="18"/>
                <w:lang w:eastAsia="sk-SK"/>
              </w:rPr>
            </w:pPr>
          </w:p>
        </w:tc>
        <w:tc>
          <w:tcPr>
            <w:tcW w:w="516" w:type="pct"/>
            <w:tcBorders>
              <w:top w:val="double" w:sz="4" w:space="0" w:color="auto"/>
              <w:left w:val="nil"/>
              <w:right w:val="nil"/>
            </w:tcBorders>
            <w:shd w:val="clear" w:color="auto" w:fill="auto"/>
            <w:vAlign w:val="bottom"/>
          </w:tcPr>
          <w:p w14:paraId="259819F6" w14:textId="77777777" w:rsidR="005020AA" w:rsidRPr="00226892" w:rsidRDefault="005020AA" w:rsidP="005020AA">
            <w:pPr>
              <w:jc w:val="right"/>
              <w:rPr>
                <w:rFonts w:ascii="Arial" w:eastAsia="Times New Roman" w:hAnsi="Arial" w:cs="Arial"/>
                <w:b/>
                <w:bCs/>
                <w:color w:val="000000"/>
                <w:sz w:val="18"/>
                <w:szCs w:val="18"/>
                <w:lang w:eastAsia="sk-SK"/>
              </w:rPr>
            </w:pPr>
          </w:p>
        </w:tc>
        <w:tc>
          <w:tcPr>
            <w:tcW w:w="84" w:type="pct"/>
            <w:tcBorders>
              <w:left w:val="nil"/>
              <w:right w:val="nil"/>
            </w:tcBorders>
            <w:shd w:val="clear" w:color="auto" w:fill="auto"/>
            <w:vAlign w:val="bottom"/>
          </w:tcPr>
          <w:p w14:paraId="5728B5BA" w14:textId="77777777" w:rsidR="005020AA" w:rsidRPr="00226892" w:rsidRDefault="005020AA" w:rsidP="005020AA">
            <w:pPr>
              <w:jc w:val="right"/>
              <w:rPr>
                <w:rFonts w:ascii="Arial" w:eastAsia="Times New Roman" w:hAnsi="Arial" w:cs="Arial"/>
                <w:b/>
                <w:bCs/>
                <w:color w:val="000000"/>
                <w:sz w:val="18"/>
                <w:szCs w:val="18"/>
                <w:lang w:eastAsia="sk-SK"/>
              </w:rPr>
            </w:pPr>
          </w:p>
        </w:tc>
        <w:tc>
          <w:tcPr>
            <w:tcW w:w="503" w:type="pct"/>
            <w:tcBorders>
              <w:top w:val="double" w:sz="4" w:space="0" w:color="auto"/>
              <w:left w:val="nil"/>
              <w:right w:val="nil"/>
            </w:tcBorders>
            <w:shd w:val="clear" w:color="auto" w:fill="auto"/>
            <w:vAlign w:val="bottom"/>
          </w:tcPr>
          <w:p w14:paraId="4FD085B9" w14:textId="77777777" w:rsidR="005020AA" w:rsidRPr="00226892" w:rsidRDefault="005020AA" w:rsidP="005020AA">
            <w:pPr>
              <w:jc w:val="right"/>
              <w:rPr>
                <w:rFonts w:ascii="Arial" w:eastAsia="Times New Roman" w:hAnsi="Arial" w:cs="Arial"/>
                <w:b/>
                <w:bCs/>
                <w:color w:val="000000"/>
                <w:sz w:val="18"/>
                <w:szCs w:val="18"/>
                <w:lang w:eastAsia="sk-SK"/>
              </w:rPr>
            </w:pPr>
          </w:p>
        </w:tc>
      </w:tr>
    </w:tbl>
    <w:p w14:paraId="28B9D90C" w14:textId="2F0DFED0" w:rsidR="005B7760" w:rsidRPr="00226892" w:rsidRDefault="005B7760" w:rsidP="00756C6D">
      <w:pPr>
        <w:jc w:val="both"/>
        <w:rPr>
          <w:rFonts w:ascii="Arial" w:hAnsi="Arial" w:cs="Arial"/>
          <w:lang w:val="sk-SK"/>
        </w:rPr>
      </w:pPr>
      <w:r w:rsidRPr="00226892">
        <w:rPr>
          <w:rFonts w:ascii="Arial" w:hAnsi="Arial" w:cs="Arial"/>
          <w:lang w:val="sk-SK"/>
        </w:rPr>
        <w:t xml:space="preserve">Dňa 21. marca 2019 vykonali zamestnanci oddelenia kontroly investičnej pomoci z odboru investícií Ministerstva hospodárstva SR finančnú kontrolu plnenia podmienok uvedených v Rozhodnutí č. 48/2015 o schválení investičnej pomoci. Kontrolou neboli zistené žiadne nedostatky a bolo konštatované, že Spoločnosť k 31. decembru 2018 plní podmienky stanovené pre poskytnutie a čerpanie štátnej pomoci. </w:t>
      </w:r>
      <w:r w:rsidR="00206D7F" w:rsidRPr="00226892">
        <w:rPr>
          <w:rFonts w:ascii="Arial" w:hAnsi="Arial" w:cs="Arial"/>
          <w:lang w:val="sk-SK"/>
        </w:rPr>
        <w:t xml:space="preserve">Viac informácií viď </w:t>
      </w:r>
      <w:r w:rsidR="00D13161" w:rsidRPr="00226892">
        <w:rPr>
          <w:rFonts w:ascii="Arial" w:hAnsi="Arial" w:cs="Arial"/>
          <w:lang w:val="sk-SK"/>
        </w:rPr>
        <w:t>bod 16 p</w:t>
      </w:r>
      <w:r w:rsidR="00206D7F" w:rsidRPr="00226892">
        <w:rPr>
          <w:rFonts w:ascii="Arial" w:hAnsi="Arial" w:cs="Arial"/>
          <w:lang w:val="sk-SK"/>
        </w:rPr>
        <w:t>oznám</w:t>
      </w:r>
      <w:r w:rsidR="00D13161" w:rsidRPr="00226892">
        <w:rPr>
          <w:rFonts w:ascii="Arial" w:hAnsi="Arial" w:cs="Arial"/>
          <w:lang w:val="sk-SK"/>
        </w:rPr>
        <w:t>ok</w:t>
      </w:r>
      <w:r w:rsidR="00206D7F" w:rsidRPr="00226892">
        <w:rPr>
          <w:rFonts w:ascii="Arial" w:hAnsi="Arial" w:cs="Arial"/>
          <w:lang w:val="sk-SK"/>
        </w:rPr>
        <w:t>.</w:t>
      </w:r>
    </w:p>
    <w:p w14:paraId="0C9A1AF1" w14:textId="77777777" w:rsidR="007477F3" w:rsidRPr="00226892" w:rsidRDefault="007477F3" w:rsidP="00DA5E9D">
      <w:pPr>
        <w:suppressAutoHyphens/>
        <w:rPr>
          <w:rFonts w:ascii="Arial" w:hAnsi="Arial" w:cs="Arial"/>
          <w:lang w:val="sk-SK"/>
        </w:rPr>
      </w:pPr>
    </w:p>
    <w:p w14:paraId="69DBCC33" w14:textId="77777777" w:rsidR="008F683A" w:rsidRPr="00226892" w:rsidRDefault="00DA5E9D" w:rsidP="003578C0">
      <w:pPr>
        <w:pStyle w:val="Nadpis3"/>
        <w:keepNext w:val="0"/>
        <w:widowControl/>
        <w:numPr>
          <w:ilvl w:val="0"/>
          <w:numId w:val="34"/>
        </w:numPr>
        <w:tabs>
          <w:tab w:val="clear" w:pos="1069"/>
          <w:tab w:val="num" w:pos="392"/>
        </w:tabs>
        <w:suppressAutoHyphens/>
        <w:ind w:left="1077" w:hanging="1077"/>
        <w:rPr>
          <w:rFonts w:ascii="Arial" w:hAnsi="Arial" w:cs="Arial"/>
          <w:sz w:val="20"/>
        </w:rPr>
      </w:pPr>
      <w:bookmarkStart w:id="571" w:name="_Toc298394585"/>
      <w:bookmarkStart w:id="572" w:name="_Toc298395065"/>
      <w:bookmarkStart w:id="573" w:name="_Toc298394586"/>
      <w:bookmarkStart w:id="574" w:name="_Toc298395066"/>
      <w:bookmarkStart w:id="575" w:name="_Toc298394587"/>
      <w:bookmarkStart w:id="576" w:name="_Toc298395067"/>
      <w:bookmarkStart w:id="577" w:name="_Toc325985814"/>
      <w:bookmarkStart w:id="578" w:name="_Toc387812517"/>
      <w:bookmarkStart w:id="579" w:name="_Toc27410010"/>
      <w:bookmarkEnd w:id="571"/>
      <w:bookmarkEnd w:id="572"/>
      <w:bookmarkEnd w:id="573"/>
      <w:bookmarkEnd w:id="574"/>
      <w:bookmarkEnd w:id="575"/>
      <w:bookmarkEnd w:id="576"/>
      <w:proofErr w:type="spellStart"/>
      <w:r w:rsidRPr="00226892">
        <w:rPr>
          <w:rFonts w:ascii="Arial" w:hAnsi="Arial" w:cs="Arial"/>
          <w:sz w:val="20"/>
        </w:rPr>
        <w:t>Tržby</w:t>
      </w:r>
      <w:bookmarkEnd w:id="577"/>
      <w:bookmarkEnd w:id="578"/>
      <w:bookmarkEnd w:id="579"/>
      <w:proofErr w:type="spellEnd"/>
    </w:p>
    <w:p w14:paraId="74FB6D5E" w14:textId="77777777" w:rsidR="008F23F8" w:rsidRPr="00226892" w:rsidRDefault="008F23F8" w:rsidP="00833CC0">
      <w:pPr>
        <w:rPr>
          <w:rFonts w:ascii="Arial" w:hAnsi="Arial" w:cs="Arial"/>
        </w:rPr>
      </w:pPr>
      <w:bookmarkStart w:id="580" w:name="FWT_Revenues"/>
      <w:r w:rsidRPr="00226892">
        <w:rPr>
          <w:rFonts w:ascii="Arial" w:hAnsi="Arial" w:cs="Arial"/>
        </w:rPr>
        <w:t xml:space="preserve"> </w:t>
      </w:r>
    </w:p>
    <w:tbl>
      <w:tblPr>
        <w:tblW w:w="5000" w:type="pct"/>
        <w:tblLayout w:type="fixed"/>
        <w:tblCellMar>
          <w:left w:w="70" w:type="dxa"/>
          <w:right w:w="70" w:type="dxa"/>
        </w:tblCellMar>
        <w:tblLook w:val="04A0" w:firstRow="1" w:lastRow="0" w:firstColumn="1" w:lastColumn="0" w:noHBand="0" w:noVBand="1"/>
      </w:tblPr>
      <w:tblGrid>
        <w:gridCol w:w="7339"/>
        <w:gridCol w:w="164"/>
        <w:gridCol w:w="952"/>
        <w:gridCol w:w="195"/>
        <w:gridCol w:w="989"/>
      </w:tblGrid>
      <w:tr w:rsidR="008F23F8" w:rsidRPr="00226892" w14:paraId="39EC5114" w14:textId="77777777" w:rsidTr="002C66B3">
        <w:trPr>
          <w:trHeight w:val="240"/>
        </w:trPr>
        <w:tc>
          <w:tcPr>
            <w:tcW w:w="3807" w:type="pct"/>
            <w:tcBorders>
              <w:top w:val="nil"/>
              <w:left w:val="nil"/>
              <w:bottom w:val="single" w:sz="4" w:space="0" w:color="auto"/>
              <w:right w:val="nil"/>
            </w:tcBorders>
            <w:shd w:val="clear" w:color="auto" w:fill="auto"/>
            <w:noWrap/>
            <w:vAlign w:val="bottom"/>
            <w:hideMark/>
          </w:tcPr>
          <w:p w14:paraId="6C9FA742" w14:textId="77777777" w:rsidR="008F23F8" w:rsidRPr="00226892" w:rsidRDefault="008F23F8" w:rsidP="00833CC0">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85" w:type="pct"/>
            <w:tcBorders>
              <w:top w:val="nil"/>
              <w:left w:val="nil"/>
              <w:bottom w:val="single" w:sz="4" w:space="0" w:color="auto"/>
              <w:right w:val="nil"/>
            </w:tcBorders>
            <w:shd w:val="clear" w:color="auto" w:fill="auto"/>
            <w:vAlign w:val="bottom"/>
            <w:hideMark/>
          </w:tcPr>
          <w:p w14:paraId="43E06F69" w14:textId="77777777" w:rsidR="008F23F8" w:rsidRPr="00226892" w:rsidRDefault="008F23F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494" w:type="pct"/>
            <w:tcBorders>
              <w:top w:val="nil"/>
              <w:left w:val="nil"/>
              <w:bottom w:val="single" w:sz="4" w:space="0" w:color="auto"/>
              <w:right w:val="nil"/>
            </w:tcBorders>
            <w:shd w:val="clear" w:color="auto" w:fill="auto"/>
            <w:vAlign w:val="bottom"/>
            <w:hideMark/>
          </w:tcPr>
          <w:p w14:paraId="141EE04B" w14:textId="70BD351D" w:rsidR="008F23F8" w:rsidRPr="00226892" w:rsidRDefault="00FD3AC5">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2018</w:t>
            </w:r>
          </w:p>
        </w:tc>
        <w:tc>
          <w:tcPr>
            <w:tcW w:w="101" w:type="pct"/>
            <w:tcBorders>
              <w:top w:val="nil"/>
              <w:left w:val="nil"/>
              <w:bottom w:val="single" w:sz="4" w:space="0" w:color="auto"/>
              <w:right w:val="nil"/>
            </w:tcBorders>
            <w:shd w:val="clear" w:color="auto" w:fill="auto"/>
            <w:vAlign w:val="bottom"/>
            <w:hideMark/>
          </w:tcPr>
          <w:p w14:paraId="7F8F6C38" w14:textId="77777777" w:rsidR="008F23F8" w:rsidRPr="00226892" w:rsidRDefault="008F23F8">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w:t>
            </w:r>
          </w:p>
        </w:tc>
        <w:tc>
          <w:tcPr>
            <w:tcW w:w="513" w:type="pct"/>
            <w:tcBorders>
              <w:top w:val="nil"/>
              <w:left w:val="nil"/>
              <w:bottom w:val="single" w:sz="4" w:space="0" w:color="auto"/>
              <w:right w:val="nil"/>
            </w:tcBorders>
            <w:shd w:val="clear" w:color="auto" w:fill="auto"/>
            <w:vAlign w:val="bottom"/>
            <w:hideMark/>
          </w:tcPr>
          <w:p w14:paraId="3C378B6B" w14:textId="44216ECD" w:rsidR="008F23F8" w:rsidRPr="00226892" w:rsidRDefault="00F63A77">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2017</w:t>
            </w:r>
          </w:p>
        </w:tc>
      </w:tr>
      <w:tr w:rsidR="009F2456" w:rsidRPr="00226892" w14:paraId="72DBD0BA" w14:textId="77777777" w:rsidTr="002C66B3">
        <w:trPr>
          <w:trHeight w:val="240"/>
        </w:trPr>
        <w:tc>
          <w:tcPr>
            <w:tcW w:w="3807" w:type="pct"/>
            <w:tcBorders>
              <w:top w:val="nil"/>
              <w:left w:val="nil"/>
              <w:bottom w:val="nil"/>
              <w:right w:val="nil"/>
            </w:tcBorders>
            <w:shd w:val="clear" w:color="auto" w:fill="auto"/>
            <w:noWrap/>
            <w:vAlign w:val="bottom"/>
            <w:hideMark/>
          </w:tcPr>
          <w:p w14:paraId="39EF3180" w14:textId="7A69EF68"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Tržby za výrobky </w:t>
            </w:r>
            <w:r w:rsidR="00D714F3" w:rsidRPr="00226892">
              <w:rPr>
                <w:rFonts w:ascii="Arial" w:eastAsia="Times New Roman" w:hAnsi="Arial" w:cs="Arial"/>
                <w:color w:val="000000"/>
                <w:sz w:val="18"/>
                <w:szCs w:val="18"/>
                <w:lang w:val="sk-SK" w:eastAsia="sk-SK"/>
              </w:rPr>
              <w:t>, tovar a odpad</w:t>
            </w:r>
          </w:p>
        </w:tc>
        <w:tc>
          <w:tcPr>
            <w:tcW w:w="85" w:type="pct"/>
            <w:tcBorders>
              <w:top w:val="nil"/>
              <w:left w:val="nil"/>
              <w:bottom w:val="nil"/>
              <w:right w:val="nil"/>
            </w:tcBorders>
            <w:shd w:val="clear" w:color="auto" w:fill="auto"/>
            <w:vAlign w:val="bottom"/>
            <w:hideMark/>
          </w:tcPr>
          <w:p w14:paraId="284ACF0C" w14:textId="77777777" w:rsidR="009F2456" w:rsidRPr="00226892" w:rsidRDefault="009F2456" w:rsidP="009F2456">
            <w:pPr>
              <w:rPr>
                <w:rFonts w:ascii="Arial" w:eastAsia="Times New Roman" w:hAnsi="Arial" w:cs="Arial"/>
                <w:color w:val="000000"/>
                <w:sz w:val="18"/>
                <w:szCs w:val="18"/>
                <w:lang w:val="sk-SK" w:eastAsia="sk-SK"/>
              </w:rPr>
            </w:pPr>
          </w:p>
        </w:tc>
        <w:tc>
          <w:tcPr>
            <w:tcW w:w="494" w:type="pct"/>
            <w:tcBorders>
              <w:top w:val="nil"/>
              <w:left w:val="nil"/>
              <w:bottom w:val="nil"/>
              <w:right w:val="nil"/>
            </w:tcBorders>
            <w:shd w:val="clear" w:color="auto" w:fill="auto"/>
            <w:vAlign w:val="bottom"/>
          </w:tcPr>
          <w:p w14:paraId="58F5C724" w14:textId="199BA30D"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hAnsi="Arial" w:cs="Arial"/>
                <w:color w:val="000000"/>
                <w:sz w:val="18"/>
                <w:szCs w:val="18"/>
              </w:rPr>
              <w:t>1</w:t>
            </w:r>
            <w:r w:rsidR="00584224" w:rsidRPr="00226892">
              <w:rPr>
                <w:rFonts w:ascii="Arial" w:hAnsi="Arial" w:cs="Arial"/>
                <w:color w:val="000000"/>
                <w:sz w:val="18"/>
                <w:szCs w:val="18"/>
              </w:rPr>
              <w:t>86 017</w:t>
            </w:r>
          </w:p>
        </w:tc>
        <w:tc>
          <w:tcPr>
            <w:tcW w:w="101" w:type="pct"/>
            <w:tcBorders>
              <w:top w:val="nil"/>
              <w:left w:val="nil"/>
              <w:bottom w:val="nil"/>
              <w:right w:val="nil"/>
            </w:tcBorders>
            <w:shd w:val="clear" w:color="auto" w:fill="auto"/>
            <w:vAlign w:val="bottom"/>
            <w:hideMark/>
          </w:tcPr>
          <w:p w14:paraId="67E58A5D"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513" w:type="pct"/>
            <w:tcBorders>
              <w:top w:val="nil"/>
              <w:left w:val="nil"/>
              <w:bottom w:val="nil"/>
              <w:right w:val="nil"/>
            </w:tcBorders>
            <w:shd w:val="clear" w:color="auto" w:fill="auto"/>
            <w:vAlign w:val="bottom"/>
            <w:hideMark/>
          </w:tcPr>
          <w:p w14:paraId="6BFA0D44" w14:textId="74F85AAC"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hAnsi="Arial" w:cs="Arial"/>
                <w:color w:val="000000"/>
                <w:sz w:val="18"/>
                <w:szCs w:val="18"/>
              </w:rPr>
              <w:t xml:space="preserve">164 319    </w:t>
            </w:r>
          </w:p>
        </w:tc>
      </w:tr>
      <w:tr w:rsidR="009F2456" w:rsidRPr="00226892" w14:paraId="0D4327AF" w14:textId="77777777" w:rsidTr="002C66B3">
        <w:trPr>
          <w:trHeight w:val="240"/>
        </w:trPr>
        <w:tc>
          <w:tcPr>
            <w:tcW w:w="3807" w:type="pct"/>
            <w:tcBorders>
              <w:top w:val="nil"/>
              <w:left w:val="nil"/>
              <w:bottom w:val="nil"/>
              <w:right w:val="nil"/>
            </w:tcBorders>
            <w:shd w:val="clear" w:color="auto" w:fill="auto"/>
            <w:vAlign w:val="bottom"/>
            <w:hideMark/>
          </w:tcPr>
          <w:p w14:paraId="12DA72E0" w14:textId="01793CAE"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Tržby za služby</w:t>
            </w:r>
          </w:p>
        </w:tc>
        <w:tc>
          <w:tcPr>
            <w:tcW w:w="85" w:type="pct"/>
            <w:tcBorders>
              <w:top w:val="nil"/>
              <w:left w:val="nil"/>
              <w:bottom w:val="nil"/>
              <w:right w:val="nil"/>
            </w:tcBorders>
            <w:shd w:val="clear" w:color="auto" w:fill="auto"/>
            <w:vAlign w:val="bottom"/>
            <w:hideMark/>
          </w:tcPr>
          <w:p w14:paraId="6175BCB6" w14:textId="77777777" w:rsidR="009F2456" w:rsidRPr="00226892" w:rsidRDefault="009F2456" w:rsidP="009F2456">
            <w:pPr>
              <w:rPr>
                <w:rFonts w:ascii="Arial" w:eastAsia="Times New Roman" w:hAnsi="Arial" w:cs="Arial"/>
                <w:color w:val="000000"/>
                <w:sz w:val="18"/>
                <w:szCs w:val="18"/>
                <w:lang w:val="sk-SK" w:eastAsia="sk-SK"/>
              </w:rPr>
            </w:pPr>
          </w:p>
        </w:tc>
        <w:tc>
          <w:tcPr>
            <w:tcW w:w="494" w:type="pct"/>
            <w:tcBorders>
              <w:top w:val="nil"/>
              <w:left w:val="nil"/>
              <w:bottom w:val="nil"/>
              <w:right w:val="nil"/>
            </w:tcBorders>
            <w:shd w:val="clear" w:color="auto" w:fill="auto"/>
            <w:vAlign w:val="bottom"/>
          </w:tcPr>
          <w:p w14:paraId="7CD57AF0" w14:textId="618A1E3F"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hAnsi="Arial" w:cs="Arial"/>
                <w:color w:val="000000"/>
                <w:sz w:val="18"/>
                <w:szCs w:val="18"/>
              </w:rPr>
              <w:t xml:space="preserve">2 </w:t>
            </w:r>
            <w:r w:rsidR="00584224" w:rsidRPr="00226892">
              <w:rPr>
                <w:rFonts w:ascii="Arial" w:hAnsi="Arial" w:cs="Arial"/>
                <w:color w:val="000000"/>
                <w:sz w:val="18"/>
                <w:szCs w:val="18"/>
              </w:rPr>
              <w:t>045</w:t>
            </w:r>
          </w:p>
        </w:tc>
        <w:tc>
          <w:tcPr>
            <w:tcW w:w="101" w:type="pct"/>
            <w:tcBorders>
              <w:top w:val="nil"/>
              <w:left w:val="nil"/>
              <w:bottom w:val="nil"/>
              <w:right w:val="nil"/>
            </w:tcBorders>
            <w:shd w:val="clear" w:color="auto" w:fill="auto"/>
            <w:vAlign w:val="bottom"/>
            <w:hideMark/>
          </w:tcPr>
          <w:p w14:paraId="24DA4DD0"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513" w:type="pct"/>
            <w:tcBorders>
              <w:top w:val="nil"/>
              <w:left w:val="nil"/>
              <w:bottom w:val="nil"/>
              <w:right w:val="nil"/>
            </w:tcBorders>
            <w:shd w:val="clear" w:color="auto" w:fill="auto"/>
            <w:vAlign w:val="bottom"/>
            <w:hideMark/>
          </w:tcPr>
          <w:p w14:paraId="65E7EB85" w14:textId="36233E9F"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hAnsi="Arial" w:cs="Arial"/>
                <w:color w:val="000000"/>
                <w:sz w:val="18"/>
                <w:szCs w:val="18"/>
              </w:rPr>
              <w:t xml:space="preserve">474    </w:t>
            </w:r>
          </w:p>
        </w:tc>
      </w:tr>
      <w:tr w:rsidR="009F2456" w:rsidRPr="00226892" w14:paraId="1C8B9C3C" w14:textId="77777777" w:rsidTr="002C66B3">
        <w:trPr>
          <w:trHeight w:val="240"/>
        </w:trPr>
        <w:tc>
          <w:tcPr>
            <w:tcW w:w="3807" w:type="pct"/>
            <w:tcBorders>
              <w:top w:val="nil"/>
              <w:left w:val="nil"/>
              <w:bottom w:val="nil"/>
              <w:right w:val="nil"/>
            </w:tcBorders>
            <w:shd w:val="clear" w:color="auto" w:fill="auto"/>
            <w:noWrap/>
            <w:vAlign w:val="bottom"/>
            <w:hideMark/>
          </w:tcPr>
          <w:p w14:paraId="64561A4C" w14:textId="77777777" w:rsidR="009F2456" w:rsidRPr="00226892" w:rsidRDefault="009F2456" w:rsidP="009F2456">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Tržby spolu </w:t>
            </w:r>
          </w:p>
        </w:tc>
        <w:tc>
          <w:tcPr>
            <w:tcW w:w="85" w:type="pct"/>
            <w:tcBorders>
              <w:top w:val="nil"/>
              <w:left w:val="nil"/>
              <w:bottom w:val="nil"/>
              <w:right w:val="nil"/>
            </w:tcBorders>
            <w:shd w:val="clear" w:color="auto" w:fill="auto"/>
            <w:vAlign w:val="bottom"/>
            <w:hideMark/>
          </w:tcPr>
          <w:p w14:paraId="563BB884" w14:textId="77777777" w:rsidR="009F2456" w:rsidRPr="00226892" w:rsidRDefault="009F2456" w:rsidP="009F2456">
            <w:pPr>
              <w:rPr>
                <w:rFonts w:ascii="Arial" w:eastAsia="Times New Roman" w:hAnsi="Arial" w:cs="Arial"/>
                <w:b/>
                <w:bCs/>
                <w:color w:val="000000"/>
                <w:sz w:val="18"/>
                <w:szCs w:val="18"/>
                <w:lang w:val="sk-SK" w:eastAsia="sk-SK"/>
              </w:rPr>
            </w:pPr>
          </w:p>
        </w:tc>
        <w:tc>
          <w:tcPr>
            <w:tcW w:w="494" w:type="pct"/>
            <w:tcBorders>
              <w:top w:val="single" w:sz="4" w:space="0" w:color="auto"/>
              <w:left w:val="nil"/>
              <w:bottom w:val="double" w:sz="6" w:space="0" w:color="auto"/>
              <w:right w:val="nil"/>
            </w:tcBorders>
            <w:shd w:val="clear" w:color="auto" w:fill="auto"/>
            <w:vAlign w:val="bottom"/>
          </w:tcPr>
          <w:p w14:paraId="4C2270CD" w14:textId="5716F11E" w:rsidR="009F2456" w:rsidRPr="00226892" w:rsidRDefault="009F2456" w:rsidP="009F2456">
            <w:pPr>
              <w:jc w:val="right"/>
              <w:rPr>
                <w:rFonts w:ascii="Arial" w:eastAsia="Times New Roman" w:hAnsi="Arial" w:cs="Arial"/>
                <w:b/>
                <w:bCs/>
                <w:color w:val="000000"/>
                <w:sz w:val="18"/>
                <w:szCs w:val="18"/>
                <w:lang w:val="sk-SK" w:eastAsia="sk-SK"/>
              </w:rPr>
            </w:pPr>
            <w:r w:rsidRPr="00226892">
              <w:rPr>
                <w:rFonts w:ascii="Arial" w:hAnsi="Arial" w:cs="Arial"/>
                <w:b/>
                <w:bCs/>
                <w:color w:val="000000"/>
                <w:sz w:val="18"/>
                <w:szCs w:val="18"/>
              </w:rPr>
              <w:t>1</w:t>
            </w:r>
            <w:r w:rsidR="00584224" w:rsidRPr="00226892">
              <w:rPr>
                <w:rFonts w:ascii="Arial" w:hAnsi="Arial" w:cs="Arial"/>
                <w:b/>
                <w:bCs/>
                <w:color w:val="000000"/>
                <w:sz w:val="18"/>
                <w:szCs w:val="18"/>
              </w:rPr>
              <w:t>88 062</w:t>
            </w:r>
          </w:p>
        </w:tc>
        <w:tc>
          <w:tcPr>
            <w:tcW w:w="101" w:type="pct"/>
            <w:tcBorders>
              <w:top w:val="nil"/>
              <w:left w:val="nil"/>
              <w:bottom w:val="nil"/>
              <w:right w:val="nil"/>
            </w:tcBorders>
            <w:shd w:val="clear" w:color="auto" w:fill="auto"/>
            <w:vAlign w:val="bottom"/>
            <w:hideMark/>
          </w:tcPr>
          <w:p w14:paraId="604E41EF" w14:textId="77777777" w:rsidR="009F2456" w:rsidRPr="00226892" w:rsidRDefault="009F2456" w:rsidP="009F2456">
            <w:pPr>
              <w:jc w:val="right"/>
              <w:rPr>
                <w:rFonts w:ascii="Arial" w:eastAsia="Times New Roman" w:hAnsi="Arial" w:cs="Arial"/>
                <w:b/>
                <w:bCs/>
                <w:color w:val="000000"/>
                <w:sz w:val="18"/>
                <w:szCs w:val="18"/>
                <w:lang w:val="sk-SK" w:eastAsia="sk-SK"/>
              </w:rPr>
            </w:pPr>
          </w:p>
        </w:tc>
        <w:tc>
          <w:tcPr>
            <w:tcW w:w="513" w:type="pct"/>
            <w:tcBorders>
              <w:top w:val="single" w:sz="4" w:space="0" w:color="auto"/>
              <w:left w:val="nil"/>
              <w:bottom w:val="double" w:sz="6" w:space="0" w:color="auto"/>
              <w:right w:val="nil"/>
            </w:tcBorders>
            <w:shd w:val="clear" w:color="auto" w:fill="auto"/>
            <w:vAlign w:val="bottom"/>
            <w:hideMark/>
          </w:tcPr>
          <w:p w14:paraId="35446962" w14:textId="012638ED" w:rsidR="009F2456" w:rsidRPr="00226892" w:rsidRDefault="009F2456" w:rsidP="009F2456">
            <w:pPr>
              <w:jc w:val="right"/>
              <w:rPr>
                <w:rFonts w:ascii="Arial" w:eastAsia="Times New Roman" w:hAnsi="Arial" w:cs="Arial"/>
                <w:b/>
                <w:bCs/>
                <w:color w:val="000000"/>
                <w:sz w:val="18"/>
                <w:szCs w:val="18"/>
                <w:lang w:val="sk-SK" w:eastAsia="sk-SK"/>
              </w:rPr>
            </w:pPr>
            <w:r w:rsidRPr="00226892">
              <w:rPr>
                <w:rFonts w:ascii="Arial" w:hAnsi="Arial" w:cs="Arial"/>
                <w:b/>
                <w:bCs/>
                <w:color w:val="000000"/>
                <w:sz w:val="18"/>
                <w:szCs w:val="18"/>
              </w:rPr>
              <w:t xml:space="preserve">164 793    </w:t>
            </w:r>
          </w:p>
        </w:tc>
      </w:tr>
    </w:tbl>
    <w:p w14:paraId="364298BB" w14:textId="6C618A16" w:rsidR="00F77157" w:rsidRPr="00226892" w:rsidRDefault="008F23F8" w:rsidP="00833CC0">
      <w:pPr>
        <w:rPr>
          <w:rFonts w:ascii="Arial" w:hAnsi="Arial" w:cs="Arial"/>
        </w:rPr>
      </w:pPr>
      <w:r w:rsidRPr="00226892">
        <w:rPr>
          <w:rFonts w:ascii="Arial" w:hAnsi="Arial" w:cs="Arial"/>
        </w:rPr>
        <w:t xml:space="preserve"> </w:t>
      </w:r>
      <w:bookmarkEnd w:id="580"/>
      <w:r w:rsidRPr="00226892">
        <w:rPr>
          <w:rFonts w:ascii="Arial" w:hAnsi="Arial" w:cs="Arial"/>
        </w:rPr>
        <w:t xml:space="preserve"> </w:t>
      </w:r>
    </w:p>
    <w:p w14:paraId="1F691D18" w14:textId="77777777" w:rsidR="008248DB" w:rsidRPr="00226892" w:rsidRDefault="008248DB">
      <w:pPr>
        <w:rPr>
          <w:rFonts w:ascii="Arial" w:hAnsi="Arial" w:cs="Arial"/>
        </w:rPr>
      </w:pPr>
      <w:bookmarkStart w:id="581" w:name="_Toc325985815"/>
      <w:bookmarkStart w:id="582" w:name="_Toc387812518"/>
    </w:p>
    <w:p w14:paraId="45D08774" w14:textId="77777777" w:rsidR="008248DB" w:rsidRPr="00226892" w:rsidRDefault="008248DB">
      <w:pPr>
        <w:rPr>
          <w:rFonts w:ascii="Arial" w:hAnsi="Arial" w:cs="Arial"/>
        </w:rPr>
      </w:pPr>
    </w:p>
    <w:p w14:paraId="6D1BB676" w14:textId="77777777" w:rsidR="008248DB" w:rsidRPr="00226892" w:rsidRDefault="008248DB">
      <w:pPr>
        <w:rPr>
          <w:rFonts w:ascii="Arial" w:hAnsi="Arial" w:cs="Arial"/>
        </w:rPr>
      </w:pPr>
    </w:p>
    <w:p w14:paraId="690AAE6D" w14:textId="77777777" w:rsidR="008248DB" w:rsidRPr="00226892" w:rsidRDefault="008248DB">
      <w:pPr>
        <w:rPr>
          <w:rFonts w:ascii="Arial" w:hAnsi="Arial" w:cs="Arial"/>
        </w:rPr>
      </w:pPr>
    </w:p>
    <w:p w14:paraId="7D3BA9CA" w14:textId="77777777" w:rsidR="008248DB" w:rsidRPr="00226892" w:rsidRDefault="008248DB">
      <w:pPr>
        <w:rPr>
          <w:rFonts w:ascii="Arial" w:hAnsi="Arial" w:cs="Arial"/>
        </w:rPr>
      </w:pPr>
    </w:p>
    <w:p w14:paraId="59FB8D97" w14:textId="77777777" w:rsidR="008248DB" w:rsidRPr="00226892" w:rsidRDefault="008248DB">
      <w:pPr>
        <w:rPr>
          <w:rFonts w:ascii="Arial" w:hAnsi="Arial" w:cs="Arial"/>
        </w:rPr>
      </w:pPr>
    </w:p>
    <w:p w14:paraId="4C4B7F21" w14:textId="77777777" w:rsidR="008248DB" w:rsidRPr="00226892" w:rsidRDefault="008248DB">
      <w:pPr>
        <w:rPr>
          <w:rFonts w:ascii="Arial" w:hAnsi="Arial" w:cs="Arial"/>
        </w:rPr>
      </w:pPr>
    </w:p>
    <w:p w14:paraId="78D7D7CE" w14:textId="77777777" w:rsidR="008248DB" w:rsidRPr="00226892" w:rsidRDefault="008248DB">
      <w:pPr>
        <w:rPr>
          <w:rFonts w:ascii="Arial" w:hAnsi="Arial" w:cs="Arial"/>
        </w:rPr>
      </w:pPr>
    </w:p>
    <w:p w14:paraId="22989461" w14:textId="77777777" w:rsidR="008248DB" w:rsidRPr="00226892" w:rsidRDefault="008248DB">
      <w:pPr>
        <w:rPr>
          <w:rFonts w:ascii="Arial" w:hAnsi="Arial" w:cs="Arial"/>
        </w:rPr>
      </w:pPr>
    </w:p>
    <w:p w14:paraId="33E9FEBF" w14:textId="0B7F02BC" w:rsidR="00276019" w:rsidRPr="00226892" w:rsidRDefault="00276019">
      <w:pPr>
        <w:rPr>
          <w:rFonts w:ascii="Arial" w:hAnsi="Arial" w:cs="Arial"/>
          <w:b/>
          <w:snapToGrid w:val="0"/>
          <w:color w:val="000000"/>
        </w:rPr>
      </w:pPr>
      <w:r w:rsidRPr="00226892">
        <w:rPr>
          <w:rFonts w:ascii="Arial" w:hAnsi="Arial" w:cs="Arial"/>
        </w:rPr>
        <w:br w:type="page"/>
      </w:r>
    </w:p>
    <w:p w14:paraId="32DEC3CC" w14:textId="77777777" w:rsidR="00DA5E9D" w:rsidRPr="00226892" w:rsidRDefault="00DA5E9D" w:rsidP="003578C0">
      <w:pPr>
        <w:pStyle w:val="Nadpis3"/>
        <w:keepNext w:val="0"/>
        <w:widowControl/>
        <w:numPr>
          <w:ilvl w:val="0"/>
          <w:numId w:val="34"/>
        </w:numPr>
        <w:tabs>
          <w:tab w:val="clear" w:pos="1069"/>
          <w:tab w:val="num" w:pos="392"/>
        </w:tabs>
        <w:suppressAutoHyphens/>
        <w:spacing w:after="120"/>
        <w:ind w:left="1077" w:hanging="1077"/>
        <w:rPr>
          <w:rFonts w:ascii="Arial" w:hAnsi="Arial" w:cs="Arial"/>
          <w:sz w:val="20"/>
        </w:rPr>
      </w:pPr>
      <w:bookmarkStart w:id="583" w:name="_Toc27410011"/>
      <w:proofErr w:type="spellStart"/>
      <w:r w:rsidRPr="00226892">
        <w:rPr>
          <w:rFonts w:ascii="Arial" w:hAnsi="Arial" w:cs="Arial"/>
          <w:sz w:val="20"/>
        </w:rPr>
        <w:lastRenderedPageBreak/>
        <w:t>Prevádzkové</w:t>
      </w:r>
      <w:proofErr w:type="spellEnd"/>
      <w:r w:rsidRPr="00226892">
        <w:rPr>
          <w:rFonts w:ascii="Arial" w:hAnsi="Arial" w:cs="Arial"/>
          <w:sz w:val="20"/>
        </w:rPr>
        <w:t xml:space="preserve"> </w:t>
      </w:r>
      <w:proofErr w:type="spellStart"/>
      <w:r w:rsidRPr="00226892">
        <w:rPr>
          <w:rFonts w:ascii="Arial" w:hAnsi="Arial" w:cs="Arial"/>
          <w:sz w:val="20"/>
        </w:rPr>
        <w:t>náklady</w:t>
      </w:r>
      <w:proofErr w:type="spellEnd"/>
      <w:r w:rsidRPr="00226892">
        <w:rPr>
          <w:rFonts w:ascii="Arial" w:hAnsi="Arial" w:cs="Arial"/>
          <w:sz w:val="20"/>
        </w:rPr>
        <w:t xml:space="preserve"> / (-) </w:t>
      </w:r>
      <w:proofErr w:type="spellStart"/>
      <w:r w:rsidRPr="00226892">
        <w:rPr>
          <w:rFonts w:ascii="Arial" w:hAnsi="Arial" w:cs="Arial"/>
          <w:sz w:val="20"/>
        </w:rPr>
        <w:t>výnosy</w:t>
      </w:r>
      <w:bookmarkEnd w:id="581"/>
      <w:bookmarkEnd w:id="582"/>
      <w:bookmarkEnd w:id="583"/>
      <w:proofErr w:type="spellEnd"/>
    </w:p>
    <w:p w14:paraId="4EF3BEBE" w14:textId="77777777" w:rsidR="000342BC" w:rsidRPr="00226892" w:rsidRDefault="00DA5E9D" w:rsidP="00756C6D">
      <w:pPr>
        <w:rPr>
          <w:rFonts w:ascii="Arial" w:eastAsia="Times" w:hAnsi="Arial" w:cs="Arial"/>
          <w:bCs/>
          <w:snapToGrid w:val="0"/>
          <w:szCs w:val="18"/>
          <w:lang w:val="sk-SK"/>
        </w:rPr>
      </w:pPr>
      <w:r w:rsidRPr="00226892">
        <w:rPr>
          <w:rFonts w:ascii="Arial" w:hAnsi="Arial" w:cs="Arial"/>
          <w:szCs w:val="18"/>
          <w:lang w:val="sk-SK"/>
        </w:rPr>
        <w:t>Jednotlivé položky prevádzkových výnosov a nákladov sú nasledovné:</w:t>
      </w:r>
    </w:p>
    <w:p w14:paraId="3A5706BF" w14:textId="77777777" w:rsidR="00D33B6D" w:rsidRPr="00226892" w:rsidRDefault="0089294F" w:rsidP="00D33B6D">
      <w:pPr>
        <w:ind w:left="426"/>
        <w:rPr>
          <w:rFonts w:ascii="Arial" w:hAnsi="Arial" w:cs="Arial"/>
          <w:sz w:val="16"/>
          <w:szCs w:val="16"/>
          <w:lang w:val="sk-SK"/>
        </w:rPr>
      </w:pPr>
      <w:bookmarkStart w:id="584" w:name="FWT_OPEX"/>
      <w:r w:rsidRPr="00226892">
        <w:rPr>
          <w:rFonts w:ascii="Arial" w:hAnsi="Arial" w:cs="Arial"/>
          <w:highlight w:val="yellow"/>
          <w:lang w:val="sk-SK"/>
        </w:rPr>
        <w:t xml:space="preserve"> </w:t>
      </w:r>
    </w:p>
    <w:tbl>
      <w:tblPr>
        <w:tblW w:w="5000" w:type="pct"/>
        <w:tblCellMar>
          <w:left w:w="70" w:type="dxa"/>
          <w:right w:w="70" w:type="dxa"/>
        </w:tblCellMar>
        <w:tblLook w:val="04A0" w:firstRow="1" w:lastRow="0" w:firstColumn="1" w:lastColumn="0" w:noHBand="0" w:noVBand="1"/>
      </w:tblPr>
      <w:tblGrid>
        <w:gridCol w:w="5193"/>
        <w:gridCol w:w="198"/>
        <w:gridCol w:w="1974"/>
        <w:gridCol w:w="191"/>
        <w:gridCol w:w="2083"/>
      </w:tblGrid>
      <w:tr w:rsidR="00D33B6D" w:rsidRPr="00226892" w14:paraId="1D550008" w14:textId="77777777" w:rsidTr="00B55F9F">
        <w:trPr>
          <w:trHeight w:val="227"/>
        </w:trPr>
        <w:tc>
          <w:tcPr>
            <w:tcW w:w="2695" w:type="pct"/>
            <w:tcBorders>
              <w:top w:val="nil"/>
              <w:left w:val="nil"/>
              <w:bottom w:val="single" w:sz="4" w:space="0" w:color="auto"/>
              <w:right w:val="nil"/>
            </w:tcBorders>
            <w:shd w:val="clear" w:color="auto" w:fill="auto"/>
            <w:noWrap/>
            <w:vAlign w:val="bottom"/>
            <w:hideMark/>
          </w:tcPr>
          <w:p w14:paraId="37AAB05E" w14:textId="77777777" w:rsidR="00D33B6D" w:rsidRPr="00226892" w:rsidRDefault="00D33B6D" w:rsidP="00D33B6D">
            <w:pPr>
              <w:rPr>
                <w:rFonts w:ascii="Arial" w:eastAsia="Times New Roman" w:hAnsi="Arial" w:cs="Arial"/>
                <w:color w:val="000000"/>
                <w:sz w:val="18"/>
                <w:szCs w:val="18"/>
                <w:lang w:val="sk-SK" w:eastAsia="sk-SK"/>
              </w:rPr>
            </w:pPr>
            <w:bookmarkStart w:id="585" w:name="RANGE!C4:G60"/>
            <w:r w:rsidRPr="00226892">
              <w:rPr>
                <w:rFonts w:ascii="Arial" w:eastAsia="Times New Roman" w:hAnsi="Arial" w:cs="Arial"/>
                <w:color w:val="000000"/>
                <w:sz w:val="18"/>
                <w:szCs w:val="18"/>
                <w:lang w:val="sk-SK" w:eastAsia="sk-SK"/>
              </w:rPr>
              <w:t> </w:t>
            </w:r>
            <w:bookmarkEnd w:id="585"/>
          </w:p>
        </w:tc>
        <w:tc>
          <w:tcPr>
            <w:tcW w:w="104" w:type="pct"/>
            <w:tcBorders>
              <w:top w:val="nil"/>
              <w:left w:val="nil"/>
              <w:bottom w:val="single" w:sz="4" w:space="0" w:color="auto"/>
              <w:right w:val="nil"/>
            </w:tcBorders>
            <w:shd w:val="clear" w:color="auto" w:fill="auto"/>
            <w:vAlign w:val="bottom"/>
            <w:hideMark/>
          </w:tcPr>
          <w:p w14:paraId="2A3CDDF7" w14:textId="77777777" w:rsidR="00D33B6D" w:rsidRPr="00226892" w:rsidRDefault="00D33B6D" w:rsidP="00D33B6D">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025" w:type="pct"/>
            <w:tcBorders>
              <w:top w:val="nil"/>
              <w:left w:val="nil"/>
              <w:bottom w:val="single" w:sz="4" w:space="0" w:color="auto"/>
              <w:right w:val="nil"/>
            </w:tcBorders>
            <w:shd w:val="clear" w:color="auto" w:fill="auto"/>
            <w:vAlign w:val="bottom"/>
            <w:hideMark/>
          </w:tcPr>
          <w:p w14:paraId="7C1C2212" w14:textId="2CC45103" w:rsidR="00D33B6D" w:rsidRPr="00226892" w:rsidRDefault="00FD3AC5" w:rsidP="00D33B6D">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2018</w:t>
            </w:r>
          </w:p>
        </w:tc>
        <w:tc>
          <w:tcPr>
            <w:tcW w:w="95" w:type="pct"/>
            <w:tcBorders>
              <w:top w:val="nil"/>
              <w:left w:val="nil"/>
              <w:bottom w:val="single" w:sz="4" w:space="0" w:color="auto"/>
              <w:right w:val="nil"/>
            </w:tcBorders>
            <w:shd w:val="clear" w:color="auto" w:fill="auto"/>
            <w:vAlign w:val="bottom"/>
            <w:hideMark/>
          </w:tcPr>
          <w:p w14:paraId="5E540878" w14:textId="77777777" w:rsidR="00D33B6D" w:rsidRPr="00226892" w:rsidRDefault="00D33B6D" w:rsidP="00D33B6D">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w:t>
            </w:r>
          </w:p>
        </w:tc>
        <w:tc>
          <w:tcPr>
            <w:tcW w:w="1081" w:type="pct"/>
            <w:tcBorders>
              <w:top w:val="nil"/>
              <w:left w:val="nil"/>
              <w:bottom w:val="single" w:sz="4" w:space="0" w:color="auto"/>
              <w:right w:val="nil"/>
            </w:tcBorders>
            <w:shd w:val="clear" w:color="auto" w:fill="auto"/>
            <w:vAlign w:val="bottom"/>
            <w:hideMark/>
          </w:tcPr>
          <w:p w14:paraId="58D5CE37" w14:textId="0264AE9E" w:rsidR="00D33B6D" w:rsidRPr="00226892" w:rsidRDefault="00F63A77" w:rsidP="00D33B6D">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2017</w:t>
            </w:r>
          </w:p>
        </w:tc>
      </w:tr>
      <w:tr w:rsidR="00D33B6D" w:rsidRPr="00226892" w14:paraId="45254749" w14:textId="77777777" w:rsidTr="00B55F9F">
        <w:trPr>
          <w:trHeight w:val="227"/>
        </w:trPr>
        <w:tc>
          <w:tcPr>
            <w:tcW w:w="2695" w:type="pct"/>
            <w:tcBorders>
              <w:top w:val="nil"/>
              <w:left w:val="nil"/>
              <w:bottom w:val="nil"/>
              <w:right w:val="nil"/>
            </w:tcBorders>
            <w:shd w:val="clear" w:color="auto" w:fill="auto"/>
            <w:noWrap/>
            <w:vAlign w:val="bottom"/>
            <w:hideMark/>
          </w:tcPr>
          <w:p w14:paraId="60EEE388" w14:textId="77777777" w:rsidR="00D33B6D" w:rsidRPr="00226892" w:rsidRDefault="00D33B6D" w:rsidP="00D33B6D">
            <w:pPr>
              <w:rPr>
                <w:rFonts w:ascii="Arial" w:eastAsia="Times New Roman" w:hAnsi="Arial" w:cs="Arial"/>
                <w:i/>
                <w:iCs/>
                <w:color w:val="000000"/>
                <w:sz w:val="18"/>
                <w:szCs w:val="18"/>
                <w:lang w:val="sk-SK" w:eastAsia="sk-SK"/>
              </w:rPr>
            </w:pPr>
            <w:r w:rsidRPr="00226892">
              <w:rPr>
                <w:rFonts w:ascii="Arial" w:eastAsia="Times New Roman" w:hAnsi="Arial" w:cs="Arial"/>
                <w:i/>
                <w:iCs/>
                <w:color w:val="000000"/>
                <w:sz w:val="18"/>
                <w:szCs w:val="18"/>
                <w:lang w:val="sk-SK" w:eastAsia="sk-SK"/>
              </w:rPr>
              <w:t>Spotreba základného a ostatného materiálu</w:t>
            </w:r>
          </w:p>
        </w:tc>
        <w:tc>
          <w:tcPr>
            <w:tcW w:w="104" w:type="pct"/>
            <w:tcBorders>
              <w:top w:val="nil"/>
              <w:left w:val="nil"/>
              <w:bottom w:val="nil"/>
              <w:right w:val="nil"/>
            </w:tcBorders>
            <w:shd w:val="clear" w:color="auto" w:fill="auto"/>
            <w:vAlign w:val="bottom"/>
            <w:hideMark/>
          </w:tcPr>
          <w:p w14:paraId="479BD430" w14:textId="77777777" w:rsidR="00D33B6D" w:rsidRPr="00226892" w:rsidRDefault="00D33B6D" w:rsidP="00D33B6D">
            <w:pPr>
              <w:rPr>
                <w:rFonts w:ascii="Arial" w:eastAsia="Times New Roman" w:hAnsi="Arial" w:cs="Arial"/>
                <w:i/>
                <w:iCs/>
                <w:color w:val="000000"/>
                <w:sz w:val="18"/>
                <w:szCs w:val="18"/>
                <w:lang w:val="sk-SK" w:eastAsia="sk-SK"/>
              </w:rPr>
            </w:pPr>
          </w:p>
        </w:tc>
        <w:tc>
          <w:tcPr>
            <w:tcW w:w="1025" w:type="pct"/>
            <w:tcBorders>
              <w:top w:val="nil"/>
              <w:left w:val="nil"/>
              <w:bottom w:val="nil"/>
              <w:right w:val="nil"/>
            </w:tcBorders>
            <w:shd w:val="clear" w:color="auto" w:fill="auto"/>
            <w:vAlign w:val="bottom"/>
            <w:hideMark/>
          </w:tcPr>
          <w:p w14:paraId="402811F9" w14:textId="77777777" w:rsidR="00D33B6D" w:rsidRPr="00226892" w:rsidRDefault="00D33B6D" w:rsidP="00FD21B8">
            <w:pPr>
              <w:jc w:val="right"/>
              <w:rPr>
                <w:rFonts w:ascii="Arial" w:eastAsia="Times New Roman" w:hAnsi="Arial" w:cs="Arial"/>
                <w:sz w:val="18"/>
                <w:szCs w:val="18"/>
                <w:lang w:val="sk-SK" w:eastAsia="sk-SK"/>
              </w:rPr>
            </w:pPr>
          </w:p>
        </w:tc>
        <w:tc>
          <w:tcPr>
            <w:tcW w:w="95" w:type="pct"/>
            <w:tcBorders>
              <w:top w:val="nil"/>
              <w:left w:val="nil"/>
              <w:bottom w:val="nil"/>
              <w:right w:val="nil"/>
            </w:tcBorders>
            <w:shd w:val="clear" w:color="auto" w:fill="auto"/>
            <w:vAlign w:val="bottom"/>
            <w:hideMark/>
          </w:tcPr>
          <w:p w14:paraId="5C4663CF" w14:textId="77777777" w:rsidR="00D33B6D" w:rsidRPr="00226892" w:rsidRDefault="00D33B6D" w:rsidP="00FD21B8">
            <w:pPr>
              <w:jc w:val="right"/>
              <w:rPr>
                <w:rFonts w:ascii="Arial" w:eastAsia="Times New Roman" w:hAnsi="Arial" w:cs="Arial"/>
                <w:sz w:val="18"/>
                <w:szCs w:val="18"/>
                <w:lang w:val="sk-SK" w:eastAsia="sk-SK"/>
              </w:rPr>
            </w:pPr>
          </w:p>
        </w:tc>
        <w:tc>
          <w:tcPr>
            <w:tcW w:w="1081" w:type="pct"/>
            <w:tcBorders>
              <w:top w:val="nil"/>
              <w:left w:val="nil"/>
              <w:bottom w:val="nil"/>
              <w:right w:val="nil"/>
            </w:tcBorders>
            <w:shd w:val="clear" w:color="auto" w:fill="auto"/>
            <w:vAlign w:val="bottom"/>
            <w:hideMark/>
          </w:tcPr>
          <w:p w14:paraId="136FDAB0" w14:textId="77777777" w:rsidR="00D33B6D" w:rsidRPr="00226892" w:rsidRDefault="00D33B6D">
            <w:pPr>
              <w:jc w:val="right"/>
              <w:rPr>
                <w:rFonts w:ascii="Arial" w:eastAsia="Times New Roman" w:hAnsi="Arial" w:cs="Arial"/>
                <w:sz w:val="18"/>
                <w:szCs w:val="18"/>
                <w:lang w:val="sk-SK" w:eastAsia="sk-SK"/>
              </w:rPr>
            </w:pPr>
          </w:p>
        </w:tc>
      </w:tr>
      <w:tr w:rsidR="009F2456" w:rsidRPr="00226892" w14:paraId="41F5B375" w14:textId="77777777" w:rsidTr="00B55F9F">
        <w:trPr>
          <w:trHeight w:val="227"/>
        </w:trPr>
        <w:tc>
          <w:tcPr>
            <w:tcW w:w="2695" w:type="pct"/>
            <w:tcBorders>
              <w:top w:val="nil"/>
              <w:left w:val="nil"/>
              <w:bottom w:val="nil"/>
              <w:right w:val="nil"/>
            </w:tcBorders>
            <w:shd w:val="clear" w:color="auto" w:fill="auto"/>
            <w:vAlign w:val="bottom"/>
            <w:hideMark/>
          </w:tcPr>
          <w:p w14:paraId="422CA1F2" w14:textId="77777777"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Spotreba materiálu</w:t>
            </w:r>
          </w:p>
        </w:tc>
        <w:tc>
          <w:tcPr>
            <w:tcW w:w="104" w:type="pct"/>
            <w:tcBorders>
              <w:top w:val="nil"/>
              <w:left w:val="nil"/>
              <w:bottom w:val="nil"/>
              <w:right w:val="nil"/>
            </w:tcBorders>
            <w:shd w:val="clear" w:color="auto" w:fill="auto"/>
            <w:vAlign w:val="bottom"/>
            <w:hideMark/>
          </w:tcPr>
          <w:p w14:paraId="454DA65E" w14:textId="77777777" w:rsidR="009F2456" w:rsidRPr="00226892" w:rsidRDefault="009F2456" w:rsidP="009F2456">
            <w:pPr>
              <w:rPr>
                <w:rFonts w:ascii="Arial" w:eastAsia="Times New Roman" w:hAnsi="Arial" w:cs="Arial"/>
                <w:color w:val="000000"/>
                <w:sz w:val="18"/>
                <w:szCs w:val="18"/>
                <w:lang w:val="sk-SK" w:eastAsia="sk-SK"/>
              </w:rPr>
            </w:pPr>
          </w:p>
        </w:tc>
        <w:tc>
          <w:tcPr>
            <w:tcW w:w="1025" w:type="pct"/>
            <w:tcBorders>
              <w:top w:val="nil"/>
              <w:left w:val="nil"/>
              <w:bottom w:val="nil"/>
              <w:right w:val="nil"/>
            </w:tcBorders>
            <w:shd w:val="clear" w:color="auto" w:fill="auto"/>
            <w:vAlign w:val="bottom"/>
          </w:tcPr>
          <w:p w14:paraId="4EF43BBD" w14:textId="5FB68EA0"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11</w:t>
            </w:r>
            <w:r w:rsidR="00584224" w:rsidRPr="00226892">
              <w:rPr>
                <w:rFonts w:ascii="Arial" w:eastAsia="Times New Roman" w:hAnsi="Arial" w:cs="Arial"/>
                <w:color w:val="000000"/>
                <w:sz w:val="18"/>
                <w:szCs w:val="18"/>
                <w:lang w:val="sk-SK" w:eastAsia="sk-SK"/>
              </w:rPr>
              <w:t>0 920</w:t>
            </w:r>
          </w:p>
        </w:tc>
        <w:tc>
          <w:tcPr>
            <w:tcW w:w="95" w:type="pct"/>
            <w:tcBorders>
              <w:top w:val="nil"/>
              <w:left w:val="nil"/>
              <w:bottom w:val="nil"/>
              <w:right w:val="nil"/>
            </w:tcBorders>
            <w:shd w:val="clear" w:color="auto" w:fill="auto"/>
            <w:vAlign w:val="bottom"/>
          </w:tcPr>
          <w:p w14:paraId="0AA4A877"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1081" w:type="pct"/>
            <w:tcBorders>
              <w:top w:val="nil"/>
              <w:left w:val="nil"/>
              <w:bottom w:val="nil"/>
              <w:right w:val="nil"/>
            </w:tcBorders>
            <w:shd w:val="clear" w:color="auto" w:fill="auto"/>
            <w:vAlign w:val="bottom"/>
          </w:tcPr>
          <w:p w14:paraId="69DF98CC" w14:textId="6738C940"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98 865</w:t>
            </w:r>
          </w:p>
        </w:tc>
      </w:tr>
      <w:tr w:rsidR="009F2456" w:rsidRPr="00226892" w14:paraId="090BDAF4" w14:textId="77777777" w:rsidTr="00B55F9F">
        <w:trPr>
          <w:trHeight w:val="227"/>
        </w:trPr>
        <w:tc>
          <w:tcPr>
            <w:tcW w:w="2695" w:type="pct"/>
            <w:tcBorders>
              <w:top w:val="nil"/>
              <w:left w:val="nil"/>
              <w:bottom w:val="nil"/>
              <w:right w:val="nil"/>
            </w:tcBorders>
            <w:shd w:val="clear" w:color="auto" w:fill="auto"/>
            <w:noWrap/>
            <w:vAlign w:val="bottom"/>
            <w:hideMark/>
          </w:tcPr>
          <w:p w14:paraId="09F2782F" w14:textId="77777777"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Pomocné náklady</w:t>
            </w:r>
          </w:p>
        </w:tc>
        <w:tc>
          <w:tcPr>
            <w:tcW w:w="104" w:type="pct"/>
            <w:tcBorders>
              <w:top w:val="nil"/>
              <w:left w:val="nil"/>
              <w:bottom w:val="nil"/>
              <w:right w:val="nil"/>
            </w:tcBorders>
            <w:shd w:val="clear" w:color="auto" w:fill="auto"/>
            <w:vAlign w:val="bottom"/>
            <w:hideMark/>
          </w:tcPr>
          <w:p w14:paraId="35F94D09" w14:textId="77777777" w:rsidR="009F2456" w:rsidRPr="00226892" w:rsidRDefault="009F2456" w:rsidP="009F2456">
            <w:pPr>
              <w:rPr>
                <w:rFonts w:ascii="Arial" w:eastAsia="Times New Roman" w:hAnsi="Arial" w:cs="Arial"/>
                <w:color w:val="000000"/>
                <w:sz w:val="18"/>
                <w:szCs w:val="18"/>
                <w:lang w:val="sk-SK" w:eastAsia="sk-SK"/>
              </w:rPr>
            </w:pPr>
          </w:p>
        </w:tc>
        <w:tc>
          <w:tcPr>
            <w:tcW w:w="1025" w:type="pct"/>
            <w:tcBorders>
              <w:top w:val="nil"/>
              <w:left w:val="nil"/>
              <w:bottom w:val="nil"/>
              <w:right w:val="nil"/>
            </w:tcBorders>
            <w:shd w:val="clear" w:color="auto" w:fill="auto"/>
            <w:vAlign w:val="bottom"/>
          </w:tcPr>
          <w:p w14:paraId="380D2152" w14:textId="449CFE57" w:rsidR="009F2456" w:rsidRPr="00226892" w:rsidRDefault="00584224"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8 378</w:t>
            </w:r>
          </w:p>
        </w:tc>
        <w:tc>
          <w:tcPr>
            <w:tcW w:w="95" w:type="pct"/>
            <w:tcBorders>
              <w:top w:val="nil"/>
              <w:left w:val="nil"/>
              <w:bottom w:val="nil"/>
              <w:right w:val="nil"/>
            </w:tcBorders>
            <w:shd w:val="clear" w:color="auto" w:fill="auto"/>
            <w:vAlign w:val="bottom"/>
          </w:tcPr>
          <w:p w14:paraId="6AC41277"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1081" w:type="pct"/>
            <w:tcBorders>
              <w:top w:val="nil"/>
              <w:left w:val="nil"/>
              <w:bottom w:val="nil"/>
              <w:right w:val="nil"/>
            </w:tcBorders>
            <w:shd w:val="clear" w:color="auto" w:fill="auto"/>
            <w:vAlign w:val="bottom"/>
          </w:tcPr>
          <w:p w14:paraId="7F054A99" w14:textId="3AB52B74"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8 151</w:t>
            </w:r>
          </w:p>
        </w:tc>
      </w:tr>
      <w:tr w:rsidR="009F2456" w:rsidRPr="00226892" w14:paraId="694E79E3" w14:textId="77777777" w:rsidTr="00B55F9F">
        <w:trPr>
          <w:trHeight w:val="227"/>
        </w:trPr>
        <w:tc>
          <w:tcPr>
            <w:tcW w:w="2695" w:type="pct"/>
            <w:tcBorders>
              <w:top w:val="nil"/>
              <w:left w:val="nil"/>
              <w:bottom w:val="nil"/>
              <w:right w:val="nil"/>
            </w:tcBorders>
            <w:shd w:val="clear" w:color="auto" w:fill="auto"/>
            <w:noWrap/>
            <w:vAlign w:val="bottom"/>
            <w:hideMark/>
          </w:tcPr>
          <w:p w14:paraId="26DB706C" w14:textId="77777777" w:rsidR="009F2456" w:rsidRPr="00226892" w:rsidRDefault="009F2456" w:rsidP="009F2456">
            <w:pPr>
              <w:rPr>
                <w:rFonts w:ascii="Arial" w:eastAsia="Times New Roman" w:hAnsi="Arial" w:cs="Arial"/>
                <w:color w:val="000000"/>
                <w:sz w:val="18"/>
                <w:szCs w:val="18"/>
                <w:lang w:val="sk-SK" w:eastAsia="sk-SK"/>
              </w:rPr>
            </w:pPr>
          </w:p>
        </w:tc>
        <w:tc>
          <w:tcPr>
            <w:tcW w:w="104" w:type="pct"/>
            <w:tcBorders>
              <w:top w:val="nil"/>
              <w:left w:val="nil"/>
              <w:bottom w:val="nil"/>
              <w:right w:val="nil"/>
            </w:tcBorders>
            <w:shd w:val="clear" w:color="auto" w:fill="auto"/>
            <w:vAlign w:val="bottom"/>
            <w:hideMark/>
          </w:tcPr>
          <w:p w14:paraId="4B74B866" w14:textId="77777777" w:rsidR="009F2456" w:rsidRPr="00226892" w:rsidRDefault="009F2456" w:rsidP="009F2456">
            <w:pPr>
              <w:rPr>
                <w:rFonts w:ascii="Arial" w:eastAsia="Times New Roman" w:hAnsi="Arial" w:cs="Arial"/>
                <w:sz w:val="18"/>
                <w:szCs w:val="18"/>
                <w:lang w:val="sk-SK" w:eastAsia="sk-SK"/>
              </w:rPr>
            </w:pPr>
          </w:p>
        </w:tc>
        <w:tc>
          <w:tcPr>
            <w:tcW w:w="1025" w:type="pct"/>
            <w:tcBorders>
              <w:top w:val="single" w:sz="4" w:space="0" w:color="auto"/>
              <w:left w:val="nil"/>
              <w:bottom w:val="double" w:sz="6" w:space="0" w:color="auto"/>
              <w:right w:val="nil"/>
            </w:tcBorders>
            <w:shd w:val="clear" w:color="auto" w:fill="auto"/>
            <w:vAlign w:val="bottom"/>
          </w:tcPr>
          <w:p w14:paraId="57D300BD" w14:textId="48607C55" w:rsidR="009F2456" w:rsidRPr="00226892" w:rsidRDefault="009F2456" w:rsidP="009F245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w:t>
            </w:r>
            <w:r w:rsidR="00584224" w:rsidRPr="00226892">
              <w:rPr>
                <w:rFonts w:ascii="Arial" w:eastAsia="Times New Roman" w:hAnsi="Arial" w:cs="Arial"/>
                <w:b/>
                <w:bCs/>
                <w:color w:val="000000"/>
                <w:sz w:val="18"/>
                <w:szCs w:val="18"/>
                <w:lang w:val="sk-SK" w:eastAsia="sk-SK"/>
              </w:rPr>
              <w:t>19 298</w:t>
            </w:r>
          </w:p>
        </w:tc>
        <w:tc>
          <w:tcPr>
            <w:tcW w:w="95" w:type="pct"/>
            <w:tcBorders>
              <w:top w:val="nil"/>
              <w:left w:val="nil"/>
              <w:bottom w:val="nil"/>
              <w:right w:val="nil"/>
            </w:tcBorders>
            <w:shd w:val="clear" w:color="auto" w:fill="auto"/>
            <w:vAlign w:val="bottom"/>
          </w:tcPr>
          <w:p w14:paraId="54D02AC6" w14:textId="77777777" w:rsidR="009F2456" w:rsidRPr="00226892" w:rsidRDefault="009F2456" w:rsidP="009F2456">
            <w:pPr>
              <w:jc w:val="right"/>
              <w:rPr>
                <w:rFonts w:ascii="Arial" w:eastAsia="Times New Roman" w:hAnsi="Arial" w:cs="Arial"/>
                <w:b/>
                <w:bCs/>
                <w:color w:val="000000"/>
                <w:sz w:val="18"/>
                <w:szCs w:val="18"/>
                <w:lang w:val="sk-SK" w:eastAsia="sk-SK"/>
              </w:rPr>
            </w:pPr>
          </w:p>
        </w:tc>
        <w:tc>
          <w:tcPr>
            <w:tcW w:w="1081" w:type="pct"/>
            <w:tcBorders>
              <w:top w:val="single" w:sz="4" w:space="0" w:color="auto"/>
              <w:left w:val="nil"/>
              <w:bottom w:val="double" w:sz="6" w:space="0" w:color="auto"/>
              <w:right w:val="nil"/>
            </w:tcBorders>
            <w:shd w:val="clear" w:color="auto" w:fill="auto"/>
            <w:vAlign w:val="bottom"/>
          </w:tcPr>
          <w:p w14:paraId="5105DF25" w14:textId="5DF3B79E" w:rsidR="009F2456" w:rsidRPr="00226892" w:rsidRDefault="009F2456" w:rsidP="009F245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107 016</w:t>
            </w:r>
          </w:p>
        </w:tc>
      </w:tr>
      <w:tr w:rsidR="009F2456" w:rsidRPr="00226892" w14:paraId="711B2382" w14:textId="77777777" w:rsidTr="00B55F9F">
        <w:trPr>
          <w:trHeight w:val="227"/>
        </w:trPr>
        <w:tc>
          <w:tcPr>
            <w:tcW w:w="2695" w:type="pct"/>
            <w:tcBorders>
              <w:top w:val="nil"/>
              <w:left w:val="nil"/>
              <w:bottom w:val="nil"/>
              <w:right w:val="nil"/>
            </w:tcBorders>
            <w:shd w:val="clear" w:color="auto" w:fill="auto"/>
            <w:noWrap/>
            <w:vAlign w:val="bottom"/>
            <w:hideMark/>
          </w:tcPr>
          <w:p w14:paraId="02A6E571" w14:textId="77777777" w:rsidR="009F2456" w:rsidRPr="00226892" w:rsidRDefault="009F2456" w:rsidP="009F2456">
            <w:pPr>
              <w:rPr>
                <w:rFonts w:ascii="Arial" w:eastAsia="Times New Roman" w:hAnsi="Arial" w:cs="Arial"/>
                <w:i/>
                <w:iCs/>
                <w:color w:val="000000"/>
                <w:sz w:val="18"/>
                <w:szCs w:val="18"/>
                <w:lang w:val="sk-SK" w:eastAsia="sk-SK"/>
              </w:rPr>
            </w:pPr>
            <w:r w:rsidRPr="00226892">
              <w:rPr>
                <w:rFonts w:ascii="Arial" w:eastAsia="Times New Roman" w:hAnsi="Arial" w:cs="Arial"/>
                <w:i/>
                <w:iCs/>
                <w:color w:val="000000"/>
                <w:sz w:val="18"/>
                <w:szCs w:val="18"/>
                <w:lang w:val="sk-SK" w:eastAsia="sk-SK"/>
              </w:rPr>
              <w:t>Služby</w:t>
            </w:r>
          </w:p>
        </w:tc>
        <w:tc>
          <w:tcPr>
            <w:tcW w:w="104" w:type="pct"/>
            <w:tcBorders>
              <w:top w:val="nil"/>
              <w:left w:val="nil"/>
              <w:bottom w:val="nil"/>
              <w:right w:val="nil"/>
            </w:tcBorders>
            <w:shd w:val="clear" w:color="auto" w:fill="auto"/>
            <w:vAlign w:val="bottom"/>
            <w:hideMark/>
          </w:tcPr>
          <w:p w14:paraId="57BCC9B6" w14:textId="77777777" w:rsidR="009F2456" w:rsidRPr="00226892" w:rsidRDefault="009F2456" w:rsidP="009F2456">
            <w:pPr>
              <w:rPr>
                <w:rFonts w:ascii="Arial" w:eastAsia="Times New Roman" w:hAnsi="Arial" w:cs="Arial"/>
                <w:i/>
                <w:iCs/>
                <w:color w:val="000000"/>
                <w:sz w:val="18"/>
                <w:szCs w:val="18"/>
                <w:lang w:val="sk-SK" w:eastAsia="sk-SK"/>
              </w:rPr>
            </w:pPr>
          </w:p>
        </w:tc>
        <w:tc>
          <w:tcPr>
            <w:tcW w:w="1025" w:type="pct"/>
            <w:tcBorders>
              <w:top w:val="nil"/>
              <w:left w:val="nil"/>
              <w:bottom w:val="nil"/>
              <w:right w:val="nil"/>
            </w:tcBorders>
            <w:shd w:val="clear" w:color="auto" w:fill="auto"/>
            <w:vAlign w:val="bottom"/>
          </w:tcPr>
          <w:p w14:paraId="009324AA" w14:textId="77777777" w:rsidR="009F2456" w:rsidRPr="00226892" w:rsidRDefault="009F2456" w:rsidP="009F2456">
            <w:pPr>
              <w:jc w:val="right"/>
              <w:rPr>
                <w:rFonts w:ascii="Arial" w:eastAsia="Times New Roman" w:hAnsi="Arial" w:cs="Arial"/>
                <w:sz w:val="18"/>
                <w:szCs w:val="18"/>
                <w:lang w:val="sk-SK" w:eastAsia="sk-SK"/>
              </w:rPr>
            </w:pPr>
          </w:p>
        </w:tc>
        <w:tc>
          <w:tcPr>
            <w:tcW w:w="95" w:type="pct"/>
            <w:tcBorders>
              <w:top w:val="nil"/>
              <w:left w:val="nil"/>
              <w:bottom w:val="nil"/>
              <w:right w:val="nil"/>
            </w:tcBorders>
            <w:shd w:val="clear" w:color="auto" w:fill="auto"/>
            <w:vAlign w:val="bottom"/>
          </w:tcPr>
          <w:p w14:paraId="27F23433" w14:textId="77777777" w:rsidR="009F2456" w:rsidRPr="00226892" w:rsidRDefault="009F2456" w:rsidP="009F2456">
            <w:pPr>
              <w:jc w:val="right"/>
              <w:rPr>
                <w:rFonts w:ascii="Arial" w:eastAsia="Times New Roman" w:hAnsi="Arial" w:cs="Arial"/>
                <w:sz w:val="18"/>
                <w:szCs w:val="18"/>
                <w:lang w:val="sk-SK" w:eastAsia="sk-SK"/>
              </w:rPr>
            </w:pPr>
          </w:p>
        </w:tc>
        <w:tc>
          <w:tcPr>
            <w:tcW w:w="1081" w:type="pct"/>
            <w:tcBorders>
              <w:top w:val="nil"/>
              <w:left w:val="nil"/>
              <w:bottom w:val="nil"/>
              <w:right w:val="nil"/>
            </w:tcBorders>
            <w:shd w:val="clear" w:color="auto" w:fill="auto"/>
            <w:vAlign w:val="bottom"/>
          </w:tcPr>
          <w:p w14:paraId="11C942FA" w14:textId="77777777" w:rsidR="009F2456" w:rsidRPr="00226892" w:rsidRDefault="009F2456" w:rsidP="009F2456">
            <w:pPr>
              <w:jc w:val="right"/>
              <w:rPr>
                <w:rFonts w:ascii="Arial" w:eastAsia="Times New Roman" w:hAnsi="Arial" w:cs="Arial"/>
                <w:sz w:val="18"/>
                <w:szCs w:val="18"/>
                <w:lang w:val="sk-SK" w:eastAsia="sk-SK"/>
              </w:rPr>
            </w:pPr>
          </w:p>
        </w:tc>
      </w:tr>
      <w:tr w:rsidR="009F2456" w:rsidRPr="00226892" w14:paraId="59095985" w14:textId="77777777" w:rsidTr="00B55F9F">
        <w:trPr>
          <w:trHeight w:val="227"/>
        </w:trPr>
        <w:tc>
          <w:tcPr>
            <w:tcW w:w="2695" w:type="pct"/>
            <w:tcBorders>
              <w:top w:val="nil"/>
              <w:left w:val="nil"/>
              <w:bottom w:val="nil"/>
              <w:right w:val="nil"/>
            </w:tcBorders>
            <w:shd w:val="clear" w:color="auto" w:fill="auto"/>
            <w:vAlign w:val="bottom"/>
            <w:hideMark/>
          </w:tcPr>
          <w:p w14:paraId="236C2567" w14:textId="77777777"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Nájomné</w:t>
            </w:r>
          </w:p>
        </w:tc>
        <w:tc>
          <w:tcPr>
            <w:tcW w:w="104" w:type="pct"/>
            <w:tcBorders>
              <w:top w:val="nil"/>
              <w:left w:val="nil"/>
              <w:bottom w:val="nil"/>
              <w:right w:val="nil"/>
            </w:tcBorders>
            <w:shd w:val="clear" w:color="auto" w:fill="auto"/>
            <w:vAlign w:val="bottom"/>
            <w:hideMark/>
          </w:tcPr>
          <w:p w14:paraId="06E3AB6D" w14:textId="77777777" w:rsidR="009F2456" w:rsidRPr="00226892" w:rsidRDefault="009F2456" w:rsidP="009F2456">
            <w:pPr>
              <w:rPr>
                <w:rFonts w:ascii="Arial" w:eastAsia="Times New Roman" w:hAnsi="Arial" w:cs="Arial"/>
                <w:color w:val="000000"/>
                <w:sz w:val="18"/>
                <w:szCs w:val="18"/>
                <w:lang w:val="sk-SK" w:eastAsia="sk-SK"/>
              </w:rPr>
            </w:pPr>
          </w:p>
        </w:tc>
        <w:tc>
          <w:tcPr>
            <w:tcW w:w="1025" w:type="pct"/>
            <w:tcBorders>
              <w:top w:val="nil"/>
              <w:left w:val="nil"/>
              <w:bottom w:val="nil"/>
              <w:right w:val="nil"/>
            </w:tcBorders>
            <w:shd w:val="clear" w:color="auto" w:fill="auto"/>
            <w:vAlign w:val="bottom"/>
          </w:tcPr>
          <w:p w14:paraId="67342141" w14:textId="69D7FE30"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1 657</w:t>
            </w:r>
          </w:p>
        </w:tc>
        <w:tc>
          <w:tcPr>
            <w:tcW w:w="95" w:type="pct"/>
            <w:tcBorders>
              <w:top w:val="nil"/>
              <w:left w:val="nil"/>
              <w:bottom w:val="nil"/>
              <w:right w:val="nil"/>
            </w:tcBorders>
            <w:shd w:val="clear" w:color="auto" w:fill="auto"/>
            <w:vAlign w:val="bottom"/>
          </w:tcPr>
          <w:p w14:paraId="55EC9E58"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1081" w:type="pct"/>
            <w:tcBorders>
              <w:top w:val="nil"/>
              <w:left w:val="nil"/>
              <w:bottom w:val="nil"/>
              <w:right w:val="nil"/>
            </w:tcBorders>
            <w:shd w:val="clear" w:color="auto" w:fill="auto"/>
            <w:vAlign w:val="bottom"/>
          </w:tcPr>
          <w:p w14:paraId="718366BD" w14:textId="1E3F76D1"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1 454</w:t>
            </w:r>
          </w:p>
        </w:tc>
      </w:tr>
      <w:tr w:rsidR="009F2456" w:rsidRPr="00226892" w14:paraId="15B6C19A" w14:textId="77777777" w:rsidTr="00B55F9F">
        <w:trPr>
          <w:trHeight w:val="227"/>
        </w:trPr>
        <w:tc>
          <w:tcPr>
            <w:tcW w:w="2695" w:type="pct"/>
            <w:tcBorders>
              <w:top w:val="nil"/>
              <w:left w:val="nil"/>
              <w:bottom w:val="nil"/>
              <w:right w:val="nil"/>
            </w:tcBorders>
            <w:shd w:val="clear" w:color="auto" w:fill="auto"/>
            <w:noWrap/>
            <w:vAlign w:val="bottom"/>
            <w:hideMark/>
          </w:tcPr>
          <w:p w14:paraId="56BC1CB4" w14:textId="77777777"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Preprava</w:t>
            </w:r>
          </w:p>
        </w:tc>
        <w:tc>
          <w:tcPr>
            <w:tcW w:w="104" w:type="pct"/>
            <w:tcBorders>
              <w:top w:val="nil"/>
              <w:left w:val="nil"/>
              <w:bottom w:val="nil"/>
              <w:right w:val="nil"/>
            </w:tcBorders>
            <w:shd w:val="clear" w:color="auto" w:fill="auto"/>
            <w:vAlign w:val="bottom"/>
            <w:hideMark/>
          </w:tcPr>
          <w:p w14:paraId="09A619FC" w14:textId="77777777" w:rsidR="009F2456" w:rsidRPr="00226892" w:rsidRDefault="009F2456" w:rsidP="009F2456">
            <w:pPr>
              <w:rPr>
                <w:rFonts w:ascii="Arial" w:eastAsia="Times New Roman" w:hAnsi="Arial" w:cs="Arial"/>
                <w:color w:val="000000"/>
                <w:sz w:val="18"/>
                <w:szCs w:val="18"/>
                <w:lang w:val="sk-SK" w:eastAsia="sk-SK"/>
              </w:rPr>
            </w:pPr>
          </w:p>
        </w:tc>
        <w:tc>
          <w:tcPr>
            <w:tcW w:w="1025" w:type="pct"/>
            <w:tcBorders>
              <w:top w:val="nil"/>
              <w:left w:val="nil"/>
              <w:bottom w:val="nil"/>
              <w:right w:val="nil"/>
            </w:tcBorders>
            <w:shd w:val="clear" w:color="auto" w:fill="auto"/>
            <w:vAlign w:val="bottom"/>
          </w:tcPr>
          <w:p w14:paraId="443F7DF0" w14:textId="03BE01AD"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2 988</w:t>
            </w:r>
          </w:p>
        </w:tc>
        <w:tc>
          <w:tcPr>
            <w:tcW w:w="95" w:type="pct"/>
            <w:tcBorders>
              <w:top w:val="nil"/>
              <w:left w:val="nil"/>
              <w:bottom w:val="nil"/>
              <w:right w:val="nil"/>
            </w:tcBorders>
            <w:shd w:val="clear" w:color="auto" w:fill="auto"/>
            <w:vAlign w:val="bottom"/>
          </w:tcPr>
          <w:p w14:paraId="52CF2C2A"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1081" w:type="pct"/>
            <w:tcBorders>
              <w:top w:val="nil"/>
              <w:left w:val="nil"/>
              <w:bottom w:val="nil"/>
              <w:right w:val="nil"/>
            </w:tcBorders>
            <w:shd w:val="clear" w:color="auto" w:fill="auto"/>
            <w:vAlign w:val="bottom"/>
          </w:tcPr>
          <w:p w14:paraId="70DE2823" w14:textId="2B5303D8"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2 735</w:t>
            </w:r>
          </w:p>
        </w:tc>
      </w:tr>
      <w:tr w:rsidR="009F2456" w:rsidRPr="00226892" w14:paraId="45A11A3A" w14:textId="77777777" w:rsidTr="00B55F9F">
        <w:trPr>
          <w:trHeight w:val="227"/>
        </w:trPr>
        <w:tc>
          <w:tcPr>
            <w:tcW w:w="2695" w:type="pct"/>
            <w:tcBorders>
              <w:top w:val="nil"/>
              <w:left w:val="nil"/>
              <w:bottom w:val="nil"/>
              <w:right w:val="nil"/>
            </w:tcBorders>
            <w:shd w:val="clear" w:color="auto" w:fill="auto"/>
            <w:vAlign w:val="bottom"/>
            <w:hideMark/>
          </w:tcPr>
          <w:p w14:paraId="1F2DE03A" w14:textId="77777777"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Personálny leasing</w:t>
            </w:r>
          </w:p>
        </w:tc>
        <w:tc>
          <w:tcPr>
            <w:tcW w:w="104" w:type="pct"/>
            <w:tcBorders>
              <w:top w:val="nil"/>
              <w:left w:val="nil"/>
              <w:bottom w:val="nil"/>
              <w:right w:val="nil"/>
            </w:tcBorders>
            <w:shd w:val="clear" w:color="auto" w:fill="auto"/>
            <w:vAlign w:val="bottom"/>
            <w:hideMark/>
          </w:tcPr>
          <w:p w14:paraId="3DFFDC26" w14:textId="77777777" w:rsidR="009F2456" w:rsidRPr="00226892" w:rsidRDefault="009F2456" w:rsidP="009F2456">
            <w:pPr>
              <w:rPr>
                <w:rFonts w:ascii="Arial" w:eastAsia="Times New Roman" w:hAnsi="Arial" w:cs="Arial"/>
                <w:color w:val="000000"/>
                <w:sz w:val="18"/>
                <w:szCs w:val="18"/>
                <w:lang w:val="sk-SK" w:eastAsia="sk-SK"/>
              </w:rPr>
            </w:pPr>
          </w:p>
        </w:tc>
        <w:tc>
          <w:tcPr>
            <w:tcW w:w="1025" w:type="pct"/>
            <w:tcBorders>
              <w:top w:val="nil"/>
              <w:left w:val="nil"/>
              <w:bottom w:val="nil"/>
              <w:right w:val="nil"/>
            </w:tcBorders>
            <w:shd w:val="clear" w:color="auto" w:fill="auto"/>
            <w:vAlign w:val="bottom"/>
          </w:tcPr>
          <w:p w14:paraId="1BAD77CC" w14:textId="2AC73F93"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6 699</w:t>
            </w:r>
          </w:p>
        </w:tc>
        <w:tc>
          <w:tcPr>
            <w:tcW w:w="95" w:type="pct"/>
            <w:tcBorders>
              <w:top w:val="nil"/>
              <w:left w:val="nil"/>
              <w:bottom w:val="nil"/>
              <w:right w:val="nil"/>
            </w:tcBorders>
            <w:shd w:val="clear" w:color="auto" w:fill="auto"/>
            <w:vAlign w:val="bottom"/>
          </w:tcPr>
          <w:p w14:paraId="68D9865A"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1081" w:type="pct"/>
            <w:tcBorders>
              <w:top w:val="nil"/>
              <w:left w:val="nil"/>
              <w:bottom w:val="nil"/>
              <w:right w:val="nil"/>
            </w:tcBorders>
            <w:shd w:val="clear" w:color="auto" w:fill="auto"/>
            <w:vAlign w:val="bottom"/>
          </w:tcPr>
          <w:p w14:paraId="7C042234" w14:textId="38DEB688"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6 057</w:t>
            </w:r>
          </w:p>
        </w:tc>
      </w:tr>
      <w:tr w:rsidR="009F2456" w:rsidRPr="00226892" w14:paraId="2636D703" w14:textId="77777777" w:rsidTr="00B55F9F">
        <w:trPr>
          <w:trHeight w:val="227"/>
        </w:trPr>
        <w:tc>
          <w:tcPr>
            <w:tcW w:w="2695" w:type="pct"/>
            <w:tcBorders>
              <w:top w:val="nil"/>
              <w:left w:val="nil"/>
              <w:bottom w:val="nil"/>
              <w:right w:val="nil"/>
            </w:tcBorders>
            <w:shd w:val="clear" w:color="auto" w:fill="auto"/>
            <w:noWrap/>
            <w:vAlign w:val="bottom"/>
            <w:hideMark/>
          </w:tcPr>
          <w:p w14:paraId="50780E4B" w14:textId="77777777"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Náklady na reklamu</w:t>
            </w:r>
          </w:p>
        </w:tc>
        <w:tc>
          <w:tcPr>
            <w:tcW w:w="104" w:type="pct"/>
            <w:tcBorders>
              <w:top w:val="nil"/>
              <w:left w:val="nil"/>
              <w:bottom w:val="nil"/>
              <w:right w:val="nil"/>
            </w:tcBorders>
            <w:shd w:val="clear" w:color="auto" w:fill="auto"/>
            <w:vAlign w:val="bottom"/>
            <w:hideMark/>
          </w:tcPr>
          <w:p w14:paraId="28C92A51" w14:textId="77777777" w:rsidR="009F2456" w:rsidRPr="00226892" w:rsidRDefault="009F2456" w:rsidP="009F2456">
            <w:pPr>
              <w:rPr>
                <w:rFonts w:ascii="Arial" w:eastAsia="Times New Roman" w:hAnsi="Arial" w:cs="Arial"/>
                <w:color w:val="000000"/>
                <w:sz w:val="18"/>
                <w:szCs w:val="18"/>
                <w:lang w:val="sk-SK" w:eastAsia="sk-SK"/>
              </w:rPr>
            </w:pPr>
          </w:p>
        </w:tc>
        <w:tc>
          <w:tcPr>
            <w:tcW w:w="1025" w:type="pct"/>
            <w:tcBorders>
              <w:top w:val="nil"/>
              <w:left w:val="nil"/>
              <w:bottom w:val="nil"/>
              <w:right w:val="nil"/>
            </w:tcBorders>
            <w:shd w:val="clear" w:color="auto" w:fill="auto"/>
            <w:vAlign w:val="bottom"/>
          </w:tcPr>
          <w:p w14:paraId="48691B73" w14:textId="530D47DC"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19</w:t>
            </w:r>
          </w:p>
        </w:tc>
        <w:tc>
          <w:tcPr>
            <w:tcW w:w="95" w:type="pct"/>
            <w:tcBorders>
              <w:top w:val="nil"/>
              <w:left w:val="nil"/>
              <w:bottom w:val="nil"/>
              <w:right w:val="nil"/>
            </w:tcBorders>
            <w:shd w:val="clear" w:color="auto" w:fill="auto"/>
            <w:vAlign w:val="bottom"/>
          </w:tcPr>
          <w:p w14:paraId="034EE332"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1081" w:type="pct"/>
            <w:tcBorders>
              <w:top w:val="nil"/>
              <w:left w:val="nil"/>
              <w:bottom w:val="nil"/>
              <w:right w:val="nil"/>
            </w:tcBorders>
            <w:shd w:val="clear" w:color="auto" w:fill="auto"/>
            <w:vAlign w:val="bottom"/>
          </w:tcPr>
          <w:p w14:paraId="046EB588" w14:textId="3F8AB590"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28</w:t>
            </w:r>
          </w:p>
        </w:tc>
      </w:tr>
      <w:tr w:rsidR="009F2456" w:rsidRPr="00226892" w14:paraId="2323916A" w14:textId="77777777" w:rsidTr="00B55F9F">
        <w:trPr>
          <w:trHeight w:val="227"/>
        </w:trPr>
        <w:tc>
          <w:tcPr>
            <w:tcW w:w="2695" w:type="pct"/>
            <w:tcBorders>
              <w:top w:val="nil"/>
              <w:left w:val="nil"/>
              <w:bottom w:val="nil"/>
              <w:right w:val="nil"/>
            </w:tcBorders>
            <w:shd w:val="clear" w:color="auto" w:fill="auto"/>
            <w:noWrap/>
            <w:vAlign w:val="bottom"/>
            <w:hideMark/>
          </w:tcPr>
          <w:p w14:paraId="20E345D4" w14:textId="23688A34"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Oprava a údržba</w:t>
            </w:r>
          </w:p>
        </w:tc>
        <w:tc>
          <w:tcPr>
            <w:tcW w:w="104" w:type="pct"/>
            <w:tcBorders>
              <w:top w:val="nil"/>
              <w:left w:val="nil"/>
              <w:bottom w:val="nil"/>
              <w:right w:val="nil"/>
            </w:tcBorders>
            <w:shd w:val="clear" w:color="auto" w:fill="auto"/>
            <w:vAlign w:val="bottom"/>
            <w:hideMark/>
          </w:tcPr>
          <w:p w14:paraId="49FAA600" w14:textId="77777777" w:rsidR="009F2456" w:rsidRPr="00226892" w:rsidRDefault="009F2456" w:rsidP="009F2456">
            <w:pPr>
              <w:rPr>
                <w:rFonts w:ascii="Arial" w:eastAsia="Times New Roman" w:hAnsi="Arial" w:cs="Arial"/>
                <w:color w:val="000000"/>
                <w:sz w:val="18"/>
                <w:szCs w:val="18"/>
                <w:lang w:val="sk-SK" w:eastAsia="sk-SK"/>
              </w:rPr>
            </w:pPr>
          </w:p>
        </w:tc>
        <w:tc>
          <w:tcPr>
            <w:tcW w:w="1025" w:type="pct"/>
            <w:tcBorders>
              <w:top w:val="nil"/>
              <w:left w:val="nil"/>
              <w:bottom w:val="nil"/>
              <w:right w:val="nil"/>
            </w:tcBorders>
            <w:shd w:val="clear" w:color="auto" w:fill="auto"/>
            <w:vAlign w:val="bottom"/>
          </w:tcPr>
          <w:p w14:paraId="2FBF373D" w14:textId="47642BB4"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1 202</w:t>
            </w:r>
          </w:p>
        </w:tc>
        <w:tc>
          <w:tcPr>
            <w:tcW w:w="95" w:type="pct"/>
            <w:tcBorders>
              <w:top w:val="nil"/>
              <w:left w:val="nil"/>
              <w:bottom w:val="nil"/>
              <w:right w:val="nil"/>
            </w:tcBorders>
            <w:shd w:val="clear" w:color="auto" w:fill="auto"/>
            <w:vAlign w:val="bottom"/>
          </w:tcPr>
          <w:p w14:paraId="55B6EA3D"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1081" w:type="pct"/>
            <w:tcBorders>
              <w:top w:val="nil"/>
              <w:left w:val="nil"/>
              <w:bottom w:val="nil"/>
              <w:right w:val="nil"/>
            </w:tcBorders>
            <w:shd w:val="clear" w:color="auto" w:fill="auto"/>
            <w:vAlign w:val="bottom"/>
          </w:tcPr>
          <w:p w14:paraId="65450026" w14:textId="68ED82C9"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1 466</w:t>
            </w:r>
          </w:p>
        </w:tc>
      </w:tr>
      <w:tr w:rsidR="009F2456" w:rsidRPr="00226892" w14:paraId="09B88741" w14:textId="77777777" w:rsidTr="00B55F9F">
        <w:trPr>
          <w:trHeight w:val="227"/>
        </w:trPr>
        <w:tc>
          <w:tcPr>
            <w:tcW w:w="2695" w:type="pct"/>
            <w:tcBorders>
              <w:top w:val="nil"/>
              <w:left w:val="nil"/>
              <w:bottom w:val="nil"/>
              <w:right w:val="nil"/>
            </w:tcBorders>
            <w:shd w:val="clear" w:color="auto" w:fill="auto"/>
            <w:noWrap/>
            <w:vAlign w:val="bottom"/>
            <w:hideMark/>
          </w:tcPr>
          <w:p w14:paraId="268E60A8" w14:textId="77777777"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Cestovné náklady</w:t>
            </w:r>
          </w:p>
        </w:tc>
        <w:tc>
          <w:tcPr>
            <w:tcW w:w="104" w:type="pct"/>
            <w:tcBorders>
              <w:top w:val="nil"/>
              <w:left w:val="nil"/>
              <w:bottom w:val="nil"/>
              <w:right w:val="nil"/>
            </w:tcBorders>
            <w:shd w:val="clear" w:color="auto" w:fill="auto"/>
            <w:vAlign w:val="bottom"/>
            <w:hideMark/>
          </w:tcPr>
          <w:p w14:paraId="3F1EDC02" w14:textId="77777777" w:rsidR="009F2456" w:rsidRPr="00226892" w:rsidRDefault="009F2456" w:rsidP="009F2456">
            <w:pPr>
              <w:rPr>
                <w:rFonts w:ascii="Arial" w:eastAsia="Times New Roman" w:hAnsi="Arial" w:cs="Arial"/>
                <w:color w:val="000000"/>
                <w:sz w:val="18"/>
                <w:szCs w:val="18"/>
                <w:lang w:val="sk-SK" w:eastAsia="sk-SK"/>
              </w:rPr>
            </w:pPr>
          </w:p>
        </w:tc>
        <w:tc>
          <w:tcPr>
            <w:tcW w:w="1025" w:type="pct"/>
            <w:tcBorders>
              <w:top w:val="nil"/>
              <w:left w:val="nil"/>
              <w:bottom w:val="nil"/>
              <w:right w:val="nil"/>
            </w:tcBorders>
            <w:shd w:val="clear" w:color="auto" w:fill="auto"/>
            <w:vAlign w:val="bottom"/>
          </w:tcPr>
          <w:p w14:paraId="1DEAFD70" w14:textId="7ABF5685"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192</w:t>
            </w:r>
          </w:p>
        </w:tc>
        <w:tc>
          <w:tcPr>
            <w:tcW w:w="95" w:type="pct"/>
            <w:tcBorders>
              <w:top w:val="nil"/>
              <w:left w:val="nil"/>
              <w:bottom w:val="nil"/>
              <w:right w:val="nil"/>
            </w:tcBorders>
            <w:shd w:val="clear" w:color="auto" w:fill="auto"/>
            <w:vAlign w:val="bottom"/>
          </w:tcPr>
          <w:p w14:paraId="5B097AD1"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1081" w:type="pct"/>
            <w:tcBorders>
              <w:top w:val="nil"/>
              <w:left w:val="nil"/>
              <w:bottom w:val="nil"/>
              <w:right w:val="nil"/>
            </w:tcBorders>
            <w:shd w:val="clear" w:color="auto" w:fill="auto"/>
            <w:vAlign w:val="bottom"/>
          </w:tcPr>
          <w:p w14:paraId="15B9888F" w14:textId="1967360A"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127</w:t>
            </w:r>
          </w:p>
        </w:tc>
      </w:tr>
      <w:tr w:rsidR="009F2456" w:rsidRPr="00226892" w14:paraId="5EC83F69" w14:textId="77777777" w:rsidTr="00B55F9F">
        <w:trPr>
          <w:trHeight w:val="227"/>
        </w:trPr>
        <w:tc>
          <w:tcPr>
            <w:tcW w:w="2695" w:type="pct"/>
            <w:tcBorders>
              <w:top w:val="nil"/>
              <w:left w:val="nil"/>
              <w:bottom w:val="nil"/>
              <w:right w:val="nil"/>
            </w:tcBorders>
            <w:shd w:val="clear" w:color="auto" w:fill="auto"/>
            <w:vAlign w:val="bottom"/>
            <w:hideMark/>
          </w:tcPr>
          <w:p w14:paraId="07299006" w14:textId="77777777"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Informačné, poradenské a iné odborné služby</w:t>
            </w:r>
          </w:p>
        </w:tc>
        <w:tc>
          <w:tcPr>
            <w:tcW w:w="104" w:type="pct"/>
            <w:tcBorders>
              <w:top w:val="nil"/>
              <w:left w:val="nil"/>
              <w:bottom w:val="nil"/>
              <w:right w:val="nil"/>
            </w:tcBorders>
            <w:shd w:val="clear" w:color="auto" w:fill="auto"/>
            <w:vAlign w:val="bottom"/>
            <w:hideMark/>
          </w:tcPr>
          <w:p w14:paraId="6086EDA0" w14:textId="77777777" w:rsidR="009F2456" w:rsidRPr="00226892" w:rsidRDefault="009F2456" w:rsidP="009F2456">
            <w:pPr>
              <w:rPr>
                <w:rFonts w:ascii="Arial" w:eastAsia="Times New Roman" w:hAnsi="Arial" w:cs="Arial"/>
                <w:color w:val="000000"/>
                <w:sz w:val="18"/>
                <w:szCs w:val="18"/>
                <w:lang w:val="sk-SK" w:eastAsia="sk-SK"/>
              </w:rPr>
            </w:pPr>
          </w:p>
        </w:tc>
        <w:tc>
          <w:tcPr>
            <w:tcW w:w="1025" w:type="pct"/>
            <w:tcBorders>
              <w:top w:val="nil"/>
              <w:left w:val="nil"/>
              <w:bottom w:val="nil"/>
              <w:right w:val="nil"/>
            </w:tcBorders>
            <w:shd w:val="clear" w:color="auto" w:fill="auto"/>
            <w:vAlign w:val="bottom"/>
          </w:tcPr>
          <w:p w14:paraId="3356FCDA" w14:textId="3DD9F78A"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1 40</w:t>
            </w:r>
            <w:r w:rsidR="00206D7F" w:rsidRPr="00226892">
              <w:rPr>
                <w:rFonts w:ascii="Arial" w:eastAsia="Times New Roman" w:hAnsi="Arial" w:cs="Arial"/>
                <w:color w:val="000000"/>
                <w:sz w:val="18"/>
                <w:szCs w:val="18"/>
                <w:lang w:val="sk-SK" w:eastAsia="sk-SK"/>
              </w:rPr>
              <w:t>8</w:t>
            </w:r>
          </w:p>
        </w:tc>
        <w:tc>
          <w:tcPr>
            <w:tcW w:w="95" w:type="pct"/>
            <w:tcBorders>
              <w:top w:val="nil"/>
              <w:left w:val="nil"/>
              <w:bottom w:val="nil"/>
              <w:right w:val="nil"/>
            </w:tcBorders>
            <w:shd w:val="clear" w:color="auto" w:fill="auto"/>
            <w:vAlign w:val="bottom"/>
          </w:tcPr>
          <w:p w14:paraId="2B2EF5FD"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1081" w:type="pct"/>
            <w:tcBorders>
              <w:top w:val="nil"/>
              <w:left w:val="nil"/>
              <w:bottom w:val="nil"/>
              <w:right w:val="nil"/>
            </w:tcBorders>
            <w:shd w:val="clear" w:color="auto" w:fill="auto"/>
            <w:vAlign w:val="bottom"/>
          </w:tcPr>
          <w:p w14:paraId="439FA6A1" w14:textId="78E3FA27"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1 577</w:t>
            </w:r>
          </w:p>
        </w:tc>
      </w:tr>
      <w:tr w:rsidR="009F2456" w:rsidRPr="00226892" w14:paraId="636B6FF5" w14:textId="77777777" w:rsidTr="00B55F9F">
        <w:trPr>
          <w:trHeight w:val="227"/>
        </w:trPr>
        <w:tc>
          <w:tcPr>
            <w:tcW w:w="2695" w:type="pct"/>
            <w:tcBorders>
              <w:top w:val="nil"/>
              <w:left w:val="nil"/>
              <w:bottom w:val="nil"/>
              <w:right w:val="nil"/>
            </w:tcBorders>
            <w:shd w:val="clear" w:color="auto" w:fill="auto"/>
            <w:vAlign w:val="bottom"/>
            <w:hideMark/>
          </w:tcPr>
          <w:p w14:paraId="43357F94" w14:textId="77777777"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Overenie účtovnej závierky</w:t>
            </w:r>
          </w:p>
        </w:tc>
        <w:tc>
          <w:tcPr>
            <w:tcW w:w="104" w:type="pct"/>
            <w:tcBorders>
              <w:top w:val="nil"/>
              <w:left w:val="nil"/>
              <w:bottom w:val="nil"/>
              <w:right w:val="nil"/>
            </w:tcBorders>
            <w:shd w:val="clear" w:color="auto" w:fill="auto"/>
            <w:vAlign w:val="bottom"/>
            <w:hideMark/>
          </w:tcPr>
          <w:p w14:paraId="766C21D6" w14:textId="77777777" w:rsidR="009F2456" w:rsidRPr="00226892" w:rsidRDefault="009F2456" w:rsidP="009F2456">
            <w:pPr>
              <w:rPr>
                <w:rFonts w:ascii="Arial" w:eastAsia="Times New Roman" w:hAnsi="Arial" w:cs="Arial"/>
                <w:color w:val="000000"/>
                <w:sz w:val="18"/>
                <w:szCs w:val="18"/>
                <w:lang w:val="sk-SK" w:eastAsia="sk-SK"/>
              </w:rPr>
            </w:pPr>
          </w:p>
        </w:tc>
        <w:tc>
          <w:tcPr>
            <w:tcW w:w="1025" w:type="pct"/>
            <w:tcBorders>
              <w:top w:val="nil"/>
              <w:left w:val="nil"/>
              <w:bottom w:val="nil"/>
              <w:right w:val="nil"/>
            </w:tcBorders>
            <w:shd w:val="clear" w:color="auto" w:fill="auto"/>
            <w:vAlign w:val="bottom"/>
          </w:tcPr>
          <w:p w14:paraId="2D5AFD1D" w14:textId="5D009FBB"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63</w:t>
            </w:r>
          </w:p>
        </w:tc>
        <w:tc>
          <w:tcPr>
            <w:tcW w:w="95" w:type="pct"/>
            <w:tcBorders>
              <w:top w:val="nil"/>
              <w:left w:val="nil"/>
              <w:bottom w:val="nil"/>
              <w:right w:val="nil"/>
            </w:tcBorders>
            <w:shd w:val="clear" w:color="auto" w:fill="auto"/>
            <w:vAlign w:val="bottom"/>
          </w:tcPr>
          <w:p w14:paraId="16AD0A71"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1081" w:type="pct"/>
            <w:tcBorders>
              <w:top w:val="nil"/>
              <w:left w:val="nil"/>
              <w:bottom w:val="nil"/>
              <w:right w:val="nil"/>
            </w:tcBorders>
            <w:shd w:val="clear" w:color="auto" w:fill="auto"/>
            <w:vAlign w:val="bottom"/>
          </w:tcPr>
          <w:p w14:paraId="077660C7" w14:textId="7BFCA29F"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158</w:t>
            </w:r>
          </w:p>
        </w:tc>
      </w:tr>
      <w:tr w:rsidR="009F2456" w:rsidRPr="00226892" w14:paraId="625F1D7D" w14:textId="77777777" w:rsidTr="00B55F9F">
        <w:trPr>
          <w:trHeight w:val="227"/>
        </w:trPr>
        <w:tc>
          <w:tcPr>
            <w:tcW w:w="2695" w:type="pct"/>
            <w:tcBorders>
              <w:top w:val="nil"/>
              <w:left w:val="nil"/>
              <w:bottom w:val="nil"/>
              <w:right w:val="nil"/>
            </w:tcBorders>
            <w:shd w:val="clear" w:color="auto" w:fill="auto"/>
            <w:vAlign w:val="bottom"/>
            <w:hideMark/>
          </w:tcPr>
          <w:p w14:paraId="2BB2F6A7" w14:textId="37B8D77D"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Školenia</w:t>
            </w:r>
          </w:p>
        </w:tc>
        <w:tc>
          <w:tcPr>
            <w:tcW w:w="104" w:type="pct"/>
            <w:tcBorders>
              <w:top w:val="nil"/>
              <w:left w:val="nil"/>
              <w:bottom w:val="nil"/>
              <w:right w:val="nil"/>
            </w:tcBorders>
            <w:shd w:val="clear" w:color="auto" w:fill="auto"/>
            <w:vAlign w:val="bottom"/>
            <w:hideMark/>
          </w:tcPr>
          <w:p w14:paraId="0BAD26AF" w14:textId="77777777" w:rsidR="009F2456" w:rsidRPr="00226892" w:rsidRDefault="009F2456" w:rsidP="009F2456">
            <w:pPr>
              <w:rPr>
                <w:rFonts w:ascii="Arial" w:eastAsia="Times New Roman" w:hAnsi="Arial" w:cs="Arial"/>
                <w:color w:val="000000"/>
                <w:sz w:val="18"/>
                <w:szCs w:val="18"/>
                <w:lang w:val="sk-SK" w:eastAsia="sk-SK"/>
              </w:rPr>
            </w:pPr>
          </w:p>
        </w:tc>
        <w:tc>
          <w:tcPr>
            <w:tcW w:w="1025" w:type="pct"/>
            <w:tcBorders>
              <w:top w:val="nil"/>
              <w:left w:val="nil"/>
              <w:bottom w:val="nil"/>
              <w:right w:val="nil"/>
            </w:tcBorders>
            <w:shd w:val="clear" w:color="auto" w:fill="auto"/>
            <w:vAlign w:val="bottom"/>
          </w:tcPr>
          <w:p w14:paraId="0CB1BC07" w14:textId="25F797DD"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133</w:t>
            </w:r>
          </w:p>
        </w:tc>
        <w:tc>
          <w:tcPr>
            <w:tcW w:w="95" w:type="pct"/>
            <w:tcBorders>
              <w:top w:val="nil"/>
              <w:left w:val="nil"/>
              <w:bottom w:val="nil"/>
              <w:right w:val="nil"/>
            </w:tcBorders>
            <w:shd w:val="clear" w:color="auto" w:fill="auto"/>
            <w:vAlign w:val="bottom"/>
          </w:tcPr>
          <w:p w14:paraId="198711B7"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1081" w:type="pct"/>
            <w:tcBorders>
              <w:top w:val="nil"/>
              <w:left w:val="nil"/>
              <w:bottom w:val="nil"/>
              <w:right w:val="nil"/>
            </w:tcBorders>
            <w:shd w:val="clear" w:color="auto" w:fill="auto"/>
            <w:vAlign w:val="bottom"/>
          </w:tcPr>
          <w:p w14:paraId="6DBF63A8" w14:textId="2689B48E"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71</w:t>
            </w:r>
          </w:p>
        </w:tc>
      </w:tr>
      <w:tr w:rsidR="009F2456" w:rsidRPr="00226892" w14:paraId="3AD5071C" w14:textId="77777777" w:rsidTr="00B55F9F">
        <w:trPr>
          <w:trHeight w:val="227"/>
        </w:trPr>
        <w:tc>
          <w:tcPr>
            <w:tcW w:w="2695" w:type="pct"/>
            <w:tcBorders>
              <w:top w:val="nil"/>
              <w:left w:val="nil"/>
              <w:bottom w:val="nil"/>
              <w:right w:val="nil"/>
            </w:tcBorders>
            <w:shd w:val="clear" w:color="auto" w:fill="auto"/>
            <w:vAlign w:val="bottom"/>
            <w:hideMark/>
          </w:tcPr>
          <w:p w14:paraId="75FB2F2E" w14:textId="588DE5C6"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Odvoz a</w:t>
            </w:r>
            <w:r w:rsidR="00E64739" w:rsidRPr="00226892">
              <w:rPr>
                <w:rFonts w:ascii="Arial" w:eastAsia="Times New Roman" w:hAnsi="Arial" w:cs="Arial"/>
                <w:color w:val="000000"/>
                <w:sz w:val="18"/>
                <w:szCs w:val="18"/>
                <w:lang w:val="sk-SK" w:eastAsia="sk-SK"/>
              </w:rPr>
              <w:t> </w:t>
            </w:r>
            <w:r w:rsidRPr="00226892">
              <w:rPr>
                <w:rFonts w:ascii="Arial" w:eastAsia="Times New Roman" w:hAnsi="Arial" w:cs="Arial"/>
                <w:color w:val="000000"/>
                <w:sz w:val="18"/>
                <w:szCs w:val="18"/>
                <w:lang w:val="sk-SK" w:eastAsia="sk-SK"/>
              </w:rPr>
              <w:t>likvidáci</w:t>
            </w:r>
            <w:r w:rsidR="00E64739" w:rsidRPr="00226892">
              <w:rPr>
                <w:rFonts w:ascii="Arial" w:eastAsia="Times New Roman" w:hAnsi="Arial" w:cs="Arial"/>
                <w:color w:val="000000"/>
                <w:sz w:val="18"/>
                <w:szCs w:val="18"/>
                <w:lang w:val="sk-SK" w:eastAsia="sk-SK"/>
              </w:rPr>
              <w:t>a odpadu</w:t>
            </w:r>
          </w:p>
        </w:tc>
        <w:tc>
          <w:tcPr>
            <w:tcW w:w="104" w:type="pct"/>
            <w:tcBorders>
              <w:top w:val="nil"/>
              <w:left w:val="nil"/>
              <w:bottom w:val="nil"/>
              <w:right w:val="nil"/>
            </w:tcBorders>
            <w:shd w:val="clear" w:color="auto" w:fill="auto"/>
            <w:vAlign w:val="bottom"/>
            <w:hideMark/>
          </w:tcPr>
          <w:p w14:paraId="404DF1B2" w14:textId="77777777" w:rsidR="009F2456" w:rsidRPr="00226892" w:rsidRDefault="009F2456" w:rsidP="009F2456">
            <w:pPr>
              <w:rPr>
                <w:rFonts w:ascii="Arial" w:eastAsia="Times New Roman" w:hAnsi="Arial" w:cs="Arial"/>
                <w:color w:val="000000"/>
                <w:sz w:val="18"/>
                <w:szCs w:val="18"/>
                <w:lang w:val="sk-SK" w:eastAsia="sk-SK"/>
              </w:rPr>
            </w:pPr>
          </w:p>
        </w:tc>
        <w:tc>
          <w:tcPr>
            <w:tcW w:w="1025" w:type="pct"/>
            <w:tcBorders>
              <w:top w:val="nil"/>
              <w:left w:val="nil"/>
              <w:bottom w:val="nil"/>
              <w:right w:val="nil"/>
            </w:tcBorders>
            <w:shd w:val="clear" w:color="auto" w:fill="auto"/>
            <w:vAlign w:val="bottom"/>
          </w:tcPr>
          <w:p w14:paraId="093E086B" w14:textId="0BE07911"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121</w:t>
            </w:r>
          </w:p>
        </w:tc>
        <w:tc>
          <w:tcPr>
            <w:tcW w:w="95" w:type="pct"/>
            <w:tcBorders>
              <w:top w:val="nil"/>
              <w:left w:val="nil"/>
              <w:bottom w:val="nil"/>
              <w:right w:val="nil"/>
            </w:tcBorders>
            <w:shd w:val="clear" w:color="auto" w:fill="auto"/>
            <w:vAlign w:val="bottom"/>
          </w:tcPr>
          <w:p w14:paraId="2BD5A0AD"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1081" w:type="pct"/>
            <w:tcBorders>
              <w:top w:val="nil"/>
              <w:left w:val="nil"/>
              <w:bottom w:val="nil"/>
              <w:right w:val="nil"/>
            </w:tcBorders>
            <w:shd w:val="clear" w:color="auto" w:fill="auto"/>
            <w:vAlign w:val="bottom"/>
          </w:tcPr>
          <w:p w14:paraId="3D81E257" w14:textId="3D912D9C"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113</w:t>
            </w:r>
          </w:p>
        </w:tc>
      </w:tr>
      <w:tr w:rsidR="009F2456" w:rsidRPr="00226892" w14:paraId="074F7F94" w14:textId="77777777" w:rsidTr="00B55F9F">
        <w:trPr>
          <w:trHeight w:val="227"/>
        </w:trPr>
        <w:tc>
          <w:tcPr>
            <w:tcW w:w="2695" w:type="pct"/>
            <w:tcBorders>
              <w:top w:val="nil"/>
              <w:left w:val="nil"/>
              <w:bottom w:val="nil"/>
              <w:right w:val="nil"/>
            </w:tcBorders>
            <w:shd w:val="clear" w:color="auto" w:fill="auto"/>
            <w:vAlign w:val="bottom"/>
            <w:hideMark/>
          </w:tcPr>
          <w:p w14:paraId="00817AE3" w14:textId="77777777"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Reklamačné služby</w:t>
            </w:r>
          </w:p>
        </w:tc>
        <w:tc>
          <w:tcPr>
            <w:tcW w:w="104" w:type="pct"/>
            <w:tcBorders>
              <w:top w:val="nil"/>
              <w:left w:val="nil"/>
              <w:bottom w:val="nil"/>
              <w:right w:val="nil"/>
            </w:tcBorders>
            <w:shd w:val="clear" w:color="auto" w:fill="auto"/>
            <w:vAlign w:val="bottom"/>
            <w:hideMark/>
          </w:tcPr>
          <w:p w14:paraId="02540380" w14:textId="77777777" w:rsidR="009F2456" w:rsidRPr="00226892" w:rsidRDefault="009F2456" w:rsidP="009F2456">
            <w:pPr>
              <w:rPr>
                <w:rFonts w:ascii="Arial" w:eastAsia="Times New Roman" w:hAnsi="Arial" w:cs="Arial"/>
                <w:color w:val="000000"/>
                <w:sz w:val="18"/>
                <w:szCs w:val="18"/>
                <w:lang w:val="sk-SK" w:eastAsia="sk-SK"/>
              </w:rPr>
            </w:pPr>
          </w:p>
        </w:tc>
        <w:tc>
          <w:tcPr>
            <w:tcW w:w="1025" w:type="pct"/>
            <w:tcBorders>
              <w:top w:val="nil"/>
              <w:left w:val="nil"/>
              <w:bottom w:val="nil"/>
              <w:right w:val="nil"/>
            </w:tcBorders>
            <w:shd w:val="clear" w:color="auto" w:fill="auto"/>
            <w:vAlign w:val="bottom"/>
          </w:tcPr>
          <w:p w14:paraId="6C16FF58" w14:textId="058F8880"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-208</w:t>
            </w:r>
          </w:p>
        </w:tc>
        <w:tc>
          <w:tcPr>
            <w:tcW w:w="95" w:type="pct"/>
            <w:tcBorders>
              <w:top w:val="nil"/>
              <w:left w:val="nil"/>
              <w:bottom w:val="nil"/>
              <w:right w:val="nil"/>
            </w:tcBorders>
            <w:shd w:val="clear" w:color="auto" w:fill="auto"/>
            <w:vAlign w:val="bottom"/>
          </w:tcPr>
          <w:p w14:paraId="494EC100"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1081" w:type="pct"/>
            <w:tcBorders>
              <w:top w:val="nil"/>
              <w:left w:val="nil"/>
              <w:bottom w:val="nil"/>
              <w:right w:val="nil"/>
            </w:tcBorders>
            <w:shd w:val="clear" w:color="auto" w:fill="auto"/>
            <w:vAlign w:val="bottom"/>
          </w:tcPr>
          <w:p w14:paraId="6D4EE90D" w14:textId="6E744D45"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124</w:t>
            </w:r>
          </w:p>
        </w:tc>
      </w:tr>
      <w:tr w:rsidR="009F2456" w:rsidRPr="00226892" w14:paraId="023B3C4F" w14:textId="77777777" w:rsidTr="00B55F9F">
        <w:trPr>
          <w:trHeight w:val="227"/>
        </w:trPr>
        <w:tc>
          <w:tcPr>
            <w:tcW w:w="2695" w:type="pct"/>
            <w:tcBorders>
              <w:top w:val="nil"/>
              <w:left w:val="nil"/>
              <w:bottom w:val="nil"/>
              <w:right w:val="nil"/>
            </w:tcBorders>
            <w:shd w:val="clear" w:color="auto" w:fill="auto"/>
            <w:vAlign w:val="bottom"/>
            <w:hideMark/>
          </w:tcPr>
          <w:p w14:paraId="197E9F68" w14:textId="575B1816"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Strážna služba</w:t>
            </w:r>
          </w:p>
        </w:tc>
        <w:tc>
          <w:tcPr>
            <w:tcW w:w="104" w:type="pct"/>
            <w:tcBorders>
              <w:top w:val="nil"/>
              <w:left w:val="nil"/>
              <w:bottom w:val="nil"/>
              <w:right w:val="nil"/>
            </w:tcBorders>
            <w:shd w:val="clear" w:color="auto" w:fill="auto"/>
            <w:vAlign w:val="bottom"/>
            <w:hideMark/>
          </w:tcPr>
          <w:p w14:paraId="29B61147" w14:textId="77777777" w:rsidR="009F2456" w:rsidRPr="00226892" w:rsidRDefault="009F2456" w:rsidP="009F2456">
            <w:pPr>
              <w:rPr>
                <w:rFonts w:ascii="Arial" w:eastAsia="Times New Roman" w:hAnsi="Arial" w:cs="Arial"/>
                <w:color w:val="000000"/>
                <w:sz w:val="18"/>
                <w:szCs w:val="18"/>
                <w:lang w:val="sk-SK" w:eastAsia="sk-SK"/>
              </w:rPr>
            </w:pPr>
          </w:p>
        </w:tc>
        <w:tc>
          <w:tcPr>
            <w:tcW w:w="1025" w:type="pct"/>
            <w:tcBorders>
              <w:top w:val="nil"/>
              <w:left w:val="nil"/>
              <w:bottom w:val="nil"/>
              <w:right w:val="nil"/>
            </w:tcBorders>
            <w:shd w:val="clear" w:color="auto" w:fill="auto"/>
            <w:vAlign w:val="bottom"/>
          </w:tcPr>
          <w:p w14:paraId="48C1A8FC" w14:textId="7EC547CC"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370</w:t>
            </w:r>
          </w:p>
        </w:tc>
        <w:tc>
          <w:tcPr>
            <w:tcW w:w="95" w:type="pct"/>
            <w:tcBorders>
              <w:top w:val="nil"/>
              <w:left w:val="nil"/>
              <w:bottom w:val="nil"/>
              <w:right w:val="nil"/>
            </w:tcBorders>
            <w:shd w:val="clear" w:color="auto" w:fill="auto"/>
            <w:vAlign w:val="bottom"/>
          </w:tcPr>
          <w:p w14:paraId="487C9D5E"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1081" w:type="pct"/>
            <w:tcBorders>
              <w:top w:val="nil"/>
              <w:left w:val="nil"/>
              <w:bottom w:val="nil"/>
              <w:right w:val="nil"/>
            </w:tcBorders>
            <w:shd w:val="clear" w:color="auto" w:fill="auto"/>
            <w:vAlign w:val="bottom"/>
          </w:tcPr>
          <w:p w14:paraId="6FAE0679" w14:textId="71606780"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300</w:t>
            </w:r>
          </w:p>
        </w:tc>
      </w:tr>
      <w:tr w:rsidR="009F2456" w:rsidRPr="00226892" w14:paraId="02E1F789" w14:textId="77777777" w:rsidTr="00B55F9F">
        <w:trPr>
          <w:trHeight w:val="227"/>
        </w:trPr>
        <w:tc>
          <w:tcPr>
            <w:tcW w:w="2695" w:type="pct"/>
            <w:tcBorders>
              <w:top w:val="nil"/>
              <w:left w:val="nil"/>
              <w:bottom w:val="nil"/>
              <w:right w:val="nil"/>
            </w:tcBorders>
            <w:shd w:val="clear" w:color="auto" w:fill="auto"/>
            <w:noWrap/>
            <w:vAlign w:val="bottom"/>
            <w:hideMark/>
          </w:tcPr>
          <w:p w14:paraId="358548FD" w14:textId="77777777"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Externé opracovanie výrobkov</w:t>
            </w:r>
          </w:p>
        </w:tc>
        <w:tc>
          <w:tcPr>
            <w:tcW w:w="104" w:type="pct"/>
            <w:tcBorders>
              <w:top w:val="nil"/>
              <w:left w:val="nil"/>
              <w:bottom w:val="nil"/>
              <w:right w:val="nil"/>
            </w:tcBorders>
            <w:shd w:val="clear" w:color="auto" w:fill="auto"/>
            <w:vAlign w:val="bottom"/>
            <w:hideMark/>
          </w:tcPr>
          <w:p w14:paraId="554DE4C8" w14:textId="77777777" w:rsidR="009F2456" w:rsidRPr="00226892" w:rsidRDefault="009F2456" w:rsidP="009F2456">
            <w:pPr>
              <w:rPr>
                <w:rFonts w:ascii="Arial" w:eastAsia="Times New Roman" w:hAnsi="Arial" w:cs="Arial"/>
                <w:color w:val="000000"/>
                <w:sz w:val="18"/>
                <w:szCs w:val="18"/>
                <w:lang w:val="sk-SK" w:eastAsia="sk-SK"/>
              </w:rPr>
            </w:pPr>
          </w:p>
        </w:tc>
        <w:tc>
          <w:tcPr>
            <w:tcW w:w="1025" w:type="pct"/>
            <w:tcBorders>
              <w:top w:val="nil"/>
              <w:left w:val="nil"/>
              <w:bottom w:val="nil"/>
              <w:right w:val="nil"/>
            </w:tcBorders>
            <w:shd w:val="clear" w:color="auto" w:fill="auto"/>
            <w:vAlign w:val="bottom"/>
          </w:tcPr>
          <w:p w14:paraId="284EB974" w14:textId="1A6F8639"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51</w:t>
            </w:r>
          </w:p>
        </w:tc>
        <w:tc>
          <w:tcPr>
            <w:tcW w:w="95" w:type="pct"/>
            <w:tcBorders>
              <w:top w:val="nil"/>
              <w:left w:val="nil"/>
              <w:bottom w:val="nil"/>
              <w:right w:val="nil"/>
            </w:tcBorders>
            <w:shd w:val="clear" w:color="auto" w:fill="auto"/>
            <w:vAlign w:val="bottom"/>
          </w:tcPr>
          <w:p w14:paraId="6F2D6716"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1081" w:type="pct"/>
            <w:tcBorders>
              <w:top w:val="nil"/>
              <w:left w:val="nil"/>
              <w:bottom w:val="nil"/>
              <w:right w:val="nil"/>
            </w:tcBorders>
            <w:shd w:val="clear" w:color="auto" w:fill="auto"/>
            <w:vAlign w:val="bottom"/>
          </w:tcPr>
          <w:p w14:paraId="3BD8AFED" w14:textId="437D01C3"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87</w:t>
            </w:r>
          </w:p>
        </w:tc>
      </w:tr>
      <w:tr w:rsidR="009F2456" w:rsidRPr="00226892" w14:paraId="42BF93B1" w14:textId="77777777" w:rsidTr="00B55F9F">
        <w:trPr>
          <w:trHeight w:val="227"/>
        </w:trPr>
        <w:tc>
          <w:tcPr>
            <w:tcW w:w="2695" w:type="pct"/>
            <w:tcBorders>
              <w:top w:val="nil"/>
              <w:left w:val="nil"/>
              <w:bottom w:val="nil"/>
              <w:right w:val="nil"/>
            </w:tcBorders>
            <w:shd w:val="clear" w:color="auto" w:fill="auto"/>
            <w:vAlign w:val="bottom"/>
            <w:hideMark/>
          </w:tcPr>
          <w:p w14:paraId="7818B89B" w14:textId="77777777"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Ostatné služby</w:t>
            </w:r>
          </w:p>
        </w:tc>
        <w:tc>
          <w:tcPr>
            <w:tcW w:w="104" w:type="pct"/>
            <w:tcBorders>
              <w:top w:val="nil"/>
              <w:left w:val="nil"/>
              <w:bottom w:val="nil"/>
              <w:right w:val="nil"/>
            </w:tcBorders>
            <w:shd w:val="clear" w:color="auto" w:fill="auto"/>
            <w:vAlign w:val="bottom"/>
            <w:hideMark/>
          </w:tcPr>
          <w:p w14:paraId="676F05D9" w14:textId="77777777" w:rsidR="009F2456" w:rsidRPr="00226892" w:rsidRDefault="009F2456" w:rsidP="009F2456">
            <w:pPr>
              <w:rPr>
                <w:rFonts w:ascii="Arial" w:eastAsia="Times New Roman" w:hAnsi="Arial" w:cs="Arial"/>
                <w:color w:val="000000"/>
                <w:sz w:val="18"/>
                <w:szCs w:val="18"/>
                <w:lang w:val="sk-SK" w:eastAsia="sk-SK"/>
              </w:rPr>
            </w:pPr>
          </w:p>
        </w:tc>
        <w:tc>
          <w:tcPr>
            <w:tcW w:w="1025" w:type="pct"/>
            <w:tcBorders>
              <w:top w:val="nil"/>
              <w:left w:val="nil"/>
              <w:bottom w:val="nil"/>
              <w:right w:val="nil"/>
            </w:tcBorders>
            <w:shd w:val="clear" w:color="auto" w:fill="auto"/>
            <w:vAlign w:val="bottom"/>
          </w:tcPr>
          <w:p w14:paraId="29403345" w14:textId="79E7EA77"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5 5</w:t>
            </w:r>
            <w:r w:rsidR="00584224" w:rsidRPr="00226892">
              <w:rPr>
                <w:rFonts w:ascii="Arial" w:eastAsia="Times New Roman" w:hAnsi="Arial" w:cs="Arial"/>
                <w:color w:val="000000"/>
                <w:sz w:val="18"/>
                <w:szCs w:val="18"/>
                <w:lang w:val="sk-SK" w:eastAsia="sk-SK"/>
              </w:rPr>
              <w:t>50</w:t>
            </w:r>
          </w:p>
        </w:tc>
        <w:tc>
          <w:tcPr>
            <w:tcW w:w="95" w:type="pct"/>
            <w:tcBorders>
              <w:top w:val="nil"/>
              <w:left w:val="nil"/>
              <w:bottom w:val="nil"/>
              <w:right w:val="nil"/>
            </w:tcBorders>
            <w:shd w:val="clear" w:color="auto" w:fill="auto"/>
            <w:vAlign w:val="bottom"/>
          </w:tcPr>
          <w:p w14:paraId="1EFBA4F3"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1081" w:type="pct"/>
            <w:tcBorders>
              <w:top w:val="nil"/>
              <w:left w:val="nil"/>
              <w:bottom w:val="nil"/>
              <w:right w:val="nil"/>
            </w:tcBorders>
            <w:shd w:val="clear" w:color="auto" w:fill="auto"/>
            <w:vAlign w:val="bottom"/>
          </w:tcPr>
          <w:p w14:paraId="36F3D1AC" w14:textId="3E90D14A"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5 852</w:t>
            </w:r>
          </w:p>
        </w:tc>
      </w:tr>
      <w:tr w:rsidR="009F2456" w:rsidRPr="00226892" w14:paraId="415E128E" w14:textId="77777777" w:rsidTr="00B55F9F">
        <w:trPr>
          <w:trHeight w:val="227"/>
        </w:trPr>
        <w:tc>
          <w:tcPr>
            <w:tcW w:w="2695" w:type="pct"/>
            <w:tcBorders>
              <w:top w:val="nil"/>
              <w:left w:val="nil"/>
              <w:bottom w:val="nil"/>
              <w:right w:val="nil"/>
            </w:tcBorders>
            <w:shd w:val="clear" w:color="auto" w:fill="auto"/>
            <w:vAlign w:val="bottom"/>
            <w:hideMark/>
          </w:tcPr>
          <w:p w14:paraId="4A91CFD5" w14:textId="77777777" w:rsidR="009F2456" w:rsidRPr="00226892" w:rsidRDefault="009F2456" w:rsidP="009F2456">
            <w:pPr>
              <w:rPr>
                <w:rFonts w:ascii="Arial" w:eastAsia="Times New Roman" w:hAnsi="Arial" w:cs="Arial"/>
                <w:color w:val="000000"/>
                <w:sz w:val="18"/>
                <w:szCs w:val="18"/>
                <w:lang w:val="sk-SK" w:eastAsia="sk-SK"/>
              </w:rPr>
            </w:pPr>
          </w:p>
        </w:tc>
        <w:tc>
          <w:tcPr>
            <w:tcW w:w="104" w:type="pct"/>
            <w:tcBorders>
              <w:top w:val="nil"/>
              <w:left w:val="nil"/>
              <w:bottom w:val="nil"/>
              <w:right w:val="nil"/>
            </w:tcBorders>
            <w:shd w:val="clear" w:color="auto" w:fill="auto"/>
            <w:vAlign w:val="bottom"/>
            <w:hideMark/>
          </w:tcPr>
          <w:p w14:paraId="56DEF2BF" w14:textId="77777777" w:rsidR="009F2456" w:rsidRPr="00226892" w:rsidRDefault="009F2456" w:rsidP="009F2456">
            <w:pPr>
              <w:rPr>
                <w:rFonts w:ascii="Arial" w:eastAsia="Times New Roman" w:hAnsi="Arial" w:cs="Arial"/>
                <w:sz w:val="18"/>
                <w:szCs w:val="18"/>
                <w:lang w:val="sk-SK" w:eastAsia="sk-SK"/>
              </w:rPr>
            </w:pPr>
          </w:p>
        </w:tc>
        <w:tc>
          <w:tcPr>
            <w:tcW w:w="1025" w:type="pct"/>
            <w:tcBorders>
              <w:top w:val="single" w:sz="4" w:space="0" w:color="auto"/>
              <w:left w:val="nil"/>
              <w:bottom w:val="double" w:sz="6" w:space="0" w:color="auto"/>
              <w:right w:val="nil"/>
            </w:tcBorders>
            <w:shd w:val="clear" w:color="auto" w:fill="auto"/>
            <w:vAlign w:val="bottom"/>
          </w:tcPr>
          <w:p w14:paraId="42137775" w14:textId="03BAC232" w:rsidR="009F2456" w:rsidRPr="00226892" w:rsidRDefault="009F2456" w:rsidP="009F245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20 2</w:t>
            </w:r>
            <w:r w:rsidR="00584224" w:rsidRPr="00226892">
              <w:rPr>
                <w:rFonts w:ascii="Arial" w:eastAsia="Times New Roman" w:hAnsi="Arial" w:cs="Arial"/>
                <w:b/>
                <w:bCs/>
                <w:color w:val="000000"/>
                <w:sz w:val="18"/>
                <w:szCs w:val="18"/>
                <w:lang w:val="sk-SK" w:eastAsia="sk-SK"/>
              </w:rPr>
              <w:t>45</w:t>
            </w:r>
          </w:p>
        </w:tc>
        <w:tc>
          <w:tcPr>
            <w:tcW w:w="95" w:type="pct"/>
            <w:tcBorders>
              <w:top w:val="nil"/>
              <w:left w:val="nil"/>
              <w:bottom w:val="nil"/>
              <w:right w:val="nil"/>
            </w:tcBorders>
            <w:shd w:val="clear" w:color="auto" w:fill="auto"/>
            <w:vAlign w:val="bottom"/>
          </w:tcPr>
          <w:p w14:paraId="7FDA96D2" w14:textId="77777777" w:rsidR="009F2456" w:rsidRPr="00226892" w:rsidRDefault="009F2456" w:rsidP="009F2456">
            <w:pPr>
              <w:jc w:val="right"/>
              <w:rPr>
                <w:rFonts w:ascii="Arial" w:eastAsia="Times New Roman" w:hAnsi="Arial" w:cs="Arial"/>
                <w:b/>
                <w:bCs/>
                <w:color w:val="000000"/>
                <w:sz w:val="18"/>
                <w:szCs w:val="18"/>
                <w:lang w:val="sk-SK" w:eastAsia="sk-SK"/>
              </w:rPr>
            </w:pPr>
          </w:p>
        </w:tc>
        <w:tc>
          <w:tcPr>
            <w:tcW w:w="1081" w:type="pct"/>
            <w:tcBorders>
              <w:top w:val="single" w:sz="4" w:space="0" w:color="auto"/>
              <w:left w:val="nil"/>
              <w:bottom w:val="double" w:sz="6" w:space="0" w:color="auto"/>
              <w:right w:val="nil"/>
            </w:tcBorders>
            <w:shd w:val="clear" w:color="auto" w:fill="auto"/>
            <w:vAlign w:val="bottom"/>
          </w:tcPr>
          <w:p w14:paraId="7FD8F5E3" w14:textId="76AA5456" w:rsidR="009F2456" w:rsidRPr="00226892" w:rsidRDefault="009F2456" w:rsidP="009F245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20 149</w:t>
            </w:r>
          </w:p>
        </w:tc>
      </w:tr>
      <w:tr w:rsidR="009F2456" w:rsidRPr="00226892" w14:paraId="22CAE36C" w14:textId="77777777" w:rsidTr="00B55F9F">
        <w:trPr>
          <w:trHeight w:val="227"/>
        </w:trPr>
        <w:tc>
          <w:tcPr>
            <w:tcW w:w="2695" w:type="pct"/>
            <w:tcBorders>
              <w:top w:val="nil"/>
              <w:left w:val="nil"/>
              <w:bottom w:val="nil"/>
              <w:right w:val="nil"/>
            </w:tcBorders>
            <w:shd w:val="clear" w:color="auto" w:fill="auto"/>
            <w:vAlign w:val="bottom"/>
            <w:hideMark/>
          </w:tcPr>
          <w:p w14:paraId="50FAACA0" w14:textId="77777777" w:rsidR="009F2456" w:rsidRPr="00226892" w:rsidRDefault="009F2456" w:rsidP="009F2456">
            <w:pPr>
              <w:rPr>
                <w:rFonts w:ascii="Arial" w:eastAsia="Times New Roman" w:hAnsi="Arial" w:cs="Arial"/>
                <w:b/>
                <w:bCs/>
                <w:color w:val="000000"/>
                <w:sz w:val="18"/>
                <w:szCs w:val="18"/>
                <w:lang w:val="sk-SK" w:eastAsia="sk-SK"/>
              </w:rPr>
            </w:pPr>
          </w:p>
        </w:tc>
        <w:tc>
          <w:tcPr>
            <w:tcW w:w="104" w:type="pct"/>
            <w:tcBorders>
              <w:top w:val="nil"/>
              <w:left w:val="nil"/>
              <w:bottom w:val="nil"/>
              <w:right w:val="nil"/>
            </w:tcBorders>
            <w:shd w:val="clear" w:color="auto" w:fill="auto"/>
            <w:vAlign w:val="bottom"/>
            <w:hideMark/>
          </w:tcPr>
          <w:p w14:paraId="3BBD4433" w14:textId="77777777" w:rsidR="009F2456" w:rsidRPr="00226892" w:rsidRDefault="009F2456" w:rsidP="009F2456">
            <w:pPr>
              <w:rPr>
                <w:rFonts w:ascii="Arial" w:eastAsia="Times New Roman" w:hAnsi="Arial" w:cs="Arial"/>
                <w:sz w:val="18"/>
                <w:szCs w:val="18"/>
                <w:lang w:val="sk-SK" w:eastAsia="sk-SK"/>
              </w:rPr>
            </w:pPr>
          </w:p>
        </w:tc>
        <w:tc>
          <w:tcPr>
            <w:tcW w:w="1025" w:type="pct"/>
            <w:tcBorders>
              <w:top w:val="nil"/>
              <w:left w:val="nil"/>
              <w:bottom w:val="nil"/>
              <w:right w:val="nil"/>
            </w:tcBorders>
            <w:shd w:val="clear" w:color="auto" w:fill="auto"/>
            <w:vAlign w:val="bottom"/>
          </w:tcPr>
          <w:p w14:paraId="66EE3CB4" w14:textId="77777777" w:rsidR="009F2456" w:rsidRPr="00226892" w:rsidRDefault="009F2456" w:rsidP="009F2456">
            <w:pPr>
              <w:jc w:val="right"/>
              <w:rPr>
                <w:rFonts w:ascii="Arial" w:eastAsia="Times New Roman" w:hAnsi="Arial" w:cs="Arial"/>
                <w:sz w:val="18"/>
                <w:szCs w:val="18"/>
                <w:lang w:val="sk-SK" w:eastAsia="sk-SK"/>
              </w:rPr>
            </w:pPr>
          </w:p>
        </w:tc>
        <w:tc>
          <w:tcPr>
            <w:tcW w:w="95" w:type="pct"/>
            <w:tcBorders>
              <w:top w:val="nil"/>
              <w:left w:val="nil"/>
              <w:bottom w:val="nil"/>
              <w:right w:val="nil"/>
            </w:tcBorders>
            <w:shd w:val="clear" w:color="auto" w:fill="auto"/>
            <w:vAlign w:val="bottom"/>
          </w:tcPr>
          <w:p w14:paraId="5C9BBFF9" w14:textId="77777777" w:rsidR="009F2456" w:rsidRPr="00226892" w:rsidRDefault="009F2456" w:rsidP="009F2456">
            <w:pPr>
              <w:jc w:val="right"/>
              <w:rPr>
                <w:rFonts w:ascii="Arial" w:eastAsia="Times New Roman" w:hAnsi="Arial" w:cs="Arial"/>
                <w:sz w:val="18"/>
                <w:szCs w:val="18"/>
                <w:lang w:val="sk-SK" w:eastAsia="sk-SK"/>
              </w:rPr>
            </w:pPr>
          </w:p>
        </w:tc>
        <w:tc>
          <w:tcPr>
            <w:tcW w:w="1081" w:type="pct"/>
            <w:tcBorders>
              <w:top w:val="nil"/>
              <w:left w:val="nil"/>
              <w:bottom w:val="nil"/>
              <w:right w:val="nil"/>
            </w:tcBorders>
            <w:shd w:val="clear" w:color="auto" w:fill="auto"/>
            <w:vAlign w:val="bottom"/>
          </w:tcPr>
          <w:p w14:paraId="5E209397" w14:textId="77777777" w:rsidR="009F2456" w:rsidRPr="00226892" w:rsidRDefault="009F2456" w:rsidP="009F2456">
            <w:pPr>
              <w:jc w:val="right"/>
              <w:rPr>
                <w:rFonts w:ascii="Arial" w:eastAsia="Times New Roman" w:hAnsi="Arial" w:cs="Arial"/>
                <w:sz w:val="18"/>
                <w:szCs w:val="18"/>
                <w:lang w:val="sk-SK" w:eastAsia="sk-SK"/>
              </w:rPr>
            </w:pPr>
          </w:p>
        </w:tc>
      </w:tr>
      <w:tr w:rsidR="009F2456" w:rsidRPr="00226892" w14:paraId="6D26AAFB" w14:textId="77777777" w:rsidTr="00B55F9F">
        <w:trPr>
          <w:trHeight w:val="227"/>
        </w:trPr>
        <w:tc>
          <w:tcPr>
            <w:tcW w:w="2695" w:type="pct"/>
            <w:tcBorders>
              <w:top w:val="nil"/>
              <w:left w:val="nil"/>
              <w:bottom w:val="nil"/>
              <w:right w:val="nil"/>
            </w:tcBorders>
            <w:shd w:val="clear" w:color="auto" w:fill="auto"/>
            <w:vAlign w:val="bottom"/>
            <w:hideMark/>
          </w:tcPr>
          <w:p w14:paraId="69A333BD" w14:textId="77777777" w:rsidR="009F2456" w:rsidRPr="00226892" w:rsidRDefault="009F2456" w:rsidP="009F2456">
            <w:pPr>
              <w:rPr>
                <w:rFonts w:ascii="Arial" w:eastAsia="Times New Roman" w:hAnsi="Arial" w:cs="Arial"/>
                <w:i/>
                <w:iCs/>
                <w:color w:val="000000"/>
                <w:sz w:val="18"/>
                <w:szCs w:val="18"/>
                <w:lang w:val="sk-SK" w:eastAsia="sk-SK"/>
              </w:rPr>
            </w:pPr>
            <w:r w:rsidRPr="00226892">
              <w:rPr>
                <w:rFonts w:ascii="Arial" w:eastAsia="Times New Roman" w:hAnsi="Arial" w:cs="Arial"/>
                <w:i/>
                <w:iCs/>
                <w:color w:val="000000"/>
                <w:sz w:val="18"/>
                <w:szCs w:val="18"/>
                <w:lang w:val="sk-SK" w:eastAsia="sk-SK"/>
              </w:rPr>
              <w:t xml:space="preserve">Odpisy </w:t>
            </w:r>
          </w:p>
        </w:tc>
        <w:tc>
          <w:tcPr>
            <w:tcW w:w="104" w:type="pct"/>
            <w:tcBorders>
              <w:top w:val="nil"/>
              <w:left w:val="nil"/>
              <w:bottom w:val="nil"/>
              <w:right w:val="nil"/>
            </w:tcBorders>
            <w:shd w:val="clear" w:color="auto" w:fill="auto"/>
            <w:vAlign w:val="bottom"/>
            <w:hideMark/>
          </w:tcPr>
          <w:p w14:paraId="3504C6DE" w14:textId="77777777" w:rsidR="009F2456" w:rsidRPr="00226892" w:rsidRDefault="009F2456" w:rsidP="009F2456">
            <w:pPr>
              <w:rPr>
                <w:rFonts w:ascii="Arial" w:eastAsia="Times New Roman" w:hAnsi="Arial" w:cs="Arial"/>
                <w:i/>
                <w:iCs/>
                <w:color w:val="000000"/>
                <w:sz w:val="18"/>
                <w:szCs w:val="18"/>
                <w:lang w:val="sk-SK" w:eastAsia="sk-SK"/>
              </w:rPr>
            </w:pPr>
          </w:p>
        </w:tc>
        <w:tc>
          <w:tcPr>
            <w:tcW w:w="1025" w:type="pct"/>
            <w:tcBorders>
              <w:top w:val="nil"/>
              <w:left w:val="nil"/>
              <w:bottom w:val="nil"/>
              <w:right w:val="nil"/>
            </w:tcBorders>
            <w:shd w:val="clear" w:color="auto" w:fill="auto"/>
            <w:vAlign w:val="bottom"/>
          </w:tcPr>
          <w:p w14:paraId="134E15B5" w14:textId="77777777" w:rsidR="009F2456" w:rsidRPr="00226892" w:rsidRDefault="009F2456" w:rsidP="00265134">
            <w:pPr>
              <w:jc w:val="center"/>
              <w:rPr>
                <w:rFonts w:ascii="Arial" w:eastAsia="Times New Roman" w:hAnsi="Arial" w:cs="Arial"/>
                <w:sz w:val="18"/>
                <w:szCs w:val="18"/>
                <w:lang w:val="sk-SK" w:eastAsia="sk-SK"/>
              </w:rPr>
            </w:pPr>
          </w:p>
        </w:tc>
        <w:tc>
          <w:tcPr>
            <w:tcW w:w="95" w:type="pct"/>
            <w:tcBorders>
              <w:top w:val="nil"/>
              <w:left w:val="nil"/>
              <w:bottom w:val="nil"/>
              <w:right w:val="nil"/>
            </w:tcBorders>
            <w:shd w:val="clear" w:color="auto" w:fill="auto"/>
            <w:vAlign w:val="bottom"/>
          </w:tcPr>
          <w:p w14:paraId="35A3792D" w14:textId="77777777" w:rsidR="009F2456" w:rsidRPr="00226892" w:rsidRDefault="009F2456" w:rsidP="009F2456">
            <w:pPr>
              <w:jc w:val="right"/>
              <w:rPr>
                <w:rFonts w:ascii="Arial" w:eastAsia="Times New Roman" w:hAnsi="Arial" w:cs="Arial"/>
                <w:sz w:val="18"/>
                <w:szCs w:val="18"/>
                <w:lang w:val="sk-SK" w:eastAsia="sk-SK"/>
              </w:rPr>
            </w:pPr>
          </w:p>
        </w:tc>
        <w:tc>
          <w:tcPr>
            <w:tcW w:w="1081" w:type="pct"/>
            <w:tcBorders>
              <w:top w:val="nil"/>
              <w:left w:val="nil"/>
              <w:bottom w:val="nil"/>
              <w:right w:val="nil"/>
            </w:tcBorders>
            <w:shd w:val="clear" w:color="auto" w:fill="auto"/>
            <w:vAlign w:val="bottom"/>
          </w:tcPr>
          <w:p w14:paraId="5B6C8492" w14:textId="77777777" w:rsidR="009F2456" w:rsidRPr="00226892" w:rsidRDefault="009F2456" w:rsidP="009F2456">
            <w:pPr>
              <w:jc w:val="right"/>
              <w:rPr>
                <w:rFonts w:ascii="Arial" w:eastAsia="Times New Roman" w:hAnsi="Arial" w:cs="Arial"/>
                <w:sz w:val="18"/>
                <w:szCs w:val="18"/>
                <w:lang w:val="sk-SK" w:eastAsia="sk-SK"/>
              </w:rPr>
            </w:pPr>
          </w:p>
        </w:tc>
      </w:tr>
      <w:tr w:rsidR="009F2456" w:rsidRPr="00226892" w14:paraId="79ECE320" w14:textId="77777777" w:rsidTr="00B55F9F">
        <w:trPr>
          <w:trHeight w:val="227"/>
        </w:trPr>
        <w:tc>
          <w:tcPr>
            <w:tcW w:w="2695" w:type="pct"/>
            <w:tcBorders>
              <w:top w:val="nil"/>
              <w:left w:val="nil"/>
              <w:bottom w:val="nil"/>
              <w:right w:val="nil"/>
            </w:tcBorders>
            <w:shd w:val="clear" w:color="auto" w:fill="auto"/>
            <w:noWrap/>
            <w:vAlign w:val="bottom"/>
            <w:hideMark/>
          </w:tcPr>
          <w:p w14:paraId="7F7A4622" w14:textId="28FCE2AB"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Odpisy hmotného majetku (Pozn. 6)</w:t>
            </w:r>
          </w:p>
        </w:tc>
        <w:tc>
          <w:tcPr>
            <w:tcW w:w="104" w:type="pct"/>
            <w:tcBorders>
              <w:top w:val="nil"/>
              <w:left w:val="nil"/>
              <w:bottom w:val="nil"/>
              <w:right w:val="nil"/>
            </w:tcBorders>
            <w:shd w:val="clear" w:color="auto" w:fill="auto"/>
            <w:vAlign w:val="bottom"/>
            <w:hideMark/>
          </w:tcPr>
          <w:p w14:paraId="10E1765F" w14:textId="77777777" w:rsidR="009F2456" w:rsidRPr="00226892" w:rsidRDefault="009F2456" w:rsidP="009F2456">
            <w:pPr>
              <w:rPr>
                <w:rFonts w:ascii="Arial" w:eastAsia="Times New Roman" w:hAnsi="Arial" w:cs="Arial"/>
                <w:color w:val="000000"/>
                <w:sz w:val="18"/>
                <w:szCs w:val="18"/>
                <w:lang w:val="sk-SK" w:eastAsia="sk-SK"/>
              </w:rPr>
            </w:pPr>
          </w:p>
        </w:tc>
        <w:tc>
          <w:tcPr>
            <w:tcW w:w="1025" w:type="pct"/>
            <w:tcBorders>
              <w:top w:val="nil"/>
              <w:left w:val="nil"/>
              <w:bottom w:val="nil"/>
              <w:right w:val="nil"/>
            </w:tcBorders>
            <w:shd w:val="clear" w:color="auto" w:fill="auto"/>
            <w:vAlign w:val="bottom"/>
          </w:tcPr>
          <w:p w14:paraId="3486E345" w14:textId="7F726591"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8 </w:t>
            </w:r>
            <w:r w:rsidR="00364771" w:rsidRPr="00226892">
              <w:rPr>
                <w:rFonts w:ascii="Arial" w:eastAsia="Times New Roman" w:hAnsi="Arial" w:cs="Arial"/>
                <w:color w:val="000000"/>
                <w:sz w:val="18"/>
                <w:szCs w:val="18"/>
                <w:lang w:val="sk-SK" w:eastAsia="sk-SK"/>
              </w:rPr>
              <w:t>862</w:t>
            </w:r>
          </w:p>
        </w:tc>
        <w:tc>
          <w:tcPr>
            <w:tcW w:w="95" w:type="pct"/>
            <w:tcBorders>
              <w:top w:val="nil"/>
              <w:left w:val="nil"/>
              <w:bottom w:val="nil"/>
              <w:right w:val="nil"/>
            </w:tcBorders>
            <w:shd w:val="clear" w:color="auto" w:fill="auto"/>
            <w:vAlign w:val="bottom"/>
          </w:tcPr>
          <w:p w14:paraId="35C98FDB"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1081" w:type="pct"/>
            <w:tcBorders>
              <w:top w:val="nil"/>
              <w:left w:val="nil"/>
              <w:bottom w:val="nil"/>
              <w:right w:val="nil"/>
            </w:tcBorders>
            <w:shd w:val="clear" w:color="auto" w:fill="auto"/>
            <w:vAlign w:val="bottom"/>
          </w:tcPr>
          <w:p w14:paraId="10A08A78" w14:textId="62AF7578"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8 787</w:t>
            </w:r>
          </w:p>
        </w:tc>
      </w:tr>
      <w:tr w:rsidR="009F2456" w:rsidRPr="00226892" w14:paraId="5958AF8A" w14:textId="77777777" w:rsidTr="00B55F9F">
        <w:trPr>
          <w:trHeight w:val="227"/>
        </w:trPr>
        <w:tc>
          <w:tcPr>
            <w:tcW w:w="2695" w:type="pct"/>
            <w:tcBorders>
              <w:top w:val="nil"/>
              <w:left w:val="nil"/>
              <w:bottom w:val="nil"/>
              <w:right w:val="nil"/>
            </w:tcBorders>
            <w:shd w:val="clear" w:color="auto" w:fill="auto"/>
            <w:noWrap/>
            <w:vAlign w:val="bottom"/>
            <w:hideMark/>
          </w:tcPr>
          <w:p w14:paraId="0FD2320C" w14:textId="06A67FD8"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Odpisy nehmotného majetku (Pozn. 5)</w:t>
            </w:r>
          </w:p>
        </w:tc>
        <w:tc>
          <w:tcPr>
            <w:tcW w:w="104" w:type="pct"/>
            <w:tcBorders>
              <w:top w:val="nil"/>
              <w:left w:val="nil"/>
              <w:bottom w:val="nil"/>
              <w:right w:val="nil"/>
            </w:tcBorders>
            <w:shd w:val="clear" w:color="auto" w:fill="auto"/>
            <w:vAlign w:val="bottom"/>
            <w:hideMark/>
          </w:tcPr>
          <w:p w14:paraId="0DD6ADBC" w14:textId="77777777" w:rsidR="009F2456" w:rsidRPr="00226892" w:rsidRDefault="009F2456" w:rsidP="009F2456">
            <w:pPr>
              <w:rPr>
                <w:rFonts w:ascii="Arial" w:eastAsia="Times New Roman" w:hAnsi="Arial" w:cs="Arial"/>
                <w:color w:val="000000"/>
                <w:sz w:val="18"/>
                <w:szCs w:val="18"/>
                <w:lang w:val="sk-SK" w:eastAsia="sk-SK"/>
              </w:rPr>
            </w:pPr>
          </w:p>
        </w:tc>
        <w:tc>
          <w:tcPr>
            <w:tcW w:w="1025" w:type="pct"/>
            <w:tcBorders>
              <w:top w:val="nil"/>
              <w:left w:val="nil"/>
              <w:bottom w:val="nil"/>
              <w:right w:val="nil"/>
            </w:tcBorders>
            <w:shd w:val="clear" w:color="auto" w:fill="auto"/>
            <w:vAlign w:val="bottom"/>
          </w:tcPr>
          <w:p w14:paraId="7FD3C1AF" w14:textId="003A57F0"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209</w:t>
            </w:r>
          </w:p>
        </w:tc>
        <w:tc>
          <w:tcPr>
            <w:tcW w:w="95" w:type="pct"/>
            <w:tcBorders>
              <w:top w:val="nil"/>
              <w:left w:val="nil"/>
              <w:bottom w:val="nil"/>
              <w:right w:val="nil"/>
            </w:tcBorders>
            <w:shd w:val="clear" w:color="auto" w:fill="auto"/>
            <w:vAlign w:val="bottom"/>
          </w:tcPr>
          <w:p w14:paraId="79BA6635"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1081" w:type="pct"/>
            <w:tcBorders>
              <w:top w:val="nil"/>
              <w:left w:val="nil"/>
              <w:bottom w:val="nil"/>
              <w:right w:val="nil"/>
            </w:tcBorders>
            <w:shd w:val="clear" w:color="auto" w:fill="auto"/>
            <w:vAlign w:val="bottom"/>
          </w:tcPr>
          <w:p w14:paraId="7EF00765" w14:textId="5AC3A2D7"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179</w:t>
            </w:r>
          </w:p>
        </w:tc>
      </w:tr>
      <w:tr w:rsidR="009F2456" w:rsidRPr="00226892" w14:paraId="22EDD9FE" w14:textId="77777777" w:rsidTr="00B55F9F">
        <w:trPr>
          <w:trHeight w:val="227"/>
        </w:trPr>
        <w:tc>
          <w:tcPr>
            <w:tcW w:w="2695" w:type="pct"/>
            <w:tcBorders>
              <w:top w:val="nil"/>
              <w:left w:val="nil"/>
              <w:bottom w:val="nil"/>
              <w:right w:val="nil"/>
            </w:tcBorders>
            <w:shd w:val="clear" w:color="auto" w:fill="auto"/>
            <w:noWrap/>
            <w:vAlign w:val="bottom"/>
            <w:hideMark/>
          </w:tcPr>
          <w:p w14:paraId="3A533918" w14:textId="77777777" w:rsidR="009F2456" w:rsidRPr="00226892" w:rsidRDefault="009F2456" w:rsidP="009F2456">
            <w:pPr>
              <w:rPr>
                <w:rFonts w:ascii="Arial" w:eastAsia="Times New Roman" w:hAnsi="Arial" w:cs="Arial"/>
                <w:color w:val="000000"/>
                <w:sz w:val="18"/>
                <w:szCs w:val="18"/>
                <w:lang w:val="sk-SK" w:eastAsia="sk-SK"/>
              </w:rPr>
            </w:pPr>
          </w:p>
        </w:tc>
        <w:tc>
          <w:tcPr>
            <w:tcW w:w="104" w:type="pct"/>
            <w:tcBorders>
              <w:top w:val="nil"/>
              <w:left w:val="nil"/>
              <w:bottom w:val="nil"/>
              <w:right w:val="nil"/>
            </w:tcBorders>
            <w:shd w:val="clear" w:color="auto" w:fill="auto"/>
            <w:vAlign w:val="bottom"/>
            <w:hideMark/>
          </w:tcPr>
          <w:p w14:paraId="25C22024" w14:textId="77777777" w:rsidR="009F2456" w:rsidRPr="00226892" w:rsidRDefault="009F2456" w:rsidP="009F2456">
            <w:pPr>
              <w:rPr>
                <w:rFonts w:ascii="Arial" w:eastAsia="Times New Roman" w:hAnsi="Arial" w:cs="Arial"/>
                <w:sz w:val="18"/>
                <w:szCs w:val="18"/>
                <w:lang w:val="sk-SK" w:eastAsia="sk-SK"/>
              </w:rPr>
            </w:pPr>
          </w:p>
        </w:tc>
        <w:tc>
          <w:tcPr>
            <w:tcW w:w="1025" w:type="pct"/>
            <w:tcBorders>
              <w:top w:val="single" w:sz="4" w:space="0" w:color="auto"/>
              <w:left w:val="nil"/>
              <w:bottom w:val="double" w:sz="6" w:space="0" w:color="auto"/>
              <w:right w:val="nil"/>
            </w:tcBorders>
            <w:shd w:val="clear" w:color="auto" w:fill="auto"/>
            <w:vAlign w:val="bottom"/>
          </w:tcPr>
          <w:p w14:paraId="2357D76D" w14:textId="1E4AF636" w:rsidR="009F2456" w:rsidRPr="00226892" w:rsidRDefault="00364771" w:rsidP="009F245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9 071</w:t>
            </w:r>
          </w:p>
        </w:tc>
        <w:tc>
          <w:tcPr>
            <w:tcW w:w="95" w:type="pct"/>
            <w:tcBorders>
              <w:top w:val="nil"/>
              <w:left w:val="nil"/>
              <w:bottom w:val="nil"/>
              <w:right w:val="nil"/>
            </w:tcBorders>
            <w:shd w:val="clear" w:color="auto" w:fill="auto"/>
            <w:vAlign w:val="bottom"/>
          </w:tcPr>
          <w:p w14:paraId="7BF03BF9" w14:textId="77777777" w:rsidR="009F2456" w:rsidRPr="00226892" w:rsidRDefault="009F2456" w:rsidP="009F2456">
            <w:pPr>
              <w:jc w:val="right"/>
              <w:rPr>
                <w:rFonts w:ascii="Arial" w:eastAsia="Times New Roman" w:hAnsi="Arial" w:cs="Arial"/>
                <w:b/>
                <w:bCs/>
                <w:color w:val="000000"/>
                <w:sz w:val="18"/>
                <w:szCs w:val="18"/>
                <w:lang w:val="sk-SK" w:eastAsia="sk-SK"/>
              </w:rPr>
            </w:pPr>
          </w:p>
        </w:tc>
        <w:tc>
          <w:tcPr>
            <w:tcW w:w="1081" w:type="pct"/>
            <w:tcBorders>
              <w:top w:val="single" w:sz="4" w:space="0" w:color="auto"/>
              <w:left w:val="nil"/>
              <w:bottom w:val="double" w:sz="6" w:space="0" w:color="auto"/>
              <w:right w:val="nil"/>
            </w:tcBorders>
            <w:shd w:val="clear" w:color="auto" w:fill="auto"/>
            <w:vAlign w:val="bottom"/>
          </w:tcPr>
          <w:p w14:paraId="4A39B552" w14:textId="3CD442DE" w:rsidR="009F2456" w:rsidRPr="00226892" w:rsidRDefault="009F2456" w:rsidP="009F245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8 966</w:t>
            </w:r>
          </w:p>
        </w:tc>
      </w:tr>
      <w:tr w:rsidR="009F2456" w:rsidRPr="00226892" w14:paraId="098069D2" w14:textId="77777777" w:rsidTr="00B55F9F">
        <w:trPr>
          <w:trHeight w:val="227"/>
        </w:trPr>
        <w:tc>
          <w:tcPr>
            <w:tcW w:w="2695" w:type="pct"/>
            <w:tcBorders>
              <w:top w:val="nil"/>
              <w:left w:val="nil"/>
              <w:bottom w:val="nil"/>
              <w:right w:val="nil"/>
            </w:tcBorders>
            <w:shd w:val="clear" w:color="auto" w:fill="auto"/>
            <w:noWrap/>
            <w:vAlign w:val="bottom"/>
            <w:hideMark/>
          </w:tcPr>
          <w:p w14:paraId="19D09887" w14:textId="77777777" w:rsidR="009F2456" w:rsidRPr="00226892" w:rsidRDefault="009F2456" w:rsidP="009F2456">
            <w:pPr>
              <w:rPr>
                <w:rFonts w:ascii="Arial" w:eastAsia="Times New Roman" w:hAnsi="Arial" w:cs="Arial"/>
                <w:b/>
                <w:bCs/>
                <w:color w:val="000000"/>
                <w:sz w:val="18"/>
                <w:szCs w:val="18"/>
                <w:lang w:val="sk-SK" w:eastAsia="sk-SK"/>
              </w:rPr>
            </w:pPr>
          </w:p>
        </w:tc>
        <w:tc>
          <w:tcPr>
            <w:tcW w:w="104" w:type="pct"/>
            <w:tcBorders>
              <w:top w:val="nil"/>
              <w:left w:val="nil"/>
              <w:bottom w:val="nil"/>
              <w:right w:val="nil"/>
            </w:tcBorders>
            <w:shd w:val="clear" w:color="auto" w:fill="auto"/>
            <w:vAlign w:val="bottom"/>
            <w:hideMark/>
          </w:tcPr>
          <w:p w14:paraId="72782FCF" w14:textId="77777777" w:rsidR="009F2456" w:rsidRPr="00226892" w:rsidRDefault="009F2456" w:rsidP="009F2456">
            <w:pPr>
              <w:rPr>
                <w:rFonts w:ascii="Arial" w:eastAsia="Times New Roman" w:hAnsi="Arial" w:cs="Arial"/>
                <w:sz w:val="18"/>
                <w:szCs w:val="18"/>
                <w:lang w:val="sk-SK" w:eastAsia="sk-SK"/>
              </w:rPr>
            </w:pPr>
          </w:p>
        </w:tc>
        <w:tc>
          <w:tcPr>
            <w:tcW w:w="1025" w:type="pct"/>
            <w:tcBorders>
              <w:top w:val="nil"/>
              <w:left w:val="nil"/>
              <w:bottom w:val="nil"/>
              <w:right w:val="nil"/>
            </w:tcBorders>
            <w:shd w:val="clear" w:color="auto" w:fill="auto"/>
            <w:vAlign w:val="bottom"/>
          </w:tcPr>
          <w:p w14:paraId="07CEFDF5" w14:textId="77777777" w:rsidR="009F2456" w:rsidRPr="00226892" w:rsidRDefault="009F2456" w:rsidP="009F2456">
            <w:pPr>
              <w:jc w:val="right"/>
              <w:rPr>
                <w:rFonts w:ascii="Arial" w:eastAsia="Times New Roman" w:hAnsi="Arial" w:cs="Arial"/>
                <w:sz w:val="18"/>
                <w:szCs w:val="18"/>
                <w:lang w:val="sk-SK" w:eastAsia="sk-SK"/>
              </w:rPr>
            </w:pPr>
          </w:p>
        </w:tc>
        <w:tc>
          <w:tcPr>
            <w:tcW w:w="95" w:type="pct"/>
            <w:tcBorders>
              <w:top w:val="nil"/>
              <w:left w:val="nil"/>
              <w:bottom w:val="nil"/>
              <w:right w:val="nil"/>
            </w:tcBorders>
            <w:shd w:val="clear" w:color="auto" w:fill="auto"/>
            <w:vAlign w:val="bottom"/>
          </w:tcPr>
          <w:p w14:paraId="2AF146E5" w14:textId="77777777" w:rsidR="009F2456" w:rsidRPr="00226892" w:rsidRDefault="009F2456" w:rsidP="009F2456">
            <w:pPr>
              <w:jc w:val="right"/>
              <w:rPr>
                <w:rFonts w:ascii="Arial" w:eastAsia="Times New Roman" w:hAnsi="Arial" w:cs="Arial"/>
                <w:sz w:val="18"/>
                <w:szCs w:val="18"/>
                <w:lang w:val="sk-SK" w:eastAsia="sk-SK"/>
              </w:rPr>
            </w:pPr>
          </w:p>
        </w:tc>
        <w:tc>
          <w:tcPr>
            <w:tcW w:w="1081" w:type="pct"/>
            <w:tcBorders>
              <w:top w:val="nil"/>
              <w:left w:val="nil"/>
              <w:bottom w:val="nil"/>
              <w:right w:val="nil"/>
            </w:tcBorders>
            <w:shd w:val="clear" w:color="auto" w:fill="auto"/>
            <w:vAlign w:val="bottom"/>
          </w:tcPr>
          <w:p w14:paraId="05397D16" w14:textId="77777777" w:rsidR="009F2456" w:rsidRPr="00226892" w:rsidRDefault="009F2456" w:rsidP="009F2456">
            <w:pPr>
              <w:jc w:val="right"/>
              <w:rPr>
                <w:rFonts w:ascii="Arial" w:eastAsia="Times New Roman" w:hAnsi="Arial" w:cs="Arial"/>
                <w:sz w:val="18"/>
                <w:szCs w:val="18"/>
                <w:lang w:val="sk-SK" w:eastAsia="sk-SK"/>
              </w:rPr>
            </w:pPr>
          </w:p>
        </w:tc>
      </w:tr>
      <w:tr w:rsidR="009F2456" w:rsidRPr="00226892" w14:paraId="12E7364E" w14:textId="77777777" w:rsidTr="00B55F9F">
        <w:trPr>
          <w:trHeight w:val="227"/>
        </w:trPr>
        <w:tc>
          <w:tcPr>
            <w:tcW w:w="2695" w:type="pct"/>
            <w:tcBorders>
              <w:top w:val="nil"/>
              <w:left w:val="nil"/>
              <w:bottom w:val="nil"/>
              <w:right w:val="nil"/>
            </w:tcBorders>
            <w:shd w:val="clear" w:color="auto" w:fill="auto"/>
            <w:vAlign w:val="bottom"/>
            <w:hideMark/>
          </w:tcPr>
          <w:p w14:paraId="1DB56112" w14:textId="048152D2" w:rsidR="009F2456" w:rsidRPr="00226892" w:rsidRDefault="009F2456" w:rsidP="009F2456">
            <w:pPr>
              <w:rPr>
                <w:rFonts w:ascii="Arial" w:eastAsia="Times New Roman" w:hAnsi="Arial" w:cs="Arial"/>
                <w:i/>
                <w:iCs/>
                <w:color w:val="000000"/>
                <w:sz w:val="18"/>
                <w:szCs w:val="18"/>
                <w:lang w:val="sk-SK" w:eastAsia="sk-SK"/>
              </w:rPr>
            </w:pPr>
            <w:r w:rsidRPr="00226892">
              <w:rPr>
                <w:rFonts w:ascii="Arial" w:eastAsia="Times New Roman" w:hAnsi="Arial" w:cs="Arial"/>
                <w:i/>
                <w:iCs/>
                <w:color w:val="000000"/>
                <w:sz w:val="18"/>
                <w:szCs w:val="18"/>
                <w:lang w:val="sk-SK" w:eastAsia="sk-SK"/>
              </w:rPr>
              <w:t xml:space="preserve">Ostatné prevádzkové výnosy </w:t>
            </w:r>
            <w:r w:rsidR="00D10DAF" w:rsidRPr="00226892">
              <w:rPr>
                <w:rFonts w:ascii="Arial" w:eastAsia="Times New Roman" w:hAnsi="Arial" w:cs="Arial"/>
                <w:i/>
                <w:iCs/>
                <w:color w:val="000000"/>
                <w:sz w:val="18"/>
                <w:szCs w:val="18"/>
                <w:lang w:val="sk-SK" w:eastAsia="sk-SK"/>
              </w:rPr>
              <w:t>(-)</w:t>
            </w:r>
          </w:p>
        </w:tc>
        <w:tc>
          <w:tcPr>
            <w:tcW w:w="104" w:type="pct"/>
            <w:tcBorders>
              <w:top w:val="nil"/>
              <w:left w:val="nil"/>
              <w:bottom w:val="nil"/>
              <w:right w:val="nil"/>
            </w:tcBorders>
            <w:shd w:val="clear" w:color="auto" w:fill="auto"/>
            <w:vAlign w:val="bottom"/>
            <w:hideMark/>
          </w:tcPr>
          <w:p w14:paraId="5259ACD4" w14:textId="77777777" w:rsidR="009F2456" w:rsidRPr="00226892" w:rsidRDefault="009F2456" w:rsidP="009F2456">
            <w:pPr>
              <w:rPr>
                <w:rFonts w:ascii="Arial" w:eastAsia="Times New Roman" w:hAnsi="Arial" w:cs="Arial"/>
                <w:i/>
                <w:iCs/>
                <w:color w:val="000000"/>
                <w:sz w:val="18"/>
                <w:szCs w:val="18"/>
                <w:lang w:val="sk-SK" w:eastAsia="sk-SK"/>
              </w:rPr>
            </w:pPr>
          </w:p>
        </w:tc>
        <w:tc>
          <w:tcPr>
            <w:tcW w:w="1025" w:type="pct"/>
            <w:tcBorders>
              <w:top w:val="nil"/>
              <w:left w:val="nil"/>
              <w:bottom w:val="nil"/>
              <w:right w:val="nil"/>
            </w:tcBorders>
            <w:shd w:val="clear" w:color="auto" w:fill="auto"/>
            <w:vAlign w:val="bottom"/>
          </w:tcPr>
          <w:p w14:paraId="5548312F" w14:textId="77777777" w:rsidR="009F2456" w:rsidRPr="00226892" w:rsidRDefault="009F2456" w:rsidP="009F2456">
            <w:pPr>
              <w:jc w:val="right"/>
              <w:rPr>
                <w:rFonts w:ascii="Arial" w:eastAsia="Times New Roman" w:hAnsi="Arial" w:cs="Arial"/>
                <w:sz w:val="18"/>
                <w:szCs w:val="18"/>
                <w:lang w:val="sk-SK" w:eastAsia="sk-SK"/>
              </w:rPr>
            </w:pPr>
          </w:p>
        </w:tc>
        <w:tc>
          <w:tcPr>
            <w:tcW w:w="95" w:type="pct"/>
            <w:tcBorders>
              <w:top w:val="nil"/>
              <w:left w:val="nil"/>
              <w:bottom w:val="nil"/>
              <w:right w:val="nil"/>
            </w:tcBorders>
            <w:shd w:val="clear" w:color="auto" w:fill="auto"/>
            <w:vAlign w:val="bottom"/>
          </w:tcPr>
          <w:p w14:paraId="4D93AEB1" w14:textId="77777777" w:rsidR="009F2456" w:rsidRPr="00226892" w:rsidRDefault="009F2456" w:rsidP="009F2456">
            <w:pPr>
              <w:jc w:val="right"/>
              <w:rPr>
                <w:rFonts w:ascii="Arial" w:eastAsia="Times New Roman" w:hAnsi="Arial" w:cs="Arial"/>
                <w:sz w:val="18"/>
                <w:szCs w:val="18"/>
                <w:lang w:val="sk-SK" w:eastAsia="sk-SK"/>
              </w:rPr>
            </w:pPr>
          </w:p>
        </w:tc>
        <w:tc>
          <w:tcPr>
            <w:tcW w:w="1081" w:type="pct"/>
            <w:tcBorders>
              <w:top w:val="nil"/>
              <w:left w:val="nil"/>
              <w:bottom w:val="nil"/>
              <w:right w:val="nil"/>
            </w:tcBorders>
            <w:shd w:val="clear" w:color="auto" w:fill="auto"/>
            <w:vAlign w:val="bottom"/>
          </w:tcPr>
          <w:p w14:paraId="35A1953E" w14:textId="2E58F24E" w:rsidR="009F2456" w:rsidRPr="00226892" w:rsidRDefault="009F2456" w:rsidP="009F2456">
            <w:pPr>
              <w:jc w:val="right"/>
              <w:rPr>
                <w:rFonts w:ascii="Arial" w:eastAsia="Times New Roman" w:hAnsi="Arial" w:cs="Arial"/>
                <w:sz w:val="18"/>
                <w:szCs w:val="18"/>
                <w:lang w:val="sk-SK" w:eastAsia="sk-SK"/>
              </w:rPr>
            </w:pPr>
          </w:p>
        </w:tc>
      </w:tr>
      <w:tr w:rsidR="009F2456" w:rsidRPr="00226892" w14:paraId="6ECA7F5B" w14:textId="77777777" w:rsidTr="00B55F9F">
        <w:trPr>
          <w:trHeight w:val="227"/>
        </w:trPr>
        <w:tc>
          <w:tcPr>
            <w:tcW w:w="2695" w:type="pct"/>
            <w:tcBorders>
              <w:top w:val="nil"/>
              <w:left w:val="nil"/>
              <w:bottom w:val="nil"/>
              <w:right w:val="nil"/>
            </w:tcBorders>
            <w:shd w:val="clear" w:color="auto" w:fill="auto"/>
            <w:vAlign w:val="bottom"/>
            <w:hideMark/>
          </w:tcPr>
          <w:p w14:paraId="4B1B0C73" w14:textId="6E9559B9" w:rsidR="009F2456" w:rsidRPr="00226892" w:rsidRDefault="009F2456" w:rsidP="009F2456">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Opravné položky k </w:t>
            </w:r>
            <w:proofErr w:type="spellStart"/>
            <w:r w:rsidRPr="00226892">
              <w:rPr>
                <w:rFonts w:ascii="Arial" w:eastAsia="Times New Roman" w:hAnsi="Arial" w:cs="Arial"/>
                <w:color w:val="000000"/>
                <w:sz w:val="18"/>
                <w:szCs w:val="18"/>
                <w:lang w:val="sk-SK" w:eastAsia="sk-SK"/>
              </w:rPr>
              <w:t>zásobam</w:t>
            </w:r>
            <w:proofErr w:type="spellEnd"/>
            <w:r w:rsidRPr="00226892">
              <w:rPr>
                <w:rFonts w:ascii="Arial" w:eastAsia="Times New Roman" w:hAnsi="Arial" w:cs="Arial"/>
                <w:color w:val="000000"/>
                <w:sz w:val="18"/>
                <w:szCs w:val="18"/>
                <w:lang w:val="sk-SK" w:eastAsia="sk-SK"/>
              </w:rPr>
              <w:t xml:space="preserve"> </w:t>
            </w:r>
            <w:r w:rsidR="00206D7F" w:rsidRPr="00226892">
              <w:rPr>
                <w:rFonts w:ascii="Arial" w:eastAsia="Times New Roman" w:hAnsi="Arial" w:cs="Arial"/>
                <w:color w:val="000000"/>
                <w:sz w:val="18"/>
                <w:szCs w:val="18"/>
                <w:lang w:val="sk-SK" w:eastAsia="sk-SK"/>
              </w:rPr>
              <w:t>(Pozn. 1</w:t>
            </w:r>
            <w:r w:rsidR="00522218" w:rsidRPr="00226892">
              <w:rPr>
                <w:rFonts w:ascii="Arial" w:eastAsia="Times New Roman" w:hAnsi="Arial" w:cs="Arial"/>
                <w:color w:val="000000"/>
                <w:sz w:val="18"/>
                <w:szCs w:val="18"/>
                <w:lang w:val="sk-SK" w:eastAsia="sk-SK"/>
              </w:rPr>
              <w:t>2</w:t>
            </w:r>
            <w:r w:rsidR="00206D7F" w:rsidRPr="00226892">
              <w:rPr>
                <w:rFonts w:ascii="Arial" w:eastAsia="Times New Roman" w:hAnsi="Arial" w:cs="Arial"/>
                <w:color w:val="000000"/>
                <w:sz w:val="18"/>
                <w:szCs w:val="18"/>
                <w:lang w:val="sk-SK" w:eastAsia="sk-SK"/>
              </w:rPr>
              <w:t>)</w:t>
            </w:r>
          </w:p>
        </w:tc>
        <w:tc>
          <w:tcPr>
            <w:tcW w:w="104" w:type="pct"/>
            <w:tcBorders>
              <w:top w:val="nil"/>
              <w:left w:val="nil"/>
              <w:bottom w:val="nil"/>
              <w:right w:val="nil"/>
            </w:tcBorders>
            <w:shd w:val="clear" w:color="auto" w:fill="auto"/>
            <w:vAlign w:val="bottom"/>
            <w:hideMark/>
          </w:tcPr>
          <w:p w14:paraId="67B987DE" w14:textId="77777777" w:rsidR="009F2456" w:rsidRPr="00226892" w:rsidRDefault="009F2456" w:rsidP="009F2456">
            <w:pPr>
              <w:rPr>
                <w:rFonts w:ascii="Arial" w:eastAsia="Times New Roman" w:hAnsi="Arial" w:cs="Arial"/>
                <w:color w:val="000000"/>
                <w:sz w:val="18"/>
                <w:szCs w:val="18"/>
                <w:lang w:val="sk-SK" w:eastAsia="sk-SK"/>
              </w:rPr>
            </w:pPr>
          </w:p>
        </w:tc>
        <w:tc>
          <w:tcPr>
            <w:tcW w:w="1025" w:type="pct"/>
            <w:tcBorders>
              <w:top w:val="nil"/>
              <w:left w:val="nil"/>
              <w:bottom w:val="nil"/>
              <w:right w:val="nil"/>
            </w:tcBorders>
            <w:shd w:val="clear" w:color="auto" w:fill="auto"/>
            <w:vAlign w:val="bottom"/>
          </w:tcPr>
          <w:p w14:paraId="539E45A9" w14:textId="361622E7" w:rsidR="009F2456" w:rsidRPr="00226892" w:rsidRDefault="009F2456"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5" w:type="pct"/>
            <w:tcBorders>
              <w:top w:val="nil"/>
              <w:left w:val="nil"/>
              <w:bottom w:val="nil"/>
              <w:right w:val="nil"/>
            </w:tcBorders>
            <w:shd w:val="clear" w:color="auto" w:fill="auto"/>
            <w:vAlign w:val="bottom"/>
          </w:tcPr>
          <w:p w14:paraId="79E34174" w14:textId="77777777" w:rsidR="009F2456" w:rsidRPr="00226892" w:rsidRDefault="009F2456" w:rsidP="009F2456">
            <w:pPr>
              <w:jc w:val="right"/>
              <w:rPr>
                <w:rFonts w:ascii="Arial" w:eastAsia="Times New Roman" w:hAnsi="Arial" w:cs="Arial"/>
                <w:color w:val="000000"/>
                <w:sz w:val="18"/>
                <w:szCs w:val="18"/>
                <w:lang w:val="sk-SK" w:eastAsia="sk-SK"/>
              </w:rPr>
            </w:pPr>
          </w:p>
        </w:tc>
        <w:tc>
          <w:tcPr>
            <w:tcW w:w="1081" w:type="pct"/>
            <w:tcBorders>
              <w:top w:val="nil"/>
              <w:left w:val="nil"/>
              <w:bottom w:val="nil"/>
              <w:right w:val="nil"/>
            </w:tcBorders>
            <w:shd w:val="clear" w:color="auto" w:fill="auto"/>
            <w:vAlign w:val="bottom"/>
          </w:tcPr>
          <w:p w14:paraId="1E52EFE9" w14:textId="0A45D31C" w:rsidR="009F2456" w:rsidRPr="00226892" w:rsidRDefault="00413915" w:rsidP="009F245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r w:rsidR="00CD65A4" w:rsidRPr="00226892">
              <w:rPr>
                <w:rFonts w:ascii="Arial" w:eastAsia="Times New Roman" w:hAnsi="Arial" w:cs="Arial"/>
                <w:color w:val="000000"/>
                <w:sz w:val="18"/>
                <w:szCs w:val="18"/>
                <w:lang w:val="sk-SK" w:eastAsia="sk-SK"/>
              </w:rPr>
              <w:t>100</w:t>
            </w:r>
          </w:p>
        </w:tc>
      </w:tr>
      <w:tr w:rsidR="00CD65A4" w:rsidRPr="00226892" w14:paraId="4C02E19F" w14:textId="77777777" w:rsidTr="00B55F9F">
        <w:trPr>
          <w:trHeight w:val="227"/>
        </w:trPr>
        <w:tc>
          <w:tcPr>
            <w:tcW w:w="2695" w:type="pct"/>
            <w:tcBorders>
              <w:top w:val="nil"/>
              <w:left w:val="nil"/>
              <w:bottom w:val="nil"/>
              <w:right w:val="nil"/>
            </w:tcBorders>
            <w:shd w:val="clear" w:color="auto" w:fill="auto"/>
            <w:noWrap/>
            <w:vAlign w:val="bottom"/>
            <w:hideMark/>
          </w:tcPr>
          <w:p w14:paraId="6984AB5C" w14:textId="77777777" w:rsidR="00CD65A4" w:rsidRPr="00226892" w:rsidRDefault="00CD65A4" w:rsidP="00CD65A4">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Opravné položky na zníženie hodnoty pohľadávok</w:t>
            </w:r>
          </w:p>
        </w:tc>
        <w:tc>
          <w:tcPr>
            <w:tcW w:w="104" w:type="pct"/>
            <w:tcBorders>
              <w:top w:val="nil"/>
              <w:left w:val="nil"/>
              <w:bottom w:val="nil"/>
              <w:right w:val="nil"/>
            </w:tcBorders>
            <w:shd w:val="clear" w:color="auto" w:fill="auto"/>
            <w:vAlign w:val="bottom"/>
            <w:hideMark/>
          </w:tcPr>
          <w:p w14:paraId="21AED871" w14:textId="77777777" w:rsidR="00CD65A4" w:rsidRPr="00226892" w:rsidRDefault="00CD65A4" w:rsidP="00CD65A4">
            <w:pPr>
              <w:rPr>
                <w:rFonts w:ascii="Arial" w:eastAsia="Times New Roman" w:hAnsi="Arial" w:cs="Arial"/>
                <w:color w:val="000000"/>
                <w:sz w:val="18"/>
                <w:szCs w:val="18"/>
                <w:lang w:val="sk-SK" w:eastAsia="sk-SK"/>
              </w:rPr>
            </w:pPr>
          </w:p>
        </w:tc>
        <w:tc>
          <w:tcPr>
            <w:tcW w:w="1025" w:type="pct"/>
            <w:tcBorders>
              <w:top w:val="nil"/>
              <w:left w:val="nil"/>
              <w:bottom w:val="nil"/>
              <w:right w:val="nil"/>
            </w:tcBorders>
            <w:shd w:val="clear" w:color="auto" w:fill="auto"/>
            <w:vAlign w:val="bottom"/>
          </w:tcPr>
          <w:p w14:paraId="4BB22FBB" w14:textId="33C08ED2" w:rsidR="00CD65A4" w:rsidRPr="00226892" w:rsidRDefault="00413915" w:rsidP="00CD65A4">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r w:rsidR="00CD65A4" w:rsidRPr="00226892">
              <w:rPr>
                <w:rFonts w:ascii="Arial" w:eastAsia="Times New Roman" w:hAnsi="Arial" w:cs="Arial"/>
                <w:color w:val="000000"/>
                <w:sz w:val="18"/>
                <w:szCs w:val="18"/>
                <w:lang w:val="sk-SK" w:eastAsia="sk-SK"/>
              </w:rPr>
              <w:t>1</w:t>
            </w:r>
          </w:p>
        </w:tc>
        <w:tc>
          <w:tcPr>
            <w:tcW w:w="95" w:type="pct"/>
            <w:tcBorders>
              <w:top w:val="nil"/>
              <w:left w:val="nil"/>
              <w:bottom w:val="nil"/>
              <w:right w:val="nil"/>
            </w:tcBorders>
            <w:shd w:val="clear" w:color="auto" w:fill="auto"/>
            <w:vAlign w:val="bottom"/>
          </w:tcPr>
          <w:p w14:paraId="0DDDFA1E" w14:textId="77777777" w:rsidR="00CD65A4" w:rsidRPr="00226892" w:rsidRDefault="00CD65A4" w:rsidP="00CD65A4">
            <w:pPr>
              <w:jc w:val="right"/>
              <w:rPr>
                <w:rFonts w:ascii="Arial" w:eastAsia="Times New Roman" w:hAnsi="Arial" w:cs="Arial"/>
                <w:color w:val="000000"/>
                <w:sz w:val="18"/>
                <w:szCs w:val="18"/>
                <w:lang w:val="sk-SK" w:eastAsia="sk-SK"/>
              </w:rPr>
            </w:pPr>
          </w:p>
        </w:tc>
        <w:tc>
          <w:tcPr>
            <w:tcW w:w="1081" w:type="pct"/>
            <w:tcBorders>
              <w:top w:val="nil"/>
              <w:left w:val="nil"/>
              <w:bottom w:val="nil"/>
              <w:right w:val="nil"/>
            </w:tcBorders>
            <w:shd w:val="clear" w:color="auto" w:fill="auto"/>
            <w:vAlign w:val="bottom"/>
          </w:tcPr>
          <w:p w14:paraId="17D11AEE" w14:textId="7D33EA39" w:rsidR="00CD65A4" w:rsidRPr="00226892" w:rsidRDefault="00CD65A4" w:rsidP="00CD65A4">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w:t>
            </w:r>
          </w:p>
        </w:tc>
      </w:tr>
      <w:tr w:rsidR="00CD65A4" w:rsidRPr="00226892" w14:paraId="1FDD7B23" w14:textId="77777777" w:rsidTr="00B55F9F">
        <w:trPr>
          <w:trHeight w:val="227"/>
        </w:trPr>
        <w:tc>
          <w:tcPr>
            <w:tcW w:w="2695" w:type="pct"/>
            <w:tcBorders>
              <w:top w:val="nil"/>
              <w:left w:val="nil"/>
              <w:bottom w:val="nil"/>
              <w:right w:val="nil"/>
            </w:tcBorders>
            <w:shd w:val="clear" w:color="auto" w:fill="auto"/>
            <w:noWrap/>
            <w:vAlign w:val="bottom"/>
            <w:hideMark/>
          </w:tcPr>
          <w:p w14:paraId="25965D57" w14:textId="77777777" w:rsidR="00CD65A4" w:rsidRPr="00226892" w:rsidRDefault="00CD65A4" w:rsidP="00CD65A4">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Kurzové zisky – netto</w:t>
            </w:r>
          </w:p>
        </w:tc>
        <w:tc>
          <w:tcPr>
            <w:tcW w:w="104" w:type="pct"/>
            <w:tcBorders>
              <w:top w:val="nil"/>
              <w:left w:val="nil"/>
              <w:bottom w:val="nil"/>
              <w:right w:val="nil"/>
            </w:tcBorders>
            <w:shd w:val="clear" w:color="auto" w:fill="auto"/>
            <w:vAlign w:val="bottom"/>
            <w:hideMark/>
          </w:tcPr>
          <w:p w14:paraId="14879E83" w14:textId="77777777" w:rsidR="00CD65A4" w:rsidRPr="00226892" w:rsidRDefault="00CD65A4" w:rsidP="00CD65A4">
            <w:pPr>
              <w:rPr>
                <w:rFonts w:ascii="Arial" w:eastAsia="Times New Roman" w:hAnsi="Arial" w:cs="Arial"/>
                <w:color w:val="000000"/>
                <w:sz w:val="18"/>
                <w:szCs w:val="18"/>
                <w:lang w:val="sk-SK" w:eastAsia="sk-SK"/>
              </w:rPr>
            </w:pPr>
          </w:p>
        </w:tc>
        <w:tc>
          <w:tcPr>
            <w:tcW w:w="1025" w:type="pct"/>
            <w:tcBorders>
              <w:top w:val="nil"/>
              <w:left w:val="nil"/>
              <w:bottom w:val="nil"/>
              <w:right w:val="nil"/>
            </w:tcBorders>
            <w:shd w:val="clear" w:color="auto" w:fill="auto"/>
            <w:vAlign w:val="bottom"/>
          </w:tcPr>
          <w:p w14:paraId="31D8BB24" w14:textId="4BAD880A" w:rsidR="00CD65A4" w:rsidRPr="00226892" w:rsidRDefault="00CD65A4" w:rsidP="00CD65A4">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5" w:type="pct"/>
            <w:tcBorders>
              <w:top w:val="nil"/>
              <w:left w:val="nil"/>
              <w:bottom w:val="nil"/>
              <w:right w:val="nil"/>
            </w:tcBorders>
            <w:shd w:val="clear" w:color="auto" w:fill="auto"/>
            <w:vAlign w:val="bottom"/>
          </w:tcPr>
          <w:p w14:paraId="62902CB7" w14:textId="77777777" w:rsidR="00CD65A4" w:rsidRPr="00226892" w:rsidRDefault="00CD65A4" w:rsidP="00CD65A4">
            <w:pPr>
              <w:jc w:val="right"/>
              <w:rPr>
                <w:rFonts w:ascii="Arial" w:eastAsia="Times New Roman" w:hAnsi="Arial" w:cs="Arial"/>
                <w:color w:val="000000"/>
                <w:sz w:val="18"/>
                <w:szCs w:val="18"/>
                <w:lang w:val="sk-SK" w:eastAsia="sk-SK"/>
              </w:rPr>
            </w:pPr>
          </w:p>
        </w:tc>
        <w:tc>
          <w:tcPr>
            <w:tcW w:w="1081" w:type="pct"/>
            <w:tcBorders>
              <w:top w:val="nil"/>
              <w:left w:val="nil"/>
              <w:bottom w:val="nil"/>
              <w:right w:val="nil"/>
            </w:tcBorders>
            <w:shd w:val="clear" w:color="auto" w:fill="auto"/>
            <w:vAlign w:val="bottom"/>
          </w:tcPr>
          <w:p w14:paraId="5010641D" w14:textId="5B48C0DF" w:rsidR="00CD65A4" w:rsidRPr="00226892" w:rsidRDefault="00413915" w:rsidP="00CD65A4">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r w:rsidR="00CD65A4" w:rsidRPr="00226892">
              <w:rPr>
                <w:rFonts w:ascii="Arial" w:eastAsia="Times New Roman" w:hAnsi="Arial" w:cs="Arial"/>
                <w:color w:val="000000"/>
                <w:sz w:val="18"/>
                <w:szCs w:val="18"/>
                <w:lang w:val="sk-SK" w:eastAsia="sk-SK"/>
              </w:rPr>
              <w:t>199</w:t>
            </w:r>
          </w:p>
        </w:tc>
      </w:tr>
      <w:tr w:rsidR="00CD65A4" w:rsidRPr="00226892" w14:paraId="53E7643C" w14:textId="77777777" w:rsidTr="00B55F9F">
        <w:trPr>
          <w:trHeight w:val="227"/>
        </w:trPr>
        <w:tc>
          <w:tcPr>
            <w:tcW w:w="2695" w:type="pct"/>
            <w:tcBorders>
              <w:top w:val="nil"/>
              <w:left w:val="nil"/>
              <w:bottom w:val="nil"/>
              <w:right w:val="nil"/>
            </w:tcBorders>
            <w:shd w:val="clear" w:color="auto" w:fill="auto"/>
            <w:vAlign w:val="bottom"/>
            <w:hideMark/>
          </w:tcPr>
          <w:p w14:paraId="0EC9B5F3" w14:textId="111C11AB" w:rsidR="00CD65A4" w:rsidRPr="00226892" w:rsidRDefault="00CD65A4" w:rsidP="00CD65A4">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Zisk z predaja dlhodobého hmotného majetku </w:t>
            </w:r>
          </w:p>
        </w:tc>
        <w:tc>
          <w:tcPr>
            <w:tcW w:w="104" w:type="pct"/>
            <w:tcBorders>
              <w:top w:val="nil"/>
              <w:left w:val="nil"/>
              <w:bottom w:val="nil"/>
              <w:right w:val="nil"/>
            </w:tcBorders>
            <w:shd w:val="clear" w:color="auto" w:fill="auto"/>
            <w:vAlign w:val="bottom"/>
            <w:hideMark/>
          </w:tcPr>
          <w:p w14:paraId="6B55E2A6" w14:textId="77777777" w:rsidR="00CD65A4" w:rsidRPr="00226892" w:rsidRDefault="00CD65A4" w:rsidP="00CD65A4">
            <w:pPr>
              <w:rPr>
                <w:rFonts w:ascii="Arial" w:eastAsia="Times New Roman" w:hAnsi="Arial" w:cs="Arial"/>
                <w:color w:val="000000"/>
                <w:sz w:val="18"/>
                <w:szCs w:val="18"/>
                <w:lang w:val="sk-SK" w:eastAsia="sk-SK"/>
              </w:rPr>
            </w:pPr>
          </w:p>
        </w:tc>
        <w:tc>
          <w:tcPr>
            <w:tcW w:w="1025" w:type="pct"/>
            <w:tcBorders>
              <w:top w:val="nil"/>
              <w:left w:val="nil"/>
              <w:bottom w:val="nil"/>
              <w:right w:val="nil"/>
            </w:tcBorders>
            <w:shd w:val="clear" w:color="auto" w:fill="auto"/>
            <w:vAlign w:val="bottom"/>
          </w:tcPr>
          <w:p w14:paraId="58E4DD0F" w14:textId="5D033ADF" w:rsidR="00CD65A4" w:rsidRPr="00226892" w:rsidRDefault="00413915" w:rsidP="00CD65A4">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r w:rsidR="00CD65A4" w:rsidRPr="00226892">
              <w:rPr>
                <w:rFonts w:ascii="Arial" w:eastAsia="Times New Roman" w:hAnsi="Arial" w:cs="Arial"/>
                <w:color w:val="000000"/>
                <w:sz w:val="18"/>
                <w:szCs w:val="18"/>
                <w:lang w:val="sk-SK" w:eastAsia="sk-SK"/>
              </w:rPr>
              <w:t>1</w:t>
            </w:r>
            <w:r w:rsidR="00584224" w:rsidRPr="00226892">
              <w:rPr>
                <w:rFonts w:ascii="Arial" w:eastAsia="Times New Roman" w:hAnsi="Arial" w:cs="Arial"/>
                <w:color w:val="000000"/>
                <w:sz w:val="18"/>
                <w:szCs w:val="18"/>
                <w:lang w:val="sk-SK" w:eastAsia="sk-SK"/>
              </w:rPr>
              <w:t>23</w:t>
            </w:r>
          </w:p>
        </w:tc>
        <w:tc>
          <w:tcPr>
            <w:tcW w:w="95" w:type="pct"/>
            <w:tcBorders>
              <w:top w:val="nil"/>
              <w:left w:val="nil"/>
              <w:bottom w:val="nil"/>
              <w:right w:val="nil"/>
            </w:tcBorders>
            <w:shd w:val="clear" w:color="auto" w:fill="auto"/>
            <w:vAlign w:val="bottom"/>
          </w:tcPr>
          <w:p w14:paraId="5F0171DF" w14:textId="77777777" w:rsidR="00CD65A4" w:rsidRPr="00226892" w:rsidRDefault="00CD65A4" w:rsidP="00CD65A4">
            <w:pPr>
              <w:jc w:val="right"/>
              <w:rPr>
                <w:rFonts w:ascii="Arial" w:eastAsia="Times New Roman" w:hAnsi="Arial" w:cs="Arial"/>
                <w:color w:val="000000"/>
                <w:sz w:val="18"/>
                <w:szCs w:val="18"/>
                <w:lang w:val="sk-SK" w:eastAsia="sk-SK"/>
              </w:rPr>
            </w:pPr>
          </w:p>
        </w:tc>
        <w:tc>
          <w:tcPr>
            <w:tcW w:w="1081" w:type="pct"/>
            <w:tcBorders>
              <w:top w:val="nil"/>
              <w:left w:val="nil"/>
              <w:bottom w:val="nil"/>
              <w:right w:val="nil"/>
            </w:tcBorders>
            <w:shd w:val="clear" w:color="auto" w:fill="auto"/>
            <w:vAlign w:val="bottom"/>
          </w:tcPr>
          <w:p w14:paraId="557A67A7" w14:textId="7E180956" w:rsidR="00CD65A4" w:rsidRPr="00226892" w:rsidRDefault="00413915" w:rsidP="00CD65A4">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r w:rsidR="00CD65A4" w:rsidRPr="00226892">
              <w:rPr>
                <w:rFonts w:ascii="Arial" w:eastAsia="Times New Roman" w:hAnsi="Arial" w:cs="Arial"/>
                <w:color w:val="000000"/>
                <w:sz w:val="18"/>
                <w:szCs w:val="18"/>
                <w:lang w:val="sk-SK" w:eastAsia="sk-SK"/>
              </w:rPr>
              <w:t>99</w:t>
            </w:r>
          </w:p>
        </w:tc>
      </w:tr>
      <w:tr w:rsidR="00CD65A4" w:rsidRPr="00226892" w14:paraId="67221CA9" w14:textId="77777777" w:rsidTr="00B55F9F">
        <w:trPr>
          <w:trHeight w:val="227"/>
        </w:trPr>
        <w:tc>
          <w:tcPr>
            <w:tcW w:w="2695" w:type="pct"/>
            <w:tcBorders>
              <w:top w:val="nil"/>
              <w:left w:val="nil"/>
              <w:bottom w:val="nil"/>
              <w:right w:val="nil"/>
            </w:tcBorders>
            <w:shd w:val="clear" w:color="auto" w:fill="auto"/>
            <w:noWrap/>
            <w:vAlign w:val="bottom"/>
            <w:hideMark/>
          </w:tcPr>
          <w:p w14:paraId="5AB0BF71" w14:textId="77777777" w:rsidR="00CD65A4" w:rsidRPr="00226892" w:rsidRDefault="00CD65A4" w:rsidP="00CD65A4">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Zúčtovanie dotácií do výnosov</w:t>
            </w:r>
          </w:p>
        </w:tc>
        <w:tc>
          <w:tcPr>
            <w:tcW w:w="104" w:type="pct"/>
            <w:tcBorders>
              <w:top w:val="nil"/>
              <w:left w:val="nil"/>
              <w:bottom w:val="nil"/>
              <w:right w:val="nil"/>
            </w:tcBorders>
            <w:shd w:val="clear" w:color="auto" w:fill="auto"/>
            <w:vAlign w:val="bottom"/>
            <w:hideMark/>
          </w:tcPr>
          <w:p w14:paraId="49AD296B" w14:textId="77777777" w:rsidR="00CD65A4" w:rsidRPr="00226892" w:rsidRDefault="00CD65A4" w:rsidP="00CD65A4">
            <w:pPr>
              <w:rPr>
                <w:rFonts w:ascii="Arial" w:eastAsia="Times New Roman" w:hAnsi="Arial" w:cs="Arial"/>
                <w:color w:val="000000"/>
                <w:sz w:val="18"/>
                <w:szCs w:val="18"/>
                <w:lang w:val="sk-SK" w:eastAsia="sk-SK"/>
              </w:rPr>
            </w:pPr>
          </w:p>
        </w:tc>
        <w:tc>
          <w:tcPr>
            <w:tcW w:w="1025" w:type="pct"/>
            <w:tcBorders>
              <w:top w:val="nil"/>
              <w:left w:val="nil"/>
              <w:bottom w:val="nil"/>
              <w:right w:val="nil"/>
            </w:tcBorders>
            <w:shd w:val="clear" w:color="auto" w:fill="auto"/>
            <w:vAlign w:val="bottom"/>
          </w:tcPr>
          <w:p w14:paraId="131ABFC5" w14:textId="534F1170" w:rsidR="00CD65A4" w:rsidRPr="00226892" w:rsidRDefault="00413915" w:rsidP="00CD65A4">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r w:rsidR="00584224" w:rsidRPr="00226892">
              <w:rPr>
                <w:rFonts w:ascii="Arial" w:eastAsia="Times New Roman" w:hAnsi="Arial" w:cs="Arial"/>
                <w:color w:val="000000"/>
                <w:sz w:val="18"/>
                <w:szCs w:val="18"/>
                <w:lang w:val="sk-SK" w:eastAsia="sk-SK"/>
              </w:rPr>
              <w:t>469</w:t>
            </w:r>
          </w:p>
        </w:tc>
        <w:tc>
          <w:tcPr>
            <w:tcW w:w="95" w:type="pct"/>
            <w:tcBorders>
              <w:top w:val="nil"/>
              <w:left w:val="nil"/>
              <w:bottom w:val="nil"/>
              <w:right w:val="nil"/>
            </w:tcBorders>
            <w:shd w:val="clear" w:color="auto" w:fill="auto"/>
            <w:vAlign w:val="bottom"/>
          </w:tcPr>
          <w:p w14:paraId="043BB080" w14:textId="77777777" w:rsidR="00CD65A4" w:rsidRPr="00226892" w:rsidRDefault="00CD65A4" w:rsidP="00CD65A4">
            <w:pPr>
              <w:jc w:val="right"/>
              <w:rPr>
                <w:rFonts w:ascii="Arial" w:eastAsia="Times New Roman" w:hAnsi="Arial" w:cs="Arial"/>
                <w:color w:val="000000"/>
                <w:sz w:val="18"/>
                <w:szCs w:val="18"/>
                <w:lang w:val="sk-SK" w:eastAsia="sk-SK"/>
              </w:rPr>
            </w:pPr>
          </w:p>
        </w:tc>
        <w:tc>
          <w:tcPr>
            <w:tcW w:w="1081" w:type="pct"/>
            <w:tcBorders>
              <w:top w:val="nil"/>
              <w:left w:val="nil"/>
              <w:bottom w:val="nil"/>
              <w:right w:val="nil"/>
            </w:tcBorders>
            <w:shd w:val="clear" w:color="auto" w:fill="auto"/>
            <w:vAlign w:val="bottom"/>
          </w:tcPr>
          <w:p w14:paraId="00EEE05E" w14:textId="52C7153B" w:rsidR="00CD65A4" w:rsidRPr="00226892" w:rsidRDefault="00413915" w:rsidP="00CD65A4">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r w:rsidR="00CD65A4" w:rsidRPr="00226892">
              <w:rPr>
                <w:rFonts w:ascii="Arial" w:eastAsia="Times New Roman" w:hAnsi="Arial" w:cs="Arial"/>
                <w:color w:val="000000"/>
                <w:sz w:val="18"/>
                <w:szCs w:val="18"/>
                <w:lang w:val="sk-SK" w:eastAsia="sk-SK"/>
              </w:rPr>
              <w:t>488</w:t>
            </w:r>
          </w:p>
        </w:tc>
      </w:tr>
      <w:tr w:rsidR="00CD65A4" w:rsidRPr="00226892" w14:paraId="74B133F9" w14:textId="77777777" w:rsidTr="00B55F9F">
        <w:trPr>
          <w:trHeight w:val="227"/>
        </w:trPr>
        <w:tc>
          <w:tcPr>
            <w:tcW w:w="2695" w:type="pct"/>
            <w:tcBorders>
              <w:top w:val="nil"/>
              <w:left w:val="nil"/>
              <w:bottom w:val="nil"/>
              <w:right w:val="nil"/>
            </w:tcBorders>
            <w:shd w:val="clear" w:color="auto" w:fill="auto"/>
            <w:noWrap/>
            <w:vAlign w:val="bottom"/>
            <w:hideMark/>
          </w:tcPr>
          <w:p w14:paraId="561C1885" w14:textId="00D3B783" w:rsidR="00CD65A4" w:rsidRPr="00226892" w:rsidRDefault="00CD65A4" w:rsidP="00CD65A4">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Ostatné prevádzkové výnosy</w:t>
            </w:r>
          </w:p>
        </w:tc>
        <w:tc>
          <w:tcPr>
            <w:tcW w:w="104" w:type="pct"/>
            <w:tcBorders>
              <w:top w:val="nil"/>
              <w:left w:val="nil"/>
              <w:bottom w:val="nil"/>
              <w:right w:val="nil"/>
            </w:tcBorders>
            <w:shd w:val="clear" w:color="auto" w:fill="auto"/>
            <w:vAlign w:val="bottom"/>
            <w:hideMark/>
          </w:tcPr>
          <w:p w14:paraId="0EE57EA9" w14:textId="77777777" w:rsidR="00CD65A4" w:rsidRPr="00226892" w:rsidRDefault="00CD65A4" w:rsidP="00CD65A4">
            <w:pPr>
              <w:rPr>
                <w:rFonts w:ascii="Arial" w:eastAsia="Times New Roman" w:hAnsi="Arial" w:cs="Arial"/>
                <w:color w:val="000000"/>
                <w:sz w:val="18"/>
                <w:szCs w:val="18"/>
                <w:lang w:val="sk-SK" w:eastAsia="sk-SK"/>
              </w:rPr>
            </w:pPr>
          </w:p>
        </w:tc>
        <w:tc>
          <w:tcPr>
            <w:tcW w:w="1025" w:type="pct"/>
            <w:tcBorders>
              <w:top w:val="nil"/>
              <w:left w:val="nil"/>
              <w:bottom w:val="nil"/>
              <w:right w:val="nil"/>
            </w:tcBorders>
            <w:shd w:val="clear" w:color="auto" w:fill="auto"/>
            <w:vAlign w:val="bottom"/>
          </w:tcPr>
          <w:p w14:paraId="1538D2CB" w14:textId="563E7044" w:rsidR="00CD65A4" w:rsidRPr="00226892" w:rsidRDefault="00413915" w:rsidP="00CD65A4">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r w:rsidR="00584224" w:rsidRPr="00226892">
              <w:rPr>
                <w:rFonts w:ascii="Arial" w:eastAsia="Times New Roman" w:hAnsi="Arial" w:cs="Arial"/>
                <w:color w:val="000000"/>
                <w:sz w:val="18"/>
                <w:szCs w:val="18"/>
                <w:lang w:val="sk-SK" w:eastAsia="sk-SK"/>
              </w:rPr>
              <w:t>393</w:t>
            </w:r>
          </w:p>
        </w:tc>
        <w:tc>
          <w:tcPr>
            <w:tcW w:w="95" w:type="pct"/>
            <w:tcBorders>
              <w:top w:val="nil"/>
              <w:left w:val="nil"/>
              <w:bottom w:val="nil"/>
              <w:right w:val="nil"/>
            </w:tcBorders>
            <w:shd w:val="clear" w:color="auto" w:fill="auto"/>
            <w:vAlign w:val="bottom"/>
          </w:tcPr>
          <w:p w14:paraId="3FFB6E78" w14:textId="77777777" w:rsidR="00CD65A4" w:rsidRPr="00226892" w:rsidRDefault="00CD65A4" w:rsidP="00CD65A4">
            <w:pPr>
              <w:jc w:val="right"/>
              <w:rPr>
                <w:rFonts w:ascii="Arial" w:eastAsia="Times New Roman" w:hAnsi="Arial" w:cs="Arial"/>
                <w:color w:val="000000"/>
                <w:sz w:val="18"/>
                <w:szCs w:val="18"/>
                <w:lang w:val="sk-SK" w:eastAsia="sk-SK"/>
              </w:rPr>
            </w:pPr>
          </w:p>
        </w:tc>
        <w:tc>
          <w:tcPr>
            <w:tcW w:w="1081" w:type="pct"/>
            <w:tcBorders>
              <w:top w:val="nil"/>
              <w:left w:val="nil"/>
              <w:bottom w:val="nil"/>
              <w:right w:val="nil"/>
            </w:tcBorders>
            <w:shd w:val="clear" w:color="auto" w:fill="auto"/>
            <w:vAlign w:val="bottom"/>
          </w:tcPr>
          <w:p w14:paraId="2BC9B854" w14:textId="599AE364" w:rsidR="00CD65A4" w:rsidRPr="00226892" w:rsidRDefault="00413915" w:rsidP="00CD65A4">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r w:rsidR="00CD65A4" w:rsidRPr="00226892">
              <w:rPr>
                <w:rFonts w:ascii="Arial" w:eastAsia="Times New Roman" w:hAnsi="Arial" w:cs="Arial"/>
                <w:color w:val="000000"/>
                <w:sz w:val="18"/>
                <w:szCs w:val="18"/>
                <w:lang w:val="sk-SK" w:eastAsia="sk-SK"/>
              </w:rPr>
              <w:t>380</w:t>
            </w:r>
          </w:p>
        </w:tc>
      </w:tr>
      <w:tr w:rsidR="00CD65A4" w:rsidRPr="00226892" w14:paraId="5AF661A3" w14:textId="77777777" w:rsidTr="00B55F9F">
        <w:trPr>
          <w:trHeight w:val="227"/>
        </w:trPr>
        <w:tc>
          <w:tcPr>
            <w:tcW w:w="2695" w:type="pct"/>
            <w:tcBorders>
              <w:top w:val="nil"/>
              <w:left w:val="nil"/>
              <w:bottom w:val="nil"/>
              <w:right w:val="nil"/>
            </w:tcBorders>
            <w:shd w:val="clear" w:color="auto" w:fill="auto"/>
            <w:noWrap/>
            <w:vAlign w:val="bottom"/>
            <w:hideMark/>
          </w:tcPr>
          <w:p w14:paraId="4D23BFE8" w14:textId="77777777" w:rsidR="00CD65A4" w:rsidRPr="00226892" w:rsidRDefault="00CD65A4" w:rsidP="00CD65A4">
            <w:pPr>
              <w:rPr>
                <w:rFonts w:ascii="Arial" w:eastAsia="Times New Roman" w:hAnsi="Arial" w:cs="Arial"/>
                <w:color w:val="000000"/>
                <w:sz w:val="18"/>
                <w:szCs w:val="18"/>
                <w:lang w:val="sk-SK" w:eastAsia="sk-SK"/>
              </w:rPr>
            </w:pPr>
          </w:p>
        </w:tc>
        <w:tc>
          <w:tcPr>
            <w:tcW w:w="104" w:type="pct"/>
            <w:tcBorders>
              <w:top w:val="nil"/>
              <w:left w:val="nil"/>
              <w:bottom w:val="nil"/>
              <w:right w:val="nil"/>
            </w:tcBorders>
            <w:shd w:val="clear" w:color="auto" w:fill="auto"/>
            <w:vAlign w:val="bottom"/>
            <w:hideMark/>
          </w:tcPr>
          <w:p w14:paraId="6F860936" w14:textId="77777777" w:rsidR="00CD65A4" w:rsidRPr="00226892" w:rsidRDefault="00CD65A4" w:rsidP="00CD65A4">
            <w:pPr>
              <w:rPr>
                <w:rFonts w:ascii="Arial" w:eastAsia="Times New Roman" w:hAnsi="Arial" w:cs="Arial"/>
                <w:sz w:val="18"/>
                <w:szCs w:val="18"/>
                <w:lang w:val="sk-SK" w:eastAsia="sk-SK"/>
              </w:rPr>
            </w:pPr>
          </w:p>
        </w:tc>
        <w:tc>
          <w:tcPr>
            <w:tcW w:w="1025" w:type="pct"/>
            <w:tcBorders>
              <w:top w:val="single" w:sz="4" w:space="0" w:color="auto"/>
              <w:left w:val="nil"/>
              <w:bottom w:val="double" w:sz="6" w:space="0" w:color="auto"/>
              <w:right w:val="nil"/>
            </w:tcBorders>
            <w:shd w:val="clear" w:color="auto" w:fill="auto"/>
            <w:vAlign w:val="bottom"/>
          </w:tcPr>
          <w:p w14:paraId="041C45F8" w14:textId="6F837BD3" w:rsidR="00CD65A4" w:rsidRPr="00226892" w:rsidRDefault="00413915" w:rsidP="00CD65A4">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w:t>
            </w:r>
            <w:r w:rsidR="00584224" w:rsidRPr="00226892">
              <w:rPr>
                <w:rFonts w:ascii="Arial" w:eastAsia="Times New Roman" w:hAnsi="Arial" w:cs="Arial"/>
                <w:b/>
                <w:bCs/>
                <w:color w:val="000000"/>
                <w:sz w:val="18"/>
                <w:szCs w:val="18"/>
                <w:lang w:val="sk-SK" w:eastAsia="sk-SK"/>
              </w:rPr>
              <w:t>986</w:t>
            </w:r>
          </w:p>
        </w:tc>
        <w:tc>
          <w:tcPr>
            <w:tcW w:w="95" w:type="pct"/>
            <w:tcBorders>
              <w:top w:val="nil"/>
              <w:left w:val="nil"/>
              <w:bottom w:val="nil"/>
              <w:right w:val="nil"/>
            </w:tcBorders>
            <w:shd w:val="clear" w:color="auto" w:fill="auto"/>
            <w:vAlign w:val="bottom"/>
          </w:tcPr>
          <w:p w14:paraId="4BB4FD8E" w14:textId="77777777" w:rsidR="00CD65A4" w:rsidRPr="00226892" w:rsidRDefault="00CD65A4" w:rsidP="00CD65A4">
            <w:pPr>
              <w:jc w:val="right"/>
              <w:rPr>
                <w:rFonts w:ascii="Arial" w:eastAsia="Times New Roman" w:hAnsi="Arial" w:cs="Arial"/>
                <w:b/>
                <w:bCs/>
                <w:color w:val="000000"/>
                <w:sz w:val="18"/>
                <w:szCs w:val="18"/>
                <w:lang w:val="sk-SK" w:eastAsia="sk-SK"/>
              </w:rPr>
            </w:pPr>
          </w:p>
        </w:tc>
        <w:tc>
          <w:tcPr>
            <w:tcW w:w="1081" w:type="pct"/>
            <w:tcBorders>
              <w:top w:val="single" w:sz="4" w:space="0" w:color="auto"/>
              <w:left w:val="nil"/>
              <w:bottom w:val="double" w:sz="6" w:space="0" w:color="auto"/>
              <w:right w:val="nil"/>
            </w:tcBorders>
            <w:shd w:val="clear" w:color="auto" w:fill="auto"/>
            <w:vAlign w:val="bottom"/>
          </w:tcPr>
          <w:p w14:paraId="79700ED8" w14:textId="6CAE1118" w:rsidR="00CD65A4" w:rsidRPr="00226892" w:rsidRDefault="00D10DAF" w:rsidP="00CD65A4">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-1 264</w:t>
            </w:r>
          </w:p>
        </w:tc>
      </w:tr>
      <w:tr w:rsidR="009F2456" w:rsidRPr="00226892" w14:paraId="23DBC8B8" w14:textId="77777777" w:rsidTr="00B55F9F">
        <w:trPr>
          <w:trHeight w:val="227"/>
        </w:trPr>
        <w:tc>
          <w:tcPr>
            <w:tcW w:w="2695" w:type="pct"/>
            <w:tcBorders>
              <w:top w:val="nil"/>
              <w:left w:val="nil"/>
              <w:bottom w:val="nil"/>
              <w:right w:val="nil"/>
            </w:tcBorders>
            <w:shd w:val="clear" w:color="auto" w:fill="auto"/>
            <w:noWrap/>
            <w:vAlign w:val="bottom"/>
            <w:hideMark/>
          </w:tcPr>
          <w:p w14:paraId="390C9D15" w14:textId="77777777" w:rsidR="009F2456" w:rsidRPr="00226892" w:rsidRDefault="009F2456" w:rsidP="009F2456">
            <w:pPr>
              <w:rPr>
                <w:rFonts w:ascii="Arial" w:eastAsia="Times New Roman" w:hAnsi="Arial" w:cs="Arial"/>
                <w:b/>
                <w:bCs/>
                <w:color w:val="000000"/>
                <w:sz w:val="18"/>
                <w:szCs w:val="18"/>
                <w:lang w:val="sk-SK" w:eastAsia="sk-SK"/>
              </w:rPr>
            </w:pPr>
          </w:p>
        </w:tc>
        <w:tc>
          <w:tcPr>
            <w:tcW w:w="104" w:type="pct"/>
            <w:tcBorders>
              <w:top w:val="nil"/>
              <w:left w:val="nil"/>
              <w:bottom w:val="nil"/>
              <w:right w:val="nil"/>
            </w:tcBorders>
            <w:shd w:val="clear" w:color="auto" w:fill="auto"/>
            <w:vAlign w:val="bottom"/>
            <w:hideMark/>
          </w:tcPr>
          <w:p w14:paraId="33F2F390" w14:textId="77777777" w:rsidR="009F2456" w:rsidRPr="00226892" w:rsidRDefault="009F2456" w:rsidP="009F2456">
            <w:pPr>
              <w:rPr>
                <w:rFonts w:ascii="Arial" w:eastAsia="Times New Roman" w:hAnsi="Arial" w:cs="Arial"/>
                <w:sz w:val="18"/>
                <w:szCs w:val="18"/>
                <w:lang w:val="sk-SK" w:eastAsia="sk-SK"/>
              </w:rPr>
            </w:pPr>
          </w:p>
        </w:tc>
        <w:tc>
          <w:tcPr>
            <w:tcW w:w="1025" w:type="pct"/>
            <w:tcBorders>
              <w:top w:val="nil"/>
              <w:left w:val="nil"/>
              <w:bottom w:val="nil"/>
              <w:right w:val="nil"/>
            </w:tcBorders>
            <w:shd w:val="clear" w:color="auto" w:fill="auto"/>
            <w:vAlign w:val="bottom"/>
          </w:tcPr>
          <w:p w14:paraId="0A76B95A" w14:textId="77777777" w:rsidR="009F2456" w:rsidRPr="00226892" w:rsidRDefault="009F2456" w:rsidP="009F2456">
            <w:pPr>
              <w:jc w:val="right"/>
              <w:rPr>
                <w:rFonts w:ascii="Arial" w:eastAsia="Times New Roman" w:hAnsi="Arial" w:cs="Arial"/>
                <w:sz w:val="18"/>
                <w:szCs w:val="18"/>
                <w:lang w:val="sk-SK" w:eastAsia="sk-SK"/>
              </w:rPr>
            </w:pPr>
          </w:p>
        </w:tc>
        <w:tc>
          <w:tcPr>
            <w:tcW w:w="95" w:type="pct"/>
            <w:tcBorders>
              <w:top w:val="nil"/>
              <w:left w:val="nil"/>
              <w:bottom w:val="nil"/>
              <w:right w:val="nil"/>
            </w:tcBorders>
            <w:shd w:val="clear" w:color="auto" w:fill="auto"/>
            <w:vAlign w:val="bottom"/>
          </w:tcPr>
          <w:p w14:paraId="07B1639A" w14:textId="77777777" w:rsidR="009F2456" w:rsidRPr="00226892" w:rsidRDefault="009F2456" w:rsidP="009F2456">
            <w:pPr>
              <w:jc w:val="right"/>
              <w:rPr>
                <w:rFonts w:ascii="Arial" w:eastAsia="Times New Roman" w:hAnsi="Arial" w:cs="Arial"/>
                <w:sz w:val="18"/>
                <w:szCs w:val="18"/>
                <w:lang w:val="sk-SK" w:eastAsia="sk-SK"/>
              </w:rPr>
            </w:pPr>
          </w:p>
        </w:tc>
        <w:tc>
          <w:tcPr>
            <w:tcW w:w="1081" w:type="pct"/>
            <w:tcBorders>
              <w:top w:val="nil"/>
              <w:left w:val="nil"/>
              <w:bottom w:val="nil"/>
              <w:right w:val="nil"/>
            </w:tcBorders>
            <w:shd w:val="clear" w:color="auto" w:fill="auto"/>
            <w:vAlign w:val="bottom"/>
          </w:tcPr>
          <w:p w14:paraId="3B46BD5F" w14:textId="50994115" w:rsidR="009F2456" w:rsidRPr="00226892" w:rsidRDefault="009F2456" w:rsidP="009F2456">
            <w:pPr>
              <w:jc w:val="right"/>
              <w:rPr>
                <w:rFonts w:ascii="Arial" w:eastAsia="Times New Roman" w:hAnsi="Arial" w:cs="Arial"/>
                <w:sz w:val="18"/>
                <w:szCs w:val="18"/>
                <w:lang w:val="sk-SK" w:eastAsia="sk-SK"/>
              </w:rPr>
            </w:pPr>
          </w:p>
        </w:tc>
      </w:tr>
      <w:tr w:rsidR="009F2456" w:rsidRPr="00226892" w14:paraId="72A5AB57" w14:textId="77777777" w:rsidTr="00B55F9F">
        <w:trPr>
          <w:trHeight w:val="227"/>
        </w:trPr>
        <w:tc>
          <w:tcPr>
            <w:tcW w:w="2695" w:type="pct"/>
            <w:tcBorders>
              <w:top w:val="nil"/>
              <w:left w:val="nil"/>
              <w:bottom w:val="nil"/>
              <w:right w:val="nil"/>
            </w:tcBorders>
            <w:shd w:val="clear" w:color="auto" w:fill="auto"/>
            <w:vAlign w:val="bottom"/>
            <w:hideMark/>
          </w:tcPr>
          <w:p w14:paraId="41B00134" w14:textId="77777777" w:rsidR="009F2456" w:rsidRPr="00226892" w:rsidRDefault="009F2456" w:rsidP="009F2456">
            <w:pPr>
              <w:rPr>
                <w:rFonts w:ascii="Arial" w:eastAsia="Times New Roman" w:hAnsi="Arial" w:cs="Arial"/>
                <w:i/>
                <w:iCs/>
                <w:color w:val="000000"/>
                <w:sz w:val="18"/>
                <w:szCs w:val="18"/>
                <w:lang w:val="sk-SK" w:eastAsia="sk-SK"/>
              </w:rPr>
            </w:pPr>
            <w:r w:rsidRPr="00226892">
              <w:rPr>
                <w:rFonts w:ascii="Arial" w:eastAsia="Times New Roman" w:hAnsi="Arial" w:cs="Arial"/>
                <w:i/>
                <w:iCs/>
                <w:color w:val="000000"/>
                <w:sz w:val="18"/>
                <w:szCs w:val="18"/>
                <w:lang w:val="sk-SK" w:eastAsia="sk-SK"/>
              </w:rPr>
              <w:t>Ostatné prevádzkové náklady</w:t>
            </w:r>
          </w:p>
        </w:tc>
        <w:tc>
          <w:tcPr>
            <w:tcW w:w="104" w:type="pct"/>
            <w:tcBorders>
              <w:top w:val="nil"/>
              <w:left w:val="nil"/>
              <w:bottom w:val="nil"/>
              <w:right w:val="nil"/>
            </w:tcBorders>
            <w:shd w:val="clear" w:color="auto" w:fill="auto"/>
            <w:vAlign w:val="bottom"/>
            <w:hideMark/>
          </w:tcPr>
          <w:p w14:paraId="182AF0E0" w14:textId="77777777" w:rsidR="009F2456" w:rsidRPr="00226892" w:rsidRDefault="009F2456" w:rsidP="009F2456">
            <w:pPr>
              <w:rPr>
                <w:rFonts w:ascii="Arial" w:eastAsia="Times New Roman" w:hAnsi="Arial" w:cs="Arial"/>
                <w:i/>
                <w:iCs/>
                <w:color w:val="000000"/>
                <w:sz w:val="18"/>
                <w:szCs w:val="18"/>
                <w:lang w:val="sk-SK" w:eastAsia="sk-SK"/>
              </w:rPr>
            </w:pPr>
          </w:p>
        </w:tc>
        <w:tc>
          <w:tcPr>
            <w:tcW w:w="1025" w:type="pct"/>
            <w:tcBorders>
              <w:top w:val="nil"/>
              <w:left w:val="nil"/>
              <w:bottom w:val="nil"/>
              <w:right w:val="nil"/>
            </w:tcBorders>
            <w:shd w:val="clear" w:color="auto" w:fill="auto"/>
            <w:vAlign w:val="bottom"/>
          </w:tcPr>
          <w:p w14:paraId="426771B4" w14:textId="77777777" w:rsidR="009F2456" w:rsidRPr="00226892" w:rsidRDefault="009F2456" w:rsidP="009F2456">
            <w:pPr>
              <w:jc w:val="right"/>
              <w:rPr>
                <w:rFonts w:ascii="Arial" w:eastAsia="Times New Roman" w:hAnsi="Arial" w:cs="Arial"/>
                <w:sz w:val="18"/>
                <w:szCs w:val="18"/>
                <w:lang w:val="sk-SK" w:eastAsia="sk-SK"/>
              </w:rPr>
            </w:pPr>
          </w:p>
        </w:tc>
        <w:tc>
          <w:tcPr>
            <w:tcW w:w="95" w:type="pct"/>
            <w:tcBorders>
              <w:top w:val="nil"/>
              <w:left w:val="nil"/>
              <w:bottom w:val="nil"/>
              <w:right w:val="nil"/>
            </w:tcBorders>
            <w:shd w:val="clear" w:color="auto" w:fill="auto"/>
            <w:vAlign w:val="bottom"/>
          </w:tcPr>
          <w:p w14:paraId="1581E64D" w14:textId="77777777" w:rsidR="009F2456" w:rsidRPr="00226892" w:rsidRDefault="009F2456" w:rsidP="009F2456">
            <w:pPr>
              <w:jc w:val="right"/>
              <w:rPr>
                <w:rFonts w:ascii="Arial" w:eastAsia="Times New Roman" w:hAnsi="Arial" w:cs="Arial"/>
                <w:sz w:val="18"/>
                <w:szCs w:val="18"/>
                <w:lang w:val="sk-SK" w:eastAsia="sk-SK"/>
              </w:rPr>
            </w:pPr>
          </w:p>
        </w:tc>
        <w:tc>
          <w:tcPr>
            <w:tcW w:w="1081" w:type="pct"/>
            <w:tcBorders>
              <w:top w:val="nil"/>
              <w:left w:val="nil"/>
              <w:bottom w:val="nil"/>
              <w:right w:val="nil"/>
            </w:tcBorders>
            <w:shd w:val="clear" w:color="auto" w:fill="auto"/>
            <w:vAlign w:val="bottom"/>
          </w:tcPr>
          <w:p w14:paraId="336CDEA2" w14:textId="2262A66F" w:rsidR="009F2456" w:rsidRPr="00226892" w:rsidRDefault="009F2456" w:rsidP="009F2456">
            <w:pPr>
              <w:jc w:val="right"/>
              <w:rPr>
                <w:rFonts w:ascii="Arial" w:eastAsia="Times New Roman" w:hAnsi="Arial" w:cs="Arial"/>
                <w:sz w:val="18"/>
                <w:szCs w:val="18"/>
                <w:lang w:val="sk-SK" w:eastAsia="sk-SK"/>
              </w:rPr>
            </w:pPr>
          </w:p>
        </w:tc>
      </w:tr>
      <w:tr w:rsidR="00413915" w:rsidRPr="00226892" w14:paraId="7E1F7B78" w14:textId="77777777" w:rsidTr="00B55F9F">
        <w:trPr>
          <w:trHeight w:val="227"/>
        </w:trPr>
        <w:tc>
          <w:tcPr>
            <w:tcW w:w="2695" w:type="pct"/>
            <w:tcBorders>
              <w:top w:val="nil"/>
              <w:left w:val="nil"/>
              <w:bottom w:val="nil"/>
              <w:right w:val="nil"/>
            </w:tcBorders>
            <w:shd w:val="clear" w:color="auto" w:fill="auto"/>
            <w:vAlign w:val="bottom"/>
            <w:hideMark/>
          </w:tcPr>
          <w:p w14:paraId="5FC976DC" w14:textId="7DF18AF2" w:rsidR="00413915" w:rsidRPr="00226892" w:rsidRDefault="00413915" w:rsidP="0041391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Opravné položky k </w:t>
            </w:r>
            <w:proofErr w:type="spellStart"/>
            <w:r w:rsidRPr="00226892">
              <w:rPr>
                <w:rFonts w:ascii="Arial" w:eastAsia="Times New Roman" w:hAnsi="Arial" w:cs="Arial"/>
                <w:color w:val="000000"/>
                <w:sz w:val="18"/>
                <w:szCs w:val="18"/>
                <w:lang w:val="sk-SK" w:eastAsia="sk-SK"/>
              </w:rPr>
              <w:t>zásobam</w:t>
            </w:r>
            <w:proofErr w:type="spellEnd"/>
            <w:r w:rsidRPr="00226892">
              <w:rPr>
                <w:rFonts w:ascii="Arial" w:eastAsia="Times New Roman" w:hAnsi="Arial" w:cs="Arial"/>
                <w:color w:val="000000"/>
                <w:sz w:val="18"/>
                <w:szCs w:val="18"/>
                <w:lang w:val="sk-SK" w:eastAsia="sk-SK"/>
              </w:rPr>
              <w:t xml:space="preserve"> </w:t>
            </w:r>
            <w:r w:rsidR="00206D7F" w:rsidRPr="00226892">
              <w:rPr>
                <w:rFonts w:ascii="Arial" w:eastAsia="Times New Roman" w:hAnsi="Arial" w:cs="Arial"/>
                <w:color w:val="000000"/>
                <w:sz w:val="18"/>
                <w:szCs w:val="18"/>
                <w:lang w:val="sk-SK" w:eastAsia="sk-SK"/>
              </w:rPr>
              <w:t>(Pozn. 1</w:t>
            </w:r>
            <w:r w:rsidR="00522218" w:rsidRPr="00226892">
              <w:rPr>
                <w:rFonts w:ascii="Arial" w:eastAsia="Times New Roman" w:hAnsi="Arial" w:cs="Arial"/>
                <w:color w:val="000000"/>
                <w:sz w:val="18"/>
                <w:szCs w:val="18"/>
                <w:lang w:val="sk-SK" w:eastAsia="sk-SK"/>
              </w:rPr>
              <w:t>2</w:t>
            </w:r>
            <w:r w:rsidR="00206D7F" w:rsidRPr="00226892">
              <w:rPr>
                <w:rFonts w:ascii="Arial" w:eastAsia="Times New Roman" w:hAnsi="Arial" w:cs="Arial"/>
                <w:color w:val="000000"/>
                <w:sz w:val="18"/>
                <w:szCs w:val="18"/>
                <w:lang w:val="sk-SK" w:eastAsia="sk-SK"/>
              </w:rPr>
              <w:t>)</w:t>
            </w:r>
            <w:r w:rsidRPr="00226892">
              <w:rPr>
                <w:rFonts w:ascii="Arial" w:eastAsia="Times New Roman" w:hAnsi="Arial" w:cs="Arial"/>
                <w:color w:val="000000"/>
                <w:sz w:val="18"/>
                <w:szCs w:val="18"/>
                <w:lang w:val="sk-SK" w:eastAsia="sk-SK"/>
              </w:rPr>
              <w:t xml:space="preserve"> </w:t>
            </w:r>
          </w:p>
        </w:tc>
        <w:tc>
          <w:tcPr>
            <w:tcW w:w="104" w:type="pct"/>
            <w:tcBorders>
              <w:top w:val="nil"/>
              <w:left w:val="nil"/>
              <w:bottom w:val="nil"/>
              <w:right w:val="nil"/>
            </w:tcBorders>
            <w:shd w:val="clear" w:color="auto" w:fill="auto"/>
            <w:vAlign w:val="bottom"/>
            <w:hideMark/>
          </w:tcPr>
          <w:p w14:paraId="4EE1BCDF" w14:textId="77777777" w:rsidR="00413915" w:rsidRPr="00226892" w:rsidRDefault="00413915" w:rsidP="00413915">
            <w:pPr>
              <w:rPr>
                <w:rFonts w:ascii="Arial" w:eastAsia="Times New Roman" w:hAnsi="Arial" w:cs="Arial"/>
                <w:color w:val="000000"/>
                <w:sz w:val="18"/>
                <w:szCs w:val="18"/>
                <w:lang w:val="sk-SK" w:eastAsia="sk-SK"/>
              </w:rPr>
            </w:pPr>
          </w:p>
        </w:tc>
        <w:tc>
          <w:tcPr>
            <w:tcW w:w="1025" w:type="pct"/>
            <w:tcBorders>
              <w:top w:val="nil"/>
              <w:left w:val="nil"/>
              <w:bottom w:val="nil"/>
              <w:right w:val="nil"/>
            </w:tcBorders>
            <w:shd w:val="clear" w:color="auto" w:fill="auto"/>
            <w:vAlign w:val="bottom"/>
          </w:tcPr>
          <w:p w14:paraId="4517A6E1" w14:textId="5D6C7FFC" w:rsidR="00413915" w:rsidRPr="00226892" w:rsidRDefault="00413915" w:rsidP="004139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1 11</w:t>
            </w:r>
            <w:r w:rsidR="00206D7F" w:rsidRPr="00226892">
              <w:rPr>
                <w:rFonts w:ascii="Arial" w:eastAsia="Times New Roman" w:hAnsi="Arial" w:cs="Arial"/>
                <w:color w:val="000000"/>
                <w:sz w:val="18"/>
                <w:szCs w:val="18"/>
                <w:lang w:val="sk-SK" w:eastAsia="sk-SK"/>
              </w:rPr>
              <w:t>2</w:t>
            </w:r>
          </w:p>
        </w:tc>
        <w:tc>
          <w:tcPr>
            <w:tcW w:w="95" w:type="pct"/>
            <w:tcBorders>
              <w:top w:val="nil"/>
              <w:left w:val="nil"/>
              <w:bottom w:val="nil"/>
              <w:right w:val="nil"/>
            </w:tcBorders>
            <w:shd w:val="clear" w:color="auto" w:fill="auto"/>
            <w:vAlign w:val="bottom"/>
          </w:tcPr>
          <w:p w14:paraId="3769E6D9" w14:textId="77777777" w:rsidR="00413915" w:rsidRPr="00226892" w:rsidRDefault="00413915" w:rsidP="00413915">
            <w:pPr>
              <w:jc w:val="right"/>
              <w:rPr>
                <w:rFonts w:ascii="Arial" w:eastAsia="Times New Roman" w:hAnsi="Arial" w:cs="Arial"/>
                <w:color w:val="000000"/>
                <w:sz w:val="18"/>
                <w:szCs w:val="18"/>
                <w:lang w:val="sk-SK" w:eastAsia="sk-SK"/>
              </w:rPr>
            </w:pPr>
          </w:p>
        </w:tc>
        <w:tc>
          <w:tcPr>
            <w:tcW w:w="1081" w:type="pct"/>
            <w:tcBorders>
              <w:top w:val="nil"/>
              <w:left w:val="nil"/>
              <w:bottom w:val="nil"/>
              <w:right w:val="nil"/>
            </w:tcBorders>
            <w:shd w:val="clear" w:color="auto" w:fill="auto"/>
            <w:vAlign w:val="bottom"/>
          </w:tcPr>
          <w:p w14:paraId="74C9D5E4" w14:textId="3876E1D9" w:rsidR="00413915" w:rsidRPr="00226892" w:rsidRDefault="00413915" w:rsidP="004139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r>
      <w:tr w:rsidR="00413915" w:rsidRPr="00226892" w14:paraId="42F7F086" w14:textId="77777777" w:rsidTr="00B55F9F">
        <w:trPr>
          <w:trHeight w:val="227"/>
        </w:trPr>
        <w:tc>
          <w:tcPr>
            <w:tcW w:w="2695" w:type="pct"/>
            <w:tcBorders>
              <w:top w:val="nil"/>
              <w:left w:val="nil"/>
              <w:bottom w:val="nil"/>
              <w:right w:val="nil"/>
            </w:tcBorders>
            <w:shd w:val="clear" w:color="auto" w:fill="auto"/>
            <w:vAlign w:val="bottom"/>
            <w:hideMark/>
          </w:tcPr>
          <w:p w14:paraId="3D971F9E" w14:textId="5F6F1BE9" w:rsidR="00413915" w:rsidRPr="00226892" w:rsidRDefault="00413915" w:rsidP="0041391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Dane a poplatky</w:t>
            </w:r>
          </w:p>
        </w:tc>
        <w:tc>
          <w:tcPr>
            <w:tcW w:w="104" w:type="pct"/>
            <w:tcBorders>
              <w:top w:val="nil"/>
              <w:left w:val="nil"/>
              <w:bottom w:val="nil"/>
              <w:right w:val="nil"/>
            </w:tcBorders>
            <w:shd w:val="clear" w:color="auto" w:fill="auto"/>
            <w:vAlign w:val="bottom"/>
            <w:hideMark/>
          </w:tcPr>
          <w:p w14:paraId="69A4B8C7" w14:textId="77777777" w:rsidR="00413915" w:rsidRPr="00226892" w:rsidRDefault="00413915" w:rsidP="00413915">
            <w:pPr>
              <w:rPr>
                <w:rFonts w:ascii="Arial" w:eastAsia="Times New Roman" w:hAnsi="Arial" w:cs="Arial"/>
                <w:color w:val="000000"/>
                <w:sz w:val="18"/>
                <w:szCs w:val="18"/>
                <w:lang w:val="sk-SK" w:eastAsia="sk-SK"/>
              </w:rPr>
            </w:pPr>
          </w:p>
        </w:tc>
        <w:tc>
          <w:tcPr>
            <w:tcW w:w="1025" w:type="pct"/>
            <w:tcBorders>
              <w:top w:val="nil"/>
              <w:left w:val="nil"/>
              <w:bottom w:val="nil"/>
              <w:right w:val="nil"/>
            </w:tcBorders>
            <w:shd w:val="clear" w:color="auto" w:fill="auto"/>
            <w:vAlign w:val="bottom"/>
          </w:tcPr>
          <w:p w14:paraId="6F5195F6" w14:textId="524F9F1C" w:rsidR="00413915" w:rsidRPr="00226892" w:rsidRDefault="00413915" w:rsidP="004139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233</w:t>
            </w:r>
          </w:p>
        </w:tc>
        <w:tc>
          <w:tcPr>
            <w:tcW w:w="95" w:type="pct"/>
            <w:tcBorders>
              <w:top w:val="nil"/>
              <w:left w:val="nil"/>
              <w:bottom w:val="nil"/>
              <w:right w:val="nil"/>
            </w:tcBorders>
            <w:shd w:val="clear" w:color="auto" w:fill="auto"/>
            <w:vAlign w:val="bottom"/>
          </w:tcPr>
          <w:p w14:paraId="27F2FF3F" w14:textId="77777777" w:rsidR="00413915" w:rsidRPr="00226892" w:rsidRDefault="00413915" w:rsidP="00413915">
            <w:pPr>
              <w:jc w:val="right"/>
              <w:rPr>
                <w:rFonts w:ascii="Arial" w:eastAsia="Times New Roman" w:hAnsi="Arial" w:cs="Arial"/>
                <w:color w:val="000000"/>
                <w:sz w:val="18"/>
                <w:szCs w:val="18"/>
                <w:lang w:val="sk-SK" w:eastAsia="sk-SK"/>
              </w:rPr>
            </w:pPr>
          </w:p>
        </w:tc>
        <w:tc>
          <w:tcPr>
            <w:tcW w:w="1081" w:type="pct"/>
            <w:tcBorders>
              <w:top w:val="nil"/>
              <w:left w:val="nil"/>
              <w:bottom w:val="nil"/>
              <w:right w:val="nil"/>
            </w:tcBorders>
            <w:shd w:val="clear" w:color="auto" w:fill="auto"/>
            <w:vAlign w:val="bottom"/>
          </w:tcPr>
          <w:p w14:paraId="3036D78C" w14:textId="5397D23B" w:rsidR="00413915" w:rsidRPr="00226892" w:rsidRDefault="00413915" w:rsidP="004139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225</w:t>
            </w:r>
          </w:p>
        </w:tc>
      </w:tr>
      <w:tr w:rsidR="00413915" w:rsidRPr="00226892" w14:paraId="17034948" w14:textId="77777777" w:rsidTr="00B55F9F">
        <w:trPr>
          <w:trHeight w:val="227"/>
        </w:trPr>
        <w:tc>
          <w:tcPr>
            <w:tcW w:w="2695" w:type="pct"/>
            <w:tcBorders>
              <w:top w:val="nil"/>
              <w:left w:val="nil"/>
              <w:bottom w:val="nil"/>
              <w:right w:val="nil"/>
            </w:tcBorders>
            <w:shd w:val="clear" w:color="auto" w:fill="auto"/>
            <w:noWrap/>
            <w:vAlign w:val="bottom"/>
            <w:hideMark/>
          </w:tcPr>
          <w:p w14:paraId="412B3811" w14:textId="556F252C" w:rsidR="00413915" w:rsidRPr="00226892" w:rsidRDefault="00413915" w:rsidP="0041391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Kurzové straty – netto</w:t>
            </w:r>
          </w:p>
        </w:tc>
        <w:tc>
          <w:tcPr>
            <w:tcW w:w="104" w:type="pct"/>
            <w:tcBorders>
              <w:top w:val="nil"/>
              <w:left w:val="nil"/>
              <w:bottom w:val="nil"/>
              <w:right w:val="nil"/>
            </w:tcBorders>
            <w:shd w:val="clear" w:color="auto" w:fill="auto"/>
            <w:vAlign w:val="bottom"/>
            <w:hideMark/>
          </w:tcPr>
          <w:p w14:paraId="3212C4FC" w14:textId="77777777" w:rsidR="00413915" w:rsidRPr="00226892" w:rsidRDefault="00413915" w:rsidP="00413915">
            <w:pPr>
              <w:rPr>
                <w:rFonts w:ascii="Arial" w:eastAsia="Times New Roman" w:hAnsi="Arial" w:cs="Arial"/>
                <w:color w:val="000000"/>
                <w:sz w:val="18"/>
                <w:szCs w:val="18"/>
                <w:lang w:val="sk-SK" w:eastAsia="sk-SK"/>
              </w:rPr>
            </w:pPr>
          </w:p>
        </w:tc>
        <w:tc>
          <w:tcPr>
            <w:tcW w:w="1025" w:type="pct"/>
            <w:tcBorders>
              <w:top w:val="nil"/>
              <w:left w:val="nil"/>
              <w:bottom w:val="nil"/>
              <w:right w:val="nil"/>
            </w:tcBorders>
            <w:shd w:val="clear" w:color="auto" w:fill="auto"/>
            <w:vAlign w:val="bottom"/>
          </w:tcPr>
          <w:p w14:paraId="151BC51A" w14:textId="47CE9368" w:rsidR="00413915" w:rsidRPr="00226892" w:rsidRDefault="00250E25" w:rsidP="004139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95</w:t>
            </w:r>
          </w:p>
        </w:tc>
        <w:tc>
          <w:tcPr>
            <w:tcW w:w="95" w:type="pct"/>
            <w:tcBorders>
              <w:top w:val="nil"/>
              <w:left w:val="nil"/>
              <w:bottom w:val="nil"/>
              <w:right w:val="nil"/>
            </w:tcBorders>
            <w:shd w:val="clear" w:color="auto" w:fill="auto"/>
            <w:vAlign w:val="bottom"/>
          </w:tcPr>
          <w:p w14:paraId="656529D8" w14:textId="77777777" w:rsidR="00413915" w:rsidRPr="00226892" w:rsidRDefault="00413915" w:rsidP="00413915">
            <w:pPr>
              <w:jc w:val="right"/>
              <w:rPr>
                <w:rFonts w:ascii="Arial" w:eastAsia="Times New Roman" w:hAnsi="Arial" w:cs="Arial"/>
                <w:color w:val="000000"/>
                <w:sz w:val="18"/>
                <w:szCs w:val="18"/>
                <w:lang w:val="sk-SK" w:eastAsia="sk-SK"/>
              </w:rPr>
            </w:pPr>
          </w:p>
        </w:tc>
        <w:tc>
          <w:tcPr>
            <w:tcW w:w="1081" w:type="pct"/>
            <w:tcBorders>
              <w:top w:val="nil"/>
              <w:left w:val="nil"/>
              <w:bottom w:val="nil"/>
              <w:right w:val="nil"/>
            </w:tcBorders>
            <w:shd w:val="clear" w:color="auto" w:fill="auto"/>
            <w:vAlign w:val="bottom"/>
          </w:tcPr>
          <w:p w14:paraId="75033488" w14:textId="1E3F5551" w:rsidR="00413915" w:rsidRPr="00226892" w:rsidRDefault="00413915" w:rsidP="004139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r>
      <w:tr w:rsidR="00413915" w:rsidRPr="00226892" w14:paraId="1EB3E23E" w14:textId="77777777" w:rsidTr="00B55F9F">
        <w:trPr>
          <w:trHeight w:val="227"/>
        </w:trPr>
        <w:tc>
          <w:tcPr>
            <w:tcW w:w="2695" w:type="pct"/>
            <w:tcBorders>
              <w:top w:val="nil"/>
              <w:left w:val="nil"/>
              <w:bottom w:val="nil"/>
              <w:right w:val="nil"/>
            </w:tcBorders>
            <w:shd w:val="clear" w:color="auto" w:fill="auto"/>
            <w:noWrap/>
            <w:vAlign w:val="bottom"/>
            <w:hideMark/>
          </w:tcPr>
          <w:p w14:paraId="3CD31647" w14:textId="77777777" w:rsidR="00413915" w:rsidRPr="00226892" w:rsidRDefault="00413915" w:rsidP="0041391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Poistenie</w:t>
            </w:r>
          </w:p>
        </w:tc>
        <w:tc>
          <w:tcPr>
            <w:tcW w:w="104" w:type="pct"/>
            <w:tcBorders>
              <w:top w:val="nil"/>
              <w:left w:val="nil"/>
              <w:bottom w:val="nil"/>
              <w:right w:val="nil"/>
            </w:tcBorders>
            <w:shd w:val="clear" w:color="auto" w:fill="auto"/>
            <w:vAlign w:val="bottom"/>
            <w:hideMark/>
          </w:tcPr>
          <w:p w14:paraId="090A7438" w14:textId="77777777" w:rsidR="00413915" w:rsidRPr="00226892" w:rsidRDefault="00413915" w:rsidP="00413915">
            <w:pPr>
              <w:rPr>
                <w:rFonts w:ascii="Arial" w:eastAsia="Times New Roman" w:hAnsi="Arial" w:cs="Arial"/>
                <w:color w:val="000000"/>
                <w:sz w:val="18"/>
                <w:szCs w:val="18"/>
                <w:lang w:val="sk-SK" w:eastAsia="sk-SK"/>
              </w:rPr>
            </w:pPr>
          </w:p>
        </w:tc>
        <w:tc>
          <w:tcPr>
            <w:tcW w:w="1025" w:type="pct"/>
            <w:tcBorders>
              <w:top w:val="nil"/>
              <w:left w:val="nil"/>
              <w:bottom w:val="nil"/>
              <w:right w:val="nil"/>
            </w:tcBorders>
            <w:shd w:val="clear" w:color="auto" w:fill="auto"/>
            <w:vAlign w:val="bottom"/>
          </w:tcPr>
          <w:p w14:paraId="71193453" w14:textId="02691234" w:rsidR="00413915" w:rsidRPr="00226892" w:rsidRDefault="00413915" w:rsidP="004139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336</w:t>
            </w:r>
          </w:p>
        </w:tc>
        <w:tc>
          <w:tcPr>
            <w:tcW w:w="95" w:type="pct"/>
            <w:tcBorders>
              <w:top w:val="nil"/>
              <w:left w:val="nil"/>
              <w:bottom w:val="nil"/>
              <w:right w:val="nil"/>
            </w:tcBorders>
            <w:shd w:val="clear" w:color="auto" w:fill="auto"/>
            <w:vAlign w:val="bottom"/>
          </w:tcPr>
          <w:p w14:paraId="6EF945E4" w14:textId="77777777" w:rsidR="00413915" w:rsidRPr="00226892" w:rsidRDefault="00413915" w:rsidP="00413915">
            <w:pPr>
              <w:jc w:val="right"/>
              <w:rPr>
                <w:rFonts w:ascii="Arial" w:eastAsia="Times New Roman" w:hAnsi="Arial" w:cs="Arial"/>
                <w:color w:val="000000"/>
                <w:sz w:val="18"/>
                <w:szCs w:val="18"/>
                <w:lang w:val="sk-SK" w:eastAsia="sk-SK"/>
              </w:rPr>
            </w:pPr>
          </w:p>
        </w:tc>
        <w:tc>
          <w:tcPr>
            <w:tcW w:w="1081" w:type="pct"/>
            <w:tcBorders>
              <w:top w:val="nil"/>
              <w:left w:val="nil"/>
              <w:bottom w:val="nil"/>
              <w:right w:val="nil"/>
            </w:tcBorders>
            <w:shd w:val="clear" w:color="auto" w:fill="auto"/>
            <w:vAlign w:val="bottom"/>
          </w:tcPr>
          <w:p w14:paraId="6BFB31D6" w14:textId="13EC1688" w:rsidR="00413915" w:rsidRPr="00226892" w:rsidRDefault="00413915" w:rsidP="004139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321</w:t>
            </w:r>
          </w:p>
        </w:tc>
      </w:tr>
      <w:tr w:rsidR="00413915" w:rsidRPr="00226892" w14:paraId="72D257FC" w14:textId="77777777" w:rsidTr="00B55F9F">
        <w:trPr>
          <w:trHeight w:val="227"/>
        </w:trPr>
        <w:tc>
          <w:tcPr>
            <w:tcW w:w="2695" w:type="pct"/>
            <w:tcBorders>
              <w:top w:val="nil"/>
              <w:left w:val="nil"/>
              <w:bottom w:val="nil"/>
              <w:right w:val="nil"/>
            </w:tcBorders>
            <w:shd w:val="clear" w:color="auto" w:fill="auto"/>
            <w:noWrap/>
            <w:vAlign w:val="bottom"/>
            <w:hideMark/>
          </w:tcPr>
          <w:p w14:paraId="75FB35F8" w14:textId="77777777" w:rsidR="00413915" w:rsidRPr="00226892" w:rsidRDefault="00413915" w:rsidP="00413915">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Ostatné prevádzkové náklady</w:t>
            </w:r>
          </w:p>
        </w:tc>
        <w:tc>
          <w:tcPr>
            <w:tcW w:w="104" w:type="pct"/>
            <w:tcBorders>
              <w:top w:val="nil"/>
              <w:left w:val="nil"/>
              <w:bottom w:val="nil"/>
              <w:right w:val="nil"/>
            </w:tcBorders>
            <w:shd w:val="clear" w:color="auto" w:fill="auto"/>
            <w:vAlign w:val="bottom"/>
            <w:hideMark/>
          </w:tcPr>
          <w:p w14:paraId="415255F1" w14:textId="77777777" w:rsidR="00413915" w:rsidRPr="00226892" w:rsidRDefault="00413915" w:rsidP="00413915">
            <w:pPr>
              <w:rPr>
                <w:rFonts w:ascii="Arial" w:eastAsia="Times New Roman" w:hAnsi="Arial" w:cs="Arial"/>
                <w:color w:val="000000"/>
                <w:sz w:val="18"/>
                <w:szCs w:val="18"/>
                <w:lang w:val="sk-SK" w:eastAsia="sk-SK"/>
              </w:rPr>
            </w:pPr>
          </w:p>
        </w:tc>
        <w:tc>
          <w:tcPr>
            <w:tcW w:w="1025" w:type="pct"/>
            <w:tcBorders>
              <w:top w:val="nil"/>
              <w:left w:val="nil"/>
              <w:bottom w:val="nil"/>
              <w:right w:val="nil"/>
            </w:tcBorders>
            <w:shd w:val="clear" w:color="auto" w:fill="auto"/>
            <w:vAlign w:val="bottom"/>
          </w:tcPr>
          <w:p w14:paraId="0EB7D94B" w14:textId="19DB2F03" w:rsidR="00250E25" w:rsidRPr="00226892" w:rsidRDefault="00413915" w:rsidP="00250E2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5</w:t>
            </w:r>
            <w:r w:rsidR="00250E25" w:rsidRPr="00226892">
              <w:rPr>
                <w:rFonts w:ascii="Arial" w:eastAsia="Times New Roman" w:hAnsi="Arial" w:cs="Arial"/>
                <w:color w:val="000000"/>
                <w:sz w:val="18"/>
                <w:szCs w:val="18"/>
                <w:lang w:val="sk-SK" w:eastAsia="sk-SK"/>
              </w:rPr>
              <w:t>2</w:t>
            </w:r>
          </w:p>
        </w:tc>
        <w:tc>
          <w:tcPr>
            <w:tcW w:w="95" w:type="pct"/>
            <w:tcBorders>
              <w:top w:val="nil"/>
              <w:left w:val="nil"/>
              <w:bottom w:val="nil"/>
              <w:right w:val="nil"/>
            </w:tcBorders>
            <w:shd w:val="clear" w:color="auto" w:fill="auto"/>
            <w:vAlign w:val="bottom"/>
          </w:tcPr>
          <w:p w14:paraId="3E17C473" w14:textId="77777777" w:rsidR="00413915" w:rsidRPr="00226892" w:rsidRDefault="00413915" w:rsidP="00413915">
            <w:pPr>
              <w:jc w:val="right"/>
              <w:rPr>
                <w:rFonts w:ascii="Arial" w:eastAsia="Times New Roman" w:hAnsi="Arial" w:cs="Arial"/>
                <w:color w:val="000000"/>
                <w:sz w:val="18"/>
                <w:szCs w:val="18"/>
                <w:lang w:val="sk-SK" w:eastAsia="sk-SK"/>
              </w:rPr>
            </w:pPr>
          </w:p>
        </w:tc>
        <w:tc>
          <w:tcPr>
            <w:tcW w:w="1081" w:type="pct"/>
            <w:tcBorders>
              <w:top w:val="nil"/>
              <w:left w:val="nil"/>
              <w:bottom w:val="nil"/>
              <w:right w:val="nil"/>
            </w:tcBorders>
            <w:shd w:val="clear" w:color="auto" w:fill="auto"/>
            <w:vAlign w:val="bottom"/>
          </w:tcPr>
          <w:p w14:paraId="30D83E14" w14:textId="246806F8" w:rsidR="00413915" w:rsidRPr="00226892" w:rsidRDefault="00413915" w:rsidP="00413915">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32</w:t>
            </w:r>
            <w:r w:rsidR="00D10DAF" w:rsidRPr="00226892">
              <w:rPr>
                <w:rFonts w:ascii="Arial" w:eastAsia="Times New Roman" w:hAnsi="Arial" w:cs="Arial"/>
                <w:color w:val="000000"/>
                <w:sz w:val="18"/>
                <w:szCs w:val="18"/>
                <w:lang w:val="sk-SK" w:eastAsia="sk-SK"/>
              </w:rPr>
              <w:t>1</w:t>
            </w:r>
          </w:p>
        </w:tc>
      </w:tr>
      <w:tr w:rsidR="00413915" w:rsidRPr="00226892" w14:paraId="1698CA95" w14:textId="77777777" w:rsidTr="00B55F9F">
        <w:trPr>
          <w:trHeight w:val="227"/>
        </w:trPr>
        <w:tc>
          <w:tcPr>
            <w:tcW w:w="2695" w:type="pct"/>
            <w:tcBorders>
              <w:top w:val="nil"/>
              <w:left w:val="nil"/>
              <w:bottom w:val="nil"/>
              <w:right w:val="nil"/>
            </w:tcBorders>
            <w:shd w:val="clear" w:color="auto" w:fill="auto"/>
            <w:noWrap/>
            <w:vAlign w:val="bottom"/>
            <w:hideMark/>
          </w:tcPr>
          <w:p w14:paraId="0A864CC5" w14:textId="77777777" w:rsidR="00413915" w:rsidRPr="00226892" w:rsidRDefault="00413915" w:rsidP="00413915">
            <w:pPr>
              <w:rPr>
                <w:rFonts w:ascii="Arial" w:eastAsia="Times New Roman" w:hAnsi="Arial" w:cs="Arial"/>
                <w:color w:val="000000"/>
                <w:sz w:val="18"/>
                <w:szCs w:val="18"/>
                <w:lang w:val="sk-SK" w:eastAsia="sk-SK"/>
              </w:rPr>
            </w:pPr>
          </w:p>
        </w:tc>
        <w:tc>
          <w:tcPr>
            <w:tcW w:w="104" w:type="pct"/>
            <w:tcBorders>
              <w:top w:val="nil"/>
              <w:left w:val="nil"/>
              <w:bottom w:val="nil"/>
              <w:right w:val="nil"/>
            </w:tcBorders>
            <w:shd w:val="clear" w:color="auto" w:fill="auto"/>
            <w:vAlign w:val="bottom"/>
            <w:hideMark/>
          </w:tcPr>
          <w:p w14:paraId="5D3BDC89" w14:textId="77777777" w:rsidR="00413915" w:rsidRPr="00226892" w:rsidRDefault="00413915" w:rsidP="00413915">
            <w:pPr>
              <w:rPr>
                <w:rFonts w:ascii="Arial" w:eastAsia="Times New Roman" w:hAnsi="Arial" w:cs="Arial"/>
                <w:sz w:val="18"/>
                <w:szCs w:val="18"/>
                <w:lang w:val="sk-SK" w:eastAsia="sk-SK"/>
              </w:rPr>
            </w:pPr>
          </w:p>
        </w:tc>
        <w:tc>
          <w:tcPr>
            <w:tcW w:w="1025" w:type="pct"/>
            <w:tcBorders>
              <w:top w:val="single" w:sz="4" w:space="0" w:color="auto"/>
              <w:left w:val="nil"/>
              <w:bottom w:val="double" w:sz="6" w:space="0" w:color="auto"/>
              <w:right w:val="nil"/>
            </w:tcBorders>
            <w:shd w:val="clear" w:color="auto" w:fill="auto"/>
            <w:vAlign w:val="bottom"/>
          </w:tcPr>
          <w:p w14:paraId="5C884BBC" w14:textId="6096840E" w:rsidR="00413915" w:rsidRPr="00226892" w:rsidRDefault="00413915" w:rsidP="0041391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1 828</w:t>
            </w:r>
          </w:p>
        </w:tc>
        <w:tc>
          <w:tcPr>
            <w:tcW w:w="95" w:type="pct"/>
            <w:tcBorders>
              <w:top w:val="nil"/>
              <w:left w:val="nil"/>
              <w:bottom w:val="nil"/>
              <w:right w:val="nil"/>
            </w:tcBorders>
            <w:shd w:val="clear" w:color="auto" w:fill="auto"/>
            <w:vAlign w:val="bottom"/>
          </w:tcPr>
          <w:p w14:paraId="73CE4E93" w14:textId="77777777" w:rsidR="00413915" w:rsidRPr="00226892" w:rsidRDefault="00413915" w:rsidP="00413915">
            <w:pPr>
              <w:jc w:val="right"/>
              <w:rPr>
                <w:rFonts w:ascii="Arial" w:eastAsia="Times New Roman" w:hAnsi="Arial" w:cs="Arial"/>
                <w:b/>
                <w:bCs/>
                <w:color w:val="000000"/>
                <w:sz w:val="18"/>
                <w:szCs w:val="18"/>
                <w:lang w:val="sk-SK" w:eastAsia="sk-SK"/>
              </w:rPr>
            </w:pPr>
          </w:p>
        </w:tc>
        <w:tc>
          <w:tcPr>
            <w:tcW w:w="1081" w:type="pct"/>
            <w:tcBorders>
              <w:top w:val="single" w:sz="4" w:space="0" w:color="auto"/>
              <w:left w:val="nil"/>
              <w:bottom w:val="double" w:sz="6" w:space="0" w:color="auto"/>
              <w:right w:val="nil"/>
            </w:tcBorders>
            <w:shd w:val="clear" w:color="auto" w:fill="auto"/>
            <w:vAlign w:val="bottom"/>
          </w:tcPr>
          <w:p w14:paraId="4CA95117" w14:textId="0954F29E" w:rsidR="00413915" w:rsidRPr="00226892" w:rsidRDefault="00413915" w:rsidP="00413915">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867</w:t>
            </w:r>
          </w:p>
        </w:tc>
      </w:tr>
    </w:tbl>
    <w:p w14:paraId="77DC4438" w14:textId="6581A9AC" w:rsidR="006E3DFB" w:rsidRPr="00226892" w:rsidRDefault="006E3DFB" w:rsidP="00D33B6D">
      <w:pPr>
        <w:ind w:left="426"/>
        <w:rPr>
          <w:rFonts w:ascii="Arial" w:hAnsi="Arial" w:cs="Arial"/>
          <w:sz w:val="16"/>
          <w:szCs w:val="16"/>
          <w:lang w:val="sk-SK"/>
        </w:rPr>
      </w:pPr>
    </w:p>
    <w:bookmarkEnd w:id="584"/>
    <w:p w14:paraId="607A9A18" w14:textId="77777777" w:rsidR="007477F3" w:rsidRPr="00226892" w:rsidRDefault="007477F3">
      <w:pPr>
        <w:rPr>
          <w:rFonts w:ascii="Arial" w:hAnsi="Arial" w:cs="Arial"/>
          <w:sz w:val="16"/>
          <w:szCs w:val="16"/>
          <w:lang w:val="sk-SK"/>
        </w:rPr>
      </w:pPr>
      <w:r w:rsidRPr="00226892">
        <w:rPr>
          <w:rFonts w:ascii="Arial" w:hAnsi="Arial" w:cs="Arial"/>
          <w:sz w:val="16"/>
          <w:szCs w:val="16"/>
          <w:lang w:val="sk-SK"/>
        </w:rPr>
        <w:br w:type="page"/>
      </w:r>
    </w:p>
    <w:p w14:paraId="5A263DAD" w14:textId="64A45373" w:rsidR="008F683A" w:rsidRPr="00226892" w:rsidRDefault="00DA5E9D" w:rsidP="003578C0">
      <w:pPr>
        <w:pStyle w:val="Nadpis3"/>
        <w:keepNext w:val="0"/>
        <w:widowControl/>
        <w:numPr>
          <w:ilvl w:val="0"/>
          <w:numId w:val="34"/>
        </w:numPr>
        <w:tabs>
          <w:tab w:val="clear" w:pos="1069"/>
          <w:tab w:val="num" w:pos="426"/>
        </w:tabs>
        <w:suppressAutoHyphens/>
        <w:ind w:hanging="1069"/>
        <w:rPr>
          <w:rFonts w:ascii="Arial" w:hAnsi="Arial" w:cs="Arial"/>
          <w:sz w:val="20"/>
        </w:rPr>
      </w:pPr>
      <w:bookmarkStart w:id="586" w:name="_Toc516654948"/>
      <w:bookmarkStart w:id="587" w:name="_Toc516654949"/>
      <w:bookmarkStart w:id="588" w:name="_Toc516654950"/>
      <w:bookmarkStart w:id="589" w:name="_Toc516654951"/>
      <w:bookmarkStart w:id="590" w:name="_Toc516654952"/>
      <w:bookmarkStart w:id="591" w:name="_Toc422151049"/>
      <w:bookmarkStart w:id="592" w:name="_Toc387812519"/>
      <w:bookmarkStart w:id="593" w:name="_Toc27410012"/>
      <w:bookmarkEnd w:id="586"/>
      <w:bookmarkEnd w:id="587"/>
      <w:bookmarkEnd w:id="588"/>
      <w:bookmarkEnd w:id="589"/>
      <w:bookmarkEnd w:id="590"/>
      <w:bookmarkEnd w:id="591"/>
      <w:proofErr w:type="spellStart"/>
      <w:r w:rsidRPr="00226892">
        <w:rPr>
          <w:rFonts w:ascii="Arial" w:hAnsi="Arial" w:cs="Arial"/>
          <w:sz w:val="20"/>
        </w:rPr>
        <w:lastRenderedPageBreak/>
        <w:t>Náklady</w:t>
      </w:r>
      <w:proofErr w:type="spellEnd"/>
      <w:r w:rsidRPr="00226892">
        <w:rPr>
          <w:rFonts w:ascii="Arial" w:hAnsi="Arial" w:cs="Arial"/>
          <w:sz w:val="20"/>
        </w:rPr>
        <w:t xml:space="preserve"> </w:t>
      </w:r>
      <w:proofErr w:type="spellStart"/>
      <w:r w:rsidRPr="00226892">
        <w:rPr>
          <w:rFonts w:ascii="Arial" w:hAnsi="Arial" w:cs="Arial"/>
          <w:sz w:val="20"/>
        </w:rPr>
        <w:t>na</w:t>
      </w:r>
      <w:proofErr w:type="spellEnd"/>
      <w:r w:rsidRPr="00226892">
        <w:rPr>
          <w:rFonts w:ascii="Arial" w:hAnsi="Arial" w:cs="Arial"/>
          <w:sz w:val="20"/>
        </w:rPr>
        <w:t xml:space="preserve"> </w:t>
      </w:r>
      <w:proofErr w:type="spellStart"/>
      <w:r w:rsidRPr="00226892">
        <w:rPr>
          <w:rFonts w:ascii="Arial" w:hAnsi="Arial" w:cs="Arial"/>
          <w:sz w:val="20"/>
        </w:rPr>
        <w:t>odmeňovanie</w:t>
      </w:r>
      <w:proofErr w:type="spellEnd"/>
      <w:r w:rsidRPr="00226892">
        <w:rPr>
          <w:rFonts w:ascii="Arial" w:hAnsi="Arial" w:cs="Arial"/>
          <w:sz w:val="20"/>
        </w:rPr>
        <w:t xml:space="preserve"> </w:t>
      </w:r>
      <w:proofErr w:type="spellStart"/>
      <w:r w:rsidRPr="00226892">
        <w:rPr>
          <w:rFonts w:ascii="Arial" w:hAnsi="Arial" w:cs="Arial"/>
          <w:sz w:val="20"/>
        </w:rPr>
        <w:t>zamestnancov</w:t>
      </w:r>
      <w:bookmarkEnd w:id="592"/>
      <w:bookmarkEnd w:id="593"/>
      <w:proofErr w:type="spellEnd"/>
    </w:p>
    <w:p w14:paraId="20757925" w14:textId="77777777" w:rsidR="00DD63CA" w:rsidRPr="00226892" w:rsidRDefault="00DD63CA" w:rsidP="00833CC0">
      <w:pPr>
        <w:suppressAutoHyphens/>
        <w:jc w:val="both"/>
        <w:rPr>
          <w:rFonts w:ascii="Arial" w:hAnsi="Arial" w:cs="Arial"/>
          <w:b/>
          <w:color w:val="000080"/>
          <w:sz w:val="18"/>
          <w:szCs w:val="18"/>
        </w:rPr>
      </w:pPr>
      <w:bookmarkStart w:id="594" w:name="FWT_EmployeeBenefitExp"/>
      <w:r w:rsidRPr="00226892">
        <w:rPr>
          <w:rFonts w:ascii="Arial" w:hAnsi="Arial" w:cs="Arial"/>
          <w:b/>
          <w:color w:val="000080"/>
          <w:sz w:val="18"/>
          <w:szCs w:val="18"/>
        </w:rPr>
        <w:t xml:space="preserve"> </w:t>
      </w:r>
    </w:p>
    <w:tbl>
      <w:tblPr>
        <w:tblW w:w="5000" w:type="pct"/>
        <w:tblCellMar>
          <w:left w:w="70" w:type="dxa"/>
          <w:right w:w="70" w:type="dxa"/>
        </w:tblCellMar>
        <w:tblLook w:val="04A0" w:firstRow="1" w:lastRow="0" w:firstColumn="1" w:lastColumn="0" w:noHBand="0" w:noVBand="1"/>
      </w:tblPr>
      <w:tblGrid>
        <w:gridCol w:w="5187"/>
        <w:gridCol w:w="191"/>
        <w:gridCol w:w="2036"/>
        <w:gridCol w:w="191"/>
        <w:gridCol w:w="2034"/>
      </w:tblGrid>
      <w:tr w:rsidR="00DD63CA" w:rsidRPr="00226892" w14:paraId="6C89050A" w14:textId="77777777" w:rsidTr="00756C6D">
        <w:trPr>
          <w:trHeight w:val="227"/>
        </w:trPr>
        <w:tc>
          <w:tcPr>
            <w:tcW w:w="2699" w:type="pct"/>
            <w:tcBorders>
              <w:top w:val="nil"/>
              <w:left w:val="nil"/>
              <w:bottom w:val="single" w:sz="4" w:space="0" w:color="auto"/>
              <w:right w:val="nil"/>
            </w:tcBorders>
            <w:shd w:val="clear" w:color="auto" w:fill="auto"/>
            <w:noWrap/>
            <w:vAlign w:val="bottom"/>
            <w:hideMark/>
          </w:tcPr>
          <w:p w14:paraId="55B53856" w14:textId="77777777" w:rsidR="00DD63CA" w:rsidRPr="00226892" w:rsidRDefault="00DD63CA" w:rsidP="00833CC0">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87" w:type="pct"/>
            <w:tcBorders>
              <w:top w:val="nil"/>
              <w:left w:val="nil"/>
              <w:bottom w:val="single" w:sz="4" w:space="0" w:color="auto"/>
              <w:right w:val="nil"/>
            </w:tcBorders>
            <w:shd w:val="clear" w:color="auto" w:fill="auto"/>
            <w:vAlign w:val="bottom"/>
            <w:hideMark/>
          </w:tcPr>
          <w:p w14:paraId="243F286A" w14:textId="77777777" w:rsidR="00DD63CA" w:rsidRPr="00226892" w:rsidRDefault="00DD63CA">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064" w:type="pct"/>
            <w:tcBorders>
              <w:top w:val="nil"/>
              <w:left w:val="nil"/>
              <w:bottom w:val="single" w:sz="4" w:space="0" w:color="auto"/>
              <w:right w:val="nil"/>
            </w:tcBorders>
            <w:shd w:val="clear" w:color="auto" w:fill="auto"/>
            <w:vAlign w:val="bottom"/>
            <w:hideMark/>
          </w:tcPr>
          <w:p w14:paraId="25FE36F0" w14:textId="76B65CE5" w:rsidR="00DD63CA" w:rsidRPr="00226892" w:rsidRDefault="00FD3AC5">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2018</w:t>
            </w:r>
          </w:p>
        </w:tc>
        <w:tc>
          <w:tcPr>
            <w:tcW w:w="87" w:type="pct"/>
            <w:tcBorders>
              <w:top w:val="nil"/>
              <w:left w:val="nil"/>
              <w:bottom w:val="single" w:sz="4" w:space="0" w:color="auto"/>
              <w:right w:val="nil"/>
            </w:tcBorders>
            <w:shd w:val="clear" w:color="auto" w:fill="auto"/>
            <w:vAlign w:val="bottom"/>
            <w:hideMark/>
          </w:tcPr>
          <w:p w14:paraId="248E5328" w14:textId="77777777" w:rsidR="00DD63CA" w:rsidRPr="00226892" w:rsidRDefault="00DD63CA">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w:t>
            </w:r>
          </w:p>
        </w:tc>
        <w:tc>
          <w:tcPr>
            <w:tcW w:w="1064" w:type="pct"/>
            <w:tcBorders>
              <w:top w:val="nil"/>
              <w:left w:val="nil"/>
              <w:bottom w:val="single" w:sz="4" w:space="0" w:color="auto"/>
              <w:right w:val="nil"/>
            </w:tcBorders>
            <w:shd w:val="clear" w:color="auto" w:fill="auto"/>
            <w:vAlign w:val="bottom"/>
            <w:hideMark/>
          </w:tcPr>
          <w:p w14:paraId="0318E154" w14:textId="7DB16EBF" w:rsidR="00DD63CA" w:rsidRPr="00226892" w:rsidRDefault="00F63A77">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2017</w:t>
            </w:r>
          </w:p>
        </w:tc>
      </w:tr>
      <w:tr w:rsidR="00C15DC8" w:rsidRPr="00226892" w14:paraId="1E40B0B0" w14:textId="77777777" w:rsidTr="00756C6D">
        <w:trPr>
          <w:trHeight w:val="227"/>
        </w:trPr>
        <w:tc>
          <w:tcPr>
            <w:tcW w:w="2699" w:type="pct"/>
            <w:tcBorders>
              <w:top w:val="nil"/>
              <w:left w:val="nil"/>
              <w:bottom w:val="nil"/>
              <w:right w:val="nil"/>
            </w:tcBorders>
            <w:shd w:val="clear" w:color="auto" w:fill="auto"/>
            <w:noWrap/>
            <w:vAlign w:val="bottom"/>
            <w:hideMark/>
          </w:tcPr>
          <w:p w14:paraId="5F93534F" w14:textId="77777777" w:rsidR="00C15DC8" w:rsidRPr="00226892" w:rsidRDefault="00C15DC8" w:rsidP="00C15DC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Platy a mzdy vrátane nákladov na odstupné </w:t>
            </w:r>
          </w:p>
        </w:tc>
        <w:tc>
          <w:tcPr>
            <w:tcW w:w="87" w:type="pct"/>
            <w:tcBorders>
              <w:top w:val="nil"/>
              <w:left w:val="nil"/>
              <w:bottom w:val="nil"/>
              <w:right w:val="nil"/>
            </w:tcBorders>
            <w:shd w:val="clear" w:color="auto" w:fill="auto"/>
            <w:vAlign w:val="bottom"/>
            <w:hideMark/>
          </w:tcPr>
          <w:p w14:paraId="31EFE63A" w14:textId="77777777" w:rsidR="00C15DC8" w:rsidRPr="00226892" w:rsidRDefault="00C15DC8" w:rsidP="00C15DC8">
            <w:pPr>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5B600175" w14:textId="2AA4CF48" w:rsidR="00C15DC8" w:rsidRPr="00226892" w:rsidRDefault="00ED7670" w:rsidP="00C15D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21 677</w:t>
            </w:r>
          </w:p>
        </w:tc>
        <w:tc>
          <w:tcPr>
            <w:tcW w:w="87" w:type="pct"/>
            <w:tcBorders>
              <w:top w:val="nil"/>
              <w:left w:val="nil"/>
              <w:bottom w:val="nil"/>
              <w:right w:val="nil"/>
            </w:tcBorders>
            <w:shd w:val="clear" w:color="auto" w:fill="auto"/>
            <w:vAlign w:val="bottom"/>
          </w:tcPr>
          <w:p w14:paraId="0D24BCCC" w14:textId="77777777" w:rsidR="00C15DC8" w:rsidRPr="00226892" w:rsidRDefault="00C15DC8" w:rsidP="00C15DC8">
            <w:pPr>
              <w:jc w:val="right"/>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556BA909" w14:textId="10827F60" w:rsidR="00C15DC8" w:rsidRPr="00226892" w:rsidRDefault="00D10DAF" w:rsidP="00C15D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18 656</w:t>
            </w:r>
          </w:p>
        </w:tc>
      </w:tr>
      <w:tr w:rsidR="00C15DC8" w:rsidRPr="00226892" w14:paraId="24DAD5CB" w14:textId="77777777" w:rsidTr="00756C6D">
        <w:trPr>
          <w:trHeight w:val="227"/>
        </w:trPr>
        <w:tc>
          <w:tcPr>
            <w:tcW w:w="2699" w:type="pct"/>
            <w:tcBorders>
              <w:top w:val="nil"/>
              <w:left w:val="nil"/>
              <w:bottom w:val="nil"/>
              <w:right w:val="nil"/>
            </w:tcBorders>
            <w:shd w:val="clear" w:color="auto" w:fill="auto"/>
            <w:vAlign w:val="bottom"/>
            <w:hideMark/>
          </w:tcPr>
          <w:p w14:paraId="32C7116D" w14:textId="77777777" w:rsidR="00C15DC8" w:rsidRPr="00226892" w:rsidRDefault="00C15DC8" w:rsidP="00C15DC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Odmeny členom štatutárnych orgánov</w:t>
            </w:r>
          </w:p>
        </w:tc>
        <w:tc>
          <w:tcPr>
            <w:tcW w:w="87" w:type="pct"/>
            <w:tcBorders>
              <w:top w:val="nil"/>
              <w:left w:val="nil"/>
              <w:bottom w:val="nil"/>
              <w:right w:val="nil"/>
            </w:tcBorders>
            <w:shd w:val="clear" w:color="auto" w:fill="auto"/>
            <w:vAlign w:val="bottom"/>
            <w:hideMark/>
          </w:tcPr>
          <w:p w14:paraId="19F45300" w14:textId="77777777" w:rsidR="00C15DC8" w:rsidRPr="00226892" w:rsidRDefault="00C15DC8" w:rsidP="00C15DC8">
            <w:pPr>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4D20D6A7" w14:textId="7A3D6197" w:rsidR="00C15DC8" w:rsidRPr="00226892" w:rsidRDefault="00C15DC8" w:rsidP="00C15D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24</w:t>
            </w:r>
          </w:p>
        </w:tc>
        <w:tc>
          <w:tcPr>
            <w:tcW w:w="87" w:type="pct"/>
            <w:tcBorders>
              <w:top w:val="nil"/>
              <w:left w:val="nil"/>
              <w:bottom w:val="nil"/>
              <w:right w:val="nil"/>
            </w:tcBorders>
            <w:shd w:val="clear" w:color="auto" w:fill="auto"/>
            <w:vAlign w:val="bottom"/>
          </w:tcPr>
          <w:p w14:paraId="7FD7B296" w14:textId="77777777" w:rsidR="00C15DC8" w:rsidRPr="00226892" w:rsidRDefault="00C15DC8" w:rsidP="00C15DC8">
            <w:pPr>
              <w:jc w:val="right"/>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10EB103E" w14:textId="1FD5D3B8" w:rsidR="00C15DC8" w:rsidRPr="00226892" w:rsidRDefault="00C15DC8" w:rsidP="00C15D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37</w:t>
            </w:r>
          </w:p>
        </w:tc>
      </w:tr>
      <w:tr w:rsidR="00D10DAF" w:rsidRPr="00226892" w14:paraId="29851467" w14:textId="77777777" w:rsidTr="00756C6D">
        <w:trPr>
          <w:trHeight w:val="227"/>
        </w:trPr>
        <w:tc>
          <w:tcPr>
            <w:tcW w:w="2699" w:type="pct"/>
            <w:tcBorders>
              <w:top w:val="nil"/>
              <w:left w:val="nil"/>
              <w:bottom w:val="nil"/>
              <w:right w:val="nil"/>
            </w:tcBorders>
            <w:shd w:val="clear" w:color="auto" w:fill="auto"/>
            <w:vAlign w:val="bottom"/>
          </w:tcPr>
          <w:p w14:paraId="537ABF5A" w14:textId="77777777" w:rsidR="00D10DAF" w:rsidRPr="00226892" w:rsidRDefault="00D10DAF" w:rsidP="00512880">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Príspevky na sociálne zabezpečenie</w:t>
            </w:r>
          </w:p>
        </w:tc>
        <w:tc>
          <w:tcPr>
            <w:tcW w:w="87" w:type="pct"/>
            <w:tcBorders>
              <w:top w:val="nil"/>
              <w:left w:val="nil"/>
              <w:bottom w:val="nil"/>
              <w:right w:val="nil"/>
            </w:tcBorders>
            <w:shd w:val="clear" w:color="auto" w:fill="auto"/>
            <w:vAlign w:val="bottom"/>
          </w:tcPr>
          <w:p w14:paraId="270BCFA4" w14:textId="77777777" w:rsidR="00D10DAF" w:rsidRPr="00226892" w:rsidRDefault="00D10DAF" w:rsidP="00512880">
            <w:pPr>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0B29884B" w14:textId="6305DE64" w:rsidR="00D10DAF" w:rsidRPr="00226892" w:rsidRDefault="00ED7670" w:rsidP="00512880">
            <w:pPr>
              <w:jc w:val="right"/>
              <w:rPr>
                <w:rFonts w:ascii="Arial" w:eastAsia="Times New Roman" w:hAnsi="Arial" w:cs="Arial"/>
                <w:color w:val="000000"/>
                <w:sz w:val="18"/>
                <w:szCs w:val="18"/>
                <w:highlight w:val="yellow"/>
                <w:lang w:val="en-US" w:eastAsia="sk-SK"/>
              </w:rPr>
            </w:pPr>
            <w:r w:rsidRPr="00226892">
              <w:rPr>
                <w:rFonts w:ascii="Arial" w:eastAsia="Times New Roman" w:hAnsi="Arial" w:cs="Arial"/>
                <w:color w:val="000000"/>
                <w:sz w:val="18"/>
                <w:szCs w:val="18"/>
                <w:lang w:val="en-US" w:eastAsia="sk-SK"/>
              </w:rPr>
              <w:t xml:space="preserve"> 7 748</w:t>
            </w:r>
          </w:p>
        </w:tc>
        <w:tc>
          <w:tcPr>
            <w:tcW w:w="87" w:type="pct"/>
            <w:tcBorders>
              <w:top w:val="nil"/>
              <w:left w:val="nil"/>
              <w:bottom w:val="nil"/>
              <w:right w:val="nil"/>
            </w:tcBorders>
            <w:shd w:val="clear" w:color="auto" w:fill="auto"/>
            <w:vAlign w:val="bottom"/>
          </w:tcPr>
          <w:p w14:paraId="535E642F" w14:textId="77777777" w:rsidR="00D10DAF" w:rsidRPr="00226892" w:rsidRDefault="00D10DAF" w:rsidP="00512880">
            <w:pPr>
              <w:jc w:val="right"/>
              <w:rPr>
                <w:rFonts w:ascii="Arial" w:eastAsia="Times New Roman" w:hAnsi="Arial" w:cs="Arial"/>
                <w:color w:val="000000"/>
                <w:sz w:val="18"/>
                <w:szCs w:val="18"/>
                <w:highlight w:val="yellow"/>
                <w:lang w:val="sk-SK" w:eastAsia="sk-SK"/>
              </w:rPr>
            </w:pPr>
          </w:p>
        </w:tc>
        <w:tc>
          <w:tcPr>
            <w:tcW w:w="1064" w:type="pct"/>
            <w:tcBorders>
              <w:top w:val="nil"/>
              <w:left w:val="nil"/>
              <w:bottom w:val="nil"/>
              <w:right w:val="nil"/>
            </w:tcBorders>
            <w:shd w:val="clear" w:color="auto" w:fill="auto"/>
            <w:vAlign w:val="bottom"/>
          </w:tcPr>
          <w:p w14:paraId="67364F17" w14:textId="07EE35EE" w:rsidR="00D10DAF" w:rsidRPr="00226892" w:rsidRDefault="00D10DAF" w:rsidP="00512880">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en-US" w:eastAsia="sk-SK"/>
              </w:rPr>
              <w:t>6 656</w:t>
            </w:r>
          </w:p>
        </w:tc>
      </w:tr>
      <w:tr w:rsidR="00D10DAF" w:rsidRPr="00226892" w14:paraId="6DAC6C6E" w14:textId="77777777" w:rsidTr="00756C6D">
        <w:trPr>
          <w:trHeight w:val="227"/>
        </w:trPr>
        <w:tc>
          <w:tcPr>
            <w:tcW w:w="2699" w:type="pct"/>
            <w:tcBorders>
              <w:top w:val="nil"/>
              <w:left w:val="nil"/>
              <w:bottom w:val="nil"/>
              <w:right w:val="nil"/>
            </w:tcBorders>
            <w:shd w:val="clear" w:color="auto" w:fill="auto"/>
            <w:vAlign w:val="bottom"/>
          </w:tcPr>
          <w:p w14:paraId="61EDB3BE" w14:textId="12F0B17A" w:rsidR="00D10DAF" w:rsidRPr="00226892" w:rsidRDefault="00D10DAF" w:rsidP="00512880">
            <w:pPr>
              <w:rPr>
                <w:rFonts w:ascii="Arial" w:eastAsia="Times New Roman" w:hAnsi="Arial" w:cs="Arial"/>
                <w:i/>
                <w:iCs/>
                <w:color w:val="000000"/>
                <w:sz w:val="18"/>
                <w:szCs w:val="18"/>
                <w:lang w:val="sk-SK" w:eastAsia="sk-SK"/>
              </w:rPr>
            </w:pPr>
            <w:r w:rsidRPr="00226892">
              <w:rPr>
                <w:rFonts w:ascii="Arial" w:eastAsia="Times New Roman" w:hAnsi="Arial" w:cs="Arial"/>
                <w:i/>
                <w:iCs/>
                <w:color w:val="000000"/>
                <w:sz w:val="18"/>
                <w:szCs w:val="18"/>
                <w:lang w:val="sk-SK" w:eastAsia="sk-SK"/>
              </w:rPr>
              <w:t>Z toho:</w:t>
            </w:r>
          </w:p>
        </w:tc>
        <w:tc>
          <w:tcPr>
            <w:tcW w:w="87" w:type="pct"/>
            <w:tcBorders>
              <w:top w:val="nil"/>
              <w:left w:val="nil"/>
              <w:bottom w:val="nil"/>
              <w:right w:val="nil"/>
            </w:tcBorders>
            <w:shd w:val="clear" w:color="auto" w:fill="auto"/>
            <w:vAlign w:val="bottom"/>
          </w:tcPr>
          <w:p w14:paraId="77157BA7" w14:textId="77777777" w:rsidR="00D10DAF" w:rsidRPr="00226892" w:rsidRDefault="00D10DAF" w:rsidP="00512880">
            <w:pPr>
              <w:rPr>
                <w:rFonts w:ascii="Arial" w:eastAsia="Times New Roman" w:hAnsi="Arial" w:cs="Arial"/>
                <w:i/>
                <w:iCs/>
                <w:color w:val="000000"/>
                <w:sz w:val="18"/>
                <w:szCs w:val="18"/>
                <w:lang w:val="sk-SK" w:eastAsia="sk-SK"/>
              </w:rPr>
            </w:pPr>
          </w:p>
        </w:tc>
        <w:tc>
          <w:tcPr>
            <w:tcW w:w="1064" w:type="pct"/>
            <w:tcBorders>
              <w:top w:val="nil"/>
              <w:left w:val="nil"/>
              <w:bottom w:val="nil"/>
              <w:right w:val="nil"/>
            </w:tcBorders>
            <w:shd w:val="clear" w:color="auto" w:fill="auto"/>
            <w:vAlign w:val="bottom"/>
          </w:tcPr>
          <w:p w14:paraId="0E35AAA2" w14:textId="4DECBC02" w:rsidR="00D10DAF" w:rsidRPr="00226892" w:rsidRDefault="00D10DAF" w:rsidP="00512880">
            <w:pPr>
              <w:jc w:val="right"/>
              <w:rPr>
                <w:rFonts w:ascii="Arial" w:eastAsia="Times New Roman" w:hAnsi="Arial" w:cs="Arial"/>
                <w:i/>
                <w:iCs/>
                <w:color w:val="000000"/>
                <w:sz w:val="18"/>
                <w:szCs w:val="18"/>
                <w:lang w:val="en-US" w:eastAsia="sk-SK"/>
              </w:rPr>
            </w:pPr>
          </w:p>
        </w:tc>
        <w:tc>
          <w:tcPr>
            <w:tcW w:w="87" w:type="pct"/>
            <w:tcBorders>
              <w:top w:val="nil"/>
              <w:left w:val="nil"/>
              <w:bottom w:val="nil"/>
              <w:right w:val="nil"/>
            </w:tcBorders>
            <w:shd w:val="clear" w:color="auto" w:fill="auto"/>
            <w:vAlign w:val="bottom"/>
          </w:tcPr>
          <w:p w14:paraId="3BDFD128" w14:textId="77777777" w:rsidR="00D10DAF" w:rsidRPr="00226892" w:rsidRDefault="00D10DAF" w:rsidP="00512880">
            <w:pPr>
              <w:jc w:val="right"/>
              <w:rPr>
                <w:rFonts w:ascii="Arial" w:eastAsia="Times New Roman" w:hAnsi="Arial" w:cs="Arial"/>
                <w:i/>
                <w:iCs/>
                <w:color w:val="000000"/>
                <w:sz w:val="18"/>
                <w:szCs w:val="18"/>
                <w:lang w:val="sk-SK" w:eastAsia="sk-SK"/>
              </w:rPr>
            </w:pPr>
          </w:p>
        </w:tc>
        <w:tc>
          <w:tcPr>
            <w:tcW w:w="1064" w:type="pct"/>
            <w:tcBorders>
              <w:top w:val="nil"/>
              <w:left w:val="nil"/>
              <w:bottom w:val="nil"/>
              <w:right w:val="nil"/>
            </w:tcBorders>
            <w:shd w:val="clear" w:color="auto" w:fill="auto"/>
            <w:vAlign w:val="bottom"/>
          </w:tcPr>
          <w:p w14:paraId="1467D03D" w14:textId="0AC8A19D" w:rsidR="00D10DAF" w:rsidRPr="00226892" w:rsidRDefault="00D10DAF" w:rsidP="00512880">
            <w:pPr>
              <w:jc w:val="right"/>
              <w:rPr>
                <w:rFonts w:ascii="Arial" w:eastAsia="Times New Roman" w:hAnsi="Arial" w:cs="Arial"/>
                <w:i/>
                <w:iCs/>
                <w:color w:val="000000"/>
                <w:sz w:val="18"/>
                <w:szCs w:val="18"/>
                <w:lang w:val="sk-SK" w:eastAsia="sk-SK"/>
              </w:rPr>
            </w:pPr>
          </w:p>
        </w:tc>
      </w:tr>
      <w:tr w:rsidR="00C15DC8" w:rsidRPr="00226892" w14:paraId="19F58E69" w14:textId="77777777" w:rsidTr="00756C6D">
        <w:trPr>
          <w:trHeight w:val="227"/>
        </w:trPr>
        <w:tc>
          <w:tcPr>
            <w:tcW w:w="2699" w:type="pct"/>
            <w:tcBorders>
              <w:top w:val="nil"/>
              <w:left w:val="nil"/>
              <w:bottom w:val="nil"/>
              <w:right w:val="nil"/>
            </w:tcBorders>
            <w:shd w:val="clear" w:color="auto" w:fill="auto"/>
            <w:vAlign w:val="bottom"/>
          </w:tcPr>
          <w:p w14:paraId="3D2B3F13" w14:textId="336D5F22" w:rsidR="00C15DC8" w:rsidRPr="00226892" w:rsidRDefault="00D10DAF" w:rsidP="00C15DC8">
            <w:pPr>
              <w:rPr>
                <w:rFonts w:ascii="Arial" w:eastAsia="Times New Roman" w:hAnsi="Arial" w:cs="Arial"/>
                <w:i/>
                <w:iCs/>
                <w:color w:val="000000"/>
                <w:sz w:val="18"/>
                <w:szCs w:val="18"/>
                <w:lang w:val="sk-SK" w:eastAsia="sk-SK"/>
              </w:rPr>
            </w:pPr>
            <w:r w:rsidRPr="00226892">
              <w:rPr>
                <w:rFonts w:ascii="Arial" w:eastAsia="Times New Roman" w:hAnsi="Arial" w:cs="Arial"/>
                <w:i/>
                <w:iCs/>
                <w:color w:val="000000"/>
                <w:sz w:val="18"/>
                <w:szCs w:val="18"/>
                <w:lang w:val="sk-SK" w:eastAsia="sk-SK"/>
              </w:rPr>
              <w:t xml:space="preserve">       Príspevky na dôchodkové zabezpečenie</w:t>
            </w:r>
          </w:p>
        </w:tc>
        <w:tc>
          <w:tcPr>
            <w:tcW w:w="87" w:type="pct"/>
            <w:tcBorders>
              <w:top w:val="nil"/>
              <w:left w:val="nil"/>
              <w:bottom w:val="nil"/>
              <w:right w:val="nil"/>
            </w:tcBorders>
            <w:shd w:val="clear" w:color="auto" w:fill="auto"/>
            <w:vAlign w:val="bottom"/>
          </w:tcPr>
          <w:p w14:paraId="3F1F89AE" w14:textId="77777777" w:rsidR="00C15DC8" w:rsidRPr="00226892" w:rsidRDefault="00C15DC8" w:rsidP="00C15DC8">
            <w:pPr>
              <w:rPr>
                <w:rFonts w:ascii="Arial" w:eastAsia="Times New Roman" w:hAnsi="Arial" w:cs="Arial"/>
                <w:i/>
                <w:iCs/>
                <w:color w:val="000000"/>
                <w:sz w:val="18"/>
                <w:szCs w:val="18"/>
                <w:lang w:val="sk-SK" w:eastAsia="sk-SK"/>
              </w:rPr>
            </w:pPr>
          </w:p>
        </w:tc>
        <w:tc>
          <w:tcPr>
            <w:tcW w:w="1064" w:type="pct"/>
            <w:tcBorders>
              <w:top w:val="nil"/>
              <w:left w:val="nil"/>
              <w:bottom w:val="nil"/>
              <w:right w:val="nil"/>
            </w:tcBorders>
            <w:shd w:val="clear" w:color="auto" w:fill="auto"/>
            <w:vAlign w:val="bottom"/>
          </w:tcPr>
          <w:p w14:paraId="37F1A084" w14:textId="536365B5" w:rsidR="00C15DC8" w:rsidRPr="00226892" w:rsidRDefault="00ED7670" w:rsidP="00C15DC8">
            <w:pPr>
              <w:jc w:val="right"/>
              <w:rPr>
                <w:rFonts w:ascii="Arial" w:eastAsia="Times New Roman" w:hAnsi="Arial" w:cs="Arial"/>
                <w:i/>
                <w:iCs/>
                <w:color w:val="000000"/>
                <w:sz w:val="18"/>
                <w:szCs w:val="18"/>
                <w:lang w:val="en-US" w:eastAsia="sk-SK"/>
              </w:rPr>
            </w:pPr>
            <w:r w:rsidRPr="00226892">
              <w:rPr>
                <w:rFonts w:ascii="Arial" w:eastAsia="Times New Roman" w:hAnsi="Arial" w:cs="Arial"/>
                <w:i/>
                <w:iCs/>
                <w:color w:val="000000"/>
                <w:sz w:val="18"/>
                <w:szCs w:val="18"/>
                <w:lang w:val="en-US" w:eastAsia="sk-SK"/>
              </w:rPr>
              <w:t>3 429</w:t>
            </w:r>
          </w:p>
        </w:tc>
        <w:tc>
          <w:tcPr>
            <w:tcW w:w="87" w:type="pct"/>
            <w:tcBorders>
              <w:top w:val="nil"/>
              <w:left w:val="nil"/>
              <w:bottom w:val="nil"/>
              <w:right w:val="nil"/>
            </w:tcBorders>
            <w:shd w:val="clear" w:color="auto" w:fill="auto"/>
            <w:vAlign w:val="bottom"/>
          </w:tcPr>
          <w:p w14:paraId="4BA7CCA8" w14:textId="77777777" w:rsidR="00C15DC8" w:rsidRPr="00226892" w:rsidRDefault="00C15DC8" w:rsidP="00C15DC8">
            <w:pPr>
              <w:jc w:val="right"/>
              <w:rPr>
                <w:rFonts w:ascii="Arial" w:eastAsia="Times New Roman" w:hAnsi="Arial" w:cs="Arial"/>
                <w:i/>
                <w:iCs/>
                <w:color w:val="000000"/>
                <w:sz w:val="18"/>
                <w:szCs w:val="18"/>
                <w:lang w:val="sk-SK" w:eastAsia="sk-SK"/>
              </w:rPr>
            </w:pPr>
          </w:p>
        </w:tc>
        <w:tc>
          <w:tcPr>
            <w:tcW w:w="1064" w:type="pct"/>
            <w:tcBorders>
              <w:top w:val="nil"/>
              <w:left w:val="nil"/>
              <w:bottom w:val="nil"/>
              <w:right w:val="nil"/>
            </w:tcBorders>
            <w:shd w:val="clear" w:color="auto" w:fill="auto"/>
            <w:vAlign w:val="bottom"/>
          </w:tcPr>
          <w:p w14:paraId="7F6327AA" w14:textId="431C6710" w:rsidR="00C15DC8" w:rsidRPr="00226892" w:rsidRDefault="00D10DAF" w:rsidP="00C15DC8">
            <w:pPr>
              <w:jc w:val="right"/>
              <w:rPr>
                <w:rFonts w:ascii="Arial" w:eastAsia="Times New Roman" w:hAnsi="Arial" w:cs="Arial"/>
                <w:i/>
                <w:iCs/>
                <w:color w:val="000000"/>
                <w:sz w:val="18"/>
                <w:szCs w:val="18"/>
                <w:lang w:val="sk-SK" w:eastAsia="sk-SK"/>
              </w:rPr>
            </w:pPr>
            <w:r w:rsidRPr="00226892">
              <w:rPr>
                <w:rFonts w:ascii="Arial" w:eastAsia="Times New Roman" w:hAnsi="Arial" w:cs="Arial"/>
                <w:i/>
                <w:iCs/>
                <w:color w:val="000000"/>
                <w:sz w:val="18"/>
                <w:szCs w:val="18"/>
                <w:lang w:val="sk-SK" w:eastAsia="sk-SK"/>
              </w:rPr>
              <w:t>2 864</w:t>
            </w:r>
          </w:p>
        </w:tc>
      </w:tr>
      <w:tr w:rsidR="00C15DC8" w:rsidRPr="00226892" w14:paraId="164B8684" w14:textId="77777777" w:rsidTr="00756C6D">
        <w:trPr>
          <w:trHeight w:val="227"/>
        </w:trPr>
        <w:tc>
          <w:tcPr>
            <w:tcW w:w="2699" w:type="pct"/>
            <w:tcBorders>
              <w:top w:val="nil"/>
              <w:left w:val="nil"/>
              <w:bottom w:val="nil"/>
              <w:right w:val="nil"/>
            </w:tcBorders>
            <w:shd w:val="clear" w:color="auto" w:fill="auto"/>
            <w:noWrap/>
            <w:vAlign w:val="bottom"/>
            <w:hideMark/>
          </w:tcPr>
          <w:p w14:paraId="7A489A38" w14:textId="77777777" w:rsidR="00C15DC8" w:rsidRPr="00226892" w:rsidRDefault="00C15DC8" w:rsidP="00C15DC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Ostatné sociálne náklady </w:t>
            </w:r>
          </w:p>
        </w:tc>
        <w:tc>
          <w:tcPr>
            <w:tcW w:w="87" w:type="pct"/>
            <w:tcBorders>
              <w:top w:val="nil"/>
              <w:left w:val="nil"/>
              <w:bottom w:val="nil"/>
              <w:right w:val="nil"/>
            </w:tcBorders>
            <w:shd w:val="clear" w:color="auto" w:fill="auto"/>
            <w:vAlign w:val="bottom"/>
            <w:hideMark/>
          </w:tcPr>
          <w:p w14:paraId="4E514F81" w14:textId="77777777" w:rsidR="00C15DC8" w:rsidRPr="00226892" w:rsidRDefault="00C15DC8" w:rsidP="00C15DC8">
            <w:pPr>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2063D6C4" w14:textId="6C5677CD" w:rsidR="00C15DC8" w:rsidRPr="00226892" w:rsidRDefault="00C15DC8" w:rsidP="00C15D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932</w:t>
            </w:r>
          </w:p>
        </w:tc>
        <w:tc>
          <w:tcPr>
            <w:tcW w:w="87" w:type="pct"/>
            <w:tcBorders>
              <w:top w:val="nil"/>
              <w:left w:val="nil"/>
              <w:bottom w:val="nil"/>
              <w:right w:val="nil"/>
            </w:tcBorders>
            <w:shd w:val="clear" w:color="auto" w:fill="auto"/>
            <w:vAlign w:val="bottom"/>
          </w:tcPr>
          <w:p w14:paraId="3132DAF2" w14:textId="77777777" w:rsidR="00C15DC8" w:rsidRPr="00226892" w:rsidRDefault="00C15DC8" w:rsidP="00C15DC8">
            <w:pPr>
              <w:jc w:val="right"/>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0706432B" w14:textId="4C3ED93A" w:rsidR="00C15DC8" w:rsidRPr="00226892" w:rsidRDefault="00C15DC8" w:rsidP="00C15D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607</w:t>
            </w:r>
          </w:p>
        </w:tc>
      </w:tr>
      <w:tr w:rsidR="00C15DC8" w:rsidRPr="00226892" w14:paraId="0FBD319F" w14:textId="77777777" w:rsidTr="00756C6D">
        <w:trPr>
          <w:trHeight w:val="227"/>
        </w:trPr>
        <w:tc>
          <w:tcPr>
            <w:tcW w:w="2699" w:type="pct"/>
            <w:tcBorders>
              <w:top w:val="nil"/>
              <w:left w:val="nil"/>
              <w:bottom w:val="nil"/>
              <w:right w:val="nil"/>
            </w:tcBorders>
            <w:shd w:val="clear" w:color="auto" w:fill="auto"/>
            <w:noWrap/>
            <w:vAlign w:val="bottom"/>
            <w:hideMark/>
          </w:tcPr>
          <w:p w14:paraId="24FCCAB3" w14:textId="77777777" w:rsidR="00C15DC8" w:rsidRPr="00226892" w:rsidRDefault="00C15DC8" w:rsidP="00C15DC8">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Spolu</w:t>
            </w:r>
          </w:p>
        </w:tc>
        <w:tc>
          <w:tcPr>
            <w:tcW w:w="87" w:type="pct"/>
            <w:tcBorders>
              <w:top w:val="nil"/>
              <w:left w:val="nil"/>
              <w:bottom w:val="nil"/>
              <w:right w:val="nil"/>
            </w:tcBorders>
            <w:shd w:val="clear" w:color="auto" w:fill="auto"/>
            <w:vAlign w:val="bottom"/>
            <w:hideMark/>
          </w:tcPr>
          <w:p w14:paraId="10F90E32" w14:textId="77777777" w:rsidR="00C15DC8" w:rsidRPr="00226892" w:rsidRDefault="00C15DC8" w:rsidP="00C15DC8">
            <w:pPr>
              <w:rPr>
                <w:rFonts w:ascii="Arial" w:eastAsia="Times New Roman" w:hAnsi="Arial" w:cs="Arial"/>
                <w:b/>
                <w:bCs/>
                <w:color w:val="000000"/>
                <w:sz w:val="18"/>
                <w:szCs w:val="18"/>
                <w:lang w:val="sk-SK" w:eastAsia="sk-SK"/>
              </w:rPr>
            </w:pPr>
          </w:p>
        </w:tc>
        <w:tc>
          <w:tcPr>
            <w:tcW w:w="1064" w:type="pct"/>
            <w:tcBorders>
              <w:top w:val="single" w:sz="4" w:space="0" w:color="auto"/>
              <w:left w:val="nil"/>
              <w:bottom w:val="double" w:sz="6" w:space="0" w:color="auto"/>
              <w:right w:val="nil"/>
            </w:tcBorders>
            <w:shd w:val="clear" w:color="auto" w:fill="auto"/>
            <w:vAlign w:val="bottom"/>
          </w:tcPr>
          <w:p w14:paraId="3DA24D7C" w14:textId="22205353" w:rsidR="00C15DC8" w:rsidRPr="00226892" w:rsidRDefault="00C15DC8" w:rsidP="00C15DC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30 381</w:t>
            </w:r>
          </w:p>
        </w:tc>
        <w:tc>
          <w:tcPr>
            <w:tcW w:w="87" w:type="pct"/>
            <w:tcBorders>
              <w:top w:val="nil"/>
              <w:left w:val="nil"/>
              <w:bottom w:val="nil"/>
              <w:right w:val="nil"/>
            </w:tcBorders>
            <w:shd w:val="clear" w:color="auto" w:fill="auto"/>
            <w:vAlign w:val="bottom"/>
          </w:tcPr>
          <w:p w14:paraId="1683662A" w14:textId="77777777" w:rsidR="00C15DC8" w:rsidRPr="00226892" w:rsidRDefault="00C15DC8" w:rsidP="00C15DC8">
            <w:pPr>
              <w:jc w:val="right"/>
              <w:rPr>
                <w:rFonts w:ascii="Arial" w:eastAsia="Times New Roman" w:hAnsi="Arial" w:cs="Arial"/>
                <w:b/>
                <w:bCs/>
                <w:color w:val="000000"/>
                <w:sz w:val="18"/>
                <w:szCs w:val="18"/>
                <w:lang w:val="sk-SK" w:eastAsia="sk-SK"/>
              </w:rPr>
            </w:pPr>
          </w:p>
        </w:tc>
        <w:tc>
          <w:tcPr>
            <w:tcW w:w="1064" w:type="pct"/>
            <w:tcBorders>
              <w:top w:val="single" w:sz="4" w:space="0" w:color="auto"/>
              <w:left w:val="nil"/>
              <w:bottom w:val="double" w:sz="6" w:space="0" w:color="auto"/>
              <w:right w:val="nil"/>
            </w:tcBorders>
            <w:shd w:val="clear" w:color="auto" w:fill="auto"/>
            <w:vAlign w:val="bottom"/>
          </w:tcPr>
          <w:p w14:paraId="49F3241C" w14:textId="4D29550B" w:rsidR="00C15DC8" w:rsidRPr="00226892" w:rsidRDefault="00C15DC8" w:rsidP="00C15DC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25 956</w:t>
            </w:r>
          </w:p>
        </w:tc>
      </w:tr>
    </w:tbl>
    <w:p w14:paraId="20D6A596" w14:textId="105C36D9" w:rsidR="00DD63CA" w:rsidRPr="00226892" w:rsidRDefault="00DD63CA" w:rsidP="00833CC0">
      <w:pPr>
        <w:suppressAutoHyphens/>
        <w:jc w:val="both"/>
        <w:rPr>
          <w:rFonts w:ascii="Arial" w:hAnsi="Arial" w:cs="Arial"/>
          <w:b/>
          <w:color w:val="000080"/>
          <w:sz w:val="22"/>
        </w:rPr>
      </w:pPr>
      <w:r w:rsidRPr="00226892">
        <w:rPr>
          <w:rFonts w:ascii="Arial" w:hAnsi="Arial" w:cs="Arial"/>
          <w:b/>
          <w:color w:val="000080"/>
          <w:sz w:val="18"/>
          <w:szCs w:val="18"/>
        </w:rPr>
        <w:t xml:space="preserve"> </w:t>
      </w:r>
      <w:bookmarkEnd w:id="594"/>
      <w:r w:rsidRPr="00226892">
        <w:rPr>
          <w:rFonts w:ascii="Arial" w:hAnsi="Arial" w:cs="Arial"/>
          <w:b/>
          <w:color w:val="000080"/>
          <w:sz w:val="18"/>
          <w:szCs w:val="18"/>
        </w:rPr>
        <w:t xml:space="preserve"> </w:t>
      </w:r>
    </w:p>
    <w:p w14:paraId="58207A7A" w14:textId="77777777" w:rsidR="007477F3" w:rsidRPr="00226892" w:rsidRDefault="007477F3" w:rsidP="00833CC0">
      <w:pPr>
        <w:suppressAutoHyphens/>
        <w:jc w:val="both"/>
        <w:rPr>
          <w:rFonts w:ascii="Arial" w:hAnsi="Arial" w:cs="Arial"/>
          <w:b/>
          <w:color w:val="000080"/>
          <w:sz w:val="22"/>
        </w:rPr>
      </w:pPr>
    </w:p>
    <w:p w14:paraId="58EB86E8" w14:textId="45B0622F" w:rsidR="00860256" w:rsidRPr="00226892" w:rsidRDefault="00DA5E9D" w:rsidP="003578C0">
      <w:pPr>
        <w:pStyle w:val="Nadpis3"/>
        <w:keepNext w:val="0"/>
        <w:widowControl/>
        <w:numPr>
          <w:ilvl w:val="0"/>
          <w:numId w:val="34"/>
        </w:numPr>
        <w:tabs>
          <w:tab w:val="clear" w:pos="1069"/>
          <w:tab w:val="num" w:pos="392"/>
        </w:tabs>
        <w:suppressAutoHyphens/>
        <w:spacing w:after="120"/>
        <w:ind w:left="1077" w:hanging="1077"/>
        <w:jc w:val="both"/>
        <w:rPr>
          <w:rFonts w:ascii="Arial" w:hAnsi="Arial" w:cs="Arial"/>
          <w:sz w:val="20"/>
        </w:rPr>
      </w:pPr>
      <w:bookmarkStart w:id="595" w:name="_Toc325985817"/>
      <w:bookmarkStart w:id="596" w:name="_Toc387812520"/>
      <w:bookmarkStart w:id="597" w:name="_Toc27410013"/>
      <w:proofErr w:type="spellStart"/>
      <w:r w:rsidRPr="00226892">
        <w:rPr>
          <w:rFonts w:ascii="Arial" w:hAnsi="Arial" w:cs="Arial"/>
          <w:sz w:val="20"/>
        </w:rPr>
        <w:t>Podiel</w:t>
      </w:r>
      <w:proofErr w:type="spellEnd"/>
      <w:r w:rsidRPr="00226892">
        <w:rPr>
          <w:rFonts w:ascii="Arial" w:hAnsi="Arial" w:cs="Arial"/>
          <w:sz w:val="20"/>
        </w:rPr>
        <w:t xml:space="preserve"> </w:t>
      </w:r>
      <w:proofErr w:type="spellStart"/>
      <w:r w:rsidRPr="00226892">
        <w:rPr>
          <w:rFonts w:ascii="Arial" w:hAnsi="Arial" w:cs="Arial"/>
          <w:sz w:val="20"/>
        </w:rPr>
        <w:t>na</w:t>
      </w:r>
      <w:proofErr w:type="spellEnd"/>
      <w:r w:rsidRPr="00226892">
        <w:rPr>
          <w:rFonts w:ascii="Arial" w:hAnsi="Arial" w:cs="Arial"/>
          <w:sz w:val="20"/>
        </w:rPr>
        <w:t xml:space="preserve"> </w:t>
      </w:r>
      <w:proofErr w:type="spellStart"/>
      <w:r w:rsidRPr="00226892">
        <w:rPr>
          <w:rFonts w:ascii="Arial" w:hAnsi="Arial" w:cs="Arial"/>
          <w:sz w:val="20"/>
        </w:rPr>
        <w:t>zisku</w:t>
      </w:r>
      <w:proofErr w:type="spellEnd"/>
      <w:r w:rsidRPr="00226892">
        <w:rPr>
          <w:rFonts w:ascii="Arial" w:hAnsi="Arial" w:cs="Arial"/>
          <w:sz w:val="20"/>
        </w:rPr>
        <w:t xml:space="preserve"> z </w:t>
      </w:r>
      <w:proofErr w:type="spellStart"/>
      <w:r w:rsidRPr="00226892">
        <w:rPr>
          <w:rFonts w:ascii="Arial" w:hAnsi="Arial" w:cs="Arial"/>
          <w:sz w:val="20"/>
        </w:rPr>
        <w:t>pridružených</w:t>
      </w:r>
      <w:proofErr w:type="spellEnd"/>
      <w:r w:rsidRPr="00226892">
        <w:rPr>
          <w:rFonts w:ascii="Arial" w:hAnsi="Arial" w:cs="Arial"/>
          <w:sz w:val="20"/>
        </w:rPr>
        <w:t xml:space="preserve"> </w:t>
      </w:r>
      <w:proofErr w:type="spellStart"/>
      <w:r w:rsidRPr="00226892">
        <w:rPr>
          <w:rFonts w:ascii="Arial" w:hAnsi="Arial" w:cs="Arial"/>
          <w:sz w:val="20"/>
        </w:rPr>
        <w:t>spoločností</w:t>
      </w:r>
      <w:proofErr w:type="spellEnd"/>
      <w:r w:rsidRPr="00226892">
        <w:rPr>
          <w:rFonts w:ascii="Arial" w:hAnsi="Arial" w:cs="Arial"/>
          <w:sz w:val="20"/>
        </w:rPr>
        <w:t xml:space="preserve"> a </w:t>
      </w:r>
      <w:proofErr w:type="spellStart"/>
      <w:r w:rsidRPr="00226892">
        <w:rPr>
          <w:rFonts w:ascii="Arial" w:hAnsi="Arial" w:cs="Arial"/>
          <w:sz w:val="20"/>
        </w:rPr>
        <w:t>spoločných</w:t>
      </w:r>
      <w:proofErr w:type="spellEnd"/>
      <w:r w:rsidRPr="00226892">
        <w:rPr>
          <w:rFonts w:ascii="Arial" w:hAnsi="Arial" w:cs="Arial"/>
          <w:sz w:val="20"/>
        </w:rPr>
        <w:t xml:space="preserve"> </w:t>
      </w:r>
      <w:proofErr w:type="spellStart"/>
      <w:r w:rsidRPr="00226892">
        <w:rPr>
          <w:rFonts w:ascii="Arial" w:hAnsi="Arial" w:cs="Arial"/>
          <w:sz w:val="20"/>
        </w:rPr>
        <w:t>podnikov</w:t>
      </w:r>
      <w:bookmarkEnd w:id="595"/>
      <w:proofErr w:type="spellEnd"/>
      <w:r w:rsidRPr="00226892">
        <w:rPr>
          <w:rFonts w:ascii="Arial" w:hAnsi="Arial" w:cs="Arial"/>
          <w:sz w:val="20"/>
        </w:rPr>
        <w:t xml:space="preserve"> </w:t>
      </w:r>
      <w:proofErr w:type="spellStart"/>
      <w:r w:rsidRPr="00226892">
        <w:rPr>
          <w:rFonts w:ascii="Arial" w:hAnsi="Arial" w:cs="Arial"/>
          <w:sz w:val="20"/>
        </w:rPr>
        <w:t>vrátane</w:t>
      </w:r>
      <w:proofErr w:type="spellEnd"/>
      <w:r w:rsidRPr="00226892">
        <w:rPr>
          <w:rFonts w:ascii="Arial" w:hAnsi="Arial" w:cs="Arial"/>
          <w:sz w:val="20"/>
        </w:rPr>
        <w:t xml:space="preserve"> dividend</w:t>
      </w:r>
      <w:bookmarkEnd w:id="596"/>
      <w:bookmarkEnd w:id="597"/>
      <w:r w:rsidR="00FF69E1" w:rsidRPr="00226892">
        <w:rPr>
          <w:rFonts w:ascii="Arial" w:hAnsi="Arial" w:cs="Arial"/>
          <w:sz w:val="20"/>
        </w:rPr>
        <w:t xml:space="preserve"> </w:t>
      </w:r>
    </w:p>
    <w:p w14:paraId="78A63C95" w14:textId="77777777" w:rsidR="00716D1F" w:rsidRPr="00226892" w:rsidRDefault="00DD63CA" w:rsidP="00716D1F">
      <w:pPr>
        <w:suppressAutoHyphens/>
        <w:jc w:val="both"/>
        <w:rPr>
          <w:rFonts w:ascii="Arial" w:hAnsi="Arial" w:cs="Arial"/>
          <w:b/>
          <w:color w:val="000080"/>
          <w:sz w:val="18"/>
          <w:szCs w:val="18"/>
        </w:rPr>
      </w:pPr>
      <w:bookmarkStart w:id="598" w:name="FWT_ShareProfit_AssAndJointVent"/>
      <w:r w:rsidRPr="00226892">
        <w:rPr>
          <w:rFonts w:ascii="Arial" w:hAnsi="Arial" w:cs="Arial"/>
          <w:b/>
          <w:color w:val="000080"/>
          <w:sz w:val="18"/>
          <w:szCs w:val="18"/>
        </w:rPr>
        <w:t xml:space="preserve"> </w:t>
      </w:r>
    </w:p>
    <w:tbl>
      <w:tblPr>
        <w:tblW w:w="5000" w:type="pct"/>
        <w:tblCellMar>
          <w:left w:w="70" w:type="dxa"/>
          <w:right w:w="70" w:type="dxa"/>
        </w:tblCellMar>
        <w:tblLook w:val="04A0" w:firstRow="1" w:lastRow="0" w:firstColumn="1" w:lastColumn="0" w:noHBand="0" w:noVBand="1"/>
      </w:tblPr>
      <w:tblGrid>
        <w:gridCol w:w="5218"/>
        <w:gridCol w:w="175"/>
        <w:gridCol w:w="2049"/>
        <w:gridCol w:w="175"/>
        <w:gridCol w:w="2022"/>
      </w:tblGrid>
      <w:tr w:rsidR="00716D1F" w:rsidRPr="00226892" w14:paraId="2A1B7B42" w14:textId="77777777" w:rsidTr="00756C6D">
        <w:trPr>
          <w:trHeight w:val="240"/>
        </w:trPr>
        <w:tc>
          <w:tcPr>
            <w:tcW w:w="2705" w:type="pct"/>
            <w:tcBorders>
              <w:top w:val="nil"/>
              <w:left w:val="nil"/>
              <w:bottom w:val="nil"/>
              <w:right w:val="nil"/>
            </w:tcBorders>
            <w:shd w:val="clear" w:color="auto" w:fill="auto"/>
            <w:noWrap/>
            <w:vAlign w:val="bottom"/>
            <w:hideMark/>
          </w:tcPr>
          <w:p w14:paraId="1C6F19F7" w14:textId="77777777" w:rsidR="00716D1F" w:rsidRPr="00226892" w:rsidRDefault="00716D1F" w:rsidP="00716D1F">
            <w:pPr>
              <w:rPr>
                <w:rFonts w:ascii="Arial" w:eastAsia="Times New Roman" w:hAnsi="Arial" w:cs="Arial"/>
                <w:sz w:val="24"/>
                <w:szCs w:val="24"/>
                <w:lang w:val="sk-SK" w:eastAsia="sk-SK"/>
              </w:rPr>
            </w:pPr>
          </w:p>
        </w:tc>
        <w:tc>
          <w:tcPr>
            <w:tcW w:w="91" w:type="pct"/>
            <w:tcBorders>
              <w:top w:val="nil"/>
              <w:left w:val="nil"/>
              <w:bottom w:val="nil"/>
              <w:right w:val="nil"/>
            </w:tcBorders>
            <w:shd w:val="clear" w:color="auto" w:fill="auto"/>
            <w:vAlign w:val="bottom"/>
            <w:hideMark/>
          </w:tcPr>
          <w:p w14:paraId="6D43E514" w14:textId="77777777" w:rsidR="00716D1F" w:rsidRPr="00226892" w:rsidRDefault="00716D1F" w:rsidP="00716D1F">
            <w:pPr>
              <w:rPr>
                <w:rFonts w:ascii="Arial" w:eastAsia="Times New Roman" w:hAnsi="Arial" w:cs="Arial"/>
                <w:lang w:val="sk-SK" w:eastAsia="sk-SK"/>
              </w:rPr>
            </w:pPr>
          </w:p>
        </w:tc>
        <w:tc>
          <w:tcPr>
            <w:tcW w:w="1063" w:type="pct"/>
            <w:tcBorders>
              <w:top w:val="nil"/>
              <w:left w:val="nil"/>
              <w:bottom w:val="single" w:sz="4" w:space="0" w:color="auto"/>
              <w:right w:val="nil"/>
            </w:tcBorders>
            <w:shd w:val="clear" w:color="auto" w:fill="auto"/>
            <w:vAlign w:val="bottom"/>
            <w:hideMark/>
          </w:tcPr>
          <w:p w14:paraId="60B833FD" w14:textId="1AB38117" w:rsidR="00716D1F" w:rsidRPr="00226892" w:rsidRDefault="00FD3AC5" w:rsidP="00716D1F">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2018</w:t>
            </w:r>
          </w:p>
        </w:tc>
        <w:tc>
          <w:tcPr>
            <w:tcW w:w="91" w:type="pct"/>
            <w:tcBorders>
              <w:top w:val="nil"/>
              <w:left w:val="nil"/>
              <w:bottom w:val="nil"/>
              <w:right w:val="nil"/>
            </w:tcBorders>
            <w:shd w:val="clear" w:color="auto" w:fill="auto"/>
            <w:vAlign w:val="bottom"/>
            <w:hideMark/>
          </w:tcPr>
          <w:p w14:paraId="15AF5757" w14:textId="77777777" w:rsidR="00716D1F" w:rsidRPr="00226892" w:rsidRDefault="00716D1F" w:rsidP="00716D1F">
            <w:pPr>
              <w:jc w:val="center"/>
              <w:rPr>
                <w:rFonts w:ascii="Arial" w:eastAsia="Times New Roman" w:hAnsi="Arial" w:cs="Arial"/>
                <w:b/>
                <w:bCs/>
                <w:color w:val="000000"/>
                <w:sz w:val="18"/>
                <w:szCs w:val="18"/>
                <w:lang w:val="sk-SK" w:eastAsia="sk-SK"/>
              </w:rPr>
            </w:pPr>
          </w:p>
        </w:tc>
        <w:tc>
          <w:tcPr>
            <w:tcW w:w="1049" w:type="pct"/>
            <w:tcBorders>
              <w:top w:val="nil"/>
              <w:left w:val="nil"/>
              <w:bottom w:val="single" w:sz="4" w:space="0" w:color="auto"/>
              <w:right w:val="nil"/>
            </w:tcBorders>
            <w:shd w:val="clear" w:color="auto" w:fill="auto"/>
            <w:vAlign w:val="bottom"/>
            <w:hideMark/>
          </w:tcPr>
          <w:p w14:paraId="02B663B3" w14:textId="736C04ED" w:rsidR="00716D1F" w:rsidRPr="00226892" w:rsidRDefault="00F63A77" w:rsidP="00716D1F">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2017</w:t>
            </w:r>
          </w:p>
        </w:tc>
      </w:tr>
      <w:tr w:rsidR="00C15DC8" w:rsidRPr="00226892" w14:paraId="19D2E5CA" w14:textId="77777777" w:rsidTr="00756C6D">
        <w:trPr>
          <w:trHeight w:val="240"/>
        </w:trPr>
        <w:tc>
          <w:tcPr>
            <w:tcW w:w="2705" w:type="pct"/>
            <w:tcBorders>
              <w:top w:val="nil"/>
              <w:left w:val="nil"/>
              <w:bottom w:val="nil"/>
              <w:right w:val="nil"/>
            </w:tcBorders>
            <w:shd w:val="clear" w:color="auto" w:fill="auto"/>
            <w:noWrap/>
            <w:vAlign w:val="bottom"/>
            <w:hideMark/>
          </w:tcPr>
          <w:p w14:paraId="7B54536A" w14:textId="77777777" w:rsidR="00C15DC8" w:rsidRPr="00226892" w:rsidRDefault="00C15DC8" w:rsidP="00C15DC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KARSIT - MATADOR </w:t>
            </w:r>
            <w:proofErr w:type="spellStart"/>
            <w:r w:rsidRPr="00226892">
              <w:rPr>
                <w:rFonts w:ascii="Arial" w:eastAsia="Times New Roman" w:hAnsi="Arial" w:cs="Arial"/>
                <w:color w:val="000000"/>
                <w:sz w:val="18"/>
                <w:szCs w:val="18"/>
                <w:lang w:val="sk-SK" w:eastAsia="sk-SK"/>
              </w:rPr>
              <w:t>s.r.o</w:t>
            </w:r>
            <w:proofErr w:type="spellEnd"/>
            <w:r w:rsidRPr="00226892">
              <w:rPr>
                <w:rFonts w:ascii="Arial" w:eastAsia="Times New Roman" w:hAnsi="Arial" w:cs="Arial"/>
                <w:color w:val="000000"/>
                <w:sz w:val="18"/>
                <w:szCs w:val="18"/>
                <w:lang w:val="sk-SK" w:eastAsia="sk-SK"/>
              </w:rPr>
              <w:t>.</w:t>
            </w:r>
          </w:p>
        </w:tc>
        <w:tc>
          <w:tcPr>
            <w:tcW w:w="91" w:type="pct"/>
            <w:tcBorders>
              <w:top w:val="nil"/>
              <w:left w:val="nil"/>
              <w:bottom w:val="nil"/>
              <w:right w:val="nil"/>
            </w:tcBorders>
            <w:shd w:val="clear" w:color="auto" w:fill="auto"/>
            <w:vAlign w:val="bottom"/>
            <w:hideMark/>
          </w:tcPr>
          <w:p w14:paraId="6D110271" w14:textId="77777777" w:rsidR="00C15DC8" w:rsidRPr="00226892" w:rsidRDefault="00C15DC8" w:rsidP="00C15DC8">
            <w:pPr>
              <w:rPr>
                <w:rFonts w:ascii="Arial" w:eastAsia="Times New Roman" w:hAnsi="Arial" w:cs="Arial"/>
                <w:color w:val="000000"/>
                <w:sz w:val="18"/>
                <w:szCs w:val="18"/>
                <w:lang w:val="sk-SK" w:eastAsia="sk-SK"/>
              </w:rPr>
            </w:pPr>
          </w:p>
        </w:tc>
        <w:tc>
          <w:tcPr>
            <w:tcW w:w="1063" w:type="pct"/>
            <w:tcBorders>
              <w:top w:val="nil"/>
              <w:left w:val="nil"/>
              <w:bottom w:val="nil"/>
              <w:right w:val="nil"/>
            </w:tcBorders>
            <w:shd w:val="clear" w:color="auto" w:fill="auto"/>
            <w:vAlign w:val="bottom"/>
          </w:tcPr>
          <w:p w14:paraId="4097897C" w14:textId="1205F36F" w:rsidR="00C15DC8" w:rsidRPr="00226892" w:rsidRDefault="00C15DC8" w:rsidP="00C15D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1" w:type="pct"/>
            <w:tcBorders>
              <w:top w:val="nil"/>
              <w:left w:val="nil"/>
              <w:bottom w:val="nil"/>
              <w:right w:val="nil"/>
            </w:tcBorders>
            <w:shd w:val="clear" w:color="auto" w:fill="auto"/>
            <w:vAlign w:val="bottom"/>
          </w:tcPr>
          <w:p w14:paraId="10822B33" w14:textId="77777777" w:rsidR="00C15DC8" w:rsidRPr="00226892" w:rsidRDefault="00C15DC8" w:rsidP="00C15DC8">
            <w:pPr>
              <w:jc w:val="right"/>
              <w:rPr>
                <w:rFonts w:ascii="Arial" w:eastAsia="Times New Roman" w:hAnsi="Arial" w:cs="Arial"/>
                <w:color w:val="000000"/>
                <w:sz w:val="18"/>
                <w:szCs w:val="18"/>
                <w:lang w:val="sk-SK" w:eastAsia="sk-SK"/>
              </w:rPr>
            </w:pPr>
          </w:p>
        </w:tc>
        <w:tc>
          <w:tcPr>
            <w:tcW w:w="1049" w:type="pct"/>
            <w:tcBorders>
              <w:top w:val="nil"/>
              <w:left w:val="nil"/>
              <w:bottom w:val="nil"/>
              <w:right w:val="nil"/>
            </w:tcBorders>
            <w:shd w:val="clear" w:color="auto" w:fill="auto"/>
            <w:vAlign w:val="bottom"/>
          </w:tcPr>
          <w:p w14:paraId="6CBFEC23" w14:textId="09589C34" w:rsidR="00C15DC8" w:rsidRPr="00226892" w:rsidRDefault="00C15DC8" w:rsidP="00C15D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6</w:t>
            </w:r>
          </w:p>
        </w:tc>
      </w:tr>
      <w:tr w:rsidR="00C15DC8" w:rsidRPr="00226892" w14:paraId="70EE108B" w14:textId="77777777" w:rsidTr="00756C6D">
        <w:trPr>
          <w:trHeight w:val="240"/>
        </w:trPr>
        <w:tc>
          <w:tcPr>
            <w:tcW w:w="2705" w:type="pct"/>
            <w:tcBorders>
              <w:top w:val="nil"/>
              <w:left w:val="nil"/>
              <w:bottom w:val="nil"/>
              <w:right w:val="nil"/>
            </w:tcBorders>
            <w:shd w:val="clear" w:color="auto" w:fill="auto"/>
            <w:noWrap/>
            <w:vAlign w:val="bottom"/>
            <w:hideMark/>
          </w:tcPr>
          <w:p w14:paraId="4AC63F96" w14:textId="77777777" w:rsidR="00C15DC8" w:rsidRPr="00226892" w:rsidRDefault="00C15DC8" w:rsidP="00C15DC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DELMA </w:t>
            </w:r>
            <w:proofErr w:type="spellStart"/>
            <w:r w:rsidRPr="00226892">
              <w:rPr>
                <w:rFonts w:ascii="Arial" w:eastAsia="Times New Roman" w:hAnsi="Arial" w:cs="Arial"/>
                <w:color w:val="000000"/>
                <w:sz w:val="18"/>
                <w:szCs w:val="18"/>
                <w:lang w:val="sk-SK" w:eastAsia="sk-SK"/>
              </w:rPr>
              <w:t>s.r.o</w:t>
            </w:r>
            <w:proofErr w:type="spellEnd"/>
            <w:r w:rsidRPr="00226892">
              <w:rPr>
                <w:rFonts w:ascii="Arial" w:eastAsia="Times New Roman" w:hAnsi="Arial" w:cs="Arial"/>
                <w:color w:val="000000"/>
                <w:sz w:val="18"/>
                <w:szCs w:val="18"/>
                <w:lang w:val="sk-SK" w:eastAsia="sk-SK"/>
              </w:rPr>
              <w:t>.</w:t>
            </w:r>
          </w:p>
        </w:tc>
        <w:tc>
          <w:tcPr>
            <w:tcW w:w="91" w:type="pct"/>
            <w:tcBorders>
              <w:top w:val="nil"/>
              <w:left w:val="nil"/>
              <w:bottom w:val="nil"/>
              <w:right w:val="nil"/>
            </w:tcBorders>
            <w:shd w:val="clear" w:color="auto" w:fill="auto"/>
            <w:vAlign w:val="bottom"/>
            <w:hideMark/>
          </w:tcPr>
          <w:p w14:paraId="32824917" w14:textId="77777777" w:rsidR="00C15DC8" w:rsidRPr="00226892" w:rsidRDefault="00C15DC8" w:rsidP="00C15DC8">
            <w:pPr>
              <w:rPr>
                <w:rFonts w:ascii="Arial" w:eastAsia="Times New Roman" w:hAnsi="Arial" w:cs="Arial"/>
                <w:color w:val="000000"/>
                <w:sz w:val="18"/>
                <w:szCs w:val="18"/>
                <w:lang w:val="sk-SK" w:eastAsia="sk-SK"/>
              </w:rPr>
            </w:pPr>
          </w:p>
        </w:tc>
        <w:tc>
          <w:tcPr>
            <w:tcW w:w="1063" w:type="pct"/>
            <w:tcBorders>
              <w:top w:val="nil"/>
              <w:left w:val="nil"/>
              <w:bottom w:val="nil"/>
              <w:right w:val="nil"/>
            </w:tcBorders>
            <w:shd w:val="clear" w:color="auto" w:fill="auto"/>
            <w:vAlign w:val="bottom"/>
          </w:tcPr>
          <w:p w14:paraId="4B3ACAE6" w14:textId="276D372E" w:rsidR="00C15DC8" w:rsidRPr="00226892" w:rsidRDefault="00C15DC8" w:rsidP="00C15D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1" w:type="pct"/>
            <w:tcBorders>
              <w:top w:val="nil"/>
              <w:left w:val="nil"/>
              <w:bottom w:val="nil"/>
              <w:right w:val="nil"/>
            </w:tcBorders>
            <w:shd w:val="clear" w:color="auto" w:fill="auto"/>
            <w:vAlign w:val="bottom"/>
          </w:tcPr>
          <w:p w14:paraId="2986C7B3" w14:textId="77777777" w:rsidR="00C15DC8" w:rsidRPr="00226892" w:rsidRDefault="00C15DC8" w:rsidP="00C15DC8">
            <w:pPr>
              <w:jc w:val="right"/>
              <w:rPr>
                <w:rFonts w:ascii="Arial" w:eastAsia="Times New Roman" w:hAnsi="Arial" w:cs="Arial"/>
                <w:color w:val="000000"/>
                <w:sz w:val="18"/>
                <w:szCs w:val="18"/>
                <w:lang w:val="sk-SK" w:eastAsia="sk-SK"/>
              </w:rPr>
            </w:pPr>
          </w:p>
        </w:tc>
        <w:tc>
          <w:tcPr>
            <w:tcW w:w="1049" w:type="pct"/>
            <w:tcBorders>
              <w:top w:val="nil"/>
              <w:left w:val="nil"/>
              <w:bottom w:val="nil"/>
              <w:right w:val="nil"/>
            </w:tcBorders>
            <w:shd w:val="clear" w:color="auto" w:fill="auto"/>
            <w:vAlign w:val="bottom"/>
          </w:tcPr>
          <w:p w14:paraId="32A7F851" w14:textId="23EAB3B5" w:rsidR="00C15DC8" w:rsidRPr="00226892" w:rsidRDefault="00C15DC8" w:rsidP="00C15D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w:t>
            </w:r>
          </w:p>
        </w:tc>
      </w:tr>
      <w:tr w:rsidR="00C15DC8" w:rsidRPr="00226892" w14:paraId="5DD1CBB5" w14:textId="77777777" w:rsidTr="00756C6D">
        <w:trPr>
          <w:trHeight w:val="240"/>
        </w:trPr>
        <w:tc>
          <w:tcPr>
            <w:tcW w:w="2705" w:type="pct"/>
            <w:tcBorders>
              <w:top w:val="nil"/>
              <w:left w:val="nil"/>
              <w:bottom w:val="nil"/>
              <w:right w:val="nil"/>
            </w:tcBorders>
            <w:shd w:val="clear" w:color="auto" w:fill="auto"/>
            <w:noWrap/>
            <w:vAlign w:val="bottom"/>
            <w:hideMark/>
          </w:tcPr>
          <w:p w14:paraId="1674A217" w14:textId="258AB160" w:rsidR="00C15DC8" w:rsidRPr="00226892" w:rsidRDefault="00C15DC8" w:rsidP="00C15DC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DV, </w:t>
            </w:r>
            <w:proofErr w:type="spellStart"/>
            <w:r w:rsidRPr="00226892">
              <w:rPr>
                <w:rFonts w:ascii="Arial" w:eastAsia="Times New Roman" w:hAnsi="Arial" w:cs="Arial"/>
                <w:color w:val="000000"/>
                <w:sz w:val="18"/>
                <w:szCs w:val="18"/>
                <w:lang w:val="sk-SK" w:eastAsia="sk-SK"/>
              </w:rPr>
              <w:t>s.r.o</w:t>
            </w:r>
            <w:proofErr w:type="spellEnd"/>
          </w:p>
        </w:tc>
        <w:tc>
          <w:tcPr>
            <w:tcW w:w="91" w:type="pct"/>
            <w:tcBorders>
              <w:top w:val="nil"/>
              <w:left w:val="nil"/>
              <w:bottom w:val="nil"/>
              <w:right w:val="nil"/>
            </w:tcBorders>
            <w:shd w:val="clear" w:color="auto" w:fill="auto"/>
            <w:vAlign w:val="bottom"/>
            <w:hideMark/>
          </w:tcPr>
          <w:p w14:paraId="137B19D6" w14:textId="77777777" w:rsidR="00C15DC8" w:rsidRPr="00226892" w:rsidRDefault="00C15DC8" w:rsidP="00C15DC8">
            <w:pPr>
              <w:rPr>
                <w:rFonts w:ascii="Arial" w:eastAsia="Times New Roman" w:hAnsi="Arial" w:cs="Arial"/>
                <w:color w:val="000000"/>
                <w:sz w:val="18"/>
                <w:szCs w:val="18"/>
                <w:lang w:val="sk-SK" w:eastAsia="sk-SK"/>
              </w:rPr>
            </w:pPr>
          </w:p>
        </w:tc>
        <w:tc>
          <w:tcPr>
            <w:tcW w:w="1063" w:type="pct"/>
            <w:tcBorders>
              <w:top w:val="nil"/>
              <w:left w:val="nil"/>
              <w:bottom w:val="nil"/>
              <w:right w:val="nil"/>
            </w:tcBorders>
            <w:shd w:val="clear" w:color="auto" w:fill="auto"/>
            <w:vAlign w:val="bottom"/>
          </w:tcPr>
          <w:p w14:paraId="749AD32C" w14:textId="6BDC121B" w:rsidR="00C15DC8" w:rsidRPr="00226892" w:rsidRDefault="00C15DC8" w:rsidP="00C15D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28</w:t>
            </w:r>
          </w:p>
        </w:tc>
        <w:tc>
          <w:tcPr>
            <w:tcW w:w="91" w:type="pct"/>
            <w:tcBorders>
              <w:top w:val="nil"/>
              <w:left w:val="nil"/>
              <w:bottom w:val="nil"/>
              <w:right w:val="nil"/>
            </w:tcBorders>
            <w:shd w:val="clear" w:color="auto" w:fill="auto"/>
            <w:vAlign w:val="bottom"/>
          </w:tcPr>
          <w:p w14:paraId="72A4342B" w14:textId="77777777" w:rsidR="00C15DC8" w:rsidRPr="00226892" w:rsidRDefault="00C15DC8" w:rsidP="00C15DC8">
            <w:pPr>
              <w:jc w:val="right"/>
              <w:rPr>
                <w:rFonts w:ascii="Arial" w:eastAsia="Times New Roman" w:hAnsi="Arial" w:cs="Arial"/>
                <w:color w:val="000000"/>
                <w:sz w:val="18"/>
                <w:szCs w:val="18"/>
                <w:lang w:val="sk-SK" w:eastAsia="sk-SK"/>
              </w:rPr>
            </w:pPr>
          </w:p>
        </w:tc>
        <w:tc>
          <w:tcPr>
            <w:tcW w:w="1049" w:type="pct"/>
            <w:tcBorders>
              <w:top w:val="nil"/>
              <w:left w:val="nil"/>
              <w:bottom w:val="nil"/>
              <w:right w:val="nil"/>
            </w:tcBorders>
            <w:shd w:val="clear" w:color="auto" w:fill="auto"/>
            <w:vAlign w:val="bottom"/>
          </w:tcPr>
          <w:p w14:paraId="2072591F" w14:textId="74AF939C" w:rsidR="00C15DC8" w:rsidRPr="00226892" w:rsidRDefault="00C15DC8" w:rsidP="00C15DC8">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23</w:t>
            </w:r>
          </w:p>
        </w:tc>
      </w:tr>
      <w:tr w:rsidR="00C15DC8" w:rsidRPr="00226892" w14:paraId="6213CD7C" w14:textId="77777777" w:rsidTr="00756C6D">
        <w:trPr>
          <w:trHeight w:val="480"/>
        </w:trPr>
        <w:tc>
          <w:tcPr>
            <w:tcW w:w="2705" w:type="pct"/>
            <w:tcBorders>
              <w:top w:val="nil"/>
              <w:left w:val="nil"/>
              <w:bottom w:val="nil"/>
              <w:right w:val="nil"/>
            </w:tcBorders>
            <w:shd w:val="clear" w:color="auto" w:fill="auto"/>
            <w:vAlign w:val="bottom"/>
            <w:hideMark/>
          </w:tcPr>
          <w:p w14:paraId="5480C99A" w14:textId="47E42FAC" w:rsidR="00C15DC8" w:rsidRPr="00226892" w:rsidRDefault="00C15DC8" w:rsidP="00C15DC8">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Spolu zisk z pridružených spoločností a spoločných podnikov (Pozn. 8)</w:t>
            </w:r>
          </w:p>
        </w:tc>
        <w:tc>
          <w:tcPr>
            <w:tcW w:w="91" w:type="pct"/>
            <w:tcBorders>
              <w:top w:val="nil"/>
              <w:left w:val="nil"/>
              <w:bottom w:val="nil"/>
              <w:right w:val="nil"/>
            </w:tcBorders>
            <w:shd w:val="clear" w:color="auto" w:fill="auto"/>
            <w:vAlign w:val="bottom"/>
            <w:hideMark/>
          </w:tcPr>
          <w:p w14:paraId="6BC2F388" w14:textId="77777777" w:rsidR="00C15DC8" w:rsidRPr="00226892" w:rsidRDefault="00C15DC8" w:rsidP="00C15DC8">
            <w:pPr>
              <w:rPr>
                <w:rFonts w:ascii="Arial" w:eastAsia="Times New Roman" w:hAnsi="Arial" w:cs="Arial"/>
                <w:b/>
                <w:bCs/>
                <w:color w:val="000000"/>
                <w:sz w:val="18"/>
                <w:szCs w:val="18"/>
                <w:lang w:val="sk-SK" w:eastAsia="sk-SK"/>
              </w:rPr>
            </w:pPr>
          </w:p>
        </w:tc>
        <w:tc>
          <w:tcPr>
            <w:tcW w:w="1063" w:type="pct"/>
            <w:tcBorders>
              <w:top w:val="single" w:sz="4" w:space="0" w:color="auto"/>
              <w:left w:val="nil"/>
              <w:bottom w:val="double" w:sz="6" w:space="0" w:color="auto"/>
              <w:right w:val="nil"/>
            </w:tcBorders>
            <w:shd w:val="clear" w:color="auto" w:fill="auto"/>
            <w:vAlign w:val="bottom"/>
          </w:tcPr>
          <w:p w14:paraId="31059966" w14:textId="1805C4EF" w:rsidR="00C15DC8" w:rsidRPr="00226892" w:rsidRDefault="00C15DC8" w:rsidP="00C15DC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28</w:t>
            </w:r>
          </w:p>
        </w:tc>
        <w:tc>
          <w:tcPr>
            <w:tcW w:w="91" w:type="pct"/>
            <w:tcBorders>
              <w:top w:val="nil"/>
              <w:left w:val="nil"/>
              <w:bottom w:val="nil"/>
              <w:right w:val="nil"/>
            </w:tcBorders>
            <w:shd w:val="clear" w:color="auto" w:fill="auto"/>
            <w:vAlign w:val="bottom"/>
          </w:tcPr>
          <w:p w14:paraId="3EDAB499" w14:textId="77777777" w:rsidR="00C15DC8" w:rsidRPr="00226892" w:rsidRDefault="00C15DC8" w:rsidP="00C15DC8">
            <w:pPr>
              <w:jc w:val="right"/>
              <w:rPr>
                <w:rFonts w:ascii="Arial" w:eastAsia="Times New Roman" w:hAnsi="Arial" w:cs="Arial"/>
                <w:b/>
                <w:bCs/>
                <w:color w:val="000000"/>
                <w:sz w:val="18"/>
                <w:szCs w:val="18"/>
                <w:lang w:val="sk-SK" w:eastAsia="sk-SK"/>
              </w:rPr>
            </w:pPr>
          </w:p>
        </w:tc>
        <w:tc>
          <w:tcPr>
            <w:tcW w:w="1049" w:type="pct"/>
            <w:tcBorders>
              <w:top w:val="single" w:sz="4" w:space="0" w:color="auto"/>
              <w:left w:val="nil"/>
              <w:bottom w:val="double" w:sz="6" w:space="0" w:color="auto"/>
              <w:right w:val="nil"/>
            </w:tcBorders>
            <w:shd w:val="clear" w:color="auto" w:fill="auto"/>
            <w:vAlign w:val="bottom"/>
          </w:tcPr>
          <w:p w14:paraId="674F238D" w14:textId="6B94A8AA" w:rsidR="00C15DC8" w:rsidRPr="00226892" w:rsidRDefault="00C15DC8" w:rsidP="00C15DC8">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w:t>
            </w:r>
            <w:r w:rsidR="00D10DAF" w:rsidRPr="00226892">
              <w:rPr>
                <w:rFonts w:ascii="Arial" w:eastAsia="Times New Roman" w:hAnsi="Arial" w:cs="Arial"/>
                <w:b/>
                <w:bCs/>
                <w:color w:val="000000"/>
                <w:sz w:val="18"/>
                <w:szCs w:val="18"/>
                <w:lang w:val="sk-SK" w:eastAsia="sk-SK"/>
              </w:rPr>
              <w:t>1</w:t>
            </w:r>
          </w:p>
        </w:tc>
      </w:tr>
    </w:tbl>
    <w:p w14:paraId="7482002B" w14:textId="14844B76" w:rsidR="007477F3" w:rsidRPr="00226892" w:rsidRDefault="00DD63CA" w:rsidP="00716D1F">
      <w:pPr>
        <w:suppressAutoHyphens/>
        <w:jc w:val="both"/>
        <w:rPr>
          <w:rFonts w:ascii="Arial" w:hAnsi="Arial" w:cs="Arial"/>
          <w:b/>
          <w:color w:val="000080"/>
          <w:szCs w:val="18"/>
        </w:rPr>
      </w:pPr>
      <w:r w:rsidRPr="00226892">
        <w:rPr>
          <w:rFonts w:ascii="Arial" w:hAnsi="Arial" w:cs="Arial"/>
          <w:b/>
          <w:color w:val="000080"/>
          <w:sz w:val="18"/>
          <w:szCs w:val="18"/>
        </w:rPr>
        <w:t xml:space="preserve"> </w:t>
      </w:r>
      <w:bookmarkEnd w:id="598"/>
      <w:r w:rsidRPr="00226892">
        <w:rPr>
          <w:rFonts w:ascii="Arial" w:hAnsi="Arial" w:cs="Arial"/>
          <w:b/>
          <w:color w:val="000080"/>
          <w:sz w:val="18"/>
          <w:szCs w:val="18"/>
        </w:rPr>
        <w:t xml:space="preserve"> </w:t>
      </w:r>
    </w:p>
    <w:p w14:paraId="1667FA06" w14:textId="77777777" w:rsidR="007477F3" w:rsidRPr="00226892" w:rsidRDefault="007477F3" w:rsidP="00716D1F">
      <w:pPr>
        <w:suppressAutoHyphens/>
        <w:jc w:val="both"/>
        <w:rPr>
          <w:rFonts w:ascii="Arial" w:hAnsi="Arial" w:cs="Arial"/>
          <w:b/>
          <w:color w:val="000080"/>
          <w:szCs w:val="18"/>
        </w:rPr>
      </w:pPr>
    </w:p>
    <w:p w14:paraId="42812BA2" w14:textId="77777777" w:rsidR="008F683A" w:rsidRPr="00226892" w:rsidRDefault="003677F5" w:rsidP="003578C0">
      <w:pPr>
        <w:pStyle w:val="Nadpis3"/>
        <w:keepNext w:val="0"/>
        <w:widowControl/>
        <w:numPr>
          <w:ilvl w:val="0"/>
          <w:numId w:val="34"/>
        </w:numPr>
        <w:tabs>
          <w:tab w:val="clear" w:pos="1069"/>
          <w:tab w:val="num" w:pos="392"/>
        </w:tabs>
        <w:suppressAutoHyphens/>
        <w:spacing w:after="120"/>
        <w:ind w:left="1077" w:hanging="1077"/>
        <w:jc w:val="both"/>
        <w:rPr>
          <w:rFonts w:ascii="Arial" w:hAnsi="Arial" w:cs="Arial"/>
          <w:sz w:val="20"/>
        </w:rPr>
      </w:pPr>
      <w:bookmarkStart w:id="599" w:name="_Toc135379414"/>
      <w:bookmarkStart w:id="600" w:name="_Toc325985818"/>
      <w:bookmarkStart w:id="601" w:name="_Toc387812521"/>
      <w:bookmarkStart w:id="602" w:name="_Toc27410014"/>
      <w:proofErr w:type="spellStart"/>
      <w:r w:rsidRPr="00226892">
        <w:rPr>
          <w:rFonts w:ascii="Arial" w:hAnsi="Arial" w:cs="Arial"/>
          <w:sz w:val="20"/>
        </w:rPr>
        <w:t>Finančné</w:t>
      </w:r>
      <w:proofErr w:type="spellEnd"/>
      <w:r w:rsidRPr="00226892">
        <w:rPr>
          <w:rFonts w:ascii="Arial" w:hAnsi="Arial" w:cs="Arial"/>
          <w:sz w:val="20"/>
        </w:rPr>
        <w:t xml:space="preserve"> </w:t>
      </w:r>
      <w:proofErr w:type="spellStart"/>
      <w:r w:rsidRPr="00226892">
        <w:rPr>
          <w:rFonts w:ascii="Arial" w:hAnsi="Arial" w:cs="Arial"/>
          <w:sz w:val="20"/>
        </w:rPr>
        <w:t>náklady</w:t>
      </w:r>
      <w:proofErr w:type="spellEnd"/>
      <w:r w:rsidRPr="00226892">
        <w:rPr>
          <w:rFonts w:ascii="Arial" w:hAnsi="Arial" w:cs="Arial"/>
          <w:sz w:val="20"/>
        </w:rPr>
        <w:t xml:space="preserve"> </w:t>
      </w:r>
      <w:proofErr w:type="gramStart"/>
      <w:r w:rsidRPr="00226892">
        <w:rPr>
          <w:rFonts w:ascii="Arial" w:hAnsi="Arial" w:cs="Arial"/>
          <w:sz w:val="20"/>
        </w:rPr>
        <w:t>/(</w:t>
      </w:r>
      <w:proofErr w:type="gramEnd"/>
      <w:r w:rsidRPr="00226892">
        <w:rPr>
          <w:rFonts w:ascii="Arial" w:hAnsi="Arial" w:cs="Arial"/>
          <w:sz w:val="20"/>
        </w:rPr>
        <w:t xml:space="preserve">-) </w:t>
      </w:r>
      <w:proofErr w:type="spellStart"/>
      <w:r w:rsidRPr="00226892">
        <w:rPr>
          <w:rFonts w:ascii="Arial" w:hAnsi="Arial" w:cs="Arial"/>
          <w:sz w:val="20"/>
        </w:rPr>
        <w:t>výnosy</w:t>
      </w:r>
      <w:bookmarkEnd w:id="599"/>
      <w:proofErr w:type="spellEnd"/>
      <w:r w:rsidRPr="00226892">
        <w:rPr>
          <w:rFonts w:ascii="Arial" w:hAnsi="Arial" w:cs="Arial"/>
          <w:sz w:val="20"/>
        </w:rPr>
        <w:t xml:space="preserve"> – </w:t>
      </w:r>
      <w:proofErr w:type="spellStart"/>
      <w:r w:rsidRPr="00226892">
        <w:rPr>
          <w:rFonts w:ascii="Arial" w:hAnsi="Arial" w:cs="Arial"/>
          <w:sz w:val="20"/>
        </w:rPr>
        <w:t>netto</w:t>
      </w:r>
      <w:bookmarkEnd w:id="600"/>
      <w:bookmarkEnd w:id="601"/>
      <w:bookmarkEnd w:id="602"/>
      <w:proofErr w:type="spellEnd"/>
    </w:p>
    <w:p w14:paraId="01504EB6" w14:textId="77777777" w:rsidR="00B35E10" w:rsidRPr="00226892" w:rsidRDefault="00B35E10" w:rsidP="0037559B">
      <w:pPr>
        <w:rPr>
          <w:rFonts w:ascii="Arial" w:hAnsi="Arial" w:cs="Arial"/>
        </w:rPr>
      </w:pPr>
    </w:p>
    <w:tbl>
      <w:tblPr>
        <w:tblW w:w="5000" w:type="pct"/>
        <w:tblCellMar>
          <w:left w:w="70" w:type="dxa"/>
          <w:right w:w="70" w:type="dxa"/>
        </w:tblCellMar>
        <w:tblLook w:val="04A0" w:firstRow="1" w:lastRow="0" w:firstColumn="1" w:lastColumn="0" w:noHBand="0" w:noVBand="1"/>
      </w:tblPr>
      <w:tblGrid>
        <w:gridCol w:w="5221"/>
        <w:gridCol w:w="200"/>
        <w:gridCol w:w="2009"/>
        <w:gridCol w:w="200"/>
        <w:gridCol w:w="2009"/>
      </w:tblGrid>
      <w:tr w:rsidR="00B35E10" w:rsidRPr="00226892" w14:paraId="4C5F0B32" w14:textId="77777777" w:rsidTr="00756C6D">
        <w:trPr>
          <w:trHeight w:val="240"/>
        </w:trPr>
        <w:tc>
          <w:tcPr>
            <w:tcW w:w="2708" w:type="pct"/>
            <w:tcBorders>
              <w:top w:val="nil"/>
              <w:left w:val="nil"/>
              <w:bottom w:val="single" w:sz="4" w:space="0" w:color="auto"/>
              <w:right w:val="nil"/>
            </w:tcBorders>
            <w:shd w:val="clear" w:color="auto" w:fill="auto"/>
            <w:noWrap/>
            <w:vAlign w:val="bottom"/>
            <w:hideMark/>
          </w:tcPr>
          <w:p w14:paraId="6C6A5E92" w14:textId="77777777" w:rsidR="00B35E10" w:rsidRPr="00226892" w:rsidRDefault="00B35E10" w:rsidP="00450F49">
            <w:pPr>
              <w:rPr>
                <w:rFonts w:ascii="Arial" w:hAnsi="Arial" w:cs="Arial"/>
                <w:color w:val="000000"/>
                <w:sz w:val="18"/>
                <w:szCs w:val="18"/>
                <w:lang w:val="sk-SK" w:eastAsia="sk-SK"/>
              </w:rPr>
            </w:pPr>
            <w:bookmarkStart w:id="603" w:name="RANGE!C4:G19"/>
            <w:r w:rsidRPr="00226892">
              <w:rPr>
                <w:rFonts w:ascii="Arial" w:hAnsi="Arial" w:cs="Arial"/>
                <w:color w:val="000000"/>
                <w:sz w:val="18"/>
                <w:szCs w:val="18"/>
              </w:rPr>
              <w:t> </w:t>
            </w:r>
            <w:bookmarkEnd w:id="603"/>
          </w:p>
        </w:tc>
        <w:tc>
          <w:tcPr>
            <w:tcW w:w="104" w:type="pct"/>
            <w:tcBorders>
              <w:top w:val="nil"/>
              <w:left w:val="nil"/>
              <w:bottom w:val="single" w:sz="4" w:space="0" w:color="auto"/>
              <w:right w:val="nil"/>
            </w:tcBorders>
            <w:shd w:val="clear" w:color="auto" w:fill="auto"/>
            <w:vAlign w:val="bottom"/>
            <w:hideMark/>
          </w:tcPr>
          <w:p w14:paraId="47BAE974" w14:textId="77777777" w:rsidR="00B35E10" w:rsidRPr="00226892" w:rsidRDefault="00B35E10" w:rsidP="00450F49">
            <w:pPr>
              <w:rPr>
                <w:rFonts w:ascii="Arial" w:hAnsi="Arial" w:cs="Arial"/>
                <w:color w:val="000000"/>
                <w:sz w:val="18"/>
                <w:szCs w:val="18"/>
              </w:rPr>
            </w:pPr>
            <w:r w:rsidRPr="00226892">
              <w:rPr>
                <w:rFonts w:ascii="Arial" w:hAnsi="Arial" w:cs="Arial"/>
                <w:color w:val="000000"/>
                <w:sz w:val="18"/>
                <w:szCs w:val="18"/>
              </w:rPr>
              <w:t> </w:t>
            </w:r>
          </w:p>
        </w:tc>
        <w:tc>
          <w:tcPr>
            <w:tcW w:w="1042" w:type="pct"/>
            <w:tcBorders>
              <w:top w:val="nil"/>
              <w:left w:val="nil"/>
              <w:bottom w:val="single" w:sz="4" w:space="0" w:color="auto"/>
              <w:right w:val="nil"/>
            </w:tcBorders>
            <w:shd w:val="clear" w:color="auto" w:fill="auto"/>
            <w:vAlign w:val="bottom"/>
            <w:hideMark/>
          </w:tcPr>
          <w:p w14:paraId="689AF3B6" w14:textId="0C42D45A" w:rsidR="00B35E10" w:rsidRPr="00226892" w:rsidRDefault="00FD3AC5" w:rsidP="00450F49">
            <w:pPr>
              <w:jc w:val="center"/>
              <w:rPr>
                <w:rFonts w:ascii="Arial" w:hAnsi="Arial" w:cs="Arial"/>
                <w:b/>
                <w:bCs/>
                <w:color w:val="000000"/>
                <w:sz w:val="18"/>
                <w:szCs w:val="18"/>
              </w:rPr>
            </w:pPr>
            <w:r w:rsidRPr="00226892">
              <w:rPr>
                <w:rFonts w:ascii="Arial" w:hAnsi="Arial" w:cs="Arial"/>
                <w:b/>
                <w:bCs/>
                <w:color w:val="000000"/>
                <w:sz w:val="18"/>
                <w:szCs w:val="18"/>
              </w:rPr>
              <w:t>2018</w:t>
            </w:r>
          </w:p>
        </w:tc>
        <w:tc>
          <w:tcPr>
            <w:tcW w:w="104" w:type="pct"/>
            <w:tcBorders>
              <w:top w:val="nil"/>
              <w:left w:val="nil"/>
              <w:bottom w:val="single" w:sz="4" w:space="0" w:color="auto"/>
              <w:right w:val="nil"/>
            </w:tcBorders>
            <w:shd w:val="clear" w:color="auto" w:fill="auto"/>
            <w:vAlign w:val="bottom"/>
            <w:hideMark/>
          </w:tcPr>
          <w:p w14:paraId="1B846E87" w14:textId="77777777" w:rsidR="00B35E10" w:rsidRPr="00226892" w:rsidRDefault="00B35E10" w:rsidP="00450F49">
            <w:pPr>
              <w:jc w:val="center"/>
              <w:rPr>
                <w:rFonts w:ascii="Arial" w:hAnsi="Arial" w:cs="Arial"/>
                <w:b/>
                <w:bCs/>
                <w:color w:val="000000"/>
                <w:sz w:val="18"/>
                <w:szCs w:val="18"/>
              </w:rPr>
            </w:pPr>
            <w:r w:rsidRPr="00226892">
              <w:rPr>
                <w:rFonts w:ascii="Arial" w:hAnsi="Arial" w:cs="Arial"/>
                <w:b/>
                <w:bCs/>
                <w:color w:val="000000"/>
                <w:sz w:val="18"/>
                <w:szCs w:val="18"/>
              </w:rPr>
              <w:t> </w:t>
            </w:r>
          </w:p>
        </w:tc>
        <w:tc>
          <w:tcPr>
            <w:tcW w:w="1042" w:type="pct"/>
            <w:tcBorders>
              <w:top w:val="nil"/>
              <w:left w:val="nil"/>
              <w:bottom w:val="single" w:sz="4" w:space="0" w:color="auto"/>
              <w:right w:val="nil"/>
            </w:tcBorders>
            <w:shd w:val="clear" w:color="auto" w:fill="auto"/>
            <w:vAlign w:val="bottom"/>
            <w:hideMark/>
          </w:tcPr>
          <w:p w14:paraId="4290E99D" w14:textId="79A7CE2C" w:rsidR="00B35E10" w:rsidRPr="00226892" w:rsidRDefault="00F63A77" w:rsidP="00450F49">
            <w:pPr>
              <w:jc w:val="center"/>
              <w:rPr>
                <w:rFonts w:ascii="Arial" w:hAnsi="Arial" w:cs="Arial"/>
                <w:b/>
                <w:bCs/>
                <w:color w:val="000000"/>
                <w:sz w:val="18"/>
                <w:szCs w:val="18"/>
              </w:rPr>
            </w:pPr>
            <w:r w:rsidRPr="00226892">
              <w:rPr>
                <w:rFonts w:ascii="Arial" w:hAnsi="Arial" w:cs="Arial"/>
                <w:b/>
                <w:bCs/>
                <w:color w:val="000000"/>
                <w:sz w:val="18"/>
                <w:szCs w:val="18"/>
              </w:rPr>
              <w:t>2017</w:t>
            </w:r>
          </w:p>
        </w:tc>
      </w:tr>
      <w:tr w:rsidR="00C15DC8" w:rsidRPr="00226892" w14:paraId="0601E617" w14:textId="77777777" w:rsidTr="00756C6D">
        <w:trPr>
          <w:trHeight w:val="240"/>
        </w:trPr>
        <w:tc>
          <w:tcPr>
            <w:tcW w:w="2708" w:type="pct"/>
            <w:tcBorders>
              <w:top w:val="nil"/>
              <w:left w:val="nil"/>
              <w:bottom w:val="nil"/>
              <w:right w:val="nil"/>
            </w:tcBorders>
            <w:shd w:val="clear" w:color="auto" w:fill="auto"/>
            <w:noWrap/>
            <w:vAlign w:val="bottom"/>
            <w:hideMark/>
          </w:tcPr>
          <w:p w14:paraId="753D4ADD" w14:textId="77777777" w:rsidR="00C15DC8" w:rsidRPr="00226892" w:rsidRDefault="00C15DC8" w:rsidP="00C15DC8">
            <w:pPr>
              <w:rPr>
                <w:rFonts w:ascii="Arial" w:hAnsi="Arial" w:cs="Arial"/>
                <w:b/>
                <w:bCs/>
                <w:color w:val="000000"/>
                <w:sz w:val="18"/>
                <w:szCs w:val="18"/>
              </w:rPr>
            </w:pPr>
            <w:proofErr w:type="spellStart"/>
            <w:r w:rsidRPr="00226892">
              <w:rPr>
                <w:rFonts w:ascii="Arial" w:hAnsi="Arial" w:cs="Arial"/>
                <w:b/>
                <w:bCs/>
                <w:color w:val="000000"/>
                <w:sz w:val="18"/>
                <w:szCs w:val="18"/>
              </w:rPr>
              <w:t>Nákladové</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úroky</w:t>
            </w:r>
            <w:proofErr w:type="spellEnd"/>
            <w:r w:rsidRPr="00226892">
              <w:rPr>
                <w:rFonts w:ascii="Arial" w:hAnsi="Arial" w:cs="Arial"/>
                <w:b/>
                <w:bCs/>
                <w:color w:val="000000"/>
                <w:sz w:val="18"/>
                <w:szCs w:val="18"/>
              </w:rPr>
              <w:t xml:space="preserve">, z </w:t>
            </w:r>
            <w:proofErr w:type="spellStart"/>
            <w:r w:rsidRPr="00226892">
              <w:rPr>
                <w:rFonts w:ascii="Arial" w:hAnsi="Arial" w:cs="Arial"/>
                <w:b/>
                <w:bCs/>
                <w:color w:val="000000"/>
                <w:sz w:val="18"/>
                <w:szCs w:val="18"/>
              </w:rPr>
              <w:t>toho</w:t>
            </w:r>
            <w:proofErr w:type="spellEnd"/>
            <w:r w:rsidRPr="00226892">
              <w:rPr>
                <w:rFonts w:ascii="Arial" w:hAnsi="Arial" w:cs="Arial"/>
                <w:b/>
                <w:bCs/>
                <w:color w:val="000000"/>
                <w:sz w:val="18"/>
                <w:szCs w:val="18"/>
              </w:rPr>
              <w:t>:</w:t>
            </w:r>
          </w:p>
        </w:tc>
        <w:tc>
          <w:tcPr>
            <w:tcW w:w="104" w:type="pct"/>
            <w:tcBorders>
              <w:top w:val="nil"/>
              <w:left w:val="nil"/>
              <w:bottom w:val="nil"/>
              <w:right w:val="nil"/>
            </w:tcBorders>
            <w:shd w:val="clear" w:color="auto" w:fill="auto"/>
            <w:vAlign w:val="bottom"/>
            <w:hideMark/>
          </w:tcPr>
          <w:p w14:paraId="4B6DE7FC" w14:textId="77777777" w:rsidR="00C15DC8" w:rsidRPr="00226892" w:rsidRDefault="00C15DC8" w:rsidP="00C15DC8">
            <w:pPr>
              <w:rPr>
                <w:rFonts w:ascii="Arial" w:hAnsi="Arial" w:cs="Arial"/>
                <w:b/>
                <w:bCs/>
                <w:color w:val="000000"/>
                <w:sz w:val="18"/>
                <w:szCs w:val="18"/>
              </w:rPr>
            </w:pPr>
          </w:p>
        </w:tc>
        <w:tc>
          <w:tcPr>
            <w:tcW w:w="1042" w:type="pct"/>
            <w:tcBorders>
              <w:top w:val="nil"/>
              <w:left w:val="nil"/>
              <w:bottom w:val="single" w:sz="4" w:space="0" w:color="auto"/>
              <w:right w:val="nil"/>
            </w:tcBorders>
            <w:shd w:val="clear" w:color="auto" w:fill="auto"/>
            <w:vAlign w:val="bottom"/>
          </w:tcPr>
          <w:p w14:paraId="5269975F" w14:textId="359D5802" w:rsidR="00C15DC8" w:rsidRPr="00226892" w:rsidRDefault="00C15DC8" w:rsidP="00C15DC8">
            <w:pPr>
              <w:jc w:val="right"/>
              <w:rPr>
                <w:rFonts w:ascii="Arial" w:hAnsi="Arial" w:cs="Arial"/>
                <w:b/>
                <w:bCs/>
                <w:color w:val="000000"/>
                <w:sz w:val="18"/>
                <w:szCs w:val="18"/>
              </w:rPr>
            </w:pPr>
            <w:r w:rsidRPr="00226892">
              <w:rPr>
                <w:rFonts w:ascii="Arial" w:hAnsi="Arial" w:cs="Arial"/>
                <w:b/>
                <w:bCs/>
                <w:color w:val="000000"/>
                <w:sz w:val="18"/>
                <w:szCs w:val="18"/>
              </w:rPr>
              <w:t>543</w:t>
            </w:r>
          </w:p>
        </w:tc>
        <w:tc>
          <w:tcPr>
            <w:tcW w:w="104" w:type="pct"/>
            <w:tcBorders>
              <w:top w:val="nil"/>
              <w:left w:val="nil"/>
              <w:bottom w:val="nil"/>
              <w:right w:val="nil"/>
            </w:tcBorders>
            <w:shd w:val="clear" w:color="auto" w:fill="auto"/>
            <w:vAlign w:val="bottom"/>
          </w:tcPr>
          <w:p w14:paraId="37E0F5C6" w14:textId="77777777" w:rsidR="00C15DC8" w:rsidRPr="00226892" w:rsidRDefault="00C15DC8" w:rsidP="00C15DC8">
            <w:pPr>
              <w:jc w:val="right"/>
              <w:rPr>
                <w:rFonts w:ascii="Arial" w:hAnsi="Arial" w:cs="Arial"/>
                <w:b/>
                <w:bCs/>
                <w:color w:val="000000"/>
                <w:sz w:val="18"/>
                <w:szCs w:val="18"/>
              </w:rPr>
            </w:pPr>
          </w:p>
        </w:tc>
        <w:tc>
          <w:tcPr>
            <w:tcW w:w="1042" w:type="pct"/>
            <w:tcBorders>
              <w:top w:val="nil"/>
              <w:left w:val="nil"/>
              <w:bottom w:val="single" w:sz="4" w:space="0" w:color="auto"/>
              <w:right w:val="nil"/>
            </w:tcBorders>
            <w:shd w:val="clear" w:color="auto" w:fill="auto"/>
            <w:vAlign w:val="bottom"/>
          </w:tcPr>
          <w:p w14:paraId="4C4173BD" w14:textId="70461F76" w:rsidR="00C15DC8" w:rsidRPr="00226892" w:rsidRDefault="00C15DC8" w:rsidP="00C15DC8">
            <w:pPr>
              <w:jc w:val="right"/>
              <w:rPr>
                <w:rFonts w:ascii="Arial" w:hAnsi="Arial" w:cs="Arial"/>
                <w:b/>
                <w:bCs/>
                <w:color w:val="000000"/>
                <w:sz w:val="18"/>
                <w:szCs w:val="18"/>
              </w:rPr>
            </w:pPr>
            <w:r w:rsidRPr="00226892">
              <w:rPr>
                <w:rFonts w:ascii="Arial" w:hAnsi="Arial" w:cs="Arial"/>
                <w:b/>
                <w:bCs/>
                <w:color w:val="000000"/>
                <w:sz w:val="18"/>
                <w:szCs w:val="18"/>
              </w:rPr>
              <w:t>685</w:t>
            </w:r>
          </w:p>
        </w:tc>
      </w:tr>
      <w:tr w:rsidR="00C15DC8" w:rsidRPr="00226892" w14:paraId="49D97419" w14:textId="77777777" w:rsidTr="00756C6D">
        <w:trPr>
          <w:trHeight w:val="240"/>
        </w:trPr>
        <w:tc>
          <w:tcPr>
            <w:tcW w:w="2708" w:type="pct"/>
            <w:tcBorders>
              <w:top w:val="nil"/>
              <w:left w:val="nil"/>
              <w:bottom w:val="nil"/>
              <w:right w:val="nil"/>
            </w:tcBorders>
            <w:shd w:val="clear" w:color="auto" w:fill="auto"/>
            <w:vAlign w:val="bottom"/>
            <w:hideMark/>
          </w:tcPr>
          <w:p w14:paraId="11E4BE53" w14:textId="77777777" w:rsidR="00C15DC8" w:rsidRPr="00226892" w:rsidRDefault="00C15DC8" w:rsidP="00C15DC8">
            <w:pPr>
              <w:rPr>
                <w:rFonts w:ascii="Arial" w:hAnsi="Arial" w:cs="Arial"/>
                <w:color w:val="000000"/>
                <w:sz w:val="18"/>
                <w:szCs w:val="18"/>
              </w:rPr>
            </w:pPr>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Nákladové</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úroky</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na</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úvery</w:t>
            </w:r>
            <w:proofErr w:type="spellEnd"/>
          </w:p>
        </w:tc>
        <w:tc>
          <w:tcPr>
            <w:tcW w:w="104" w:type="pct"/>
            <w:tcBorders>
              <w:top w:val="nil"/>
              <w:left w:val="nil"/>
              <w:bottom w:val="nil"/>
              <w:right w:val="nil"/>
            </w:tcBorders>
            <w:shd w:val="clear" w:color="auto" w:fill="auto"/>
            <w:vAlign w:val="bottom"/>
            <w:hideMark/>
          </w:tcPr>
          <w:p w14:paraId="0F6631F3" w14:textId="77777777" w:rsidR="00C15DC8" w:rsidRPr="00226892" w:rsidRDefault="00C15DC8" w:rsidP="00C15DC8">
            <w:pPr>
              <w:rPr>
                <w:rFonts w:ascii="Arial" w:hAnsi="Arial" w:cs="Arial"/>
                <w:color w:val="000000"/>
                <w:sz w:val="18"/>
                <w:szCs w:val="18"/>
              </w:rPr>
            </w:pPr>
          </w:p>
        </w:tc>
        <w:tc>
          <w:tcPr>
            <w:tcW w:w="1042" w:type="pct"/>
            <w:tcBorders>
              <w:top w:val="nil"/>
              <w:left w:val="nil"/>
              <w:bottom w:val="nil"/>
              <w:right w:val="nil"/>
            </w:tcBorders>
            <w:shd w:val="clear" w:color="auto" w:fill="auto"/>
            <w:vAlign w:val="bottom"/>
          </w:tcPr>
          <w:p w14:paraId="5E96E8CE" w14:textId="4D31F0CC" w:rsidR="00C15DC8" w:rsidRPr="00226892" w:rsidRDefault="00C15DC8" w:rsidP="00C15DC8">
            <w:pPr>
              <w:jc w:val="right"/>
              <w:rPr>
                <w:rFonts w:ascii="Arial" w:hAnsi="Arial" w:cs="Arial"/>
                <w:color w:val="000000"/>
                <w:sz w:val="18"/>
                <w:szCs w:val="18"/>
              </w:rPr>
            </w:pPr>
            <w:r w:rsidRPr="00226892">
              <w:rPr>
                <w:rFonts w:ascii="Arial" w:hAnsi="Arial" w:cs="Arial"/>
                <w:color w:val="000000"/>
                <w:sz w:val="18"/>
                <w:szCs w:val="18"/>
              </w:rPr>
              <w:t>527</w:t>
            </w:r>
          </w:p>
        </w:tc>
        <w:tc>
          <w:tcPr>
            <w:tcW w:w="104" w:type="pct"/>
            <w:tcBorders>
              <w:top w:val="nil"/>
              <w:left w:val="nil"/>
              <w:bottom w:val="nil"/>
              <w:right w:val="nil"/>
            </w:tcBorders>
            <w:shd w:val="clear" w:color="auto" w:fill="auto"/>
            <w:vAlign w:val="bottom"/>
          </w:tcPr>
          <w:p w14:paraId="5E6E0325" w14:textId="77777777" w:rsidR="00C15DC8" w:rsidRPr="00226892" w:rsidRDefault="00C15DC8" w:rsidP="00C15DC8">
            <w:pPr>
              <w:jc w:val="right"/>
              <w:rPr>
                <w:rFonts w:ascii="Arial" w:hAnsi="Arial" w:cs="Arial"/>
                <w:color w:val="000000"/>
                <w:sz w:val="18"/>
                <w:szCs w:val="18"/>
              </w:rPr>
            </w:pPr>
          </w:p>
        </w:tc>
        <w:tc>
          <w:tcPr>
            <w:tcW w:w="1042" w:type="pct"/>
            <w:tcBorders>
              <w:top w:val="nil"/>
              <w:left w:val="nil"/>
              <w:bottom w:val="nil"/>
              <w:right w:val="nil"/>
            </w:tcBorders>
            <w:shd w:val="clear" w:color="auto" w:fill="auto"/>
            <w:vAlign w:val="bottom"/>
          </w:tcPr>
          <w:p w14:paraId="3D7B9A41" w14:textId="0FEF9090" w:rsidR="00C15DC8" w:rsidRPr="00226892" w:rsidRDefault="00C15DC8" w:rsidP="00C15DC8">
            <w:pPr>
              <w:jc w:val="right"/>
              <w:rPr>
                <w:rFonts w:ascii="Arial" w:hAnsi="Arial" w:cs="Arial"/>
                <w:color w:val="000000"/>
                <w:sz w:val="18"/>
                <w:szCs w:val="18"/>
              </w:rPr>
            </w:pPr>
            <w:r w:rsidRPr="00226892">
              <w:rPr>
                <w:rFonts w:ascii="Arial" w:hAnsi="Arial" w:cs="Arial"/>
                <w:color w:val="000000"/>
                <w:sz w:val="18"/>
                <w:szCs w:val="18"/>
              </w:rPr>
              <w:t>655</w:t>
            </w:r>
          </w:p>
        </w:tc>
      </w:tr>
      <w:tr w:rsidR="00C15DC8" w:rsidRPr="00226892" w14:paraId="075162D5" w14:textId="77777777" w:rsidTr="00756C6D">
        <w:trPr>
          <w:trHeight w:val="240"/>
        </w:trPr>
        <w:tc>
          <w:tcPr>
            <w:tcW w:w="2708" w:type="pct"/>
            <w:tcBorders>
              <w:top w:val="nil"/>
              <w:left w:val="nil"/>
              <w:bottom w:val="nil"/>
              <w:right w:val="nil"/>
            </w:tcBorders>
            <w:shd w:val="clear" w:color="auto" w:fill="auto"/>
            <w:noWrap/>
            <w:vAlign w:val="bottom"/>
            <w:hideMark/>
          </w:tcPr>
          <w:p w14:paraId="6114F67D" w14:textId="77777777" w:rsidR="00C15DC8" w:rsidRPr="00226892" w:rsidRDefault="00C15DC8" w:rsidP="00C15DC8">
            <w:pPr>
              <w:rPr>
                <w:rFonts w:ascii="Arial" w:hAnsi="Arial" w:cs="Arial"/>
                <w:color w:val="000000"/>
                <w:sz w:val="18"/>
                <w:szCs w:val="18"/>
              </w:rPr>
            </w:pPr>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Nákladové</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úroky</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na</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ostatné</w:t>
            </w:r>
            <w:proofErr w:type="spellEnd"/>
          </w:p>
        </w:tc>
        <w:tc>
          <w:tcPr>
            <w:tcW w:w="104" w:type="pct"/>
            <w:tcBorders>
              <w:top w:val="nil"/>
              <w:left w:val="nil"/>
              <w:bottom w:val="nil"/>
              <w:right w:val="nil"/>
            </w:tcBorders>
            <w:shd w:val="clear" w:color="auto" w:fill="auto"/>
            <w:vAlign w:val="bottom"/>
            <w:hideMark/>
          </w:tcPr>
          <w:p w14:paraId="7C411424" w14:textId="77777777" w:rsidR="00C15DC8" w:rsidRPr="00226892" w:rsidRDefault="00C15DC8" w:rsidP="00C15DC8">
            <w:pPr>
              <w:rPr>
                <w:rFonts w:ascii="Arial" w:hAnsi="Arial" w:cs="Arial"/>
                <w:color w:val="000000"/>
                <w:sz w:val="18"/>
                <w:szCs w:val="18"/>
              </w:rPr>
            </w:pPr>
          </w:p>
        </w:tc>
        <w:tc>
          <w:tcPr>
            <w:tcW w:w="1042" w:type="pct"/>
            <w:tcBorders>
              <w:top w:val="nil"/>
              <w:left w:val="nil"/>
              <w:bottom w:val="nil"/>
              <w:right w:val="nil"/>
            </w:tcBorders>
            <w:shd w:val="clear" w:color="auto" w:fill="auto"/>
            <w:vAlign w:val="bottom"/>
          </w:tcPr>
          <w:p w14:paraId="67AE9725" w14:textId="74899E9B" w:rsidR="00C15DC8" w:rsidRPr="00226892" w:rsidRDefault="00C15DC8" w:rsidP="00C15DC8">
            <w:pPr>
              <w:jc w:val="right"/>
              <w:rPr>
                <w:rFonts w:ascii="Arial" w:hAnsi="Arial" w:cs="Arial"/>
                <w:color w:val="000000"/>
                <w:sz w:val="18"/>
                <w:szCs w:val="18"/>
              </w:rPr>
            </w:pPr>
            <w:r w:rsidRPr="00226892">
              <w:rPr>
                <w:rFonts w:ascii="Arial" w:hAnsi="Arial" w:cs="Arial"/>
                <w:color w:val="000000"/>
                <w:sz w:val="18"/>
                <w:szCs w:val="18"/>
              </w:rPr>
              <w:t>16</w:t>
            </w:r>
          </w:p>
        </w:tc>
        <w:tc>
          <w:tcPr>
            <w:tcW w:w="104" w:type="pct"/>
            <w:tcBorders>
              <w:top w:val="nil"/>
              <w:left w:val="nil"/>
              <w:bottom w:val="nil"/>
              <w:right w:val="nil"/>
            </w:tcBorders>
            <w:shd w:val="clear" w:color="auto" w:fill="auto"/>
            <w:vAlign w:val="bottom"/>
          </w:tcPr>
          <w:p w14:paraId="2FE96034" w14:textId="77777777" w:rsidR="00C15DC8" w:rsidRPr="00226892" w:rsidRDefault="00C15DC8" w:rsidP="00C15DC8">
            <w:pPr>
              <w:jc w:val="right"/>
              <w:rPr>
                <w:rFonts w:ascii="Arial" w:hAnsi="Arial" w:cs="Arial"/>
                <w:color w:val="000000"/>
                <w:sz w:val="18"/>
                <w:szCs w:val="18"/>
              </w:rPr>
            </w:pPr>
          </w:p>
        </w:tc>
        <w:tc>
          <w:tcPr>
            <w:tcW w:w="1042" w:type="pct"/>
            <w:tcBorders>
              <w:top w:val="nil"/>
              <w:left w:val="nil"/>
              <w:bottom w:val="nil"/>
              <w:right w:val="nil"/>
            </w:tcBorders>
            <w:shd w:val="clear" w:color="auto" w:fill="auto"/>
            <w:vAlign w:val="bottom"/>
          </w:tcPr>
          <w:p w14:paraId="271C64BD" w14:textId="5E968649" w:rsidR="00C15DC8" w:rsidRPr="00226892" w:rsidRDefault="00C15DC8" w:rsidP="00C15DC8">
            <w:pPr>
              <w:jc w:val="right"/>
              <w:rPr>
                <w:rFonts w:ascii="Arial" w:hAnsi="Arial" w:cs="Arial"/>
                <w:color w:val="000000"/>
                <w:sz w:val="18"/>
                <w:szCs w:val="18"/>
              </w:rPr>
            </w:pPr>
            <w:r w:rsidRPr="00226892">
              <w:rPr>
                <w:rFonts w:ascii="Arial" w:hAnsi="Arial" w:cs="Arial"/>
                <w:color w:val="000000"/>
                <w:sz w:val="18"/>
                <w:szCs w:val="18"/>
              </w:rPr>
              <w:t>30</w:t>
            </w:r>
          </w:p>
        </w:tc>
      </w:tr>
      <w:tr w:rsidR="00C15DC8" w:rsidRPr="00226892" w14:paraId="799A3786" w14:textId="77777777" w:rsidTr="00756C6D">
        <w:trPr>
          <w:trHeight w:val="240"/>
        </w:trPr>
        <w:tc>
          <w:tcPr>
            <w:tcW w:w="2708" w:type="pct"/>
            <w:tcBorders>
              <w:top w:val="nil"/>
              <w:left w:val="nil"/>
              <w:bottom w:val="nil"/>
              <w:right w:val="nil"/>
            </w:tcBorders>
            <w:shd w:val="clear" w:color="auto" w:fill="auto"/>
            <w:vAlign w:val="bottom"/>
            <w:hideMark/>
          </w:tcPr>
          <w:p w14:paraId="58493362" w14:textId="77777777" w:rsidR="00C15DC8" w:rsidRPr="00226892" w:rsidRDefault="00C15DC8" w:rsidP="00C15DC8">
            <w:pPr>
              <w:rPr>
                <w:rFonts w:ascii="Arial" w:hAnsi="Arial" w:cs="Arial"/>
                <w:color w:val="000000"/>
                <w:sz w:val="18"/>
                <w:szCs w:val="18"/>
              </w:rPr>
            </w:pPr>
          </w:p>
        </w:tc>
        <w:tc>
          <w:tcPr>
            <w:tcW w:w="104" w:type="pct"/>
            <w:tcBorders>
              <w:top w:val="nil"/>
              <w:left w:val="nil"/>
              <w:bottom w:val="nil"/>
              <w:right w:val="nil"/>
            </w:tcBorders>
            <w:shd w:val="clear" w:color="auto" w:fill="auto"/>
            <w:vAlign w:val="bottom"/>
            <w:hideMark/>
          </w:tcPr>
          <w:p w14:paraId="0B4524AD" w14:textId="77777777" w:rsidR="00C15DC8" w:rsidRPr="00226892" w:rsidRDefault="00C15DC8" w:rsidP="00C15DC8">
            <w:pPr>
              <w:rPr>
                <w:rFonts w:ascii="Arial" w:hAnsi="Arial" w:cs="Arial"/>
                <w:sz w:val="18"/>
                <w:szCs w:val="18"/>
              </w:rPr>
            </w:pPr>
          </w:p>
        </w:tc>
        <w:tc>
          <w:tcPr>
            <w:tcW w:w="1042" w:type="pct"/>
            <w:tcBorders>
              <w:top w:val="nil"/>
              <w:left w:val="nil"/>
              <w:bottom w:val="nil"/>
              <w:right w:val="nil"/>
            </w:tcBorders>
            <w:shd w:val="clear" w:color="auto" w:fill="auto"/>
            <w:vAlign w:val="bottom"/>
          </w:tcPr>
          <w:p w14:paraId="769CADCD" w14:textId="77777777" w:rsidR="00C15DC8" w:rsidRPr="00226892" w:rsidRDefault="00C15DC8" w:rsidP="00C15DC8">
            <w:pPr>
              <w:jc w:val="right"/>
              <w:rPr>
                <w:rFonts w:ascii="Arial" w:hAnsi="Arial" w:cs="Arial"/>
                <w:sz w:val="18"/>
                <w:szCs w:val="18"/>
              </w:rPr>
            </w:pPr>
          </w:p>
        </w:tc>
        <w:tc>
          <w:tcPr>
            <w:tcW w:w="104" w:type="pct"/>
            <w:tcBorders>
              <w:top w:val="nil"/>
              <w:left w:val="nil"/>
              <w:bottom w:val="nil"/>
              <w:right w:val="nil"/>
            </w:tcBorders>
            <w:shd w:val="clear" w:color="auto" w:fill="auto"/>
            <w:vAlign w:val="bottom"/>
          </w:tcPr>
          <w:p w14:paraId="73C49113" w14:textId="77777777" w:rsidR="00C15DC8" w:rsidRPr="00226892" w:rsidRDefault="00C15DC8" w:rsidP="00C15DC8">
            <w:pPr>
              <w:jc w:val="right"/>
              <w:rPr>
                <w:rFonts w:ascii="Arial" w:hAnsi="Arial" w:cs="Arial"/>
                <w:sz w:val="18"/>
                <w:szCs w:val="18"/>
              </w:rPr>
            </w:pPr>
          </w:p>
        </w:tc>
        <w:tc>
          <w:tcPr>
            <w:tcW w:w="1042" w:type="pct"/>
            <w:tcBorders>
              <w:top w:val="nil"/>
              <w:left w:val="nil"/>
              <w:bottom w:val="nil"/>
              <w:right w:val="nil"/>
            </w:tcBorders>
            <w:shd w:val="clear" w:color="auto" w:fill="auto"/>
            <w:vAlign w:val="bottom"/>
          </w:tcPr>
          <w:p w14:paraId="56FE6CA1" w14:textId="77777777" w:rsidR="00C15DC8" w:rsidRPr="00226892" w:rsidRDefault="00C15DC8" w:rsidP="00C15DC8">
            <w:pPr>
              <w:jc w:val="right"/>
              <w:rPr>
                <w:rFonts w:ascii="Arial" w:hAnsi="Arial" w:cs="Arial"/>
                <w:sz w:val="18"/>
                <w:szCs w:val="18"/>
              </w:rPr>
            </w:pPr>
          </w:p>
        </w:tc>
      </w:tr>
      <w:tr w:rsidR="00C15DC8" w:rsidRPr="00226892" w14:paraId="403847A9" w14:textId="77777777" w:rsidTr="00756C6D">
        <w:trPr>
          <w:trHeight w:val="240"/>
        </w:trPr>
        <w:tc>
          <w:tcPr>
            <w:tcW w:w="2708" w:type="pct"/>
            <w:tcBorders>
              <w:top w:val="nil"/>
              <w:left w:val="nil"/>
              <w:bottom w:val="nil"/>
              <w:right w:val="nil"/>
            </w:tcBorders>
            <w:shd w:val="clear" w:color="auto" w:fill="auto"/>
            <w:vAlign w:val="bottom"/>
            <w:hideMark/>
          </w:tcPr>
          <w:p w14:paraId="2C51041F" w14:textId="77777777" w:rsidR="00C15DC8" w:rsidRPr="00226892" w:rsidRDefault="00C15DC8" w:rsidP="00C15DC8">
            <w:pPr>
              <w:rPr>
                <w:rFonts w:ascii="Arial" w:hAnsi="Arial" w:cs="Arial"/>
                <w:b/>
                <w:bCs/>
                <w:color w:val="000000"/>
                <w:sz w:val="18"/>
                <w:szCs w:val="18"/>
              </w:rPr>
            </w:pPr>
            <w:proofErr w:type="spellStart"/>
            <w:r w:rsidRPr="00226892">
              <w:rPr>
                <w:rFonts w:ascii="Arial" w:hAnsi="Arial" w:cs="Arial"/>
                <w:b/>
                <w:bCs/>
                <w:color w:val="000000"/>
                <w:sz w:val="18"/>
                <w:szCs w:val="18"/>
              </w:rPr>
              <w:t>Ostatné</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finančné</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náklady</w:t>
            </w:r>
            <w:proofErr w:type="spellEnd"/>
            <w:r w:rsidRPr="00226892">
              <w:rPr>
                <w:rFonts w:ascii="Arial" w:hAnsi="Arial" w:cs="Arial"/>
                <w:b/>
                <w:bCs/>
                <w:color w:val="000000"/>
                <w:sz w:val="18"/>
                <w:szCs w:val="18"/>
              </w:rPr>
              <w:t xml:space="preserve">, z </w:t>
            </w:r>
            <w:proofErr w:type="spellStart"/>
            <w:r w:rsidRPr="00226892">
              <w:rPr>
                <w:rFonts w:ascii="Arial" w:hAnsi="Arial" w:cs="Arial"/>
                <w:b/>
                <w:bCs/>
                <w:color w:val="000000"/>
                <w:sz w:val="18"/>
                <w:szCs w:val="18"/>
              </w:rPr>
              <w:t>toho</w:t>
            </w:r>
            <w:proofErr w:type="spellEnd"/>
            <w:r w:rsidRPr="00226892">
              <w:rPr>
                <w:rFonts w:ascii="Arial" w:hAnsi="Arial" w:cs="Arial"/>
                <w:b/>
                <w:bCs/>
                <w:color w:val="000000"/>
                <w:sz w:val="18"/>
                <w:szCs w:val="18"/>
              </w:rPr>
              <w:t>:</w:t>
            </w:r>
          </w:p>
        </w:tc>
        <w:tc>
          <w:tcPr>
            <w:tcW w:w="104" w:type="pct"/>
            <w:tcBorders>
              <w:top w:val="nil"/>
              <w:left w:val="nil"/>
              <w:bottom w:val="nil"/>
              <w:right w:val="nil"/>
            </w:tcBorders>
            <w:shd w:val="clear" w:color="auto" w:fill="auto"/>
            <w:vAlign w:val="bottom"/>
            <w:hideMark/>
          </w:tcPr>
          <w:p w14:paraId="3B17D73A" w14:textId="77777777" w:rsidR="00C15DC8" w:rsidRPr="00226892" w:rsidRDefault="00C15DC8" w:rsidP="00C15DC8">
            <w:pPr>
              <w:rPr>
                <w:rFonts w:ascii="Arial" w:hAnsi="Arial" w:cs="Arial"/>
                <w:b/>
                <w:bCs/>
                <w:color w:val="000000"/>
                <w:sz w:val="18"/>
                <w:szCs w:val="18"/>
              </w:rPr>
            </w:pPr>
          </w:p>
        </w:tc>
        <w:tc>
          <w:tcPr>
            <w:tcW w:w="1042" w:type="pct"/>
            <w:tcBorders>
              <w:top w:val="nil"/>
              <w:left w:val="nil"/>
              <w:bottom w:val="single" w:sz="4" w:space="0" w:color="auto"/>
              <w:right w:val="nil"/>
            </w:tcBorders>
            <w:shd w:val="clear" w:color="auto" w:fill="auto"/>
            <w:vAlign w:val="bottom"/>
          </w:tcPr>
          <w:p w14:paraId="1CA8AE3B" w14:textId="4FAA809A" w:rsidR="00C15DC8" w:rsidRPr="00226892" w:rsidRDefault="00C15DC8" w:rsidP="00C15DC8">
            <w:pPr>
              <w:jc w:val="right"/>
              <w:rPr>
                <w:rFonts w:ascii="Arial" w:hAnsi="Arial" w:cs="Arial"/>
                <w:b/>
                <w:bCs/>
                <w:color w:val="000000"/>
                <w:sz w:val="18"/>
                <w:szCs w:val="18"/>
              </w:rPr>
            </w:pPr>
            <w:r w:rsidRPr="00226892">
              <w:rPr>
                <w:rFonts w:ascii="Arial" w:hAnsi="Arial" w:cs="Arial"/>
                <w:b/>
                <w:bCs/>
                <w:color w:val="000000"/>
                <w:sz w:val="18"/>
                <w:szCs w:val="18"/>
              </w:rPr>
              <w:t>101</w:t>
            </w:r>
          </w:p>
        </w:tc>
        <w:tc>
          <w:tcPr>
            <w:tcW w:w="104" w:type="pct"/>
            <w:tcBorders>
              <w:top w:val="nil"/>
              <w:left w:val="nil"/>
              <w:bottom w:val="nil"/>
              <w:right w:val="nil"/>
            </w:tcBorders>
            <w:shd w:val="clear" w:color="auto" w:fill="auto"/>
            <w:vAlign w:val="bottom"/>
          </w:tcPr>
          <w:p w14:paraId="0E30BEF7" w14:textId="77777777" w:rsidR="00C15DC8" w:rsidRPr="00226892" w:rsidRDefault="00C15DC8" w:rsidP="00C15DC8">
            <w:pPr>
              <w:jc w:val="right"/>
              <w:rPr>
                <w:rFonts w:ascii="Arial" w:hAnsi="Arial" w:cs="Arial"/>
                <w:b/>
                <w:bCs/>
                <w:color w:val="000000"/>
                <w:sz w:val="18"/>
                <w:szCs w:val="18"/>
              </w:rPr>
            </w:pPr>
          </w:p>
        </w:tc>
        <w:tc>
          <w:tcPr>
            <w:tcW w:w="1042" w:type="pct"/>
            <w:tcBorders>
              <w:top w:val="nil"/>
              <w:left w:val="nil"/>
              <w:bottom w:val="single" w:sz="4" w:space="0" w:color="auto"/>
              <w:right w:val="nil"/>
            </w:tcBorders>
            <w:shd w:val="clear" w:color="auto" w:fill="auto"/>
            <w:vAlign w:val="bottom"/>
          </w:tcPr>
          <w:p w14:paraId="7F1ABFAD" w14:textId="5B1464DE" w:rsidR="00C15DC8" w:rsidRPr="00226892" w:rsidRDefault="00C15DC8" w:rsidP="00C15DC8">
            <w:pPr>
              <w:jc w:val="right"/>
              <w:rPr>
                <w:rFonts w:ascii="Arial" w:hAnsi="Arial" w:cs="Arial"/>
                <w:b/>
                <w:bCs/>
                <w:color w:val="000000"/>
                <w:sz w:val="18"/>
                <w:szCs w:val="18"/>
              </w:rPr>
            </w:pPr>
            <w:r w:rsidRPr="00226892">
              <w:rPr>
                <w:rFonts w:ascii="Arial" w:hAnsi="Arial" w:cs="Arial"/>
                <w:b/>
                <w:bCs/>
                <w:color w:val="000000"/>
                <w:sz w:val="18"/>
                <w:szCs w:val="18"/>
              </w:rPr>
              <w:t>124</w:t>
            </w:r>
          </w:p>
        </w:tc>
      </w:tr>
      <w:tr w:rsidR="00C15DC8" w:rsidRPr="00226892" w14:paraId="7E395B5B" w14:textId="77777777" w:rsidTr="00756C6D">
        <w:trPr>
          <w:trHeight w:val="240"/>
        </w:trPr>
        <w:tc>
          <w:tcPr>
            <w:tcW w:w="2708" w:type="pct"/>
            <w:tcBorders>
              <w:top w:val="nil"/>
              <w:left w:val="nil"/>
              <w:bottom w:val="nil"/>
              <w:right w:val="nil"/>
            </w:tcBorders>
            <w:shd w:val="clear" w:color="auto" w:fill="auto"/>
            <w:vAlign w:val="bottom"/>
            <w:hideMark/>
          </w:tcPr>
          <w:p w14:paraId="19E950EE" w14:textId="16BE6E17" w:rsidR="00C15DC8" w:rsidRPr="00226892" w:rsidRDefault="00C15DC8" w:rsidP="00D61E2D">
            <w:pPr>
              <w:rPr>
                <w:rFonts w:ascii="Arial" w:hAnsi="Arial" w:cs="Arial"/>
                <w:color w:val="000000"/>
                <w:sz w:val="18"/>
                <w:szCs w:val="18"/>
              </w:rPr>
            </w:pPr>
            <w:proofErr w:type="spellStart"/>
            <w:r w:rsidRPr="00226892">
              <w:rPr>
                <w:rFonts w:ascii="Arial" w:hAnsi="Arial" w:cs="Arial"/>
                <w:color w:val="000000"/>
                <w:sz w:val="18"/>
                <w:szCs w:val="18"/>
              </w:rPr>
              <w:t>Kurzové</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straty</w:t>
            </w:r>
            <w:proofErr w:type="spellEnd"/>
          </w:p>
        </w:tc>
        <w:tc>
          <w:tcPr>
            <w:tcW w:w="104" w:type="pct"/>
            <w:tcBorders>
              <w:top w:val="nil"/>
              <w:left w:val="nil"/>
              <w:bottom w:val="nil"/>
              <w:right w:val="nil"/>
            </w:tcBorders>
            <w:shd w:val="clear" w:color="auto" w:fill="auto"/>
            <w:vAlign w:val="bottom"/>
            <w:hideMark/>
          </w:tcPr>
          <w:p w14:paraId="26D27608" w14:textId="77777777" w:rsidR="00C15DC8" w:rsidRPr="00226892" w:rsidRDefault="00C15DC8" w:rsidP="00D61E2D">
            <w:pPr>
              <w:rPr>
                <w:rFonts w:ascii="Arial" w:hAnsi="Arial" w:cs="Arial"/>
                <w:color w:val="000000"/>
                <w:sz w:val="18"/>
                <w:szCs w:val="18"/>
              </w:rPr>
            </w:pPr>
          </w:p>
        </w:tc>
        <w:tc>
          <w:tcPr>
            <w:tcW w:w="1042" w:type="pct"/>
            <w:tcBorders>
              <w:top w:val="nil"/>
              <w:left w:val="nil"/>
              <w:bottom w:val="nil"/>
              <w:right w:val="nil"/>
            </w:tcBorders>
            <w:shd w:val="clear" w:color="auto" w:fill="auto"/>
            <w:vAlign w:val="bottom"/>
          </w:tcPr>
          <w:p w14:paraId="7306D3E4" w14:textId="4B308CF3" w:rsidR="00C15DC8" w:rsidRPr="00226892" w:rsidRDefault="00C15DC8" w:rsidP="00D61E2D">
            <w:pPr>
              <w:jc w:val="right"/>
              <w:rPr>
                <w:rFonts w:ascii="Arial" w:hAnsi="Arial" w:cs="Arial"/>
                <w:color w:val="000000"/>
                <w:sz w:val="18"/>
                <w:szCs w:val="18"/>
              </w:rPr>
            </w:pPr>
            <w:r w:rsidRPr="00226892">
              <w:rPr>
                <w:rFonts w:ascii="Arial" w:hAnsi="Arial" w:cs="Arial"/>
                <w:color w:val="000000"/>
                <w:sz w:val="18"/>
                <w:szCs w:val="18"/>
              </w:rPr>
              <w:t>6</w:t>
            </w:r>
          </w:p>
        </w:tc>
        <w:tc>
          <w:tcPr>
            <w:tcW w:w="104" w:type="pct"/>
            <w:tcBorders>
              <w:top w:val="nil"/>
              <w:left w:val="nil"/>
              <w:bottom w:val="nil"/>
              <w:right w:val="nil"/>
            </w:tcBorders>
            <w:shd w:val="clear" w:color="auto" w:fill="auto"/>
            <w:vAlign w:val="bottom"/>
          </w:tcPr>
          <w:p w14:paraId="67FBBA80" w14:textId="77777777" w:rsidR="00C15DC8" w:rsidRPr="00226892" w:rsidRDefault="00C15DC8" w:rsidP="00D61E2D">
            <w:pPr>
              <w:jc w:val="right"/>
              <w:rPr>
                <w:rFonts w:ascii="Arial" w:hAnsi="Arial" w:cs="Arial"/>
                <w:color w:val="000000"/>
                <w:sz w:val="18"/>
                <w:szCs w:val="18"/>
              </w:rPr>
            </w:pPr>
          </w:p>
        </w:tc>
        <w:tc>
          <w:tcPr>
            <w:tcW w:w="1042" w:type="pct"/>
            <w:tcBorders>
              <w:top w:val="nil"/>
              <w:left w:val="nil"/>
              <w:bottom w:val="nil"/>
              <w:right w:val="nil"/>
            </w:tcBorders>
            <w:shd w:val="clear" w:color="auto" w:fill="auto"/>
            <w:vAlign w:val="bottom"/>
          </w:tcPr>
          <w:p w14:paraId="3F2EB743" w14:textId="17308AC8" w:rsidR="00C15DC8" w:rsidRPr="00226892" w:rsidRDefault="00C15DC8" w:rsidP="00D61E2D">
            <w:pPr>
              <w:jc w:val="right"/>
              <w:rPr>
                <w:rFonts w:ascii="Arial" w:hAnsi="Arial" w:cs="Arial"/>
                <w:color w:val="000000"/>
                <w:sz w:val="18"/>
                <w:szCs w:val="18"/>
              </w:rPr>
            </w:pPr>
            <w:r w:rsidRPr="00226892">
              <w:rPr>
                <w:rFonts w:ascii="Arial" w:hAnsi="Arial" w:cs="Arial"/>
                <w:color w:val="000000"/>
                <w:sz w:val="18"/>
                <w:szCs w:val="18"/>
              </w:rPr>
              <w:t>-</w:t>
            </w:r>
          </w:p>
        </w:tc>
      </w:tr>
      <w:tr w:rsidR="00C15DC8" w:rsidRPr="00226892" w14:paraId="183731FF" w14:textId="77777777" w:rsidTr="00756C6D">
        <w:trPr>
          <w:trHeight w:val="240"/>
        </w:trPr>
        <w:tc>
          <w:tcPr>
            <w:tcW w:w="2708" w:type="pct"/>
            <w:tcBorders>
              <w:top w:val="nil"/>
              <w:left w:val="nil"/>
              <w:bottom w:val="nil"/>
              <w:right w:val="nil"/>
            </w:tcBorders>
            <w:shd w:val="clear" w:color="auto" w:fill="auto"/>
            <w:vAlign w:val="bottom"/>
            <w:hideMark/>
          </w:tcPr>
          <w:p w14:paraId="3EFBDA3D" w14:textId="675BC81F" w:rsidR="00C15DC8" w:rsidRPr="00226892" w:rsidRDefault="00C15DC8" w:rsidP="00C15DC8">
            <w:pPr>
              <w:rPr>
                <w:rFonts w:ascii="Arial" w:hAnsi="Arial" w:cs="Arial"/>
                <w:color w:val="000000"/>
                <w:sz w:val="18"/>
                <w:szCs w:val="18"/>
              </w:rPr>
            </w:pPr>
            <w:proofErr w:type="spellStart"/>
            <w:r w:rsidRPr="00226892">
              <w:rPr>
                <w:rFonts w:ascii="Arial" w:hAnsi="Arial" w:cs="Arial"/>
                <w:color w:val="000000"/>
                <w:sz w:val="18"/>
                <w:szCs w:val="18"/>
              </w:rPr>
              <w:t>Ostatné</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finančné</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náklady</w:t>
            </w:r>
            <w:proofErr w:type="spellEnd"/>
          </w:p>
        </w:tc>
        <w:tc>
          <w:tcPr>
            <w:tcW w:w="104" w:type="pct"/>
            <w:tcBorders>
              <w:top w:val="nil"/>
              <w:left w:val="nil"/>
              <w:bottom w:val="nil"/>
              <w:right w:val="nil"/>
            </w:tcBorders>
            <w:shd w:val="clear" w:color="auto" w:fill="auto"/>
            <w:vAlign w:val="bottom"/>
            <w:hideMark/>
          </w:tcPr>
          <w:p w14:paraId="5EF0382A" w14:textId="77777777" w:rsidR="00C15DC8" w:rsidRPr="00226892" w:rsidRDefault="00C15DC8" w:rsidP="00C15DC8">
            <w:pPr>
              <w:rPr>
                <w:rFonts w:ascii="Arial" w:hAnsi="Arial" w:cs="Arial"/>
                <w:color w:val="000000"/>
                <w:sz w:val="18"/>
                <w:szCs w:val="18"/>
              </w:rPr>
            </w:pPr>
          </w:p>
        </w:tc>
        <w:tc>
          <w:tcPr>
            <w:tcW w:w="1042" w:type="pct"/>
            <w:tcBorders>
              <w:top w:val="nil"/>
              <w:left w:val="nil"/>
              <w:bottom w:val="nil"/>
              <w:right w:val="nil"/>
            </w:tcBorders>
            <w:shd w:val="clear" w:color="auto" w:fill="auto"/>
            <w:vAlign w:val="bottom"/>
          </w:tcPr>
          <w:p w14:paraId="40A79393" w14:textId="386E7915" w:rsidR="00C15DC8" w:rsidRPr="00226892" w:rsidRDefault="00C15DC8" w:rsidP="00C15DC8">
            <w:pPr>
              <w:jc w:val="right"/>
              <w:rPr>
                <w:rFonts w:ascii="Arial" w:hAnsi="Arial" w:cs="Arial"/>
                <w:color w:val="000000"/>
                <w:sz w:val="18"/>
                <w:szCs w:val="18"/>
              </w:rPr>
            </w:pPr>
            <w:r w:rsidRPr="00226892">
              <w:rPr>
                <w:rFonts w:ascii="Arial" w:hAnsi="Arial" w:cs="Arial"/>
                <w:color w:val="000000"/>
                <w:sz w:val="18"/>
                <w:szCs w:val="18"/>
              </w:rPr>
              <w:t>95</w:t>
            </w:r>
          </w:p>
        </w:tc>
        <w:tc>
          <w:tcPr>
            <w:tcW w:w="104" w:type="pct"/>
            <w:tcBorders>
              <w:top w:val="nil"/>
              <w:left w:val="nil"/>
              <w:bottom w:val="nil"/>
              <w:right w:val="nil"/>
            </w:tcBorders>
            <w:shd w:val="clear" w:color="auto" w:fill="auto"/>
            <w:vAlign w:val="bottom"/>
          </w:tcPr>
          <w:p w14:paraId="77D552F4" w14:textId="77777777" w:rsidR="00C15DC8" w:rsidRPr="00226892" w:rsidRDefault="00C15DC8" w:rsidP="00C15DC8">
            <w:pPr>
              <w:jc w:val="right"/>
              <w:rPr>
                <w:rFonts w:ascii="Arial" w:hAnsi="Arial" w:cs="Arial"/>
                <w:color w:val="000000"/>
                <w:sz w:val="18"/>
                <w:szCs w:val="18"/>
              </w:rPr>
            </w:pPr>
          </w:p>
        </w:tc>
        <w:tc>
          <w:tcPr>
            <w:tcW w:w="1042" w:type="pct"/>
            <w:tcBorders>
              <w:top w:val="nil"/>
              <w:left w:val="nil"/>
              <w:bottom w:val="nil"/>
              <w:right w:val="nil"/>
            </w:tcBorders>
            <w:shd w:val="clear" w:color="auto" w:fill="auto"/>
            <w:vAlign w:val="bottom"/>
          </w:tcPr>
          <w:p w14:paraId="4DDC51B3" w14:textId="0127EBB5" w:rsidR="00C15DC8" w:rsidRPr="00226892" w:rsidRDefault="00C15DC8" w:rsidP="00C15DC8">
            <w:pPr>
              <w:jc w:val="right"/>
              <w:rPr>
                <w:rFonts w:ascii="Arial" w:hAnsi="Arial" w:cs="Arial"/>
                <w:color w:val="000000"/>
                <w:sz w:val="18"/>
                <w:szCs w:val="18"/>
              </w:rPr>
            </w:pPr>
            <w:r w:rsidRPr="00226892">
              <w:rPr>
                <w:rFonts w:ascii="Arial" w:hAnsi="Arial" w:cs="Arial"/>
                <w:color w:val="000000"/>
                <w:sz w:val="18"/>
                <w:szCs w:val="18"/>
              </w:rPr>
              <w:t>124</w:t>
            </w:r>
          </w:p>
        </w:tc>
      </w:tr>
      <w:tr w:rsidR="00C15DC8" w:rsidRPr="00226892" w14:paraId="76A8A0A8" w14:textId="77777777" w:rsidTr="00756C6D">
        <w:trPr>
          <w:trHeight w:val="240"/>
        </w:trPr>
        <w:tc>
          <w:tcPr>
            <w:tcW w:w="2708" w:type="pct"/>
            <w:tcBorders>
              <w:top w:val="nil"/>
              <w:left w:val="nil"/>
              <w:bottom w:val="nil"/>
              <w:right w:val="nil"/>
            </w:tcBorders>
            <w:shd w:val="clear" w:color="auto" w:fill="auto"/>
            <w:vAlign w:val="bottom"/>
            <w:hideMark/>
          </w:tcPr>
          <w:p w14:paraId="1885C1AE" w14:textId="77777777" w:rsidR="00C15DC8" w:rsidRPr="00226892" w:rsidRDefault="00C15DC8" w:rsidP="00C15DC8">
            <w:pPr>
              <w:rPr>
                <w:rFonts w:ascii="Arial" w:hAnsi="Arial" w:cs="Arial"/>
                <w:color w:val="000000"/>
                <w:sz w:val="18"/>
                <w:szCs w:val="18"/>
              </w:rPr>
            </w:pPr>
          </w:p>
        </w:tc>
        <w:tc>
          <w:tcPr>
            <w:tcW w:w="104" w:type="pct"/>
            <w:tcBorders>
              <w:top w:val="nil"/>
              <w:left w:val="nil"/>
              <w:bottom w:val="nil"/>
              <w:right w:val="nil"/>
            </w:tcBorders>
            <w:shd w:val="clear" w:color="auto" w:fill="auto"/>
            <w:vAlign w:val="bottom"/>
            <w:hideMark/>
          </w:tcPr>
          <w:p w14:paraId="5E63F2F8" w14:textId="77777777" w:rsidR="00C15DC8" w:rsidRPr="00226892" w:rsidRDefault="00C15DC8" w:rsidP="00C15DC8">
            <w:pPr>
              <w:rPr>
                <w:rFonts w:ascii="Arial" w:hAnsi="Arial" w:cs="Arial"/>
                <w:sz w:val="18"/>
                <w:szCs w:val="18"/>
              </w:rPr>
            </w:pPr>
          </w:p>
        </w:tc>
        <w:tc>
          <w:tcPr>
            <w:tcW w:w="1042" w:type="pct"/>
            <w:tcBorders>
              <w:top w:val="nil"/>
              <w:left w:val="nil"/>
              <w:bottom w:val="nil"/>
              <w:right w:val="nil"/>
            </w:tcBorders>
            <w:shd w:val="clear" w:color="auto" w:fill="auto"/>
            <w:vAlign w:val="bottom"/>
          </w:tcPr>
          <w:p w14:paraId="3B6D0E3A" w14:textId="77777777" w:rsidR="00C15DC8" w:rsidRPr="00226892" w:rsidRDefault="00C15DC8" w:rsidP="00C15DC8">
            <w:pPr>
              <w:jc w:val="right"/>
              <w:rPr>
                <w:rFonts w:ascii="Arial" w:hAnsi="Arial" w:cs="Arial"/>
                <w:sz w:val="18"/>
                <w:szCs w:val="18"/>
              </w:rPr>
            </w:pPr>
          </w:p>
        </w:tc>
        <w:tc>
          <w:tcPr>
            <w:tcW w:w="104" w:type="pct"/>
            <w:tcBorders>
              <w:top w:val="nil"/>
              <w:left w:val="nil"/>
              <w:bottom w:val="nil"/>
              <w:right w:val="nil"/>
            </w:tcBorders>
            <w:shd w:val="clear" w:color="auto" w:fill="auto"/>
            <w:vAlign w:val="bottom"/>
          </w:tcPr>
          <w:p w14:paraId="61C7A3C1" w14:textId="77777777" w:rsidR="00C15DC8" w:rsidRPr="00226892" w:rsidRDefault="00C15DC8" w:rsidP="00C15DC8">
            <w:pPr>
              <w:jc w:val="right"/>
              <w:rPr>
                <w:rFonts w:ascii="Arial" w:hAnsi="Arial" w:cs="Arial"/>
                <w:sz w:val="18"/>
                <w:szCs w:val="18"/>
              </w:rPr>
            </w:pPr>
          </w:p>
        </w:tc>
        <w:tc>
          <w:tcPr>
            <w:tcW w:w="1042" w:type="pct"/>
            <w:tcBorders>
              <w:top w:val="nil"/>
              <w:left w:val="nil"/>
              <w:bottom w:val="nil"/>
              <w:right w:val="nil"/>
            </w:tcBorders>
            <w:shd w:val="clear" w:color="auto" w:fill="auto"/>
            <w:vAlign w:val="bottom"/>
          </w:tcPr>
          <w:p w14:paraId="42E21767" w14:textId="77777777" w:rsidR="00C15DC8" w:rsidRPr="00226892" w:rsidRDefault="00C15DC8" w:rsidP="00C15DC8">
            <w:pPr>
              <w:jc w:val="right"/>
              <w:rPr>
                <w:rFonts w:ascii="Arial" w:hAnsi="Arial" w:cs="Arial"/>
                <w:sz w:val="18"/>
                <w:szCs w:val="18"/>
              </w:rPr>
            </w:pPr>
          </w:p>
        </w:tc>
      </w:tr>
      <w:tr w:rsidR="00C15DC8" w:rsidRPr="00226892" w14:paraId="2F685A04" w14:textId="77777777" w:rsidTr="00756C6D">
        <w:trPr>
          <w:trHeight w:val="240"/>
        </w:trPr>
        <w:tc>
          <w:tcPr>
            <w:tcW w:w="2708" w:type="pct"/>
            <w:tcBorders>
              <w:top w:val="nil"/>
              <w:left w:val="nil"/>
              <w:bottom w:val="nil"/>
              <w:right w:val="nil"/>
            </w:tcBorders>
            <w:shd w:val="clear" w:color="auto" w:fill="auto"/>
            <w:vAlign w:val="bottom"/>
            <w:hideMark/>
          </w:tcPr>
          <w:p w14:paraId="3E284FDB" w14:textId="77777777" w:rsidR="00C15DC8" w:rsidRPr="00226892" w:rsidRDefault="00C15DC8" w:rsidP="00C15DC8">
            <w:pPr>
              <w:rPr>
                <w:rFonts w:ascii="Arial" w:hAnsi="Arial" w:cs="Arial"/>
                <w:b/>
                <w:bCs/>
                <w:color w:val="000000"/>
                <w:sz w:val="18"/>
                <w:szCs w:val="18"/>
              </w:rPr>
            </w:pPr>
            <w:proofErr w:type="spellStart"/>
            <w:r w:rsidRPr="00226892">
              <w:rPr>
                <w:rFonts w:ascii="Arial" w:hAnsi="Arial" w:cs="Arial"/>
                <w:b/>
                <w:bCs/>
                <w:color w:val="000000"/>
                <w:sz w:val="18"/>
                <w:szCs w:val="18"/>
              </w:rPr>
              <w:t>Finančné</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náklady</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spolu</w:t>
            </w:r>
            <w:proofErr w:type="spellEnd"/>
          </w:p>
        </w:tc>
        <w:tc>
          <w:tcPr>
            <w:tcW w:w="104" w:type="pct"/>
            <w:tcBorders>
              <w:top w:val="nil"/>
              <w:left w:val="nil"/>
              <w:bottom w:val="nil"/>
              <w:right w:val="nil"/>
            </w:tcBorders>
            <w:shd w:val="clear" w:color="auto" w:fill="auto"/>
            <w:vAlign w:val="bottom"/>
            <w:hideMark/>
          </w:tcPr>
          <w:p w14:paraId="2B8C6418" w14:textId="77777777" w:rsidR="00C15DC8" w:rsidRPr="00226892" w:rsidRDefault="00C15DC8" w:rsidP="00C15DC8">
            <w:pPr>
              <w:rPr>
                <w:rFonts w:ascii="Arial" w:hAnsi="Arial" w:cs="Arial"/>
                <w:b/>
                <w:bCs/>
                <w:color w:val="000000"/>
                <w:sz w:val="18"/>
                <w:szCs w:val="18"/>
              </w:rPr>
            </w:pPr>
          </w:p>
        </w:tc>
        <w:tc>
          <w:tcPr>
            <w:tcW w:w="1042" w:type="pct"/>
            <w:tcBorders>
              <w:top w:val="nil"/>
              <w:left w:val="nil"/>
              <w:bottom w:val="double" w:sz="6" w:space="0" w:color="auto"/>
              <w:right w:val="nil"/>
            </w:tcBorders>
            <w:shd w:val="clear" w:color="auto" w:fill="auto"/>
            <w:vAlign w:val="bottom"/>
          </w:tcPr>
          <w:p w14:paraId="43E8B6E6" w14:textId="738A2065" w:rsidR="00C15DC8" w:rsidRPr="00226892" w:rsidRDefault="00C15DC8" w:rsidP="00C15DC8">
            <w:pPr>
              <w:jc w:val="right"/>
              <w:rPr>
                <w:rFonts w:ascii="Arial" w:hAnsi="Arial" w:cs="Arial"/>
                <w:b/>
                <w:bCs/>
                <w:color w:val="000000"/>
                <w:sz w:val="18"/>
                <w:szCs w:val="18"/>
              </w:rPr>
            </w:pPr>
            <w:r w:rsidRPr="00226892">
              <w:rPr>
                <w:rFonts w:ascii="Arial" w:hAnsi="Arial" w:cs="Arial"/>
                <w:b/>
                <w:bCs/>
                <w:color w:val="000000"/>
                <w:sz w:val="18"/>
                <w:szCs w:val="18"/>
              </w:rPr>
              <w:t>644</w:t>
            </w:r>
          </w:p>
        </w:tc>
        <w:tc>
          <w:tcPr>
            <w:tcW w:w="104" w:type="pct"/>
            <w:tcBorders>
              <w:top w:val="nil"/>
              <w:left w:val="nil"/>
              <w:bottom w:val="nil"/>
              <w:right w:val="nil"/>
            </w:tcBorders>
            <w:shd w:val="clear" w:color="auto" w:fill="auto"/>
            <w:vAlign w:val="bottom"/>
          </w:tcPr>
          <w:p w14:paraId="51BD68A6" w14:textId="77777777" w:rsidR="00C15DC8" w:rsidRPr="00226892" w:rsidRDefault="00C15DC8" w:rsidP="00C15DC8">
            <w:pPr>
              <w:jc w:val="right"/>
              <w:rPr>
                <w:rFonts w:ascii="Arial" w:hAnsi="Arial" w:cs="Arial"/>
                <w:b/>
                <w:bCs/>
                <w:color w:val="000000"/>
                <w:sz w:val="18"/>
                <w:szCs w:val="18"/>
              </w:rPr>
            </w:pPr>
          </w:p>
        </w:tc>
        <w:tc>
          <w:tcPr>
            <w:tcW w:w="1042" w:type="pct"/>
            <w:tcBorders>
              <w:top w:val="nil"/>
              <w:left w:val="nil"/>
              <w:bottom w:val="double" w:sz="6" w:space="0" w:color="auto"/>
              <w:right w:val="nil"/>
            </w:tcBorders>
            <w:shd w:val="clear" w:color="auto" w:fill="auto"/>
            <w:vAlign w:val="bottom"/>
          </w:tcPr>
          <w:p w14:paraId="6A649300" w14:textId="1509B1E4" w:rsidR="00C15DC8" w:rsidRPr="00226892" w:rsidRDefault="00C15DC8" w:rsidP="00C15DC8">
            <w:pPr>
              <w:jc w:val="right"/>
              <w:rPr>
                <w:rFonts w:ascii="Arial" w:hAnsi="Arial" w:cs="Arial"/>
                <w:b/>
                <w:bCs/>
                <w:color w:val="000000"/>
                <w:sz w:val="18"/>
                <w:szCs w:val="18"/>
              </w:rPr>
            </w:pPr>
            <w:r w:rsidRPr="00226892">
              <w:rPr>
                <w:rFonts w:ascii="Arial" w:hAnsi="Arial" w:cs="Arial"/>
                <w:b/>
                <w:bCs/>
                <w:color w:val="000000"/>
                <w:sz w:val="18"/>
                <w:szCs w:val="18"/>
              </w:rPr>
              <w:t>809</w:t>
            </w:r>
          </w:p>
        </w:tc>
      </w:tr>
      <w:tr w:rsidR="00C15DC8" w:rsidRPr="00226892" w14:paraId="109F4124" w14:textId="77777777" w:rsidTr="00756C6D">
        <w:trPr>
          <w:trHeight w:val="240"/>
        </w:trPr>
        <w:tc>
          <w:tcPr>
            <w:tcW w:w="2708" w:type="pct"/>
            <w:tcBorders>
              <w:top w:val="nil"/>
              <w:left w:val="nil"/>
              <w:bottom w:val="nil"/>
              <w:right w:val="nil"/>
            </w:tcBorders>
            <w:shd w:val="clear" w:color="auto" w:fill="auto"/>
            <w:vAlign w:val="bottom"/>
            <w:hideMark/>
          </w:tcPr>
          <w:p w14:paraId="51521E53" w14:textId="77777777" w:rsidR="00C15DC8" w:rsidRPr="00226892" w:rsidRDefault="00C15DC8" w:rsidP="00C15DC8">
            <w:pPr>
              <w:rPr>
                <w:rFonts w:ascii="Arial" w:hAnsi="Arial" w:cs="Arial"/>
                <w:b/>
                <w:bCs/>
                <w:color w:val="000000"/>
                <w:sz w:val="18"/>
                <w:szCs w:val="18"/>
              </w:rPr>
            </w:pPr>
          </w:p>
        </w:tc>
        <w:tc>
          <w:tcPr>
            <w:tcW w:w="104" w:type="pct"/>
            <w:tcBorders>
              <w:top w:val="nil"/>
              <w:left w:val="nil"/>
              <w:bottom w:val="nil"/>
              <w:right w:val="nil"/>
            </w:tcBorders>
            <w:shd w:val="clear" w:color="auto" w:fill="auto"/>
            <w:vAlign w:val="bottom"/>
            <w:hideMark/>
          </w:tcPr>
          <w:p w14:paraId="56622BF2" w14:textId="77777777" w:rsidR="00C15DC8" w:rsidRPr="00226892" w:rsidRDefault="00C15DC8" w:rsidP="00C15DC8">
            <w:pPr>
              <w:rPr>
                <w:rFonts w:ascii="Arial" w:hAnsi="Arial" w:cs="Arial"/>
                <w:sz w:val="18"/>
                <w:szCs w:val="18"/>
              </w:rPr>
            </w:pPr>
          </w:p>
        </w:tc>
        <w:tc>
          <w:tcPr>
            <w:tcW w:w="1042" w:type="pct"/>
            <w:tcBorders>
              <w:top w:val="nil"/>
              <w:left w:val="nil"/>
              <w:bottom w:val="nil"/>
              <w:right w:val="nil"/>
            </w:tcBorders>
            <w:shd w:val="clear" w:color="auto" w:fill="auto"/>
            <w:vAlign w:val="bottom"/>
          </w:tcPr>
          <w:p w14:paraId="0F3CBBEF" w14:textId="77777777" w:rsidR="00C15DC8" w:rsidRPr="00226892" w:rsidRDefault="00C15DC8" w:rsidP="00C15DC8">
            <w:pPr>
              <w:jc w:val="right"/>
              <w:rPr>
                <w:rFonts w:ascii="Arial" w:hAnsi="Arial" w:cs="Arial"/>
                <w:sz w:val="18"/>
                <w:szCs w:val="18"/>
              </w:rPr>
            </w:pPr>
          </w:p>
        </w:tc>
        <w:tc>
          <w:tcPr>
            <w:tcW w:w="104" w:type="pct"/>
            <w:tcBorders>
              <w:top w:val="nil"/>
              <w:left w:val="nil"/>
              <w:bottom w:val="nil"/>
              <w:right w:val="nil"/>
            </w:tcBorders>
            <w:shd w:val="clear" w:color="auto" w:fill="auto"/>
            <w:vAlign w:val="bottom"/>
          </w:tcPr>
          <w:p w14:paraId="28026B36" w14:textId="77777777" w:rsidR="00C15DC8" w:rsidRPr="00226892" w:rsidRDefault="00C15DC8" w:rsidP="00C15DC8">
            <w:pPr>
              <w:jc w:val="right"/>
              <w:rPr>
                <w:rFonts w:ascii="Arial" w:hAnsi="Arial" w:cs="Arial"/>
                <w:sz w:val="18"/>
                <w:szCs w:val="18"/>
              </w:rPr>
            </w:pPr>
          </w:p>
        </w:tc>
        <w:tc>
          <w:tcPr>
            <w:tcW w:w="1042" w:type="pct"/>
            <w:tcBorders>
              <w:top w:val="nil"/>
              <w:left w:val="nil"/>
              <w:bottom w:val="nil"/>
              <w:right w:val="nil"/>
            </w:tcBorders>
            <w:shd w:val="clear" w:color="auto" w:fill="auto"/>
            <w:vAlign w:val="bottom"/>
          </w:tcPr>
          <w:p w14:paraId="7FD7B09C" w14:textId="77777777" w:rsidR="00C15DC8" w:rsidRPr="00226892" w:rsidRDefault="00C15DC8" w:rsidP="00C15DC8">
            <w:pPr>
              <w:jc w:val="right"/>
              <w:rPr>
                <w:rFonts w:ascii="Arial" w:hAnsi="Arial" w:cs="Arial"/>
                <w:sz w:val="18"/>
                <w:szCs w:val="18"/>
              </w:rPr>
            </w:pPr>
          </w:p>
        </w:tc>
      </w:tr>
      <w:tr w:rsidR="00C15DC8" w:rsidRPr="00226892" w14:paraId="12D8A799" w14:textId="77777777" w:rsidTr="00756C6D">
        <w:trPr>
          <w:trHeight w:val="240"/>
        </w:trPr>
        <w:tc>
          <w:tcPr>
            <w:tcW w:w="2708" w:type="pct"/>
            <w:tcBorders>
              <w:top w:val="nil"/>
              <w:left w:val="nil"/>
              <w:bottom w:val="nil"/>
              <w:right w:val="nil"/>
            </w:tcBorders>
            <w:shd w:val="clear" w:color="auto" w:fill="auto"/>
            <w:vAlign w:val="bottom"/>
            <w:hideMark/>
          </w:tcPr>
          <w:p w14:paraId="4892CE48" w14:textId="77777777" w:rsidR="00C15DC8" w:rsidRPr="00226892" w:rsidRDefault="00C15DC8" w:rsidP="00C15DC8">
            <w:pPr>
              <w:rPr>
                <w:rFonts w:ascii="Arial" w:hAnsi="Arial" w:cs="Arial"/>
                <w:color w:val="000000"/>
                <w:sz w:val="18"/>
                <w:szCs w:val="18"/>
              </w:rPr>
            </w:pPr>
            <w:proofErr w:type="spellStart"/>
            <w:r w:rsidRPr="00226892">
              <w:rPr>
                <w:rFonts w:ascii="Arial" w:hAnsi="Arial" w:cs="Arial"/>
                <w:color w:val="000000"/>
                <w:sz w:val="18"/>
                <w:szCs w:val="18"/>
              </w:rPr>
              <w:t>Úrokové</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výnosy</w:t>
            </w:r>
            <w:proofErr w:type="spellEnd"/>
          </w:p>
        </w:tc>
        <w:tc>
          <w:tcPr>
            <w:tcW w:w="104" w:type="pct"/>
            <w:tcBorders>
              <w:top w:val="nil"/>
              <w:left w:val="nil"/>
              <w:bottom w:val="nil"/>
              <w:right w:val="nil"/>
            </w:tcBorders>
            <w:shd w:val="clear" w:color="auto" w:fill="auto"/>
            <w:vAlign w:val="bottom"/>
            <w:hideMark/>
          </w:tcPr>
          <w:p w14:paraId="43006F95" w14:textId="77777777" w:rsidR="00C15DC8" w:rsidRPr="00226892" w:rsidRDefault="00C15DC8" w:rsidP="00C15DC8">
            <w:pPr>
              <w:rPr>
                <w:rFonts w:ascii="Arial" w:hAnsi="Arial" w:cs="Arial"/>
                <w:color w:val="000000"/>
                <w:sz w:val="18"/>
                <w:szCs w:val="18"/>
              </w:rPr>
            </w:pPr>
          </w:p>
        </w:tc>
        <w:tc>
          <w:tcPr>
            <w:tcW w:w="1042" w:type="pct"/>
            <w:tcBorders>
              <w:top w:val="nil"/>
              <w:left w:val="nil"/>
              <w:bottom w:val="nil"/>
              <w:right w:val="nil"/>
            </w:tcBorders>
            <w:shd w:val="clear" w:color="auto" w:fill="auto"/>
            <w:vAlign w:val="bottom"/>
          </w:tcPr>
          <w:p w14:paraId="02C56F4A" w14:textId="2FFA25C3" w:rsidR="00C15DC8" w:rsidRPr="00226892" w:rsidRDefault="00C15DC8" w:rsidP="00C15DC8">
            <w:pPr>
              <w:pStyle w:val="Odsekzoznamu"/>
              <w:jc w:val="right"/>
              <w:rPr>
                <w:rFonts w:ascii="Arial" w:hAnsi="Arial" w:cs="Arial"/>
                <w:color w:val="000000"/>
                <w:sz w:val="18"/>
                <w:szCs w:val="18"/>
              </w:rPr>
            </w:pPr>
            <w:r w:rsidRPr="00226892">
              <w:rPr>
                <w:rFonts w:ascii="Arial" w:hAnsi="Arial" w:cs="Arial"/>
                <w:color w:val="000000"/>
                <w:sz w:val="18"/>
                <w:szCs w:val="18"/>
              </w:rPr>
              <w:t>-6</w:t>
            </w:r>
          </w:p>
        </w:tc>
        <w:tc>
          <w:tcPr>
            <w:tcW w:w="104" w:type="pct"/>
            <w:tcBorders>
              <w:top w:val="nil"/>
              <w:left w:val="nil"/>
              <w:bottom w:val="nil"/>
              <w:right w:val="nil"/>
            </w:tcBorders>
            <w:shd w:val="clear" w:color="auto" w:fill="auto"/>
            <w:vAlign w:val="bottom"/>
          </w:tcPr>
          <w:p w14:paraId="6B4B1A49" w14:textId="77777777" w:rsidR="00C15DC8" w:rsidRPr="00226892" w:rsidRDefault="00C15DC8" w:rsidP="00C15DC8">
            <w:pPr>
              <w:jc w:val="right"/>
              <w:rPr>
                <w:rFonts w:ascii="Arial" w:hAnsi="Arial" w:cs="Arial"/>
                <w:color w:val="000000"/>
                <w:sz w:val="18"/>
                <w:szCs w:val="18"/>
              </w:rPr>
            </w:pPr>
          </w:p>
        </w:tc>
        <w:tc>
          <w:tcPr>
            <w:tcW w:w="1042" w:type="pct"/>
            <w:tcBorders>
              <w:top w:val="nil"/>
              <w:left w:val="nil"/>
              <w:bottom w:val="nil"/>
              <w:right w:val="nil"/>
            </w:tcBorders>
            <w:shd w:val="clear" w:color="auto" w:fill="auto"/>
            <w:vAlign w:val="bottom"/>
          </w:tcPr>
          <w:p w14:paraId="3B3C4966" w14:textId="2A876A94" w:rsidR="00C15DC8" w:rsidRPr="00226892" w:rsidRDefault="00C15DC8" w:rsidP="00C15DC8">
            <w:pPr>
              <w:jc w:val="right"/>
              <w:rPr>
                <w:rFonts w:ascii="Arial" w:hAnsi="Arial" w:cs="Arial"/>
                <w:color w:val="000000"/>
                <w:sz w:val="18"/>
                <w:szCs w:val="18"/>
              </w:rPr>
            </w:pPr>
            <w:r w:rsidRPr="00226892">
              <w:rPr>
                <w:rFonts w:ascii="Arial" w:hAnsi="Arial" w:cs="Arial"/>
                <w:color w:val="000000"/>
                <w:sz w:val="18"/>
                <w:szCs w:val="18"/>
              </w:rPr>
              <w:t>-19</w:t>
            </w:r>
          </w:p>
        </w:tc>
      </w:tr>
      <w:tr w:rsidR="00C15DC8" w:rsidRPr="00226892" w14:paraId="27705170" w14:textId="77777777" w:rsidTr="00756C6D">
        <w:trPr>
          <w:trHeight w:val="240"/>
        </w:trPr>
        <w:tc>
          <w:tcPr>
            <w:tcW w:w="2708" w:type="pct"/>
            <w:tcBorders>
              <w:top w:val="nil"/>
              <w:left w:val="nil"/>
              <w:bottom w:val="nil"/>
              <w:right w:val="nil"/>
            </w:tcBorders>
            <w:shd w:val="clear" w:color="auto" w:fill="auto"/>
            <w:vAlign w:val="bottom"/>
            <w:hideMark/>
          </w:tcPr>
          <w:p w14:paraId="3618E4A0" w14:textId="1AB49DCD" w:rsidR="00C15DC8" w:rsidRPr="00226892" w:rsidRDefault="00C15DC8" w:rsidP="00C15DC8">
            <w:pPr>
              <w:rPr>
                <w:rFonts w:ascii="Arial" w:hAnsi="Arial" w:cs="Arial"/>
                <w:color w:val="000000"/>
                <w:sz w:val="18"/>
                <w:szCs w:val="18"/>
              </w:rPr>
            </w:pPr>
            <w:proofErr w:type="spellStart"/>
            <w:r w:rsidRPr="00226892">
              <w:rPr>
                <w:rFonts w:ascii="Arial" w:hAnsi="Arial" w:cs="Arial"/>
                <w:color w:val="000000"/>
                <w:sz w:val="18"/>
                <w:szCs w:val="18"/>
              </w:rPr>
              <w:t>Kurzové</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zisky</w:t>
            </w:r>
            <w:proofErr w:type="spellEnd"/>
          </w:p>
        </w:tc>
        <w:tc>
          <w:tcPr>
            <w:tcW w:w="104" w:type="pct"/>
            <w:tcBorders>
              <w:top w:val="nil"/>
              <w:left w:val="nil"/>
              <w:bottom w:val="nil"/>
              <w:right w:val="nil"/>
            </w:tcBorders>
            <w:shd w:val="clear" w:color="auto" w:fill="auto"/>
            <w:vAlign w:val="bottom"/>
            <w:hideMark/>
          </w:tcPr>
          <w:p w14:paraId="74079142" w14:textId="77777777" w:rsidR="00C15DC8" w:rsidRPr="00226892" w:rsidRDefault="00C15DC8" w:rsidP="00C15DC8">
            <w:pPr>
              <w:rPr>
                <w:rFonts w:ascii="Arial" w:hAnsi="Arial" w:cs="Arial"/>
                <w:color w:val="000000"/>
                <w:sz w:val="18"/>
                <w:szCs w:val="18"/>
              </w:rPr>
            </w:pPr>
          </w:p>
        </w:tc>
        <w:tc>
          <w:tcPr>
            <w:tcW w:w="1042" w:type="pct"/>
            <w:tcBorders>
              <w:top w:val="nil"/>
              <w:left w:val="nil"/>
              <w:bottom w:val="nil"/>
              <w:right w:val="nil"/>
            </w:tcBorders>
            <w:shd w:val="clear" w:color="auto" w:fill="auto"/>
            <w:vAlign w:val="bottom"/>
          </w:tcPr>
          <w:p w14:paraId="615C8796" w14:textId="693FCA12" w:rsidR="00C15DC8" w:rsidRPr="00226892" w:rsidRDefault="00C15DC8" w:rsidP="00C15DC8">
            <w:pPr>
              <w:jc w:val="right"/>
              <w:rPr>
                <w:rFonts w:ascii="Arial" w:hAnsi="Arial" w:cs="Arial"/>
                <w:color w:val="000000"/>
                <w:sz w:val="18"/>
                <w:szCs w:val="18"/>
              </w:rPr>
            </w:pPr>
            <w:r w:rsidRPr="00226892">
              <w:rPr>
                <w:rFonts w:ascii="Arial" w:hAnsi="Arial" w:cs="Arial"/>
                <w:color w:val="000000"/>
                <w:sz w:val="18"/>
                <w:szCs w:val="18"/>
              </w:rPr>
              <w:t>-</w:t>
            </w:r>
          </w:p>
        </w:tc>
        <w:tc>
          <w:tcPr>
            <w:tcW w:w="104" w:type="pct"/>
            <w:tcBorders>
              <w:top w:val="nil"/>
              <w:left w:val="nil"/>
              <w:bottom w:val="nil"/>
              <w:right w:val="nil"/>
            </w:tcBorders>
            <w:shd w:val="clear" w:color="auto" w:fill="auto"/>
            <w:vAlign w:val="bottom"/>
          </w:tcPr>
          <w:p w14:paraId="35CA7403" w14:textId="77777777" w:rsidR="00C15DC8" w:rsidRPr="00226892" w:rsidRDefault="00C15DC8" w:rsidP="00C15DC8">
            <w:pPr>
              <w:jc w:val="right"/>
              <w:rPr>
                <w:rFonts w:ascii="Arial" w:hAnsi="Arial" w:cs="Arial"/>
                <w:color w:val="000000"/>
                <w:sz w:val="18"/>
                <w:szCs w:val="18"/>
              </w:rPr>
            </w:pPr>
          </w:p>
        </w:tc>
        <w:tc>
          <w:tcPr>
            <w:tcW w:w="1042" w:type="pct"/>
            <w:tcBorders>
              <w:top w:val="nil"/>
              <w:left w:val="nil"/>
              <w:bottom w:val="nil"/>
              <w:right w:val="nil"/>
            </w:tcBorders>
            <w:shd w:val="clear" w:color="auto" w:fill="auto"/>
            <w:vAlign w:val="bottom"/>
          </w:tcPr>
          <w:p w14:paraId="32D16DDC" w14:textId="4F37FD23" w:rsidR="00C15DC8" w:rsidRPr="00226892" w:rsidRDefault="00C15DC8" w:rsidP="00C15DC8">
            <w:pPr>
              <w:jc w:val="right"/>
              <w:rPr>
                <w:rFonts w:ascii="Arial" w:hAnsi="Arial" w:cs="Arial"/>
                <w:color w:val="000000"/>
                <w:sz w:val="18"/>
                <w:szCs w:val="18"/>
              </w:rPr>
            </w:pPr>
            <w:r w:rsidRPr="00226892">
              <w:rPr>
                <w:rFonts w:ascii="Arial" w:hAnsi="Arial" w:cs="Arial"/>
                <w:color w:val="000000"/>
                <w:sz w:val="18"/>
                <w:szCs w:val="18"/>
              </w:rPr>
              <w:t>-63</w:t>
            </w:r>
          </w:p>
        </w:tc>
      </w:tr>
      <w:tr w:rsidR="00C15DC8" w:rsidRPr="00226892" w14:paraId="550B7D24" w14:textId="77777777" w:rsidTr="00756C6D">
        <w:trPr>
          <w:trHeight w:val="240"/>
        </w:trPr>
        <w:tc>
          <w:tcPr>
            <w:tcW w:w="2708" w:type="pct"/>
            <w:tcBorders>
              <w:top w:val="nil"/>
              <w:left w:val="nil"/>
              <w:bottom w:val="nil"/>
              <w:right w:val="nil"/>
            </w:tcBorders>
            <w:shd w:val="clear" w:color="auto" w:fill="auto"/>
            <w:noWrap/>
            <w:vAlign w:val="bottom"/>
            <w:hideMark/>
          </w:tcPr>
          <w:p w14:paraId="1CA24E62" w14:textId="355DDBFC" w:rsidR="00C15DC8" w:rsidRPr="00226892" w:rsidRDefault="00C15DC8" w:rsidP="00C15DC8">
            <w:pPr>
              <w:rPr>
                <w:rFonts w:ascii="Arial" w:hAnsi="Arial" w:cs="Arial"/>
                <w:color w:val="000000"/>
                <w:sz w:val="18"/>
                <w:szCs w:val="18"/>
              </w:rPr>
            </w:pPr>
            <w:proofErr w:type="spellStart"/>
            <w:r w:rsidRPr="00226892">
              <w:rPr>
                <w:rFonts w:ascii="Arial" w:hAnsi="Arial" w:cs="Arial"/>
                <w:color w:val="000000"/>
                <w:sz w:val="18"/>
                <w:szCs w:val="18"/>
              </w:rPr>
              <w:t>Ostatné</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finančné</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výnosy</w:t>
            </w:r>
            <w:proofErr w:type="spellEnd"/>
          </w:p>
        </w:tc>
        <w:tc>
          <w:tcPr>
            <w:tcW w:w="104" w:type="pct"/>
            <w:tcBorders>
              <w:top w:val="nil"/>
              <w:left w:val="nil"/>
              <w:bottom w:val="nil"/>
              <w:right w:val="nil"/>
            </w:tcBorders>
            <w:shd w:val="clear" w:color="auto" w:fill="auto"/>
            <w:vAlign w:val="bottom"/>
            <w:hideMark/>
          </w:tcPr>
          <w:p w14:paraId="19A5C91D" w14:textId="77777777" w:rsidR="00C15DC8" w:rsidRPr="00226892" w:rsidRDefault="00C15DC8" w:rsidP="00C15DC8">
            <w:pPr>
              <w:rPr>
                <w:rFonts w:ascii="Arial" w:hAnsi="Arial" w:cs="Arial"/>
                <w:color w:val="000000"/>
                <w:sz w:val="18"/>
                <w:szCs w:val="18"/>
              </w:rPr>
            </w:pPr>
          </w:p>
        </w:tc>
        <w:tc>
          <w:tcPr>
            <w:tcW w:w="1042" w:type="pct"/>
            <w:tcBorders>
              <w:top w:val="nil"/>
              <w:left w:val="nil"/>
              <w:bottom w:val="nil"/>
              <w:right w:val="nil"/>
            </w:tcBorders>
            <w:shd w:val="clear" w:color="auto" w:fill="auto"/>
            <w:vAlign w:val="bottom"/>
          </w:tcPr>
          <w:p w14:paraId="08212A44" w14:textId="31F7176F" w:rsidR="00C15DC8" w:rsidRPr="00226892" w:rsidRDefault="00C15DC8" w:rsidP="00C15DC8">
            <w:pPr>
              <w:pStyle w:val="Odsekzoznamu"/>
              <w:jc w:val="right"/>
              <w:rPr>
                <w:rFonts w:ascii="Arial" w:hAnsi="Arial" w:cs="Arial"/>
                <w:color w:val="000000"/>
                <w:sz w:val="18"/>
                <w:szCs w:val="18"/>
              </w:rPr>
            </w:pPr>
            <w:r w:rsidRPr="00226892">
              <w:rPr>
                <w:rFonts w:ascii="Arial" w:hAnsi="Arial" w:cs="Arial"/>
                <w:color w:val="000000"/>
                <w:sz w:val="18"/>
                <w:szCs w:val="18"/>
              </w:rPr>
              <w:t>-40</w:t>
            </w:r>
          </w:p>
        </w:tc>
        <w:tc>
          <w:tcPr>
            <w:tcW w:w="104" w:type="pct"/>
            <w:tcBorders>
              <w:top w:val="nil"/>
              <w:left w:val="nil"/>
              <w:bottom w:val="nil"/>
              <w:right w:val="nil"/>
            </w:tcBorders>
            <w:shd w:val="clear" w:color="auto" w:fill="auto"/>
            <w:vAlign w:val="bottom"/>
          </w:tcPr>
          <w:p w14:paraId="7B5F262D" w14:textId="77777777" w:rsidR="00C15DC8" w:rsidRPr="00226892" w:rsidRDefault="00C15DC8" w:rsidP="00C15DC8">
            <w:pPr>
              <w:jc w:val="right"/>
              <w:rPr>
                <w:rFonts w:ascii="Arial" w:hAnsi="Arial" w:cs="Arial"/>
                <w:color w:val="000000"/>
                <w:sz w:val="18"/>
                <w:szCs w:val="18"/>
              </w:rPr>
            </w:pPr>
          </w:p>
        </w:tc>
        <w:tc>
          <w:tcPr>
            <w:tcW w:w="1042" w:type="pct"/>
            <w:tcBorders>
              <w:top w:val="nil"/>
              <w:left w:val="nil"/>
              <w:bottom w:val="nil"/>
              <w:right w:val="nil"/>
            </w:tcBorders>
            <w:shd w:val="clear" w:color="auto" w:fill="auto"/>
            <w:vAlign w:val="bottom"/>
          </w:tcPr>
          <w:p w14:paraId="0C488463" w14:textId="6F4AD07E" w:rsidR="00C15DC8" w:rsidRPr="00226892" w:rsidRDefault="00C15DC8" w:rsidP="00C15DC8">
            <w:pPr>
              <w:pStyle w:val="Odsekzoznamu"/>
              <w:jc w:val="right"/>
              <w:rPr>
                <w:rFonts w:ascii="Arial" w:hAnsi="Arial" w:cs="Arial"/>
                <w:color w:val="000000"/>
                <w:sz w:val="18"/>
                <w:szCs w:val="18"/>
              </w:rPr>
            </w:pPr>
            <w:r w:rsidRPr="00226892">
              <w:rPr>
                <w:rFonts w:ascii="Arial" w:hAnsi="Arial" w:cs="Arial"/>
                <w:color w:val="000000"/>
                <w:sz w:val="18"/>
                <w:szCs w:val="18"/>
              </w:rPr>
              <w:t>-61</w:t>
            </w:r>
          </w:p>
        </w:tc>
      </w:tr>
      <w:tr w:rsidR="00C15DC8" w:rsidRPr="00226892" w14:paraId="1B4017AA" w14:textId="77777777" w:rsidTr="00756C6D">
        <w:trPr>
          <w:trHeight w:val="240"/>
        </w:trPr>
        <w:tc>
          <w:tcPr>
            <w:tcW w:w="2708" w:type="pct"/>
            <w:tcBorders>
              <w:top w:val="nil"/>
              <w:left w:val="nil"/>
              <w:bottom w:val="nil"/>
              <w:right w:val="nil"/>
            </w:tcBorders>
            <w:shd w:val="clear" w:color="auto" w:fill="auto"/>
            <w:noWrap/>
            <w:vAlign w:val="bottom"/>
            <w:hideMark/>
          </w:tcPr>
          <w:p w14:paraId="34CCAA3E" w14:textId="77777777" w:rsidR="00C15DC8" w:rsidRPr="00226892" w:rsidRDefault="00C15DC8" w:rsidP="00C15DC8">
            <w:pPr>
              <w:rPr>
                <w:rFonts w:ascii="Arial" w:hAnsi="Arial" w:cs="Arial"/>
                <w:b/>
                <w:bCs/>
                <w:color w:val="000000"/>
                <w:sz w:val="18"/>
                <w:szCs w:val="18"/>
              </w:rPr>
            </w:pPr>
            <w:proofErr w:type="spellStart"/>
            <w:r w:rsidRPr="00226892">
              <w:rPr>
                <w:rFonts w:ascii="Arial" w:hAnsi="Arial" w:cs="Arial"/>
                <w:b/>
                <w:bCs/>
                <w:color w:val="000000"/>
                <w:sz w:val="18"/>
                <w:szCs w:val="18"/>
              </w:rPr>
              <w:t>Spolu</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finančné</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náklady</w:t>
            </w:r>
            <w:proofErr w:type="spellEnd"/>
            <w:r w:rsidRPr="00226892">
              <w:rPr>
                <w:rFonts w:ascii="Arial" w:hAnsi="Arial" w:cs="Arial"/>
                <w:b/>
                <w:bCs/>
                <w:color w:val="000000"/>
                <w:sz w:val="18"/>
                <w:szCs w:val="18"/>
              </w:rPr>
              <w:t xml:space="preserve"> / (-) </w:t>
            </w:r>
            <w:proofErr w:type="spellStart"/>
            <w:r w:rsidRPr="00226892">
              <w:rPr>
                <w:rFonts w:ascii="Arial" w:hAnsi="Arial" w:cs="Arial"/>
                <w:b/>
                <w:bCs/>
                <w:color w:val="000000"/>
                <w:sz w:val="18"/>
                <w:szCs w:val="18"/>
              </w:rPr>
              <w:t>výnosy</w:t>
            </w:r>
            <w:proofErr w:type="spellEnd"/>
            <w:r w:rsidRPr="00226892">
              <w:rPr>
                <w:rFonts w:ascii="Arial" w:hAnsi="Arial" w:cs="Arial"/>
                <w:b/>
                <w:bCs/>
                <w:color w:val="000000"/>
                <w:sz w:val="18"/>
                <w:szCs w:val="18"/>
              </w:rPr>
              <w:t xml:space="preserve"> – </w:t>
            </w:r>
            <w:proofErr w:type="spellStart"/>
            <w:r w:rsidRPr="00226892">
              <w:rPr>
                <w:rFonts w:ascii="Arial" w:hAnsi="Arial" w:cs="Arial"/>
                <w:b/>
                <w:bCs/>
                <w:color w:val="000000"/>
                <w:sz w:val="18"/>
                <w:szCs w:val="18"/>
              </w:rPr>
              <w:t>netto</w:t>
            </w:r>
            <w:proofErr w:type="spellEnd"/>
            <w:r w:rsidRPr="00226892">
              <w:rPr>
                <w:rFonts w:ascii="Arial" w:hAnsi="Arial" w:cs="Arial"/>
                <w:b/>
                <w:bCs/>
                <w:color w:val="000000"/>
                <w:sz w:val="18"/>
                <w:szCs w:val="18"/>
              </w:rPr>
              <w:t xml:space="preserve"> </w:t>
            </w:r>
          </w:p>
        </w:tc>
        <w:tc>
          <w:tcPr>
            <w:tcW w:w="104" w:type="pct"/>
            <w:tcBorders>
              <w:top w:val="nil"/>
              <w:left w:val="nil"/>
              <w:bottom w:val="nil"/>
              <w:right w:val="nil"/>
            </w:tcBorders>
            <w:shd w:val="clear" w:color="auto" w:fill="auto"/>
            <w:vAlign w:val="bottom"/>
            <w:hideMark/>
          </w:tcPr>
          <w:p w14:paraId="2AABD009" w14:textId="77777777" w:rsidR="00C15DC8" w:rsidRPr="00226892" w:rsidRDefault="00C15DC8" w:rsidP="00C15DC8">
            <w:pPr>
              <w:rPr>
                <w:rFonts w:ascii="Arial" w:hAnsi="Arial" w:cs="Arial"/>
                <w:b/>
                <w:bCs/>
                <w:color w:val="000000"/>
                <w:sz w:val="18"/>
                <w:szCs w:val="18"/>
              </w:rPr>
            </w:pPr>
          </w:p>
        </w:tc>
        <w:tc>
          <w:tcPr>
            <w:tcW w:w="1042" w:type="pct"/>
            <w:tcBorders>
              <w:top w:val="single" w:sz="4" w:space="0" w:color="auto"/>
              <w:left w:val="nil"/>
              <w:bottom w:val="double" w:sz="6" w:space="0" w:color="auto"/>
              <w:right w:val="nil"/>
            </w:tcBorders>
            <w:shd w:val="clear" w:color="auto" w:fill="auto"/>
            <w:vAlign w:val="bottom"/>
          </w:tcPr>
          <w:p w14:paraId="1C58B600" w14:textId="242D6371" w:rsidR="00C15DC8" w:rsidRPr="00226892" w:rsidRDefault="00C15DC8" w:rsidP="00C15DC8">
            <w:pPr>
              <w:pStyle w:val="Odsekzoznamu"/>
              <w:jc w:val="right"/>
              <w:rPr>
                <w:rFonts w:ascii="Arial" w:hAnsi="Arial" w:cs="Arial"/>
                <w:b/>
                <w:bCs/>
                <w:color w:val="000000"/>
                <w:sz w:val="18"/>
                <w:szCs w:val="18"/>
              </w:rPr>
            </w:pPr>
            <w:r w:rsidRPr="00226892">
              <w:rPr>
                <w:rFonts w:ascii="Arial" w:hAnsi="Arial" w:cs="Arial"/>
                <w:b/>
                <w:bCs/>
                <w:color w:val="000000"/>
                <w:sz w:val="18"/>
                <w:szCs w:val="18"/>
              </w:rPr>
              <w:t>598</w:t>
            </w:r>
          </w:p>
        </w:tc>
        <w:tc>
          <w:tcPr>
            <w:tcW w:w="104" w:type="pct"/>
            <w:tcBorders>
              <w:top w:val="single" w:sz="4" w:space="0" w:color="auto"/>
              <w:left w:val="nil"/>
              <w:bottom w:val="double" w:sz="6" w:space="0" w:color="auto"/>
              <w:right w:val="nil"/>
            </w:tcBorders>
            <w:shd w:val="clear" w:color="auto" w:fill="auto"/>
            <w:vAlign w:val="bottom"/>
          </w:tcPr>
          <w:p w14:paraId="124AD17B" w14:textId="3667847B" w:rsidR="00C15DC8" w:rsidRPr="00226892" w:rsidRDefault="00C15DC8" w:rsidP="00C15DC8">
            <w:pPr>
              <w:jc w:val="right"/>
              <w:rPr>
                <w:rFonts w:ascii="Arial" w:hAnsi="Arial" w:cs="Arial"/>
                <w:b/>
                <w:bCs/>
                <w:color w:val="000000"/>
                <w:sz w:val="18"/>
                <w:szCs w:val="18"/>
              </w:rPr>
            </w:pPr>
          </w:p>
        </w:tc>
        <w:tc>
          <w:tcPr>
            <w:tcW w:w="1042" w:type="pct"/>
            <w:tcBorders>
              <w:top w:val="single" w:sz="4" w:space="0" w:color="auto"/>
              <w:left w:val="nil"/>
              <w:bottom w:val="double" w:sz="6" w:space="0" w:color="auto"/>
              <w:right w:val="nil"/>
            </w:tcBorders>
            <w:shd w:val="clear" w:color="auto" w:fill="auto"/>
            <w:vAlign w:val="bottom"/>
          </w:tcPr>
          <w:p w14:paraId="5B5306FE" w14:textId="7C4CAEA7" w:rsidR="00C15DC8" w:rsidRPr="00226892" w:rsidRDefault="00C15DC8" w:rsidP="00C15DC8">
            <w:pPr>
              <w:pStyle w:val="Odsekzoznamu"/>
              <w:jc w:val="right"/>
              <w:rPr>
                <w:rFonts w:ascii="Arial" w:hAnsi="Arial" w:cs="Arial"/>
                <w:b/>
                <w:bCs/>
                <w:color w:val="000000"/>
                <w:sz w:val="18"/>
                <w:szCs w:val="18"/>
              </w:rPr>
            </w:pPr>
            <w:r w:rsidRPr="00226892">
              <w:rPr>
                <w:rFonts w:ascii="Arial" w:hAnsi="Arial" w:cs="Arial"/>
                <w:b/>
                <w:bCs/>
                <w:color w:val="000000"/>
                <w:sz w:val="18"/>
                <w:szCs w:val="18"/>
              </w:rPr>
              <w:t>666</w:t>
            </w:r>
          </w:p>
        </w:tc>
      </w:tr>
    </w:tbl>
    <w:p w14:paraId="372BDDAE" w14:textId="20697D5B" w:rsidR="00DD63CA" w:rsidRPr="00226892" w:rsidRDefault="00DD63CA" w:rsidP="00833CC0">
      <w:pPr>
        <w:suppressAutoHyphens/>
        <w:rPr>
          <w:rFonts w:ascii="Arial" w:hAnsi="Arial" w:cs="Arial"/>
          <w:b/>
          <w:sz w:val="18"/>
          <w:szCs w:val="18"/>
        </w:rPr>
      </w:pPr>
      <w:bookmarkStart w:id="604" w:name="FWT_FinCosts_Income"/>
    </w:p>
    <w:p w14:paraId="056E4AE9" w14:textId="54FC18E5" w:rsidR="009F01D4" w:rsidRPr="00226892" w:rsidRDefault="00DD63CA" w:rsidP="00833CC0">
      <w:pPr>
        <w:suppressAutoHyphens/>
        <w:rPr>
          <w:rFonts w:ascii="Arial" w:hAnsi="Arial" w:cs="Arial"/>
          <w:b/>
          <w:sz w:val="18"/>
          <w:szCs w:val="18"/>
        </w:rPr>
      </w:pPr>
      <w:r w:rsidRPr="00226892">
        <w:rPr>
          <w:rFonts w:ascii="Arial" w:hAnsi="Arial" w:cs="Arial"/>
          <w:b/>
          <w:sz w:val="18"/>
          <w:szCs w:val="18"/>
        </w:rPr>
        <w:t xml:space="preserve"> </w:t>
      </w:r>
      <w:bookmarkEnd w:id="604"/>
      <w:r w:rsidRPr="00226892">
        <w:rPr>
          <w:rFonts w:ascii="Arial" w:hAnsi="Arial" w:cs="Arial"/>
          <w:b/>
          <w:sz w:val="18"/>
          <w:szCs w:val="18"/>
        </w:rPr>
        <w:t xml:space="preserve"> </w:t>
      </w:r>
    </w:p>
    <w:p w14:paraId="030228CE" w14:textId="77777777" w:rsidR="006C0567" w:rsidRPr="00226892" w:rsidRDefault="006C0567">
      <w:pPr>
        <w:rPr>
          <w:rFonts w:ascii="Arial" w:hAnsi="Arial" w:cs="Arial"/>
          <w:b/>
          <w:snapToGrid w:val="0"/>
          <w:color w:val="000000"/>
        </w:rPr>
      </w:pPr>
      <w:bookmarkStart w:id="605" w:name="_Toc325985819"/>
      <w:bookmarkStart w:id="606" w:name="_Toc387812522"/>
      <w:r w:rsidRPr="00226892">
        <w:rPr>
          <w:rFonts w:ascii="Arial" w:hAnsi="Arial" w:cs="Arial"/>
        </w:rPr>
        <w:br w:type="page"/>
      </w:r>
    </w:p>
    <w:p w14:paraId="579B5F0E" w14:textId="43972EE4" w:rsidR="003971D3" w:rsidRPr="00CC1641" w:rsidDel="00E10876" w:rsidRDefault="003971D3" w:rsidP="003971D3">
      <w:pPr>
        <w:pStyle w:val="Nadpis3"/>
        <w:keepNext w:val="0"/>
        <w:widowControl/>
        <w:numPr>
          <w:ilvl w:val="0"/>
          <w:numId w:val="34"/>
        </w:numPr>
        <w:tabs>
          <w:tab w:val="clear" w:pos="1069"/>
          <w:tab w:val="num" w:pos="392"/>
        </w:tabs>
        <w:suppressAutoHyphens/>
        <w:spacing w:after="120"/>
        <w:ind w:left="1077" w:hanging="1077"/>
        <w:jc w:val="both"/>
        <w:rPr>
          <w:rFonts w:ascii="Arial" w:hAnsi="Arial" w:cs="Arial"/>
          <w:szCs w:val="18"/>
        </w:rPr>
      </w:pPr>
      <w:bookmarkStart w:id="607" w:name="_Toc27410015"/>
      <w:proofErr w:type="spellStart"/>
      <w:r w:rsidRPr="00226892">
        <w:rPr>
          <w:rFonts w:ascii="Arial" w:hAnsi="Arial" w:cs="Arial"/>
          <w:sz w:val="20"/>
        </w:rPr>
        <w:lastRenderedPageBreak/>
        <w:t>Daň</w:t>
      </w:r>
      <w:proofErr w:type="spellEnd"/>
      <w:r w:rsidRPr="00226892">
        <w:rPr>
          <w:rFonts w:ascii="Arial" w:hAnsi="Arial" w:cs="Arial"/>
          <w:sz w:val="20"/>
        </w:rPr>
        <w:t xml:space="preserve"> z </w:t>
      </w:r>
      <w:proofErr w:type="spellStart"/>
      <w:r w:rsidRPr="00226892">
        <w:rPr>
          <w:rFonts w:ascii="Arial" w:hAnsi="Arial" w:cs="Arial"/>
          <w:sz w:val="20"/>
        </w:rPr>
        <w:t>príjmov</w:t>
      </w:r>
      <w:bookmarkEnd w:id="607"/>
      <w:proofErr w:type="spellEnd"/>
    </w:p>
    <w:tbl>
      <w:tblPr>
        <w:tblW w:w="5000" w:type="pct"/>
        <w:tblCellMar>
          <w:left w:w="70" w:type="dxa"/>
          <w:right w:w="70" w:type="dxa"/>
        </w:tblCellMar>
        <w:tblLook w:val="04A0" w:firstRow="1" w:lastRow="0" w:firstColumn="1" w:lastColumn="0" w:noHBand="0" w:noVBand="1"/>
      </w:tblPr>
      <w:tblGrid>
        <w:gridCol w:w="5221"/>
        <w:gridCol w:w="200"/>
        <w:gridCol w:w="2009"/>
        <w:gridCol w:w="200"/>
        <w:gridCol w:w="2009"/>
      </w:tblGrid>
      <w:tr w:rsidR="003971D3" w:rsidRPr="00226892" w14:paraId="1A2D3416" w14:textId="77777777" w:rsidTr="00756C6D">
        <w:trPr>
          <w:trHeight w:val="240"/>
        </w:trPr>
        <w:tc>
          <w:tcPr>
            <w:tcW w:w="2708" w:type="pct"/>
            <w:tcBorders>
              <w:top w:val="nil"/>
              <w:left w:val="nil"/>
              <w:bottom w:val="single" w:sz="4" w:space="0" w:color="auto"/>
              <w:right w:val="nil"/>
            </w:tcBorders>
            <w:shd w:val="clear" w:color="auto" w:fill="auto"/>
            <w:noWrap/>
            <w:vAlign w:val="bottom"/>
            <w:hideMark/>
          </w:tcPr>
          <w:p w14:paraId="7E9A8CC6" w14:textId="77777777" w:rsidR="003971D3" w:rsidRPr="00226892" w:rsidRDefault="003971D3" w:rsidP="00023A96">
            <w:pPr>
              <w:rPr>
                <w:rFonts w:ascii="Arial" w:hAnsi="Arial" w:cs="Arial"/>
                <w:color w:val="000000"/>
                <w:sz w:val="18"/>
                <w:szCs w:val="18"/>
                <w:lang w:val="sk-SK" w:eastAsia="sk-SK"/>
              </w:rPr>
            </w:pPr>
            <w:r w:rsidRPr="00226892">
              <w:rPr>
                <w:rFonts w:ascii="Arial" w:hAnsi="Arial" w:cs="Arial"/>
                <w:color w:val="000000"/>
                <w:sz w:val="18"/>
                <w:szCs w:val="18"/>
              </w:rPr>
              <w:t> </w:t>
            </w:r>
          </w:p>
        </w:tc>
        <w:tc>
          <w:tcPr>
            <w:tcW w:w="104" w:type="pct"/>
            <w:tcBorders>
              <w:top w:val="nil"/>
              <w:left w:val="nil"/>
              <w:bottom w:val="single" w:sz="4" w:space="0" w:color="auto"/>
              <w:right w:val="nil"/>
            </w:tcBorders>
            <w:shd w:val="clear" w:color="auto" w:fill="auto"/>
            <w:vAlign w:val="bottom"/>
            <w:hideMark/>
          </w:tcPr>
          <w:p w14:paraId="0A178F54" w14:textId="77777777" w:rsidR="003971D3" w:rsidRPr="00226892" w:rsidRDefault="003971D3" w:rsidP="00023A96">
            <w:pPr>
              <w:rPr>
                <w:rFonts w:ascii="Arial" w:hAnsi="Arial" w:cs="Arial"/>
                <w:color w:val="000000"/>
                <w:sz w:val="18"/>
                <w:szCs w:val="18"/>
              </w:rPr>
            </w:pPr>
            <w:r w:rsidRPr="00226892">
              <w:rPr>
                <w:rFonts w:ascii="Arial" w:hAnsi="Arial" w:cs="Arial"/>
                <w:color w:val="000000"/>
                <w:sz w:val="18"/>
                <w:szCs w:val="18"/>
              </w:rPr>
              <w:t> </w:t>
            </w:r>
          </w:p>
        </w:tc>
        <w:tc>
          <w:tcPr>
            <w:tcW w:w="1042" w:type="pct"/>
            <w:tcBorders>
              <w:top w:val="nil"/>
              <w:left w:val="nil"/>
              <w:bottom w:val="single" w:sz="4" w:space="0" w:color="auto"/>
              <w:right w:val="nil"/>
            </w:tcBorders>
            <w:shd w:val="clear" w:color="auto" w:fill="auto"/>
            <w:vAlign w:val="bottom"/>
            <w:hideMark/>
          </w:tcPr>
          <w:p w14:paraId="44E245AF" w14:textId="24D53D3F" w:rsidR="003971D3" w:rsidRPr="00226892" w:rsidRDefault="00FD3AC5" w:rsidP="00023A96">
            <w:pPr>
              <w:jc w:val="center"/>
              <w:rPr>
                <w:rFonts w:ascii="Arial" w:hAnsi="Arial" w:cs="Arial"/>
                <w:b/>
                <w:bCs/>
                <w:color w:val="000000"/>
                <w:sz w:val="18"/>
                <w:szCs w:val="18"/>
              </w:rPr>
            </w:pPr>
            <w:r w:rsidRPr="00226892">
              <w:rPr>
                <w:rFonts w:ascii="Arial" w:hAnsi="Arial" w:cs="Arial"/>
                <w:b/>
                <w:bCs/>
                <w:color w:val="000000"/>
                <w:sz w:val="18"/>
                <w:szCs w:val="18"/>
              </w:rPr>
              <w:t>2018</w:t>
            </w:r>
          </w:p>
        </w:tc>
        <w:tc>
          <w:tcPr>
            <w:tcW w:w="104" w:type="pct"/>
            <w:tcBorders>
              <w:top w:val="nil"/>
              <w:left w:val="nil"/>
              <w:bottom w:val="single" w:sz="4" w:space="0" w:color="auto"/>
              <w:right w:val="nil"/>
            </w:tcBorders>
            <w:shd w:val="clear" w:color="auto" w:fill="auto"/>
            <w:vAlign w:val="bottom"/>
            <w:hideMark/>
          </w:tcPr>
          <w:p w14:paraId="37981EF2" w14:textId="77777777" w:rsidR="003971D3" w:rsidRPr="00226892" w:rsidRDefault="003971D3" w:rsidP="00023A96">
            <w:pPr>
              <w:jc w:val="center"/>
              <w:rPr>
                <w:rFonts w:ascii="Arial" w:hAnsi="Arial" w:cs="Arial"/>
                <w:b/>
                <w:bCs/>
                <w:color w:val="000000"/>
                <w:sz w:val="18"/>
                <w:szCs w:val="18"/>
              </w:rPr>
            </w:pPr>
            <w:r w:rsidRPr="00226892">
              <w:rPr>
                <w:rFonts w:ascii="Arial" w:hAnsi="Arial" w:cs="Arial"/>
                <w:b/>
                <w:bCs/>
                <w:color w:val="000000"/>
                <w:sz w:val="18"/>
                <w:szCs w:val="18"/>
              </w:rPr>
              <w:t> </w:t>
            </w:r>
          </w:p>
        </w:tc>
        <w:tc>
          <w:tcPr>
            <w:tcW w:w="1042" w:type="pct"/>
            <w:tcBorders>
              <w:top w:val="nil"/>
              <w:left w:val="nil"/>
              <w:bottom w:val="single" w:sz="4" w:space="0" w:color="auto"/>
              <w:right w:val="nil"/>
            </w:tcBorders>
            <w:shd w:val="clear" w:color="auto" w:fill="auto"/>
            <w:vAlign w:val="bottom"/>
            <w:hideMark/>
          </w:tcPr>
          <w:p w14:paraId="61E7F19E" w14:textId="239B680A" w:rsidR="003971D3" w:rsidRPr="00226892" w:rsidRDefault="00F63A77" w:rsidP="00023A96">
            <w:pPr>
              <w:jc w:val="center"/>
              <w:rPr>
                <w:rFonts w:ascii="Arial" w:hAnsi="Arial" w:cs="Arial"/>
                <w:b/>
                <w:bCs/>
                <w:color w:val="000000"/>
                <w:sz w:val="18"/>
                <w:szCs w:val="18"/>
              </w:rPr>
            </w:pPr>
            <w:r w:rsidRPr="00226892">
              <w:rPr>
                <w:rFonts w:ascii="Arial" w:hAnsi="Arial" w:cs="Arial"/>
                <w:b/>
                <w:bCs/>
                <w:color w:val="000000"/>
                <w:sz w:val="18"/>
                <w:szCs w:val="18"/>
              </w:rPr>
              <w:t>2017</w:t>
            </w:r>
          </w:p>
        </w:tc>
      </w:tr>
      <w:tr w:rsidR="00C15DC8" w:rsidRPr="00226892" w14:paraId="4FCF93D9" w14:textId="77777777" w:rsidTr="00756C6D">
        <w:trPr>
          <w:trHeight w:val="240"/>
        </w:trPr>
        <w:tc>
          <w:tcPr>
            <w:tcW w:w="2708" w:type="pct"/>
            <w:tcBorders>
              <w:top w:val="nil"/>
              <w:left w:val="nil"/>
              <w:bottom w:val="nil"/>
              <w:right w:val="nil"/>
            </w:tcBorders>
            <w:shd w:val="clear" w:color="auto" w:fill="auto"/>
            <w:noWrap/>
            <w:vAlign w:val="bottom"/>
            <w:hideMark/>
          </w:tcPr>
          <w:p w14:paraId="5333E2DE" w14:textId="77777777" w:rsidR="00C15DC8" w:rsidRPr="00226892" w:rsidRDefault="00C15DC8" w:rsidP="00C15DC8">
            <w:pPr>
              <w:rPr>
                <w:rFonts w:ascii="Arial" w:hAnsi="Arial" w:cs="Arial"/>
                <w:color w:val="000000"/>
                <w:sz w:val="18"/>
                <w:szCs w:val="18"/>
                <w:lang w:val="sk-SK"/>
              </w:rPr>
            </w:pPr>
            <w:proofErr w:type="spellStart"/>
            <w:r w:rsidRPr="00226892">
              <w:rPr>
                <w:rFonts w:ascii="Arial" w:hAnsi="Arial" w:cs="Arial"/>
                <w:color w:val="000000"/>
                <w:sz w:val="18"/>
                <w:szCs w:val="18"/>
              </w:rPr>
              <w:t>Splatná</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daň</w:t>
            </w:r>
            <w:proofErr w:type="spellEnd"/>
          </w:p>
        </w:tc>
        <w:tc>
          <w:tcPr>
            <w:tcW w:w="104" w:type="pct"/>
            <w:tcBorders>
              <w:top w:val="nil"/>
              <w:left w:val="nil"/>
              <w:bottom w:val="nil"/>
              <w:right w:val="nil"/>
            </w:tcBorders>
            <w:shd w:val="clear" w:color="auto" w:fill="auto"/>
            <w:vAlign w:val="bottom"/>
            <w:hideMark/>
          </w:tcPr>
          <w:p w14:paraId="0893454E" w14:textId="77777777" w:rsidR="00C15DC8" w:rsidRPr="00226892" w:rsidRDefault="00C15DC8" w:rsidP="00C15DC8">
            <w:pPr>
              <w:rPr>
                <w:rFonts w:ascii="Arial" w:hAnsi="Arial" w:cs="Arial"/>
                <w:color w:val="000000"/>
                <w:sz w:val="18"/>
                <w:szCs w:val="18"/>
                <w:highlight w:val="yellow"/>
              </w:rPr>
            </w:pPr>
          </w:p>
        </w:tc>
        <w:tc>
          <w:tcPr>
            <w:tcW w:w="1042" w:type="pct"/>
            <w:tcBorders>
              <w:top w:val="nil"/>
              <w:left w:val="nil"/>
              <w:bottom w:val="nil"/>
              <w:right w:val="nil"/>
            </w:tcBorders>
            <w:shd w:val="clear" w:color="auto" w:fill="auto"/>
            <w:vAlign w:val="bottom"/>
          </w:tcPr>
          <w:p w14:paraId="14D66EF8" w14:textId="563034F8" w:rsidR="00C15DC8" w:rsidRPr="00226892" w:rsidRDefault="00C15DC8" w:rsidP="00C15DC8">
            <w:pPr>
              <w:jc w:val="right"/>
              <w:rPr>
                <w:rFonts w:ascii="Arial" w:hAnsi="Arial" w:cs="Arial"/>
                <w:color w:val="000000"/>
                <w:sz w:val="18"/>
                <w:szCs w:val="18"/>
              </w:rPr>
            </w:pPr>
            <w:r w:rsidRPr="00226892">
              <w:rPr>
                <w:rFonts w:ascii="Arial" w:hAnsi="Arial" w:cs="Arial"/>
                <w:color w:val="000000"/>
                <w:sz w:val="18"/>
                <w:szCs w:val="18"/>
                <w:lang w:val="en-US"/>
              </w:rPr>
              <w:t>375</w:t>
            </w:r>
          </w:p>
        </w:tc>
        <w:tc>
          <w:tcPr>
            <w:tcW w:w="104" w:type="pct"/>
            <w:tcBorders>
              <w:top w:val="nil"/>
              <w:left w:val="nil"/>
              <w:bottom w:val="nil"/>
              <w:right w:val="nil"/>
            </w:tcBorders>
            <w:shd w:val="clear" w:color="auto" w:fill="auto"/>
            <w:vAlign w:val="bottom"/>
            <w:hideMark/>
          </w:tcPr>
          <w:p w14:paraId="016BEB53" w14:textId="77777777" w:rsidR="00C15DC8" w:rsidRPr="00226892" w:rsidRDefault="00C15DC8" w:rsidP="00C15DC8">
            <w:pPr>
              <w:jc w:val="right"/>
              <w:rPr>
                <w:rFonts w:ascii="Arial" w:hAnsi="Arial" w:cs="Arial"/>
                <w:color w:val="000000"/>
                <w:sz w:val="18"/>
                <w:szCs w:val="18"/>
                <w:highlight w:val="yellow"/>
              </w:rPr>
            </w:pPr>
          </w:p>
        </w:tc>
        <w:tc>
          <w:tcPr>
            <w:tcW w:w="1042" w:type="pct"/>
            <w:tcBorders>
              <w:top w:val="nil"/>
              <w:left w:val="nil"/>
              <w:bottom w:val="nil"/>
              <w:right w:val="nil"/>
            </w:tcBorders>
            <w:shd w:val="clear" w:color="auto" w:fill="auto"/>
            <w:vAlign w:val="bottom"/>
            <w:hideMark/>
          </w:tcPr>
          <w:p w14:paraId="242F90B7" w14:textId="6176FE95" w:rsidR="00C15DC8" w:rsidRPr="00226892" w:rsidRDefault="00C15DC8" w:rsidP="00C15DC8">
            <w:pPr>
              <w:jc w:val="right"/>
              <w:rPr>
                <w:rFonts w:ascii="Arial" w:hAnsi="Arial" w:cs="Arial"/>
                <w:color w:val="000000"/>
                <w:sz w:val="18"/>
                <w:szCs w:val="18"/>
              </w:rPr>
            </w:pPr>
            <w:r w:rsidRPr="00226892">
              <w:rPr>
                <w:rFonts w:ascii="Arial" w:hAnsi="Arial" w:cs="Arial"/>
                <w:color w:val="000000"/>
                <w:sz w:val="18"/>
                <w:szCs w:val="18"/>
                <w:lang w:val="en-US"/>
              </w:rPr>
              <w:t>1</w:t>
            </w:r>
            <w:r w:rsidR="00D10DAF" w:rsidRPr="00226892">
              <w:rPr>
                <w:rFonts w:ascii="Arial" w:hAnsi="Arial" w:cs="Arial"/>
                <w:color w:val="000000"/>
                <w:sz w:val="18"/>
                <w:szCs w:val="18"/>
                <w:lang w:val="en-US"/>
              </w:rPr>
              <w:t>2</w:t>
            </w:r>
            <w:r w:rsidRPr="00226892">
              <w:rPr>
                <w:rFonts w:ascii="Arial" w:hAnsi="Arial" w:cs="Arial"/>
                <w:color w:val="000000"/>
                <w:sz w:val="18"/>
                <w:szCs w:val="18"/>
              </w:rPr>
              <w:t xml:space="preserve">    </w:t>
            </w:r>
          </w:p>
        </w:tc>
      </w:tr>
      <w:tr w:rsidR="00C15DC8" w:rsidRPr="00226892" w14:paraId="20CA31FA" w14:textId="77777777" w:rsidTr="00756C6D">
        <w:trPr>
          <w:trHeight w:val="240"/>
        </w:trPr>
        <w:tc>
          <w:tcPr>
            <w:tcW w:w="2708" w:type="pct"/>
            <w:tcBorders>
              <w:top w:val="nil"/>
              <w:left w:val="nil"/>
              <w:bottom w:val="nil"/>
              <w:right w:val="nil"/>
            </w:tcBorders>
            <w:shd w:val="clear" w:color="auto" w:fill="auto"/>
            <w:vAlign w:val="bottom"/>
            <w:hideMark/>
          </w:tcPr>
          <w:p w14:paraId="6967C93A" w14:textId="755D3840" w:rsidR="00C15DC8" w:rsidRPr="00226892" w:rsidRDefault="00C15DC8" w:rsidP="00C15DC8">
            <w:pPr>
              <w:rPr>
                <w:rFonts w:ascii="Arial" w:hAnsi="Arial" w:cs="Arial"/>
                <w:color w:val="000000"/>
                <w:sz w:val="18"/>
                <w:szCs w:val="18"/>
              </w:rPr>
            </w:pPr>
            <w:proofErr w:type="spellStart"/>
            <w:r w:rsidRPr="00226892">
              <w:rPr>
                <w:rFonts w:ascii="Arial" w:hAnsi="Arial" w:cs="Arial"/>
                <w:color w:val="000000"/>
                <w:sz w:val="18"/>
                <w:szCs w:val="18"/>
              </w:rPr>
              <w:t>Odložená</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daň</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Pozn</w:t>
            </w:r>
            <w:proofErr w:type="spellEnd"/>
            <w:r w:rsidRPr="00226892">
              <w:rPr>
                <w:rFonts w:ascii="Arial" w:hAnsi="Arial" w:cs="Arial"/>
                <w:color w:val="000000"/>
                <w:sz w:val="18"/>
                <w:szCs w:val="18"/>
              </w:rPr>
              <w:t>. 1</w:t>
            </w:r>
            <w:r w:rsidR="00522218" w:rsidRPr="00226892">
              <w:rPr>
                <w:rFonts w:ascii="Arial" w:hAnsi="Arial" w:cs="Arial"/>
                <w:color w:val="000000"/>
                <w:sz w:val="18"/>
                <w:szCs w:val="18"/>
              </w:rPr>
              <w:t>6</w:t>
            </w:r>
            <w:r w:rsidRPr="00226892">
              <w:rPr>
                <w:rFonts w:ascii="Arial" w:hAnsi="Arial" w:cs="Arial"/>
                <w:color w:val="000000"/>
                <w:sz w:val="18"/>
                <w:szCs w:val="18"/>
              </w:rPr>
              <w:t>)</w:t>
            </w:r>
          </w:p>
        </w:tc>
        <w:tc>
          <w:tcPr>
            <w:tcW w:w="104" w:type="pct"/>
            <w:tcBorders>
              <w:top w:val="nil"/>
              <w:left w:val="nil"/>
              <w:bottom w:val="nil"/>
              <w:right w:val="nil"/>
            </w:tcBorders>
            <w:shd w:val="clear" w:color="auto" w:fill="auto"/>
            <w:vAlign w:val="bottom"/>
            <w:hideMark/>
          </w:tcPr>
          <w:p w14:paraId="4D9FB30D" w14:textId="77777777" w:rsidR="00C15DC8" w:rsidRPr="00226892" w:rsidRDefault="00C15DC8" w:rsidP="00C15DC8">
            <w:pPr>
              <w:rPr>
                <w:rFonts w:ascii="Arial" w:hAnsi="Arial" w:cs="Arial"/>
                <w:color w:val="000000"/>
                <w:sz w:val="18"/>
                <w:szCs w:val="18"/>
                <w:highlight w:val="yellow"/>
              </w:rPr>
            </w:pPr>
          </w:p>
        </w:tc>
        <w:tc>
          <w:tcPr>
            <w:tcW w:w="1042" w:type="pct"/>
            <w:tcBorders>
              <w:top w:val="nil"/>
              <w:left w:val="nil"/>
              <w:bottom w:val="nil"/>
              <w:right w:val="nil"/>
            </w:tcBorders>
            <w:shd w:val="clear" w:color="auto" w:fill="auto"/>
            <w:vAlign w:val="bottom"/>
          </w:tcPr>
          <w:p w14:paraId="02A4D2AB" w14:textId="27DF7167" w:rsidR="00C15DC8" w:rsidRPr="00226892" w:rsidRDefault="00477152" w:rsidP="00C15DC8">
            <w:pPr>
              <w:jc w:val="right"/>
              <w:rPr>
                <w:rFonts w:ascii="Arial" w:hAnsi="Arial" w:cs="Arial"/>
                <w:color w:val="000000"/>
                <w:sz w:val="18"/>
                <w:szCs w:val="18"/>
              </w:rPr>
            </w:pPr>
            <w:r w:rsidRPr="00226892">
              <w:rPr>
                <w:rFonts w:ascii="Arial" w:hAnsi="Arial" w:cs="Arial"/>
                <w:color w:val="000000"/>
                <w:sz w:val="18"/>
                <w:szCs w:val="18"/>
              </w:rPr>
              <w:t>413</w:t>
            </w:r>
          </w:p>
        </w:tc>
        <w:tc>
          <w:tcPr>
            <w:tcW w:w="104" w:type="pct"/>
            <w:tcBorders>
              <w:top w:val="nil"/>
              <w:left w:val="nil"/>
              <w:bottom w:val="nil"/>
              <w:right w:val="nil"/>
            </w:tcBorders>
            <w:shd w:val="clear" w:color="auto" w:fill="auto"/>
            <w:vAlign w:val="bottom"/>
            <w:hideMark/>
          </w:tcPr>
          <w:p w14:paraId="08328E8A" w14:textId="77777777" w:rsidR="00C15DC8" w:rsidRPr="00226892" w:rsidRDefault="00C15DC8" w:rsidP="00C15DC8">
            <w:pPr>
              <w:jc w:val="right"/>
              <w:rPr>
                <w:rFonts w:ascii="Arial" w:hAnsi="Arial" w:cs="Arial"/>
                <w:color w:val="000000"/>
                <w:sz w:val="18"/>
                <w:szCs w:val="18"/>
              </w:rPr>
            </w:pPr>
          </w:p>
        </w:tc>
        <w:tc>
          <w:tcPr>
            <w:tcW w:w="1042" w:type="pct"/>
            <w:tcBorders>
              <w:top w:val="nil"/>
              <w:left w:val="nil"/>
              <w:bottom w:val="nil"/>
              <w:right w:val="nil"/>
            </w:tcBorders>
            <w:shd w:val="clear" w:color="auto" w:fill="auto"/>
            <w:vAlign w:val="bottom"/>
            <w:hideMark/>
          </w:tcPr>
          <w:p w14:paraId="16930241" w14:textId="132D30AA" w:rsidR="00C15DC8" w:rsidRPr="00226892" w:rsidRDefault="00C15DC8" w:rsidP="00C15DC8">
            <w:pPr>
              <w:jc w:val="right"/>
              <w:rPr>
                <w:rFonts w:ascii="Arial" w:hAnsi="Arial" w:cs="Arial"/>
                <w:color w:val="000000"/>
                <w:sz w:val="18"/>
                <w:szCs w:val="18"/>
              </w:rPr>
            </w:pPr>
            <w:r w:rsidRPr="00226892">
              <w:rPr>
                <w:rFonts w:ascii="Arial" w:hAnsi="Arial" w:cs="Arial"/>
                <w:color w:val="000000"/>
                <w:sz w:val="18"/>
                <w:szCs w:val="18"/>
              </w:rPr>
              <w:t>56</w:t>
            </w:r>
            <w:r w:rsidR="00D10DAF" w:rsidRPr="00226892">
              <w:rPr>
                <w:rFonts w:ascii="Arial" w:hAnsi="Arial" w:cs="Arial"/>
                <w:color w:val="000000"/>
                <w:sz w:val="18"/>
                <w:szCs w:val="18"/>
              </w:rPr>
              <w:t>2</w:t>
            </w:r>
            <w:r w:rsidRPr="00226892">
              <w:rPr>
                <w:rFonts w:ascii="Arial" w:hAnsi="Arial" w:cs="Arial"/>
                <w:color w:val="000000"/>
                <w:sz w:val="18"/>
                <w:szCs w:val="18"/>
              </w:rPr>
              <w:t xml:space="preserve">    </w:t>
            </w:r>
          </w:p>
        </w:tc>
      </w:tr>
      <w:tr w:rsidR="00C15DC8" w:rsidRPr="00226892" w14:paraId="721CF425" w14:textId="77777777" w:rsidTr="00756C6D">
        <w:trPr>
          <w:trHeight w:val="240"/>
        </w:trPr>
        <w:tc>
          <w:tcPr>
            <w:tcW w:w="2708" w:type="pct"/>
            <w:tcBorders>
              <w:top w:val="nil"/>
              <w:left w:val="nil"/>
              <w:bottom w:val="nil"/>
              <w:right w:val="nil"/>
            </w:tcBorders>
            <w:shd w:val="clear" w:color="auto" w:fill="auto"/>
            <w:noWrap/>
            <w:vAlign w:val="bottom"/>
            <w:hideMark/>
          </w:tcPr>
          <w:p w14:paraId="07EBFB29" w14:textId="08B35BCD" w:rsidR="00C15DC8" w:rsidRPr="00226892" w:rsidRDefault="00C15DC8" w:rsidP="00C15DC8">
            <w:pPr>
              <w:rPr>
                <w:rFonts w:ascii="Arial" w:hAnsi="Arial" w:cs="Arial"/>
                <w:b/>
                <w:bCs/>
                <w:color w:val="000000"/>
                <w:sz w:val="18"/>
                <w:szCs w:val="18"/>
              </w:rPr>
            </w:pPr>
            <w:proofErr w:type="spellStart"/>
            <w:r w:rsidRPr="00226892">
              <w:rPr>
                <w:rFonts w:ascii="Arial" w:hAnsi="Arial" w:cs="Arial"/>
                <w:b/>
                <w:bCs/>
                <w:color w:val="000000"/>
                <w:sz w:val="18"/>
                <w:szCs w:val="18"/>
              </w:rPr>
              <w:t>Daň</w:t>
            </w:r>
            <w:proofErr w:type="spellEnd"/>
            <w:r w:rsidRPr="00226892">
              <w:rPr>
                <w:rFonts w:ascii="Arial" w:hAnsi="Arial" w:cs="Arial"/>
                <w:b/>
                <w:bCs/>
                <w:color w:val="000000"/>
                <w:sz w:val="18"/>
                <w:szCs w:val="18"/>
              </w:rPr>
              <w:t xml:space="preserve"> z </w:t>
            </w:r>
            <w:proofErr w:type="spellStart"/>
            <w:r w:rsidRPr="00226892">
              <w:rPr>
                <w:rFonts w:ascii="Arial" w:hAnsi="Arial" w:cs="Arial"/>
                <w:b/>
                <w:bCs/>
                <w:color w:val="000000"/>
                <w:sz w:val="18"/>
                <w:szCs w:val="18"/>
              </w:rPr>
              <w:t>príjmov</w:t>
            </w:r>
            <w:proofErr w:type="spellEnd"/>
          </w:p>
        </w:tc>
        <w:tc>
          <w:tcPr>
            <w:tcW w:w="104" w:type="pct"/>
            <w:tcBorders>
              <w:top w:val="nil"/>
              <w:left w:val="nil"/>
              <w:bottom w:val="nil"/>
              <w:right w:val="nil"/>
            </w:tcBorders>
            <w:shd w:val="clear" w:color="auto" w:fill="auto"/>
            <w:vAlign w:val="bottom"/>
            <w:hideMark/>
          </w:tcPr>
          <w:p w14:paraId="030EF9A0" w14:textId="77777777" w:rsidR="00C15DC8" w:rsidRPr="00226892" w:rsidRDefault="00C15DC8" w:rsidP="00C15DC8">
            <w:pPr>
              <w:rPr>
                <w:rFonts w:ascii="Arial" w:hAnsi="Arial" w:cs="Arial"/>
                <w:b/>
                <w:bCs/>
                <w:color w:val="000000"/>
                <w:sz w:val="18"/>
                <w:szCs w:val="18"/>
                <w:highlight w:val="yellow"/>
              </w:rPr>
            </w:pPr>
          </w:p>
        </w:tc>
        <w:tc>
          <w:tcPr>
            <w:tcW w:w="1042" w:type="pct"/>
            <w:tcBorders>
              <w:top w:val="single" w:sz="4" w:space="0" w:color="auto"/>
              <w:left w:val="nil"/>
              <w:bottom w:val="double" w:sz="6" w:space="0" w:color="auto"/>
              <w:right w:val="nil"/>
            </w:tcBorders>
            <w:shd w:val="clear" w:color="auto" w:fill="auto"/>
            <w:vAlign w:val="bottom"/>
          </w:tcPr>
          <w:p w14:paraId="708B20EA" w14:textId="661A12FE" w:rsidR="00C15DC8" w:rsidRPr="00226892" w:rsidRDefault="00477152" w:rsidP="00C15DC8">
            <w:pPr>
              <w:jc w:val="right"/>
              <w:rPr>
                <w:rFonts w:ascii="Arial" w:hAnsi="Arial" w:cs="Arial"/>
                <w:b/>
                <w:bCs/>
                <w:color w:val="000000"/>
                <w:sz w:val="18"/>
                <w:szCs w:val="18"/>
              </w:rPr>
            </w:pPr>
            <w:r w:rsidRPr="00226892">
              <w:rPr>
                <w:rFonts w:ascii="Arial" w:hAnsi="Arial" w:cs="Arial"/>
                <w:b/>
                <w:bCs/>
                <w:color w:val="000000"/>
                <w:sz w:val="18"/>
                <w:szCs w:val="18"/>
              </w:rPr>
              <w:t>788</w:t>
            </w:r>
          </w:p>
        </w:tc>
        <w:tc>
          <w:tcPr>
            <w:tcW w:w="104" w:type="pct"/>
            <w:tcBorders>
              <w:top w:val="single" w:sz="4" w:space="0" w:color="auto"/>
              <w:left w:val="nil"/>
              <w:bottom w:val="double" w:sz="6" w:space="0" w:color="auto"/>
              <w:right w:val="nil"/>
            </w:tcBorders>
            <w:shd w:val="clear" w:color="auto" w:fill="auto"/>
            <w:vAlign w:val="bottom"/>
            <w:hideMark/>
          </w:tcPr>
          <w:p w14:paraId="247A9288" w14:textId="77777777" w:rsidR="00C15DC8" w:rsidRPr="00226892" w:rsidRDefault="00C15DC8" w:rsidP="00C15DC8">
            <w:pPr>
              <w:jc w:val="right"/>
              <w:rPr>
                <w:rFonts w:ascii="Arial" w:hAnsi="Arial" w:cs="Arial"/>
                <w:b/>
                <w:bCs/>
                <w:color w:val="000000"/>
                <w:sz w:val="18"/>
                <w:szCs w:val="18"/>
              </w:rPr>
            </w:pPr>
            <w:r w:rsidRPr="00226892">
              <w:rPr>
                <w:rFonts w:ascii="Arial" w:hAnsi="Arial" w:cs="Arial"/>
                <w:b/>
                <w:bCs/>
                <w:color w:val="000000"/>
                <w:sz w:val="18"/>
                <w:szCs w:val="18"/>
              </w:rPr>
              <w:t> </w:t>
            </w:r>
          </w:p>
        </w:tc>
        <w:tc>
          <w:tcPr>
            <w:tcW w:w="1042" w:type="pct"/>
            <w:tcBorders>
              <w:top w:val="single" w:sz="4" w:space="0" w:color="auto"/>
              <w:left w:val="nil"/>
              <w:bottom w:val="double" w:sz="6" w:space="0" w:color="auto"/>
              <w:right w:val="nil"/>
            </w:tcBorders>
            <w:shd w:val="clear" w:color="auto" w:fill="auto"/>
            <w:vAlign w:val="bottom"/>
            <w:hideMark/>
          </w:tcPr>
          <w:p w14:paraId="0D54325E" w14:textId="67DF76B9" w:rsidR="00C15DC8" w:rsidRPr="00226892" w:rsidRDefault="00C15DC8" w:rsidP="00C15DC8">
            <w:pPr>
              <w:jc w:val="right"/>
              <w:rPr>
                <w:rFonts w:ascii="Arial" w:hAnsi="Arial" w:cs="Arial"/>
                <w:b/>
                <w:bCs/>
                <w:color w:val="000000"/>
                <w:sz w:val="18"/>
                <w:szCs w:val="18"/>
              </w:rPr>
            </w:pPr>
            <w:r w:rsidRPr="00226892">
              <w:rPr>
                <w:rFonts w:ascii="Arial" w:hAnsi="Arial" w:cs="Arial"/>
                <w:b/>
                <w:bCs/>
                <w:color w:val="000000"/>
                <w:sz w:val="18"/>
                <w:szCs w:val="18"/>
              </w:rPr>
              <w:t xml:space="preserve">574                                   </w:t>
            </w:r>
          </w:p>
        </w:tc>
      </w:tr>
    </w:tbl>
    <w:p w14:paraId="5BCF31E4" w14:textId="60FD2E6C" w:rsidR="003971D3" w:rsidRPr="00226892" w:rsidRDefault="003971D3" w:rsidP="003971D3">
      <w:pPr>
        <w:suppressAutoHyphens/>
        <w:rPr>
          <w:rFonts w:ascii="Arial" w:hAnsi="Arial" w:cs="Arial"/>
          <w:sz w:val="18"/>
          <w:szCs w:val="18"/>
          <w:highlight w:val="yellow"/>
        </w:rPr>
      </w:pPr>
      <w:r w:rsidRPr="00226892">
        <w:rPr>
          <w:rFonts w:ascii="Arial" w:hAnsi="Arial" w:cs="Arial"/>
          <w:sz w:val="18"/>
          <w:szCs w:val="18"/>
          <w:highlight w:val="yellow"/>
        </w:rPr>
        <w:t xml:space="preserve"> </w:t>
      </w:r>
    </w:p>
    <w:p w14:paraId="36B9DACF" w14:textId="30E1599C" w:rsidR="003971D3" w:rsidRPr="00226892" w:rsidRDefault="003971D3" w:rsidP="00235CDF">
      <w:pPr>
        <w:pStyle w:val="odst"/>
      </w:pPr>
      <w:r w:rsidRPr="00226892">
        <w:t>Porovnanie vykázaných nákladov na daň z príjmov a teoretickej dane, ktorú by sme vykalkulovali aplikovaním štandardných daňových sadzieb:</w:t>
      </w:r>
    </w:p>
    <w:p w14:paraId="130C0F05" w14:textId="77777777" w:rsidR="003971D3" w:rsidRPr="00226892" w:rsidDel="00E10876" w:rsidRDefault="003971D3" w:rsidP="003971D3">
      <w:pPr>
        <w:suppressAutoHyphens/>
        <w:jc w:val="both"/>
        <w:rPr>
          <w:rFonts w:ascii="Arial" w:hAnsi="Arial" w:cs="Arial"/>
          <w:sz w:val="18"/>
          <w:szCs w:val="18"/>
          <w:lang w:val="sk-SK"/>
        </w:rPr>
      </w:pPr>
      <w:r w:rsidRPr="00226892">
        <w:rPr>
          <w:rFonts w:ascii="Arial" w:hAnsi="Arial" w:cs="Arial"/>
          <w:sz w:val="18"/>
          <w:szCs w:val="18"/>
          <w:lang w:val="sk-SK"/>
        </w:rPr>
        <w:t xml:space="preserve"> </w:t>
      </w:r>
    </w:p>
    <w:tbl>
      <w:tblPr>
        <w:tblW w:w="5000" w:type="pct"/>
        <w:tblCellMar>
          <w:left w:w="70" w:type="dxa"/>
          <w:right w:w="70" w:type="dxa"/>
        </w:tblCellMar>
        <w:tblLook w:val="04A0" w:firstRow="1" w:lastRow="0" w:firstColumn="1" w:lastColumn="0" w:noHBand="0" w:noVBand="1"/>
      </w:tblPr>
      <w:tblGrid>
        <w:gridCol w:w="5214"/>
        <w:gridCol w:w="195"/>
        <w:gridCol w:w="794"/>
        <w:gridCol w:w="1267"/>
        <w:gridCol w:w="191"/>
        <w:gridCol w:w="1978"/>
      </w:tblGrid>
      <w:tr w:rsidR="003971D3" w:rsidRPr="00226892" w14:paraId="1B20F7F2" w14:textId="77777777" w:rsidTr="00DD19DA">
        <w:trPr>
          <w:trHeight w:val="227"/>
        </w:trPr>
        <w:tc>
          <w:tcPr>
            <w:tcW w:w="2705" w:type="pct"/>
            <w:tcBorders>
              <w:top w:val="nil"/>
              <w:left w:val="nil"/>
              <w:bottom w:val="single" w:sz="4" w:space="0" w:color="auto"/>
              <w:right w:val="nil"/>
            </w:tcBorders>
            <w:shd w:val="clear" w:color="auto" w:fill="auto"/>
            <w:noWrap/>
            <w:vAlign w:val="bottom"/>
            <w:hideMark/>
          </w:tcPr>
          <w:p w14:paraId="50A8E1CC" w14:textId="77777777" w:rsidR="003971D3" w:rsidRPr="00226892" w:rsidRDefault="003971D3" w:rsidP="00023A96">
            <w:pPr>
              <w:rPr>
                <w:rFonts w:ascii="Arial" w:hAnsi="Arial" w:cs="Arial"/>
                <w:color w:val="000000"/>
                <w:sz w:val="18"/>
                <w:szCs w:val="18"/>
                <w:lang w:val="sk-SK" w:eastAsia="sk-SK"/>
              </w:rPr>
            </w:pPr>
            <w:r w:rsidRPr="00226892">
              <w:rPr>
                <w:rFonts w:ascii="Arial" w:hAnsi="Arial" w:cs="Arial"/>
                <w:color w:val="000000"/>
                <w:sz w:val="18"/>
                <w:szCs w:val="18"/>
                <w:lang w:val="sk-SK"/>
              </w:rPr>
              <w:t> </w:t>
            </w:r>
          </w:p>
        </w:tc>
        <w:tc>
          <w:tcPr>
            <w:tcW w:w="101" w:type="pct"/>
            <w:tcBorders>
              <w:top w:val="nil"/>
              <w:left w:val="nil"/>
              <w:bottom w:val="single" w:sz="4" w:space="0" w:color="auto"/>
              <w:right w:val="nil"/>
            </w:tcBorders>
            <w:shd w:val="clear" w:color="auto" w:fill="auto"/>
            <w:vAlign w:val="bottom"/>
            <w:hideMark/>
          </w:tcPr>
          <w:p w14:paraId="79EB24AD" w14:textId="77777777" w:rsidR="003971D3" w:rsidRPr="00226892" w:rsidRDefault="003971D3" w:rsidP="00023A96">
            <w:pPr>
              <w:rPr>
                <w:rFonts w:ascii="Arial" w:hAnsi="Arial" w:cs="Arial"/>
                <w:color w:val="000000"/>
                <w:sz w:val="18"/>
                <w:szCs w:val="18"/>
                <w:lang w:val="sk-SK"/>
              </w:rPr>
            </w:pPr>
            <w:r w:rsidRPr="00226892">
              <w:rPr>
                <w:rFonts w:ascii="Arial" w:hAnsi="Arial" w:cs="Arial"/>
                <w:color w:val="000000"/>
                <w:sz w:val="18"/>
                <w:szCs w:val="18"/>
                <w:lang w:val="sk-SK"/>
              </w:rPr>
              <w:t> </w:t>
            </w:r>
          </w:p>
        </w:tc>
        <w:tc>
          <w:tcPr>
            <w:tcW w:w="1069" w:type="pct"/>
            <w:gridSpan w:val="2"/>
            <w:tcBorders>
              <w:top w:val="nil"/>
              <w:left w:val="nil"/>
              <w:bottom w:val="single" w:sz="4" w:space="0" w:color="auto"/>
              <w:right w:val="nil"/>
            </w:tcBorders>
            <w:shd w:val="clear" w:color="auto" w:fill="auto"/>
            <w:vAlign w:val="bottom"/>
            <w:hideMark/>
          </w:tcPr>
          <w:p w14:paraId="4CEAEB52" w14:textId="16628F28" w:rsidR="003971D3" w:rsidRPr="00226892" w:rsidRDefault="00FD3AC5" w:rsidP="00023A96">
            <w:pPr>
              <w:jc w:val="center"/>
              <w:rPr>
                <w:rFonts w:ascii="Arial" w:hAnsi="Arial" w:cs="Arial"/>
                <w:b/>
                <w:bCs/>
                <w:color w:val="000000"/>
                <w:sz w:val="18"/>
                <w:szCs w:val="18"/>
              </w:rPr>
            </w:pPr>
            <w:r w:rsidRPr="00226892">
              <w:rPr>
                <w:rFonts w:ascii="Arial" w:hAnsi="Arial" w:cs="Arial"/>
                <w:b/>
                <w:bCs/>
                <w:color w:val="000000"/>
                <w:sz w:val="18"/>
                <w:szCs w:val="18"/>
              </w:rPr>
              <w:t>2018</w:t>
            </w:r>
          </w:p>
        </w:tc>
        <w:tc>
          <w:tcPr>
            <w:tcW w:w="99" w:type="pct"/>
            <w:tcBorders>
              <w:top w:val="nil"/>
              <w:left w:val="nil"/>
              <w:bottom w:val="single" w:sz="4" w:space="0" w:color="auto"/>
              <w:right w:val="nil"/>
            </w:tcBorders>
            <w:shd w:val="clear" w:color="auto" w:fill="auto"/>
            <w:vAlign w:val="bottom"/>
            <w:hideMark/>
          </w:tcPr>
          <w:p w14:paraId="6B5286F9" w14:textId="77777777" w:rsidR="003971D3" w:rsidRPr="00226892" w:rsidRDefault="003971D3" w:rsidP="00023A96">
            <w:pPr>
              <w:jc w:val="center"/>
              <w:rPr>
                <w:rFonts w:ascii="Arial" w:hAnsi="Arial" w:cs="Arial"/>
                <w:b/>
                <w:bCs/>
                <w:color w:val="000000"/>
                <w:sz w:val="18"/>
                <w:szCs w:val="18"/>
              </w:rPr>
            </w:pPr>
            <w:r w:rsidRPr="00226892">
              <w:rPr>
                <w:rFonts w:ascii="Arial" w:hAnsi="Arial" w:cs="Arial"/>
                <w:b/>
                <w:bCs/>
                <w:color w:val="000000"/>
                <w:sz w:val="18"/>
                <w:szCs w:val="18"/>
              </w:rPr>
              <w:t> </w:t>
            </w:r>
          </w:p>
        </w:tc>
        <w:tc>
          <w:tcPr>
            <w:tcW w:w="1027" w:type="pct"/>
            <w:tcBorders>
              <w:top w:val="nil"/>
              <w:left w:val="nil"/>
              <w:bottom w:val="single" w:sz="4" w:space="0" w:color="auto"/>
              <w:right w:val="nil"/>
            </w:tcBorders>
            <w:vAlign w:val="bottom"/>
          </w:tcPr>
          <w:p w14:paraId="5810E4A8" w14:textId="5E1AAEAC" w:rsidR="003971D3" w:rsidRPr="00226892" w:rsidRDefault="00F63A77" w:rsidP="00023A96">
            <w:pPr>
              <w:jc w:val="center"/>
              <w:rPr>
                <w:rFonts w:ascii="Arial" w:hAnsi="Arial" w:cs="Arial"/>
                <w:b/>
                <w:bCs/>
                <w:color w:val="000000"/>
                <w:sz w:val="18"/>
                <w:szCs w:val="18"/>
              </w:rPr>
            </w:pPr>
            <w:r w:rsidRPr="00226892">
              <w:rPr>
                <w:rFonts w:ascii="Arial" w:hAnsi="Arial" w:cs="Arial"/>
                <w:b/>
                <w:bCs/>
                <w:color w:val="000000"/>
                <w:sz w:val="18"/>
                <w:szCs w:val="18"/>
              </w:rPr>
              <w:t>2017</w:t>
            </w:r>
          </w:p>
        </w:tc>
      </w:tr>
      <w:tr w:rsidR="00C15DC8" w:rsidRPr="00226892" w14:paraId="792BD3F3" w14:textId="77777777" w:rsidTr="00DD19DA">
        <w:trPr>
          <w:trHeight w:val="227"/>
        </w:trPr>
        <w:tc>
          <w:tcPr>
            <w:tcW w:w="2705" w:type="pct"/>
            <w:tcBorders>
              <w:top w:val="nil"/>
              <w:left w:val="nil"/>
              <w:bottom w:val="nil"/>
              <w:right w:val="nil"/>
            </w:tcBorders>
            <w:shd w:val="clear" w:color="auto" w:fill="auto"/>
            <w:vAlign w:val="bottom"/>
            <w:hideMark/>
          </w:tcPr>
          <w:p w14:paraId="5AD4BC81" w14:textId="1D875F28" w:rsidR="00C15DC8" w:rsidRPr="00226892" w:rsidRDefault="00C15DC8" w:rsidP="00C15DC8">
            <w:pPr>
              <w:rPr>
                <w:rFonts w:ascii="Arial" w:hAnsi="Arial" w:cs="Arial"/>
                <w:color w:val="000000"/>
                <w:sz w:val="18"/>
                <w:szCs w:val="18"/>
              </w:rPr>
            </w:pPr>
            <w:proofErr w:type="spellStart"/>
            <w:r w:rsidRPr="00226892">
              <w:rPr>
                <w:rFonts w:ascii="Arial" w:hAnsi="Arial" w:cs="Arial"/>
                <w:color w:val="000000"/>
                <w:sz w:val="18"/>
                <w:szCs w:val="18"/>
              </w:rPr>
              <w:t>Zisk</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pred</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zdanením</w:t>
            </w:r>
            <w:proofErr w:type="spellEnd"/>
          </w:p>
        </w:tc>
        <w:tc>
          <w:tcPr>
            <w:tcW w:w="101" w:type="pct"/>
            <w:tcBorders>
              <w:top w:val="nil"/>
              <w:left w:val="nil"/>
              <w:bottom w:val="nil"/>
              <w:right w:val="nil"/>
            </w:tcBorders>
            <w:shd w:val="clear" w:color="auto" w:fill="auto"/>
            <w:vAlign w:val="bottom"/>
            <w:hideMark/>
          </w:tcPr>
          <w:p w14:paraId="2E50868B" w14:textId="77777777" w:rsidR="00C15DC8" w:rsidRPr="00226892" w:rsidRDefault="00C15DC8" w:rsidP="00C15DC8">
            <w:pPr>
              <w:rPr>
                <w:rFonts w:ascii="Arial" w:hAnsi="Arial" w:cs="Arial"/>
                <w:color w:val="000000"/>
                <w:sz w:val="18"/>
                <w:szCs w:val="18"/>
              </w:rPr>
            </w:pPr>
          </w:p>
        </w:tc>
        <w:tc>
          <w:tcPr>
            <w:tcW w:w="1069" w:type="pct"/>
            <w:gridSpan w:val="2"/>
            <w:tcBorders>
              <w:top w:val="nil"/>
              <w:left w:val="nil"/>
              <w:bottom w:val="nil"/>
              <w:right w:val="nil"/>
            </w:tcBorders>
            <w:shd w:val="clear" w:color="auto" w:fill="auto"/>
            <w:vAlign w:val="bottom"/>
          </w:tcPr>
          <w:p w14:paraId="624648A1" w14:textId="40ABF5B8" w:rsidR="00C15DC8" w:rsidRPr="00226892" w:rsidRDefault="00477152" w:rsidP="00C15DC8">
            <w:pPr>
              <w:jc w:val="right"/>
              <w:rPr>
                <w:rFonts w:ascii="Arial" w:hAnsi="Arial" w:cs="Arial"/>
                <w:color w:val="000000"/>
                <w:sz w:val="18"/>
                <w:szCs w:val="18"/>
              </w:rPr>
            </w:pPr>
            <w:r w:rsidRPr="00226892">
              <w:rPr>
                <w:rFonts w:ascii="Arial" w:hAnsi="Arial" w:cs="Arial"/>
                <w:color w:val="000000"/>
                <w:sz w:val="18"/>
                <w:szCs w:val="18"/>
              </w:rPr>
              <w:t>3 761</w:t>
            </w:r>
          </w:p>
        </w:tc>
        <w:tc>
          <w:tcPr>
            <w:tcW w:w="99" w:type="pct"/>
            <w:tcBorders>
              <w:top w:val="nil"/>
              <w:left w:val="nil"/>
              <w:bottom w:val="nil"/>
              <w:right w:val="nil"/>
            </w:tcBorders>
            <w:shd w:val="clear" w:color="auto" w:fill="auto"/>
            <w:vAlign w:val="bottom"/>
          </w:tcPr>
          <w:p w14:paraId="3D5D22ED" w14:textId="77777777" w:rsidR="00C15DC8" w:rsidRPr="00226892" w:rsidRDefault="00C15DC8" w:rsidP="00C15DC8">
            <w:pPr>
              <w:jc w:val="right"/>
              <w:rPr>
                <w:rFonts w:ascii="Arial" w:hAnsi="Arial" w:cs="Arial"/>
                <w:color w:val="000000"/>
                <w:sz w:val="18"/>
                <w:szCs w:val="18"/>
              </w:rPr>
            </w:pPr>
          </w:p>
        </w:tc>
        <w:tc>
          <w:tcPr>
            <w:tcW w:w="1027" w:type="pct"/>
            <w:tcBorders>
              <w:top w:val="nil"/>
              <w:left w:val="nil"/>
              <w:bottom w:val="nil"/>
              <w:right w:val="nil"/>
            </w:tcBorders>
            <w:vAlign w:val="bottom"/>
          </w:tcPr>
          <w:p w14:paraId="3911C127" w14:textId="1FFE69A4" w:rsidR="00C15DC8" w:rsidRPr="00226892" w:rsidRDefault="00C15DC8" w:rsidP="00C15DC8">
            <w:pPr>
              <w:jc w:val="right"/>
              <w:rPr>
                <w:rFonts w:ascii="Arial" w:hAnsi="Arial" w:cs="Arial"/>
                <w:color w:val="000000"/>
                <w:sz w:val="18"/>
                <w:szCs w:val="18"/>
              </w:rPr>
            </w:pPr>
            <w:r w:rsidRPr="00226892">
              <w:rPr>
                <w:rFonts w:ascii="Arial" w:hAnsi="Arial" w:cs="Arial"/>
                <w:color w:val="000000"/>
                <w:sz w:val="18"/>
                <w:szCs w:val="18"/>
              </w:rPr>
              <w:t>2 501</w:t>
            </w:r>
          </w:p>
        </w:tc>
      </w:tr>
      <w:tr w:rsidR="00C15DC8" w:rsidRPr="00226892" w14:paraId="78B24994" w14:textId="77777777" w:rsidTr="00DD19DA">
        <w:trPr>
          <w:trHeight w:val="227"/>
        </w:trPr>
        <w:tc>
          <w:tcPr>
            <w:tcW w:w="2705" w:type="pct"/>
            <w:tcBorders>
              <w:top w:val="nil"/>
              <w:left w:val="nil"/>
              <w:bottom w:val="nil"/>
              <w:right w:val="nil"/>
            </w:tcBorders>
            <w:shd w:val="clear" w:color="auto" w:fill="auto"/>
            <w:vAlign w:val="bottom"/>
            <w:hideMark/>
          </w:tcPr>
          <w:p w14:paraId="216F08DD" w14:textId="77777777" w:rsidR="00C15DC8" w:rsidRPr="00226892" w:rsidRDefault="00C15DC8" w:rsidP="00C15DC8">
            <w:pPr>
              <w:rPr>
                <w:rFonts w:ascii="Arial" w:hAnsi="Arial" w:cs="Arial"/>
                <w:color w:val="000000"/>
                <w:sz w:val="18"/>
                <w:szCs w:val="18"/>
              </w:rPr>
            </w:pPr>
            <w:proofErr w:type="spellStart"/>
            <w:r w:rsidRPr="00226892">
              <w:rPr>
                <w:rFonts w:ascii="Arial" w:hAnsi="Arial" w:cs="Arial"/>
                <w:color w:val="000000"/>
                <w:sz w:val="18"/>
                <w:szCs w:val="18"/>
              </w:rPr>
              <w:t>Daň</w:t>
            </w:r>
            <w:proofErr w:type="spellEnd"/>
            <w:r w:rsidRPr="00226892">
              <w:rPr>
                <w:rFonts w:ascii="Arial" w:hAnsi="Arial" w:cs="Arial"/>
                <w:color w:val="000000"/>
                <w:sz w:val="18"/>
                <w:szCs w:val="18"/>
              </w:rPr>
              <w:t xml:space="preserve"> z </w:t>
            </w:r>
            <w:proofErr w:type="spellStart"/>
            <w:r w:rsidRPr="00226892">
              <w:rPr>
                <w:rFonts w:ascii="Arial" w:hAnsi="Arial" w:cs="Arial"/>
                <w:color w:val="000000"/>
                <w:sz w:val="18"/>
                <w:szCs w:val="18"/>
              </w:rPr>
              <w:t>príjmov</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vypočítaná</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sadzbou</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dane</w:t>
            </w:r>
            <w:proofErr w:type="spellEnd"/>
            <w:r w:rsidRPr="00226892">
              <w:rPr>
                <w:rFonts w:ascii="Arial" w:hAnsi="Arial" w:cs="Arial"/>
                <w:color w:val="000000"/>
                <w:sz w:val="18"/>
                <w:szCs w:val="18"/>
              </w:rPr>
              <w:t xml:space="preserve"> 21%</w:t>
            </w:r>
          </w:p>
        </w:tc>
        <w:tc>
          <w:tcPr>
            <w:tcW w:w="101" w:type="pct"/>
            <w:tcBorders>
              <w:top w:val="nil"/>
              <w:left w:val="nil"/>
              <w:bottom w:val="nil"/>
              <w:right w:val="nil"/>
            </w:tcBorders>
            <w:shd w:val="clear" w:color="auto" w:fill="auto"/>
            <w:vAlign w:val="bottom"/>
            <w:hideMark/>
          </w:tcPr>
          <w:p w14:paraId="3BB3DC3A" w14:textId="77777777" w:rsidR="00C15DC8" w:rsidRPr="00226892" w:rsidRDefault="00C15DC8" w:rsidP="00C15DC8">
            <w:pPr>
              <w:rPr>
                <w:rFonts w:ascii="Arial" w:hAnsi="Arial" w:cs="Arial"/>
                <w:color w:val="000000"/>
                <w:sz w:val="18"/>
                <w:szCs w:val="18"/>
              </w:rPr>
            </w:pPr>
          </w:p>
        </w:tc>
        <w:tc>
          <w:tcPr>
            <w:tcW w:w="1069" w:type="pct"/>
            <w:gridSpan w:val="2"/>
            <w:tcBorders>
              <w:top w:val="nil"/>
              <w:left w:val="nil"/>
              <w:bottom w:val="nil"/>
              <w:right w:val="nil"/>
            </w:tcBorders>
            <w:shd w:val="clear" w:color="auto" w:fill="auto"/>
            <w:vAlign w:val="bottom"/>
          </w:tcPr>
          <w:p w14:paraId="7E148405" w14:textId="7E276B3A" w:rsidR="00C15DC8" w:rsidRPr="00226892" w:rsidRDefault="00477152" w:rsidP="00C15DC8">
            <w:pPr>
              <w:jc w:val="right"/>
              <w:rPr>
                <w:rFonts w:ascii="Arial" w:hAnsi="Arial" w:cs="Arial"/>
                <w:color w:val="000000"/>
                <w:sz w:val="18"/>
                <w:szCs w:val="18"/>
              </w:rPr>
            </w:pPr>
            <w:r w:rsidRPr="00226892">
              <w:rPr>
                <w:rFonts w:ascii="Arial" w:hAnsi="Arial" w:cs="Arial"/>
                <w:color w:val="000000"/>
                <w:sz w:val="18"/>
                <w:szCs w:val="18"/>
              </w:rPr>
              <w:t>790</w:t>
            </w:r>
          </w:p>
        </w:tc>
        <w:tc>
          <w:tcPr>
            <w:tcW w:w="99" w:type="pct"/>
            <w:tcBorders>
              <w:top w:val="nil"/>
              <w:left w:val="nil"/>
              <w:bottom w:val="nil"/>
              <w:right w:val="nil"/>
            </w:tcBorders>
            <w:shd w:val="clear" w:color="auto" w:fill="auto"/>
            <w:vAlign w:val="bottom"/>
          </w:tcPr>
          <w:p w14:paraId="7419A3AE" w14:textId="77777777" w:rsidR="00C15DC8" w:rsidRPr="00226892" w:rsidRDefault="00C15DC8" w:rsidP="00C15DC8">
            <w:pPr>
              <w:jc w:val="right"/>
              <w:rPr>
                <w:rFonts w:ascii="Arial" w:hAnsi="Arial" w:cs="Arial"/>
                <w:color w:val="000000"/>
                <w:sz w:val="18"/>
                <w:szCs w:val="18"/>
              </w:rPr>
            </w:pPr>
          </w:p>
        </w:tc>
        <w:tc>
          <w:tcPr>
            <w:tcW w:w="1027" w:type="pct"/>
            <w:tcBorders>
              <w:top w:val="nil"/>
              <w:left w:val="nil"/>
              <w:bottom w:val="nil"/>
              <w:right w:val="nil"/>
            </w:tcBorders>
            <w:vAlign w:val="bottom"/>
          </w:tcPr>
          <w:p w14:paraId="16A951C2" w14:textId="4949882E" w:rsidR="00C15DC8" w:rsidRPr="00226892" w:rsidRDefault="00C15DC8" w:rsidP="00C15DC8">
            <w:pPr>
              <w:jc w:val="right"/>
              <w:rPr>
                <w:rFonts w:ascii="Arial" w:hAnsi="Arial" w:cs="Arial"/>
                <w:color w:val="000000"/>
                <w:sz w:val="18"/>
                <w:szCs w:val="18"/>
              </w:rPr>
            </w:pPr>
            <w:r w:rsidRPr="00226892">
              <w:rPr>
                <w:rFonts w:ascii="Arial" w:hAnsi="Arial" w:cs="Arial"/>
                <w:color w:val="000000"/>
                <w:sz w:val="18"/>
                <w:szCs w:val="18"/>
              </w:rPr>
              <w:t>525</w:t>
            </w:r>
          </w:p>
        </w:tc>
      </w:tr>
      <w:tr w:rsidR="00C15DC8" w:rsidRPr="00226892" w14:paraId="3901E0A8" w14:textId="77777777" w:rsidTr="00DD19DA">
        <w:trPr>
          <w:trHeight w:val="227"/>
        </w:trPr>
        <w:tc>
          <w:tcPr>
            <w:tcW w:w="2705" w:type="pct"/>
            <w:tcBorders>
              <w:top w:val="nil"/>
              <w:left w:val="nil"/>
              <w:bottom w:val="nil"/>
              <w:right w:val="nil"/>
            </w:tcBorders>
            <w:shd w:val="clear" w:color="auto" w:fill="auto"/>
            <w:vAlign w:val="bottom"/>
          </w:tcPr>
          <w:p w14:paraId="1A877969" w14:textId="77777777" w:rsidR="00C15DC8" w:rsidRPr="00226892" w:rsidRDefault="00C15DC8" w:rsidP="00C15DC8">
            <w:pPr>
              <w:rPr>
                <w:rFonts w:ascii="Arial" w:hAnsi="Arial" w:cs="Arial"/>
                <w:i/>
                <w:iCs/>
                <w:color w:val="000000"/>
                <w:sz w:val="18"/>
                <w:szCs w:val="18"/>
              </w:rPr>
            </w:pPr>
          </w:p>
        </w:tc>
        <w:tc>
          <w:tcPr>
            <w:tcW w:w="101" w:type="pct"/>
            <w:tcBorders>
              <w:top w:val="nil"/>
              <w:left w:val="nil"/>
              <w:bottom w:val="nil"/>
              <w:right w:val="nil"/>
            </w:tcBorders>
            <w:shd w:val="clear" w:color="auto" w:fill="auto"/>
            <w:vAlign w:val="bottom"/>
          </w:tcPr>
          <w:p w14:paraId="5A497ED8" w14:textId="77777777" w:rsidR="00C15DC8" w:rsidRPr="00226892" w:rsidRDefault="00C15DC8" w:rsidP="00C15DC8">
            <w:pPr>
              <w:rPr>
                <w:rFonts w:ascii="Arial" w:hAnsi="Arial" w:cs="Arial"/>
                <w:i/>
                <w:iCs/>
                <w:color w:val="000000"/>
                <w:sz w:val="18"/>
                <w:szCs w:val="18"/>
                <w:highlight w:val="yellow"/>
              </w:rPr>
            </w:pPr>
          </w:p>
        </w:tc>
        <w:tc>
          <w:tcPr>
            <w:tcW w:w="1069" w:type="pct"/>
            <w:gridSpan w:val="2"/>
            <w:tcBorders>
              <w:top w:val="nil"/>
              <w:left w:val="nil"/>
              <w:bottom w:val="nil"/>
              <w:right w:val="nil"/>
            </w:tcBorders>
            <w:shd w:val="clear" w:color="auto" w:fill="auto"/>
            <w:vAlign w:val="bottom"/>
          </w:tcPr>
          <w:p w14:paraId="50940C2B" w14:textId="77777777" w:rsidR="00C15DC8" w:rsidRPr="00226892" w:rsidRDefault="00C15DC8" w:rsidP="00C15DC8">
            <w:pPr>
              <w:jc w:val="right"/>
              <w:rPr>
                <w:rFonts w:ascii="Arial" w:hAnsi="Arial" w:cs="Arial"/>
                <w:sz w:val="18"/>
                <w:szCs w:val="18"/>
                <w:highlight w:val="yellow"/>
              </w:rPr>
            </w:pPr>
          </w:p>
        </w:tc>
        <w:tc>
          <w:tcPr>
            <w:tcW w:w="99" w:type="pct"/>
            <w:tcBorders>
              <w:top w:val="nil"/>
              <w:left w:val="nil"/>
              <w:bottom w:val="nil"/>
              <w:right w:val="nil"/>
            </w:tcBorders>
            <w:shd w:val="clear" w:color="auto" w:fill="auto"/>
            <w:vAlign w:val="bottom"/>
          </w:tcPr>
          <w:p w14:paraId="5AA3B672" w14:textId="77777777" w:rsidR="00C15DC8" w:rsidRPr="00226892" w:rsidRDefault="00C15DC8" w:rsidP="00C15DC8">
            <w:pPr>
              <w:jc w:val="right"/>
              <w:rPr>
                <w:rFonts w:ascii="Arial" w:hAnsi="Arial" w:cs="Arial"/>
                <w:sz w:val="18"/>
                <w:szCs w:val="18"/>
                <w:highlight w:val="yellow"/>
              </w:rPr>
            </w:pPr>
          </w:p>
        </w:tc>
        <w:tc>
          <w:tcPr>
            <w:tcW w:w="1027" w:type="pct"/>
            <w:tcBorders>
              <w:top w:val="nil"/>
              <w:left w:val="nil"/>
              <w:bottom w:val="nil"/>
              <w:right w:val="nil"/>
            </w:tcBorders>
            <w:vAlign w:val="bottom"/>
          </w:tcPr>
          <w:p w14:paraId="559B11AC" w14:textId="77777777" w:rsidR="00C15DC8" w:rsidRPr="00226892" w:rsidRDefault="00C15DC8" w:rsidP="00C15DC8">
            <w:pPr>
              <w:jc w:val="right"/>
              <w:rPr>
                <w:rFonts w:ascii="Arial" w:hAnsi="Arial" w:cs="Arial"/>
                <w:sz w:val="18"/>
                <w:szCs w:val="18"/>
                <w:highlight w:val="yellow"/>
              </w:rPr>
            </w:pPr>
          </w:p>
        </w:tc>
      </w:tr>
      <w:tr w:rsidR="00C15DC8" w:rsidRPr="00226892" w14:paraId="59DEF0B8" w14:textId="77777777" w:rsidTr="00DD19DA">
        <w:trPr>
          <w:trHeight w:val="227"/>
        </w:trPr>
        <w:tc>
          <w:tcPr>
            <w:tcW w:w="2705" w:type="pct"/>
            <w:tcBorders>
              <w:top w:val="nil"/>
              <w:left w:val="nil"/>
              <w:bottom w:val="nil"/>
              <w:right w:val="nil"/>
            </w:tcBorders>
            <w:shd w:val="clear" w:color="auto" w:fill="auto"/>
            <w:vAlign w:val="bottom"/>
            <w:hideMark/>
          </w:tcPr>
          <w:p w14:paraId="6ABDA541" w14:textId="77777777" w:rsidR="00C15DC8" w:rsidRPr="00226892" w:rsidRDefault="00C15DC8" w:rsidP="00C15DC8">
            <w:pPr>
              <w:rPr>
                <w:rFonts w:ascii="Arial" w:hAnsi="Arial" w:cs="Arial"/>
                <w:i/>
                <w:iCs/>
                <w:color w:val="000000"/>
                <w:sz w:val="18"/>
                <w:szCs w:val="18"/>
              </w:rPr>
            </w:pPr>
            <w:proofErr w:type="spellStart"/>
            <w:r w:rsidRPr="00226892">
              <w:rPr>
                <w:rFonts w:ascii="Arial" w:hAnsi="Arial" w:cs="Arial"/>
                <w:i/>
                <w:iCs/>
                <w:color w:val="000000"/>
                <w:sz w:val="18"/>
                <w:szCs w:val="18"/>
              </w:rPr>
              <w:t>Daňový</w:t>
            </w:r>
            <w:proofErr w:type="spellEnd"/>
            <w:r w:rsidRPr="00226892">
              <w:rPr>
                <w:rFonts w:ascii="Arial" w:hAnsi="Arial" w:cs="Arial"/>
                <w:i/>
                <w:iCs/>
                <w:color w:val="000000"/>
                <w:sz w:val="18"/>
                <w:szCs w:val="18"/>
              </w:rPr>
              <w:t xml:space="preserve"> </w:t>
            </w:r>
            <w:proofErr w:type="spellStart"/>
            <w:r w:rsidRPr="00226892">
              <w:rPr>
                <w:rFonts w:ascii="Arial" w:hAnsi="Arial" w:cs="Arial"/>
                <w:i/>
                <w:iCs/>
                <w:color w:val="000000"/>
                <w:sz w:val="18"/>
                <w:szCs w:val="18"/>
              </w:rPr>
              <w:t>efekt</w:t>
            </w:r>
            <w:proofErr w:type="spellEnd"/>
            <w:r w:rsidRPr="00226892">
              <w:rPr>
                <w:rFonts w:ascii="Arial" w:hAnsi="Arial" w:cs="Arial"/>
                <w:i/>
                <w:iCs/>
                <w:color w:val="000000"/>
                <w:sz w:val="18"/>
                <w:szCs w:val="18"/>
              </w:rPr>
              <w:t xml:space="preserve"> z:</w:t>
            </w:r>
          </w:p>
        </w:tc>
        <w:tc>
          <w:tcPr>
            <w:tcW w:w="101" w:type="pct"/>
            <w:tcBorders>
              <w:top w:val="nil"/>
              <w:left w:val="nil"/>
              <w:bottom w:val="nil"/>
              <w:right w:val="nil"/>
            </w:tcBorders>
            <w:shd w:val="clear" w:color="auto" w:fill="auto"/>
            <w:vAlign w:val="bottom"/>
            <w:hideMark/>
          </w:tcPr>
          <w:p w14:paraId="08799D70" w14:textId="77777777" w:rsidR="00C15DC8" w:rsidRPr="00226892" w:rsidRDefault="00C15DC8" w:rsidP="00C15DC8">
            <w:pPr>
              <w:rPr>
                <w:rFonts w:ascii="Arial" w:hAnsi="Arial" w:cs="Arial"/>
                <w:i/>
                <w:iCs/>
                <w:color w:val="000000"/>
                <w:sz w:val="18"/>
                <w:szCs w:val="18"/>
                <w:highlight w:val="yellow"/>
              </w:rPr>
            </w:pPr>
          </w:p>
        </w:tc>
        <w:tc>
          <w:tcPr>
            <w:tcW w:w="1069" w:type="pct"/>
            <w:gridSpan w:val="2"/>
            <w:tcBorders>
              <w:top w:val="nil"/>
              <w:left w:val="nil"/>
              <w:bottom w:val="nil"/>
              <w:right w:val="nil"/>
            </w:tcBorders>
            <w:shd w:val="clear" w:color="auto" w:fill="auto"/>
            <w:vAlign w:val="bottom"/>
          </w:tcPr>
          <w:p w14:paraId="3C99779A" w14:textId="77777777" w:rsidR="00C15DC8" w:rsidRPr="00226892" w:rsidRDefault="00C15DC8" w:rsidP="00C15DC8">
            <w:pPr>
              <w:jc w:val="right"/>
              <w:rPr>
                <w:rFonts w:ascii="Arial" w:hAnsi="Arial" w:cs="Arial"/>
                <w:sz w:val="18"/>
                <w:szCs w:val="18"/>
                <w:highlight w:val="yellow"/>
              </w:rPr>
            </w:pPr>
          </w:p>
        </w:tc>
        <w:tc>
          <w:tcPr>
            <w:tcW w:w="99" w:type="pct"/>
            <w:tcBorders>
              <w:top w:val="nil"/>
              <w:left w:val="nil"/>
              <w:bottom w:val="nil"/>
              <w:right w:val="nil"/>
            </w:tcBorders>
            <w:shd w:val="clear" w:color="auto" w:fill="auto"/>
            <w:vAlign w:val="bottom"/>
          </w:tcPr>
          <w:p w14:paraId="668E2556" w14:textId="77777777" w:rsidR="00C15DC8" w:rsidRPr="00226892" w:rsidRDefault="00C15DC8" w:rsidP="00C15DC8">
            <w:pPr>
              <w:jc w:val="right"/>
              <w:rPr>
                <w:rFonts w:ascii="Arial" w:hAnsi="Arial" w:cs="Arial"/>
                <w:sz w:val="18"/>
                <w:szCs w:val="18"/>
                <w:highlight w:val="yellow"/>
              </w:rPr>
            </w:pPr>
          </w:p>
        </w:tc>
        <w:tc>
          <w:tcPr>
            <w:tcW w:w="1027" w:type="pct"/>
            <w:tcBorders>
              <w:top w:val="nil"/>
              <w:left w:val="nil"/>
              <w:bottom w:val="nil"/>
              <w:right w:val="nil"/>
            </w:tcBorders>
            <w:vAlign w:val="bottom"/>
          </w:tcPr>
          <w:p w14:paraId="763B3EA3" w14:textId="77777777" w:rsidR="00C15DC8" w:rsidRPr="00226892" w:rsidRDefault="00C15DC8" w:rsidP="00C15DC8">
            <w:pPr>
              <w:jc w:val="right"/>
              <w:rPr>
                <w:rFonts w:ascii="Arial" w:hAnsi="Arial" w:cs="Arial"/>
                <w:sz w:val="18"/>
                <w:szCs w:val="18"/>
                <w:highlight w:val="yellow"/>
              </w:rPr>
            </w:pPr>
          </w:p>
        </w:tc>
      </w:tr>
      <w:tr w:rsidR="00C15DC8" w:rsidRPr="00226892" w14:paraId="091CB14B" w14:textId="77777777" w:rsidTr="00DD19DA">
        <w:trPr>
          <w:trHeight w:val="227"/>
        </w:trPr>
        <w:tc>
          <w:tcPr>
            <w:tcW w:w="2705" w:type="pct"/>
            <w:tcBorders>
              <w:top w:val="nil"/>
              <w:left w:val="nil"/>
              <w:bottom w:val="nil"/>
              <w:right w:val="nil"/>
            </w:tcBorders>
            <w:shd w:val="clear" w:color="auto" w:fill="auto"/>
            <w:vAlign w:val="bottom"/>
          </w:tcPr>
          <w:p w14:paraId="40359CCC" w14:textId="5BF403EC" w:rsidR="00C15DC8" w:rsidRPr="00226892" w:rsidRDefault="00C15DC8" w:rsidP="00D61E2D">
            <w:pPr>
              <w:rPr>
                <w:rFonts w:ascii="Arial" w:hAnsi="Arial" w:cs="Arial"/>
                <w:color w:val="000000"/>
                <w:sz w:val="18"/>
                <w:szCs w:val="18"/>
              </w:rPr>
            </w:pPr>
          </w:p>
        </w:tc>
        <w:tc>
          <w:tcPr>
            <w:tcW w:w="101" w:type="pct"/>
            <w:tcBorders>
              <w:top w:val="nil"/>
              <w:left w:val="nil"/>
              <w:bottom w:val="nil"/>
              <w:right w:val="nil"/>
            </w:tcBorders>
            <w:shd w:val="clear" w:color="auto" w:fill="auto"/>
            <w:vAlign w:val="bottom"/>
            <w:hideMark/>
          </w:tcPr>
          <w:p w14:paraId="63CD16F9" w14:textId="77777777" w:rsidR="00C15DC8" w:rsidRPr="00226892" w:rsidRDefault="00C15DC8" w:rsidP="00D61E2D">
            <w:pPr>
              <w:rPr>
                <w:rFonts w:ascii="Arial" w:hAnsi="Arial" w:cs="Arial"/>
                <w:color w:val="000000"/>
                <w:sz w:val="18"/>
                <w:szCs w:val="18"/>
                <w:highlight w:val="yellow"/>
              </w:rPr>
            </w:pPr>
          </w:p>
        </w:tc>
        <w:tc>
          <w:tcPr>
            <w:tcW w:w="1069" w:type="pct"/>
            <w:gridSpan w:val="2"/>
            <w:tcBorders>
              <w:top w:val="nil"/>
              <w:left w:val="nil"/>
              <w:bottom w:val="nil"/>
              <w:right w:val="nil"/>
            </w:tcBorders>
            <w:shd w:val="clear" w:color="auto" w:fill="auto"/>
            <w:vAlign w:val="bottom"/>
          </w:tcPr>
          <w:p w14:paraId="4DF738A1" w14:textId="77777777" w:rsidR="00C15DC8" w:rsidRPr="00226892" w:rsidRDefault="00C15DC8" w:rsidP="00D61E2D">
            <w:pPr>
              <w:jc w:val="right"/>
              <w:rPr>
                <w:rFonts w:ascii="Arial" w:hAnsi="Arial" w:cs="Arial"/>
                <w:color w:val="000000"/>
                <w:sz w:val="18"/>
                <w:szCs w:val="18"/>
              </w:rPr>
            </w:pPr>
          </w:p>
        </w:tc>
        <w:tc>
          <w:tcPr>
            <w:tcW w:w="99" w:type="pct"/>
            <w:tcBorders>
              <w:top w:val="nil"/>
              <w:left w:val="nil"/>
              <w:bottom w:val="nil"/>
              <w:right w:val="nil"/>
            </w:tcBorders>
            <w:shd w:val="clear" w:color="auto" w:fill="auto"/>
            <w:vAlign w:val="bottom"/>
          </w:tcPr>
          <w:p w14:paraId="20446117" w14:textId="77777777" w:rsidR="00C15DC8" w:rsidRPr="00226892" w:rsidRDefault="00C15DC8" w:rsidP="00D61E2D">
            <w:pPr>
              <w:jc w:val="right"/>
              <w:rPr>
                <w:rFonts w:ascii="Arial" w:hAnsi="Arial" w:cs="Arial"/>
                <w:color w:val="000000"/>
                <w:sz w:val="18"/>
                <w:szCs w:val="18"/>
              </w:rPr>
            </w:pPr>
          </w:p>
        </w:tc>
        <w:tc>
          <w:tcPr>
            <w:tcW w:w="1027" w:type="pct"/>
            <w:tcBorders>
              <w:top w:val="nil"/>
              <w:left w:val="nil"/>
              <w:bottom w:val="nil"/>
              <w:right w:val="nil"/>
            </w:tcBorders>
            <w:vAlign w:val="bottom"/>
          </w:tcPr>
          <w:p w14:paraId="7A4D78B5" w14:textId="54988A6A" w:rsidR="00C15DC8" w:rsidRPr="00226892" w:rsidRDefault="00C15DC8" w:rsidP="00D61E2D">
            <w:pPr>
              <w:jc w:val="right"/>
              <w:rPr>
                <w:rFonts w:ascii="Arial" w:hAnsi="Arial" w:cs="Arial"/>
                <w:color w:val="000000"/>
                <w:sz w:val="18"/>
                <w:szCs w:val="18"/>
              </w:rPr>
            </w:pPr>
          </w:p>
        </w:tc>
      </w:tr>
      <w:tr w:rsidR="00C15DC8" w:rsidRPr="00226892" w14:paraId="55C28446" w14:textId="77777777" w:rsidTr="00DD19DA">
        <w:trPr>
          <w:trHeight w:val="227"/>
        </w:trPr>
        <w:tc>
          <w:tcPr>
            <w:tcW w:w="2705" w:type="pct"/>
            <w:tcBorders>
              <w:top w:val="nil"/>
              <w:left w:val="nil"/>
              <w:bottom w:val="nil"/>
              <w:right w:val="nil"/>
            </w:tcBorders>
            <w:shd w:val="clear" w:color="auto" w:fill="auto"/>
            <w:vAlign w:val="bottom"/>
            <w:hideMark/>
          </w:tcPr>
          <w:p w14:paraId="5487C991" w14:textId="2DBCB24A" w:rsidR="00C15DC8" w:rsidRPr="00226892" w:rsidRDefault="00C15DC8" w:rsidP="00DD19DA">
            <w:pPr>
              <w:ind w:right="-57"/>
              <w:rPr>
                <w:rFonts w:ascii="Arial" w:hAnsi="Arial" w:cs="Arial"/>
                <w:color w:val="000000"/>
                <w:sz w:val="18"/>
                <w:szCs w:val="18"/>
              </w:rPr>
            </w:pPr>
            <w:proofErr w:type="spellStart"/>
            <w:r w:rsidRPr="00226892">
              <w:rPr>
                <w:rFonts w:ascii="Arial" w:hAnsi="Arial" w:cs="Arial"/>
                <w:color w:val="000000"/>
                <w:sz w:val="18"/>
                <w:szCs w:val="18"/>
              </w:rPr>
              <w:t>Daňovo</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neuznateľné</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náklady</w:t>
            </w:r>
            <w:proofErr w:type="spellEnd"/>
            <w:r w:rsidR="00D10DAF" w:rsidRPr="00226892">
              <w:rPr>
                <w:rFonts w:ascii="Arial" w:hAnsi="Arial" w:cs="Arial"/>
                <w:color w:val="000000"/>
                <w:sz w:val="18"/>
                <w:szCs w:val="18"/>
              </w:rPr>
              <w:t xml:space="preserve"> (+)</w:t>
            </w:r>
            <w:r w:rsidRPr="00226892">
              <w:rPr>
                <w:rFonts w:ascii="Arial" w:hAnsi="Arial" w:cs="Arial"/>
                <w:color w:val="000000"/>
                <w:sz w:val="18"/>
                <w:szCs w:val="18"/>
              </w:rPr>
              <w:t>/</w:t>
            </w:r>
            <w:proofErr w:type="spellStart"/>
            <w:r w:rsidRPr="00226892">
              <w:rPr>
                <w:rFonts w:ascii="Arial" w:hAnsi="Arial" w:cs="Arial"/>
                <w:color w:val="000000"/>
                <w:sz w:val="18"/>
                <w:szCs w:val="18"/>
              </w:rPr>
              <w:t>Výnosy</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nepodliehajúce</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dani</w:t>
            </w:r>
            <w:proofErr w:type="spellEnd"/>
            <w:r w:rsidR="00D10DAF" w:rsidRPr="00226892">
              <w:rPr>
                <w:rFonts w:ascii="Arial" w:hAnsi="Arial" w:cs="Arial"/>
                <w:color w:val="000000"/>
                <w:sz w:val="18"/>
                <w:szCs w:val="18"/>
              </w:rPr>
              <w:t xml:space="preserve"> (-)</w:t>
            </w:r>
          </w:p>
        </w:tc>
        <w:tc>
          <w:tcPr>
            <w:tcW w:w="101" w:type="pct"/>
            <w:tcBorders>
              <w:top w:val="nil"/>
              <w:left w:val="nil"/>
              <w:bottom w:val="nil"/>
              <w:right w:val="nil"/>
            </w:tcBorders>
            <w:shd w:val="clear" w:color="auto" w:fill="auto"/>
            <w:vAlign w:val="bottom"/>
            <w:hideMark/>
          </w:tcPr>
          <w:p w14:paraId="784CB217" w14:textId="77777777" w:rsidR="00C15DC8" w:rsidRPr="00226892" w:rsidRDefault="00C15DC8" w:rsidP="00C15DC8">
            <w:pPr>
              <w:rPr>
                <w:rFonts w:ascii="Arial" w:hAnsi="Arial" w:cs="Arial"/>
                <w:color w:val="000000"/>
                <w:sz w:val="18"/>
                <w:szCs w:val="18"/>
                <w:highlight w:val="yellow"/>
              </w:rPr>
            </w:pPr>
          </w:p>
        </w:tc>
        <w:tc>
          <w:tcPr>
            <w:tcW w:w="412" w:type="pct"/>
            <w:tcBorders>
              <w:top w:val="nil"/>
              <w:left w:val="nil"/>
              <w:bottom w:val="nil"/>
              <w:right w:val="nil"/>
            </w:tcBorders>
            <w:shd w:val="clear" w:color="auto" w:fill="auto"/>
            <w:vAlign w:val="bottom"/>
          </w:tcPr>
          <w:p w14:paraId="31590435" w14:textId="2CA2B584" w:rsidR="00C15DC8" w:rsidRPr="00226892" w:rsidRDefault="00C15DC8" w:rsidP="00C15DC8">
            <w:pPr>
              <w:jc w:val="right"/>
              <w:rPr>
                <w:rFonts w:ascii="Arial" w:hAnsi="Arial" w:cs="Arial"/>
                <w:color w:val="000000"/>
                <w:sz w:val="18"/>
                <w:szCs w:val="18"/>
              </w:rPr>
            </w:pPr>
          </w:p>
        </w:tc>
        <w:tc>
          <w:tcPr>
            <w:tcW w:w="657" w:type="pct"/>
            <w:tcBorders>
              <w:top w:val="nil"/>
              <w:left w:val="nil"/>
              <w:bottom w:val="nil"/>
              <w:right w:val="nil"/>
            </w:tcBorders>
            <w:shd w:val="clear" w:color="auto" w:fill="auto"/>
            <w:vAlign w:val="bottom"/>
          </w:tcPr>
          <w:p w14:paraId="3F0335CD" w14:textId="018CFD8D" w:rsidR="00C15DC8" w:rsidRPr="00226892" w:rsidRDefault="00C15DC8" w:rsidP="00C15DC8">
            <w:pPr>
              <w:jc w:val="right"/>
              <w:rPr>
                <w:rFonts w:ascii="Arial" w:hAnsi="Arial" w:cs="Arial"/>
                <w:color w:val="000000"/>
                <w:sz w:val="18"/>
                <w:szCs w:val="18"/>
              </w:rPr>
            </w:pPr>
            <w:r w:rsidRPr="00226892">
              <w:rPr>
                <w:rFonts w:ascii="Arial" w:hAnsi="Arial" w:cs="Arial"/>
                <w:color w:val="000000"/>
                <w:sz w:val="18"/>
                <w:szCs w:val="18"/>
              </w:rPr>
              <w:t>-46</w:t>
            </w:r>
          </w:p>
        </w:tc>
        <w:tc>
          <w:tcPr>
            <w:tcW w:w="1126" w:type="pct"/>
            <w:gridSpan w:val="2"/>
            <w:tcBorders>
              <w:top w:val="nil"/>
              <w:left w:val="nil"/>
              <w:bottom w:val="nil"/>
              <w:right w:val="nil"/>
            </w:tcBorders>
            <w:vAlign w:val="bottom"/>
          </w:tcPr>
          <w:p w14:paraId="7933DD6D" w14:textId="791A50F5" w:rsidR="00C15DC8" w:rsidRPr="00226892" w:rsidRDefault="00C15DC8" w:rsidP="00C15DC8">
            <w:pPr>
              <w:jc w:val="right"/>
              <w:rPr>
                <w:rFonts w:ascii="Arial" w:hAnsi="Arial" w:cs="Arial"/>
                <w:color w:val="000000"/>
                <w:sz w:val="18"/>
                <w:szCs w:val="18"/>
              </w:rPr>
            </w:pPr>
            <w:r w:rsidRPr="00226892">
              <w:rPr>
                <w:rFonts w:ascii="Arial" w:hAnsi="Arial" w:cs="Arial"/>
                <w:color w:val="000000"/>
                <w:sz w:val="18"/>
                <w:szCs w:val="18"/>
              </w:rPr>
              <w:t>49</w:t>
            </w:r>
          </w:p>
        </w:tc>
      </w:tr>
      <w:tr w:rsidR="00C15DC8" w:rsidRPr="00226892" w14:paraId="4C71FB1E" w14:textId="77777777" w:rsidTr="00DD19DA">
        <w:trPr>
          <w:trHeight w:val="227"/>
        </w:trPr>
        <w:tc>
          <w:tcPr>
            <w:tcW w:w="2705" w:type="pct"/>
            <w:tcBorders>
              <w:top w:val="nil"/>
              <w:left w:val="nil"/>
              <w:bottom w:val="nil"/>
              <w:right w:val="nil"/>
            </w:tcBorders>
            <w:shd w:val="clear" w:color="auto" w:fill="auto"/>
            <w:vAlign w:val="bottom"/>
            <w:hideMark/>
          </w:tcPr>
          <w:p w14:paraId="58C5A646" w14:textId="0D7A8B49" w:rsidR="00C15DC8" w:rsidRPr="00226892" w:rsidRDefault="00C15DC8" w:rsidP="00C15DC8">
            <w:pPr>
              <w:rPr>
                <w:rFonts w:ascii="Arial" w:hAnsi="Arial" w:cs="Arial"/>
                <w:color w:val="000000"/>
                <w:sz w:val="18"/>
                <w:szCs w:val="18"/>
              </w:rPr>
            </w:pPr>
            <w:proofErr w:type="spellStart"/>
            <w:r w:rsidRPr="00226892">
              <w:rPr>
                <w:rFonts w:ascii="Arial" w:hAnsi="Arial" w:cs="Arial"/>
                <w:color w:val="000000"/>
                <w:sz w:val="18"/>
                <w:szCs w:val="18"/>
              </w:rPr>
              <w:t>Ostatné</w:t>
            </w:r>
            <w:proofErr w:type="spellEnd"/>
          </w:p>
        </w:tc>
        <w:tc>
          <w:tcPr>
            <w:tcW w:w="101" w:type="pct"/>
            <w:tcBorders>
              <w:top w:val="nil"/>
              <w:left w:val="nil"/>
              <w:bottom w:val="nil"/>
              <w:right w:val="nil"/>
            </w:tcBorders>
            <w:shd w:val="clear" w:color="auto" w:fill="auto"/>
            <w:vAlign w:val="bottom"/>
            <w:hideMark/>
          </w:tcPr>
          <w:p w14:paraId="3188A6B2" w14:textId="77777777" w:rsidR="00C15DC8" w:rsidRPr="00226892" w:rsidRDefault="00C15DC8" w:rsidP="00C15DC8">
            <w:pPr>
              <w:rPr>
                <w:rFonts w:ascii="Arial" w:hAnsi="Arial" w:cs="Arial"/>
                <w:color w:val="000000"/>
                <w:sz w:val="18"/>
                <w:szCs w:val="18"/>
                <w:highlight w:val="yellow"/>
              </w:rPr>
            </w:pPr>
          </w:p>
        </w:tc>
        <w:tc>
          <w:tcPr>
            <w:tcW w:w="412" w:type="pct"/>
            <w:tcBorders>
              <w:top w:val="nil"/>
              <w:left w:val="nil"/>
              <w:bottom w:val="nil"/>
              <w:right w:val="nil"/>
            </w:tcBorders>
            <w:shd w:val="clear" w:color="auto" w:fill="auto"/>
            <w:vAlign w:val="bottom"/>
          </w:tcPr>
          <w:p w14:paraId="626FB747" w14:textId="313E314F" w:rsidR="00C15DC8" w:rsidRPr="00226892" w:rsidRDefault="00C15DC8" w:rsidP="00C15DC8">
            <w:pPr>
              <w:jc w:val="right"/>
              <w:rPr>
                <w:rFonts w:ascii="Arial" w:hAnsi="Arial" w:cs="Arial"/>
                <w:color w:val="000000"/>
                <w:sz w:val="18"/>
                <w:szCs w:val="18"/>
              </w:rPr>
            </w:pPr>
          </w:p>
        </w:tc>
        <w:tc>
          <w:tcPr>
            <w:tcW w:w="657" w:type="pct"/>
            <w:tcBorders>
              <w:top w:val="nil"/>
              <w:left w:val="nil"/>
              <w:bottom w:val="nil"/>
              <w:right w:val="nil"/>
            </w:tcBorders>
            <w:shd w:val="clear" w:color="auto" w:fill="auto"/>
            <w:vAlign w:val="bottom"/>
          </w:tcPr>
          <w:p w14:paraId="72D71CF8" w14:textId="7C3D85BC" w:rsidR="00C15DC8" w:rsidRPr="00226892" w:rsidRDefault="00C15DC8" w:rsidP="00C15DC8">
            <w:pPr>
              <w:jc w:val="right"/>
              <w:rPr>
                <w:rFonts w:ascii="Arial" w:hAnsi="Arial" w:cs="Arial"/>
                <w:color w:val="000000"/>
                <w:sz w:val="18"/>
                <w:szCs w:val="18"/>
              </w:rPr>
            </w:pPr>
            <w:r w:rsidRPr="00226892">
              <w:rPr>
                <w:rFonts w:ascii="Arial" w:hAnsi="Arial" w:cs="Arial"/>
                <w:color w:val="000000"/>
                <w:sz w:val="18"/>
                <w:szCs w:val="18"/>
              </w:rPr>
              <w:t>44</w:t>
            </w:r>
          </w:p>
        </w:tc>
        <w:tc>
          <w:tcPr>
            <w:tcW w:w="1126" w:type="pct"/>
            <w:gridSpan w:val="2"/>
            <w:tcBorders>
              <w:top w:val="nil"/>
              <w:left w:val="nil"/>
              <w:bottom w:val="nil"/>
              <w:right w:val="nil"/>
            </w:tcBorders>
            <w:vAlign w:val="bottom"/>
          </w:tcPr>
          <w:p w14:paraId="417F51CD" w14:textId="39F6751C" w:rsidR="00C15DC8" w:rsidRPr="00226892" w:rsidRDefault="00C15DC8" w:rsidP="00C15DC8">
            <w:pPr>
              <w:jc w:val="right"/>
              <w:rPr>
                <w:rFonts w:ascii="Arial" w:hAnsi="Arial" w:cs="Arial"/>
                <w:color w:val="000000"/>
                <w:sz w:val="18"/>
                <w:szCs w:val="18"/>
              </w:rPr>
            </w:pPr>
            <w:r w:rsidRPr="00226892">
              <w:rPr>
                <w:rFonts w:ascii="Arial" w:hAnsi="Arial" w:cs="Arial"/>
                <w:color w:val="000000"/>
                <w:sz w:val="18"/>
                <w:szCs w:val="18"/>
              </w:rPr>
              <w:t>-</w:t>
            </w:r>
          </w:p>
        </w:tc>
      </w:tr>
      <w:tr w:rsidR="00C15DC8" w:rsidRPr="00226892" w14:paraId="2B621788" w14:textId="77777777" w:rsidTr="00DD19DA">
        <w:trPr>
          <w:trHeight w:val="227"/>
        </w:trPr>
        <w:tc>
          <w:tcPr>
            <w:tcW w:w="2705" w:type="pct"/>
            <w:tcBorders>
              <w:top w:val="nil"/>
              <w:left w:val="nil"/>
              <w:bottom w:val="nil"/>
              <w:right w:val="nil"/>
            </w:tcBorders>
            <w:shd w:val="clear" w:color="auto" w:fill="auto"/>
            <w:noWrap/>
            <w:vAlign w:val="bottom"/>
            <w:hideMark/>
          </w:tcPr>
          <w:p w14:paraId="49E26457" w14:textId="2E550445" w:rsidR="00C15DC8" w:rsidRPr="00226892" w:rsidRDefault="00C15DC8" w:rsidP="00C15DC8">
            <w:pPr>
              <w:rPr>
                <w:rFonts w:ascii="Arial" w:hAnsi="Arial" w:cs="Arial"/>
                <w:b/>
                <w:bCs/>
                <w:color w:val="000000"/>
                <w:sz w:val="18"/>
                <w:szCs w:val="18"/>
                <w:lang w:val="sk-SK"/>
              </w:rPr>
            </w:pPr>
            <w:proofErr w:type="spellStart"/>
            <w:r w:rsidRPr="00226892">
              <w:rPr>
                <w:rFonts w:ascii="Arial" w:hAnsi="Arial" w:cs="Arial"/>
                <w:b/>
                <w:bCs/>
                <w:color w:val="000000"/>
                <w:sz w:val="18"/>
                <w:szCs w:val="18"/>
              </w:rPr>
              <w:t>Daňový</w:t>
            </w:r>
            <w:proofErr w:type="spellEnd"/>
            <w:r w:rsidRPr="00226892">
              <w:rPr>
                <w:rFonts w:ascii="Arial" w:hAnsi="Arial" w:cs="Arial"/>
                <w:b/>
                <w:bCs/>
                <w:color w:val="000000"/>
                <w:sz w:val="18"/>
                <w:szCs w:val="18"/>
              </w:rPr>
              <w:t xml:space="preserve"> v</w:t>
            </w:r>
            <w:proofErr w:type="spellStart"/>
            <w:r w:rsidRPr="00226892">
              <w:rPr>
                <w:rFonts w:ascii="Arial" w:hAnsi="Arial" w:cs="Arial"/>
                <w:b/>
                <w:bCs/>
                <w:color w:val="000000"/>
                <w:sz w:val="18"/>
                <w:szCs w:val="18"/>
                <w:lang w:val="sk-SK"/>
              </w:rPr>
              <w:t>ýnos</w:t>
            </w:r>
            <w:proofErr w:type="spellEnd"/>
            <w:r w:rsidR="00D10DAF" w:rsidRPr="00226892">
              <w:rPr>
                <w:rFonts w:ascii="Arial" w:hAnsi="Arial" w:cs="Arial"/>
                <w:b/>
                <w:bCs/>
                <w:color w:val="000000"/>
                <w:sz w:val="18"/>
                <w:szCs w:val="18"/>
                <w:lang w:val="sk-SK"/>
              </w:rPr>
              <w:t xml:space="preserve"> (-)/náklad (+)</w:t>
            </w:r>
          </w:p>
        </w:tc>
        <w:tc>
          <w:tcPr>
            <w:tcW w:w="101" w:type="pct"/>
            <w:tcBorders>
              <w:top w:val="nil"/>
              <w:left w:val="nil"/>
              <w:bottom w:val="nil"/>
              <w:right w:val="nil"/>
            </w:tcBorders>
            <w:shd w:val="clear" w:color="auto" w:fill="auto"/>
            <w:vAlign w:val="bottom"/>
            <w:hideMark/>
          </w:tcPr>
          <w:p w14:paraId="0D303A72" w14:textId="77777777" w:rsidR="00C15DC8" w:rsidRPr="00226892" w:rsidRDefault="00C15DC8" w:rsidP="00C15DC8">
            <w:pPr>
              <w:rPr>
                <w:rFonts w:ascii="Arial" w:hAnsi="Arial" w:cs="Arial"/>
                <w:b/>
                <w:bCs/>
                <w:color w:val="000000"/>
                <w:sz w:val="18"/>
                <w:szCs w:val="18"/>
              </w:rPr>
            </w:pPr>
          </w:p>
        </w:tc>
        <w:tc>
          <w:tcPr>
            <w:tcW w:w="1069" w:type="pct"/>
            <w:gridSpan w:val="2"/>
            <w:tcBorders>
              <w:top w:val="single" w:sz="4" w:space="0" w:color="auto"/>
              <w:left w:val="nil"/>
              <w:bottom w:val="double" w:sz="6" w:space="0" w:color="auto"/>
              <w:right w:val="nil"/>
            </w:tcBorders>
            <w:shd w:val="clear" w:color="auto" w:fill="auto"/>
            <w:vAlign w:val="bottom"/>
          </w:tcPr>
          <w:p w14:paraId="0E3EDCEB" w14:textId="3EF7875B" w:rsidR="00C15DC8" w:rsidRPr="00226892" w:rsidRDefault="00477152" w:rsidP="00C15DC8">
            <w:pPr>
              <w:jc w:val="right"/>
              <w:rPr>
                <w:rFonts w:ascii="Arial" w:hAnsi="Arial" w:cs="Arial"/>
                <w:b/>
                <w:bCs/>
                <w:color w:val="000000"/>
                <w:sz w:val="18"/>
                <w:szCs w:val="18"/>
              </w:rPr>
            </w:pPr>
            <w:r w:rsidRPr="00226892">
              <w:rPr>
                <w:rFonts w:ascii="Arial" w:hAnsi="Arial" w:cs="Arial"/>
                <w:b/>
                <w:bCs/>
                <w:color w:val="000000"/>
                <w:sz w:val="18"/>
                <w:szCs w:val="18"/>
              </w:rPr>
              <w:t>788</w:t>
            </w:r>
          </w:p>
        </w:tc>
        <w:tc>
          <w:tcPr>
            <w:tcW w:w="99" w:type="pct"/>
            <w:tcBorders>
              <w:top w:val="single" w:sz="4" w:space="0" w:color="auto"/>
              <w:left w:val="nil"/>
              <w:bottom w:val="double" w:sz="6" w:space="0" w:color="auto"/>
              <w:right w:val="nil"/>
            </w:tcBorders>
            <w:shd w:val="clear" w:color="auto" w:fill="auto"/>
            <w:vAlign w:val="bottom"/>
          </w:tcPr>
          <w:p w14:paraId="1CADCB03" w14:textId="765AC758" w:rsidR="00C15DC8" w:rsidRPr="00226892" w:rsidRDefault="00C15DC8" w:rsidP="00C15DC8">
            <w:pPr>
              <w:jc w:val="right"/>
              <w:rPr>
                <w:rFonts w:ascii="Arial" w:hAnsi="Arial" w:cs="Arial"/>
                <w:b/>
                <w:bCs/>
                <w:color w:val="000000"/>
                <w:sz w:val="18"/>
                <w:szCs w:val="18"/>
              </w:rPr>
            </w:pPr>
          </w:p>
        </w:tc>
        <w:tc>
          <w:tcPr>
            <w:tcW w:w="1027" w:type="pct"/>
            <w:tcBorders>
              <w:top w:val="single" w:sz="4" w:space="0" w:color="auto"/>
              <w:left w:val="nil"/>
              <w:bottom w:val="double" w:sz="6" w:space="0" w:color="auto"/>
              <w:right w:val="nil"/>
            </w:tcBorders>
            <w:vAlign w:val="bottom"/>
          </w:tcPr>
          <w:p w14:paraId="5251E8F0" w14:textId="3910777D" w:rsidR="00C15DC8" w:rsidRPr="00226892" w:rsidRDefault="00C15DC8" w:rsidP="00C15DC8">
            <w:pPr>
              <w:jc w:val="right"/>
              <w:rPr>
                <w:rFonts w:ascii="Arial" w:hAnsi="Arial" w:cs="Arial"/>
                <w:b/>
                <w:bCs/>
                <w:color w:val="000000"/>
                <w:sz w:val="18"/>
                <w:szCs w:val="18"/>
              </w:rPr>
            </w:pPr>
            <w:r w:rsidRPr="00226892">
              <w:rPr>
                <w:rFonts w:ascii="Arial" w:hAnsi="Arial" w:cs="Arial"/>
                <w:b/>
                <w:bCs/>
                <w:color w:val="000000"/>
                <w:sz w:val="18"/>
                <w:szCs w:val="18"/>
              </w:rPr>
              <w:t>574</w:t>
            </w:r>
          </w:p>
        </w:tc>
      </w:tr>
    </w:tbl>
    <w:p w14:paraId="6D2D75CD" w14:textId="77777777" w:rsidR="003971D3" w:rsidRPr="00226892" w:rsidRDefault="003971D3" w:rsidP="003971D3">
      <w:pPr>
        <w:suppressAutoHyphens/>
        <w:ind w:left="426"/>
        <w:jc w:val="both"/>
        <w:rPr>
          <w:rFonts w:ascii="Arial" w:hAnsi="Arial" w:cs="Arial"/>
          <w:sz w:val="18"/>
          <w:szCs w:val="18"/>
        </w:rPr>
      </w:pPr>
    </w:p>
    <w:p w14:paraId="7FD83E6B" w14:textId="496F988E" w:rsidR="00B05A87" w:rsidRPr="00226892" w:rsidRDefault="00B05A87" w:rsidP="003578C0">
      <w:pPr>
        <w:pStyle w:val="Nadpis3"/>
        <w:keepNext w:val="0"/>
        <w:widowControl/>
        <w:numPr>
          <w:ilvl w:val="0"/>
          <w:numId w:val="34"/>
        </w:numPr>
        <w:tabs>
          <w:tab w:val="clear" w:pos="1069"/>
          <w:tab w:val="num" w:pos="392"/>
        </w:tabs>
        <w:suppressAutoHyphens/>
        <w:spacing w:after="120"/>
        <w:ind w:left="1077" w:hanging="1077"/>
        <w:jc w:val="both"/>
        <w:rPr>
          <w:rFonts w:ascii="Arial" w:hAnsi="Arial" w:cs="Arial"/>
          <w:sz w:val="20"/>
        </w:rPr>
      </w:pPr>
      <w:bookmarkStart w:id="608" w:name="_Toc422151054"/>
      <w:bookmarkStart w:id="609" w:name="_Toc422151109"/>
      <w:bookmarkStart w:id="610" w:name="_Toc422151110"/>
      <w:bookmarkStart w:id="611" w:name="_Toc476934864"/>
      <w:bookmarkStart w:id="612" w:name="_Toc27410016"/>
      <w:bookmarkStart w:id="613" w:name="_Toc387812523"/>
      <w:bookmarkEnd w:id="605"/>
      <w:bookmarkEnd w:id="606"/>
      <w:bookmarkEnd w:id="608"/>
      <w:bookmarkEnd w:id="609"/>
      <w:bookmarkEnd w:id="610"/>
      <w:proofErr w:type="spellStart"/>
      <w:r w:rsidRPr="00226892">
        <w:rPr>
          <w:rFonts w:ascii="Arial" w:hAnsi="Arial" w:cs="Arial"/>
          <w:sz w:val="20"/>
        </w:rPr>
        <w:t>Zverejnenie</w:t>
      </w:r>
      <w:proofErr w:type="spellEnd"/>
      <w:r w:rsidRPr="00226892">
        <w:rPr>
          <w:rFonts w:ascii="Arial" w:hAnsi="Arial" w:cs="Arial"/>
          <w:sz w:val="20"/>
        </w:rPr>
        <w:t xml:space="preserve"> </w:t>
      </w:r>
      <w:proofErr w:type="spellStart"/>
      <w:r w:rsidRPr="00226892">
        <w:rPr>
          <w:rFonts w:ascii="Arial" w:hAnsi="Arial" w:cs="Arial"/>
          <w:sz w:val="20"/>
        </w:rPr>
        <w:t>reálnych</w:t>
      </w:r>
      <w:proofErr w:type="spellEnd"/>
      <w:r w:rsidRPr="00226892">
        <w:rPr>
          <w:rFonts w:ascii="Arial" w:hAnsi="Arial" w:cs="Arial"/>
          <w:sz w:val="20"/>
        </w:rPr>
        <w:t xml:space="preserve"> </w:t>
      </w:r>
      <w:proofErr w:type="spellStart"/>
      <w:r w:rsidRPr="00226892">
        <w:rPr>
          <w:rFonts w:ascii="Arial" w:hAnsi="Arial" w:cs="Arial"/>
          <w:sz w:val="20"/>
        </w:rPr>
        <w:t>hodnôt</w:t>
      </w:r>
      <w:bookmarkEnd w:id="611"/>
      <w:bookmarkEnd w:id="612"/>
      <w:proofErr w:type="spellEnd"/>
    </w:p>
    <w:p w14:paraId="3064944B" w14:textId="1E88280C" w:rsidR="000A2DFD" w:rsidRPr="00226892" w:rsidRDefault="00B05A87" w:rsidP="00756C6D">
      <w:pPr>
        <w:pStyle w:val="ABC-paragrahinNotes"/>
        <w:spacing w:after="120"/>
        <w:rPr>
          <w:rFonts w:cs="Arial"/>
          <w:sz w:val="20"/>
        </w:rPr>
      </w:pPr>
      <w:proofErr w:type="spellStart"/>
      <w:r w:rsidRPr="00226892">
        <w:rPr>
          <w:rFonts w:cs="Arial"/>
          <w:sz w:val="20"/>
        </w:rPr>
        <w:t>Ocenenia</w:t>
      </w:r>
      <w:proofErr w:type="spellEnd"/>
      <w:r w:rsidRPr="00226892">
        <w:rPr>
          <w:rFonts w:cs="Arial"/>
          <w:sz w:val="20"/>
        </w:rPr>
        <w:t xml:space="preserve"> </w:t>
      </w:r>
      <w:proofErr w:type="spellStart"/>
      <w:r w:rsidRPr="00226892">
        <w:rPr>
          <w:rFonts w:cs="Arial"/>
          <w:sz w:val="20"/>
        </w:rPr>
        <w:t>reálnou</w:t>
      </w:r>
      <w:proofErr w:type="spellEnd"/>
      <w:r w:rsidRPr="00226892">
        <w:rPr>
          <w:rFonts w:cs="Arial"/>
          <w:sz w:val="20"/>
        </w:rPr>
        <w:t xml:space="preserve"> </w:t>
      </w:r>
      <w:proofErr w:type="spellStart"/>
      <w:r w:rsidRPr="00226892">
        <w:rPr>
          <w:rFonts w:cs="Arial"/>
          <w:sz w:val="20"/>
        </w:rPr>
        <w:t>hodnotou</w:t>
      </w:r>
      <w:proofErr w:type="spellEnd"/>
      <w:r w:rsidRPr="00226892">
        <w:rPr>
          <w:rFonts w:cs="Arial"/>
          <w:sz w:val="20"/>
        </w:rPr>
        <w:t xml:space="preserve"> </w:t>
      </w:r>
      <w:proofErr w:type="spellStart"/>
      <w:r w:rsidRPr="00226892">
        <w:rPr>
          <w:rFonts w:cs="Arial"/>
          <w:sz w:val="20"/>
        </w:rPr>
        <w:t>sú</w:t>
      </w:r>
      <w:proofErr w:type="spellEnd"/>
      <w:r w:rsidRPr="00226892">
        <w:rPr>
          <w:rFonts w:cs="Arial"/>
          <w:sz w:val="20"/>
        </w:rPr>
        <w:t xml:space="preserve"> </w:t>
      </w:r>
      <w:proofErr w:type="spellStart"/>
      <w:r w:rsidRPr="00226892">
        <w:rPr>
          <w:rFonts w:cs="Arial"/>
          <w:sz w:val="20"/>
        </w:rPr>
        <w:t>analyzované</w:t>
      </w:r>
      <w:proofErr w:type="spellEnd"/>
      <w:r w:rsidRPr="00226892">
        <w:rPr>
          <w:rFonts w:cs="Arial"/>
          <w:sz w:val="20"/>
        </w:rPr>
        <w:t xml:space="preserve"> </w:t>
      </w:r>
      <w:proofErr w:type="spellStart"/>
      <w:r w:rsidRPr="00226892">
        <w:rPr>
          <w:rFonts w:cs="Arial"/>
          <w:sz w:val="20"/>
        </w:rPr>
        <w:t>podľa</w:t>
      </w:r>
      <w:proofErr w:type="spellEnd"/>
      <w:r w:rsidRPr="00226892">
        <w:rPr>
          <w:rFonts w:cs="Arial"/>
          <w:sz w:val="20"/>
        </w:rPr>
        <w:t xml:space="preserve"> </w:t>
      </w:r>
      <w:proofErr w:type="spellStart"/>
      <w:r w:rsidRPr="00226892">
        <w:rPr>
          <w:rFonts w:cs="Arial"/>
          <w:sz w:val="20"/>
        </w:rPr>
        <w:t>úrovne</w:t>
      </w:r>
      <w:proofErr w:type="spellEnd"/>
      <w:r w:rsidRPr="00226892">
        <w:rPr>
          <w:rFonts w:cs="Arial"/>
          <w:sz w:val="20"/>
        </w:rPr>
        <w:t xml:space="preserve"> </w:t>
      </w:r>
      <w:proofErr w:type="spellStart"/>
      <w:r w:rsidRPr="00226892">
        <w:rPr>
          <w:rFonts w:cs="Arial"/>
          <w:sz w:val="20"/>
        </w:rPr>
        <w:t>reálnych</w:t>
      </w:r>
      <w:proofErr w:type="spellEnd"/>
      <w:r w:rsidRPr="00226892">
        <w:rPr>
          <w:rFonts w:cs="Arial"/>
          <w:sz w:val="20"/>
        </w:rPr>
        <w:t xml:space="preserve"> </w:t>
      </w:r>
      <w:proofErr w:type="spellStart"/>
      <w:r w:rsidRPr="00226892">
        <w:rPr>
          <w:rFonts w:cs="Arial"/>
          <w:sz w:val="20"/>
        </w:rPr>
        <w:t>hodnôt</w:t>
      </w:r>
      <w:proofErr w:type="spellEnd"/>
      <w:r w:rsidRPr="00226892">
        <w:rPr>
          <w:rFonts w:cs="Arial"/>
          <w:sz w:val="20"/>
        </w:rPr>
        <w:t xml:space="preserve"> a to </w:t>
      </w:r>
      <w:proofErr w:type="spellStart"/>
      <w:r w:rsidRPr="00226892">
        <w:rPr>
          <w:rFonts w:cs="Arial"/>
          <w:sz w:val="20"/>
        </w:rPr>
        <w:t>nasledovne</w:t>
      </w:r>
      <w:proofErr w:type="spellEnd"/>
      <w:r w:rsidRPr="00226892">
        <w:rPr>
          <w:rFonts w:cs="Arial"/>
          <w:sz w:val="20"/>
        </w:rPr>
        <w:t>: (</w:t>
      </w:r>
      <w:proofErr w:type="spellStart"/>
      <w:r w:rsidRPr="00226892">
        <w:rPr>
          <w:rFonts w:cs="Arial"/>
          <w:sz w:val="20"/>
        </w:rPr>
        <w:t>i</w:t>
      </w:r>
      <w:proofErr w:type="spellEnd"/>
      <w:r w:rsidRPr="00226892">
        <w:rPr>
          <w:rFonts w:cs="Arial"/>
          <w:sz w:val="20"/>
        </w:rPr>
        <w:t xml:space="preserve">) </w:t>
      </w:r>
      <w:proofErr w:type="spellStart"/>
      <w:r w:rsidRPr="00226892">
        <w:rPr>
          <w:rFonts w:cs="Arial"/>
          <w:sz w:val="20"/>
        </w:rPr>
        <w:t>úroveň</w:t>
      </w:r>
      <w:proofErr w:type="spellEnd"/>
      <w:r w:rsidRPr="00226892">
        <w:rPr>
          <w:rFonts w:cs="Arial"/>
          <w:sz w:val="20"/>
        </w:rPr>
        <w:t xml:space="preserve"> </w:t>
      </w:r>
      <w:proofErr w:type="spellStart"/>
      <w:r w:rsidRPr="00226892">
        <w:rPr>
          <w:rFonts w:cs="Arial"/>
          <w:sz w:val="20"/>
        </w:rPr>
        <w:t>jeden</w:t>
      </w:r>
      <w:proofErr w:type="spellEnd"/>
      <w:r w:rsidRPr="00226892">
        <w:rPr>
          <w:rFonts w:cs="Arial"/>
          <w:sz w:val="20"/>
        </w:rPr>
        <w:t xml:space="preserve"> </w:t>
      </w:r>
      <w:proofErr w:type="spellStart"/>
      <w:r w:rsidRPr="00226892">
        <w:rPr>
          <w:rFonts w:cs="Arial"/>
          <w:sz w:val="20"/>
        </w:rPr>
        <w:t>predstavujú</w:t>
      </w:r>
      <w:proofErr w:type="spellEnd"/>
      <w:r w:rsidRPr="00226892">
        <w:rPr>
          <w:rFonts w:cs="Arial"/>
          <w:sz w:val="20"/>
        </w:rPr>
        <w:t xml:space="preserve"> </w:t>
      </w:r>
      <w:proofErr w:type="spellStart"/>
      <w:r w:rsidRPr="00226892">
        <w:rPr>
          <w:rFonts w:cs="Arial"/>
          <w:sz w:val="20"/>
        </w:rPr>
        <w:t>ocenenia</w:t>
      </w:r>
      <w:proofErr w:type="spellEnd"/>
      <w:r w:rsidRPr="00226892">
        <w:rPr>
          <w:rFonts w:cs="Arial"/>
          <w:sz w:val="20"/>
        </w:rPr>
        <w:t xml:space="preserve"> (</w:t>
      </w:r>
      <w:proofErr w:type="spellStart"/>
      <w:r w:rsidRPr="00226892">
        <w:rPr>
          <w:rFonts w:cs="Arial"/>
          <w:sz w:val="20"/>
        </w:rPr>
        <w:t>neupravenou</w:t>
      </w:r>
      <w:proofErr w:type="spellEnd"/>
      <w:r w:rsidRPr="00226892">
        <w:rPr>
          <w:rFonts w:cs="Arial"/>
          <w:sz w:val="20"/>
        </w:rPr>
        <w:t xml:space="preserve">) </w:t>
      </w:r>
      <w:proofErr w:type="spellStart"/>
      <w:r w:rsidRPr="00226892">
        <w:rPr>
          <w:rFonts w:cs="Arial"/>
          <w:sz w:val="20"/>
        </w:rPr>
        <w:t>cenou</w:t>
      </w:r>
      <w:proofErr w:type="spellEnd"/>
      <w:r w:rsidRPr="00226892">
        <w:rPr>
          <w:rFonts w:cs="Arial"/>
          <w:sz w:val="20"/>
        </w:rPr>
        <w:t xml:space="preserve"> </w:t>
      </w:r>
      <w:proofErr w:type="spellStart"/>
      <w:r w:rsidRPr="00226892">
        <w:rPr>
          <w:rFonts w:cs="Arial"/>
          <w:sz w:val="20"/>
        </w:rPr>
        <w:t>kótovanou</w:t>
      </w:r>
      <w:proofErr w:type="spellEnd"/>
      <w:r w:rsidRPr="00226892">
        <w:rPr>
          <w:rFonts w:cs="Arial"/>
          <w:sz w:val="20"/>
        </w:rPr>
        <w:t xml:space="preserve"> </w:t>
      </w:r>
      <w:proofErr w:type="spellStart"/>
      <w:r w:rsidRPr="00226892">
        <w:rPr>
          <w:rFonts w:cs="Arial"/>
          <w:sz w:val="20"/>
        </w:rPr>
        <w:t>na</w:t>
      </w:r>
      <w:proofErr w:type="spellEnd"/>
      <w:r w:rsidRPr="00226892">
        <w:rPr>
          <w:rFonts w:cs="Arial"/>
          <w:sz w:val="20"/>
        </w:rPr>
        <w:t xml:space="preserve"> </w:t>
      </w:r>
      <w:proofErr w:type="spellStart"/>
      <w:r w:rsidRPr="00226892">
        <w:rPr>
          <w:rFonts w:cs="Arial"/>
          <w:sz w:val="20"/>
        </w:rPr>
        <w:t>aktívnych</w:t>
      </w:r>
      <w:proofErr w:type="spellEnd"/>
      <w:r w:rsidRPr="00226892">
        <w:rPr>
          <w:rFonts w:cs="Arial"/>
          <w:sz w:val="20"/>
        </w:rPr>
        <w:t xml:space="preserve"> </w:t>
      </w:r>
      <w:proofErr w:type="spellStart"/>
      <w:r w:rsidRPr="00226892">
        <w:rPr>
          <w:rFonts w:cs="Arial"/>
          <w:sz w:val="20"/>
        </w:rPr>
        <w:t>trhoch</w:t>
      </w:r>
      <w:proofErr w:type="spellEnd"/>
      <w:r w:rsidRPr="00226892">
        <w:rPr>
          <w:rFonts w:cs="Arial"/>
          <w:sz w:val="20"/>
        </w:rPr>
        <w:t xml:space="preserve"> pre </w:t>
      </w:r>
      <w:proofErr w:type="spellStart"/>
      <w:r w:rsidRPr="00226892">
        <w:rPr>
          <w:rFonts w:cs="Arial"/>
          <w:sz w:val="20"/>
        </w:rPr>
        <w:t>identické</w:t>
      </w:r>
      <w:proofErr w:type="spellEnd"/>
      <w:r w:rsidRPr="00226892">
        <w:rPr>
          <w:rFonts w:cs="Arial"/>
          <w:sz w:val="20"/>
        </w:rPr>
        <w:t xml:space="preserve"> </w:t>
      </w:r>
      <w:proofErr w:type="spellStart"/>
      <w:r w:rsidRPr="00226892">
        <w:rPr>
          <w:rFonts w:cs="Arial"/>
          <w:sz w:val="20"/>
        </w:rPr>
        <w:t>aktíva</w:t>
      </w:r>
      <w:proofErr w:type="spellEnd"/>
      <w:r w:rsidRPr="00226892">
        <w:rPr>
          <w:rFonts w:cs="Arial"/>
          <w:sz w:val="20"/>
        </w:rPr>
        <w:t xml:space="preserve"> </w:t>
      </w:r>
      <w:proofErr w:type="spellStart"/>
      <w:r w:rsidRPr="00226892">
        <w:rPr>
          <w:rFonts w:cs="Arial"/>
          <w:sz w:val="20"/>
        </w:rPr>
        <w:t>alebo</w:t>
      </w:r>
      <w:proofErr w:type="spellEnd"/>
      <w:r w:rsidRPr="00226892">
        <w:rPr>
          <w:rFonts w:cs="Arial"/>
          <w:sz w:val="20"/>
        </w:rPr>
        <w:t xml:space="preserve"> </w:t>
      </w:r>
      <w:proofErr w:type="spellStart"/>
      <w:r w:rsidRPr="00226892">
        <w:rPr>
          <w:rFonts w:cs="Arial"/>
          <w:sz w:val="20"/>
        </w:rPr>
        <w:t>záväzky</w:t>
      </w:r>
      <w:proofErr w:type="spellEnd"/>
      <w:r w:rsidRPr="00226892">
        <w:rPr>
          <w:rFonts w:cs="Arial"/>
          <w:sz w:val="20"/>
        </w:rPr>
        <w:t>, (i</w:t>
      </w:r>
      <w:r w:rsidR="00F95433" w:rsidRPr="00226892">
        <w:rPr>
          <w:rFonts w:cs="Arial"/>
          <w:sz w:val="20"/>
        </w:rPr>
        <w:t>i</w:t>
      </w:r>
      <w:r w:rsidRPr="00226892">
        <w:rPr>
          <w:rFonts w:cs="Arial"/>
          <w:sz w:val="20"/>
        </w:rPr>
        <w:t xml:space="preserve">) </w:t>
      </w:r>
      <w:proofErr w:type="spellStart"/>
      <w:r w:rsidRPr="00226892">
        <w:rPr>
          <w:rFonts w:cs="Arial"/>
          <w:sz w:val="20"/>
        </w:rPr>
        <w:t>úroveň</w:t>
      </w:r>
      <w:proofErr w:type="spellEnd"/>
      <w:r w:rsidRPr="00226892">
        <w:rPr>
          <w:rFonts w:cs="Arial"/>
          <w:sz w:val="20"/>
        </w:rPr>
        <w:t xml:space="preserve"> </w:t>
      </w:r>
      <w:proofErr w:type="spellStart"/>
      <w:r w:rsidRPr="00226892">
        <w:rPr>
          <w:rFonts w:cs="Arial"/>
          <w:sz w:val="20"/>
        </w:rPr>
        <w:t>dva</w:t>
      </w:r>
      <w:proofErr w:type="spellEnd"/>
      <w:r w:rsidRPr="00226892">
        <w:rPr>
          <w:rFonts w:cs="Arial"/>
          <w:sz w:val="20"/>
        </w:rPr>
        <w:t xml:space="preserve"> </w:t>
      </w:r>
      <w:proofErr w:type="spellStart"/>
      <w:r w:rsidRPr="00226892">
        <w:rPr>
          <w:rFonts w:cs="Arial"/>
          <w:sz w:val="20"/>
        </w:rPr>
        <w:t>predstavujú</w:t>
      </w:r>
      <w:proofErr w:type="spellEnd"/>
      <w:r w:rsidRPr="00226892">
        <w:rPr>
          <w:rFonts w:cs="Arial"/>
          <w:sz w:val="20"/>
        </w:rPr>
        <w:t xml:space="preserve"> </w:t>
      </w:r>
      <w:proofErr w:type="spellStart"/>
      <w:r w:rsidRPr="00226892">
        <w:rPr>
          <w:rFonts w:cs="Arial"/>
          <w:sz w:val="20"/>
        </w:rPr>
        <w:t>oceňovacie</w:t>
      </w:r>
      <w:proofErr w:type="spellEnd"/>
      <w:r w:rsidRPr="00226892">
        <w:rPr>
          <w:rFonts w:cs="Arial"/>
          <w:sz w:val="20"/>
        </w:rPr>
        <w:t xml:space="preserve"> </w:t>
      </w:r>
      <w:proofErr w:type="spellStart"/>
      <w:r w:rsidRPr="00226892">
        <w:rPr>
          <w:rFonts w:cs="Arial"/>
          <w:sz w:val="20"/>
        </w:rPr>
        <w:t>techniky</w:t>
      </w:r>
      <w:proofErr w:type="spellEnd"/>
      <w:r w:rsidRPr="00226892">
        <w:rPr>
          <w:rFonts w:cs="Arial"/>
          <w:sz w:val="20"/>
        </w:rPr>
        <w:t xml:space="preserve"> so </w:t>
      </w:r>
      <w:proofErr w:type="spellStart"/>
      <w:r w:rsidRPr="00226892">
        <w:rPr>
          <w:rFonts w:cs="Arial"/>
          <w:sz w:val="20"/>
        </w:rPr>
        <w:t>všetkými</w:t>
      </w:r>
      <w:proofErr w:type="spellEnd"/>
      <w:r w:rsidRPr="00226892">
        <w:rPr>
          <w:rFonts w:cs="Arial"/>
          <w:sz w:val="20"/>
        </w:rPr>
        <w:t xml:space="preserve"> </w:t>
      </w:r>
      <w:proofErr w:type="spellStart"/>
      <w:r w:rsidRPr="00226892">
        <w:rPr>
          <w:rFonts w:cs="Arial"/>
          <w:sz w:val="20"/>
        </w:rPr>
        <w:t>podstatnými</w:t>
      </w:r>
      <w:proofErr w:type="spellEnd"/>
      <w:r w:rsidRPr="00226892">
        <w:rPr>
          <w:rFonts w:cs="Arial"/>
          <w:sz w:val="20"/>
        </w:rPr>
        <w:t xml:space="preserve"> </w:t>
      </w:r>
      <w:proofErr w:type="spellStart"/>
      <w:r w:rsidRPr="00226892">
        <w:rPr>
          <w:rFonts w:cs="Arial"/>
          <w:sz w:val="20"/>
        </w:rPr>
        <w:t>vstupnými</w:t>
      </w:r>
      <w:proofErr w:type="spellEnd"/>
      <w:r w:rsidRPr="00226892">
        <w:rPr>
          <w:rFonts w:cs="Arial"/>
          <w:sz w:val="20"/>
        </w:rPr>
        <w:t xml:space="preserve"> </w:t>
      </w:r>
      <w:proofErr w:type="spellStart"/>
      <w:r w:rsidRPr="00226892">
        <w:rPr>
          <w:rFonts w:cs="Arial"/>
          <w:sz w:val="20"/>
        </w:rPr>
        <w:t>premennými</w:t>
      </w:r>
      <w:proofErr w:type="spellEnd"/>
      <w:r w:rsidRPr="00226892">
        <w:rPr>
          <w:rFonts w:cs="Arial"/>
          <w:sz w:val="20"/>
        </w:rPr>
        <w:t xml:space="preserve"> pre </w:t>
      </w:r>
      <w:proofErr w:type="spellStart"/>
      <w:r w:rsidRPr="00226892">
        <w:rPr>
          <w:rFonts w:cs="Arial"/>
          <w:sz w:val="20"/>
        </w:rPr>
        <w:t>aktíva</w:t>
      </w:r>
      <w:proofErr w:type="spellEnd"/>
      <w:r w:rsidRPr="00226892">
        <w:rPr>
          <w:rFonts w:cs="Arial"/>
          <w:sz w:val="20"/>
        </w:rPr>
        <w:t xml:space="preserve"> </w:t>
      </w:r>
      <w:proofErr w:type="spellStart"/>
      <w:r w:rsidRPr="00226892">
        <w:rPr>
          <w:rFonts w:cs="Arial"/>
          <w:sz w:val="20"/>
        </w:rPr>
        <w:t>alebo</w:t>
      </w:r>
      <w:proofErr w:type="spellEnd"/>
      <w:r w:rsidRPr="00226892">
        <w:rPr>
          <w:rFonts w:cs="Arial"/>
          <w:sz w:val="20"/>
        </w:rPr>
        <w:t xml:space="preserve"> </w:t>
      </w:r>
      <w:proofErr w:type="spellStart"/>
      <w:r w:rsidRPr="00226892">
        <w:rPr>
          <w:rFonts w:cs="Arial"/>
          <w:sz w:val="20"/>
        </w:rPr>
        <w:t>záväzky</w:t>
      </w:r>
      <w:proofErr w:type="spellEnd"/>
      <w:r w:rsidRPr="00226892">
        <w:rPr>
          <w:rFonts w:cs="Arial"/>
          <w:sz w:val="20"/>
        </w:rPr>
        <w:t xml:space="preserve">, </w:t>
      </w:r>
      <w:proofErr w:type="spellStart"/>
      <w:r w:rsidRPr="00226892">
        <w:rPr>
          <w:rFonts w:cs="Arial"/>
          <w:sz w:val="20"/>
        </w:rPr>
        <w:t>ktoré</w:t>
      </w:r>
      <w:proofErr w:type="spellEnd"/>
      <w:r w:rsidRPr="00226892">
        <w:rPr>
          <w:rFonts w:cs="Arial"/>
          <w:sz w:val="20"/>
        </w:rPr>
        <w:t xml:space="preserve"> </w:t>
      </w:r>
      <w:proofErr w:type="spellStart"/>
      <w:r w:rsidRPr="00226892">
        <w:rPr>
          <w:rFonts w:cs="Arial"/>
          <w:sz w:val="20"/>
        </w:rPr>
        <w:t>sú</w:t>
      </w:r>
      <w:proofErr w:type="spellEnd"/>
      <w:r w:rsidRPr="00226892">
        <w:rPr>
          <w:rFonts w:cs="Arial"/>
          <w:sz w:val="20"/>
        </w:rPr>
        <w:t xml:space="preserve"> </w:t>
      </w:r>
      <w:proofErr w:type="spellStart"/>
      <w:r w:rsidRPr="00226892">
        <w:rPr>
          <w:rFonts w:cs="Arial"/>
          <w:sz w:val="20"/>
        </w:rPr>
        <w:t>podložené</w:t>
      </w:r>
      <w:proofErr w:type="spellEnd"/>
      <w:r w:rsidRPr="00226892">
        <w:rPr>
          <w:rFonts w:cs="Arial"/>
          <w:sz w:val="20"/>
        </w:rPr>
        <w:t xml:space="preserve"> </w:t>
      </w:r>
      <w:proofErr w:type="spellStart"/>
      <w:r w:rsidRPr="00226892">
        <w:rPr>
          <w:rFonts w:cs="Arial"/>
          <w:sz w:val="20"/>
        </w:rPr>
        <w:t>trhovými</w:t>
      </w:r>
      <w:proofErr w:type="spellEnd"/>
      <w:r w:rsidRPr="00226892">
        <w:rPr>
          <w:rFonts w:cs="Arial"/>
          <w:sz w:val="20"/>
        </w:rPr>
        <w:t xml:space="preserve"> </w:t>
      </w:r>
      <w:proofErr w:type="spellStart"/>
      <w:r w:rsidRPr="00226892">
        <w:rPr>
          <w:rFonts w:cs="Arial"/>
          <w:sz w:val="20"/>
        </w:rPr>
        <w:t>údajmi</w:t>
      </w:r>
      <w:proofErr w:type="spellEnd"/>
      <w:r w:rsidRPr="00226892">
        <w:rPr>
          <w:rFonts w:cs="Arial"/>
          <w:sz w:val="20"/>
        </w:rPr>
        <w:t xml:space="preserve"> </w:t>
      </w:r>
      <w:proofErr w:type="spellStart"/>
      <w:r w:rsidRPr="00226892">
        <w:rPr>
          <w:rFonts w:cs="Arial"/>
          <w:sz w:val="20"/>
        </w:rPr>
        <w:t>buď</w:t>
      </w:r>
      <w:proofErr w:type="spellEnd"/>
      <w:r w:rsidRPr="00226892">
        <w:rPr>
          <w:rFonts w:cs="Arial"/>
          <w:sz w:val="20"/>
        </w:rPr>
        <w:t xml:space="preserve"> </w:t>
      </w:r>
      <w:proofErr w:type="spellStart"/>
      <w:r w:rsidRPr="00226892">
        <w:rPr>
          <w:rFonts w:cs="Arial"/>
          <w:sz w:val="20"/>
        </w:rPr>
        <w:t>priamo</w:t>
      </w:r>
      <w:proofErr w:type="spellEnd"/>
      <w:r w:rsidRPr="00226892">
        <w:rPr>
          <w:rFonts w:cs="Arial"/>
          <w:sz w:val="20"/>
        </w:rPr>
        <w:t xml:space="preserve"> (</w:t>
      </w:r>
      <w:proofErr w:type="spellStart"/>
      <w:r w:rsidRPr="00226892">
        <w:rPr>
          <w:rFonts w:cs="Arial"/>
          <w:sz w:val="20"/>
        </w:rPr>
        <w:t>t.j.</w:t>
      </w:r>
      <w:proofErr w:type="spellEnd"/>
      <w:r w:rsidRPr="00226892">
        <w:rPr>
          <w:rFonts w:cs="Arial"/>
          <w:sz w:val="20"/>
        </w:rPr>
        <w:t xml:space="preserve"> </w:t>
      </w:r>
      <w:proofErr w:type="spellStart"/>
      <w:r w:rsidRPr="00226892">
        <w:rPr>
          <w:rFonts w:cs="Arial"/>
          <w:sz w:val="20"/>
        </w:rPr>
        <w:t>ako</w:t>
      </w:r>
      <w:proofErr w:type="spellEnd"/>
      <w:r w:rsidRPr="00226892">
        <w:rPr>
          <w:rFonts w:cs="Arial"/>
          <w:sz w:val="20"/>
        </w:rPr>
        <w:t xml:space="preserve"> </w:t>
      </w:r>
      <w:proofErr w:type="spellStart"/>
      <w:r w:rsidRPr="00226892">
        <w:rPr>
          <w:rFonts w:cs="Arial"/>
          <w:sz w:val="20"/>
        </w:rPr>
        <w:t>ceny</w:t>
      </w:r>
      <w:proofErr w:type="spellEnd"/>
      <w:r w:rsidRPr="00226892">
        <w:rPr>
          <w:rFonts w:cs="Arial"/>
          <w:sz w:val="20"/>
        </w:rPr>
        <w:t xml:space="preserve">) </w:t>
      </w:r>
      <w:proofErr w:type="spellStart"/>
      <w:r w:rsidRPr="00226892">
        <w:rPr>
          <w:rFonts w:cs="Arial"/>
          <w:sz w:val="20"/>
        </w:rPr>
        <w:t>alebo</w:t>
      </w:r>
      <w:proofErr w:type="spellEnd"/>
      <w:r w:rsidRPr="00226892">
        <w:rPr>
          <w:rFonts w:cs="Arial"/>
          <w:sz w:val="20"/>
        </w:rPr>
        <w:t xml:space="preserve"> </w:t>
      </w:r>
      <w:proofErr w:type="spellStart"/>
      <w:r w:rsidRPr="00226892">
        <w:rPr>
          <w:rFonts w:cs="Arial"/>
          <w:sz w:val="20"/>
        </w:rPr>
        <w:t>nepriamo</w:t>
      </w:r>
      <w:proofErr w:type="spellEnd"/>
      <w:r w:rsidRPr="00226892">
        <w:rPr>
          <w:rFonts w:cs="Arial"/>
          <w:sz w:val="20"/>
        </w:rPr>
        <w:t xml:space="preserve"> (</w:t>
      </w:r>
      <w:proofErr w:type="spellStart"/>
      <w:r w:rsidRPr="00226892">
        <w:rPr>
          <w:rFonts w:cs="Arial"/>
          <w:sz w:val="20"/>
        </w:rPr>
        <w:t>t.j.</w:t>
      </w:r>
      <w:proofErr w:type="spellEnd"/>
      <w:r w:rsidRPr="00226892">
        <w:rPr>
          <w:rFonts w:cs="Arial"/>
          <w:sz w:val="20"/>
        </w:rPr>
        <w:t xml:space="preserve"> </w:t>
      </w:r>
      <w:proofErr w:type="spellStart"/>
      <w:r w:rsidRPr="00226892">
        <w:rPr>
          <w:rFonts w:cs="Arial"/>
          <w:sz w:val="20"/>
        </w:rPr>
        <w:t>odvodené</w:t>
      </w:r>
      <w:proofErr w:type="spellEnd"/>
      <w:r w:rsidRPr="00226892">
        <w:rPr>
          <w:rFonts w:cs="Arial"/>
          <w:sz w:val="20"/>
        </w:rPr>
        <w:t xml:space="preserve"> z </w:t>
      </w:r>
      <w:proofErr w:type="spellStart"/>
      <w:r w:rsidRPr="00226892">
        <w:rPr>
          <w:rFonts w:cs="Arial"/>
          <w:sz w:val="20"/>
        </w:rPr>
        <w:t>cien</w:t>
      </w:r>
      <w:proofErr w:type="spellEnd"/>
      <w:r w:rsidRPr="00226892">
        <w:rPr>
          <w:rFonts w:cs="Arial"/>
          <w:sz w:val="20"/>
        </w:rPr>
        <w:t xml:space="preserve">) a (iii) </w:t>
      </w:r>
      <w:proofErr w:type="spellStart"/>
      <w:r w:rsidRPr="00226892">
        <w:rPr>
          <w:rFonts w:cs="Arial"/>
          <w:sz w:val="20"/>
        </w:rPr>
        <w:t>úroveň</w:t>
      </w:r>
      <w:proofErr w:type="spellEnd"/>
      <w:r w:rsidRPr="00226892">
        <w:rPr>
          <w:rFonts w:cs="Arial"/>
          <w:sz w:val="20"/>
        </w:rPr>
        <w:t xml:space="preserve"> 3 </w:t>
      </w:r>
      <w:proofErr w:type="spellStart"/>
      <w:r w:rsidRPr="00226892">
        <w:rPr>
          <w:rFonts w:cs="Arial"/>
          <w:sz w:val="20"/>
        </w:rPr>
        <w:t>predstavujú</w:t>
      </w:r>
      <w:proofErr w:type="spellEnd"/>
      <w:r w:rsidRPr="00226892">
        <w:rPr>
          <w:rFonts w:cs="Arial"/>
          <w:sz w:val="20"/>
        </w:rPr>
        <w:t xml:space="preserve"> </w:t>
      </w:r>
      <w:proofErr w:type="spellStart"/>
      <w:r w:rsidRPr="00226892">
        <w:rPr>
          <w:rFonts w:cs="Arial"/>
          <w:sz w:val="20"/>
        </w:rPr>
        <w:t>ocenenia</w:t>
      </w:r>
      <w:proofErr w:type="spellEnd"/>
      <w:r w:rsidRPr="00226892">
        <w:rPr>
          <w:rFonts w:cs="Arial"/>
          <w:sz w:val="20"/>
        </w:rPr>
        <w:t xml:space="preserve">, </w:t>
      </w:r>
      <w:proofErr w:type="spellStart"/>
      <w:r w:rsidRPr="00226892">
        <w:rPr>
          <w:rFonts w:cs="Arial"/>
          <w:sz w:val="20"/>
        </w:rPr>
        <w:t>ktoré</w:t>
      </w:r>
      <w:proofErr w:type="spellEnd"/>
      <w:r w:rsidRPr="00226892">
        <w:rPr>
          <w:rFonts w:cs="Arial"/>
          <w:sz w:val="20"/>
        </w:rPr>
        <w:t xml:space="preserve"> </w:t>
      </w:r>
      <w:proofErr w:type="spellStart"/>
      <w:r w:rsidRPr="00226892">
        <w:rPr>
          <w:rFonts w:cs="Arial"/>
          <w:sz w:val="20"/>
        </w:rPr>
        <w:t>nie</w:t>
      </w:r>
      <w:proofErr w:type="spellEnd"/>
      <w:r w:rsidRPr="00226892">
        <w:rPr>
          <w:rFonts w:cs="Arial"/>
          <w:sz w:val="20"/>
        </w:rPr>
        <w:t xml:space="preserve"> </w:t>
      </w:r>
      <w:proofErr w:type="spellStart"/>
      <w:r w:rsidRPr="00226892">
        <w:rPr>
          <w:rFonts w:cs="Arial"/>
          <w:sz w:val="20"/>
        </w:rPr>
        <w:t>sú</w:t>
      </w:r>
      <w:proofErr w:type="spellEnd"/>
      <w:r w:rsidRPr="00226892">
        <w:rPr>
          <w:rFonts w:cs="Arial"/>
          <w:sz w:val="20"/>
        </w:rPr>
        <w:t xml:space="preserve"> </w:t>
      </w:r>
      <w:proofErr w:type="spellStart"/>
      <w:r w:rsidRPr="00226892">
        <w:rPr>
          <w:rFonts w:cs="Arial"/>
          <w:sz w:val="20"/>
        </w:rPr>
        <w:t>založené</w:t>
      </w:r>
      <w:proofErr w:type="spellEnd"/>
      <w:r w:rsidRPr="00226892">
        <w:rPr>
          <w:rFonts w:cs="Arial"/>
          <w:sz w:val="20"/>
        </w:rPr>
        <w:t xml:space="preserve"> </w:t>
      </w:r>
      <w:proofErr w:type="spellStart"/>
      <w:r w:rsidRPr="00226892">
        <w:rPr>
          <w:rFonts w:cs="Arial"/>
          <w:sz w:val="20"/>
        </w:rPr>
        <w:t>na</w:t>
      </w:r>
      <w:proofErr w:type="spellEnd"/>
      <w:r w:rsidRPr="00226892">
        <w:rPr>
          <w:rFonts w:cs="Arial"/>
          <w:sz w:val="20"/>
        </w:rPr>
        <w:t xml:space="preserve"> </w:t>
      </w:r>
      <w:proofErr w:type="spellStart"/>
      <w:r w:rsidRPr="00226892">
        <w:rPr>
          <w:rFonts w:cs="Arial"/>
          <w:sz w:val="20"/>
        </w:rPr>
        <w:t>trhových</w:t>
      </w:r>
      <w:proofErr w:type="spellEnd"/>
      <w:r w:rsidRPr="00226892">
        <w:rPr>
          <w:rFonts w:cs="Arial"/>
          <w:sz w:val="20"/>
        </w:rPr>
        <w:t xml:space="preserve"> </w:t>
      </w:r>
      <w:proofErr w:type="spellStart"/>
      <w:r w:rsidRPr="00226892">
        <w:rPr>
          <w:rFonts w:cs="Arial"/>
          <w:sz w:val="20"/>
        </w:rPr>
        <w:t>údajov</w:t>
      </w:r>
      <w:proofErr w:type="spellEnd"/>
      <w:r w:rsidRPr="00226892">
        <w:rPr>
          <w:rFonts w:cs="Arial"/>
          <w:sz w:val="20"/>
        </w:rPr>
        <w:t xml:space="preserve"> (</w:t>
      </w:r>
      <w:proofErr w:type="spellStart"/>
      <w:r w:rsidRPr="00226892">
        <w:rPr>
          <w:rFonts w:cs="Arial"/>
          <w:sz w:val="20"/>
        </w:rPr>
        <w:t>t.j.</w:t>
      </w:r>
      <w:proofErr w:type="spellEnd"/>
      <w:r w:rsidRPr="00226892">
        <w:rPr>
          <w:rFonts w:cs="Arial"/>
          <w:sz w:val="20"/>
        </w:rPr>
        <w:t xml:space="preserve"> ide o </w:t>
      </w:r>
      <w:proofErr w:type="spellStart"/>
      <w:r w:rsidRPr="00226892">
        <w:rPr>
          <w:rFonts w:cs="Arial"/>
          <w:sz w:val="20"/>
        </w:rPr>
        <w:t>subjektívne</w:t>
      </w:r>
      <w:proofErr w:type="spellEnd"/>
      <w:r w:rsidRPr="00226892">
        <w:rPr>
          <w:rFonts w:cs="Arial"/>
          <w:sz w:val="20"/>
        </w:rPr>
        <w:t xml:space="preserve"> </w:t>
      </w:r>
      <w:proofErr w:type="spellStart"/>
      <w:r w:rsidRPr="00226892">
        <w:rPr>
          <w:rFonts w:cs="Arial"/>
          <w:sz w:val="20"/>
        </w:rPr>
        <w:t>vstupné</w:t>
      </w:r>
      <w:proofErr w:type="spellEnd"/>
      <w:r w:rsidRPr="00226892">
        <w:rPr>
          <w:rFonts w:cs="Arial"/>
          <w:sz w:val="20"/>
        </w:rPr>
        <w:t xml:space="preserve"> </w:t>
      </w:r>
      <w:proofErr w:type="spellStart"/>
      <w:r w:rsidRPr="00226892">
        <w:rPr>
          <w:rFonts w:cs="Arial"/>
          <w:sz w:val="20"/>
        </w:rPr>
        <w:t>premenné</w:t>
      </w:r>
      <w:proofErr w:type="spellEnd"/>
      <w:r w:rsidRPr="00226892">
        <w:rPr>
          <w:rFonts w:cs="Arial"/>
          <w:sz w:val="20"/>
        </w:rPr>
        <w:t xml:space="preserve">). V </w:t>
      </w:r>
      <w:proofErr w:type="spellStart"/>
      <w:r w:rsidRPr="00226892">
        <w:rPr>
          <w:rFonts w:cs="Arial"/>
          <w:sz w:val="20"/>
        </w:rPr>
        <w:t>prípade</w:t>
      </w:r>
      <w:proofErr w:type="spellEnd"/>
      <w:r w:rsidRPr="00226892">
        <w:rPr>
          <w:rFonts w:cs="Arial"/>
          <w:sz w:val="20"/>
        </w:rPr>
        <w:t xml:space="preserve"> </w:t>
      </w:r>
      <w:proofErr w:type="spellStart"/>
      <w:r w:rsidRPr="00226892">
        <w:rPr>
          <w:rFonts w:cs="Arial"/>
          <w:sz w:val="20"/>
        </w:rPr>
        <w:t>že</w:t>
      </w:r>
      <w:proofErr w:type="spellEnd"/>
      <w:r w:rsidRPr="00226892">
        <w:rPr>
          <w:rFonts w:cs="Arial"/>
          <w:sz w:val="20"/>
        </w:rPr>
        <w:t xml:space="preserve"> </w:t>
      </w:r>
      <w:proofErr w:type="spellStart"/>
      <w:r w:rsidRPr="00226892">
        <w:rPr>
          <w:rFonts w:cs="Arial"/>
          <w:sz w:val="20"/>
        </w:rPr>
        <w:t>ocenenie</w:t>
      </w:r>
      <w:proofErr w:type="spellEnd"/>
      <w:r w:rsidRPr="00226892">
        <w:rPr>
          <w:rFonts w:cs="Arial"/>
          <w:sz w:val="20"/>
        </w:rPr>
        <w:t xml:space="preserve"> </w:t>
      </w:r>
      <w:proofErr w:type="spellStart"/>
      <w:r w:rsidRPr="00226892">
        <w:rPr>
          <w:rFonts w:cs="Arial"/>
          <w:sz w:val="20"/>
        </w:rPr>
        <w:t>reálnou</w:t>
      </w:r>
      <w:proofErr w:type="spellEnd"/>
      <w:r w:rsidRPr="00226892">
        <w:rPr>
          <w:rFonts w:cs="Arial"/>
          <w:sz w:val="20"/>
        </w:rPr>
        <w:t xml:space="preserve"> </w:t>
      </w:r>
      <w:proofErr w:type="spellStart"/>
      <w:r w:rsidRPr="00226892">
        <w:rPr>
          <w:rFonts w:cs="Arial"/>
          <w:sz w:val="20"/>
        </w:rPr>
        <w:t>hodnotou</w:t>
      </w:r>
      <w:proofErr w:type="spellEnd"/>
      <w:r w:rsidRPr="00226892">
        <w:rPr>
          <w:rFonts w:cs="Arial"/>
          <w:sz w:val="20"/>
        </w:rPr>
        <w:t xml:space="preserve"> </w:t>
      </w:r>
      <w:proofErr w:type="spellStart"/>
      <w:r w:rsidRPr="00226892">
        <w:rPr>
          <w:rFonts w:cs="Arial"/>
          <w:sz w:val="20"/>
        </w:rPr>
        <w:t>používa</w:t>
      </w:r>
      <w:proofErr w:type="spellEnd"/>
      <w:r w:rsidRPr="00226892">
        <w:rPr>
          <w:rFonts w:cs="Arial"/>
          <w:sz w:val="20"/>
        </w:rPr>
        <w:t xml:space="preserve"> </w:t>
      </w:r>
      <w:proofErr w:type="spellStart"/>
      <w:r w:rsidRPr="00226892">
        <w:rPr>
          <w:rFonts w:cs="Arial"/>
          <w:sz w:val="20"/>
        </w:rPr>
        <w:t>trhové</w:t>
      </w:r>
      <w:proofErr w:type="spellEnd"/>
      <w:r w:rsidRPr="00226892">
        <w:rPr>
          <w:rFonts w:cs="Arial"/>
          <w:sz w:val="20"/>
        </w:rPr>
        <w:t xml:space="preserve"> </w:t>
      </w:r>
      <w:proofErr w:type="spellStart"/>
      <w:r w:rsidRPr="00226892">
        <w:rPr>
          <w:rFonts w:cs="Arial"/>
          <w:sz w:val="20"/>
        </w:rPr>
        <w:t>vstupné</w:t>
      </w:r>
      <w:proofErr w:type="spellEnd"/>
      <w:r w:rsidRPr="00226892">
        <w:rPr>
          <w:rFonts w:cs="Arial"/>
          <w:sz w:val="20"/>
        </w:rPr>
        <w:t xml:space="preserve"> </w:t>
      </w:r>
      <w:proofErr w:type="spellStart"/>
      <w:r w:rsidRPr="00226892">
        <w:rPr>
          <w:rFonts w:cs="Arial"/>
          <w:sz w:val="20"/>
        </w:rPr>
        <w:t>premenné</w:t>
      </w:r>
      <w:proofErr w:type="spellEnd"/>
      <w:r w:rsidRPr="00226892">
        <w:rPr>
          <w:rFonts w:cs="Arial"/>
          <w:sz w:val="20"/>
        </w:rPr>
        <w:t xml:space="preserve">, </w:t>
      </w:r>
      <w:proofErr w:type="spellStart"/>
      <w:r w:rsidRPr="00226892">
        <w:rPr>
          <w:rFonts w:cs="Arial"/>
          <w:sz w:val="20"/>
        </w:rPr>
        <w:t>ktoré</w:t>
      </w:r>
      <w:proofErr w:type="spellEnd"/>
      <w:r w:rsidRPr="00226892">
        <w:rPr>
          <w:rFonts w:cs="Arial"/>
          <w:sz w:val="20"/>
        </w:rPr>
        <w:t xml:space="preserve"> </w:t>
      </w:r>
      <w:proofErr w:type="spellStart"/>
      <w:r w:rsidRPr="00226892">
        <w:rPr>
          <w:rFonts w:cs="Arial"/>
          <w:sz w:val="20"/>
        </w:rPr>
        <w:t>si</w:t>
      </w:r>
      <w:proofErr w:type="spellEnd"/>
      <w:r w:rsidRPr="00226892">
        <w:rPr>
          <w:rFonts w:cs="Arial"/>
          <w:sz w:val="20"/>
        </w:rPr>
        <w:t xml:space="preserve"> </w:t>
      </w:r>
      <w:proofErr w:type="spellStart"/>
      <w:r w:rsidRPr="00226892">
        <w:rPr>
          <w:rFonts w:cs="Arial"/>
          <w:sz w:val="20"/>
        </w:rPr>
        <w:t>však</w:t>
      </w:r>
      <w:proofErr w:type="spellEnd"/>
      <w:r w:rsidRPr="00226892">
        <w:rPr>
          <w:rFonts w:cs="Arial"/>
          <w:sz w:val="20"/>
        </w:rPr>
        <w:t xml:space="preserve"> </w:t>
      </w:r>
      <w:proofErr w:type="spellStart"/>
      <w:r w:rsidRPr="00226892">
        <w:rPr>
          <w:rFonts w:cs="Arial"/>
          <w:sz w:val="20"/>
        </w:rPr>
        <w:t>vyžadujú</w:t>
      </w:r>
      <w:proofErr w:type="spellEnd"/>
      <w:r w:rsidRPr="00226892">
        <w:rPr>
          <w:rFonts w:cs="Arial"/>
          <w:sz w:val="20"/>
        </w:rPr>
        <w:t xml:space="preserve"> </w:t>
      </w:r>
      <w:proofErr w:type="spellStart"/>
      <w:r w:rsidRPr="00226892">
        <w:rPr>
          <w:rFonts w:cs="Arial"/>
          <w:sz w:val="20"/>
        </w:rPr>
        <w:t>významnú</w:t>
      </w:r>
      <w:proofErr w:type="spellEnd"/>
      <w:r w:rsidRPr="00226892">
        <w:rPr>
          <w:rFonts w:cs="Arial"/>
          <w:sz w:val="20"/>
        </w:rPr>
        <w:t xml:space="preserve"> </w:t>
      </w:r>
      <w:proofErr w:type="spellStart"/>
      <w:r w:rsidRPr="00226892">
        <w:rPr>
          <w:rFonts w:cs="Arial"/>
          <w:sz w:val="20"/>
        </w:rPr>
        <w:t>úpravu</w:t>
      </w:r>
      <w:proofErr w:type="spellEnd"/>
      <w:r w:rsidRPr="00226892">
        <w:rPr>
          <w:rFonts w:cs="Arial"/>
          <w:sz w:val="20"/>
        </w:rPr>
        <w:t xml:space="preserve">, toto </w:t>
      </w:r>
      <w:proofErr w:type="spellStart"/>
      <w:r w:rsidRPr="00226892">
        <w:rPr>
          <w:rFonts w:cs="Arial"/>
          <w:sz w:val="20"/>
        </w:rPr>
        <w:t>ocenenie</w:t>
      </w:r>
      <w:proofErr w:type="spellEnd"/>
      <w:r w:rsidRPr="00226892">
        <w:rPr>
          <w:rFonts w:cs="Arial"/>
          <w:sz w:val="20"/>
        </w:rPr>
        <w:t xml:space="preserve"> </w:t>
      </w:r>
      <w:proofErr w:type="spellStart"/>
      <w:r w:rsidRPr="00226892">
        <w:rPr>
          <w:rFonts w:cs="Arial"/>
          <w:sz w:val="20"/>
        </w:rPr>
        <w:t>spadá</w:t>
      </w:r>
      <w:proofErr w:type="spellEnd"/>
      <w:r w:rsidRPr="00226892">
        <w:rPr>
          <w:rFonts w:cs="Arial"/>
          <w:sz w:val="20"/>
        </w:rPr>
        <w:t xml:space="preserve"> do </w:t>
      </w:r>
      <w:proofErr w:type="spellStart"/>
      <w:r w:rsidRPr="00226892">
        <w:rPr>
          <w:rFonts w:cs="Arial"/>
          <w:sz w:val="20"/>
        </w:rPr>
        <w:t>úrovne</w:t>
      </w:r>
      <w:proofErr w:type="spellEnd"/>
      <w:r w:rsidRPr="00226892">
        <w:rPr>
          <w:rFonts w:cs="Arial"/>
          <w:sz w:val="20"/>
        </w:rPr>
        <w:t xml:space="preserve"> 3. </w:t>
      </w:r>
      <w:proofErr w:type="spellStart"/>
      <w:r w:rsidRPr="00226892">
        <w:rPr>
          <w:rFonts w:cs="Arial"/>
          <w:sz w:val="20"/>
        </w:rPr>
        <w:t>Významnosť</w:t>
      </w:r>
      <w:proofErr w:type="spellEnd"/>
      <w:r w:rsidRPr="00226892">
        <w:rPr>
          <w:rFonts w:cs="Arial"/>
          <w:sz w:val="20"/>
        </w:rPr>
        <w:t xml:space="preserve"> </w:t>
      </w:r>
      <w:proofErr w:type="spellStart"/>
      <w:r w:rsidRPr="00226892">
        <w:rPr>
          <w:rFonts w:cs="Arial"/>
          <w:sz w:val="20"/>
        </w:rPr>
        <w:t>vstupnej</w:t>
      </w:r>
      <w:proofErr w:type="spellEnd"/>
      <w:r w:rsidRPr="00226892">
        <w:rPr>
          <w:rFonts w:cs="Arial"/>
          <w:sz w:val="20"/>
        </w:rPr>
        <w:t xml:space="preserve"> </w:t>
      </w:r>
      <w:proofErr w:type="spellStart"/>
      <w:r w:rsidRPr="00226892">
        <w:rPr>
          <w:rFonts w:cs="Arial"/>
          <w:sz w:val="20"/>
        </w:rPr>
        <w:t>premennej</w:t>
      </w:r>
      <w:proofErr w:type="spellEnd"/>
      <w:r w:rsidRPr="00226892">
        <w:rPr>
          <w:rFonts w:cs="Arial"/>
          <w:sz w:val="20"/>
        </w:rPr>
        <w:t xml:space="preserve"> </w:t>
      </w:r>
      <w:proofErr w:type="spellStart"/>
      <w:r w:rsidRPr="00226892">
        <w:rPr>
          <w:rFonts w:cs="Arial"/>
          <w:sz w:val="20"/>
        </w:rPr>
        <w:t>pri</w:t>
      </w:r>
      <w:proofErr w:type="spellEnd"/>
      <w:r w:rsidRPr="00226892">
        <w:rPr>
          <w:rFonts w:cs="Arial"/>
          <w:sz w:val="20"/>
        </w:rPr>
        <w:t xml:space="preserve"> </w:t>
      </w:r>
      <w:proofErr w:type="spellStart"/>
      <w:r w:rsidRPr="00226892">
        <w:rPr>
          <w:rFonts w:cs="Arial"/>
          <w:sz w:val="20"/>
        </w:rPr>
        <w:t>ocenení</w:t>
      </w:r>
      <w:proofErr w:type="spellEnd"/>
      <w:r w:rsidRPr="00226892">
        <w:rPr>
          <w:rFonts w:cs="Arial"/>
          <w:sz w:val="20"/>
        </w:rPr>
        <w:t xml:space="preserve"> </w:t>
      </w:r>
      <w:proofErr w:type="spellStart"/>
      <w:r w:rsidRPr="00226892">
        <w:rPr>
          <w:rFonts w:cs="Arial"/>
          <w:sz w:val="20"/>
        </w:rPr>
        <w:t>sa</w:t>
      </w:r>
      <w:proofErr w:type="spellEnd"/>
      <w:r w:rsidRPr="00226892">
        <w:rPr>
          <w:rFonts w:cs="Arial"/>
          <w:sz w:val="20"/>
        </w:rPr>
        <w:t xml:space="preserve"> </w:t>
      </w:r>
      <w:proofErr w:type="spellStart"/>
      <w:r w:rsidRPr="00226892">
        <w:rPr>
          <w:rFonts w:cs="Arial"/>
          <w:sz w:val="20"/>
        </w:rPr>
        <w:t>vyhodnocuje</w:t>
      </w:r>
      <w:proofErr w:type="spellEnd"/>
      <w:r w:rsidRPr="00226892">
        <w:rPr>
          <w:rFonts w:cs="Arial"/>
          <w:sz w:val="20"/>
        </w:rPr>
        <w:t xml:space="preserve"> </w:t>
      </w:r>
      <w:proofErr w:type="spellStart"/>
      <w:r w:rsidRPr="00226892">
        <w:rPr>
          <w:rFonts w:cs="Arial"/>
          <w:sz w:val="20"/>
        </w:rPr>
        <w:t>voči</w:t>
      </w:r>
      <w:proofErr w:type="spellEnd"/>
      <w:r w:rsidRPr="00226892">
        <w:rPr>
          <w:rFonts w:cs="Arial"/>
          <w:sz w:val="20"/>
        </w:rPr>
        <w:t xml:space="preserve"> </w:t>
      </w:r>
      <w:proofErr w:type="spellStart"/>
      <w:r w:rsidRPr="00226892">
        <w:rPr>
          <w:rFonts w:cs="Arial"/>
          <w:sz w:val="20"/>
        </w:rPr>
        <w:t>sume</w:t>
      </w:r>
      <w:proofErr w:type="spellEnd"/>
      <w:r w:rsidRPr="00226892">
        <w:rPr>
          <w:rFonts w:cs="Arial"/>
          <w:sz w:val="20"/>
        </w:rPr>
        <w:t xml:space="preserve"> </w:t>
      </w:r>
      <w:proofErr w:type="spellStart"/>
      <w:r w:rsidRPr="00226892">
        <w:rPr>
          <w:rFonts w:cs="Arial"/>
          <w:sz w:val="20"/>
        </w:rPr>
        <w:t>reálnej</w:t>
      </w:r>
      <w:proofErr w:type="spellEnd"/>
      <w:r w:rsidRPr="00226892">
        <w:rPr>
          <w:rFonts w:cs="Arial"/>
          <w:sz w:val="20"/>
        </w:rPr>
        <w:t xml:space="preserve"> </w:t>
      </w:r>
      <w:proofErr w:type="spellStart"/>
      <w:r w:rsidRPr="00226892">
        <w:rPr>
          <w:rFonts w:cs="Arial"/>
          <w:sz w:val="20"/>
        </w:rPr>
        <w:t>hodnoty</w:t>
      </w:r>
      <w:proofErr w:type="spellEnd"/>
      <w:r w:rsidRPr="00226892">
        <w:rPr>
          <w:rFonts w:cs="Arial"/>
          <w:sz w:val="20"/>
        </w:rPr>
        <w:t xml:space="preserve"> </w:t>
      </w:r>
      <w:proofErr w:type="spellStart"/>
      <w:r w:rsidRPr="00226892">
        <w:rPr>
          <w:rFonts w:cs="Arial"/>
          <w:sz w:val="20"/>
        </w:rPr>
        <w:t>ako</w:t>
      </w:r>
      <w:proofErr w:type="spellEnd"/>
      <w:r w:rsidRPr="00226892">
        <w:rPr>
          <w:rFonts w:cs="Arial"/>
          <w:sz w:val="20"/>
        </w:rPr>
        <w:t xml:space="preserve"> </w:t>
      </w:r>
      <w:proofErr w:type="spellStart"/>
      <w:r w:rsidRPr="00226892">
        <w:rPr>
          <w:rFonts w:cs="Arial"/>
          <w:sz w:val="20"/>
        </w:rPr>
        <w:t>celku</w:t>
      </w:r>
      <w:proofErr w:type="spellEnd"/>
      <w:r w:rsidRPr="00226892">
        <w:rPr>
          <w:rFonts w:cs="Arial"/>
          <w:sz w:val="20"/>
        </w:rPr>
        <w:t>.</w:t>
      </w:r>
      <w:r w:rsidR="000A2DFD" w:rsidRPr="00226892">
        <w:rPr>
          <w:rFonts w:cs="Arial"/>
          <w:sz w:val="20"/>
        </w:rPr>
        <w:t xml:space="preserve"> </w:t>
      </w:r>
    </w:p>
    <w:p w14:paraId="16D16C23" w14:textId="5FD2ADD3" w:rsidR="007477F3" w:rsidRPr="00226892" w:rsidRDefault="00B05A87" w:rsidP="00756C6D">
      <w:pPr>
        <w:pStyle w:val="ABC-paragrahinNotes"/>
        <w:spacing w:after="0" w:line="233" w:lineRule="auto"/>
        <w:ind w:left="1"/>
        <w:rPr>
          <w:rFonts w:cs="Arial"/>
          <w:b/>
          <w:i/>
          <w:sz w:val="20"/>
          <w:lang w:val="sk-SK"/>
        </w:rPr>
      </w:pPr>
      <w:r w:rsidRPr="00226892">
        <w:rPr>
          <w:rFonts w:cs="Arial"/>
          <w:b/>
          <w:i/>
          <w:sz w:val="20"/>
          <w:lang w:val="sk-SK"/>
        </w:rPr>
        <w:t xml:space="preserve">Aktíva a záväzky, ktoré neboli ocenené reálnou hodnotou, a pre ktoré sa reálna hodnota zverejňuje </w:t>
      </w:r>
    </w:p>
    <w:p w14:paraId="30635D55" w14:textId="7FAFA15E" w:rsidR="007477F3" w:rsidRPr="00226892" w:rsidRDefault="007477F3" w:rsidP="00756C6D">
      <w:pPr>
        <w:rPr>
          <w:rFonts w:ascii="Arial" w:hAnsi="Arial" w:cs="Arial"/>
          <w:b/>
          <w:i/>
          <w:sz w:val="18"/>
          <w:lang w:val="sk-SK"/>
        </w:rPr>
      </w:pPr>
    </w:p>
    <w:p w14:paraId="2E7E110D" w14:textId="429C230C" w:rsidR="00D10DAF" w:rsidRPr="00226892" w:rsidRDefault="00B05A87" w:rsidP="00756C6D">
      <w:pPr>
        <w:pStyle w:val="ABC-paragrahinNotes"/>
        <w:ind w:left="1"/>
        <w:rPr>
          <w:rFonts w:cs="Arial"/>
          <w:sz w:val="20"/>
          <w:lang w:val="sk-SK"/>
        </w:rPr>
      </w:pPr>
      <w:r w:rsidRPr="00226892">
        <w:rPr>
          <w:rFonts w:cs="Arial"/>
          <w:sz w:val="20"/>
          <w:lang w:val="sk-SK"/>
        </w:rPr>
        <w:t>Reálna hodnota analyzovaná podľa hierarchie reálnych hodnôt a účtovná hodnota aktív a záväzkov, ktoré nie sú ocenené reálnou hodnotou, sú nasledovné:</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7"/>
        <w:gridCol w:w="596"/>
        <w:gridCol w:w="307"/>
        <w:gridCol w:w="686"/>
        <w:gridCol w:w="1134"/>
        <w:gridCol w:w="993"/>
        <w:gridCol w:w="486"/>
        <w:gridCol w:w="505"/>
        <w:gridCol w:w="1056"/>
        <w:gridCol w:w="929"/>
      </w:tblGrid>
      <w:tr w:rsidR="00D10DAF" w:rsidRPr="00DD19DA" w14:paraId="708A81C4" w14:textId="77777777" w:rsidTr="00DD19DA">
        <w:trPr>
          <w:trHeight w:val="227"/>
        </w:trPr>
        <w:tc>
          <w:tcPr>
            <w:tcW w:w="1529" w:type="pct"/>
            <w:tcBorders>
              <w:bottom w:val="single" w:sz="4" w:space="0" w:color="auto"/>
            </w:tcBorders>
            <w:vAlign w:val="bottom"/>
          </w:tcPr>
          <w:p w14:paraId="3560E123" w14:textId="77777777" w:rsidR="00D10DAF" w:rsidRPr="00DD19DA" w:rsidRDefault="00D10DAF" w:rsidP="00DD19DA">
            <w:pPr>
              <w:pStyle w:val="ABC-paragrahinNotes"/>
              <w:spacing w:after="0"/>
              <w:rPr>
                <w:rFonts w:cs="Arial"/>
                <w:b/>
                <w:bCs/>
                <w:szCs w:val="18"/>
                <w:lang w:val="sk-SK"/>
              </w:rPr>
            </w:pPr>
          </w:p>
        </w:tc>
        <w:tc>
          <w:tcPr>
            <w:tcW w:w="468" w:type="pct"/>
            <w:gridSpan w:val="2"/>
            <w:tcBorders>
              <w:bottom w:val="single" w:sz="4" w:space="0" w:color="auto"/>
            </w:tcBorders>
          </w:tcPr>
          <w:p w14:paraId="60A9C525" w14:textId="77777777" w:rsidR="00D10DAF" w:rsidRPr="00DD19DA" w:rsidRDefault="00D10DAF" w:rsidP="00DD19DA">
            <w:pPr>
              <w:pStyle w:val="ABC-paragrahinNotes"/>
              <w:spacing w:after="0"/>
              <w:jc w:val="center"/>
              <w:rPr>
                <w:rFonts w:cs="Arial"/>
                <w:b/>
                <w:bCs/>
                <w:szCs w:val="18"/>
                <w:lang w:val="sk-SK"/>
              </w:rPr>
            </w:pPr>
          </w:p>
        </w:tc>
        <w:tc>
          <w:tcPr>
            <w:tcW w:w="1459" w:type="pct"/>
            <w:gridSpan w:val="3"/>
            <w:tcBorders>
              <w:bottom w:val="single" w:sz="4" w:space="0" w:color="auto"/>
            </w:tcBorders>
            <w:vAlign w:val="bottom"/>
          </w:tcPr>
          <w:p w14:paraId="6BFCF694" w14:textId="05C536EC" w:rsidR="00D10DAF" w:rsidRPr="00DD19DA" w:rsidRDefault="00D10DAF" w:rsidP="00DD19DA">
            <w:pPr>
              <w:pStyle w:val="ABC-paragrahinNotes"/>
              <w:spacing w:after="0"/>
              <w:jc w:val="center"/>
              <w:rPr>
                <w:rFonts w:cs="Arial"/>
                <w:b/>
                <w:bCs/>
                <w:szCs w:val="18"/>
                <w:lang w:val="sk-SK"/>
              </w:rPr>
            </w:pPr>
            <w:r w:rsidRPr="00DD19DA">
              <w:rPr>
                <w:rFonts w:cs="Arial"/>
                <w:b/>
                <w:bCs/>
                <w:szCs w:val="18"/>
                <w:lang w:val="sk-SK"/>
              </w:rPr>
              <w:t>31. december 2018</w:t>
            </w:r>
          </w:p>
        </w:tc>
        <w:tc>
          <w:tcPr>
            <w:tcW w:w="252" w:type="pct"/>
            <w:tcBorders>
              <w:bottom w:val="single" w:sz="4" w:space="0" w:color="auto"/>
            </w:tcBorders>
          </w:tcPr>
          <w:p w14:paraId="628C794F" w14:textId="77777777" w:rsidR="00D10DAF" w:rsidRPr="00DD19DA" w:rsidRDefault="00D10DAF" w:rsidP="00DD19DA">
            <w:pPr>
              <w:pStyle w:val="ABC-paragrahinNotes"/>
              <w:spacing w:after="0"/>
              <w:jc w:val="center"/>
              <w:rPr>
                <w:rFonts w:cs="Arial"/>
                <w:b/>
                <w:bCs/>
                <w:szCs w:val="18"/>
                <w:lang w:val="sk-SK"/>
              </w:rPr>
            </w:pPr>
          </w:p>
        </w:tc>
        <w:tc>
          <w:tcPr>
            <w:tcW w:w="1292" w:type="pct"/>
            <w:gridSpan w:val="3"/>
            <w:tcBorders>
              <w:bottom w:val="single" w:sz="4" w:space="0" w:color="auto"/>
            </w:tcBorders>
            <w:vAlign w:val="bottom"/>
          </w:tcPr>
          <w:p w14:paraId="4216BB1E" w14:textId="06BB53D5" w:rsidR="00D10DAF" w:rsidRPr="00DD19DA" w:rsidRDefault="00D10DAF" w:rsidP="00DD19DA">
            <w:pPr>
              <w:pStyle w:val="ABC-paragrahinNotes"/>
              <w:spacing w:after="0"/>
              <w:jc w:val="center"/>
              <w:rPr>
                <w:rFonts w:cs="Arial"/>
                <w:b/>
                <w:bCs/>
                <w:szCs w:val="18"/>
                <w:lang w:val="sk-SK"/>
              </w:rPr>
            </w:pPr>
            <w:r w:rsidRPr="00DD19DA">
              <w:rPr>
                <w:rFonts w:cs="Arial"/>
                <w:b/>
                <w:bCs/>
                <w:szCs w:val="18"/>
                <w:lang w:val="sk-SK"/>
              </w:rPr>
              <w:t>31. december 2017</w:t>
            </w:r>
          </w:p>
        </w:tc>
      </w:tr>
      <w:tr w:rsidR="00DD19DA" w:rsidRPr="00DD19DA" w14:paraId="394D48E3" w14:textId="77777777" w:rsidTr="00DD19DA">
        <w:trPr>
          <w:trHeight w:val="227"/>
        </w:trPr>
        <w:tc>
          <w:tcPr>
            <w:tcW w:w="1838" w:type="pct"/>
            <w:gridSpan w:val="2"/>
            <w:tcBorders>
              <w:top w:val="single" w:sz="4" w:space="0" w:color="auto"/>
              <w:bottom w:val="single" w:sz="4" w:space="0" w:color="auto"/>
            </w:tcBorders>
            <w:vAlign w:val="bottom"/>
          </w:tcPr>
          <w:p w14:paraId="0CA12482" w14:textId="77777777" w:rsidR="00D10DAF" w:rsidRPr="00DD19DA" w:rsidRDefault="00D10DAF" w:rsidP="00DD19DA">
            <w:pPr>
              <w:pStyle w:val="Columnheader"/>
              <w:tabs>
                <w:tab w:val="clear" w:pos="1503"/>
              </w:tabs>
              <w:spacing w:line="233" w:lineRule="auto"/>
              <w:ind w:right="0"/>
              <w:jc w:val="center"/>
              <w:rPr>
                <w:rFonts w:cs="Arial"/>
                <w:szCs w:val="18"/>
                <w:lang w:val="sk-SK"/>
              </w:rPr>
            </w:pPr>
          </w:p>
        </w:tc>
        <w:tc>
          <w:tcPr>
            <w:tcW w:w="515" w:type="pct"/>
            <w:gridSpan w:val="2"/>
            <w:tcBorders>
              <w:top w:val="single" w:sz="4" w:space="0" w:color="auto"/>
              <w:bottom w:val="single" w:sz="4" w:space="0" w:color="auto"/>
            </w:tcBorders>
            <w:vAlign w:val="bottom"/>
          </w:tcPr>
          <w:p w14:paraId="1D023CB6" w14:textId="77777777" w:rsidR="00D10DAF" w:rsidRPr="00DD19DA" w:rsidRDefault="00D10DAF" w:rsidP="00DD19DA">
            <w:pPr>
              <w:pStyle w:val="Columnheader"/>
              <w:tabs>
                <w:tab w:val="clear" w:pos="1503"/>
              </w:tabs>
              <w:spacing w:line="233" w:lineRule="auto"/>
              <w:ind w:right="0"/>
              <w:jc w:val="center"/>
              <w:rPr>
                <w:rFonts w:cs="Arial"/>
                <w:szCs w:val="18"/>
                <w:lang w:val="sk-SK"/>
              </w:rPr>
            </w:pPr>
            <w:r w:rsidRPr="00DD19DA">
              <w:rPr>
                <w:rFonts w:cs="Arial"/>
                <w:szCs w:val="18"/>
                <w:lang w:val="sk-SK"/>
              </w:rPr>
              <w:t>Reálna hodnota úrovne 2</w:t>
            </w:r>
          </w:p>
        </w:tc>
        <w:tc>
          <w:tcPr>
            <w:tcW w:w="588" w:type="pct"/>
            <w:tcBorders>
              <w:top w:val="single" w:sz="4" w:space="0" w:color="auto"/>
              <w:bottom w:val="single" w:sz="4" w:space="0" w:color="auto"/>
            </w:tcBorders>
            <w:vAlign w:val="bottom"/>
          </w:tcPr>
          <w:p w14:paraId="1A24B8F4" w14:textId="77777777" w:rsidR="00D10DAF" w:rsidRPr="00DD19DA" w:rsidRDefault="00D10DAF" w:rsidP="00DD19DA">
            <w:pPr>
              <w:pStyle w:val="Columnheader"/>
              <w:tabs>
                <w:tab w:val="clear" w:pos="1503"/>
              </w:tabs>
              <w:spacing w:line="233" w:lineRule="auto"/>
              <w:ind w:right="0"/>
              <w:jc w:val="center"/>
              <w:rPr>
                <w:rFonts w:cs="Arial"/>
                <w:szCs w:val="18"/>
              </w:rPr>
            </w:pPr>
          </w:p>
          <w:p w14:paraId="0DD818F9" w14:textId="77777777" w:rsidR="00D10DAF" w:rsidRPr="00DD19DA" w:rsidRDefault="00D10DAF" w:rsidP="00DD19DA">
            <w:pPr>
              <w:pStyle w:val="Columnheader"/>
              <w:tabs>
                <w:tab w:val="clear" w:pos="1503"/>
              </w:tabs>
              <w:spacing w:line="233" w:lineRule="auto"/>
              <w:ind w:right="0"/>
              <w:jc w:val="center"/>
              <w:rPr>
                <w:rFonts w:cs="Arial"/>
                <w:szCs w:val="18"/>
              </w:rPr>
            </w:pPr>
            <w:proofErr w:type="spellStart"/>
            <w:r w:rsidRPr="00DD19DA">
              <w:rPr>
                <w:rFonts w:cs="Arial"/>
                <w:szCs w:val="18"/>
              </w:rPr>
              <w:t>Reálna</w:t>
            </w:r>
            <w:proofErr w:type="spellEnd"/>
            <w:r w:rsidRPr="00DD19DA">
              <w:rPr>
                <w:rFonts w:cs="Arial"/>
                <w:szCs w:val="18"/>
              </w:rPr>
              <w:t xml:space="preserve"> </w:t>
            </w:r>
            <w:proofErr w:type="spellStart"/>
            <w:r w:rsidRPr="00DD19DA">
              <w:rPr>
                <w:rFonts w:cs="Arial"/>
                <w:szCs w:val="18"/>
              </w:rPr>
              <w:t>hodnota</w:t>
            </w:r>
            <w:proofErr w:type="spellEnd"/>
            <w:r w:rsidRPr="00DD19DA">
              <w:rPr>
                <w:rFonts w:cs="Arial"/>
                <w:szCs w:val="18"/>
              </w:rPr>
              <w:t xml:space="preserve"> </w:t>
            </w:r>
            <w:proofErr w:type="spellStart"/>
            <w:r w:rsidRPr="00DD19DA">
              <w:rPr>
                <w:rFonts w:cs="Arial"/>
                <w:szCs w:val="18"/>
              </w:rPr>
              <w:t>úrovne</w:t>
            </w:r>
            <w:proofErr w:type="spellEnd"/>
            <w:r w:rsidRPr="00DD19DA">
              <w:rPr>
                <w:rFonts w:cs="Arial"/>
                <w:szCs w:val="18"/>
              </w:rPr>
              <w:t xml:space="preserve"> 3</w:t>
            </w:r>
          </w:p>
        </w:tc>
        <w:tc>
          <w:tcPr>
            <w:tcW w:w="515" w:type="pct"/>
            <w:tcBorders>
              <w:top w:val="single" w:sz="4" w:space="0" w:color="auto"/>
              <w:bottom w:val="single" w:sz="4" w:space="0" w:color="auto"/>
            </w:tcBorders>
            <w:vAlign w:val="bottom"/>
          </w:tcPr>
          <w:p w14:paraId="3642C201" w14:textId="77777777" w:rsidR="00D10DAF" w:rsidRPr="00DD19DA" w:rsidRDefault="00D10DAF" w:rsidP="00DD19DA">
            <w:pPr>
              <w:pStyle w:val="Columnheader"/>
              <w:tabs>
                <w:tab w:val="clear" w:pos="1503"/>
              </w:tabs>
              <w:spacing w:line="233" w:lineRule="auto"/>
              <w:ind w:right="0"/>
              <w:jc w:val="center"/>
              <w:rPr>
                <w:rFonts w:cs="Arial"/>
                <w:szCs w:val="18"/>
                <w:lang w:val="sk-SK"/>
              </w:rPr>
            </w:pPr>
            <w:r w:rsidRPr="00DD19DA">
              <w:rPr>
                <w:rFonts w:cs="Arial"/>
                <w:szCs w:val="18"/>
                <w:lang w:val="sk-SK"/>
              </w:rPr>
              <w:t>Účtovná hodnota</w:t>
            </w:r>
          </w:p>
        </w:tc>
        <w:tc>
          <w:tcPr>
            <w:tcW w:w="514" w:type="pct"/>
            <w:gridSpan w:val="2"/>
            <w:tcBorders>
              <w:top w:val="single" w:sz="4" w:space="0" w:color="auto"/>
              <w:bottom w:val="single" w:sz="4" w:space="0" w:color="auto"/>
            </w:tcBorders>
            <w:vAlign w:val="bottom"/>
          </w:tcPr>
          <w:p w14:paraId="3A196705" w14:textId="77777777" w:rsidR="00D10DAF" w:rsidRPr="00DD19DA" w:rsidRDefault="00D10DAF" w:rsidP="00DD19DA">
            <w:pPr>
              <w:pStyle w:val="Columnheader"/>
              <w:tabs>
                <w:tab w:val="clear" w:pos="1503"/>
              </w:tabs>
              <w:spacing w:line="233" w:lineRule="auto"/>
              <w:ind w:right="0"/>
              <w:jc w:val="center"/>
              <w:rPr>
                <w:rFonts w:cs="Arial"/>
                <w:szCs w:val="18"/>
                <w:lang w:val="sk-SK"/>
              </w:rPr>
            </w:pPr>
            <w:r w:rsidRPr="00DD19DA">
              <w:rPr>
                <w:rFonts w:cs="Arial"/>
                <w:szCs w:val="18"/>
                <w:lang w:val="sk-SK"/>
              </w:rPr>
              <w:t>Reálna hodnota úrovne 2</w:t>
            </w:r>
          </w:p>
        </w:tc>
        <w:tc>
          <w:tcPr>
            <w:tcW w:w="548" w:type="pct"/>
            <w:tcBorders>
              <w:top w:val="single" w:sz="4" w:space="0" w:color="auto"/>
              <w:bottom w:val="single" w:sz="4" w:space="0" w:color="auto"/>
            </w:tcBorders>
            <w:vAlign w:val="bottom"/>
          </w:tcPr>
          <w:p w14:paraId="2D6FFFB2" w14:textId="77777777" w:rsidR="00D10DAF" w:rsidRPr="00DD19DA" w:rsidRDefault="00D10DAF" w:rsidP="00DD19DA">
            <w:pPr>
              <w:pStyle w:val="Columnheader"/>
              <w:tabs>
                <w:tab w:val="clear" w:pos="1503"/>
              </w:tabs>
              <w:spacing w:line="233" w:lineRule="auto"/>
              <w:ind w:right="0"/>
              <w:jc w:val="center"/>
              <w:rPr>
                <w:rFonts w:cs="Arial"/>
                <w:szCs w:val="18"/>
              </w:rPr>
            </w:pPr>
          </w:p>
          <w:p w14:paraId="3CB10AC8" w14:textId="77777777" w:rsidR="00D10DAF" w:rsidRPr="00DD19DA" w:rsidRDefault="00D10DAF" w:rsidP="00DD19DA">
            <w:pPr>
              <w:pStyle w:val="Columnheader"/>
              <w:tabs>
                <w:tab w:val="clear" w:pos="1503"/>
              </w:tabs>
              <w:spacing w:line="233" w:lineRule="auto"/>
              <w:ind w:right="0"/>
              <w:jc w:val="center"/>
              <w:rPr>
                <w:rFonts w:cs="Arial"/>
                <w:szCs w:val="18"/>
              </w:rPr>
            </w:pPr>
            <w:proofErr w:type="spellStart"/>
            <w:r w:rsidRPr="00DD19DA">
              <w:rPr>
                <w:rFonts w:cs="Arial"/>
                <w:szCs w:val="18"/>
              </w:rPr>
              <w:t>Reálna</w:t>
            </w:r>
            <w:proofErr w:type="spellEnd"/>
            <w:r w:rsidRPr="00DD19DA">
              <w:rPr>
                <w:rFonts w:cs="Arial"/>
                <w:szCs w:val="18"/>
              </w:rPr>
              <w:t xml:space="preserve"> </w:t>
            </w:r>
            <w:proofErr w:type="spellStart"/>
            <w:r w:rsidRPr="00DD19DA">
              <w:rPr>
                <w:rFonts w:cs="Arial"/>
                <w:szCs w:val="18"/>
              </w:rPr>
              <w:t>hodnota</w:t>
            </w:r>
            <w:proofErr w:type="spellEnd"/>
            <w:r w:rsidRPr="00DD19DA">
              <w:rPr>
                <w:rFonts w:cs="Arial"/>
                <w:szCs w:val="18"/>
              </w:rPr>
              <w:t xml:space="preserve"> </w:t>
            </w:r>
            <w:proofErr w:type="spellStart"/>
            <w:r w:rsidRPr="00DD19DA">
              <w:rPr>
                <w:rFonts w:cs="Arial"/>
                <w:szCs w:val="18"/>
              </w:rPr>
              <w:t>úrovne</w:t>
            </w:r>
            <w:proofErr w:type="spellEnd"/>
            <w:r w:rsidRPr="00DD19DA">
              <w:rPr>
                <w:rFonts w:cs="Arial"/>
                <w:szCs w:val="18"/>
              </w:rPr>
              <w:t xml:space="preserve"> 3</w:t>
            </w:r>
          </w:p>
        </w:tc>
        <w:tc>
          <w:tcPr>
            <w:tcW w:w="482" w:type="pct"/>
            <w:tcBorders>
              <w:top w:val="single" w:sz="4" w:space="0" w:color="auto"/>
              <w:bottom w:val="single" w:sz="4" w:space="0" w:color="auto"/>
            </w:tcBorders>
            <w:vAlign w:val="bottom"/>
          </w:tcPr>
          <w:p w14:paraId="6EF7808E" w14:textId="77777777" w:rsidR="00D10DAF" w:rsidRPr="00DD19DA" w:rsidRDefault="00D10DAF" w:rsidP="00DD19DA">
            <w:pPr>
              <w:pStyle w:val="Columnheader"/>
              <w:tabs>
                <w:tab w:val="clear" w:pos="1503"/>
              </w:tabs>
              <w:spacing w:line="233" w:lineRule="auto"/>
              <w:ind w:right="0"/>
              <w:jc w:val="center"/>
              <w:rPr>
                <w:rFonts w:cs="Arial"/>
                <w:szCs w:val="18"/>
                <w:lang w:val="sk-SK"/>
              </w:rPr>
            </w:pPr>
            <w:r w:rsidRPr="00DD19DA">
              <w:rPr>
                <w:rFonts w:cs="Arial"/>
                <w:szCs w:val="18"/>
                <w:lang w:val="sk-SK"/>
              </w:rPr>
              <w:t>Účtovná hodnota</w:t>
            </w:r>
          </w:p>
        </w:tc>
      </w:tr>
      <w:tr w:rsidR="00DD19DA" w:rsidRPr="00DD19DA" w14:paraId="0F56D4FA" w14:textId="77777777" w:rsidTr="00DD19DA">
        <w:trPr>
          <w:trHeight w:val="227"/>
        </w:trPr>
        <w:tc>
          <w:tcPr>
            <w:tcW w:w="1838" w:type="pct"/>
            <w:gridSpan w:val="2"/>
            <w:tcBorders>
              <w:top w:val="single" w:sz="4" w:space="0" w:color="auto"/>
            </w:tcBorders>
            <w:vAlign w:val="bottom"/>
          </w:tcPr>
          <w:p w14:paraId="64F1F059" w14:textId="77777777" w:rsidR="00D10DAF" w:rsidRPr="00DD19DA" w:rsidRDefault="00D10DAF" w:rsidP="00DD19DA">
            <w:pPr>
              <w:pStyle w:val="Columnheader"/>
              <w:tabs>
                <w:tab w:val="clear" w:pos="1503"/>
              </w:tabs>
              <w:spacing w:line="233" w:lineRule="auto"/>
              <w:ind w:right="0"/>
              <w:rPr>
                <w:rFonts w:cs="Arial"/>
                <w:szCs w:val="18"/>
              </w:rPr>
            </w:pPr>
            <w:proofErr w:type="spellStart"/>
            <w:r w:rsidRPr="00DD19DA">
              <w:rPr>
                <w:rFonts w:cs="Arial"/>
                <w:szCs w:val="18"/>
              </w:rPr>
              <w:t>Aktíva</w:t>
            </w:r>
            <w:proofErr w:type="spellEnd"/>
          </w:p>
          <w:p w14:paraId="309E75E7" w14:textId="77777777" w:rsidR="00D10DAF" w:rsidRPr="00DD19DA" w:rsidRDefault="00D10DAF" w:rsidP="00DD19DA">
            <w:pPr>
              <w:pStyle w:val="Columnheader"/>
              <w:tabs>
                <w:tab w:val="clear" w:pos="1503"/>
              </w:tabs>
              <w:spacing w:line="233" w:lineRule="auto"/>
              <w:ind w:right="0"/>
              <w:rPr>
                <w:rFonts w:cs="Arial"/>
                <w:szCs w:val="18"/>
                <w:lang w:val="sk-SK"/>
              </w:rPr>
            </w:pPr>
          </w:p>
        </w:tc>
        <w:tc>
          <w:tcPr>
            <w:tcW w:w="515" w:type="pct"/>
            <w:gridSpan w:val="2"/>
            <w:tcBorders>
              <w:top w:val="single" w:sz="4" w:space="0" w:color="auto"/>
            </w:tcBorders>
            <w:vAlign w:val="bottom"/>
          </w:tcPr>
          <w:p w14:paraId="4A1DE427" w14:textId="77777777" w:rsidR="00D10DAF" w:rsidRPr="00DD19DA" w:rsidRDefault="00D10DAF" w:rsidP="00DD19DA">
            <w:pPr>
              <w:pStyle w:val="Columnheader"/>
              <w:tabs>
                <w:tab w:val="clear" w:pos="1503"/>
              </w:tabs>
              <w:spacing w:line="233" w:lineRule="auto"/>
              <w:ind w:right="0"/>
              <w:jc w:val="center"/>
              <w:rPr>
                <w:rFonts w:cs="Arial"/>
                <w:szCs w:val="18"/>
                <w:lang w:val="sk-SK"/>
              </w:rPr>
            </w:pPr>
          </w:p>
        </w:tc>
        <w:tc>
          <w:tcPr>
            <w:tcW w:w="588" w:type="pct"/>
            <w:tcBorders>
              <w:top w:val="single" w:sz="4" w:space="0" w:color="auto"/>
            </w:tcBorders>
            <w:vAlign w:val="bottom"/>
          </w:tcPr>
          <w:p w14:paraId="77C67FB6" w14:textId="77777777" w:rsidR="00D10DAF" w:rsidRPr="00DD19DA" w:rsidRDefault="00D10DAF" w:rsidP="00DD19DA">
            <w:pPr>
              <w:pStyle w:val="Columnheader"/>
              <w:tabs>
                <w:tab w:val="clear" w:pos="1503"/>
              </w:tabs>
              <w:spacing w:line="233" w:lineRule="auto"/>
              <w:ind w:right="0"/>
              <w:jc w:val="center"/>
              <w:rPr>
                <w:rFonts w:cs="Arial"/>
                <w:szCs w:val="18"/>
              </w:rPr>
            </w:pPr>
          </w:p>
        </w:tc>
        <w:tc>
          <w:tcPr>
            <w:tcW w:w="515" w:type="pct"/>
            <w:tcBorders>
              <w:top w:val="single" w:sz="4" w:space="0" w:color="auto"/>
            </w:tcBorders>
            <w:vAlign w:val="bottom"/>
          </w:tcPr>
          <w:p w14:paraId="151E5744" w14:textId="77777777" w:rsidR="00D10DAF" w:rsidRPr="00DD19DA" w:rsidRDefault="00D10DAF" w:rsidP="00DD19DA">
            <w:pPr>
              <w:pStyle w:val="Columnheader"/>
              <w:tabs>
                <w:tab w:val="clear" w:pos="1503"/>
              </w:tabs>
              <w:spacing w:line="233" w:lineRule="auto"/>
              <w:ind w:right="0"/>
              <w:jc w:val="center"/>
              <w:rPr>
                <w:rFonts w:cs="Arial"/>
                <w:szCs w:val="18"/>
                <w:lang w:val="sk-SK"/>
              </w:rPr>
            </w:pPr>
          </w:p>
        </w:tc>
        <w:tc>
          <w:tcPr>
            <w:tcW w:w="514" w:type="pct"/>
            <w:gridSpan w:val="2"/>
            <w:tcBorders>
              <w:top w:val="single" w:sz="4" w:space="0" w:color="auto"/>
            </w:tcBorders>
            <w:vAlign w:val="bottom"/>
          </w:tcPr>
          <w:p w14:paraId="48067FC7" w14:textId="77777777" w:rsidR="00D10DAF" w:rsidRPr="00DD19DA" w:rsidRDefault="00D10DAF" w:rsidP="00DD19DA">
            <w:pPr>
              <w:pStyle w:val="Columnheader"/>
              <w:tabs>
                <w:tab w:val="clear" w:pos="1503"/>
              </w:tabs>
              <w:spacing w:line="233" w:lineRule="auto"/>
              <w:ind w:right="0"/>
              <w:jc w:val="center"/>
              <w:rPr>
                <w:rFonts w:cs="Arial"/>
                <w:szCs w:val="18"/>
                <w:lang w:val="sk-SK"/>
              </w:rPr>
            </w:pPr>
          </w:p>
        </w:tc>
        <w:tc>
          <w:tcPr>
            <w:tcW w:w="548" w:type="pct"/>
            <w:tcBorders>
              <w:top w:val="single" w:sz="4" w:space="0" w:color="auto"/>
            </w:tcBorders>
            <w:vAlign w:val="bottom"/>
          </w:tcPr>
          <w:p w14:paraId="3C60D859" w14:textId="77777777" w:rsidR="00D10DAF" w:rsidRPr="00DD19DA" w:rsidRDefault="00D10DAF" w:rsidP="00DD19DA">
            <w:pPr>
              <w:pStyle w:val="Columnheader"/>
              <w:tabs>
                <w:tab w:val="clear" w:pos="1503"/>
              </w:tabs>
              <w:spacing w:line="233" w:lineRule="auto"/>
              <w:ind w:right="0"/>
              <w:jc w:val="center"/>
              <w:rPr>
                <w:rFonts w:cs="Arial"/>
                <w:szCs w:val="18"/>
              </w:rPr>
            </w:pPr>
          </w:p>
        </w:tc>
        <w:tc>
          <w:tcPr>
            <w:tcW w:w="482" w:type="pct"/>
            <w:tcBorders>
              <w:top w:val="single" w:sz="4" w:space="0" w:color="auto"/>
            </w:tcBorders>
            <w:vAlign w:val="bottom"/>
          </w:tcPr>
          <w:p w14:paraId="6A58AD1D" w14:textId="77777777" w:rsidR="00D10DAF" w:rsidRPr="00DD19DA" w:rsidRDefault="00D10DAF" w:rsidP="00DD19DA">
            <w:pPr>
              <w:pStyle w:val="Columnheader"/>
              <w:tabs>
                <w:tab w:val="clear" w:pos="1503"/>
              </w:tabs>
              <w:spacing w:line="233" w:lineRule="auto"/>
              <w:ind w:right="0"/>
              <w:jc w:val="center"/>
              <w:rPr>
                <w:rFonts w:cs="Arial"/>
                <w:szCs w:val="18"/>
                <w:lang w:val="sk-SK"/>
              </w:rPr>
            </w:pPr>
          </w:p>
        </w:tc>
      </w:tr>
      <w:tr w:rsidR="00DD19DA" w:rsidRPr="00DD19DA" w14:paraId="4916CDAF" w14:textId="77777777" w:rsidTr="00DD19DA">
        <w:trPr>
          <w:trHeight w:val="227"/>
        </w:trPr>
        <w:tc>
          <w:tcPr>
            <w:tcW w:w="1838" w:type="pct"/>
            <w:gridSpan w:val="2"/>
            <w:vAlign w:val="bottom"/>
          </w:tcPr>
          <w:p w14:paraId="11353591" w14:textId="77777777" w:rsidR="00D10DAF" w:rsidRPr="00DD19DA" w:rsidRDefault="00D10DAF" w:rsidP="00DD19DA">
            <w:pPr>
              <w:pStyle w:val="Columnheader"/>
              <w:tabs>
                <w:tab w:val="clear" w:pos="1503"/>
              </w:tabs>
              <w:spacing w:line="233" w:lineRule="auto"/>
              <w:ind w:right="0"/>
              <w:rPr>
                <w:rFonts w:cs="Arial"/>
                <w:bCs/>
                <w:szCs w:val="18"/>
                <w:lang w:val="sk-SK"/>
              </w:rPr>
            </w:pPr>
            <w:r w:rsidRPr="00DD19DA">
              <w:rPr>
                <w:rFonts w:cs="Arial"/>
                <w:b w:val="0"/>
                <w:bCs/>
                <w:szCs w:val="18"/>
                <w:lang w:val="sk-SK"/>
              </w:rPr>
              <w:t>Pohľadávky z obch. styku a ostatné pohľadávky (pozn. 10)</w:t>
            </w:r>
          </w:p>
        </w:tc>
        <w:tc>
          <w:tcPr>
            <w:tcW w:w="515" w:type="pct"/>
            <w:gridSpan w:val="2"/>
            <w:vAlign w:val="bottom"/>
          </w:tcPr>
          <w:p w14:paraId="4154BEBD" w14:textId="1F263F71" w:rsidR="00D10DAF" w:rsidRPr="00DD19DA" w:rsidRDefault="000B5B22" w:rsidP="00DD19DA">
            <w:pPr>
              <w:pStyle w:val="Columnheader"/>
              <w:tabs>
                <w:tab w:val="clear" w:pos="1503"/>
              </w:tabs>
              <w:spacing w:line="233" w:lineRule="auto"/>
              <w:ind w:right="0"/>
              <w:jc w:val="right"/>
              <w:rPr>
                <w:rFonts w:cs="Arial"/>
                <w:b w:val="0"/>
                <w:szCs w:val="18"/>
                <w:lang w:val="sk-SK"/>
              </w:rPr>
            </w:pPr>
            <w:r w:rsidRPr="00DD19DA">
              <w:rPr>
                <w:rFonts w:cs="Arial"/>
                <w:b w:val="0"/>
                <w:szCs w:val="18"/>
                <w:lang w:val="sk-SK"/>
              </w:rPr>
              <w:t>24 717</w:t>
            </w:r>
          </w:p>
        </w:tc>
        <w:tc>
          <w:tcPr>
            <w:tcW w:w="588" w:type="pct"/>
          </w:tcPr>
          <w:p w14:paraId="75CB628A" w14:textId="77777777" w:rsidR="000B5B22" w:rsidRPr="00DD19DA" w:rsidRDefault="000B5B22" w:rsidP="00DD19DA">
            <w:pPr>
              <w:pStyle w:val="Columnheader"/>
              <w:tabs>
                <w:tab w:val="clear" w:pos="1503"/>
              </w:tabs>
              <w:spacing w:line="233" w:lineRule="auto"/>
              <w:ind w:right="0"/>
              <w:jc w:val="right"/>
              <w:rPr>
                <w:rFonts w:cs="Arial"/>
                <w:b w:val="0"/>
                <w:szCs w:val="18"/>
              </w:rPr>
            </w:pPr>
          </w:p>
          <w:p w14:paraId="24D1499D" w14:textId="1690386A" w:rsidR="000B5B22" w:rsidRPr="00DD19DA" w:rsidRDefault="000B5B22" w:rsidP="00DD19DA">
            <w:pPr>
              <w:pStyle w:val="Columnheader"/>
              <w:tabs>
                <w:tab w:val="clear" w:pos="1503"/>
              </w:tabs>
              <w:spacing w:line="233" w:lineRule="auto"/>
              <w:ind w:right="0"/>
              <w:jc w:val="right"/>
              <w:rPr>
                <w:rFonts w:cs="Arial"/>
                <w:b w:val="0"/>
                <w:szCs w:val="18"/>
              </w:rPr>
            </w:pPr>
            <w:r w:rsidRPr="00DD19DA">
              <w:rPr>
                <w:rFonts w:cs="Arial"/>
                <w:b w:val="0"/>
                <w:szCs w:val="18"/>
              </w:rPr>
              <w:t>-</w:t>
            </w:r>
          </w:p>
        </w:tc>
        <w:tc>
          <w:tcPr>
            <w:tcW w:w="515" w:type="pct"/>
            <w:vAlign w:val="bottom"/>
          </w:tcPr>
          <w:p w14:paraId="0C01DB2A" w14:textId="633195EE" w:rsidR="00D10DAF" w:rsidRPr="00DD19DA" w:rsidRDefault="000B5B22" w:rsidP="00DD19DA">
            <w:pPr>
              <w:pStyle w:val="Columnheader"/>
              <w:tabs>
                <w:tab w:val="clear" w:pos="1503"/>
              </w:tabs>
              <w:spacing w:line="233" w:lineRule="auto"/>
              <w:ind w:right="0"/>
              <w:jc w:val="right"/>
              <w:rPr>
                <w:rFonts w:cs="Arial"/>
                <w:b w:val="0"/>
                <w:szCs w:val="18"/>
                <w:lang w:val="sk-SK"/>
              </w:rPr>
            </w:pPr>
            <w:r w:rsidRPr="00DD19DA">
              <w:rPr>
                <w:rFonts w:cs="Arial"/>
                <w:b w:val="0"/>
                <w:szCs w:val="18"/>
                <w:lang w:val="sk-SK"/>
              </w:rPr>
              <w:t>24 717</w:t>
            </w:r>
          </w:p>
        </w:tc>
        <w:tc>
          <w:tcPr>
            <w:tcW w:w="514" w:type="pct"/>
            <w:gridSpan w:val="2"/>
            <w:vAlign w:val="bottom"/>
          </w:tcPr>
          <w:p w14:paraId="3E41868A" w14:textId="6AF6CAD9" w:rsidR="00D10DAF" w:rsidRPr="00DD19DA" w:rsidRDefault="00D10DAF" w:rsidP="00DD19DA">
            <w:pPr>
              <w:pStyle w:val="Columnheader"/>
              <w:tabs>
                <w:tab w:val="clear" w:pos="1503"/>
              </w:tabs>
              <w:spacing w:line="233" w:lineRule="auto"/>
              <w:ind w:right="0"/>
              <w:jc w:val="right"/>
              <w:rPr>
                <w:rFonts w:cs="Arial"/>
                <w:bCs/>
                <w:szCs w:val="18"/>
                <w:lang w:val="sk-SK"/>
              </w:rPr>
            </w:pPr>
            <w:r w:rsidRPr="00DD19DA">
              <w:rPr>
                <w:rFonts w:cs="Arial"/>
                <w:b w:val="0"/>
                <w:bCs/>
                <w:szCs w:val="18"/>
                <w:lang w:val="sk-SK"/>
              </w:rPr>
              <w:t>19</w:t>
            </w:r>
            <w:r w:rsidRPr="00DD19DA">
              <w:rPr>
                <w:rFonts w:cs="Arial"/>
                <w:b w:val="0"/>
                <w:bCs/>
                <w:szCs w:val="18"/>
              </w:rPr>
              <w:t> </w:t>
            </w:r>
            <w:r w:rsidRPr="00DD19DA">
              <w:rPr>
                <w:rFonts w:cs="Arial"/>
                <w:b w:val="0"/>
                <w:bCs/>
                <w:szCs w:val="18"/>
                <w:lang w:val="sk-SK"/>
              </w:rPr>
              <w:t>2</w:t>
            </w:r>
            <w:r w:rsidR="0049047A" w:rsidRPr="00DD19DA">
              <w:rPr>
                <w:rFonts w:cs="Arial"/>
                <w:b w:val="0"/>
                <w:bCs/>
                <w:szCs w:val="18"/>
                <w:lang w:val="sk-SK"/>
              </w:rPr>
              <w:t>09</w:t>
            </w:r>
          </w:p>
        </w:tc>
        <w:tc>
          <w:tcPr>
            <w:tcW w:w="548" w:type="pct"/>
          </w:tcPr>
          <w:p w14:paraId="388A3812" w14:textId="77777777" w:rsidR="00D10DAF" w:rsidRPr="00DD19DA" w:rsidRDefault="00D10DAF" w:rsidP="00DD19DA">
            <w:pPr>
              <w:pStyle w:val="Columnheader"/>
              <w:tabs>
                <w:tab w:val="clear" w:pos="1503"/>
              </w:tabs>
              <w:spacing w:line="233" w:lineRule="auto"/>
              <w:ind w:right="0"/>
              <w:jc w:val="right"/>
              <w:rPr>
                <w:rFonts w:cs="Arial"/>
                <w:b w:val="0"/>
                <w:bCs/>
                <w:szCs w:val="18"/>
              </w:rPr>
            </w:pPr>
          </w:p>
          <w:p w14:paraId="2985CCE2" w14:textId="2995E488" w:rsidR="00D10DAF" w:rsidRPr="00DD19DA" w:rsidRDefault="00D10DAF" w:rsidP="00DD19DA">
            <w:pPr>
              <w:pStyle w:val="Columnheader"/>
              <w:tabs>
                <w:tab w:val="clear" w:pos="1503"/>
              </w:tabs>
              <w:spacing w:line="233" w:lineRule="auto"/>
              <w:ind w:right="0"/>
              <w:jc w:val="right"/>
              <w:rPr>
                <w:rFonts w:cs="Arial"/>
                <w:b w:val="0"/>
                <w:bCs/>
                <w:szCs w:val="18"/>
              </w:rPr>
            </w:pPr>
            <w:r w:rsidRPr="00DD19DA">
              <w:rPr>
                <w:rFonts w:cs="Arial"/>
                <w:b w:val="0"/>
                <w:bCs/>
                <w:szCs w:val="18"/>
              </w:rPr>
              <w:t>-</w:t>
            </w:r>
          </w:p>
        </w:tc>
        <w:tc>
          <w:tcPr>
            <w:tcW w:w="482" w:type="pct"/>
            <w:vAlign w:val="bottom"/>
          </w:tcPr>
          <w:p w14:paraId="0D11C5A2" w14:textId="3DBBA581" w:rsidR="00D10DAF" w:rsidRPr="00DD19DA" w:rsidRDefault="00D10DAF" w:rsidP="00DD19DA">
            <w:pPr>
              <w:pStyle w:val="Columnheader"/>
              <w:tabs>
                <w:tab w:val="clear" w:pos="1503"/>
              </w:tabs>
              <w:spacing w:line="233" w:lineRule="auto"/>
              <w:ind w:right="0"/>
              <w:jc w:val="right"/>
              <w:rPr>
                <w:rFonts w:cs="Arial"/>
                <w:bCs/>
                <w:szCs w:val="18"/>
                <w:lang w:val="sk-SK"/>
              </w:rPr>
            </w:pPr>
            <w:r w:rsidRPr="00DD19DA">
              <w:rPr>
                <w:rFonts w:cs="Arial"/>
                <w:b w:val="0"/>
                <w:bCs/>
                <w:szCs w:val="18"/>
                <w:lang w:val="sk-SK"/>
              </w:rPr>
              <w:t>19 2</w:t>
            </w:r>
            <w:r w:rsidR="0049047A" w:rsidRPr="00DD19DA">
              <w:rPr>
                <w:rFonts w:cs="Arial"/>
                <w:b w:val="0"/>
                <w:bCs/>
                <w:szCs w:val="18"/>
                <w:lang w:val="sk-SK"/>
              </w:rPr>
              <w:t>09</w:t>
            </w:r>
          </w:p>
        </w:tc>
      </w:tr>
      <w:tr w:rsidR="00DD19DA" w:rsidRPr="00DD19DA" w14:paraId="17EA5E87" w14:textId="77777777" w:rsidTr="00DD19DA">
        <w:trPr>
          <w:trHeight w:val="227"/>
        </w:trPr>
        <w:tc>
          <w:tcPr>
            <w:tcW w:w="1838" w:type="pct"/>
            <w:gridSpan w:val="2"/>
            <w:vAlign w:val="bottom"/>
          </w:tcPr>
          <w:p w14:paraId="0ADD999B" w14:textId="77777777" w:rsidR="00D10DAF" w:rsidRPr="00DD19DA" w:rsidRDefault="00D10DAF" w:rsidP="00DD19DA">
            <w:pPr>
              <w:pStyle w:val="Columnheader"/>
              <w:tabs>
                <w:tab w:val="clear" w:pos="1503"/>
              </w:tabs>
              <w:spacing w:line="233" w:lineRule="auto"/>
              <w:ind w:right="0"/>
              <w:rPr>
                <w:rFonts w:cs="Arial"/>
                <w:b w:val="0"/>
                <w:bCs/>
                <w:szCs w:val="18"/>
              </w:rPr>
            </w:pPr>
            <w:proofErr w:type="spellStart"/>
            <w:r w:rsidRPr="00DD19DA">
              <w:rPr>
                <w:rFonts w:cs="Arial"/>
                <w:b w:val="0"/>
                <w:bCs/>
                <w:szCs w:val="18"/>
              </w:rPr>
              <w:t>Poskytnuté</w:t>
            </w:r>
            <w:proofErr w:type="spellEnd"/>
            <w:r w:rsidRPr="00DD19DA">
              <w:rPr>
                <w:rFonts w:cs="Arial"/>
                <w:b w:val="0"/>
                <w:bCs/>
                <w:szCs w:val="18"/>
              </w:rPr>
              <w:t xml:space="preserve"> </w:t>
            </w:r>
            <w:proofErr w:type="spellStart"/>
            <w:r w:rsidRPr="00DD19DA">
              <w:rPr>
                <w:rFonts w:cs="Arial"/>
                <w:b w:val="0"/>
                <w:bCs/>
                <w:szCs w:val="18"/>
              </w:rPr>
              <w:t>pôžičky</w:t>
            </w:r>
            <w:proofErr w:type="spellEnd"/>
            <w:r w:rsidRPr="00DD19DA">
              <w:rPr>
                <w:rFonts w:cs="Arial"/>
                <w:b w:val="0"/>
                <w:bCs/>
                <w:szCs w:val="18"/>
              </w:rPr>
              <w:t xml:space="preserve"> (</w:t>
            </w:r>
            <w:proofErr w:type="spellStart"/>
            <w:r w:rsidRPr="00DD19DA">
              <w:rPr>
                <w:rFonts w:cs="Arial"/>
                <w:b w:val="0"/>
                <w:bCs/>
                <w:szCs w:val="18"/>
              </w:rPr>
              <w:t>pozn</w:t>
            </w:r>
            <w:proofErr w:type="spellEnd"/>
            <w:r w:rsidRPr="00DD19DA">
              <w:rPr>
                <w:rFonts w:cs="Arial"/>
                <w:b w:val="0"/>
                <w:bCs/>
                <w:szCs w:val="18"/>
              </w:rPr>
              <w:t>. 10)</w:t>
            </w:r>
          </w:p>
        </w:tc>
        <w:tc>
          <w:tcPr>
            <w:tcW w:w="515" w:type="pct"/>
            <w:gridSpan w:val="2"/>
            <w:vAlign w:val="bottom"/>
          </w:tcPr>
          <w:p w14:paraId="725A796A" w14:textId="68EE2405" w:rsidR="00D10DAF" w:rsidRPr="00DD19DA" w:rsidRDefault="000B5B22" w:rsidP="00DD19DA">
            <w:pPr>
              <w:pStyle w:val="Columnheader"/>
              <w:tabs>
                <w:tab w:val="clear" w:pos="1503"/>
              </w:tabs>
              <w:spacing w:line="233" w:lineRule="auto"/>
              <w:ind w:right="0"/>
              <w:jc w:val="right"/>
              <w:rPr>
                <w:rFonts w:cs="Arial"/>
                <w:b w:val="0"/>
                <w:bCs/>
                <w:szCs w:val="18"/>
              </w:rPr>
            </w:pPr>
            <w:r w:rsidRPr="00DD19DA">
              <w:rPr>
                <w:rFonts w:cs="Arial"/>
                <w:b w:val="0"/>
                <w:bCs/>
                <w:szCs w:val="18"/>
              </w:rPr>
              <w:t>470</w:t>
            </w:r>
          </w:p>
        </w:tc>
        <w:tc>
          <w:tcPr>
            <w:tcW w:w="588" w:type="pct"/>
          </w:tcPr>
          <w:p w14:paraId="06FE2DCE" w14:textId="77777777" w:rsidR="00D10DAF" w:rsidRPr="00DD19DA" w:rsidRDefault="00D10DAF" w:rsidP="00DD19DA">
            <w:pPr>
              <w:pStyle w:val="Columnheader"/>
              <w:tabs>
                <w:tab w:val="clear" w:pos="1503"/>
              </w:tabs>
              <w:spacing w:line="233" w:lineRule="auto"/>
              <w:ind w:right="0"/>
              <w:jc w:val="right"/>
              <w:rPr>
                <w:rFonts w:cs="Arial"/>
                <w:b w:val="0"/>
                <w:bCs/>
                <w:szCs w:val="18"/>
              </w:rPr>
            </w:pPr>
          </w:p>
          <w:p w14:paraId="1A08ED6F" w14:textId="602FF25A" w:rsidR="000B5B22" w:rsidRPr="00DD19DA" w:rsidRDefault="000B5B22" w:rsidP="00DD19DA">
            <w:pPr>
              <w:pStyle w:val="Columnheader"/>
              <w:tabs>
                <w:tab w:val="clear" w:pos="1503"/>
              </w:tabs>
              <w:spacing w:line="233" w:lineRule="auto"/>
              <w:ind w:right="0"/>
              <w:jc w:val="right"/>
              <w:rPr>
                <w:rFonts w:cs="Arial"/>
                <w:b w:val="0"/>
                <w:bCs/>
                <w:szCs w:val="18"/>
              </w:rPr>
            </w:pPr>
            <w:r w:rsidRPr="00DD19DA">
              <w:rPr>
                <w:rFonts w:cs="Arial"/>
                <w:b w:val="0"/>
                <w:bCs/>
                <w:szCs w:val="18"/>
              </w:rPr>
              <w:t>-</w:t>
            </w:r>
          </w:p>
        </w:tc>
        <w:tc>
          <w:tcPr>
            <w:tcW w:w="515" w:type="pct"/>
            <w:vAlign w:val="bottom"/>
          </w:tcPr>
          <w:p w14:paraId="6389880D" w14:textId="0FE8C73A" w:rsidR="00D10DAF" w:rsidRPr="00DD19DA" w:rsidRDefault="000B5B22" w:rsidP="00DD19DA">
            <w:pPr>
              <w:pStyle w:val="Columnheader"/>
              <w:tabs>
                <w:tab w:val="clear" w:pos="1503"/>
              </w:tabs>
              <w:spacing w:line="233" w:lineRule="auto"/>
              <w:ind w:right="0"/>
              <w:jc w:val="right"/>
              <w:rPr>
                <w:rFonts w:cs="Arial"/>
                <w:b w:val="0"/>
                <w:bCs/>
                <w:szCs w:val="18"/>
              </w:rPr>
            </w:pPr>
            <w:r w:rsidRPr="00DD19DA">
              <w:rPr>
                <w:rFonts w:cs="Arial"/>
                <w:b w:val="0"/>
                <w:bCs/>
                <w:szCs w:val="18"/>
              </w:rPr>
              <w:t>470</w:t>
            </w:r>
          </w:p>
        </w:tc>
        <w:tc>
          <w:tcPr>
            <w:tcW w:w="514" w:type="pct"/>
            <w:gridSpan w:val="2"/>
            <w:vAlign w:val="bottom"/>
          </w:tcPr>
          <w:p w14:paraId="2E353490" w14:textId="447B577F" w:rsidR="00D10DAF" w:rsidRPr="00DD19DA" w:rsidRDefault="00D10DAF" w:rsidP="00DD19DA">
            <w:pPr>
              <w:pStyle w:val="Columnheader"/>
              <w:tabs>
                <w:tab w:val="clear" w:pos="1503"/>
              </w:tabs>
              <w:spacing w:line="233" w:lineRule="auto"/>
              <w:ind w:right="0"/>
              <w:jc w:val="right"/>
              <w:rPr>
                <w:rFonts w:cs="Arial"/>
                <w:b w:val="0"/>
                <w:bCs/>
                <w:szCs w:val="18"/>
              </w:rPr>
            </w:pPr>
            <w:r w:rsidRPr="00DD19DA">
              <w:rPr>
                <w:rFonts w:cs="Arial"/>
                <w:b w:val="0"/>
                <w:bCs/>
                <w:szCs w:val="18"/>
              </w:rPr>
              <w:t>370</w:t>
            </w:r>
          </w:p>
        </w:tc>
        <w:tc>
          <w:tcPr>
            <w:tcW w:w="548" w:type="pct"/>
          </w:tcPr>
          <w:p w14:paraId="70DFF63A" w14:textId="77777777" w:rsidR="00D10DAF" w:rsidRPr="00DD19DA" w:rsidRDefault="00D10DAF" w:rsidP="00DD19DA">
            <w:pPr>
              <w:pStyle w:val="Columnheader"/>
              <w:tabs>
                <w:tab w:val="clear" w:pos="1503"/>
              </w:tabs>
              <w:spacing w:line="233" w:lineRule="auto"/>
              <w:ind w:right="0"/>
              <w:jc w:val="right"/>
              <w:rPr>
                <w:rFonts w:cs="Arial"/>
                <w:b w:val="0"/>
                <w:bCs/>
                <w:szCs w:val="18"/>
              </w:rPr>
            </w:pPr>
          </w:p>
          <w:p w14:paraId="6CD921EF" w14:textId="5AF60994" w:rsidR="00D10DAF" w:rsidRPr="00DD19DA" w:rsidRDefault="00D10DAF" w:rsidP="00DD19DA">
            <w:pPr>
              <w:pStyle w:val="Columnheader"/>
              <w:tabs>
                <w:tab w:val="clear" w:pos="1503"/>
              </w:tabs>
              <w:spacing w:line="233" w:lineRule="auto"/>
              <w:ind w:right="0"/>
              <w:jc w:val="right"/>
              <w:rPr>
                <w:rFonts w:cs="Arial"/>
                <w:b w:val="0"/>
                <w:bCs/>
                <w:szCs w:val="18"/>
              </w:rPr>
            </w:pPr>
            <w:r w:rsidRPr="00DD19DA">
              <w:rPr>
                <w:rFonts w:cs="Arial"/>
                <w:b w:val="0"/>
                <w:bCs/>
                <w:szCs w:val="18"/>
              </w:rPr>
              <w:t>-</w:t>
            </w:r>
          </w:p>
        </w:tc>
        <w:tc>
          <w:tcPr>
            <w:tcW w:w="482" w:type="pct"/>
            <w:vAlign w:val="bottom"/>
          </w:tcPr>
          <w:p w14:paraId="60F7C269" w14:textId="70A2A903" w:rsidR="00D10DAF" w:rsidRPr="00DD19DA" w:rsidRDefault="00D10DAF" w:rsidP="00DD19DA">
            <w:pPr>
              <w:pStyle w:val="Columnheader"/>
              <w:tabs>
                <w:tab w:val="clear" w:pos="1503"/>
              </w:tabs>
              <w:spacing w:line="233" w:lineRule="auto"/>
              <w:ind w:right="0"/>
              <w:jc w:val="right"/>
              <w:rPr>
                <w:rFonts w:cs="Arial"/>
                <w:b w:val="0"/>
                <w:bCs/>
                <w:szCs w:val="18"/>
              </w:rPr>
            </w:pPr>
            <w:r w:rsidRPr="00DD19DA">
              <w:rPr>
                <w:rFonts w:cs="Arial"/>
                <w:b w:val="0"/>
                <w:bCs/>
                <w:szCs w:val="18"/>
              </w:rPr>
              <w:t>370</w:t>
            </w:r>
          </w:p>
        </w:tc>
      </w:tr>
      <w:tr w:rsidR="00DD19DA" w:rsidRPr="00DD19DA" w14:paraId="4F18CCC6" w14:textId="77777777" w:rsidTr="00DD19DA">
        <w:trPr>
          <w:trHeight w:val="227"/>
        </w:trPr>
        <w:tc>
          <w:tcPr>
            <w:tcW w:w="1838" w:type="pct"/>
            <w:gridSpan w:val="2"/>
            <w:vAlign w:val="bottom"/>
          </w:tcPr>
          <w:p w14:paraId="15392B13" w14:textId="77777777" w:rsidR="00D10DAF" w:rsidRPr="00DD19DA" w:rsidRDefault="00D10DAF" w:rsidP="00DD19DA">
            <w:pPr>
              <w:pStyle w:val="Columnheader"/>
              <w:tabs>
                <w:tab w:val="clear" w:pos="1503"/>
              </w:tabs>
              <w:spacing w:line="233" w:lineRule="auto"/>
              <w:ind w:right="0"/>
              <w:rPr>
                <w:rFonts w:cs="Arial"/>
                <w:b w:val="0"/>
                <w:bCs/>
                <w:szCs w:val="18"/>
              </w:rPr>
            </w:pPr>
            <w:proofErr w:type="spellStart"/>
            <w:r w:rsidRPr="00DD19DA">
              <w:rPr>
                <w:rFonts w:cs="Arial"/>
                <w:b w:val="0"/>
                <w:bCs/>
                <w:szCs w:val="18"/>
              </w:rPr>
              <w:t>Príjmy</w:t>
            </w:r>
            <w:proofErr w:type="spellEnd"/>
            <w:r w:rsidRPr="00DD19DA">
              <w:rPr>
                <w:rFonts w:cs="Arial"/>
                <w:b w:val="0"/>
                <w:bCs/>
                <w:szCs w:val="18"/>
              </w:rPr>
              <w:t xml:space="preserve"> </w:t>
            </w:r>
            <w:proofErr w:type="spellStart"/>
            <w:r w:rsidRPr="00DD19DA">
              <w:rPr>
                <w:rFonts w:cs="Arial"/>
                <w:b w:val="0"/>
                <w:bCs/>
                <w:szCs w:val="18"/>
              </w:rPr>
              <w:t>budúcich</w:t>
            </w:r>
            <w:proofErr w:type="spellEnd"/>
            <w:r w:rsidRPr="00DD19DA">
              <w:rPr>
                <w:rFonts w:cs="Arial"/>
                <w:b w:val="0"/>
                <w:bCs/>
                <w:szCs w:val="18"/>
              </w:rPr>
              <w:t xml:space="preserve"> </w:t>
            </w:r>
            <w:proofErr w:type="spellStart"/>
            <w:r w:rsidRPr="00DD19DA">
              <w:rPr>
                <w:rFonts w:cs="Arial"/>
                <w:b w:val="0"/>
                <w:bCs/>
                <w:szCs w:val="18"/>
              </w:rPr>
              <w:t>období</w:t>
            </w:r>
            <w:proofErr w:type="spellEnd"/>
            <w:r w:rsidRPr="00DD19DA">
              <w:rPr>
                <w:rFonts w:cs="Arial"/>
                <w:b w:val="0"/>
                <w:bCs/>
                <w:szCs w:val="18"/>
              </w:rPr>
              <w:t xml:space="preserve"> (</w:t>
            </w:r>
            <w:proofErr w:type="spellStart"/>
            <w:r w:rsidRPr="00DD19DA">
              <w:rPr>
                <w:rFonts w:cs="Arial"/>
                <w:b w:val="0"/>
                <w:bCs/>
                <w:szCs w:val="18"/>
              </w:rPr>
              <w:t>pozn</w:t>
            </w:r>
            <w:proofErr w:type="spellEnd"/>
            <w:r w:rsidRPr="00DD19DA">
              <w:rPr>
                <w:rFonts w:cs="Arial"/>
                <w:b w:val="0"/>
                <w:bCs/>
                <w:szCs w:val="18"/>
              </w:rPr>
              <w:t>. 11)</w:t>
            </w:r>
          </w:p>
        </w:tc>
        <w:tc>
          <w:tcPr>
            <w:tcW w:w="515" w:type="pct"/>
            <w:gridSpan w:val="2"/>
            <w:vAlign w:val="bottom"/>
          </w:tcPr>
          <w:p w14:paraId="4D363D10" w14:textId="77FC630B" w:rsidR="00D10DAF" w:rsidRPr="00DD19DA" w:rsidRDefault="000B5B22" w:rsidP="00DD19DA">
            <w:pPr>
              <w:pStyle w:val="Columnheader"/>
              <w:tabs>
                <w:tab w:val="clear" w:pos="1503"/>
              </w:tabs>
              <w:spacing w:line="233" w:lineRule="auto"/>
              <w:ind w:right="0"/>
              <w:jc w:val="right"/>
              <w:rPr>
                <w:rFonts w:cs="Arial"/>
                <w:b w:val="0"/>
                <w:bCs/>
                <w:szCs w:val="18"/>
              </w:rPr>
            </w:pPr>
            <w:r w:rsidRPr="00DD19DA">
              <w:rPr>
                <w:rFonts w:cs="Arial"/>
                <w:b w:val="0"/>
                <w:bCs/>
                <w:szCs w:val="18"/>
              </w:rPr>
              <w:t xml:space="preserve">- </w:t>
            </w:r>
          </w:p>
        </w:tc>
        <w:tc>
          <w:tcPr>
            <w:tcW w:w="588" w:type="pct"/>
          </w:tcPr>
          <w:p w14:paraId="1A156ED2" w14:textId="77777777" w:rsidR="00D10DAF" w:rsidRPr="00DD19DA" w:rsidRDefault="00D10DAF" w:rsidP="00DD19DA">
            <w:pPr>
              <w:pStyle w:val="Columnheader"/>
              <w:tabs>
                <w:tab w:val="clear" w:pos="1503"/>
              </w:tabs>
              <w:spacing w:line="233" w:lineRule="auto"/>
              <w:ind w:right="0"/>
              <w:jc w:val="right"/>
              <w:rPr>
                <w:rFonts w:cs="Arial"/>
                <w:b w:val="0"/>
                <w:bCs/>
                <w:szCs w:val="18"/>
              </w:rPr>
            </w:pPr>
          </w:p>
          <w:p w14:paraId="5EABD73B" w14:textId="4349255D" w:rsidR="000B5B22" w:rsidRPr="00DD19DA" w:rsidRDefault="000B5B22" w:rsidP="00DD19DA">
            <w:pPr>
              <w:pStyle w:val="Columnheader"/>
              <w:tabs>
                <w:tab w:val="clear" w:pos="1503"/>
              </w:tabs>
              <w:spacing w:line="233" w:lineRule="auto"/>
              <w:ind w:right="0"/>
              <w:jc w:val="right"/>
              <w:rPr>
                <w:rFonts w:cs="Arial"/>
                <w:b w:val="0"/>
                <w:bCs/>
                <w:szCs w:val="18"/>
              </w:rPr>
            </w:pPr>
            <w:r w:rsidRPr="00DD19DA">
              <w:rPr>
                <w:rFonts w:cs="Arial"/>
                <w:b w:val="0"/>
                <w:bCs/>
                <w:szCs w:val="18"/>
              </w:rPr>
              <w:t>-</w:t>
            </w:r>
          </w:p>
        </w:tc>
        <w:tc>
          <w:tcPr>
            <w:tcW w:w="515" w:type="pct"/>
            <w:vAlign w:val="bottom"/>
          </w:tcPr>
          <w:p w14:paraId="016CCC5A" w14:textId="682B27AA" w:rsidR="00D10DAF" w:rsidRPr="00DD19DA" w:rsidRDefault="000B5B22" w:rsidP="00DD19DA">
            <w:pPr>
              <w:pStyle w:val="Columnheader"/>
              <w:tabs>
                <w:tab w:val="clear" w:pos="1503"/>
              </w:tabs>
              <w:spacing w:line="233" w:lineRule="auto"/>
              <w:ind w:right="0"/>
              <w:jc w:val="right"/>
              <w:rPr>
                <w:rFonts w:cs="Arial"/>
                <w:b w:val="0"/>
                <w:bCs/>
                <w:szCs w:val="18"/>
              </w:rPr>
            </w:pPr>
            <w:r w:rsidRPr="00DD19DA">
              <w:rPr>
                <w:rFonts w:cs="Arial"/>
                <w:b w:val="0"/>
                <w:bCs/>
                <w:szCs w:val="18"/>
              </w:rPr>
              <w:t>-</w:t>
            </w:r>
          </w:p>
        </w:tc>
        <w:tc>
          <w:tcPr>
            <w:tcW w:w="514" w:type="pct"/>
            <w:gridSpan w:val="2"/>
            <w:vAlign w:val="bottom"/>
          </w:tcPr>
          <w:p w14:paraId="45E84AF9" w14:textId="0AA85115" w:rsidR="00D10DAF" w:rsidRPr="00DD19DA" w:rsidRDefault="00D10DAF" w:rsidP="00DD19DA">
            <w:pPr>
              <w:pStyle w:val="Columnheader"/>
              <w:tabs>
                <w:tab w:val="clear" w:pos="1503"/>
              </w:tabs>
              <w:spacing w:line="233" w:lineRule="auto"/>
              <w:ind w:right="0"/>
              <w:jc w:val="right"/>
              <w:rPr>
                <w:rFonts w:cs="Arial"/>
                <w:b w:val="0"/>
                <w:bCs/>
                <w:szCs w:val="18"/>
              </w:rPr>
            </w:pPr>
            <w:r w:rsidRPr="00DD19DA">
              <w:rPr>
                <w:rFonts w:cs="Arial"/>
                <w:b w:val="0"/>
                <w:bCs/>
                <w:szCs w:val="18"/>
              </w:rPr>
              <w:t>8 267</w:t>
            </w:r>
          </w:p>
        </w:tc>
        <w:tc>
          <w:tcPr>
            <w:tcW w:w="548" w:type="pct"/>
          </w:tcPr>
          <w:p w14:paraId="5E250723" w14:textId="77777777" w:rsidR="00D10DAF" w:rsidRPr="00DD19DA" w:rsidRDefault="00D10DAF" w:rsidP="00DD19DA">
            <w:pPr>
              <w:pStyle w:val="Columnheader"/>
              <w:tabs>
                <w:tab w:val="clear" w:pos="1503"/>
              </w:tabs>
              <w:spacing w:line="233" w:lineRule="auto"/>
              <w:ind w:right="0"/>
              <w:jc w:val="right"/>
              <w:rPr>
                <w:rFonts w:cs="Arial"/>
                <w:b w:val="0"/>
                <w:bCs/>
                <w:szCs w:val="18"/>
              </w:rPr>
            </w:pPr>
          </w:p>
          <w:p w14:paraId="05E244A3" w14:textId="4D8FC26C" w:rsidR="00D10DAF" w:rsidRPr="00DD19DA" w:rsidRDefault="00D10DAF" w:rsidP="00DD19DA">
            <w:pPr>
              <w:pStyle w:val="Columnheader"/>
              <w:tabs>
                <w:tab w:val="clear" w:pos="1503"/>
              </w:tabs>
              <w:spacing w:line="233" w:lineRule="auto"/>
              <w:ind w:right="0"/>
              <w:jc w:val="right"/>
              <w:rPr>
                <w:rFonts w:cs="Arial"/>
                <w:b w:val="0"/>
                <w:bCs/>
                <w:szCs w:val="18"/>
              </w:rPr>
            </w:pPr>
            <w:r w:rsidRPr="00DD19DA">
              <w:rPr>
                <w:rFonts w:cs="Arial"/>
                <w:b w:val="0"/>
                <w:bCs/>
                <w:szCs w:val="18"/>
              </w:rPr>
              <w:t>-</w:t>
            </w:r>
          </w:p>
        </w:tc>
        <w:tc>
          <w:tcPr>
            <w:tcW w:w="482" w:type="pct"/>
            <w:vAlign w:val="bottom"/>
          </w:tcPr>
          <w:p w14:paraId="546FE194" w14:textId="0DA03853" w:rsidR="00D10DAF" w:rsidRPr="00DD19DA" w:rsidRDefault="00D10DAF" w:rsidP="00DD19DA">
            <w:pPr>
              <w:pStyle w:val="Columnheader"/>
              <w:tabs>
                <w:tab w:val="clear" w:pos="1503"/>
              </w:tabs>
              <w:spacing w:line="233" w:lineRule="auto"/>
              <w:ind w:right="0"/>
              <w:jc w:val="right"/>
              <w:rPr>
                <w:rFonts w:cs="Arial"/>
                <w:b w:val="0"/>
                <w:bCs/>
                <w:szCs w:val="18"/>
              </w:rPr>
            </w:pPr>
            <w:r w:rsidRPr="00DD19DA">
              <w:rPr>
                <w:rFonts w:cs="Arial"/>
                <w:b w:val="0"/>
                <w:bCs/>
                <w:szCs w:val="18"/>
              </w:rPr>
              <w:t>8 267</w:t>
            </w:r>
          </w:p>
        </w:tc>
      </w:tr>
      <w:tr w:rsidR="00DD19DA" w:rsidRPr="00DD19DA" w14:paraId="274DD894" w14:textId="77777777" w:rsidTr="00DD19DA">
        <w:trPr>
          <w:trHeight w:val="227"/>
        </w:trPr>
        <w:tc>
          <w:tcPr>
            <w:tcW w:w="1838" w:type="pct"/>
            <w:gridSpan w:val="2"/>
            <w:tcBorders>
              <w:bottom w:val="single" w:sz="4" w:space="0" w:color="auto"/>
            </w:tcBorders>
            <w:vAlign w:val="bottom"/>
          </w:tcPr>
          <w:p w14:paraId="0574B81A" w14:textId="77777777" w:rsidR="00D10DAF" w:rsidRPr="00DD19DA" w:rsidRDefault="00D10DAF" w:rsidP="00DD19DA">
            <w:pPr>
              <w:pStyle w:val="Columnheader"/>
              <w:tabs>
                <w:tab w:val="clear" w:pos="1503"/>
              </w:tabs>
              <w:spacing w:line="233" w:lineRule="auto"/>
              <w:ind w:right="0"/>
              <w:rPr>
                <w:rFonts w:cs="Arial"/>
                <w:b w:val="0"/>
                <w:bCs/>
                <w:szCs w:val="18"/>
              </w:rPr>
            </w:pPr>
            <w:proofErr w:type="spellStart"/>
            <w:r w:rsidRPr="00DD19DA">
              <w:rPr>
                <w:rFonts w:cs="Arial"/>
                <w:b w:val="0"/>
                <w:bCs/>
                <w:szCs w:val="18"/>
              </w:rPr>
              <w:t>Peniaze</w:t>
            </w:r>
            <w:proofErr w:type="spellEnd"/>
            <w:r w:rsidRPr="00DD19DA">
              <w:rPr>
                <w:rFonts w:cs="Arial"/>
                <w:b w:val="0"/>
                <w:bCs/>
                <w:szCs w:val="18"/>
              </w:rPr>
              <w:t xml:space="preserve"> a </w:t>
            </w:r>
            <w:proofErr w:type="spellStart"/>
            <w:r w:rsidRPr="00DD19DA">
              <w:rPr>
                <w:rFonts w:cs="Arial"/>
                <w:b w:val="0"/>
                <w:bCs/>
                <w:szCs w:val="18"/>
              </w:rPr>
              <w:t>peňažné</w:t>
            </w:r>
            <w:proofErr w:type="spellEnd"/>
            <w:r w:rsidRPr="00DD19DA">
              <w:rPr>
                <w:rFonts w:cs="Arial"/>
                <w:b w:val="0"/>
                <w:bCs/>
                <w:szCs w:val="18"/>
              </w:rPr>
              <w:t xml:space="preserve"> </w:t>
            </w:r>
            <w:proofErr w:type="spellStart"/>
            <w:r w:rsidRPr="00DD19DA">
              <w:rPr>
                <w:rFonts w:cs="Arial"/>
                <w:b w:val="0"/>
                <w:bCs/>
                <w:szCs w:val="18"/>
              </w:rPr>
              <w:t>ekvivalenty</w:t>
            </w:r>
            <w:proofErr w:type="spellEnd"/>
            <w:r w:rsidRPr="00DD19DA">
              <w:rPr>
                <w:rFonts w:cs="Arial"/>
                <w:b w:val="0"/>
                <w:bCs/>
                <w:szCs w:val="18"/>
              </w:rPr>
              <w:t xml:space="preserve"> (</w:t>
            </w:r>
            <w:proofErr w:type="spellStart"/>
            <w:r w:rsidRPr="00DD19DA">
              <w:rPr>
                <w:rFonts w:cs="Arial"/>
                <w:b w:val="0"/>
                <w:bCs/>
                <w:szCs w:val="18"/>
              </w:rPr>
              <w:t>Pozn</w:t>
            </w:r>
            <w:proofErr w:type="spellEnd"/>
            <w:r w:rsidRPr="00DD19DA">
              <w:rPr>
                <w:rFonts w:cs="Arial"/>
                <w:b w:val="0"/>
                <w:bCs/>
                <w:szCs w:val="18"/>
              </w:rPr>
              <w:t>. 13)</w:t>
            </w:r>
          </w:p>
        </w:tc>
        <w:tc>
          <w:tcPr>
            <w:tcW w:w="515" w:type="pct"/>
            <w:gridSpan w:val="2"/>
            <w:tcBorders>
              <w:bottom w:val="single" w:sz="4" w:space="0" w:color="auto"/>
            </w:tcBorders>
            <w:vAlign w:val="bottom"/>
          </w:tcPr>
          <w:p w14:paraId="69C76DB2" w14:textId="1C4EBD6E" w:rsidR="00D10DAF" w:rsidRPr="00DD19DA" w:rsidRDefault="000B5B22" w:rsidP="00DD19DA">
            <w:pPr>
              <w:pStyle w:val="Columnheader"/>
              <w:tabs>
                <w:tab w:val="clear" w:pos="1503"/>
              </w:tabs>
              <w:spacing w:line="233" w:lineRule="auto"/>
              <w:ind w:right="0"/>
              <w:jc w:val="right"/>
              <w:rPr>
                <w:rFonts w:cs="Arial"/>
                <w:b w:val="0"/>
                <w:bCs/>
                <w:szCs w:val="18"/>
              </w:rPr>
            </w:pPr>
            <w:r w:rsidRPr="00DD19DA">
              <w:rPr>
                <w:rFonts w:cs="Arial"/>
                <w:b w:val="0"/>
                <w:bCs/>
                <w:szCs w:val="18"/>
              </w:rPr>
              <w:t>9 606</w:t>
            </w:r>
          </w:p>
        </w:tc>
        <w:tc>
          <w:tcPr>
            <w:tcW w:w="588" w:type="pct"/>
            <w:tcBorders>
              <w:bottom w:val="single" w:sz="4" w:space="0" w:color="auto"/>
            </w:tcBorders>
          </w:tcPr>
          <w:p w14:paraId="2CF259FA" w14:textId="77777777" w:rsidR="00D10DAF" w:rsidRPr="00DD19DA" w:rsidRDefault="00D10DAF" w:rsidP="00DD19DA">
            <w:pPr>
              <w:pStyle w:val="Columnheader"/>
              <w:tabs>
                <w:tab w:val="clear" w:pos="1503"/>
              </w:tabs>
              <w:spacing w:line="233" w:lineRule="auto"/>
              <w:ind w:right="0"/>
              <w:jc w:val="right"/>
              <w:rPr>
                <w:rFonts w:cs="Arial"/>
                <w:b w:val="0"/>
                <w:bCs/>
                <w:szCs w:val="18"/>
              </w:rPr>
            </w:pPr>
          </w:p>
          <w:p w14:paraId="780AA8DE" w14:textId="68728523" w:rsidR="000B5B22" w:rsidRPr="00DD19DA" w:rsidRDefault="000B5B22" w:rsidP="00DD19DA">
            <w:pPr>
              <w:pStyle w:val="Columnheader"/>
              <w:tabs>
                <w:tab w:val="clear" w:pos="1503"/>
              </w:tabs>
              <w:spacing w:line="233" w:lineRule="auto"/>
              <w:ind w:right="0"/>
              <w:jc w:val="right"/>
              <w:rPr>
                <w:rFonts w:cs="Arial"/>
                <w:b w:val="0"/>
                <w:bCs/>
                <w:szCs w:val="18"/>
              </w:rPr>
            </w:pPr>
            <w:r w:rsidRPr="00DD19DA">
              <w:rPr>
                <w:rFonts w:cs="Arial"/>
                <w:b w:val="0"/>
                <w:bCs/>
                <w:szCs w:val="18"/>
              </w:rPr>
              <w:t>-</w:t>
            </w:r>
          </w:p>
        </w:tc>
        <w:tc>
          <w:tcPr>
            <w:tcW w:w="515" w:type="pct"/>
            <w:tcBorders>
              <w:bottom w:val="single" w:sz="4" w:space="0" w:color="auto"/>
            </w:tcBorders>
            <w:vAlign w:val="bottom"/>
          </w:tcPr>
          <w:p w14:paraId="4BFD577D" w14:textId="05ADC0D0" w:rsidR="00D10DAF" w:rsidRPr="00DD19DA" w:rsidRDefault="000B5B22" w:rsidP="00DD19DA">
            <w:pPr>
              <w:pStyle w:val="Columnheader"/>
              <w:tabs>
                <w:tab w:val="clear" w:pos="1503"/>
              </w:tabs>
              <w:spacing w:line="233" w:lineRule="auto"/>
              <w:ind w:right="0"/>
              <w:jc w:val="right"/>
              <w:rPr>
                <w:rFonts w:cs="Arial"/>
                <w:b w:val="0"/>
                <w:bCs/>
                <w:szCs w:val="18"/>
              </w:rPr>
            </w:pPr>
            <w:r w:rsidRPr="00DD19DA">
              <w:rPr>
                <w:rFonts w:cs="Arial"/>
                <w:b w:val="0"/>
                <w:bCs/>
                <w:szCs w:val="18"/>
              </w:rPr>
              <w:t>9 606</w:t>
            </w:r>
          </w:p>
        </w:tc>
        <w:tc>
          <w:tcPr>
            <w:tcW w:w="514" w:type="pct"/>
            <w:gridSpan w:val="2"/>
            <w:tcBorders>
              <w:bottom w:val="single" w:sz="4" w:space="0" w:color="auto"/>
            </w:tcBorders>
            <w:vAlign w:val="bottom"/>
          </w:tcPr>
          <w:p w14:paraId="51124694" w14:textId="710193A7" w:rsidR="00D10DAF" w:rsidRPr="00DD19DA" w:rsidRDefault="00D10DAF" w:rsidP="00DD19DA">
            <w:pPr>
              <w:pStyle w:val="Columnheader"/>
              <w:tabs>
                <w:tab w:val="clear" w:pos="1503"/>
              </w:tabs>
              <w:spacing w:line="233" w:lineRule="auto"/>
              <w:ind w:right="0"/>
              <w:jc w:val="right"/>
              <w:rPr>
                <w:rFonts w:cs="Arial"/>
                <w:b w:val="0"/>
                <w:bCs/>
                <w:szCs w:val="18"/>
              </w:rPr>
            </w:pPr>
            <w:r w:rsidRPr="00DD19DA">
              <w:rPr>
                <w:rFonts w:cs="Arial"/>
                <w:b w:val="0"/>
                <w:bCs/>
                <w:szCs w:val="18"/>
              </w:rPr>
              <w:t>3 002</w:t>
            </w:r>
          </w:p>
        </w:tc>
        <w:tc>
          <w:tcPr>
            <w:tcW w:w="548" w:type="pct"/>
            <w:tcBorders>
              <w:bottom w:val="single" w:sz="4" w:space="0" w:color="auto"/>
            </w:tcBorders>
          </w:tcPr>
          <w:p w14:paraId="29E8A0E7" w14:textId="77777777" w:rsidR="00D10DAF" w:rsidRPr="00DD19DA" w:rsidRDefault="00D10DAF" w:rsidP="00DD19DA">
            <w:pPr>
              <w:pStyle w:val="Columnheader"/>
              <w:tabs>
                <w:tab w:val="clear" w:pos="1503"/>
              </w:tabs>
              <w:spacing w:line="233" w:lineRule="auto"/>
              <w:ind w:right="0"/>
              <w:jc w:val="right"/>
              <w:rPr>
                <w:rFonts w:cs="Arial"/>
                <w:b w:val="0"/>
                <w:bCs/>
                <w:szCs w:val="18"/>
              </w:rPr>
            </w:pPr>
          </w:p>
          <w:p w14:paraId="0872F28C" w14:textId="5C71761D" w:rsidR="00D10DAF" w:rsidRPr="00DD19DA" w:rsidRDefault="00D10DAF" w:rsidP="00DD19DA">
            <w:pPr>
              <w:pStyle w:val="Columnheader"/>
              <w:tabs>
                <w:tab w:val="clear" w:pos="1503"/>
              </w:tabs>
              <w:spacing w:line="233" w:lineRule="auto"/>
              <w:ind w:right="0"/>
              <w:jc w:val="right"/>
              <w:rPr>
                <w:rFonts w:cs="Arial"/>
                <w:b w:val="0"/>
                <w:bCs/>
                <w:szCs w:val="18"/>
              </w:rPr>
            </w:pPr>
            <w:r w:rsidRPr="00DD19DA">
              <w:rPr>
                <w:rFonts w:cs="Arial"/>
                <w:b w:val="0"/>
                <w:bCs/>
                <w:szCs w:val="18"/>
              </w:rPr>
              <w:t>-</w:t>
            </w:r>
          </w:p>
        </w:tc>
        <w:tc>
          <w:tcPr>
            <w:tcW w:w="482" w:type="pct"/>
            <w:tcBorders>
              <w:bottom w:val="single" w:sz="4" w:space="0" w:color="auto"/>
            </w:tcBorders>
            <w:vAlign w:val="bottom"/>
          </w:tcPr>
          <w:p w14:paraId="3CCF8946" w14:textId="624D3549" w:rsidR="00D10DAF" w:rsidRPr="00DD19DA" w:rsidRDefault="00D10DAF" w:rsidP="00DD19DA">
            <w:pPr>
              <w:pStyle w:val="Columnheader"/>
              <w:tabs>
                <w:tab w:val="clear" w:pos="1503"/>
              </w:tabs>
              <w:spacing w:line="233" w:lineRule="auto"/>
              <w:ind w:right="0"/>
              <w:jc w:val="right"/>
              <w:rPr>
                <w:rFonts w:cs="Arial"/>
                <w:b w:val="0"/>
                <w:bCs/>
                <w:szCs w:val="18"/>
              </w:rPr>
            </w:pPr>
            <w:r w:rsidRPr="00DD19DA">
              <w:rPr>
                <w:rFonts w:cs="Arial"/>
                <w:b w:val="0"/>
                <w:bCs/>
                <w:szCs w:val="18"/>
              </w:rPr>
              <w:t>3 002</w:t>
            </w:r>
          </w:p>
        </w:tc>
      </w:tr>
      <w:tr w:rsidR="00DD19DA" w:rsidRPr="00DD19DA" w14:paraId="26B9AF06" w14:textId="77777777" w:rsidTr="00DD19DA">
        <w:trPr>
          <w:trHeight w:val="227"/>
        </w:trPr>
        <w:tc>
          <w:tcPr>
            <w:tcW w:w="1838" w:type="pct"/>
            <w:gridSpan w:val="2"/>
            <w:tcBorders>
              <w:top w:val="single" w:sz="4" w:space="0" w:color="auto"/>
              <w:bottom w:val="double" w:sz="4" w:space="0" w:color="auto"/>
            </w:tcBorders>
            <w:vAlign w:val="bottom"/>
          </w:tcPr>
          <w:p w14:paraId="707A67DA" w14:textId="77777777" w:rsidR="00D10DAF" w:rsidRPr="00DD19DA" w:rsidRDefault="00D10DAF" w:rsidP="00DD19DA">
            <w:pPr>
              <w:pStyle w:val="Columnheader"/>
              <w:tabs>
                <w:tab w:val="clear" w:pos="1503"/>
              </w:tabs>
              <w:spacing w:line="233" w:lineRule="auto"/>
              <w:ind w:right="0"/>
              <w:rPr>
                <w:rFonts w:cs="Arial"/>
                <w:szCs w:val="18"/>
              </w:rPr>
            </w:pPr>
          </w:p>
          <w:p w14:paraId="22EEF7FB" w14:textId="77777777" w:rsidR="00D10DAF" w:rsidRPr="00DD19DA" w:rsidRDefault="00D10DAF" w:rsidP="00DD19DA">
            <w:pPr>
              <w:pStyle w:val="Columnheader"/>
              <w:tabs>
                <w:tab w:val="clear" w:pos="1503"/>
              </w:tabs>
              <w:spacing w:line="233" w:lineRule="auto"/>
              <w:ind w:right="0"/>
              <w:rPr>
                <w:rFonts w:cs="Arial"/>
                <w:szCs w:val="18"/>
              </w:rPr>
            </w:pPr>
            <w:proofErr w:type="spellStart"/>
            <w:r w:rsidRPr="00DD19DA">
              <w:rPr>
                <w:rFonts w:cs="Arial"/>
                <w:szCs w:val="18"/>
              </w:rPr>
              <w:t>Aktíva</w:t>
            </w:r>
            <w:proofErr w:type="spellEnd"/>
            <w:r w:rsidRPr="00DD19DA">
              <w:rPr>
                <w:rFonts w:cs="Arial"/>
                <w:szCs w:val="18"/>
              </w:rPr>
              <w:t xml:space="preserve"> </w:t>
            </w:r>
            <w:proofErr w:type="spellStart"/>
            <w:r w:rsidRPr="00DD19DA">
              <w:rPr>
                <w:rFonts w:cs="Arial"/>
                <w:szCs w:val="18"/>
              </w:rPr>
              <w:t>spolu</w:t>
            </w:r>
            <w:proofErr w:type="spellEnd"/>
          </w:p>
        </w:tc>
        <w:tc>
          <w:tcPr>
            <w:tcW w:w="515" w:type="pct"/>
            <w:gridSpan w:val="2"/>
            <w:tcBorders>
              <w:top w:val="single" w:sz="4" w:space="0" w:color="auto"/>
              <w:bottom w:val="double" w:sz="4" w:space="0" w:color="auto"/>
            </w:tcBorders>
            <w:vAlign w:val="bottom"/>
          </w:tcPr>
          <w:p w14:paraId="44AC0D4F" w14:textId="63488236" w:rsidR="00D10DAF" w:rsidRPr="00DD19DA" w:rsidRDefault="000B5B22" w:rsidP="00DD19DA">
            <w:pPr>
              <w:pStyle w:val="Columnheader"/>
              <w:tabs>
                <w:tab w:val="clear" w:pos="1503"/>
              </w:tabs>
              <w:spacing w:line="233" w:lineRule="auto"/>
              <w:ind w:right="0"/>
              <w:jc w:val="right"/>
              <w:rPr>
                <w:rFonts w:cs="Arial"/>
                <w:szCs w:val="18"/>
              </w:rPr>
            </w:pPr>
            <w:r w:rsidRPr="00DD19DA">
              <w:rPr>
                <w:rFonts w:cs="Arial"/>
                <w:szCs w:val="18"/>
              </w:rPr>
              <w:t>34 793</w:t>
            </w:r>
          </w:p>
        </w:tc>
        <w:tc>
          <w:tcPr>
            <w:tcW w:w="588" w:type="pct"/>
            <w:tcBorders>
              <w:top w:val="single" w:sz="4" w:space="0" w:color="auto"/>
              <w:bottom w:val="double" w:sz="4" w:space="0" w:color="auto"/>
            </w:tcBorders>
          </w:tcPr>
          <w:p w14:paraId="0B0E2F26" w14:textId="77777777" w:rsidR="00D10DAF" w:rsidRPr="00DD19DA" w:rsidRDefault="00D10DAF" w:rsidP="00DD19DA">
            <w:pPr>
              <w:pStyle w:val="Columnheader"/>
              <w:tabs>
                <w:tab w:val="clear" w:pos="1503"/>
              </w:tabs>
              <w:spacing w:line="233" w:lineRule="auto"/>
              <w:ind w:right="0"/>
              <w:jc w:val="right"/>
              <w:rPr>
                <w:rFonts w:cs="Arial"/>
                <w:szCs w:val="18"/>
              </w:rPr>
            </w:pPr>
          </w:p>
          <w:p w14:paraId="3FA99329" w14:textId="3A337B47" w:rsidR="000B5B22" w:rsidRPr="00DD19DA" w:rsidRDefault="000B5B22" w:rsidP="00DD19DA">
            <w:pPr>
              <w:pStyle w:val="Columnheader"/>
              <w:tabs>
                <w:tab w:val="clear" w:pos="1503"/>
              </w:tabs>
              <w:spacing w:line="233" w:lineRule="auto"/>
              <w:ind w:right="0"/>
              <w:jc w:val="right"/>
              <w:rPr>
                <w:rFonts w:cs="Arial"/>
                <w:szCs w:val="18"/>
              </w:rPr>
            </w:pPr>
            <w:r w:rsidRPr="00DD19DA">
              <w:rPr>
                <w:rFonts w:cs="Arial"/>
                <w:szCs w:val="18"/>
              </w:rPr>
              <w:t>-</w:t>
            </w:r>
          </w:p>
        </w:tc>
        <w:tc>
          <w:tcPr>
            <w:tcW w:w="515" w:type="pct"/>
            <w:tcBorders>
              <w:top w:val="single" w:sz="4" w:space="0" w:color="auto"/>
              <w:bottom w:val="double" w:sz="4" w:space="0" w:color="auto"/>
            </w:tcBorders>
            <w:vAlign w:val="bottom"/>
          </w:tcPr>
          <w:p w14:paraId="677F625C" w14:textId="453A4D75" w:rsidR="00D10DAF" w:rsidRPr="00DD19DA" w:rsidRDefault="000B5B22" w:rsidP="00DD19DA">
            <w:pPr>
              <w:pStyle w:val="Columnheader"/>
              <w:tabs>
                <w:tab w:val="clear" w:pos="1503"/>
              </w:tabs>
              <w:spacing w:line="233" w:lineRule="auto"/>
              <w:ind w:right="0"/>
              <w:jc w:val="right"/>
              <w:rPr>
                <w:rFonts w:cs="Arial"/>
                <w:szCs w:val="18"/>
              </w:rPr>
            </w:pPr>
            <w:r w:rsidRPr="00DD19DA">
              <w:rPr>
                <w:rFonts w:cs="Arial"/>
                <w:szCs w:val="18"/>
              </w:rPr>
              <w:t>34 793</w:t>
            </w:r>
          </w:p>
        </w:tc>
        <w:tc>
          <w:tcPr>
            <w:tcW w:w="514" w:type="pct"/>
            <w:gridSpan w:val="2"/>
            <w:tcBorders>
              <w:top w:val="single" w:sz="4" w:space="0" w:color="auto"/>
              <w:bottom w:val="double" w:sz="4" w:space="0" w:color="auto"/>
            </w:tcBorders>
            <w:vAlign w:val="bottom"/>
          </w:tcPr>
          <w:p w14:paraId="1CED54CA" w14:textId="587BD1F1" w:rsidR="00D10DAF" w:rsidRPr="00DD19DA" w:rsidRDefault="00D10DAF" w:rsidP="00DD19DA">
            <w:pPr>
              <w:pStyle w:val="Columnheader"/>
              <w:tabs>
                <w:tab w:val="clear" w:pos="1503"/>
              </w:tabs>
              <w:spacing w:line="233" w:lineRule="auto"/>
              <w:ind w:right="0"/>
              <w:jc w:val="right"/>
              <w:rPr>
                <w:rFonts w:cs="Arial"/>
                <w:szCs w:val="18"/>
              </w:rPr>
            </w:pPr>
            <w:r w:rsidRPr="00DD19DA">
              <w:rPr>
                <w:rFonts w:cs="Arial"/>
                <w:szCs w:val="18"/>
              </w:rPr>
              <w:t>30 84</w:t>
            </w:r>
            <w:r w:rsidR="0049047A" w:rsidRPr="00DD19DA">
              <w:rPr>
                <w:rFonts w:cs="Arial"/>
                <w:szCs w:val="18"/>
              </w:rPr>
              <w:t>8</w:t>
            </w:r>
          </w:p>
        </w:tc>
        <w:tc>
          <w:tcPr>
            <w:tcW w:w="548" w:type="pct"/>
            <w:tcBorders>
              <w:top w:val="single" w:sz="4" w:space="0" w:color="auto"/>
              <w:bottom w:val="double" w:sz="4" w:space="0" w:color="auto"/>
            </w:tcBorders>
          </w:tcPr>
          <w:p w14:paraId="0E9D74D8" w14:textId="77777777" w:rsidR="00D10DAF" w:rsidRPr="00DD19DA" w:rsidRDefault="00D10DAF" w:rsidP="00DD19DA">
            <w:pPr>
              <w:pStyle w:val="Columnheader"/>
              <w:tabs>
                <w:tab w:val="clear" w:pos="1503"/>
              </w:tabs>
              <w:spacing w:line="233" w:lineRule="auto"/>
              <w:ind w:right="0"/>
              <w:jc w:val="right"/>
              <w:rPr>
                <w:rFonts w:cs="Arial"/>
                <w:szCs w:val="18"/>
              </w:rPr>
            </w:pPr>
          </w:p>
          <w:p w14:paraId="78AEFF25" w14:textId="499833D9" w:rsidR="00D10DAF" w:rsidRPr="00DD19DA" w:rsidRDefault="00D10DAF" w:rsidP="00DD19DA">
            <w:pPr>
              <w:pStyle w:val="Columnheader"/>
              <w:tabs>
                <w:tab w:val="clear" w:pos="1503"/>
              </w:tabs>
              <w:spacing w:line="233" w:lineRule="auto"/>
              <w:ind w:right="0"/>
              <w:jc w:val="right"/>
              <w:rPr>
                <w:rFonts w:cs="Arial"/>
                <w:szCs w:val="18"/>
              </w:rPr>
            </w:pPr>
            <w:r w:rsidRPr="00DD19DA">
              <w:rPr>
                <w:rFonts w:cs="Arial"/>
                <w:szCs w:val="18"/>
              </w:rPr>
              <w:t>-</w:t>
            </w:r>
          </w:p>
        </w:tc>
        <w:tc>
          <w:tcPr>
            <w:tcW w:w="482" w:type="pct"/>
            <w:tcBorders>
              <w:top w:val="single" w:sz="4" w:space="0" w:color="auto"/>
              <w:bottom w:val="double" w:sz="4" w:space="0" w:color="auto"/>
            </w:tcBorders>
            <w:vAlign w:val="bottom"/>
          </w:tcPr>
          <w:p w14:paraId="6C7F2593" w14:textId="134A1409" w:rsidR="00D10DAF" w:rsidRPr="00DD19DA" w:rsidRDefault="00D10DAF" w:rsidP="00DD19DA">
            <w:pPr>
              <w:pStyle w:val="Columnheader"/>
              <w:tabs>
                <w:tab w:val="clear" w:pos="1503"/>
              </w:tabs>
              <w:spacing w:line="233" w:lineRule="auto"/>
              <w:ind w:right="0"/>
              <w:jc w:val="right"/>
              <w:rPr>
                <w:rFonts w:cs="Arial"/>
                <w:szCs w:val="18"/>
              </w:rPr>
            </w:pPr>
            <w:r w:rsidRPr="00DD19DA">
              <w:rPr>
                <w:rFonts w:cs="Arial"/>
                <w:szCs w:val="18"/>
              </w:rPr>
              <w:t>30 84</w:t>
            </w:r>
            <w:r w:rsidR="0049047A" w:rsidRPr="00DD19DA">
              <w:rPr>
                <w:rFonts w:cs="Arial"/>
                <w:szCs w:val="18"/>
              </w:rPr>
              <w:t>8</w:t>
            </w:r>
          </w:p>
        </w:tc>
      </w:tr>
      <w:tr w:rsidR="00DD19DA" w:rsidRPr="00DD19DA" w14:paraId="6F9D38E2" w14:textId="77777777" w:rsidTr="00DD19DA">
        <w:trPr>
          <w:trHeight w:val="227"/>
        </w:trPr>
        <w:tc>
          <w:tcPr>
            <w:tcW w:w="1838" w:type="pct"/>
            <w:gridSpan w:val="2"/>
            <w:tcBorders>
              <w:top w:val="double" w:sz="4" w:space="0" w:color="auto"/>
            </w:tcBorders>
            <w:vAlign w:val="bottom"/>
          </w:tcPr>
          <w:p w14:paraId="3C7C30DA" w14:textId="77777777" w:rsidR="00D10DAF" w:rsidRPr="00DD19DA" w:rsidRDefault="00D10DAF" w:rsidP="00DD19DA">
            <w:pPr>
              <w:pStyle w:val="Columnheader"/>
              <w:tabs>
                <w:tab w:val="clear" w:pos="1503"/>
              </w:tabs>
              <w:spacing w:line="233" w:lineRule="auto"/>
              <w:ind w:right="0"/>
              <w:rPr>
                <w:rFonts w:cs="Arial"/>
                <w:b w:val="0"/>
                <w:bCs/>
                <w:szCs w:val="18"/>
              </w:rPr>
            </w:pPr>
          </w:p>
        </w:tc>
        <w:tc>
          <w:tcPr>
            <w:tcW w:w="515" w:type="pct"/>
            <w:gridSpan w:val="2"/>
            <w:tcBorders>
              <w:top w:val="double" w:sz="4" w:space="0" w:color="auto"/>
            </w:tcBorders>
            <w:vAlign w:val="bottom"/>
          </w:tcPr>
          <w:p w14:paraId="036AF377" w14:textId="77777777" w:rsidR="00D10DAF" w:rsidRPr="00DD19DA" w:rsidRDefault="00D10DAF" w:rsidP="00DD19DA">
            <w:pPr>
              <w:pStyle w:val="Columnheader"/>
              <w:tabs>
                <w:tab w:val="clear" w:pos="1503"/>
              </w:tabs>
              <w:spacing w:line="233" w:lineRule="auto"/>
              <w:ind w:right="0"/>
              <w:jc w:val="right"/>
              <w:rPr>
                <w:rFonts w:cs="Arial"/>
                <w:b w:val="0"/>
                <w:bCs/>
                <w:szCs w:val="18"/>
              </w:rPr>
            </w:pPr>
          </w:p>
        </w:tc>
        <w:tc>
          <w:tcPr>
            <w:tcW w:w="588" w:type="pct"/>
            <w:tcBorders>
              <w:top w:val="double" w:sz="4" w:space="0" w:color="auto"/>
            </w:tcBorders>
          </w:tcPr>
          <w:p w14:paraId="390ACEA8" w14:textId="77777777" w:rsidR="00D10DAF" w:rsidRPr="00DD19DA" w:rsidRDefault="00D10DAF" w:rsidP="00DD19DA">
            <w:pPr>
              <w:pStyle w:val="Columnheader"/>
              <w:tabs>
                <w:tab w:val="clear" w:pos="1503"/>
              </w:tabs>
              <w:spacing w:line="233" w:lineRule="auto"/>
              <w:ind w:right="0"/>
              <w:jc w:val="right"/>
              <w:rPr>
                <w:rFonts w:cs="Arial"/>
                <w:b w:val="0"/>
                <w:bCs/>
                <w:szCs w:val="18"/>
              </w:rPr>
            </w:pPr>
          </w:p>
        </w:tc>
        <w:tc>
          <w:tcPr>
            <w:tcW w:w="515" w:type="pct"/>
            <w:tcBorders>
              <w:top w:val="double" w:sz="4" w:space="0" w:color="auto"/>
            </w:tcBorders>
            <w:vAlign w:val="bottom"/>
          </w:tcPr>
          <w:p w14:paraId="6EA6E63C" w14:textId="77777777" w:rsidR="00D10DAF" w:rsidRPr="00DD19DA" w:rsidRDefault="00D10DAF" w:rsidP="00DD19DA">
            <w:pPr>
              <w:pStyle w:val="Columnheader"/>
              <w:tabs>
                <w:tab w:val="clear" w:pos="1503"/>
              </w:tabs>
              <w:spacing w:line="233" w:lineRule="auto"/>
              <w:ind w:right="0"/>
              <w:jc w:val="right"/>
              <w:rPr>
                <w:rFonts w:cs="Arial"/>
                <w:b w:val="0"/>
                <w:bCs/>
                <w:szCs w:val="18"/>
              </w:rPr>
            </w:pPr>
          </w:p>
        </w:tc>
        <w:tc>
          <w:tcPr>
            <w:tcW w:w="514" w:type="pct"/>
            <w:gridSpan w:val="2"/>
            <w:tcBorders>
              <w:top w:val="double" w:sz="4" w:space="0" w:color="auto"/>
            </w:tcBorders>
            <w:vAlign w:val="bottom"/>
          </w:tcPr>
          <w:p w14:paraId="13DB7885" w14:textId="77777777" w:rsidR="00D10DAF" w:rsidRPr="00DD19DA" w:rsidRDefault="00D10DAF" w:rsidP="00DD19DA">
            <w:pPr>
              <w:pStyle w:val="Columnheader"/>
              <w:tabs>
                <w:tab w:val="clear" w:pos="1503"/>
              </w:tabs>
              <w:spacing w:line="233" w:lineRule="auto"/>
              <w:ind w:right="0"/>
              <w:jc w:val="right"/>
              <w:rPr>
                <w:rFonts w:cs="Arial"/>
                <w:b w:val="0"/>
                <w:bCs/>
                <w:szCs w:val="18"/>
              </w:rPr>
            </w:pPr>
          </w:p>
        </w:tc>
        <w:tc>
          <w:tcPr>
            <w:tcW w:w="548" w:type="pct"/>
            <w:tcBorders>
              <w:top w:val="double" w:sz="4" w:space="0" w:color="auto"/>
            </w:tcBorders>
          </w:tcPr>
          <w:p w14:paraId="65AB4F5F" w14:textId="77777777" w:rsidR="00D10DAF" w:rsidRPr="00DD19DA" w:rsidRDefault="00D10DAF" w:rsidP="00DD19DA">
            <w:pPr>
              <w:pStyle w:val="Columnheader"/>
              <w:tabs>
                <w:tab w:val="clear" w:pos="1503"/>
              </w:tabs>
              <w:spacing w:line="233" w:lineRule="auto"/>
              <w:ind w:right="0"/>
              <w:jc w:val="right"/>
              <w:rPr>
                <w:rFonts w:cs="Arial"/>
                <w:b w:val="0"/>
                <w:bCs/>
                <w:szCs w:val="18"/>
              </w:rPr>
            </w:pPr>
          </w:p>
        </w:tc>
        <w:tc>
          <w:tcPr>
            <w:tcW w:w="482" w:type="pct"/>
            <w:tcBorders>
              <w:top w:val="double" w:sz="4" w:space="0" w:color="auto"/>
            </w:tcBorders>
            <w:vAlign w:val="bottom"/>
          </w:tcPr>
          <w:p w14:paraId="7810CD2B" w14:textId="77777777" w:rsidR="00D10DAF" w:rsidRPr="00DD19DA" w:rsidRDefault="00D10DAF" w:rsidP="00DD19DA">
            <w:pPr>
              <w:pStyle w:val="Columnheader"/>
              <w:tabs>
                <w:tab w:val="clear" w:pos="1503"/>
              </w:tabs>
              <w:spacing w:line="233" w:lineRule="auto"/>
              <w:ind w:right="0"/>
              <w:jc w:val="right"/>
              <w:rPr>
                <w:rFonts w:cs="Arial"/>
                <w:b w:val="0"/>
                <w:bCs/>
                <w:szCs w:val="18"/>
              </w:rPr>
            </w:pPr>
          </w:p>
        </w:tc>
      </w:tr>
      <w:tr w:rsidR="00DD19DA" w:rsidRPr="00DD19DA" w14:paraId="0E6ECF3C" w14:textId="77777777" w:rsidTr="00DD19DA">
        <w:trPr>
          <w:trHeight w:val="227"/>
        </w:trPr>
        <w:tc>
          <w:tcPr>
            <w:tcW w:w="1838" w:type="pct"/>
            <w:gridSpan w:val="2"/>
            <w:vAlign w:val="bottom"/>
          </w:tcPr>
          <w:p w14:paraId="7D9C19C1" w14:textId="77777777" w:rsidR="00D10DAF" w:rsidRPr="00DD19DA" w:rsidRDefault="00D10DAF" w:rsidP="00DD19DA">
            <w:pPr>
              <w:pStyle w:val="Columnheader"/>
              <w:tabs>
                <w:tab w:val="clear" w:pos="1503"/>
              </w:tabs>
              <w:spacing w:line="233" w:lineRule="auto"/>
              <w:ind w:right="0"/>
              <w:rPr>
                <w:rFonts w:cs="Arial"/>
                <w:szCs w:val="18"/>
              </w:rPr>
            </w:pPr>
            <w:proofErr w:type="spellStart"/>
            <w:r w:rsidRPr="00DD19DA">
              <w:rPr>
                <w:rFonts w:cs="Arial"/>
                <w:szCs w:val="18"/>
              </w:rPr>
              <w:t>Záväzky</w:t>
            </w:r>
            <w:proofErr w:type="spellEnd"/>
          </w:p>
          <w:p w14:paraId="6894F16E" w14:textId="77777777" w:rsidR="00D10DAF" w:rsidRPr="00DD19DA" w:rsidRDefault="00D10DAF" w:rsidP="00DD19DA">
            <w:pPr>
              <w:pStyle w:val="Columnheader"/>
              <w:tabs>
                <w:tab w:val="clear" w:pos="1503"/>
              </w:tabs>
              <w:spacing w:line="233" w:lineRule="auto"/>
              <w:ind w:right="0"/>
              <w:rPr>
                <w:rFonts w:cs="Arial"/>
                <w:szCs w:val="18"/>
              </w:rPr>
            </w:pPr>
          </w:p>
        </w:tc>
        <w:tc>
          <w:tcPr>
            <w:tcW w:w="515" w:type="pct"/>
            <w:gridSpan w:val="2"/>
            <w:vAlign w:val="bottom"/>
          </w:tcPr>
          <w:p w14:paraId="34FEED97" w14:textId="77777777" w:rsidR="00D10DAF" w:rsidRPr="00DD19DA" w:rsidRDefault="00D10DAF" w:rsidP="00DD19DA">
            <w:pPr>
              <w:pStyle w:val="Columnheader"/>
              <w:tabs>
                <w:tab w:val="clear" w:pos="1503"/>
              </w:tabs>
              <w:spacing w:line="233" w:lineRule="auto"/>
              <w:ind w:right="0"/>
              <w:jc w:val="right"/>
              <w:rPr>
                <w:rFonts w:cs="Arial"/>
                <w:b w:val="0"/>
                <w:bCs/>
                <w:szCs w:val="18"/>
              </w:rPr>
            </w:pPr>
          </w:p>
        </w:tc>
        <w:tc>
          <w:tcPr>
            <w:tcW w:w="588" w:type="pct"/>
          </w:tcPr>
          <w:p w14:paraId="32ED9186" w14:textId="77777777" w:rsidR="00D10DAF" w:rsidRPr="00DD19DA" w:rsidRDefault="00D10DAF" w:rsidP="00DD19DA">
            <w:pPr>
              <w:pStyle w:val="Columnheader"/>
              <w:tabs>
                <w:tab w:val="clear" w:pos="1503"/>
              </w:tabs>
              <w:spacing w:line="233" w:lineRule="auto"/>
              <w:ind w:right="0"/>
              <w:jc w:val="right"/>
              <w:rPr>
                <w:rFonts w:cs="Arial"/>
                <w:b w:val="0"/>
                <w:bCs/>
                <w:szCs w:val="18"/>
              </w:rPr>
            </w:pPr>
          </w:p>
        </w:tc>
        <w:tc>
          <w:tcPr>
            <w:tcW w:w="515" w:type="pct"/>
            <w:vAlign w:val="bottom"/>
          </w:tcPr>
          <w:p w14:paraId="5EF48916" w14:textId="77777777" w:rsidR="00D10DAF" w:rsidRPr="00DD19DA" w:rsidRDefault="00D10DAF" w:rsidP="00DD19DA">
            <w:pPr>
              <w:pStyle w:val="Columnheader"/>
              <w:tabs>
                <w:tab w:val="clear" w:pos="1503"/>
              </w:tabs>
              <w:spacing w:line="233" w:lineRule="auto"/>
              <w:ind w:right="0"/>
              <w:jc w:val="right"/>
              <w:rPr>
                <w:rFonts w:cs="Arial"/>
                <w:b w:val="0"/>
                <w:bCs/>
                <w:szCs w:val="18"/>
              </w:rPr>
            </w:pPr>
          </w:p>
        </w:tc>
        <w:tc>
          <w:tcPr>
            <w:tcW w:w="514" w:type="pct"/>
            <w:gridSpan w:val="2"/>
            <w:vAlign w:val="bottom"/>
          </w:tcPr>
          <w:p w14:paraId="663BEECD" w14:textId="77777777" w:rsidR="00D10DAF" w:rsidRPr="00DD19DA" w:rsidRDefault="00D10DAF" w:rsidP="00DD19DA">
            <w:pPr>
              <w:pStyle w:val="Columnheader"/>
              <w:tabs>
                <w:tab w:val="clear" w:pos="1503"/>
              </w:tabs>
              <w:spacing w:line="233" w:lineRule="auto"/>
              <w:ind w:right="0"/>
              <w:jc w:val="right"/>
              <w:rPr>
                <w:rFonts w:cs="Arial"/>
                <w:b w:val="0"/>
                <w:bCs/>
                <w:szCs w:val="18"/>
              </w:rPr>
            </w:pPr>
          </w:p>
        </w:tc>
        <w:tc>
          <w:tcPr>
            <w:tcW w:w="548" w:type="pct"/>
          </w:tcPr>
          <w:p w14:paraId="24451833" w14:textId="77777777" w:rsidR="00D10DAF" w:rsidRPr="00DD19DA" w:rsidRDefault="00D10DAF" w:rsidP="00DD19DA">
            <w:pPr>
              <w:pStyle w:val="Columnheader"/>
              <w:tabs>
                <w:tab w:val="clear" w:pos="1503"/>
              </w:tabs>
              <w:spacing w:line="233" w:lineRule="auto"/>
              <w:ind w:right="0"/>
              <w:jc w:val="right"/>
              <w:rPr>
                <w:rFonts w:cs="Arial"/>
                <w:b w:val="0"/>
                <w:bCs/>
                <w:szCs w:val="18"/>
              </w:rPr>
            </w:pPr>
          </w:p>
        </w:tc>
        <w:tc>
          <w:tcPr>
            <w:tcW w:w="482" w:type="pct"/>
            <w:vAlign w:val="bottom"/>
          </w:tcPr>
          <w:p w14:paraId="09BE1B52" w14:textId="77777777" w:rsidR="00D10DAF" w:rsidRPr="00DD19DA" w:rsidRDefault="00D10DAF" w:rsidP="00DD19DA">
            <w:pPr>
              <w:pStyle w:val="Columnheader"/>
              <w:tabs>
                <w:tab w:val="clear" w:pos="1503"/>
              </w:tabs>
              <w:spacing w:line="233" w:lineRule="auto"/>
              <w:ind w:right="0"/>
              <w:jc w:val="right"/>
              <w:rPr>
                <w:rFonts w:cs="Arial"/>
                <w:b w:val="0"/>
                <w:bCs/>
                <w:szCs w:val="18"/>
              </w:rPr>
            </w:pPr>
          </w:p>
        </w:tc>
      </w:tr>
      <w:tr w:rsidR="00DD19DA" w:rsidRPr="00DD19DA" w14:paraId="596688D8" w14:textId="77777777" w:rsidTr="00DD19DA">
        <w:trPr>
          <w:trHeight w:val="227"/>
        </w:trPr>
        <w:tc>
          <w:tcPr>
            <w:tcW w:w="1838" w:type="pct"/>
            <w:gridSpan w:val="2"/>
            <w:vAlign w:val="bottom"/>
          </w:tcPr>
          <w:p w14:paraId="4C10F8CD" w14:textId="77777777" w:rsidR="00D10DAF" w:rsidRPr="00DD19DA" w:rsidRDefault="00D10DAF" w:rsidP="00DD19DA">
            <w:pPr>
              <w:pStyle w:val="Columnheader"/>
              <w:tabs>
                <w:tab w:val="clear" w:pos="1503"/>
              </w:tabs>
              <w:spacing w:line="233" w:lineRule="auto"/>
              <w:ind w:right="0"/>
              <w:rPr>
                <w:rFonts w:cs="Arial"/>
                <w:b w:val="0"/>
                <w:bCs/>
                <w:szCs w:val="18"/>
              </w:rPr>
            </w:pPr>
            <w:proofErr w:type="spellStart"/>
            <w:r w:rsidRPr="00DD19DA">
              <w:rPr>
                <w:rFonts w:cs="Arial"/>
                <w:b w:val="0"/>
                <w:bCs/>
                <w:szCs w:val="18"/>
              </w:rPr>
              <w:t>Záväzky</w:t>
            </w:r>
            <w:proofErr w:type="spellEnd"/>
            <w:r w:rsidRPr="00DD19DA">
              <w:rPr>
                <w:rFonts w:cs="Arial"/>
                <w:b w:val="0"/>
                <w:bCs/>
                <w:szCs w:val="18"/>
              </w:rPr>
              <w:t xml:space="preserve"> z </w:t>
            </w:r>
            <w:proofErr w:type="spellStart"/>
            <w:r w:rsidRPr="00DD19DA">
              <w:rPr>
                <w:rFonts w:cs="Arial"/>
                <w:b w:val="0"/>
                <w:bCs/>
                <w:szCs w:val="18"/>
              </w:rPr>
              <w:t>obch</w:t>
            </w:r>
            <w:proofErr w:type="spellEnd"/>
            <w:r w:rsidRPr="00DD19DA">
              <w:rPr>
                <w:rFonts w:cs="Arial"/>
                <w:b w:val="0"/>
                <w:bCs/>
                <w:szCs w:val="18"/>
              </w:rPr>
              <w:t xml:space="preserve">. </w:t>
            </w:r>
            <w:proofErr w:type="spellStart"/>
            <w:r w:rsidRPr="00DD19DA">
              <w:rPr>
                <w:rFonts w:cs="Arial"/>
                <w:b w:val="0"/>
                <w:bCs/>
                <w:szCs w:val="18"/>
              </w:rPr>
              <w:t>styku</w:t>
            </w:r>
            <w:proofErr w:type="spellEnd"/>
            <w:r w:rsidRPr="00DD19DA">
              <w:rPr>
                <w:rFonts w:cs="Arial"/>
                <w:b w:val="0"/>
                <w:bCs/>
                <w:szCs w:val="18"/>
              </w:rPr>
              <w:t xml:space="preserve"> </w:t>
            </w:r>
            <w:proofErr w:type="gramStart"/>
            <w:r w:rsidRPr="00DD19DA">
              <w:rPr>
                <w:rFonts w:cs="Arial"/>
                <w:b w:val="0"/>
                <w:bCs/>
                <w:szCs w:val="18"/>
              </w:rPr>
              <w:t>a</w:t>
            </w:r>
            <w:proofErr w:type="gramEnd"/>
            <w:r w:rsidRPr="00DD19DA">
              <w:rPr>
                <w:rFonts w:cs="Arial"/>
                <w:b w:val="0"/>
                <w:bCs/>
                <w:szCs w:val="18"/>
              </w:rPr>
              <w:t> </w:t>
            </w:r>
            <w:proofErr w:type="spellStart"/>
            <w:r w:rsidRPr="00DD19DA">
              <w:rPr>
                <w:rFonts w:cs="Arial"/>
                <w:b w:val="0"/>
                <w:bCs/>
                <w:szCs w:val="18"/>
              </w:rPr>
              <w:t>iné</w:t>
            </w:r>
            <w:proofErr w:type="spellEnd"/>
            <w:r w:rsidRPr="00DD19DA">
              <w:rPr>
                <w:rFonts w:cs="Arial"/>
                <w:b w:val="0"/>
                <w:bCs/>
                <w:szCs w:val="18"/>
              </w:rPr>
              <w:t xml:space="preserve"> </w:t>
            </w:r>
            <w:proofErr w:type="spellStart"/>
            <w:r w:rsidRPr="00DD19DA">
              <w:rPr>
                <w:rFonts w:cs="Arial"/>
                <w:b w:val="0"/>
                <w:bCs/>
                <w:szCs w:val="18"/>
              </w:rPr>
              <w:t>záväzky</w:t>
            </w:r>
            <w:proofErr w:type="spellEnd"/>
            <w:r w:rsidRPr="00DD19DA">
              <w:rPr>
                <w:rFonts w:cs="Arial"/>
                <w:b w:val="0"/>
                <w:bCs/>
                <w:szCs w:val="18"/>
              </w:rPr>
              <w:t xml:space="preserve"> (</w:t>
            </w:r>
            <w:proofErr w:type="spellStart"/>
            <w:r w:rsidRPr="00DD19DA">
              <w:rPr>
                <w:rFonts w:cs="Arial"/>
                <w:b w:val="0"/>
                <w:bCs/>
                <w:szCs w:val="18"/>
              </w:rPr>
              <w:t>Pozn</w:t>
            </w:r>
            <w:proofErr w:type="spellEnd"/>
            <w:r w:rsidRPr="00DD19DA">
              <w:rPr>
                <w:rFonts w:cs="Arial"/>
                <w:b w:val="0"/>
                <w:bCs/>
                <w:szCs w:val="18"/>
              </w:rPr>
              <w:t>. 18)</w:t>
            </w:r>
          </w:p>
        </w:tc>
        <w:tc>
          <w:tcPr>
            <w:tcW w:w="515" w:type="pct"/>
            <w:gridSpan w:val="2"/>
            <w:vAlign w:val="bottom"/>
          </w:tcPr>
          <w:p w14:paraId="4225BFAB" w14:textId="6B2E721F" w:rsidR="00D10DAF" w:rsidRPr="00DD19DA" w:rsidRDefault="0049047A" w:rsidP="00DD19DA">
            <w:pPr>
              <w:pStyle w:val="Columnheader"/>
              <w:tabs>
                <w:tab w:val="clear" w:pos="1503"/>
              </w:tabs>
              <w:spacing w:line="233" w:lineRule="auto"/>
              <w:ind w:right="0"/>
              <w:jc w:val="right"/>
              <w:rPr>
                <w:rFonts w:cs="Arial"/>
                <w:b w:val="0"/>
                <w:bCs/>
                <w:szCs w:val="18"/>
              </w:rPr>
            </w:pPr>
            <w:r w:rsidRPr="00DD19DA">
              <w:rPr>
                <w:rFonts w:cs="Arial"/>
                <w:b w:val="0"/>
                <w:bCs/>
                <w:szCs w:val="18"/>
              </w:rPr>
              <w:t>34 988</w:t>
            </w:r>
          </w:p>
        </w:tc>
        <w:tc>
          <w:tcPr>
            <w:tcW w:w="588" w:type="pct"/>
          </w:tcPr>
          <w:p w14:paraId="22BD5559" w14:textId="77777777" w:rsidR="00D10DAF" w:rsidRPr="00DD19DA" w:rsidRDefault="00D10DAF" w:rsidP="00DD19DA">
            <w:pPr>
              <w:pStyle w:val="Columnheader"/>
              <w:tabs>
                <w:tab w:val="clear" w:pos="1503"/>
              </w:tabs>
              <w:spacing w:line="233" w:lineRule="auto"/>
              <w:ind w:right="0"/>
              <w:jc w:val="right"/>
              <w:rPr>
                <w:rFonts w:cs="Arial"/>
                <w:b w:val="0"/>
                <w:bCs/>
                <w:szCs w:val="18"/>
              </w:rPr>
            </w:pPr>
          </w:p>
          <w:p w14:paraId="7A383886" w14:textId="54800183" w:rsidR="000B5B22" w:rsidRPr="00DD19DA" w:rsidRDefault="000B5B22" w:rsidP="00DD19DA">
            <w:pPr>
              <w:pStyle w:val="Columnheader"/>
              <w:tabs>
                <w:tab w:val="clear" w:pos="1503"/>
              </w:tabs>
              <w:spacing w:line="233" w:lineRule="auto"/>
              <w:ind w:right="0"/>
              <w:jc w:val="right"/>
              <w:rPr>
                <w:rFonts w:cs="Arial"/>
                <w:b w:val="0"/>
                <w:bCs/>
                <w:szCs w:val="18"/>
              </w:rPr>
            </w:pPr>
            <w:r w:rsidRPr="00DD19DA">
              <w:rPr>
                <w:rFonts w:cs="Arial"/>
                <w:b w:val="0"/>
                <w:bCs/>
                <w:szCs w:val="18"/>
              </w:rPr>
              <w:t>-</w:t>
            </w:r>
          </w:p>
        </w:tc>
        <w:tc>
          <w:tcPr>
            <w:tcW w:w="515" w:type="pct"/>
            <w:vAlign w:val="bottom"/>
          </w:tcPr>
          <w:p w14:paraId="59DD58F3" w14:textId="38B9BA44" w:rsidR="00D10DAF" w:rsidRPr="00DD19DA" w:rsidRDefault="0049047A" w:rsidP="00DD19DA">
            <w:pPr>
              <w:pStyle w:val="Columnheader"/>
              <w:tabs>
                <w:tab w:val="clear" w:pos="1503"/>
              </w:tabs>
              <w:spacing w:line="233" w:lineRule="auto"/>
              <w:ind w:right="0"/>
              <w:jc w:val="right"/>
              <w:rPr>
                <w:rFonts w:cs="Arial"/>
                <w:b w:val="0"/>
                <w:bCs/>
                <w:szCs w:val="18"/>
              </w:rPr>
            </w:pPr>
            <w:r w:rsidRPr="00DD19DA">
              <w:rPr>
                <w:rFonts w:cs="Arial"/>
                <w:b w:val="0"/>
                <w:bCs/>
                <w:szCs w:val="18"/>
              </w:rPr>
              <w:t>34 988</w:t>
            </w:r>
          </w:p>
        </w:tc>
        <w:tc>
          <w:tcPr>
            <w:tcW w:w="514" w:type="pct"/>
            <w:gridSpan w:val="2"/>
            <w:vAlign w:val="bottom"/>
          </w:tcPr>
          <w:p w14:paraId="1BAA4E40" w14:textId="4A0E0CFD" w:rsidR="00D10DAF" w:rsidRPr="00DD19DA" w:rsidRDefault="00D10DAF" w:rsidP="00DD19DA">
            <w:pPr>
              <w:pStyle w:val="Columnheader"/>
              <w:tabs>
                <w:tab w:val="clear" w:pos="1503"/>
              </w:tabs>
              <w:spacing w:line="233" w:lineRule="auto"/>
              <w:ind w:right="0"/>
              <w:jc w:val="right"/>
              <w:rPr>
                <w:rFonts w:cs="Arial"/>
                <w:b w:val="0"/>
                <w:bCs/>
                <w:szCs w:val="18"/>
              </w:rPr>
            </w:pPr>
            <w:r w:rsidRPr="00DD19DA">
              <w:rPr>
                <w:rFonts w:cs="Arial"/>
                <w:b w:val="0"/>
                <w:bCs/>
                <w:szCs w:val="18"/>
              </w:rPr>
              <w:t>2</w:t>
            </w:r>
            <w:r w:rsidR="000B5B22" w:rsidRPr="00DD19DA">
              <w:rPr>
                <w:rFonts w:cs="Arial"/>
                <w:b w:val="0"/>
                <w:bCs/>
                <w:szCs w:val="18"/>
              </w:rPr>
              <w:t>9 317</w:t>
            </w:r>
          </w:p>
        </w:tc>
        <w:tc>
          <w:tcPr>
            <w:tcW w:w="548" w:type="pct"/>
          </w:tcPr>
          <w:p w14:paraId="6F88BD45" w14:textId="77777777" w:rsidR="00D10DAF" w:rsidRPr="00DD19DA" w:rsidRDefault="00D10DAF" w:rsidP="00DD19DA">
            <w:pPr>
              <w:pStyle w:val="Columnheader"/>
              <w:tabs>
                <w:tab w:val="clear" w:pos="1503"/>
              </w:tabs>
              <w:spacing w:line="233" w:lineRule="auto"/>
              <w:ind w:right="0"/>
              <w:jc w:val="right"/>
              <w:rPr>
                <w:rFonts w:cs="Arial"/>
                <w:b w:val="0"/>
                <w:bCs/>
                <w:szCs w:val="18"/>
              </w:rPr>
            </w:pPr>
          </w:p>
          <w:p w14:paraId="6BD1FFF7" w14:textId="77777777" w:rsidR="00D10DAF" w:rsidRPr="00DD19DA" w:rsidRDefault="00D10DAF" w:rsidP="00DD19DA">
            <w:pPr>
              <w:pStyle w:val="Columnheader"/>
              <w:tabs>
                <w:tab w:val="clear" w:pos="1503"/>
              </w:tabs>
              <w:spacing w:line="233" w:lineRule="auto"/>
              <w:ind w:right="0"/>
              <w:jc w:val="right"/>
              <w:rPr>
                <w:rFonts w:cs="Arial"/>
                <w:b w:val="0"/>
                <w:bCs/>
                <w:szCs w:val="18"/>
              </w:rPr>
            </w:pPr>
            <w:r w:rsidRPr="00DD19DA">
              <w:rPr>
                <w:rFonts w:cs="Arial"/>
                <w:b w:val="0"/>
                <w:bCs/>
                <w:szCs w:val="18"/>
              </w:rPr>
              <w:t>-</w:t>
            </w:r>
          </w:p>
        </w:tc>
        <w:tc>
          <w:tcPr>
            <w:tcW w:w="482" w:type="pct"/>
            <w:vAlign w:val="bottom"/>
          </w:tcPr>
          <w:p w14:paraId="7255A954" w14:textId="48037DC7" w:rsidR="00D10DAF" w:rsidRPr="00DD19DA" w:rsidRDefault="000B5B22" w:rsidP="00DD19DA">
            <w:pPr>
              <w:pStyle w:val="Columnheader"/>
              <w:tabs>
                <w:tab w:val="clear" w:pos="1503"/>
              </w:tabs>
              <w:spacing w:line="233" w:lineRule="auto"/>
              <w:ind w:right="0"/>
              <w:jc w:val="right"/>
              <w:rPr>
                <w:rFonts w:cs="Arial"/>
                <w:b w:val="0"/>
                <w:bCs/>
                <w:szCs w:val="18"/>
              </w:rPr>
            </w:pPr>
            <w:r w:rsidRPr="00DD19DA">
              <w:rPr>
                <w:rFonts w:cs="Arial"/>
                <w:b w:val="0"/>
                <w:bCs/>
                <w:szCs w:val="18"/>
              </w:rPr>
              <w:t>29 317</w:t>
            </w:r>
          </w:p>
        </w:tc>
      </w:tr>
      <w:tr w:rsidR="00DD19DA" w:rsidRPr="00DD19DA" w14:paraId="6390B6DA" w14:textId="77777777" w:rsidTr="00DD19DA">
        <w:trPr>
          <w:trHeight w:val="227"/>
        </w:trPr>
        <w:tc>
          <w:tcPr>
            <w:tcW w:w="1838" w:type="pct"/>
            <w:gridSpan w:val="2"/>
            <w:vAlign w:val="bottom"/>
          </w:tcPr>
          <w:p w14:paraId="4D9CA4CE" w14:textId="77777777" w:rsidR="00D10DAF" w:rsidRPr="00DD19DA" w:rsidRDefault="00D10DAF" w:rsidP="00DD19DA">
            <w:pPr>
              <w:pStyle w:val="Columnheader"/>
              <w:tabs>
                <w:tab w:val="clear" w:pos="1503"/>
              </w:tabs>
              <w:spacing w:line="233" w:lineRule="auto"/>
              <w:ind w:right="0"/>
              <w:rPr>
                <w:rFonts w:cs="Arial"/>
                <w:b w:val="0"/>
                <w:bCs/>
                <w:szCs w:val="18"/>
              </w:rPr>
            </w:pPr>
            <w:proofErr w:type="spellStart"/>
            <w:r w:rsidRPr="00DD19DA">
              <w:rPr>
                <w:rFonts w:cs="Arial"/>
                <w:b w:val="0"/>
                <w:bCs/>
                <w:szCs w:val="18"/>
              </w:rPr>
              <w:t>Záväzky</w:t>
            </w:r>
            <w:proofErr w:type="spellEnd"/>
            <w:r w:rsidRPr="00DD19DA">
              <w:rPr>
                <w:rFonts w:cs="Arial"/>
                <w:b w:val="0"/>
                <w:bCs/>
                <w:szCs w:val="18"/>
              </w:rPr>
              <w:t xml:space="preserve"> z </w:t>
            </w:r>
            <w:proofErr w:type="spellStart"/>
            <w:r w:rsidRPr="00DD19DA">
              <w:rPr>
                <w:rFonts w:cs="Arial"/>
                <w:b w:val="0"/>
                <w:bCs/>
                <w:szCs w:val="18"/>
              </w:rPr>
              <w:t>finančného</w:t>
            </w:r>
            <w:proofErr w:type="spellEnd"/>
            <w:r w:rsidRPr="00DD19DA">
              <w:rPr>
                <w:rFonts w:cs="Arial"/>
                <w:b w:val="0"/>
                <w:bCs/>
                <w:szCs w:val="18"/>
              </w:rPr>
              <w:t xml:space="preserve"> </w:t>
            </w:r>
            <w:proofErr w:type="spellStart"/>
            <w:r w:rsidRPr="00DD19DA">
              <w:rPr>
                <w:rFonts w:cs="Arial"/>
                <w:b w:val="0"/>
                <w:bCs/>
                <w:szCs w:val="18"/>
              </w:rPr>
              <w:t>lízingu</w:t>
            </w:r>
            <w:proofErr w:type="spellEnd"/>
            <w:r w:rsidRPr="00DD19DA">
              <w:rPr>
                <w:rFonts w:cs="Arial"/>
                <w:b w:val="0"/>
                <w:bCs/>
                <w:szCs w:val="18"/>
              </w:rPr>
              <w:t xml:space="preserve"> (</w:t>
            </w:r>
            <w:proofErr w:type="spellStart"/>
            <w:r w:rsidRPr="00DD19DA">
              <w:rPr>
                <w:rFonts w:cs="Arial"/>
                <w:b w:val="0"/>
                <w:bCs/>
                <w:szCs w:val="18"/>
              </w:rPr>
              <w:t>Pozn</w:t>
            </w:r>
            <w:proofErr w:type="spellEnd"/>
            <w:r w:rsidRPr="00DD19DA">
              <w:rPr>
                <w:rFonts w:cs="Arial"/>
                <w:b w:val="0"/>
                <w:bCs/>
                <w:szCs w:val="18"/>
              </w:rPr>
              <w:t>. 15)</w:t>
            </w:r>
          </w:p>
        </w:tc>
        <w:tc>
          <w:tcPr>
            <w:tcW w:w="515" w:type="pct"/>
            <w:gridSpan w:val="2"/>
            <w:vAlign w:val="bottom"/>
          </w:tcPr>
          <w:p w14:paraId="0D6B409D" w14:textId="42F92610" w:rsidR="00D10DAF" w:rsidRPr="00DD19DA" w:rsidRDefault="00D10DAF" w:rsidP="00DD19DA">
            <w:pPr>
              <w:pStyle w:val="Columnheader"/>
              <w:tabs>
                <w:tab w:val="clear" w:pos="1503"/>
              </w:tabs>
              <w:spacing w:line="233" w:lineRule="auto"/>
              <w:ind w:right="0"/>
              <w:jc w:val="right"/>
              <w:rPr>
                <w:rFonts w:cs="Arial"/>
                <w:b w:val="0"/>
                <w:bCs/>
                <w:szCs w:val="18"/>
              </w:rPr>
            </w:pPr>
          </w:p>
        </w:tc>
        <w:tc>
          <w:tcPr>
            <w:tcW w:w="588" w:type="pct"/>
          </w:tcPr>
          <w:p w14:paraId="15DB98A4" w14:textId="77777777" w:rsidR="00D10DAF" w:rsidRPr="00DD19DA" w:rsidRDefault="00D10DAF" w:rsidP="00DD19DA">
            <w:pPr>
              <w:pStyle w:val="Columnheader"/>
              <w:tabs>
                <w:tab w:val="clear" w:pos="1503"/>
              </w:tabs>
              <w:spacing w:line="233" w:lineRule="auto"/>
              <w:ind w:right="0"/>
              <w:jc w:val="right"/>
              <w:rPr>
                <w:rFonts w:cs="Arial"/>
                <w:b w:val="0"/>
                <w:bCs/>
                <w:szCs w:val="18"/>
              </w:rPr>
            </w:pPr>
          </w:p>
          <w:p w14:paraId="5279E14F" w14:textId="77D1A7E3" w:rsidR="000B5B22" w:rsidRPr="00DD19DA" w:rsidRDefault="001867A1" w:rsidP="00DD19DA">
            <w:pPr>
              <w:pStyle w:val="Columnheader"/>
              <w:tabs>
                <w:tab w:val="clear" w:pos="1503"/>
              </w:tabs>
              <w:spacing w:line="233" w:lineRule="auto"/>
              <w:ind w:right="0"/>
              <w:jc w:val="right"/>
              <w:rPr>
                <w:rFonts w:cs="Arial"/>
                <w:b w:val="0"/>
                <w:bCs/>
                <w:szCs w:val="18"/>
              </w:rPr>
            </w:pPr>
            <w:r w:rsidRPr="00DD19DA">
              <w:rPr>
                <w:rFonts w:cs="Arial"/>
                <w:b w:val="0"/>
                <w:bCs/>
                <w:szCs w:val="18"/>
              </w:rPr>
              <w:t>538</w:t>
            </w:r>
          </w:p>
        </w:tc>
        <w:tc>
          <w:tcPr>
            <w:tcW w:w="515" w:type="pct"/>
            <w:vAlign w:val="bottom"/>
          </w:tcPr>
          <w:p w14:paraId="28C57256" w14:textId="2DBA931F" w:rsidR="00D10DAF" w:rsidRPr="00DD19DA" w:rsidRDefault="001867A1" w:rsidP="00DD19DA">
            <w:pPr>
              <w:pStyle w:val="Columnheader"/>
              <w:tabs>
                <w:tab w:val="clear" w:pos="1503"/>
              </w:tabs>
              <w:spacing w:line="233" w:lineRule="auto"/>
              <w:ind w:right="0"/>
              <w:jc w:val="right"/>
              <w:rPr>
                <w:rFonts w:cs="Arial"/>
                <w:b w:val="0"/>
                <w:bCs/>
                <w:szCs w:val="18"/>
              </w:rPr>
            </w:pPr>
            <w:r w:rsidRPr="00DD19DA">
              <w:rPr>
                <w:rFonts w:cs="Arial"/>
                <w:b w:val="0"/>
                <w:bCs/>
                <w:szCs w:val="18"/>
              </w:rPr>
              <w:t>538</w:t>
            </w:r>
          </w:p>
        </w:tc>
        <w:tc>
          <w:tcPr>
            <w:tcW w:w="514" w:type="pct"/>
            <w:gridSpan w:val="2"/>
            <w:vAlign w:val="bottom"/>
          </w:tcPr>
          <w:p w14:paraId="39C01087" w14:textId="77777777" w:rsidR="00D10DAF" w:rsidRPr="00DD19DA" w:rsidRDefault="00D10DAF" w:rsidP="00DD19DA">
            <w:pPr>
              <w:pStyle w:val="Columnheader"/>
              <w:tabs>
                <w:tab w:val="clear" w:pos="1503"/>
              </w:tabs>
              <w:spacing w:line="233" w:lineRule="auto"/>
              <w:ind w:right="0"/>
              <w:jc w:val="right"/>
              <w:rPr>
                <w:rFonts w:cs="Arial"/>
                <w:b w:val="0"/>
                <w:bCs/>
                <w:szCs w:val="18"/>
              </w:rPr>
            </w:pPr>
            <w:r w:rsidRPr="00DD19DA">
              <w:rPr>
                <w:rFonts w:cs="Arial"/>
                <w:b w:val="0"/>
                <w:bCs/>
                <w:szCs w:val="18"/>
              </w:rPr>
              <w:t>-</w:t>
            </w:r>
          </w:p>
        </w:tc>
        <w:tc>
          <w:tcPr>
            <w:tcW w:w="548" w:type="pct"/>
          </w:tcPr>
          <w:p w14:paraId="1846E93B" w14:textId="77777777" w:rsidR="00D10DAF" w:rsidRPr="00DD19DA" w:rsidRDefault="00D10DAF" w:rsidP="00DD19DA">
            <w:pPr>
              <w:pStyle w:val="Columnheader"/>
              <w:tabs>
                <w:tab w:val="clear" w:pos="1503"/>
              </w:tabs>
              <w:spacing w:line="233" w:lineRule="auto"/>
              <w:ind w:right="0"/>
              <w:jc w:val="right"/>
              <w:rPr>
                <w:rFonts w:cs="Arial"/>
                <w:b w:val="0"/>
                <w:bCs/>
                <w:szCs w:val="18"/>
              </w:rPr>
            </w:pPr>
          </w:p>
          <w:p w14:paraId="736E3C45" w14:textId="52A92D12" w:rsidR="00D10DAF" w:rsidRPr="00DD19DA" w:rsidRDefault="000B5B22" w:rsidP="00DD19DA">
            <w:pPr>
              <w:pStyle w:val="Columnheader"/>
              <w:tabs>
                <w:tab w:val="clear" w:pos="1503"/>
              </w:tabs>
              <w:spacing w:line="233" w:lineRule="auto"/>
              <w:ind w:right="0"/>
              <w:jc w:val="right"/>
              <w:rPr>
                <w:rFonts w:cs="Arial"/>
                <w:b w:val="0"/>
                <w:bCs/>
                <w:szCs w:val="18"/>
              </w:rPr>
            </w:pPr>
            <w:r w:rsidRPr="00DD19DA">
              <w:rPr>
                <w:rFonts w:cs="Arial"/>
                <w:b w:val="0"/>
                <w:bCs/>
                <w:szCs w:val="18"/>
              </w:rPr>
              <w:t>849</w:t>
            </w:r>
          </w:p>
        </w:tc>
        <w:tc>
          <w:tcPr>
            <w:tcW w:w="482" w:type="pct"/>
            <w:vAlign w:val="bottom"/>
          </w:tcPr>
          <w:p w14:paraId="670B19FA" w14:textId="74FD9698" w:rsidR="00D10DAF" w:rsidRPr="00DD19DA" w:rsidRDefault="000B5B22" w:rsidP="00DD19DA">
            <w:pPr>
              <w:pStyle w:val="Columnheader"/>
              <w:tabs>
                <w:tab w:val="clear" w:pos="1503"/>
              </w:tabs>
              <w:spacing w:line="233" w:lineRule="auto"/>
              <w:ind w:right="0"/>
              <w:jc w:val="right"/>
              <w:rPr>
                <w:rFonts w:cs="Arial"/>
                <w:b w:val="0"/>
                <w:bCs/>
                <w:szCs w:val="18"/>
              </w:rPr>
            </w:pPr>
            <w:r w:rsidRPr="00DD19DA">
              <w:rPr>
                <w:rFonts w:cs="Arial"/>
                <w:b w:val="0"/>
                <w:bCs/>
                <w:szCs w:val="18"/>
              </w:rPr>
              <w:t>849</w:t>
            </w:r>
          </w:p>
        </w:tc>
      </w:tr>
      <w:tr w:rsidR="00DD19DA" w:rsidRPr="00DD19DA" w14:paraId="2BC6CD35" w14:textId="77777777" w:rsidTr="00DD19DA">
        <w:trPr>
          <w:trHeight w:val="227"/>
        </w:trPr>
        <w:tc>
          <w:tcPr>
            <w:tcW w:w="1838" w:type="pct"/>
            <w:gridSpan w:val="2"/>
            <w:tcBorders>
              <w:bottom w:val="single" w:sz="4" w:space="0" w:color="auto"/>
            </w:tcBorders>
            <w:vAlign w:val="bottom"/>
          </w:tcPr>
          <w:p w14:paraId="41C3B9BD" w14:textId="77777777" w:rsidR="00D10DAF" w:rsidRPr="00DD19DA" w:rsidRDefault="00D10DAF" w:rsidP="00DD19DA">
            <w:pPr>
              <w:pStyle w:val="Columnheader"/>
              <w:tabs>
                <w:tab w:val="clear" w:pos="1503"/>
              </w:tabs>
              <w:spacing w:line="233" w:lineRule="auto"/>
              <w:ind w:right="0"/>
              <w:rPr>
                <w:rFonts w:cs="Arial"/>
                <w:b w:val="0"/>
                <w:bCs/>
                <w:szCs w:val="18"/>
              </w:rPr>
            </w:pPr>
            <w:proofErr w:type="spellStart"/>
            <w:r w:rsidRPr="00DD19DA">
              <w:rPr>
                <w:rFonts w:cs="Arial"/>
                <w:b w:val="0"/>
                <w:bCs/>
                <w:szCs w:val="18"/>
              </w:rPr>
              <w:t>Úvery</w:t>
            </w:r>
            <w:proofErr w:type="spellEnd"/>
            <w:r w:rsidRPr="00DD19DA">
              <w:rPr>
                <w:rFonts w:cs="Arial"/>
                <w:b w:val="0"/>
                <w:bCs/>
                <w:szCs w:val="18"/>
              </w:rPr>
              <w:t xml:space="preserve"> a </w:t>
            </w:r>
            <w:proofErr w:type="spellStart"/>
            <w:r w:rsidRPr="00DD19DA">
              <w:rPr>
                <w:rFonts w:cs="Arial"/>
                <w:b w:val="0"/>
                <w:bCs/>
                <w:szCs w:val="18"/>
              </w:rPr>
              <w:t>pôžičky</w:t>
            </w:r>
            <w:proofErr w:type="spellEnd"/>
            <w:r w:rsidRPr="00DD19DA">
              <w:rPr>
                <w:rFonts w:cs="Arial"/>
                <w:b w:val="0"/>
                <w:bCs/>
                <w:szCs w:val="18"/>
              </w:rPr>
              <w:t xml:space="preserve"> (</w:t>
            </w:r>
            <w:proofErr w:type="spellStart"/>
            <w:r w:rsidRPr="00DD19DA">
              <w:rPr>
                <w:rFonts w:cs="Arial"/>
                <w:b w:val="0"/>
                <w:bCs/>
                <w:szCs w:val="18"/>
              </w:rPr>
              <w:t>Pozn</w:t>
            </w:r>
            <w:proofErr w:type="spellEnd"/>
            <w:r w:rsidRPr="00DD19DA">
              <w:rPr>
                <w:rFonts w:cs="Arial"/>
                <w:b w:val="0"/>
                <w:bCs/>
                <w:szCs w:val="18"/>
              </w:rPr>
              <w:t>. 15)</w:t>
            </w:r>
          </w:p>
        </w:tc>
        <w:tc>
          <w:tcPr>
            <w:tcW w:w="515" w:type="pct"/>
            <w:gridSpan w:val="2"/>
            <w:tcBorders>
              <w:bottom w:val="single" w:sz="4" w:space="0" w:color="auto"/>
            </w:tcBorders>
            <w:vAlign w:val="bottom"/>
          </w:tcPr>
          <w:p w14:paraId="0CB95AC2" w14:textId="7532529A" w:rsidR="00D10DAF" w:rsidRPr="00DD19DA" w:rsidRDefault="00D10DAF" w:rsidP="00DD19DA">
            <w:pPr>
              <w:pStyle w:val="Columnheader"/>
              <w:tabs>
                <w:tab w:val="clear" w:pos="1503"/>
              </w:tabs>
              <w:spacing w:line="233" w:lineRule="auto"/>
              <w:ind w:right="0"/>
              <w:jc w:val="right"/>
              <w:rPr>
                <w:rFonts w:cs="Arial"/>
                <w:b w:val="0"/>
                <w:bCs/>
                <w:szCs w:val="18"/>
              </w:rPr>
            </w:pPr>
          </w:p>
        </w:tc>
        <w:tc>
          <w:tcPr>
            <w:tcW w:w="588" w:type="pct"/>
            <w:tcBorders>
              <w:bottom w:val="single" w:sz="4" w:space="0" w:color="auto"/>
            </w:tcBorders>
          </w:tcPr>
          <w:p w14:paraId="3DDB88D0" w14:textId="03201301" w:rsidR="00D10DAF" w:rsidRPr="00DD19DA" w:rsidRDefault="000B5B22" w:rsidP="00DD19DA">
            <w:pPr>
              <w:pStyle w:val="Columnheader"/>
              <w:tabs>
                <w:tab w:val="clear" w:pos="1503"/>
              </w:tabs>
              <w:spacing w:line="233" w:lineRule="auto"/>
              <w:ind w:right="0"/>
              <w:jc w:val="right"/>
              <w:rPr>
                <w:rFonts w:cs="Arial"/>
                <w:b w:val="0"/>
                <w:bCs/>
                <w:szCs w:val="18"/>
              </w:rPr>
            </w:pPr>
            <w:r w:rsidRPr="00DD19DA">
              <w:rPr>
                <w:rFonts w:cs="Arial"/>
                <w:b w:val="0"/>
                <w:bCs/>
                <w:szCs w:val="18"/>
              </w:rPr>
              <w:t>37 323</w:t>
            </w:r>
          </w:p>
        </w:tc>
        <w:tc>
          <w:tcPr>
            <w:tcW w:w="515" w:type="pct"/>
            <w:tcBorders>
              <w:bottom w:val="single" w:sz="4" w:space="0" w:color="auto"/>
            </w:tcBorders>
            <w:vAlign w:val="bottom"/>
          </w:tcPr>
          <w:p w14:paraId="2A1C6037" w14:textId="6DFE9042" w:rsidR="00D10DAF" w:rsidRPr="00DD19DA" w:rsidRDefault="000B5B22" w:rsidP="00DD19DA">
            <w:pPr>
              <w:pStyle w:val="Columnheader"/>
              <w:tabs>
                <w:tab w:val="clear" w:pos="1503"/>
              </w:tabs>
              <w:spacing w:line="233" w:lineRule="auto"/>
              <w:ind w:right="0"/>
              <w:jc w:val="right"/>
              <w:rPr>
                <w:rFonts w:cs="Arial"/>
                <w:b w:val="0"/>
                <w:bCs/>
                <w:szCs w:val="18"/>
              </w:rPr>
            </w:pPr>
            <w:r w:rsidRPr="00DD19DA">
              <w:rPr>
                <w:rFonts w:cs="Arial"/>
                <w:b w:val="0"/>
                <w:bCs/>
                <w:szCs w:val="18"/>
              </w:rPr>
              <w:t>37 323</w:t>
            </w:r>
          </w:p>
        </w:tc>
        <w:tc>
          <w:tcPr>
            <w:tcW w:w="514" w:type="pct"/>
            <w:gridSpan w:val="2"/>
            <w:tcBorders>
              <w:bottom w:val="single" w:sz="4" w:space="0" w:color="auto"/>
            </w:tcBorders>
            <w:vAlign w:val="bottom"/>
          </w:tcPr>
          <w:p w14:paraId="1DA3F0DB" w14:textId="77777777" w:rsidR="00D10DAF" w:rsidRPr="00DD19DA" w:rsidRDefault="00D10DAF" w:rsidP="00DD19DA">
            <w:pPr>
              <w:pStyle w:val="Columnheader"/>
              <w:tabs>
                <w:tab w:val="clear" w:pos="1503"/>
              </w:tabs>
              <w:spacing w:line="233" w:lineRule="auto"/>
              <w:ind w:right="0"/>
              <w:jc w:val="right"/>
              <w:rPr>
                <w:rFonts w:cs="Arial"/>
                <w:b w:val="0"/>
                <w:bCs/>
                <w:szCs w:val="18"/>
              </w:rPr>
            </w:pPr>
            <w:r w:rsidRPr="00DD19DA">
              <w:rPr>
                <w:rFonts w:cs="Arial"/>
                <w:b w:val="0"/>
                <w:bCs/>
                <w:szCs w:val="18"/>
              </w:rPr>
              <w:t>-</w:t>
            </w:r>
          </w:p>
        </w:tc>
        <w:tc>
          <w:tcPr>
            <w:tcW w:w="548" w:type="pct"/>
            <w:tcBorders>
              <w:bottom w:val="single" w:sz="4" w:space="0" w:color="auto"/>
            </w:tcBorders>
          </w:tcPr>
          <w:p w14:paraId="355BB0FD" w14:textId="4BC9B936" w:rsidR="00D10DAF" w:rsidRPr="00DD19DA" w:rsidRDefault="00D10DAF" w:rsidP="00DD19DA">
            <w:pPr>
              <w:pStyle w:val="Columnheader"/>
              <w:tabs>
                <w:tab w:val="clear" w:pos="1503"/>
              </w:tabs>
              <w:spacing w:line="233" w:lineRule="auto"/>
              <w:ind w:right="0"/>
              <w:jc w:val="right"/>
              <w:rPr>
                <w:rFonts w:cs="Arial"/>
                <w:b w:val="0"/>
                <w:bCs/>
                <w:szCs w:val="18"/>
              </w:rPr>
            </w:pPr>
            <w:r w:rsidRPr="00DD19DA">
              <w:rPr>
                <w:rFonts w:cs="Arial"/>
                <w:b w:val="0"/>
                <w:bCs/>
                <w:szCs w:val="18"/>
              </w:rPr>
              <w:t>5</w:t>
            </w:r>
            <w:r w:rsidR="000B5B22" w:rsidRPr="00DD19DA">
              <w:rPr>
                <w:rFonts w:cs="Arial"/>
                <w:b w:val="0"/>
                <w:bCs/>
                <w:szCs w:val="18"/>
              </w:rPr>
              <w:t>7 734</w:t>
            </w:r>
          </w:p>
        </w:tc>
        <w:tc>
          <w:tcPr>
            <w:tcW w:w="482" w:type="pct"/>
            <w:tcBorders>
              <w:bottom w:val="single" w:sz="4" w:space="0" w:color="auto"/>
            </w:tcBorders>
            <w:vAlign w:val="bottom"/>
          </w:tcPr>
          <w:p w14:paraId="19A1B2ED" w14:textId="23179A53" w:rsidR="00D10DAF" w:rsidRPr="00DD19DA" w:rsidRDefault="00D10DAF" w:rsidP="00DD19DA">
            <w:pPr>
              <w:pStyle w:val="Columnheader"/>
              <w:tabs>
                <w:tab w:val="clear" w:pos="1503"/>
              </w:tabs>
              <w:spacing w:line="233" w:lineRule="auto"/>
              <w:ind w:right="0"/>
              <w:jc w:val="right"/>
              <w:rPr>
                <w:rFonts w:cs="Arial"/>
                <w:b w:val="0"/>
                <w:bCs/>
                <w:szCs w:val="18"/>
              </w:rPr>
            </w:pPr>
            <w:r w:rsidRPr="00DD19DA">
              <w:rPr>
                <w:rFonts w:cs="Arial"/>
                <w:b w:val="0"/>
                <w:bCs/>
                <w:szCs w:val="18"/>
              </w:rPr>
              <w:t>5</w:t>
            </w:r>
            <w:r w:rsidR="000B5B22" w:rsidRPr="00DD19DA">
              <w:rPr>
                <w:rFonts w:cs="Arial"/>
                <w:b w:val="0"/>
                <w:bCs/>
                <w:szCs w:val="18"/>
              </w:rPr>
              <w:t>7 734</w:t>
            </w:r>
          </w:p>
        </w:tc>
      </w:tr>
      <w:tr w:rsidR="00DD19DA" w:rsidRPr="00DD19DA" w14:paraId="5A3FAFB1" w14:textId="77777777" w:rsidTr="00DD19DA">
        <w:trPr>
          <w:trHeight w:val="227"/>
        </w:trPr>
        <w:tc>
          <w:tcPr>
            <w:tcW w:w="1838" w:type="pct"/>
            <w:gridSpan w:val="2"/>
            <w:tcBorders>
              <w:top w:val="single" w:sz="4" w:space="0" w:color="auto"/>
              <w:bottom w:val="double" w:sz="4" w:space="0" w:color="auto"/>
            </w:tcBorders>
            <w:vAlign w:val="bottom"/>
          </w:tcPr>
          <w:p w14:paraId="04BB3171" w14:textId="77777777" w:rsidR="00D10DAF" w:rsidRPr="00DD19DA" w:rsidRDefault="00D10DAF" w:rsidP="00DD19DA">
            <w:pPr>
              <w:pStyle w:val="Columnheader"/>
              <w:tabs>
                <w:tab w:val="clear" w:pos="1503"/>
              </w:tabs>
              <w:spacing w:line="233" w:lineRule="auto"/>
              <w:ind w:right="0"/>
              <w:rPr>
                <w:rFonts w:cs="Arial"/>
                <w:szCs w:val="18"/>
              </w:rPr>
            </w:pPr>
          </w:p>
          <w:p w14:paraId="1C645E98" w14:textId="77777777" w:rsidR="00D10DAF" w:rsidRPr="00DD19DA" w:rsidRDefault="00D10DAF" w:rsidP="00DD19DA">
            <w:pPr>
              <w:pStyle w:val="Columnheader"/>
              <w:tabs>
                <w:tab w:val="clear" w:pos="1503"/>
              </w:tabs>
              <w:spacing w:line="233" w:lineRule="auto"/>
              <w:ind w:right="0"/>
              <w:rPr>
                <w:rFonts w:cs="Arial"/>
                <w:szCs w:val="18"/>
                <w:lang w:val="sk-SK"/>
              </w:rPr>
            </w:pPr>
            <w:r w:rsidRPr="00DD19DA">
              <w:rPr>
                <w:rFonts w:cs="Arial"/>
                <w:szCs w:val="18"/>
                <w:lang w:val="sk-SK"/>
              </w:rPr>
              <w:t>Záväzky spolu</w:t>
            </w:r>
          </w:p>
        </w:tc>
        <w:tc>
          <w:tcPr>
            <w:tcW w:w="515" w:type="pct"/>
            <w:gridSpan w:val="2"/>
            <w:tcBorders>
              <w:top w:val="single" w:sz="4" w:space="0" w:color="auto"/>
              <w:bottom w:val="double" w:sz="4" w:space="0" w:color="auto"/>
            </w:tcBorders>
            <w:vAlign w:val="bottom"/>
          </w:tcPr>
          <w:p w14:paraId="518DBCF1" w14:textId="345F5012" w:rsidR="00D10DAF" w:rsidRPr="00DD19DA" w:rsidRDefault="000B5B22" w:rsidP="00DD19DA">
            <w:pPr>
              <w:pStyle w:val="Columnheader"/>
              <w:tabs>
                <w:tab w:val="clear" w:pos="1503"/>
              </w:tabs>
              <w:spacing w:line="233" w:lineRule="auto"/>
              <w:ind w:right="0"/>
              <w:jc w:val="right"/>
              <w:rPr>
                <w:rFonts w:cs="Arial"/>
                <w:szCs w:val="18"/>
                <w:lang w:val="sk-SK"/>
              </w:rPr>
            </w:pPr>
            <w:r w:rsidRPr="00DD19DA">
              <w:rPr>
                <w:rFonts w:cs="Arial"/>
                <w:szCs w:val="18"/>
                <w:lang w:val="sk-SK"/>
              </w:rPr>
              <w:t>3</w:t>
            </w:r>
            <w:r w:rsidR="0049047A" w:rsidRPr="00DD19DA">
              <w:rPr>
                <w:rFonts w:cs="Arial"/>
                <w:szCs w:val="18"/>
                <w:lang w:val="sk-SK"/>
              </w:rPr>
              <w:t>4 988</w:t>
            </w:r>
          </w:p>
        </w:tc>
        <w:tc>
          <w:tcPr>
            <w:tcW w:w="588" w:type="pct"/>
            <w:tcBorders>
              <w:top w:val="single" w:sz="4" w:space="0" w:color="auto"/>
              <w:bottom w:val="double" w:sz="4" w:space="0" w:color="auto"/>
            </w:tcBorders>
          </w:tcPr>
          <w:p w14:paraId="11D0E40D" w14:textId="77777777" w:rsidR="00D10DAF" w:rsidRPr="00DD19DA" w:rsidRDefault="00D10DAF" w:rsidP="00DD19DA">
            <w:pPr>
              <w:pStyle w:val="Columnheader"/>
              <w:tabs>
                <w:tab w:val="clear" w:pos="1503"/>
              </w:tabs>
              <w:spacing w:line="233" w:lineRule="auto"/>
              <w:ind w:right="0"/>
              <w:jc w:val="right"/>
              <w:rPr>
                <w:rFonts w:cs="Arial"/>
                <w:szCs w:val="18"/>
              </w:rPr>
            </w:pPr>
          </w:p>
          <w:p w14:paraId="322B136A" w14:textId="6CD7F8F9" w:rsidR="000B5B22" w:rsidRPr="00DD19DA" w:rsidRDefault="000B5B22" w:rsidP="00DD19DA">
            <w:pPr>
              <w:pStyle w:val="Columnheader"/>
              <w:tabs>
                <w:tab w:val="clear" w:pos="1503"/>
              </w:tabs>
              <w:spacing w:line="233" w:lineRule="auto"/>
              <w:ind w:right="0"/>
              <w:jc w:val="right"/>
              <w:rPr>
                <w:rFonts w:cs="Arial"/>
                <w:szCs w:val="18"/>
              </w:rPr>
            </w:pPr>
            <w:r w:rsidRPr="00DD19DA">
              <w:rPr>
                <w:rFonts w:cs="Arial"/>
                <w:szCs w:val="18"/>
              </w:rPr>
              <w:t xml:space="preserve">38 </w:t>
            </w:r>
            <w:r w:rsidR="001867A1" w:rsidRPr="00DD19DA">
              <w:rPr>
                <w:rFonts w:cs="Arial"/>
                <w:szCs w:val="18"/>
              </w:rPr>
              <w:t>861</w:t>
            </w:r>
          </w:p>
        </w:tc>
        <w:tc>
          <w:tcPr>
            <w:tcW w:w="515" w:type="pct"/>
            <w:tcBorders>
              <w:top w:val="single" w:sz="4" w:space="0" w:color="auto"/>
              <w:bottom w:val="double" w:sz="4" w:space="0" w:color="auto"/>
            </w:tcBorders>
            <w:vAlign w:val="bottom"/>
          </w:tcPr>
          <w:p w14:paraId="39948B85" w14:textId="424BE778" w:rsidR="00D10DAF" w:rsidRPr="00DD19DA" w:rsidRDefault="000B5B22" w:rsidP="00DD19DA">
            <w:pPr>
              <w:pStyle w:val="Columnheader"/>
              <w:tabs>
                <w:tab w:val="clear" w:pos="1503"/>
              </w:tabs>
              <w:spacing w:line="233" w:lineRule="auto"/>
              <w:ind w:right="0"/>
              <w:jc w:val="right"/>
              <w:rPr>
                <w:rFonts w:cs="Arial"/>
                <w:szCs w:val="18"/>
                <w:lang w:val="sk-SK"/>
              </w:rPr>
            </w:pPr>
            <w:r w:rsidRPr="00DD19DA">
              <w:rPr>
                <w:rFonts w:cs="Arial"/>
                <w:szCs w:val="18"/>
                <w:lang w:val="sk-SK"/>
              </w:rPr>
              <w:t xml:space="preserve">73 </w:t>
            </w:r>
            <w:r w:rsidR="001867A1" w:rsidRPr="00DD19DA">
              <w:rPr>
                <w:rFonts w:cs="Arial"/>
                <w:szCs w:val="18"/>
                <w:lang w:val="sk-SK"/>
              </w:rPr>
              <w:t>8</w:t>
            </w:r>
            <w:r w:rsidR="0049047A" w:rsidRPr="00DD19DA">
              <w:rPr>
                <w:rFonts w:cs="Arial"/>
                <w:szCs w:val="18"/>
                <w:lang w:val="sk-SK"/>
              </w:rPr>
              <w:t>49</w:t>
            </w:r>
          </w:p>
        </w:tc>
        <w:tc>
          <w:tcPr>
            <w:tcW w:w="514" w:type="pct"/>
            <w:gridSpan w:val="2"/>
            <w:tcBorders>
              <w:top w:val="single" w:sz="4" w:space="0" w:color="auto"/>
              <w:bottom w:val="double" w:sz="4" w:space="0" w:color="auto"/>
            </w:tcBorders>
            <w:vAlign w:val="bottom"/>
          </w:tcPr>
          <w:p w14:paraId="12B94822" w14:textId="63C5AC10" w:rsidR="00D10DAF" w:rsidRPr="00DD19DA" w:rsidRDefault="00D10DAF" w:rsidP="00DD19DA">
            <w:pPr>
              <w:pStyle w:val="Columnheader"/>
              <w:tabs>
                <w:tab w:val="clear" w:pos="1503"/>
              </w:tabs>
              <w:spacing w:line="233" w:lineRule="auto"/>
              <w:ind w:right="0"/>
              <w:jc w:val="right"/>
              <w:rPr>
                <w:rFonts w:cs="Arial"/>
                <w:szCs w:val="18"/>
                <w:lang w:val="sk-SK"/>
              </w:rPr>
            </w:pPr>
            <w:r w:rsidRPr="00DD19DA">
              <w:rPr>
                <w:rFonts w:cs="Arial"/>
                <w:szCs w:val="18"/>
              </w:rPr>
              <w:t>2</w:t>
            </w:r>
            <w:r w:rsidR="000B5B22" w:rsidRPr="00DD19DA">
              <w:rPr>
                <w:rFonts w:cs="Arial"/>
                <w:szCs w:val="18"/>
              </w:rPr>
              <w:t>9 317</w:t>
            </w:r>
          </w:p>
        </w:tc>
        <w:tc>
          <w:tcPr>
            <w:tcW w:w="548" w:type="pct"/>
            <w:tcBorders>
              <w:top w:val="single" w:sz="4" w:space="0" w:color="auto"/>
              <w:bottom w:val="double" w:sz="4" w:space="0" w:color="auto"/>
            </w:tcBorders>
          </w:tcPr>
          <w:p w14:paraId="6910F985" w14:textId="77777777" w:rsidR="00D10DAF" w:rsidRPr="00DD19DA" w:rsidRDefault="00D10DAF" w:rsidP="00DD19DA">
            <w:pPr>
              <w:pStyle w:val="Columnheader"/>
              <w:tabs>
                <w:tab w:val="clear" w:pos="1503"/>
              </w:tabs>
              <w:spacing w:line="233" w:lineRule="auto"/>
              <w:ind w:right="0"/>
              <w:jc w:val="right"/>
              <w:rPr>
                <w:rFonts w:cs="Arial"/>
                <w:szCs w:val="18"/>
              </w:rPr>
            </w:pPr>
          </w:p>
          <w:p w14:paraId="4B4153DC" w14:textId="6557EA4C" w:rsidR="00D10DAF" w:rsidRPr="00DD19DA" w:rsidRDefault="000B5B22" w:rsidP="00DD19DA">
            <w:pPr>
              <w:pStyle w:val="Columnheader"/>
              <w:tabs>
                <w:tab w:val="clear" w:pos="1503"/>
              </w:tabs>
              <w:spacing w:line="233" w:lineRule="auto"/>
              <w:ind w:right="0"/>
              <w:jc w:val="right"/>
              <w:rPr>
                <w:rFonts w:cs="Arial"/>
                <w:szCs w:val="18"/>
              </w:rPr>
            </w:pPr>
            <w:r w:rsidRPr="00DD19DA">
              <w:rPr>
                <w:rFonts w:cs="Arial"/>
                <w:szCs w:val="18"/>
              </w:rPr>
              <w:t>58 583</w:t>
            </w:r>
          </w:p>
        </w:tc>
        <w:tc>
          <w:tcPr>
            <w:tcW w:w="482" w:type="pct"/>
            <w:tcBorders>
              <w:top w:val="single" w:sz="4" w:space="0" w:color="auto"/>
              <w:bottom w:val="double" w:sz="4" w:space="0" w:color="auto"/>
            </w:tcBorders>
            <w:vAlign w:val="bottom"/>
          </w:tcPr>
          <w:p w14:paraId="243AF205" w14:textId="21E0DDD7" w:rsidR="000B5B22" w:rsidRPr="00DD19DA" w:rsidRDefault="000B5B22" w:rsidP="00DD19DA">
            <w:pPr>
              <w:pStyle w:val="Columnheader"/>
              <w:tabs>
                <w:tab w:val="clear" w:pos="1503"/>
              </w:tabs>
              <w:spacing w:line="233" w:lineRule="auto"/>
              <w:ind w:right="0"/>
              <w:jc w:val="right"/>
              <w:rPr>
                <w:rFonts w:cs="Arial"/>
                <w:szCs w:val="18"/>
                <w:lang w:val="sk-SK"/>
              </w:rPr>
            </w:pPr>
            <w:r w:rsidRPr="00DD19DA">
              <w:rPr>
                <w:rFonts w:cs="Arial"/>
                <w:szCs w:val="18"/>
                <w:lang w:val="sk-SK"/>
              </w:rPr>
              <w:t>87 900</w:t>
            </w:r>
          </w:p>
        </w:tc>
      </w:tr>
      <w:tr w:rsidR="00DD19DA" w:rsidRPr="00DD19DA" w14:paraId="7F84097F" w14:textId="77777777" w:rsidTr="00DD19DA">
        <w:trPr>
          <w:trHeight w:val="227"/>
        </w:trPr>
        <w:tc>
          <w:tcPr>
            <w:tcW w:w="1838" w:type="pct"/>
            <w:gridSpan w:val="2"/>
            <w:tcBorders>
              <w:top w:val="double" w:sz="4" w:space="0" w:color="auto"/>
            </w:tcBorders>
            <w:vAlign w:val="bottom"/>
          </w:tcPr>
          <w:p w14:paraId="05B30626" w14:textId="77777777" w:rsidR="00DD19DA" w:rsidRDefault="00DD19DA" w:rsidP="00DD19DA">
            <w:pPr>
              <w:pStyle w:val="Columnheader"/>
              <w:tabs>
                <w:tab w:val="clear" w:pos="1503"/>
              </w:tabs>
              <w:spacing w:line="233" w:lineRule="auto"/>
              <w:ind w:right="0"/>
              <w:rPr>
                <w:rFonts w:cs="Arial"/>
                <w:szCs w:val="18"/>
              </w:rPr>
            </w:pPr>
          </w:p>
          <w:p w14:paraId="21CC2B2B" w14:textId="076D4314" w:rsidR="00DD19DA" w:rsidRPr="00DD19DA" w:rsidRDefault="00DD19DA" w:rsidP="00DD19DA">
            <w:pPr>
              <w:pStyle w:val="Columnheader"/>
              <w:tabs>
                <w:tab w:val="clear" w:pos="1503"/>
              </w:tabs>
              <w:spacing w:line="233" w:lineRule="auto"/>
              <w:ind w:right="0"/>
              <w:rPr>
                <w:rFonts w:cs="Arial"/>
                <w:szCs w:val="18"/>
              </w:rPr>
            </w:pPr>
          </w:p>
        </w:tc>
        <w:tc>
          <w:tcPr>
            <w:tcW w:w="515" w:type="pct"/>
            <w:gridSpan w:val="2"/>
            <w:tcBorders>
              <w:top w:val="double" w:sz="4" w:space="0" w:color="auto"/>
            </w:tcBorders>
            <w:vAlign w:val="bottom"/>
          </w:tcPr>
          <w:p w14:paraId="30A0C958" w14:textId="77777777" w:rsidR="00DD19DA" w:rsidRPr="00DD19DA" w:rsidRDefault="00DD19DA" w:rsidP="00DD19DA">
            <w:pPr>
              <w:pStyle w:val="Columnheader"/>
              <w:tabs>
                <w:tab w:val="clear" w:pos="1503"/>
              </w:tabs>
              <w:spacing w:line="233" w:lineRule="auto"/>
              <w:ind w:right="0"/>
              <w:jc w:val="right"/>
              <w:rPr>
                <w:rFonts w:cs="Arial"/>
                <w:szCs w:val="18"/>
                <w:lang w:val="sk-SK"/>
              </w:rPr>
            </w:pPr>
          </w:p>
        </w:tc>
        <w:tc>
          <w:tcPr>
            <w:tcW w:w="588" w:type="pct"/>
            <w:tcBorders>
              <w:top w:val="double" w:sz="4" w:space="0" w:color="auto"/>
            </w:tcBorders>
          </w:tcPr>
          <w:p w14:paraId="2358FBB4" w14:textId="77777777" w:rsidR="00DD19DA" w:rsidRPr="00DD19DA" w:rsidRDefault="00DD19DA" w:rsidP="00DD19DA">
            <w:pPr>
              <w:pStyle w:val="Columnheader"/>
              <w:tabs>
                <w:tab w:val="clear" w:pos="1503"/>
              </w:tabs>
              <w:spacing w:line="233" w:lineRule="auto"/>
              <w:ind w:right="0"/>
              <w:jc w:val="right"/>
              <w:rPr>
                <w:rFonts w:cs="Arial"/>
                <w:szCs w:val="18"/>
              </w:rPr>
            </w:pPr>
          </w:p>
        </w:tc>
        <w:tc>
          <w:tcPr>
            <w:tcW w:w="515" w:type="pct"/>
            <w:tcBorders>
              <w:top w:val="double" w:sz="4" w:space="0" w:color="auto"/>
            </w:tcBorders>
            <w:vAlign w:val="bottom"/>
          </w:tcPr>
          <w:p w14:paraId="27BCEDDA" w14:textId="77777777" w:rsidR="00DD19DA" w:rsidRPr="00DD19DA" w:rsidRDefault="00DD19DA" w:rsidP="00DD19DA">
            <w:pPr>
              <w:pStyle w:val="Columnheader"/>
              <w:tabs>
                <w:tab w:val="clear" w:pos="1503"/>
              </w:tabs>
              <w:spacing w:line="233" w:lineRule="auto"/>
              <w:ind w:right="0"/>
              <w:jc w:val="right"/>
              <w:rPr>
                <w:rFonts w:cs="Arial"/>
                <w:szCs w:val="18"/>
                <w:lang w:val="sk-SK"/>
              </w:rPr>
            </w:pPr>
          </w:p>
        </w:tc>
        <w:tc>
          <w:tcPr>
            <w:tcW w:w="514" w:type="pct"/>
            <w:gridSpan w:val="2"/>
            <w:tcBorders>
              <w:top w:val="double" w:sz="4" w:space="0" w:color="auto"/>
            </w:tcBorders>
            <w:vAlign w:val="bottom"/>
          </w:tcPr>
          <w:p w14:paraId="15FD8649" w14:textId="77777777" w:rsidR="00DD19DA" w:rsidRPr="00DD19DA" w:rsidRDefault="00DD19DA" w:rsidP="00DD19DA">
            <w:pPr>
              <w:pStyle w:val="Columnheader"/>
              <w:tabs>
                <w:tab w:val="clear" w:pos="1503"/>
              </w:tabs>
              <w:spacing w:line="233" w:lineRule="auto"/>
              <w:ind w:right="0"/>
              <w:jc w:val="right"/>
              <w:rPr>
                <w:rFonts w:cs="Arial"/>
                <w:szCs w:val="18"/>
              </w:rPr>
            </w:pPr>
          </w:p>
        </w:tc>
        <w:tc>
          <w:tcPr>
            <w:tcW w:w="548" w:type="pct"/>
            <w:tcBorders>
              <w:top w:val="double" w:sz="4" w:space="0" w:color="auto"/>
            </w:tcBorders>
          </w:tcPr>
          <w:p w14:paraId="3A1559F0" w14:textId="77777777" w:rsidR="00DD19DA" w:rsidRPr="00DD19DA" w:rsidRDefault="00DD19DA" w:rsidP="00DD19DA">
            <w:pPr>
              <w:pStyle w:val="Columnheader"/>
              <w:tabs>
                <w:tab w:val="clear" w:pos="1503"/>
              </w:tabs>
              <w:spacing w:line="233" w:lineRule="auto"/>
              <w:ind w:right="0"/>
              <w:jc w:val="right"/>
              <w:rPr>
                <w:rFonts w:cs="Arial"/>
                <w:szCs w:val="18"/>
              </w:rPr>
            </w:pPr>
          </w:p>
        </w:tc>
        <w:tc>
          <w:tcPr>
            <w:tcW w:w="482" w:type="pct"/>
            <w:tcBorders>
              <w:top w:val="double" w:sz="4" w:space="0" w:color="auto"/>
            </w:tcBorders>
            <w:vAlign w:val="bottom"/>
          </w:tcPr>
          <w:p w14:paraId="60282799" w14:textId="77777777" w:rsidR="00DD19DA" w:rsidRPr="00DD19DA" w:rsidRDefault="00DD19DA" w:rsidP="00DD19DA">
            <w:pPr>
              <w:pStyle w:val="Columnheader"/>
              <w:tabs>
                <w:tab w:val="clear" w:pos="1503"/>
              </w:tabs>
              <w:spacing w:line="233" w:lineRule="auto"/>
              <w:ind w:right="0"/>
              <w:jc w:val="right"/>
              <w:rPr>
                <w:rFonts w:cs="Arial"/>
                <w:szCs w:val="18"/>
                <w:lang w:val="sk-SK"/>
              </w:rPr>
            </w:pPr>
          </w:p>
        </w:tc>
      </w:tr>
    </w:tbl>
    <w:p w14:paraId="2F0EFFC7" w14:textId="77777777" w:rsidR="00D10DAF" w:rsidRPr="00226892" w:rsidRDefault="00D10DAF" w:rsidP="00D10DAF">
      <w:pPr>
        <w:pStyle w:val="Nadpis3"/>
        <w:keepNext w:val="0"/>
        <w:widowControl/>
        <w:numPr>
          <w:ilvl w:val="0"/>
          <w:numId w:val="34"/>
        </w:numPr>
        <w:tabs>
          <w:tab w:val="clear" w:pos="1069"/>
          <w:tab w:val="num" w:pos="392"/>
        </w:tabs>
        <w:suppressAutoHyphens/>
        <w:spacing w:after="120"/>
        <w:ind w:left="1077" w:hanging="1077"/>
        <w:jc w:val="both"/>
        <w:rPr>
          <w:rFonts w:ascii="Arial" w:hAnsi="Arial" w:cs="Arial"/>
          <w:b w:val="0"/>
          <w:sz w:val="20"/>
        </w:rPr>
      </w:pPr>
      <w:bookmarkStart w:id="614" w:name="_Toc27410017"/>
      <w:proofErr w:type="spellStart"/>
      <w:r w:rsidRPr="00226892">
        <w:rPr>
          <w:rFonts w:ascii="Arial" w:hAnsi="Arial" w:cs="Arial"/>
          <w:sz w:val="20"/>
        </w:rPr>
        <w:lastRenderedPageBreak/>
        <w:t>Odsúhlasenie</w:t>
      </w:r>
      <w:proofErr w:type="spellEnd"/>
      <w:r w:rsidRPr="00226892">
        <w:rPr>
          <w:rFonts w:ascii="Arial" w:hAnsi="Arial" w:cs="Arial"/>
          <w:sz w:val="20"/>
        </w:rPr>
        <w:t xml:space="preserve"> </w:t>
      </w:r>
      <w:proofErr w:type="spellStart"/>
      <w:r w:rsidRPr="00226892">
        <w:rPr>
          <w:rFonts w:ascii="Arial" w:hAnsi="Arial" w:cs="Arial"/>
          <w:sz w:val="20"/>
        </w:rPr>
        <w:t>záväzkov</w:t>
      </w:r>
      <w:proofErr w:type="spellEnd"/>
      <w:r w:rsidRPr="00226892">
        <w:rPr>
          <w:rFonts w:ascii="Arial" w:hAnsi="Arial" w:cs="Arial"/>
          <w:sz w:val="20"/>
        </w:rPr>
        <w:t xml:space="preserve"> </w:t>
      </w:r>
      <w:proofErr w:type="spellStart"/>
      <w:r w:rsidRPr="00226892">
        <w:rPr>
          <w:rFonts w:ascii="Arial" w:hAnsi="Arial" w:cs="Arial"/>
          <w:sz w:val="20"/>
        </w:rPr>
        <w:t>vykázaných</w:t>
      </w:r>
      <w:proofErr w:type="spellEnd"/>
      <w:r w:rsidRPr="00226892">
        <w:rPr>
          <w:rFonts w:ascii="Arial" w:hAnsi="Arial" w:cs="Arial"/>
          <w:sz w:val="20"/>
        </w:rPr>
        <w:t xml:space="preserve"> v </w:t>
      </w:r>
      <w:proofErr w:type="spellStart"/>
      <w:r w:rsidRPr="00226892">
        <w:rPr>
          <w:rFonts w:ascii="Arial" w:hAnsi="Arial" w:cs="Arial"/>
          <w:sz w:val="20"/>
        </w:rPr>
        <w:t>peňažných</w:t>
      </w:r>
      <w:proofErr w:type="spellEnd"/>
      <w:r w:rsidRPr="00226892">
        <w:rPr>
          <w:rFonts w:ascii="Arial" w:hAnsi="Arial" w:cs="Arial"/>
          <w:sz w:val="20"/>
        </w:rPr>
        <w:t xml:space="preserve"> </w:t>
      </w:r>
      <w:proofErr w:type="spellStart"/>
      <w:r w:rsidRPr="00226892">
        <w:rPr>
          <w:rFonts w:ascii="Arial" w:hAnsi="Arial" w:cs="Arial"/>
          <w:sz w:val="20"/>
        </w:rPr>
        <w:t>tokoch</w:t>
      </w:r>
      <w:proofErr w:type="spellEnd"/>
      <w:r w:rsidRPr="00226892">
        <w:rPr>
          <w:rFonts w:ascii="Arial" w:hAnsi="Arial" w:cs="Arial"/>
          <w:sz w:val="20"/>
        </w:rPr>
        <w:t xml:space="preserve"> z </w:t>
      </w:r>
      <w:proofErr w:type="spellStart"/>
      <w:r w:rsidRPr="00226892">
        <w:rPr>
          <w:rFonts w:ascii="Arial" w:hAnsi="Arial" w:cs="Arial"/>
          <w:sz w:val="20"/>
        </w:rPr>
        <w:t>finančnej</w:t>
      </w:r>
      <w:proofErr w:type="spellEnd"/>
      <w:r w:rsidRPr="00226892">
        <w:rPr>
          <w:rFonts w:ascii="Arial" w:hAnsi="Arial" w:cs="Arial"/>
          <w:sz w:val="20"/>
        </w:rPr>
        <w:t xml:space="preserve"> </w:t>
      </w:r>
      <w:proofErr w:type="spellStart"/>
      <w:r w:rsidRPr="00226892">
        <w:rPr>
          <w:rFonts w:ascii="Arial" w:hAnsi="Arial" w:cs="Arial"/>
          <w:sz w:val="20"/>
        </w:rPr>
        <w:t>činnosti</w:t>
      </w:r>
      <w:bookmarkEnd w:id="614"/>
      <w:proofErr w:type="spellEnd"/>
    </w:p>
    <w:p w14:paraId="6D774A2F" w14:textId="77777777" w:rsidR="00D10DAF" w:rsidRPr="00226892" w:rsidRDefault="00D10DAF" w:rsidP="00D10DAF">
      <w:pPr>
        <w:pStyle w:val="ABC-Comments"/>
        <w:widowControl w:val="0"/>
        <w:spacing w:before="200" w:after="200"/>
        <w:rPr>
          <w:rFonts w:cs="Arial"/>
          <w:i w:val="0"/>
          <w:color w:val="000000"/>
          <w:sz w:val="20"/>
          <w:lang w:val="en-US"/>
        </w:rPr>
      </w:pPr>
      <w:proofErr w:type="spellStart"/>
      <w:r w:rsidRPr="00226892">
        <w:rPr>
          <w:rFonts w:cs="Arial"/>
          <w:i w:val="0"/>
          <w:color w:val="000000"/>
          <w:sz w:val="20"/>
          <w:lang w:val="en-US"/>
        </w:rPr>
        <w:t>Tabuľka</w:t>
      </w:r>
      <w:proofErr w:type="spellEnd"/>
      <w:r w:rsidRPr="00226892">
        <w:rPr>
          <w:rFonts w:cs="Arial"/>
          <w:i w:val="0"/>
          <w:color w:val="000000"/>
          <w:sz w:val="20"/>
          <w:lang w:val="en-US"/>
        </w:rPr>
        <w:t xml:space="preserve"> </w:t>
      </w:r>
      <w:proofErr w:type="spellStart"/>
      <w:r w:rsidRPr="00226892">
        <w:rPr>
          <w:rFonts w:cs="Arial"/>
          <w:i w:val="0"/>
          <w:color w:val="000000"/>
          <w:sz w:val="20"/>
          <w:lang w:val="en-US"/>
        </w:rPr>
        <w:t>nižšie</w:t>
      </w:r>
      <w:proofErr w:type="spellEnd"/>
      <w:r w:rsidRPr="00226892">
        <w:rPr>
          <w:rFonts w:cs="Arial"/>
          <w:i w:val="0"/>
          <w:color w:val="000000"/>
          <w:sz w:val="20"/>
          <w:lang w:val="en-US"/>
        </w:rPr>
        <w:t xml:space="preserve"> </w:t>
      </w:r>
      <w:proofErr w:type="spellStart"/>
      <w:r w:rsidRPr="00226892">
        <w:rPr>
          <w:rFonts w:cs="Arial"/>
          <w:i w:val="0"/>
          <w:color w:val="000000"/>
          <w:sz w:val="20"/>
          <w:lang w:val="en-US"/>
        </w:rPr>
        <w:t>prezentuje</w:t>
      </w:r>
      <w:proofErr w:type="spellEnd"/>
      <w:r w:rsidRPr="00226892">
        <w:rPr>
          <w:rFonts w:cs="Arial"/>
          <w:i w:val="0"/>
          <w:color w:val="000000"/>
          <w:sz w:val="20"/>
          <w:lang w:val="en-US"/>
        </w:rPr>
        <w:t xml:space="preserve"> </w:t>
      </w:r>
      <w:proofErr w:type="spellStart"/>
      <w:r w:rsidRPr="00226892">
        <w:rPr>
          <w:rFonts w:cs="Arial"/>
          <w:i w:val="0"/>
          <w:color w:val="000000"/>
          <w:sz w:val="20"/>
          <w:lang w:val="en-US"/>
        </w:rPr>
        <w:t>analýzu</w:t>
      </w:r>
      <w:proofErr w:type="spellEnd"/>
      <w:r w:rsidRPr="00226892">
        <w:rPr>
          <w:rFonts w:cs="Arial"/>
          <w:i w:val="0"/>
          <w:color w:val="000000"/>
          <w:sz w:val="20"/>
          <w:lang w:val="en-US"/>
        </w:rPr>
        <w:t xml:space="preserve"> </w:t>
      </w:r>
      <w:proofErr w:type="spellStart"/>
      <w:r w:rsidRPr="00226892">
        <w:rPr>
          <w:rFonts w:cs="Arial"/>
          <w:i w:val="0"/>
          <w:color w:val="000000"/>
          <w:sz w:val="20"/>
          <w:lang w:val="en-US"/>
        </w:rPr>
        <w:t>záväzkov</w:t>
      </w:r>
      <w:proofErr w:type="spellEnd"/>
      <w:r w:rsidRPr="00226892">
        <w:rPr>
          <w:rFonts w:cs="Arial"/>
          <w:i w:val="0"/>
          <w:color w:val="000000"/>
          <w:sz w:val="20"/>
          <w:lang w:val="en-US"/>
        </w:rPr>
        <w:t xml:space="preserve"> </w:t>
      </w:r>
      <w:proofErr w:type="spellStart"/>
      <w:r w:rsidRPr="00226892">
        <w:rPr>
          <w:rFonts w:cs="Arial"/>
          <w:i w:val="0"/>
          <w:color w:val="000000"/>
          <w:sz w:val="20"/>
          <w:lang w:val="en-US"/>
        </w:rPr>
        <w:t>vykázaných</w:t>
      </w:r>
      <w:proofErr w:type="spellEnd"/>
      <w:r w:rsidRPr="00226892">
        <w:rPr>
          <w:rFonts w:cs="Arial"/>
          <w:i w:val="0"/>
          <w:color w:val="000000"/>
          <w:sz w:val="20"/>
          <w:lang w:val="en-US"/>
        </w:rPr>
        <w:t xml:space="preserve"> </w:t>
      </w:r>
      <w:proofErr w:type="spellStart"/>
      <w:r w:rsidRPr="00226892">
        <w:rPr>
          <w:rFonts w:cs="Arial"/>
          <w:i w:val="0"/>
          <w:color w:val="000000"/>
          <w:sz w:val="20"/>
          <w:lang w:val="en-US"/>
        </w:rPr>
        <w:t>vo</w:t>
      </w:r>
      <w:proofErr w:type="spellEnd"/>
      <w:r w:rsidRPr="00226892">
        <w:rPr>
          <w:rFonts w:cs="Arial"/>
          <w:i w:val="0"/>
          <w:color w:val="000000"/>
          <w:sz w:val="20"/>
          <w:lang w:val="en-US"/>
        </w:rPr>
        <w:t xml:space="preserve"> </w:t>
      </w:r>
      <w:proofErr w:type="spellStart"/>
      <w:r w:rsidRPr="00226892">
        <w:rPr>
          <w:rFonts w:cs="Arial"/>
          <w:i w:val="0"/>
          <w:color w:val="000000"/>
          <w:sz w:val="20"/>
          <w:lang w:val="en-US"/>
        </w:rPr>
        <w:t>výkaze</w:t>
      </w:r>
      <w:proofErr w:type="spellEnd"/>
      <w:r w:rsidRPr="00226892">
        <w:rPr>
          <w:rFonts w:cs="Arial"/>
          <w:i w:val="0"/>
          <w:color w:val="000000"/>
          <w:sz w:val="20"/>
          <w:lang w:val="en-US"/>
        </w:rPr>
        <w:t xml:space="preserve"> </w:t>
      </w:r>
      <w:proofErr w:type="spellStart"/>
      <w:r w:rsidRPr="00226892">
        <w:rPr>
          <w:rFonts w:cs="Arial"/>
          <w:i w:val="0"/>
          <w:color w:val="000000"/>
          <w:sz w:val="20"/>
          <w:lang w:val="en-US"/>
        </w:rPr>
        <w:t>peňažných</w:t>
      </w:r>
      <w:proofErr w:type="spellEnd"/>
      <w:r w:rsidRPr="00226892">
        <w:rPr>
          <w:rFonts w:cs="Arial"/>
          <w:i w:val="0"/>
          <w:color w:val="000000"/>
          <w:sz w:val="20"/>
          <w:lang w:val="en-US"/>
        </w:rPr>
        <w:t xml:space="preserve"> </w:t>
      </w:r>
      <w:proofErr w:type="spellStart"/>
      <w:r w:rsidRPr="00226892">
        <w:rPr>
          <w:rFonts w:cs="Arial"/>
          <w:i w:val="0"/>
          <w:color w:val="000000"/>
          <w:sz w:val="20"/>
          <w:lang w:val="en-US"/>
        </w:rPr>
        <w:t>tokov</w:t>
      </w:r>
      <w:proofErr w:type="spellEnd"/>
      <w:r w:rsidRPr="00226892">
        <w:rPr>
          <w:rFonts w:cs="Arial"/>
          <w:i w:val="0"/>
          <w:color w:val="000000"/>
          <w:sz w:val="20"/>
          <w:lang w:val="en-US"/>
        </w:rPr>
        <w:t xml:space="preserve"> </w:t>
      </w:r>
      <w:proofErr w:type="spellStart"/>
      <w:r w:rsidRPr="00226892">
        <w:rPr>
          <w:rFonts w:cs="Arial"/>
          <w:i w:val="0"/>
          <w:color w:val="000000"/>
          <w:sz w:val="20"/>
          <w:lang w:val="en-US"/>
        </w:rPr>
        <w:t>ako</w:t>
      </w:r>
      <w:proofErr w:type="spellEnd"/>
      <w:r w:rsidRPr="00226892">
        <w:rPr>
          <w:rFonts w:cs="Arial"/>
          <w:i w:val="0"/>
          <w:color w:val="000000"/>
          <w:sz w:val="20"/>
          <w:lang w:val="en-US"/>
        </w:rPr>
        <w:t xml:space="preserve"> </w:t>
      </w:r>
      <w:proofErr w:type="spellStart"/>
      <w:r w:rsidRPr="00226892">
        <w:rPr>
          <w:rFonts w:cs="Arial"/>
          <w:i w:val="0"/>
          <w:color w:val="000000"/>
          <w:sz w:val="20"/>
          <w:lang w:val="en-US"/>
        </w:rPr>
        <w:t>peňažné</w:t>
      </w:r>
      <w:proofErr w:type="spellEnd"/>
      <w:r w:rsidRPr="00226892">
        <w:rPr>
          <w:rFonts w:cs="Arial"/>
          <w:i w:val="0"/>
          <w:color w:val="000000"/>
          <w:sz w:val="20"/>
          <w:lang w:val="en-US"/>
        </w:rPr>
        <w:t xml:space="preserve"> </w:t>
      </w:r>
      <w:proofErr w:type="spellStart"/>
      <w:r w:rsidRPr="00226892">
        <w:rPr>
          <w:rFonts w:cs="Arial"/>
          <w:i w:val="0"/>
          <w:color w:val="000000"/>
          <w:sz w:val="20"/>
          <w:lang w:val="en-US"/>
        </w:rPr>
        <w:t>toky</w:t>
      </w:r>
      <w:proofErr w:type="spellEnd"/>
      <w:r w:rsidRPr="00226892">
        <w:rPr>
          <w:rFonts w:cs="Arial"/>
          <w:i w:val="0"/>
          <w:color w:val="000000"/>
          <w:sz w:val="20"/>
          <w:lang w:val="en-US"/>
        </w:rPr>
        <w:t xml:space="preserve"> z </w:t>
      </w:r>
      <w:proofErr w:type="spellStart"/>
      <w:r w:rsidRPr="00226892">
        <w:rPr>
          <w:rFonts w:cs="Arial"/>
          <w:i w:val="0"/>
          <w:color w:val="000000"/>
          <w:sz w:val="20"/>
          <w:lang w:val="en-US"/>
        </w:rPr>
        <w:t>finančnej</w:t>
      </w:r>
      <w:proofErr w:type="spellEnd"/>
      <w:r w:rsidRPr="00226892">
        <w:rPr>
          <w:rFonts w:cs="Arial"/>
          <w:i w:val="0"/>
          <w:color w:val="000000"/>
          <w:sz w:val="20"/>
          <w:lang w:val="en-US"/>
        </w:rPr>
        <w:t xml:space="preserve"> </w:t>
      </w:r>
      <w:proofErr w:type="spellStart"/>
      <w:r w:rsidRPr="00226892">
        <w:rPr>
          <w:rFonts w:cs="Arial"/>
          <w:i w:val="0"/>
          <w:color w:val="000000"/>
          <w:sz w:val="20"/>
          <w:lang w:val="en-US"/>
        </w:rPr>
        <w:t>činnosti</w:t>
      </w:r>
      <w:proofErr w:type="spellEnd"/>
      <w:r w:rsidRPr="00226892">
        <w:rPr>
          <w:rFonts w:cs="Arial"/>
          <w:i w:val="0"/>
          <w:color w:val="000000"/>
          <w:sz w:val="20"/>
          <w:lang w:val="en-US"/>
        </w:rPr>
        <w:t xml:space="preserve"> a </w:t>
      </w:r>
      <w:proofErr w:type="spellStart"/>
      <w:r w:rsidRPr="00226892">
        <w:rPr>
          <w:rFonts w:cs="Arial"/>
          <w:i w:val="0"/>
          <w:color w:val="000000"/>
          <w:sz w:val="20"/>
          <w:lang w:val="en-US"/>
        </w:rPr>
        <w:t>pohyby</w:t>
      </w:r>
      <w:proofErr w:type="spellEnd"/>
      <w:r w:rsidRPr="00226892">
        <w:rPr>
          <w:rFonts w:cs="Arial"/>
          <w:i w:val="0"/>
          <w:color w:val="000000"/>
          <w:sz w:val="20"/>
          <w:lang w:val="en-US"/>
        </w:rPr>
        <w:t xml:space="preserve"> v </w:t>
      </w:r>
      <w:proofErr w:type="spellStart"/>
      <w:r w:rsidRPr="00226892">
        <w:rPr>
          <w:rFonts w:cs="Arial"/>
          <w:i w:val="0"/>
          <w:color w:val="000000"/>
          <w:sz w:val="20"/>
          <w:lang w:val="en-US"/>
        </w:rPr>
        <w:t>týchto</w:t>
      </w:r>
      <w:proofErr w:type="spellEnd"/>
      <w:r w:rsidRPr="00226892">
        <w:rPr>
          <w:rFonts w:cs="Arial"/>
          <w:i w:val="0"/>
          <w:color w:val="000000"/>
          <w:sz w:val="20"/>
          <w:lang w:val="en-US"/>
        </w:rPr>
        <w:t xml:space="preserve"> </w:t>
      </w:r>
      <w:proofErr w:type="spellStart"/>
      <w:r w:rsidRPr="00226892">
        <w:rPr>
          <w:rFonts w:cs="Arial"/>
          <w:i w:val="0"/>
          <w:color w:val="000000"/>
          <w:sz w:val="20"/>
          <w:lang w:val="en-US"/>
        </w:rPr>
        <w:t>záväzkoch</w:t>
      </w:r>
      <w:proofErr w:type="spellEnd"/>
      <w:r w:rsidRPr="00226892">
        <w:rPr>
          <w:rFonts w:cs="Arial"/>
          <w:i w:val="0"/>
          <w:color w:val="000000"/>
          <w:sz w:val="20"/>
          <w:lang w:val="en-US"/>
        </w:rPr>
        <w:t xml:space="preserve"> za </w:t>
      </w:r>
      <w:proofErr w:type="spellStart"/>
      <w:r w:rsidRPr="00226892">
        <w:rPr>
          <w:rFonts w:cs="Arial"/>
          <w:i w:val="0"/>
          <w:color w:val="000000"/>
          <w:sz w:val="20"/>
          <w:lang w:val="en-US"/>
        </w:rPr>
        <w:t>všetky</w:t>
      </w:r>
      <w:proofErr w:type="spellEnd"/>
      <w:r w:rsidRPr="00226892">
        <w:rPr>
          <w:rFonts w:cs="Arial"/>
          <w:i w:val="0"/>
          <w:color w:val="000000"/>
          <w:sz w:val="20"/>
          <w:lang w:val="en-US"/>
        </w:rPr>
        <w:t xml:space="preserve"> </w:t>
      </w:r>
      <w:proofErr w:type="spellStart"/>
      <w:r w:rsidRPr="00226892">
        <w:rPr>
          <w:rFonts w:cs="Arial"/>
          <w:i w:val="0"/>
          <w:color w:val="000000"/>
          <w:sz w:val="20"/>
          <w:lang w:val="en-US"/>
        </w:rPr>
        <w:t>vykazované</w:t>
      </w:r>
      <w:proofErr w:type="spellEnd"/>
      <w:r w:rsidRPr="00226892">
        <w:rPr>
          <w:rFonts w:cs="Arial"/>
          <w:i w:val="0"/>
          <w:color w:val="000000"/>
          <w:sz w:val="20"/>
          <w:lang w:val="en-US"/>
        </w:rPr>
        <w:t xml:space="preserve"> </w:t>
      </w:r>
      <w:proofErr w:type="spellStart"/>
      <w:r w:rsidRPr="00226892">
        <w:rPr>
          <w:rFonts w:cs="Arial"/>
          <w:i w:val="0"/>
          <w:color w:val="000000"/>
          <w:sz w:val="20"/>
          <w:lang w:val="en-US"/>
        </w:rPr>
        <w:t>obdobia</w:t>
      </w:r>
      <w:proofErr w:type="spellEnd"/>
      <w:r w:rsidRPr="00226892">
        <w:rPr>
          <w:rFonts w:cs="Arial"/>
          <w:i w:val="0"/>
          <w:color w:val="000000"/>
          <w:sz w:val="20"/>
          <w:lang w:val="en-US"/>
        </w:rPr>
        <w:t>:</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4A0" w:firstRow="1" w:lastRow="0" w:firstColumn="1" w:lastColumn="0" w:noHBand="0" w:noVBand="1"/>
      </w:tblPr>
      <w:tblGrid>
        <w:gridCol w:w="3969"/>
        <w:gridCol w:w="1134"/>
        <w:gridCol w:w="1134"/>
        <w:gridCol w:w="1134"/>
        <w:gridCol w:w="1134"/>
        <w:gridCol w:w="1134"/>
      </w:tblGrid>
      <w:tr w:rsidR="00B57DDF" w:rsidRPr="00226892" w14:paraId="4615D85F" w14:textId="77777777" w:rsidTr="00AC7531">
        <w:trPr>
          <w:cantSplit/>
        </w:trPr>
        <w:tc>
          <w:tcPr>
            <w:tcW w:w="2059" w:type="pct"/>
            <w:tcBorders>
              <w:left w:val="nil"/>
              <w:bottom w:val="single" w:sz="4" w:space="0" w:color="auto"/>
              <w:right w:val="nil"/>
            </w:tcBorders>
            <w:vAlign w:val="bottom"/>
          </w:tcPr>
          <w:p w14:paraId="1465E590" w14:textId="77777777" w:rsidR="00B57DDF" w:rsidRPr="00226892" w:rsidRDefault="00B57DDF" w:rsidP="00512880">
            <w:pPr>
              <w:widowControl w:val="0"/>
              <w:ind w:left="113" w:right="-57" w:hanging="113"/>
              <w:rPr>
                <w:rFonts w:ascii="Arial" w:hAnsi="Arial" w:cs="Arial"/>
                <w:i/>
                <w:spacing w:val="-2"/>
                <w:sz w:val="18"/>
                <w:szCs w:val="18"/>
                <w:lang w:val="en-US"/>
              </w:rPr>
            </w:pPr>
          </w:p>
        </w:tc>
        <w:tc>
          <w:tcPr>
            <w:tcW w:w="588" w:type="pct"/>
            <w:tcBorders>
              <w:left w:val="nil"/>
              <w:bottom w:val="single" w:sz="4" w:space="0" w:color="auto"/>
              <w:right w:val="nil"/>
            </w:tcBorders>
            <w:vAlign w:val="bottom"/>
            <w:hideMark/>
          </w:tcPr>
          <w:p w14:paraId="24247BCA" w14:textId="0E519476" w:rsidR="00B57DDF" w:rsidRPr="00226892" w:rsidRDefault="00B57DDF" w:rsidP="00C76805">
            <w:pPr>
              <w:pStyle w:val="Default"/>
              <w:widowControl w:val="0"/>
              <w:ind w:left="-57" w:right="-57"/>
              <w:jc w:val="center"/>
              <w:rPr>
                <w:rFonts w:ascii="Arial" w:hAnsi="Arial" w:cs="Arial"/>
                <w:spacing w:val="-2"/>
                <w:sz w:val="18"/>
                <w:szCs w:val="18"/>
                <w:lang w:val="en-US"/>
              </w:rPr>
            </w:pPr>
            <w:proofErr w:type="spellStart"/>
            <w:r w:rsidRPr="00226892">
              <w:rPr>
                <w:rFonts w:ascii="Arial" w:hAnsi="Arial" w:cs="Arial"/>
                <w:b/>
                <w:bCs/>
                <w:spacing w:val="-2"/>
                <w:sz w:val="18"/>
                <w:szCs w:val="18"/>
                <w:lang w:val="en-US"/>
              </w:rPr>
              <w:t>Bankové</w:t>
            </w:r>
            <w:proofErr w:type="spellEnd"/>
            <w:r w:rsidRPr="00226892">
              <w:rPr>
                <w:rFonts w:ascii="Arial" w:hAnsi="Arial" w:cs="Arial"/>
                <w:b/>
                <w:bCs/>
                <w:spacing w:val="-2"/>
                <w:sz w:val="18"/>
                <w:szCs w:val="18"/>
                <w:lang w:val="en-US"/>
              </w:rPr>
              <w:t xml:space="preserve"> </w:t>
            </w:r>
            <w:proofErr w:type="spellStart"/>
            <w:r w:rsidRPr="00226892">
              <w:rPr>
                <w:rFonts w:ascii="Arial" w:hAnsi="Arial" w:cs="Arial"/>
                <w:b/>
                <w:bCs/>
                <w:spacing w:val="-2"/>
                <w:sz w:val="18"/>
                <w:szCs w:val="18"/>
                <w:lang w:val="en-US"/>
              </w:rPr>
              <w:t>úvery</w:t>
            </w:r>
            <w:proofErr w:type="spellEnd"/>
          </w:p>
        </w:tc>
        <w:tc>
          <w:tcPr>
            <w:tcW w:w="588" w:type="pct"/>
            <w:tcBorders>
              <w:left w:val="nil"/>
              <w:bottom w:val="single" w:sz="4" w:space="0" w:color="auto"/>
              <w:right w:val="nil"/>
            </w:tcBorders>
            <w:vAlign w:val="bottom"/>
          </w:tcPr>
          <w:p w14:paraId="26ADA9E2" w14:textId="77777777" w:rsidR="00B57DDF" w:rsidRPr="00226892" w:rsidRDefault="00B57DDF" w:rsidP="00C76805">
            <w:pPr>
              <w:pStyle w:val="Default"/>
              <w:widowControl w:val="0"/>
              <w:ind w:left="-57" w:right="-57"/>
              <w:jc w:val="center"/>
              <w:rPr>
                <w:rFonts w:ascii="Arial" w:hAnsi="Arial" w:cs="Arial"/>
                <w:b/>
                <w:bCs/>
                <w:spacing w:val="-2"/>
                <w:sz w:val="18"/>
                <w:szCs w:val="18"/>
                <w:lang w:val="en-US"/>
              </w:rPr>
            </w:pPr>
            <w:proofErr w:type="spellStart"/>
            <w:r w:rsidRPr="00226892">
              <w:rPr>
                <w:rFonts w:ascii="Arial" w:hAnsi="Arial" w:cs="Arial"/>
                <w:b/>
                <w:bCs/>
                <w:spacing w:val="-2"/>
                <w:sz w:val="18"/>
                <w:szCs w:val="18"/>
                <w:lang w:val="en-US"/>
              </w:rPr>
              <w:t>Záväzky</w:t>
            </w:r>
            <w:proofErr w:type="spellEnd"/>
            <w:r w:rsidRPr="00226892">
              <w:rPr>
                <w:rFonts w:ascii="Arial" w:hAnsi="Arial" w:cs="Arial"/>
                <w:b/>
                <w:bCs/>
                <w:spacing w:val="-2"/>
                <w:sz w:val="18"/>
                <w:szCs w:val="18"/>
                <w:lang w:val="en-US"/>
              </w:rPr>
              <w:t xml:space="preserve"> z </w:t>
            </w:r>
            <w:proofErr w:type="spellStart"/>
            <w:r w:rsidRPr="00226892">
              <w:rPr>
                <w:rFonts w:ascii="Arial" w:hAnsi="Arial" w:cs="Arial"/>
                <w:b/>
                <w:bCs/>
                <w:spacing w:val="-2"/>
                <w:sz w:val="18"/>
                <w:szCs w:val="18"/>
                <w:lang w:val="en-US"/>
              </w:rPr>
              <w:t>finančného</w:t>
            </w:r>
            <w:proofErr w:type="spellEnd"/>
            <w:r w:rsidRPr="00226892">
              <w:rPr>
                <w:rFonts w:ascii="Arial" w:hAnsi="Arial" w:cs="Arial"/>
                <w:b/>
                <w:bCs/>
                <w:spacing w:val="-2"/>
                <w:sz w:val="18"/>
                <w:szCs w:val="18"/>
                <w:lang w:val="en-US"/>
              </w:rPr>
              <w:t xml:space="preserve"> </w:t>
            </w:r>
            <w:proofErr w:type="spellStart"/>
            <w:r w:rsidRPr="00226892">
              <w:rPr>
                <w:rFonts w:ascii="Arial" w:hAnsi="Arial" w:cs="Arial"/>
                <w:b/>
                <w:bCs/>
                <w:spacing w:val="-2"/>
                <w:sz w:val="18"/>
                <w:szCs w:val="18"/>
                <w:lang w:val="en-US"/>
              </w:rPr>
              <w:t>leasingu</w:t>
            </w:r>
            <w:proofErr w:type="spellEnd"/>
          </w:p>
        </w:tc>
        <w:tc>
          <w:tcPr>
            <w:tcW w:w="588" w:type="pct"/>
            <w:tcBorders>
              <w:left w:val="nil"/>
              <w:bottom w:val="single" w:sz="4" w:space="0" w:color="auto"/>
              <w:right w:val="nil"/>
            </w:tcBorders>
            <w:vAlign w:val="bottom"/>
          </w:tcPr>
          <w:p w14:paraId="6F5B1119" w14:textId="77777777" w:rsidR="00B57DDF" w:rsidRPr="00226892" w:rsidRDefault="00B57DDF" w:rsidP="00C76805">
            <w:pPr>
              <w:pStyle w:val="Default"/>
              <w:widowControl w:val="0"/>
              <w:ind w:left="-57" w:right="-57"/>
              <w:jc w:val="center"/>
              <w:rPr>
                <w:rFonts w:ascii="Arial" w:hAnsi="Arial" w:cs="Arial"/>
                <w:b/>
                <w:bCs/>
                <w:spacing w:val="-2"/>
                <w:sz w:val="18"/>
                <w:szCs w:val="18"/>
                <w:lang w:val="en-US"/>
              </w:rPr>
            </w:pPr>
            <w:proofErr w:type="spellStart"/>
            <w:r w:rsidRPr="00226892">
              <w:rPr>
                <w:rFonts w:ascii="Arial" w:hAnsi="Arial" w:cs="Arial"/>
                <w:b/>
                <w:bCs/>
                <w:spacing w:val="-2"/>
                <w:sz w:val="18"/>
                <w:szCs w:val="18"/>
                <w:lang w:val="en-US"/>
              </w:rPr>
              <w:t>Pôžičky</w:t>
            </w:r>
            <w:proofErr w:type="spellEnd"/>
            <w:r w:rsidRPr="00226892">
              <w:rPr>
                <w:rFonts w:ascii="Arial" w:hAnsi="Arial" w:cs="Arial"/>
                <w:b/>
                <w:bCs/>
                <w:spacing w:val="-2"/>
                <w:sz w:val="18"/>
                <w:szCs w:val="18"/>
                <w:lang w:val="en-US"/>
              </w:rPr>
              <w:t xml:space="preserve"> od </w:t>
            </w:r>
            <w:proofErr w:type="spellStart"/>
            <w:r w:rsidRPr="00226892">
              <w:rPr>
                <w:rFonts w:ascii="Arial" w:hAnsi="Arial" w:cs="Arial"/>
                <w:b/>
                <w:bCs/>
                <w:spacing w:val="-2"/>
                <w:sz w:val="18"/>
                <w:szCs w:val="18"/>
                <w:lang w:val="en-US"/>
              </w:rPr>
              <w:t>spriaznených</w:t>
            </w:r>
            <w:proofErr w:type="spellEnd"/>
            <w:r w:rsidRPr="00226892">
              <w:rPr>
                <w:rFonts w:ascii="Arial" w:hAnsi="Arial" w:cs="Arial"/>
                <w:b/>
                <w:bCs/>
                <w:spacing w:val="-2"/>
                <w:sz w:val="18"/>
                <w:szCs w:val="18"/>
                <w:lang w:val="en-US"/>
              </w:rPr>
              <w:t xml:space="preserve"> </w:t>
            </w:r>
            <w:proofErr w:type="spellStart"/>
            <w:r w:rsidRPr="00226892">
              <w:rPr>
                <w:rFonts w:ascii="Arial" w:hAnsi="Arial" w:cs="Arial"/>
                <w:b/>
                <w:bCs/>
                <w:spacing w:val="-2"/>
                <w:sz w:val="18"/>
                <w:szCs w:val="18"/>
                <w:lang w:val="en-US"/>
              </w:rPr>
              <w:t>strán</w:t>
            </w:r>
            <w:proofErr w:type="spellEnd"/>
          </w:p>
        </w:tc>
        <w:tc>
          <w:tcPr>
            <w:tcW w:w="588" w:type="pct"/>
            <w:tcBorders>
              <w:left w:val="nil"/>
              <w:bottom w:val="single" w:sz="4" w:space="0" w:color="auto"/>
              <w:right w:val="nil"/>
            </w:tcBorders>
            <w:vAlign w:val="bottom"/>
          </w:tcPr>
          <w:p w14:paraId="44DE8964" w14:textId="040DBF9A" w:rsidR="00B57DDF" w:rsidRPr="00226892" w:rsidRDefault="00B57DDF" w:rsidP="00C76805">
            <w:pPr>
              <w:pStyle w:val="Default"/>
              <w:widowControl w:val="0"/>
              <w:ind w:left="-57" w:right="-57"/>
              <w:jc w:val="center"/>
              <w:rPr>
                <w:rFonts w:ascii="Arial" w:hAnsi="Arial" w:cs="Arial"/>
                <w:b/>
                <w:bCs/>
                <w:spacing w:val="-2"/>
                <w:sz w:val="18"/>
                <w:szCs w:val="18"/>
              </w:rPr>
            </w:pPr>
            <w:r w:rsidRPr="00226892">
              <w:rPr>
                <w:rFonts w:ascii="Arial" w:hAnsi="Arial" w:cs="Arial"/>
                <w:b/>
                <w:bCs/>
                <w:spacing w:val="-2"/>
                <w:sz w:val="18"/>
                <w:szCs w:val="18"/>
              </w:rPr>
              <w:t>Zmenky</w:t>
            </w:r>
          </w:p>
        </w:tc>
        <w:tc>
          <w:tcPr>
            <w:tcW w:w="588" w:type="pct"/>
            <w:tcBorders>
              <w:left w:val="nil"/>
              <w:bottom w:val="single" w:sz="4" w:space="0" w:color="auto"/>
              <w:right w:val="nil"/>
            </w:tcBorders>
            <w:vAlign w:val="bottom"/>
            <w:hideMark/>
          </w:tcPr>
          <w:p w14:paraId="13ABEFA9" w14:textId="3FDAB856" w:rsidR="00B57DDF" w:rsidRPr="00226892" w:rsidRDefault="00B57DDF" w:rsidP="00C76805">
            <w:pPr>
              <w:pStyle w:val="Default"/>
              <w:widowControl w:val="0"/>
              <w:ind w:left="-57" w:right="-57"/>
              <w:jc w:val="center"/>
              <w:rPr>
                <w:rFonts w:ascii="Arial" w:hAnsi="Arial" w:cs="Arial"/>
                <w:i/>
                <w:color w:val="FF0000"/>
                <w:spacing w:val="-2"/>
                <w:sz w:val="18"/>
                <w:szCs w:val="18"/>
                <w:lang w:val="en-US"/>
              </w:rPr>
            </w:pPr>
            <w:r w:rsidRPr="00226892">
              <w:rPr>
                <w:rFonts w:ascii="Arial" w:hAnsi="Arial" w:cs="Arial"/>
                <w:b/>
                <w:bCs/>
                <w:spacing w:val="-2"/>
                <w:sz w:val="18"/>
                <w:szCs w:val="18"/>
              </w:rPr>
              <w:t>Spolu</w:t>
            </w:r>
          </w:p>
        </w:tc>
      </w:tr>
      <w:tr w:rsidR="00B57DDF" w:rsidRPr="00226892" w14:paraId="0C367BF0" w14:textId="77777777" w:rsidTr="00E57F66">
        <w:trPr>
          <w:cantSplit/>
        </w:trPr>
        <w:tc>
          <w:tcPr>
            <w:tcW w:w="2059" w:type="pct"/>
            <w:tcBorders>
              <w:top w:val="single" w:sz="4" w:space="0" w:color="auto"/>
              <w:left w:val="nil"/>
              <w:right w:val="nil"/>
            </w:tcBorders>
            <w:vAlign w:val="bottom"/>
          </w:tcPr>
          <w:p w14:paraId="4F1A9445" w14:textId="77777777" w:rsidR="00B57DDF" w:rsidRPr="00226892" w:rsidRDefault="00B57DDF" w:rsidP="00512880">
            <w:pPr>
              <w:pStyle w:val="Default"/>
              <w:widowControl w:val="0"/>
              <w:ind w:left="113" w:right="-57" w:hanging="113"/>
              <w:rPr>
                <w:rFonts w:ascii="Arial" w:hAnsi="Arial" w:cs="Arial"/>
                <w:b/>
                <w:bCs/>
                <w:spacing w:val="-2"/>
                <w:sz w:val="18"/>
                <w:szCs w:val="18"/>
                <w:lang w:val="en-US"/>
              </w:rPr>
            </w:pPr>
          </w:p>
        </w:tc>
        <w:tc>
          <w:tcPr>
            <w:tcW w:w="588" w:type="pct"/>
            <w:tcBorders>
              <w:top w:val="single" w:sz="4" w:space="0" w:color="auto"/>
              <w:left w:val="nil"/>
              <w:right w:val="nil"/>
            </w:tcBorders>
            <w:vAlign w:val="bottom"/>
          </w:tcPr>
          <w:p w14:paraId="49B6FA26" w14:textId="77777777" w:rsidR="00B57DDF" w:rsidRPr="00226892" w:rsidRDefault="00B57DDF" w:rsidP="00AA6F32">
            <w:pPr>
              <w:pStyle w:val="Default"/>
              <w:widowControl w:val="0"/>
              <w:jc w:val="right"/>
              <w:rPr>
                <w:rFonts w:ascii="Arial" w:hAnsi="Arial" w:cs="Arial"/>
                <w:spacing w:val="-2"/>
                <w:sz w:val="18"/>
                <w:szCs w:val="18"/>
                <w:lang w:val="en-US"/>
              </w:rPr>
            </w:pPr>
          </w:p>
        </w:tc>
        <w:tc>
          <w:tcPr>
            <w:tcW w:w="588" w:type="pct"/>
            <w:tcBorders>
              <w:top w:val="single" w:sz="4" w:space="0" w:color="auto"/>
              <w:left w:val="nil"/>
              <w:right w:val="nil"/>
            </w:tcBorders>
            <w:vAlign w:val="bottom"/>
          </w:tcPr>
          <w:p w14:paraId="0BA770E7" w14:textId="77777777" w:rsidR="00B57DDF" w:rsidRPr="00226892" w:rsidRDefault="00B57DDF" w:rsidP="00AA6F32">
            <w:pPr>
              <w:pStyle w:val="Default"/>
              <w:widowControl w:val="0"/>
              <w:jc w:val="right"/>
              <w:rPr>
                <w:rFonts w:ascii="Arial" w:hAnsi="Arial" w:cs="Arial"/>
                <w:spacing w:val="-2"/>
                <w:sz w:val="18"/>
                <w:szCs w:val="18"/>
                <w:lang w:val="en-US"/>
              </w:rPr>
            </w:pPr>
          </w:p>
        </w:tc>
        <w:tc>
          <w:tcPr>
            <w:tcW w:w="588" w:type="pct"/>
            <w:tcBorders>
              <w:top w:val="single" w:sz="4" w:space="0" w:color="auto"/>
              <w:left w:val="nil"/>
              <w:right w:val="nil"/>
            </w:tcBorders>
            <w:vAlign w:val="bottom"/>
          </w:tcPr>
          <w:p w14:paraId="31A31361" w14:textId="77777777" w:rsidR="00B57DDF" w:rsidRPr="00226892" w:rsidRDefault="00B57DDF" w:rsidP="00AA6F32">
            <w:pPr>
              <w:pStyle w:val="Default"/>
              <w:widowControl w:val="0"/>
              <w:jc w:val="right"/>
              <w:rPr>
                <w:rFonts w:ascii="Arial" w:hAnsi="Arial" w:cs="Arial"/>
                <w:spacing w:val="-2"/>
                <w:sz w:val="18"/>
                <w:szCs w:val="18"/>
                <w:lang w:val="en-US"/>
              </w:rPr>
            </w:pPr>
          </w:p>
        </w:tc>
        <w:tc>
          <w:tcPr>
            <w:tcW w:w="588" w:type="pct"/>
            <w:tcBorders>
              <w:top w:val="single" w:sz="4" w:space="0" w:color="auto"/>
              <w:left w:val="nil"/>
              <w:right w:val="nil"/>
            </w:tcBorders>
            <w:vAlign w:val="bottom"/>
          </w:tcPr>
          <w:p w14:paraId="2D6A946C" w14:textId="77777777" w:rsidR="00B57DDF" w:rsidRPr="00226892" w:rsidRDefault="00B57DDF" w:rsidP="00AA6F32">
            <w:pPr>
              <w:pStyle w:val="Default"/>
              <w:widowControl w:val="0"/>
              <w:jc w:val="right"/>
              <w:rPr>
                <w:rFonts w:ascii="Arial" w:hAnsi="Arial" w:cs="Arial"/>
                <w:spacing w:val="-2"/>
                <w:sz w:val="18"/>
                <w:szCs w:val="18"/>
                <w:lang w:val="en-US"/>
              </w:rPr>
            </w:pPr>
          </w:p>
        </w:tc>
        <w:tc>
          <w:tcPr>
            <w:tcW w:w="588" w:type="pct"/>
            <w:tcBorders>
              <w:top w:val="single" w:sz="4" w:space="0" w:color="auto"/>
              <w:left w:val="nil"/>
              <w:right w:val="nil"/>
            </w:tcBorders>
            <w:vAlign w:val="bottom"/>
          </w:tcPr>
          <w:p w14:paraId="582B3253" w14:textId="2849AC7A" w:rsidR="00B57DDF" w:rsidRPr="00226892" w:rsidRDefault="00B57DDF" w:rsidP="00AA6F32">
            <w:pPr>
              <w:pStyle w:val="Default"/>
              <w:widowControl w:val="0"/>
              <w:jc w:val="right"/>
              <w:rPr>
                <w:rFonts w:ascii="Arial" w:hAnsi="Arial" w:cs="Arial"/>
                <w:spacing w:val="-2"/>
                <w:sz w:val="18"/>
                <w:szCs w:val="18"/>
                <w:lang w:val="en-US"/>
              </w:rPr>
            </w:pPr>
          </w:p>
        </w:tc>
      </w:tr>
      <w:tr w:rsidR="00B57DDF" w:rsidRPr="00226892" w14:paraId="3CF32C4B" w14:textId="77777777" w:rsidTr="00E57F66">
        <w:trPr>
          <w:cantSplit/>
        </w:trPr>
        <w:tc>
          <w:tcPr>
            <w:tcW w:w="2059" w:type="pct"/>
            <w:tcBorders>
              <w:left w:val="nil"/>
              <w:bottom w:val="nil"/>
              <w:right w:val="nil"/>
            </w:tcBorders>
            <w:vAlign w:val="bottom"/>
            <w:hideMark/>
          </w:tcPr>
          <w:p w14:paraId="213D5B3D" w14:textId="1736FB15" w:rsidR="00B57DDF" w:rsidRPr="00226892" w:rsidRDefault="00B57DDF" w:rsidP="00512880">
            <w:pPr>
              <w:pStyle w:val="Default"/>
              <w:widowControl w:val="0"/>
              <w:ind w:right="-57"/>
              <w:rPr>
                <w:rFonts w:ascii="Arial" w:hAnsi="Arial" w:cs="Arial"/>
                <w:spacing w:val="-2"/>
                <w:sz w:val="18"/>
                <w:szCs w:val="18"/>
                <w:lang w:val="en-US"/>
              </w:rPr>
            </w:pPr>
            <w:proofErr w:type="spellStart"/>
            <w:r w:rsidRPr="00226892">
              <w:rPr>
                <w:rFonts w:ascii="Arial" w:hAnsi="Arial" w:cs="Arial"/>
                <w:b/>
                <w:bCs/>
                <w:spacing w:val="-2"/>
                <w:sz w:val="18"/>
                <w:szCs w:val="18"/>
                <w:lang w:val="en-US"/>
              </w:rPr>
              <w:t>Záväzky</w:t>
            </w:r>
            <w:proofErr w:type="spellEnd"/>
            <w:r w:rsidRPr="00226892">
              <w:rPr>
                <w:rFonts w:ascii="Arial" w:hAnsi="Arial" w:cs="Arial"/>
                <w:b/>
                <w:bCs/>
                <w:spacing w:val="-2"/>
                <w:sz w:val="18"/>
                <w:szCs w:val="18"/>
                <w:lang w:val="en-US"/>
              </w:rPr>
              <w:t xml:space="preserve"> </w:t>
            </w:r>
            <w:proofErr w:type="spellStart"/>
            <w:r w:rsidRPr="00226892">
              <w:rPr>
                <w:rFonts w:ascii="Arial" w:hAnsi="Arial" w:cs="Arial"/>
                <w:b/>
                <w:bCs/>
                <w:spacing w:val="-2"/>
                <w:sz w:val="18"/>
                <w:szCs w:val="18"/>
                <w:lang w:val="en-US"/>
              </w:rPr>
              <w:t>vykázané</w:t>
            </w:r>
            <w:proofErr w:type="spellEnd"/>
            <w:r w:rsidRPr="00226892">
              <w:rPr>
                <w:rFonts w:ascii="Arial" w:hAnsi="Arial" w:cs="Arial"/>
                <w:b/>
                <w:bCs/>
                <w:spacing w:val="-2"/>
                <w:sz w:val="18"/>
                <w:szCs w:val="18"/>
                <w:lang w:val="en-US"/>
              </w:rPr>
              <w:t xml:space="preserve"> v </w:t>
            </w:r>
            <w:proofErr w:type="spellStart"/>
            <w:r w:rsidRPr="00226892">
              <w:rPr>
                <w:rFonts w:ascii="Arial" w:hAnsi="Arial" w:cs="Arial"/>
                <w:b/>
                <w:bCs/>
                <w:spacing w:val="-2"/>
                <w:sz w:val="18"/>
                <w:szCs w:val="18"/>
                <w:lang w:val="en-US"/>
              </w:rPr>
              <w:t>peňažných</w:t>
            </w:r>
            <w:proofErr w:type="spellEnd"/>
            <w:r w:rsidRPr="00226892">
              <w:rPr>
                <w:rFonts w:ascii="Arial" w:hAnsi="Arial" w:cs="Arial"/>
                <w:b/>
                <w:bCs/>
                <w:spacing w:val="-2"/>
                <w:sz w:val="18"/>
                <w:szCs w:val="18"/>
                <w:lang w:val="en-US"/>
              </w:rPr>
              <w:t xml:space="preserve"> </w:t>
            </w:r>
            <w:proofErr w:type="spellStart"/>
            <w:r w:rsidRPr="00226892">
              <w:rPr>
                <w:rFonts w:ascii="Arial" w:hAnsi="Arial" w:cs="Arial"/>
                <w:b/>
                <w:bCs/>
                <w:spacing w:val="-2"/>
                <w:sz w:val="18"/>
                <w:szCs w:val="18"/>
                <w:lang w:val="en-US"/>
              </w:rPr>
              <w:t>tokoch</w:t>
            </w:r>
            <w:proofErr w:type="spellEnd"/>
            <w:r w:rsidRPr="00226892">
              <w:rPr>
                <w:rFonts w:ascii="Arial" w:hAnsi="Arial" w:cs="Arial"/>
                <w:b/>
                <w:bCs/>
                <w:spacing w:val="-2"/>
                <w:sz w:val="18"/>
                <w:szCs w:val="18"/>
                <w:lang w:val="en-US"/>
              </w:rPr>
              <w:t xml:space="preserve"> z </w:t>
            </w:r>
            <w:proofErr w:type="spellStart"/>
            <w:r w:rsidRPr="00226892">
              <w:rPr>
                <w:rFonts w:ascii="Arial" w:hAnsi="Arial" w:cs="Arial"/>
                <w:b/>
                <w:bCs/>
                <w:spacing w:val="-2"/>
                <w:sz w:val="18"/>
                <w:szCs w:val="18"/>
                <w:lang w:val="en-US"/>
              </w:rPr>
              <w:t>finančnej</w:t>
            </w:r>
            <w:proofErr w:type="spellEnd"/>
            <w:r w:rsidRPr="00226892">
              <w:rPr>
                <w:rFonts w:ascii="Arial" w:hAnsi="Arial" w:cs="Arial"/>
                <w:b/>
                <w:bCs/>
                <w:spacing w:val="-2"/>
                <w:sz w:val="18"/>
                <w:szCs w:val="18"/>
                <w:lang w:val="en-US"/>
              </w:rPr>
              <w:t xml:space="preserve"> </w:t>
            </w:r>
            <w:proofErr w:type="spellStart"/>
            <w:r w:rsidRPr="00226892">
              <w:rPr>
                <w:rFonts w:ascii="Arial" w:hAnsi="Arial" w:cs="Arial"/>
                <w:b/>
                <w:bCs/>
                <w:spacing w:val="-2"/>
                <w:sz w:val="18"/>
                <w:szCs w:val="18"/>
                <w:lang w:val="en-US"/>
              </w:rPr>
              <w:t>činnosti</w:t>
            </w:r>
            <w:proofErr w:type="spellEnd"/>
            <w:r w:rsidRPr="00226892">
              <w:rPr>
                <w:rFonts w:ascii="Arial" w:hAnsi="Arial" w:cs="Arial"/>
                <w:b/>
                <w:bCs/>
                <w:spacing w:val="-2"/>
                <w:sz w:val="18"/>
                <w:szCs w:val="18"/>
                <w:lang w:val="en-US"/>
              </w:rPr>
              <w:t xml:space="preserve"> k 1. </w:t>
            </w:r>
            <w:proofErr w:type="spellStart"/>
            <w:r w:rsidRPr="00226892">
              <w:rPr>
                <w:rFonts w:ascii="Arial" w:hAnsi="Arial" w:cs="Arial"/>
                <w:b/>
                <w:bCs/>
                <w:spacing w:val="-2"/>
                <w:sz w:val="18"/>
                <w:szCs w:val="18"/>
                <w:lang w:val="en-US"/>
              </w:rPr>
              <w:t>januáru</w:t>
            </w:r>
            <w:proofErr w:type="spellEnd"/>
            <w:r w:rsidRPr="00226892">
              <w:rPr>
                <w:rFonts w:ascii="Arial" w:hAnsi="Arial" w:cs="Arial"/>
                <w:b/>
                <w:bCs/>
                <w:spacing w:val="-2"/>
                <w:sz w:val="18"/>
                <w:szCs w:val="18"/>
                <w:lang w:val="en-US"/>
              </w:rPr>
              <w:t xml:space="preserve"> 2017</w:t>
            </w:r>
          </w:p>
        </w:tc>
        <w:tc>
          <w:tcPr>
            <w:tcW w:w="588" w:type="pct"/>
            <w:tcBorders>
              <w:left w:val="nil"/>
              <w:bottom w:val="nil"/>
              <w:right w:val="nil"/>
            </w:tcBorders>
            <w:vAlign w:val="bottom"/>
          </w:tcPr>
          <w:p w14:paraId="49E1FDB7" w14:textId="0555F9C5" w:rsidR="00B57DDF" w:rsidRPr="00226892" w:rsidRDefault="00B57DDF" w:rsidP="00AA6F32">
            <w:pPr>
              <w:pStyle w:val="Default"/>
              <w:widowControl w:val="0"/>
              <w:jc w:val="right"/>
              <w:rPr>
                <w:rFonts w:ascii="Arial" w:hAnsi="Arial" w:cs="Arial"/>
                <w:b/>
                <w:bCs/>
                <w:spacing w:val="-2"/>
                <w:sz w:val="18"/>
                <w:szCs w:val="18"/>
                <w:lang w:val="en-US"/>
              </w:rPr>
            </w:pPr>
            <w:r w:rsidRPr="00226892">
              <w:rPr>
                <w:rFonts w:ascii="Arial" w:hAnsi="Arial" w:cs="Arial"/>
                <w:b/>
                <w:bCs/>
                <w:spacing w:val="-2"/>
                <w:sz w:val="18"/>
                <w:szCs w:val="18"/>
                <w:lang w:val="en-US"/>
              </w:rPr>
              <w:t>48 043</w:t>
            </w:r>
          </w:p>
        </w:tc>
        <w:tc>
          <w:tcPr>
            <w:tcW w:w="588" w:type="pct"/>
            <w:tcBorders>
              <w:left w:val="nil"/>
              <w:bottom w:val="nil"/>
              <w:right w:val="nil"/>
            </w:tcBorders>
            <w:vAlign w:val="bottom"/>
          </w:tcPr>
          <w:p w14:paraId="7DCF250D" w14:textId="69037DB5" w:rsidR="00B57DDF" w:rsidRPr="00226892" w:rsidRDefault="00B57DDF" w:rsidP="00AA6F32">
            <w:pPr>
              <w:pStyle w:val="Default"/>
              <w:widowControl w:val="0"/>
              <w:jc w:val="right"/>
              <w:rPr>
                <w:rFonts w:ascii="Arial" w:hAnsi="Arial" w:cs="Arial"/>
                <w:b/>
                <w:bCs/>
                <w:spacing w:val="-2"/>
                <w:sz w:val="18"/>
                <w:szCs w:val="18"/>
                <w:lang w:val="en-US"/>
              </w:rPr>
            </w:pPr>
            <w:r w:rsidRPr="00226892">
              <w:rPr>
                <w:rFonts w:ascii="Arial" w:hAnsi="Arial" w:cs="Arial"/>
                <w:b/>
                <w:bCs/>
                <w:spacing w:val="-2"/>
                <w:sz w:val="18"/>
                <w:szCs w:val="18"/>
                <w:lang w:val="en-US"/>
              </w:rPr>
              <w:t>1 516</w:t>
            </w:r>
          </w:p>
        </w:tc>
        <w:tc>
          <w:tcPr>
            <w:tcW w:w="588" w:type="pct"/>
            <w:tcBorders>
              <w:left w:val="nil"/>
              <w:bottom w:val="nil"/>
              <w:right w:val="nil"/>
            </w:tcBorders>
            <w:vAlign w:val="bottom"/>
          </w:tcPr>
          <w:p w14:paraId="0ECD602F" w14:textId="4914BC95" w:rsidR="00B57DDF" w:rsidRPr="00226892" w:rsidRDefault="00B57DDF" w:rsidP="00AA6F32">
            <w:pPr>
              <w:pStyle w:val="Default"/>
              <w:widowControl w:val="0"/>
              <w:jc w:val="right"/>
              <w:rPr>
                <w:rFonts w:ascii="Arial" w:hAnsi="Arial" w:cs="Arial"/>
                <w:b/>
                <w:bCs/>
                <w:spacing w:val="-2"/>
                <w:sz w:val="18"/>
                <w:szCs w:val="18"/>
                <w:lang w:val="en-US"/>
              </w:rPr>
            </w:pPr>
            <w:r w:rsidRPr="00226892">
              <w:rPr>
                <w:rFonts w:ascii="Arial" w:hAnsi="Arial" w:cs="Arial"/>
                <w:b/>
                <w:bCs/>
                <w:spacing w:val="-2"/>
                <w:sz w:val="18"/>
                <w:szCs w:val="18"/>
                <w:lang w:val="en-US"/>
              </w:rPr>
              <w:t>1 841</w:t>
            </w:r>
          </w:p>
        </w:tc>
        <w:tc>
          <w:tcPr>
            <w:tcW w:w="588" w:type="pct"/>
            <w:tcBorders>
              <w:left w:val="nil"/>
              <w:bottom w:val="nil"/>
              <w:right w:val="nil"/>
            </w:tcBorders>
            <w:vAlign w:val="bottom"/>
          </w:tcPr>
          <w:p w14:paraId="03243A48" w14:textId="00C963ED" w:rsidR="00B57DDF" w:rsidRPr="00226892" w:rsidRDefault="00B57DDF" w:rsidP="00AA6F32">
            <w:pPr>
              <w:pStyle w:val="Default"/>
              <w:widowControl w:val="0"/>
              <w:jc w:val="right"/>
              <w:rPr>
                <w:rFonts w:ascii="Arial" w:hAnsi="Arial" w:cs="Arial"/>
                <w:b/>
                <w:bCs/>
                <w:spacing w:val="-2"/>
                <w:sz w:val="18"/>
                <w:szCs w:val="18"/>
                <w:lang w:val="en-US"/>
              </w:rPr>
            </w:pPr>
            <w:r w:rsidRPr="00226892">
              <w:rPr>
                <w:rFonts w:ascii="Arial" w:hAnsi="Arial" w:cs="Arial"/>
                <w:b/>
                <w:bCs/>
                <w:spacing w:val="-2"/>
                <w:sz w:val="18"/>
                <w:szCs w:val="18"/>
                <w:lang w:val="en-US"/>
              </w:rPr>
              <w:t>500</w:t>
            </w:r>
          </w:p>
        </w:tc>
        <w:tc>
          <w:tcPr>
            <w:tcW w:w="588" w:type="pct"/>
            <w:tcBorders>
              <w:left w:val="nil"/>
              <w:bottom w:val="nil"/>
              <w:right w:val="nil"/>
            </w:tcBorders>
            <w:vAlign w:val="bottom"/>
          </w:tcPr>
          <w:p w14:paraId="77EF934F" w14:textId="0276E4CD" w:rsidR="00B57DDF" w:rsidRPr="00226892" w:rsidRDefault="00B57DDF" w:rsidP="00AA6F32">
            <w:pPr>
              <w:pStyle w:val="Default"/>
              <w:widowControl w:val="0"/>
              <w:jc w:val="right"/>
              <w:rPr>
                <w:rFonts w:ascii="Arial" w:hAnsi="Arial" w:cs="Arial"/>
                <w:b/>
                <w:bCs/>
                <w:spacing w:val="-2"/>
                <w:sz w:val="18"/>
                <w:szCs w:val="18"/>
                <w:lang w:val="en-US"/>
              </w:rPr>
            </w:pPr>
            <w:r w:rsidRPr="00226892">
              <w:rPr>
                <w:rFonts w:ascii="Arial" w:hAnsi="Arial" w:cs="Arial"/>
                <w:b/>
                <w:bCs/>
                <w:spacing w:val="-2"/>
                <w:sz w:val="18"/>
                <w:szCs w:val="18"/>
                <w:lang w:val="en-US"/>
              </w:rPr>
              <w:t>51 900</w:t>
            </w:r>
          </w:p>
        </w:tc>
      </w:tr>
      <w:tr w:rsidR="00B57DDF" w:rsidRPr="00226892" w14:paraId="02D65F83" w14:textId="77777777" w:rsidTr="00E57F66">
        <w:trPr>
          <w:cantSplit/>
        </w:trPr>
        <w:tc>
          <w:tcPr>
            <w:tcW w:w="2059" w:type="pct"/>
            <w:vAlign w:val="bottom"/>
          </w:tcPr>
          <w:p w14:paraId="57F716FB" w14:textId="77777777" w:rsidR="00B57DDF" w:rsidRPr="00226892" w:rsidRDefault="00B57DDF" w:rsidP="00512880">
            <w:pPr>
              <w:pStyle w:val="Default"/>
              <w:widowControl w:val="0"/>
              <w:ind w:left="113" w:right="-57" w:hanging="113"/>
              <w:rPr>
                <w:rFonts w:ascii="Arial" w:hAnsi="Arial" w:cs="Arial"/>
                <w:spacing w:val="-2"/>
                <w:sz w:val="18"/>
                <w:szCs w:val="18"/>
                <w:lang w:val="en-US"/>
              </w:rPr>
            </w:pPr>
          </w:p>
        </w:tc>
        <w:tc>
          <w:tcPr>
            <w:tcW w:w="588" w:type="pct"/>
            <w:vAlign w:val="bottom"/>
          </w:tcPr>
          <w:p w14:paraId="3D397DF1" w14:textId="77777777" w:rsidR="00B57DDF" w:rsidRPr="00226892" w:rsidRDefault="00B57DDF" w:rsidP="00AA6F32">
            <w:pPr>
              <w:pStyle w:val="Default"/>
              <w:widowControl w:val="0"/>
              <w:jc w:val="right"/>
              <w:rPr>
                <w:rFonts w:ascii="Arial" w:hAnsi="Arial" w:cs="Arial"/>
                <w:spacing w:val="-2"/>
                <w:sz w:val="18"/>
                <w:szCs w:val="18"/>
                <w:lang w:val="en-US"/>
              </w:rPr>
            </w:pPr>
          </w:p>
        </w:tc>
        <w:tc>
          <w:tcPr>
            <w:tcW w:w="588" w:type="pct"/>
            <w:vAlign w:val="bottom"/>
          </w:tcPr>
          <w:p w14:paraId="61A14976" w14:textId="77777777" w:rsidR="00B57DDF" w:rsidRPr="00226892" w:rsidRDefault="00B57DDF" w:rsidP="00AA6F32">
            <w:pPr>
              <w:pStyle w:val="Default"/>
              <w:widowControl w:val="0"/>
              <w:jc w:val="right"/>
              <w:rPr>
                <w:rFonts w:ascii="Arial" w:hAnsi="Arial" w:cs="Arial"/>
                <w:spacing w:val="-2"/>
                <w:sz w:val="18"/>
                <w:szCs w:val="18"/>
                <w:lang w:val="en-US"/>
              </w:rPr>
            </w:pPr>
          </w:p>
        </w:tc>
        <w:tc>
          <w:tcPr>
            <w:tcW w:w="588" w:type="pct"/>
            <w:vAlign w:val="bottom"/>
          </w:tcPr>
          <w:p w14:paraId="038C1594" w14:textId="77777777" w:rsidR="00B57DDF" w:rsidRPr="00226892" w:rsidRDefault="00B57DDF" w:rsidP="00AA6F32">
            <w:pPr>
              <w:pStyle w:val="Default"/>
              <w:widowControl w:val="0"/>
              <w:jc w:val="right"/>
              <w:rPr>
                <w:rFonts w:ascii="Arial" w:hAnsi="Arial" w:cs="Arial"/>
                <w:spacing w:val="-2"/>
                <w:sz w:val="18"/>
                <w:szCs w:val="18"/>
                <w:lang w:val="en-US"/>
              </w:rPr>
            </w:pPr>
          </w:p>
        </w:tc>
        <w:tc>
          <w:tcPr>
            <w:tcW w:w="588" w:type="pct"/>
            <w:vAlign w:val="bottom"/>
          </w:tcPr>
          <w:p w14:paraId="6DF76F12" w14:textId="77777777" w:rsidR="00B57DDF" w:rsidRPr="00226892" w:rsidRDefault="00B57DDF" w:rsidP="00AA6F32">
            <w:pPr>
              <w:pStyle w:val="Default"/>
              <w:widowControl w:val="0"/>
              <w:jc w:val="right"/>
              <w:rPr>
                <w:rFonts w:ascii="Arial" w:hAnsi="Arial" w:cs="Arial"/>
                <w:spacing w:val="-2"/>
                <w:sz w:val="18"/>
                <w:szCs w:val="18"/>
                <w:lang w:val="en-US"/>
              </w:rPr>
            </w:pPr>
          </w:p>
        </w:tc>
        <w:tc>
          <w:tcPr>
            <w:tcW w:w="588" w:type="pct"/>
            <w:vAlign w:val="bottom"/>
          </w:tcPr>
          <w:p w14:paraId="30247CD9" w14:textId="1FDCA01E" w:rsidR="00B57DDF" w:rsidRPr="00226892" w:rsidRDefault="00B57DDF" w:rsidP="00AA6F32">
            <w:pPr>
              <w:pStyle w:val="Default"/>
              <w:widowControl w:val="0"/>
              <w:jc w:val="right"/>
              <w:rPr>
                <w:rFonts w:ascii="Arial" w:hAnsi="Arial" w:cs="Arial"/>
                <w:b/>
                <w:bCs/>
                <w:spacing w:val="-2"/>
                <w:sz w:val="18"/>
                <w:szCs w:val="18"/>
                <w:lang w:val="en-US"/>
              </w:rPr>
            </w:pPr>
          </w:p>
        </w:tc>
      </w:tr>
      <w:tr w:rsidR="00B57DDF" w:rsidRPr="00226892" w14:paraId="798D9A38" w14:textId="77777777" w:rsidTr="00E57F66">
        <w:trPr>
          <w:cantSplit/>
        </w:trPr>
        <w:tc>
          <w:tcPr>
            <w:tcW w:w="2059" w:type="pct"/>
            <w:vAlign w:val="bottom"/>
          </w:tcPr>
          <w:p w14:paraId="751ACD6C" w14:textId="77777777" w:rsidR="00B57DDF" w:rsidRPr="00226892" w:rsidRDefault="00B57DDF" w:rsidP="00512880">
            <w:pPr>
              <w:pStyle w:val="Default"/>
              <w:widowControl w:val="0"/>
              <w:ind w:left="34" w:right="-57" w:hanging="2"/>
              <w:rPr>
                <w:rFonts w:ascii="Arial" w:hAnsi="Arial" w:cs="Arial"/>
                <w:spacing w:val="-2"/>
                <w:sz w:val="18"/>
                <w:szCs w:val="18"/>
                <w:lang w:val="en-US"/>
              </w:rPr>
            </w:pPr>
            <w:proofErr w:type="spellStart"/>
            <w:r w:rsidRPr="00226892">
              <w:rPr>
                <w:rFonts w:ascii="Arial" w:hAnsi="Arial" w:cs="Arial"/>
                <w:spacing w:val="-2"/>
                <w:sz w:val="18"/>
                <w:szCs w:val="18"/>
                <w:lang w:val="en-US"/>
              </w:rPr>
              <w:t>Peňažné</w:t>
            </w:r>
            <w:proofErr w:type="spellEnd"/>
            <w:r w:rsidRPr="00226892">
              <w:rPr>
                <w:rFonts w:ascii="Arial" w:hAnsi="Arial" w:cs="Arial"/>
                <w:spacing w:val="-2"/>
                <w:sz w:val="18"/>
                <w:szCs w:val="18"/>
                <w:lang w:val="en-US"/>
              </w:rPr>
              <w:t xml:space="preserve"> </w:t>
            </w:r>
            <w:proofErr w:type="spellStart"/>
            <w:r w:rsidRPr="00226892">
              <w:rPr>
                <w:rFonts w:ascii="Arial" w:hAnsi="Arial" w:cs="Arial"/>
                <w:spacing w:val="-2"/>
                <w:sz w:val="18"/>
                <w:szCs w:val="18"/>
                <w:lang w:val="en-US"/>
              </w:rPr>
              <w:t>toky</w:t>
            </w:r>
            <w:proofErr w:type="spellEnd"/>
            <w:r w:rsidRPr="00226892">
              <w:rPr>
                <w:rFonts w:ascii="Arial" w:hAnsi="Arial" w:cs="Arial"/>
                <w:spacing w:val="-2"/>
                <w:sz w:val="18"/>
                <w:szCs w:val="18"/>
                <w:lang w:val="en-US"/>
              </w:rPr>
              <w:t xml:space="preserve"> </w:t>
            </w:r>
            <w:proofErr w:type="spellStart"/>
            <w:r w:rsidRPr="00226892">
              <w:rPr>
                <w:rFonts w:ascii="Arial" w:hAnsi="Arial" w:cs="Arial"/>
                <w:spacing w:val="-2"/>
                <w:sz w:val="18"/>
                <w:szCs w:val="18"/>
                <w:lang w:val="en-US"/>
              </w:rPr>
              <w:t>iné</w:t>
            </w:r>
            <w:proofErr w:type="spellEnd"/>
            <w:r w:rsidRPr="00226892">
              <w:rPr>
                <w:rFonts w:ascii="Arial" w:hAnsi="Arial" w:cs="Arial"/>
                <w:spacing w:val="-2"/>
                <w:sz w:val="18"/>
                <w:szCs w:val="18"/>
                <w:lang w:val="en-US"/>
              </w:rPr>
              <w:t xml:space="preserve"> </w:t>
            </w:r>
            <w:proofErr w:type="spellStart"/>
            <w:r w:rsidRPr="00226892">
              <w:rPr>
                <w:rFonts w:ascii="Arial" w:hAnsi="Arial" w:cs="Arial"/>
                <w:spacing w:val="-2"/>
                <w:sz w:val="18"/>
                <w:szCs w:val="18"/>
                <w:lang w:val="en-US"/>
              </w:rPr>
              <w:t>ako</w:t>
            </w:r>
            <w:proofErr w:type="spellEnd"/>
            <w:r w:rsidRPr="00226892">
              <w:rPr>
                <w:rFonts w:ascii="Arial" w:hAnsi="Arial" w:cs="Arial"/>
                <w:spacing w:val="-2"/>
                <w:sz w:val="18"/>
                <w:szCs w:val="18"/>
                <w:lang w:val="en-US"/>
              </w:rPr>
              <w:t xml:space="preserve"> </w:t>
            </w:r>
            <w:proofErr w:type="spellStart"/>
            <w:r w:rsidRPr="00226892">
              <w:rPr>
                <w:rFonts w:ascii="Arial" w:hAnsi="Arial" w:cs="Arial"/>
                <w:spacing w:val="-2"/>
                <w:sz w:val="18"/>
                <w:szCs w:val="18"/>
                <w:lang w:val="en-US"/>
              </w:rPr>
              <w:t>zaplatené</w:t>
            </w:r>
            <w:proofErr w:type="spellEnd"/>
            <w:r w:rsidRPr="00226892">
              <w:rPr>
                <w:rFonts w:ascii="Arial" w:hAnsi="Arial" w:cs="Arial"/>
                <w:spacing w:val="-2"/>
                <w:sz w:val="18"/>
                <w:szCs w:val="18"/>
                <w:lang w:val="en-US"/>
              </w:rPr>
              <w:t xml:space="preserve"> </w:t>
            </w:r>
            <w:proofErr w:type="spellStart"/>
            <w:r w:rsidRPr="00226892">
              <w:rPr>
                <w:rFonts w:ascii="Arial" w:hAnsi="Arial" w:cs="Arial"/>
                <w:spacing w:val="-2"/>
                <w:sz w:val="18"/>
                <w:szCs w:val="18"/>
                <w:lang w:val="en-US"/>
              </w:rPr>
              <w:t>úroky</w:t>
            </w:r>
            <w:proofErr w:type="spellEnd"/>
          </w:p>
        </w:tc>
        <w:tc>
          <w:tcPr>
            <w:tcW w:w="588" w:type="pct"/>
            <w:vAlign w:val="bottom"/>
          </w:tcPr>
          <w:p w14:paraId="2047A837" w14:textId="02EF3BC6" w:rsidR="00B57DDF" w:rsidRPr="00226892" w:rsidRDefault="00B57DDF" w:rsidP="00AA6F32">
            <w:pPr>
              <w:pStyle w:val="Default"/>
              <w:widowControl w:val="0"/>
              <w:jc w:val="right"/>
              <w:rPr>
                <w:rFonts w:ascii="Arial" w:hAnsi="Arial" w:cs="Arial"/>
                <w:spacing w:val="-2"/>
                <w:sz w:val="18"/>
                <w:szCs w:val="18"/>
                <w:lang w:val="en-US"/>
              </w:rPr>
            </w:pPr>
            <w:r w:rsidRPr="00226892">
              <w:rPr>
                <w:rFonts w:ascii="Arial" w:hAnsi="Arial" w:cs="Arial"/>
                <w:spacing w:val="-2"/>
                <w:sz w:val="18"/>
                <w:szCs w:val="18"/>
                <w:lang w:val="en-US"/>
              </w:rPr>
              <w:t>-2 25</w:t>
            </w:r>
            <w:r w:rsidR="000C5F0F" w:rsidRPr="00226892">
              <w:rPr>
                <w:rFonts w:ascii="Arial" w:hAnsi="Arial" w:cs="Arial"/>
                <w:spacing w:val="-2"/>
                <w:sz w:val="18"/>
                <w:szCs w:val="18"/>
                <w:lang w:val="en-US"/>
              </w:rPr>
              <w:t>1</w:t>
            </w:r>
          </w:p>
        </w:tc>
        <w:tc>
          <w:tcPr>
            <w:tcW w:w="588" w:type="pct"/>
            <w:vAlign w:val="bottom"/>
          </w:tcPr>
          <w:p w14:paraId="63269A06" w14:textId="77777777" w:rsidR="00B57DDF" w:rsidRPr="00226892" w:rsidRDefault="00B57DDF" w:rsidP="00AA6F32">
            <w:pPr>
              <w:pStyle w:val="Default"/>
              <w:widowControl w:val="0"/>
              <w:jc w:val="right"/>
              <w:rPr>
                <w:rFonts w:ascii="Arial" w:hAnsi="Arial" w:cs="Arial"/>
                <w:spacing w:val="-2"/>
                <w:sz w:val="18"/>
                <w:szCs w:val="18"/>
                <w:lang w:val="en-US"/>
              </w:rPr>
            </w:pPr>
          </w:p>
          <w:p w14:paraId="780D19D2" w14:textId="5AEFD263" w:rsidR="00B57DDF" w:rsidRPr="00226892" w:rsidRDefault="00B57DDF" w:rsidP="00AA6F32">
            <w:pPr>
              <w:pStyle w:val="Default"/>
              <w:widowControl w:val="0"/>
              <w:jc w:val="right"/>
              <w:rPr>
                <w:rFonts w:ascii="Arial" w:hAnsi="Arial" w:cs="Arial"/>
                <w:spacing w:val="-2"/>
                <w:sz w:val="18"/>
                <w:szCs w:val="18"/>
                <w:lang w:val="en-US"/>
              </w:rPr>
            </w:pPr>
            <w:r w:rsidRPr="00226892">
              <w:rPr>
                <w:rFonts w:ascii="Arial" w:hAnsi="Arial" w:cs="Arial"/>
                <w:spacing w:val="-2"/>
                <w:sz w:val="18"/>
                <w:szCs w:val="18"/>
                <w:lang w:val="en-US"/>
              </w:rPr>
              <w:t>-</w:t>
            </w:r>
          </w:p>
        </w:tc>
        <w:tc>
          <w:tcPr>
            <w:tcW w:w="588" w:type="pct"/>
            <w:vAlign w:val="bottom"/>
          </w:tcPr>
          <w:p w14:paraId="40525C22" w14:textId="77777777" w:rsidR="00B57DDF" w:rsidRPr="00226892" w:rsidRDefault="00B57DDF" w:rsidP="00AA6F32">
            <w:pPr>
              <w:pStyle w:val="Default"/>
              <w:widowControl w:val="0"/>
              <w:jc w:val="right"/>
              <w:rPr>
                <w:rFonts w:ascii="Arial" w:hAnsi="Arial" w:cs="Arial"/>
                <w:spacing w:val="-2"/>
                <w:sz w:val="18"/>
                <w:szCs w:val="18"/>
                <w:lang w:val="en-US"/>
              </w:rPr>
            </w:pPr>
          </w:p>
          <w:p w14:paraId="29A4974F" w14:textId="3418F0FE" w:rsidR="00B57DDF" w:rsidRPr="00226892" w:rsidRDefault="00B57DDF" w:rsidP="00AA6F32">
            <w:pPr>
              <w:pStyle w:val="Default"/>
              <w:widowControl w:val="0"/>
              <w:jc w:val="right"/>
              <w:rPr>
                <w:rFonts w:ascii="Arial" w:hAnsi="Arial" w:cs="Arial"/>
                <w:spacing w:val="-2"/>
                <w:sz w:val="18"/>
                <w:szCs w:val="18"/>
                <w:lang w:val="en-US"/>
              </w:rPr>
            </w:pPr>
            <w:r w:rsidRPr="00226892">
              <w:rPr>
                <w:rFonts w:ascii="Arial" w:hAnsi="Arial" w:cs="Arial"/>
                <w:spacing w:val="-2"/>
                <w:sz w:val="18"/>
                <w:szCs w:val="18"/>
                <w:lang w:val="en-US"/>
              </w:rPr>
              <w:t>5 035</w:t>
            </w:r>
          </w:p>
        </w:tc>
        <w:tc>
          <w:tcPr>
            <w:tcW w:w="588" w:type="pct"/>
            <w:vAlign w:val="bottom"/>
          </w:tcPr>
          <w:p w14:paraId="6C80B729" w14:textId="77777777" w:rsidR="00B57DDF" w:rsidRPr="00226892" w:rsidRDefault="00B57DDF" w:rsidP="00AA6F32">
            <w:pPr>
              <w:pStyle w:val="Default"/>
              <w:widowControl w:val="0"/>
              <w:jc w:val="right"/>
              <w:rPr>
                <w:rFonts w:ascii="Arial" w:hAnsi="Arial" w:cs="Arial"/>
                <w:spacing w:val="-2"/>
                <w:sz w:val="18"/>
                <w:szCs w:val="18"/>
                <w:lang w:val="en-US"/>
              </w:rPr>
            </w:pPr>
          </w:p>
          <w:p w14:paraId="193FFEAC" w14:textId="7D259F33" w:rsidR="00B57DDF" w:rsidRPr="00226892" w:rsidRDefault="00B57DDF" w:rsidP="00AA6F32">
            <w:pPr>
              <w:pStyle w:val="Default"/>
              <w:widowControl w:val="0"/>
              <w:jc w:val="right"/>
              <w:rPr>
                <w:rFonts w:ascii="Arial" w:hAnsi="Arial" w:cs="Arial"/>
                <w:spacing w:val="-2"/>
                <w:sz w:val="18"/>
                <w:szCs w:val="18"/>
                <w:lang w:val="en-US"/>
              </w:rPr>
            </w:pPr>
            <w:r w:rsidRPr="00226892">
              <w:rPr>
                <w:rFonts w:ascii="Arial" w:hAnsi="Arial" w:cs="Arial"/>
                <w:spacing w:val="-2"/>
                <w:sz w:val="18"/>
                <w:szCs w:val="18"/>
                <w:lang w:val="en-US"/>
              </w:rPr>
              <w:t>-500</w:t>
            </w:r>
          </w:p>
        </w:tc>
        <w:tc>
          <w:tcPr>
            <w:tcW w:w="588" w:type="pct"/>
            <w:vAlign w:val="bottom"/>
          </w:tcPr>
          <w:p w14:paraId="2A4D7BA8" w14:textId="171F34AB" w:rsidR="00B57DDF" w:rsidRPr="00226892" w:rsidRDefault="000C5F0F" w:rsidP="00AA6F32">
            <w:pPr>
              <w:pStyle w:val="Default"/>
              <w:widowControl w:val="0"/>
              <w:jc w:val="right"/>
              <w:rPr>
                <w:rFonts w:ascii="Arial" w:hAnsi="Arial" w:cs="Arial"/>
                <w:b/>
                <w:bCs/>
                <w:spacing w:val="-2"/>
                <w:sz w:val="18"/>
                <w:szCs w:val="18"/>
                <w:lang w:val="en-US"/>
              </w:rPr>
            </w:pPr>
            <w:r w:rsidRPr="00226892">
              <w:rPr>
                <w:rFonts w:ascii="Arial" w:hAnsi="Arial" w:cs="Arial"/>
                <w:b/>
                <w:bCs/>
                <w:spacing w:val="-2"/>
                <w:sz w:val="18"/>
                <w:szCs w:val="18"/>
                <w:lang w:val="en-US"/>
              </w:rPr>
              <w:t>2 284</w:t>
            </w:r>
          </w:p>
        </w:tc>
      </w:tr>
      <w:tr w:rsidR="00B57DDF" w:rsidRPr="00226892" w14:paraId="7D01D965" w14:textId="77777777" w:rsidTr="00E57F66">
        <w:trPr>
          <w:cantSplit/>
        </w:trPr>
        <w:tc>
          <w:tcPr>
            <w:tcW w:w="2059" w:type="pct"/>
            <w:vAlign w:val="bottom"/>
          </w:tcPr>
          <w:p w14:paraId="48624D68" w14:textId="77777777" w:rsidR="00B57DDF" w:rsidRPr="00226892" w:rsidRDefault="00B57DDF" w:rsidP="00512880">
            <w:pPr>
              <w:pStyle w:val="Default"/>
              <w:widowControl w:val="0"/>
              <w:ind w:left="113" w:right="-57" w:hanging="113"/>
              <w:rPr>
                <w:rFonts w:ascii="Arial" w:hAnsi="Arial" w:cs="Arial"/>
                <w:spacing w:val="-2"/>
                <w:sz w:val="18"/>
                <w:szCs w:val="18"/>
                <w:lang w:val="en-US"/>
              </w:rPr>
            </w:pPr>
            <w:proofErr w:type="spellStart"/>
            <w:r w:rsidRPr="00226892">
              <w:rPr>
                <w:rFonts w:ascii="Arial" w:hAnsi="Arial" w:cs="Arial"/>
                <w:spacing w:val="-2"/>
                <w:sz w:val="18"/>
                <w:szCs w:val="18"/>
                <w:lang w:val="en-US"/>
              </w:rPr>
              <w:t>Časové</w:t>
            </w:r>
            <w:proofErr w:type="spellEnd"/>
            <w:r w:rsidRPr="00226892">
              <w:rPr>
                <w:rFonts w:ascii="Arial" w:hAnsi="Arial" w:cs="Arial"/>
                <w:spacing w:val="-2"/>
                <w:sz w:val="18"/>
                <w:szCs w:val="18"/>
                <w:lang w:val="en-US"/>
              </w:rPr>
              <w:t xml:space="preserve"> </w:t>
            </w:r>
            <w:proofErr w:type="spellStart"/>
            <w:r w:rsidRPr="00226892">
              <w:rPr>
                <w:rFonts w:ascii="Arial" w:hAnsi="Arial" w:cs="Arial"/>
                <w:spacing w:val="-2"/>
                <w:sz w:val="18"/>
                <w:szCs w:val="18"/>
                <w:lang w:val="en-US"/>
              </w:rPr>
              <w:t>rozlíšenie</w:t>
            </w:r>
            <w:proofErr w:type="spellEnd"/>
            <w:r w:rsidRPr="00226892">
              <w:rPr>
                <w:rFonts w:ascii="Arial" w:hAnsi="Arial" w:cs="Arial"/>
                <w:spacing w:val="-2"/>
                <w:sz w:val="18"/>
                <w:szCs w:val="18"/>
                <w:lang w:val="en-US"/>
              </w:rPr>
              <w:t xml:space="preserve"> </w:t>
            </w:r>
            <w:proofErr w:type="spellStart"/>
            <w:r w:rsidRPr="00226892">
              <w:rPr>
                <w:rFonts w:ascii="Arial" w:hAnsi="Arial" w:cs="Arial"/>
                <w:spacing w:val="-2"/>
                <w:sz w:val="18"/>
                <w:szCs w:val="18"/>
                <w:lang w:val="en-US"/>
              </w:rPr>
              <w:t>úrokov</w:t>
            </w:r>
            <w:proofErr w:type="spellEnd"/>
          </w:p>
        </w:tc>
        <w:tc>
          <w:tcPr>
            <w:tcW w:w="588" w:type="pct"/>
            <w:vAlign w:val="bottom"/>
          </w:tcPr>
          <w:p w14:paraId="7E405A61" w14:textId="18BC239F" w:rsidR="00B57DDF" w:rsidRPr="00226892" w:rsidRDefault="00B57DDF" w:rsidP="00AA6F32">
            <w:pPr>
              <w:pStyle w:val="Default"/>
              <w:widowControl w:val="0"/>
              <w:jc w:val="right"/>
              <w:rPr>
                <w:rFonts w:ascii="Arial" w:hAnsi="Arial" w:cs="Arial"/>
                <w:spacing w:val="-2"/>
                <w:sz w:val="18"/>
                <w:szCs w:val="18"/>
              </w:rPr>
            </w:pPr>
            <w:r w:rsidRPr="00226892">
              <w:rPr>
                <w:rFonts w:ascii="Arial" w:hAnsi="Arial" w:cs="Arial"/>
                <w:spacing w:val="-2"/>
                <w:sz w:val="18"/>
                <w:szCs w:val="18"/>
              </w:rPr>
              <w:t>603</w:t>
            </w:r>
          </w:p>
        </w:tc>
        <w:tc>
          <w:tcPr>
            <w:tcW w:w="588" w:type="pct"/>
            <w:vAlign w:val="bottom"/>
          </w:tcPr>
          <w:p w14:paraId="05D84602" w14:textId="6099F289" w:rsidR="00B57DDF" w:rsidRPr="00226892" w:rsidRDefault="00B57DDF" w:rsidP="00AA6F32">
            <w:pPr>
              <w:pStyle w:val="Default"/>
              <w:widowControl w:val="0"/>
              <w:jc w:val="right"/>
              <w:rPr>
                <w:rFonts w:ascii="Arial" w:hAnsi="Arial" w:cs="Arial"/>
                <w:spacing w:val="-2"/>
                <w:sz w:val="18"/>
                <w:szCs w:val="18"/>
              </w:rPr>
            </w:pPr>
            <w:r w:rsidRPr="00226892">
              <w:rPr>
                <w:rFonts w:ascii="Arial" w:hAnsi="Arial" w:cs="Arial"/>
                <w:spacing w:val="-2"/>
                <w:sz w:val="18"/>
                <w:szCs w:val="18"/>
              </w:rPr>
              <w:t>30</w:t>
            </w:r>
          </w:p>
        </w:tc>
        <w:tc>
          <w:tcPr>
            <w:tcW w:w="588" w:type="pct"/>
            <w:vAlign w:val="bottom"/>
          </w:tcPr>
          <w:p w14:paraId="55027D7D" w14:textId="2BD73F7F" w:rsidR="00B57DDF" w:rsidRPr="00226892" w:rsidRDefault="00B57DDF" w:rsidP="00AA6F32">
            <w:pPr>
              <w:pStyle w:val="Default"/>
              <w:widowControl w:val="0"/>
              <w:jc w:val="right"/>
              <w:rPr>
                <w:rFonts w:ascii="Arial" w:hAnsi="Arial" w:cs="Arial"/>
                <w:spacing w:val="-2"/>
                <w:sz w:val="18"/>
                <w:szCs w:val="18"/>
              </w:rPr>
            </w:pPr>
            <w:r w:rsidRPr="00226892">
              <w:rPr>
                <w:rFonts w:ascii="Arial" w:hAnsi="Arial" w:cs="Arial"/>
                <w:spacing w:val="-2"/>
                <w:sz w:val="18"/>
                <w:szCs w:val="18"/>
              </w:rPr>
              <w:t>52</w:t>
            </w:r>
          </w:p>
        </w:tc>
        <w:tc>
          <w:tcPr>
            <w:tcW w:w="588" w:type="pct"/>
            <w:vAlign w:val="bottom"/>
          </w:tcPr>
          <w:p w14:paraId="448993A6" w14:textId="7B66F78E" w:rsidR="00B57DDF" w:rsidRPr="00226892" w:rsidRDefault="00B57DDF" w:rsidP="00AA6F32">
            <w:pPr>
              <w:pStyle w:val="Default"/>
              <w:widowControl w:val="0"/>
              <w:jc w:val="right"/>
              <w:rPr>
                <w:rFonts w:ascii="Arial" w:hAnsi="Arial" w:cs="Arial"/>
                <w:spacing w:val="-2"/>
                <w:sz w:val="18"/>
                <w:szCs w:val="18"/>
              </w:rPr>
            </w:pPr>
            <w:r w:rsidRPr="00226892">
              <w:rPr>
                <w:rFonts w:ascii="Arial" w:hAnsi="Arial" w:cs="Arial"/>
                <w:spacing w:val="-2"/>
                <w:sz w:val="18"/>
                <w:szCs w:val="18"/>
              </w:rPr>
              <w:t>-</w:t>
            </w:r>
          </w:p>
        </w:tc>
        <w:tc>
          <w:tcPr>
            <w:tcW w:w="588" w:type="pct"/>
            <w:vAlign w:val="bottom"/>
          </w:tcPr>
          <w:p w14:paraId="5B94F82E" w14:textId="05CAB798" w:rsidR="00B57DDF" w:rsidRPr="00226892" w:rsidRDefault="00B57DDF" w:rsidP="00AA6F32">
            <w:pPr>
              <w:pStyle w:val="Default"/>
              <w:widowControl w:val="0"/>
              <w:jc w:val="right"/>
              <w:rPr>
                <w:rFonts w:ascii="Arial" w:hAnsi="Arial" w:cs="Arial"/>
                <w:b/>
                <w:bCs/>
                <w:spacing w:val="-2"/>
                <w:sz w:val="18"/>
                <w:szCs w:val="18"/>
              </w:rPr>
            </w:pPr>
            <w:r w:rsidRPr="00226892">
              <w:rPr>
                <w:rFonts w:ascii="Arial" w:hAnsi="Arial" w:cs="Arial"/>
                <w:b/>
                <w:bCs/>
                <w:spacing w:val="-2"/>
                <w:sz w:val="18"/>
                <w:szCs w:val="18"/>
              </w:rPr>
              <w:t>685</w:t>
            </w:r>
          </w:p>
        </w:tc>
      </w:tr>
      <w:tr w:rsidR="00B57DDF" w:rsidRPr="00226892" w14:paraId="77A911E2" w14:textId="77777777" w:rsidTr="00E57F66">
        <w:trPr>
          <w:cantSplit/>
        </w:trPr>
        <w:tc>
          <w:tcPr>
            <w:tcW w:w="2059" w:type="pct"/>
            <w:vAlign w:val="bottom"/>
          </w:tcPr>
          <w:p w14:paraId="4AFDEBFB" w14:textId="77777777" w:rsidR="00B57DDF" w:rsidRPr="00226892" w:rsidRDefault="00B57DDF" w:rsidP="00512880">
            <w:pPr>
              <w:pStyle w:val="Default"/>
              <w:widowControl w:val="0"/>
              <w:ind w:left="113" w:right="-57" w:hanging="113"/>
              <w:rPr>
                <w:rFonts w:ascii="Arial" w:hAnsi="Arial" w:cs="Arial"/>
                <w:spacing w:val="-2"/>
                <w:sz w:val="18"/>
                <w:szCs w:val="18"/>
                <w:lang w:val="en-US"/>
              </w:rPr>
            </w:pPr>
            <w:proofErr w:type="spellStart"/>
            <w:r w:rsidRPr="00226892">
              <w:rPr>
                <w:rFonts w:ascii="Arial" w:hAnsi="Arial" w:cs="Arial"/>
                <w:spacing w:val="-2"/>
                <w:sz w:val="18"/>
                <w:szCs w:val="18"/>
                <w:lang w:val="en-US"/>
              </w:rPr>
              <w:t>Zaplatené</w:t>
            </w:r>
            <w:proofErr w:type="spellEnd"/>
            <w:r w:rsidRPr="00226892">
              <w:rPr>
                <w:rFonts w:ascii="Arial" w:hAnsi="Arial" w:cs="Arial"/>
                <w:spacing w:val="-2"/>
                <w:sz w:val="18"/>
                <w:szCs w:val="18"/>
                <w:lang w:val="en-US"/>
              </w:rPr>
              <w:t xml:space="preserve"> </w:t>
            </w:r>
            <w:proofErr w:type="spellStart"/>
            <w:r w:rsidRPr="00226892">
              <w:rPr>
                <w:rFonts w:ascii="Arial" w:hAnsi="Arial" w:cs="Arial"/>
                <w:spacing w:val="-2"/>
                <w:sz w:val="18"/>
                <w:szCs w:val="18"/>
                <w:lang w:val="en-US"/>
              </w:rPr>
              <w:t>úroky</w:t>
            </w:r>
            <w:proofErr w:type="spellEnd"/>
          </w:p>
        </w:tc>
        <w:tc>
          <w:tcPr>
            <w:tcW w:w="588" w:type="pct"/>
            <w:vAlign w:val="bottom"/>
          </w:tcPr>
          <w:p w14:paraId="0A52D26E" w14:textId="061D0462" w:rsidR="00B57DDF" w:rsidRPr="00226892" w:rsidRDefault="00B57DDF" w:rsidP="00AA6F32">
            <w:pPr>
              <w:pStyle w:val="Default"/>
              <w:widowControl w:val="0"/>
              <w:jc w:val="right"/>
              <w:rPr>
                <w:rFonts w:ascii="Arial" w:hAnsi="Arial" w:cs="Arial"/>
                <w:spacing w:val="-2"/>
                <w:sz w:val="18"/>
                <w:szCs w:val="18"/>
              </w:rPr>
            </w:pPr>
            <w:r w:rsidRPr="00226892">
              <w:rPr>
                <w:rFonts w:ascii="Arial" w:hAnsi="Arial" w:cs="Arial"/>
                <w:spacing w:val="-2"/>
                <w:sz w:val="18"/>
                <w:szCs w:val="18"/>
              </w:rPr>
              <w:t>-603</w:t>
            </w:r>
          </w:p>
        </w:tc>
        <w:tc>
          <w:tcPr>
            <w:tcW w:w="588" w:type="pct"/>
            <w:vAlign w:val="bottom"/>
          </w:tcPr>
          <w:p w14:paraId="265F7C10" w14:textId="495DDE7C" w:rsidR="00B57DDF" w:rsidRPr="00226892" w:rsidRDefault="00B57DDF" w:rsidP="00AA6F32">
            <w:pPr>
              <w:pStyle w:val="Default"/>
              <w:widowControl w:val="0"/>
              <w:jc w:val="right"/>
              <w:rPr>
                <w:rFonts w:ascii="Arial" w:hAnsi="Arial" w:cs="Arial"/>
                <w:spacing w:val="-2"/>
                <w:sz w:val="18"/>
                <w:szCs w:val="18"/>
              </w:rPr>
            </w:pPr>
            <w:r w:rsidRPr="00226892">
              <w:rPr>
                <w:rFonts w:ascii="Arial" w:hAnsi="Arial" w:cs="Arial"/>
                <w:spacing w:val="-2"/>
                <w:sz w:val="18"/>
                <w:szCs w:val="18"/>
              </w:rPr>
              <w:t>-30</w:t>
            </w:r>
          </w:p>
        </w:tc>
        <w:tc>
          <w:tcPr>
            <w:tcW w:w="588" w:type="pct"/>
            <w:vAlign w:val="bottom"/>
          </w:tcPr>
          <w:p w14:paraId="38272AD5" w14:textId="14D6FF30" w:rsidR="00B57DDF" w:rsidRPr="00226892" w:rsidRDefault="00B57DDF" w:rsidP="00AA6F32">
            <w:pPr>
              <w:pStyle w:val="Default"/>
              <w:widowControl w:val="0"/>
              <w:jc w:val="right"/>
              <w:rPr>
                <w:rFonts w:ascii="Arial" w:hAnsi="Arial" w:cs="Arial"/>
                <w:spacing w:val="-2"/>
                <w:sz w:val="18"/>
                <w:szCs w:val="18"/>
              </w:rPr>
            </w:pPr>
            <w:r w:rsidRPr="00226892">
              <w:rPr>
                <w:rFonts w:ascii="Arial" w:hAnsi="Arial" w:cs="Arial"/>
                <w:spacing w:val="-2"/>
                <w:sz w:val="18"/>
                <w:szCs w:val="18"/>
              </w:rPr>
              <w:t>-52</w:t>
            </w:r>
          </w:p>
        </w:tc>
        <w:tc>
          <w:tcPr>
            <w:tcW w:w="588" w:type="pct"/>
            <w:vAlign w:val="bottom"/>
          </w:tcPr>
          <w:p w14:paraId="1E75CB0F" w14:textId="3834069C" w:rsidR="00B57DDF" w:rsidRPr="00226892" w:rsidRDefault="00B57DDF" w:rsidP="00AA6F32">
            <w:pPr>
              <w:pStyle w:val="Default"/>
              <w:widowControl w:val="0"/>
              <w:jc w:val="right"/>
              <w:rPr>
                <w:rFonts w:ascii="Arial" w:hAnsi="Arial" w:cs="Arial"/>
                <w:spacing w:val="-2"/>
                <w:sz w:val="18"/>
                <w:szCs w:val="18"/>
              </w:rPr>
            </w:pPr>
            <w:r w:rsidRPr="00226892">
              <w:rPr>
                <w:rFonts w:ascii="Arial" w:hAnsi="Arial" w:cs="Arial"/>
                <w:spacing w:val="-2"/>
                <w:sz w:val="18"/>
                <w:szCs w:val="18"/>
              </w:rPr>
              <w:t>-</w:t>
            </w:r>
          </w:p>
        </w:tc>
        <w:tc>
          <w:tcPr>
            <w:tcW w:w="588" w:type="pct"/>
            <w:vAlign w:val="bottom"/>
          </w:tcPr>
          <w:p w14:paraId="51A30FFC" w14:textId="3C4DEAF6" w:rsidR="00B57DDF" w:rsidRPr="00226892" w:rsidRDefault="00B57DDF" w:rsidP="00AA6F32">
            <w:pPr>
              <w:pStyle w:val="Default"/>
              <w:widowControl w:val="0"/>
              <w:jc w:val="right"/>
              <w:rPr>
                <w:rFonts w:ascii="Arial" w:hAnsi="Arial" w:cs="Arial"/>
                <w:b/>
                <w:bCs/>
                <w:spacing w:val="-2"/>
                <w:sz w:val="18"/>
                <w:szCs w:val="18"/>
              </w:rPr>
            </w:pPr>
            <w:r w:rsidRPr="00226892">
              <w:rPr>
                <w:rFonts w:ascii="Arial" w:hAnsi="Arial" w:cs="Arial"/>
                <w:b/>
                <w:bCs/>
                <w:spacing w:val="-2"/>
                <w:sz w:val="18"/>
                <w:szCs w:val="18"/>
              </w:rPr>
              <w:t>-685</w:t>
            </w:r>
          </w:p>
        </w:tc>
      </w:tr>
      <w:tr w:rsidR="00B57DDF" w:rsidRPr="00226892" w14:paraId="41D37A68" w14:textId="77777777" w:rsidTr="00E57F66">
        <w:trPr>
          <w:cantSplit/>
        </w:trPr>
        <w:tc>
          <w:tcPr>
            <w:tcW w:w="2059" w:type="pct"/>
            <w:vAlign w:val="bottom"/>
          </w:tcPr>
          <w:p w14:paraId="51631ACD" w14:textId="77777777" w:rsidR="00B57DDF" w:rsidRPr="00226892" w:rsidRDefault="00B57DDF" w:rsidP="00512880">
            <w:pPr>
              <w:pStyle w:val="Default"/>
              <w:widowControl w:val="0"/>
              <w:ind w:left="113" w:right="-57" w:hanging="113"/>
              <w:rPr>
                <w:rFonts w:ascii="Arial" w:hAnsi="Arial" w:cs="Arial"/>
                <w:spacing w:val="-2"/>
                <w:sz w:val="18"/>
                <w:szCs w:val="18"/>
                <w:lang w:val="en-US"/>
              </w:rPr>
            </w:pPr>
            <w:proofErr w:type="spellStart"/>
            <w:r w:rsidRPr="00226892">
              <w:rPr>
                <w:rFonts w:ascii="Arial" w:hAnsi="Arial" w:cs="Arial"/>
                <w:spacing w:val="-2"/>
                <w:sz w:val="18"/>
                <w:szCs w:val="18"/>
                <w:lang w:val="en-US"/>
              </w:rPr>
              <w:t>Splátky</w:t>
            </w:r>
            <w:proofErr w:type="spellEnd"/>
            <w:r w:rsidRPr="00226892">
              <w:rPr>
                <w:rFonts w:ascii="Arial" w:hAnsi="Arial" w:cs="Arial"/>
                <w:spacing w:val="-2"/>
                <w:sz w:val="18"/>
                <w:szCs w:val="18"/>
                <w:lang w:val="en-US"/>
              </w:rPr>
              <w:t xml:space="preserve"> </w:t>
            </w:r>
            <w:proofErr w:type="spellStart"/>
            <w:r w:rsidRPr="00226892">
              <w:rPr>
                <w:rFonts w:ascii="Arial" w:hAnsi="Arial" w:cs="Arial"/>
                <w:spacing w:val="-2"/>
                <w:sz w:val="18"/>
                <w:szCs w:val="18"/>
                <w:lang w:val="en-US"/>
              </w:rPr>
              <w:t>finančného</w:t>
            </w:r>
            <w:proofErr w:type="spellEnd"/>
            <w:r w:rsidRPr="00226892">
              <w:rPr>
                <w:rFonts w:ascii="Arial" w:hAnsi="Arial" w:cs="Arial"/>
                <w:spacing w:val="-2"/>
                <w:sz w:val="18"/>
                <w:szCs w:val="18"/>
                <w:lang w:val="en-US"/>
              </w:rPr>
              <w:t xml:space="preserve"> </w:t>
            </w:r>
            <w:proofErr w:type="spellStart"/>
            <w:r w:rsidRPr="00226892">
              <w:rPr>
                <w:rFonts w:ascii="Arial" w:hAnsi="Arial" w:cs="Arial"/>
                <w:spacing w:val="-2"/>
                <w:sz w:val="18"/>
                <w:szCs w:val="18"/>
                <w:lang w:val="en-US"/>
              </w:rPr>
              <w:t>leasingu</w:t>
            </w:r>
            <w:proofErr w:type="spellEnd"/>
          </w:p>
        </w:tc>
        <w:tc>
          <w:tcPr>
            <w:tcW w:w="588" w:type="pct"/>
            <w:vAlign w:val="bottom"/>
          </w:tcPr>
          <w:p w14:paraId="62080EF3" w14:textId="3EEE6A9C" w:rsidR="00B57DDF" w:rsidRPr="00226892" w:rsidRDefault="00B57DDF" w:rsidP="00AA6F32">
            <w:pPr>
              <w:pStyle w:val="Default"/>
              <w:widowControl w:val="0"/>
              <w:jc w:val="right"/>
              <w:rPr>
                <w:rFonts w:ascii="Arial" w:hAnsi="Arial" w:cs="Arial"/>
                <w:spacing w:val="-2"/>
                <w:sz w:val="18"/>
                <w:szCs w:val="18"/>
                <w:lang w:val="en-US"/>
              </w:rPr>
            </w:pPr>
            <w:r w:rsidRPr="00226892">
              <w:rPr>
                <w:rFonts w:ascii="Arial" w:hAnsi="Arial" w:cs="Arial"/>
                <w:spacing w:val="-2"/>
                <w:sz w:val="18"/>
                <w:szCs w:val="18"/>
                <w:lang w:val="en-US"/>
              </w:rPr>
              <w:t>-</w:t>
            </w:r>
          </w:p>
        </w:tc>
        <w:tc>
          <w:tcPr>
            <w:tcW w:w="588" w:type="pct"/>
            <w:vAlign w:val="bottom"/>
          </w:tcPr>
          <w:p w14:paraId="6A32705E" w14:textId="5C0367A9" w:rsidR="00B57DDF" w:rsidRPr="00226892" w:rsidRDefault="00B57DDF" w:rsidP="00AA6F32">
            <w:pPr>
              <w:pStyle w:val="Default"/>
              <w:widowControl w:val="0"/>
              <w:jc w:val="right"/>
              <w:rPr>
                <w:rFonts w:ascii="Arial" w:hAnsi="Arial" w:cs="Arial"/>
                <w:spacing w:val="-2"/>
                <w:sz w:val="18"/>
                <w:szCs w:val="18"/>
                <w:lang w:val="en-US"/>
              </w:rPr>
            </w:pPr>
            <w:r w:rsidRPr="00226892">
              <w:rPr>
                <w:rFonts w:ascii="Arial" w:hAnsi="Arial" w:cs="Arial"/>
                <w:spacing w:val="-2"/>
                <w:sz w:val="18"/>
                <w:szCs w:val="18"/>
                <w:lang w:val="en-US"/>
              </w:rPr>
              <w:t>-667</w:t>
            </w:r>
          </w:p>
        </w:tc>
        <w:tc>
          <w:tcPr>
            <w:tcW w:w="588" w:type="pct"/>
            <w:vAlign w:val="bottom"/>
          </w:tcPr>
          <w:p w14:paraId="2C0DBC29" w14:textId="5B7CB7A4" w:rsidR="00B57DDF" w:rsidRPr="00226892" w:rsidRDefault="00B57DDF" w:rsidP="00AA6F32">
            <w:pPr>
              <w:pStyle w:val="Default"/>
              <w:widowControl w:val="0"/>
              <w:jc w:val="right"/>
              <w:rPr>
                <w:rFonts w:ascii="Arial" w:hAnsi="Arial" w:cs="Arial"/>
                <w:spacing w:val="-2"/>
                <w:sz w:val="18"/>
                <w:szCs w:val="18"/>
                <w:lang w:val="en-US"/>
              </w:rPr>
            </w:pPr>
            <w:r w:rsidRPr="00226892">
              <w:rPr>
                <w:rFonts w:ascii="Arial" w:hAnsi="Arial" w:cs="Arial"/>
                <w:spacing w:val="-2"/>
                <w:sz w:val="18"/>
                <w:szCs w:val="18"/>
                <w:lang w:val="en-US"/>
              </w:rPr>
              <w:t>-</w:t>
            </w:r>
          </w:p>
        </w:tc>
        <w:tc>
          <w:tcPr>
            <w:tcW w:w="588" w:type="pct"/>
            <w:vAlign w:val="bottom"/>
          </w:tcPr>
          <w:p w14:paraId="6CF9E3CA" w14:textId="5A9DE7AB" w:rsidR="00B57DDF" w:rsidRPr="00226892" w:rsidRDefault="00B57DDF" w:rsidP="00AA6F32">
            <w:pPr>
              <w:pStyle w:val="Default"/>
              <w:widowControl w:val="0"/>
              <w:jc w:val="right"/>
              <w:rPr>
                <w:rFonts w:ascii="Arial" w:hAnsi="Arial" w:cs="Arial"/>
                <w:spacing w:val="-2"/>
                <w:sz w:val="18"/>
                <w:szCs w:val="18"/>
                <w:lang w:val="en-US"/>
              </w:rPr>
            </w:pPr>
            <w:r w:rsidRPr="00226892">
              <w:rPr>
                <w:rFonts w:ascii="Arial" w:hAnsi="Arial" w:cs="Arial"/>
                <w:spacing w:val="-2"/>
                <w:sz w:val="18"/>
                <w:szCs w:val="18"/>
                <w:lang w:val="en-US"/>
              </w:rPr>
              <w:t>-</w:t>
            </w:r>
          </w:p>
        </w:tc>
        <w:tc>
          <w:tcPr>
            <w:tcW w:w="588" w:type="pct"/>
            <w:vAlign w:val="bottom"/>
          </w:tcPr>
          <w:p w14:paraId="25F84DF5" w14:textId="2C5C913C" w:rsidR="00B57DDF" w:rsidRPr="00226892" w:rsidRDefault="00B57DDF" w:rsidP="00AA6F32">
            <w:pPr>
              <w:pStyle w:val="Default"/>
              <w:widowControl w:val="0"/>
              <w:jc w:val="right"/>
              <w:rPr>
                <w:rFonts w:ascii="Arial" w:hAnsi="Arial" w:cs="Arial"/>
                <w:b/>
                <w:bCs/>
                <w:spacing w:val="-2"/>
                <w:sz w:val="18"/>
                <w:szCs w:val="18"/>
                <w:lang w:val="en-US"/>
              </w:rPr>
            </w:pPr>
            <w:r w:rsidRPr="00226892">
              <w:rPr>
                <w:rFonts w:ascii="Arial" w:hAnsi="Arial" w:cs="Arial"/>
                <w:b/>
                <w:bCs/>
                <w:spacing w:val="-2"/>
                <w:sz w:val="18"/>
                <w:szCs w:val="18"/>
                <w:lang w:val="en-US"/>
              </w:rPr>
              <w:t>-667</w:t>
            </w:r>
          </w:p>
        </w:tc>
      </w:tr>
      <w:tr w:rsidR="00B57DDF" w:rsidRPr="00226892" w14:paraId="17983410" w14:textId="77777777" w:rsidTr="00E57F66">
        <w:trPr>
          <w:cantSplit/>
        </w:trPr>
        <w:tc>
          <w:tcPr>
            <w:tcW w:w="2059" w:type="pct"/>
            <w:tcBorders>
              <w:bottom w:val="single" w:sz="4" w:space="0" w:color="auto"/>
            </w:tcBorders>
            <w:vAlign w:val="bottom"/>
          </w:tcPr>
          <w:p w14:paraId="14F0108B" w14:textId="77777777" w:rsidR="00B57DDF" w:rsidRPr="00226892" w:rsidRDefault="00B57DDF" w:rsidP="00512880">
            <w:pPr>
              <w:pStyle w:val="Default"/>
              <w:widowControl w:val="0"/>
              <w:ind w:left="113" w:right="-57" w:hanging="113"/>
              <w:rPr>
                <w:rFonts w:ascii="Arial" w:hAnsi="Arial" w:cs="Arial"/>
                <w:spacing w:val="-2"/>
                <w:sz w:val="18"/>
                <w:szCs w:val="18"/>
              </w:rPr>
            </w:pPr>
          </w:p>
        </w:tc>
        <w:tc>
          <w:tcPr>
            <w:tcW w:w="588" w:type="pct"/>
            <w:tcBorders>
              <w:bottom w:val="single" w:sz="4" w:space="0" w:color="auto"/>
            </w:tcBorders>
            <w:vAlign w:val="bottom"/>
          </w:tcPr>
          <w:p w14:paraId="58B761F0" w14:textId="77777777" w:rsidR="00B57DDF" w:rsidRPr="00226892" w:rsidRDefault="00B57DDF" w:rsidP="00AA6F32">
            <w:pPr>
              <w:pStyle w:val="Default"/>
              <w:widowControl w:val="0"/>
              <w:jc w:val="right"/>
              <w:rPr>
                <w:rFonts w:ascii="Arial" w:hAnsi="Arial" w:cs="Arial"/>
                <w:spacing w:val="-2"/>
                <w:sz w:val="18"/>
                <w:szCs w:val="18"/>
              </w:rPr>
            </w:pPr>
          </w:p>
        </w:tc>
        <w:tc>
          <w:tcPr>
            <w:tcW w:w="588" w:type="pct"/>
            <w:tcBorders>
              <w:bottom w:val="single" w:sz="4" w:space="0" w:color="auto"/>
            </w:tcBorders>
            <w:vAlign w:val="bottom"/>
          </w:tcPr>
          <w:p w14:paraId="0E350BEF" w14:textId="77777777" w:rsidR="00B57DDF" w:rsidRPr="00226892" w:rsidRDefault="00B57DDF" w:rsidP="00AA6F32">
            <w:pPr>
              <w:pStyle w:val="Default"/>
              <w:widowControl w:val="0"/>
              <w:jc w:val="right"/>
              <w:rPr>
                <w:rFonts w:ascii="Arial" w:hAnsi="Arial" w:cs="Arial"/>
                <w:spacing w:val="-2"/>
                <w:sz w:val="18"/>
                <w:szCs w:val="18"/>
              </w:rPr>
            </w:pPr>
          </w:p>
        </w:tc>
        <w:tc>
          <w:tcPr>
            <w:tcW w:w="588" w:type="pct"/>
            <w:tcBorders>
              <w:bottom w:val="single" w:sz="4" w:space="0" w:color="auto"/>
            </w:tcBorders>
            <w:vAlign w:val="bottom"/>
          </w:tcPr>
          <w:p w14:paraId="241777D7" w14:textId="77777777" w:rsidR="00B57DDF" w:rsidRPr="00226892" w:rsidRDefault="00B57DDF" w:rsidP="00AA6F32">
            <w:pPr>
              <w:pStyle w:val="Default"/>
              <w:widowControl w:val="0"/>
              <w:jc w:val="right"/>
              <w:rPr>
                <w:rFonts w:ascii="Arial" w:hAnsi="Arial" w:cs="Arial"/>
                <w:spacing w:val="-2"/>
                <w:sz w:val="18"/>
                <w:szCs w:val="18"/>
              </w:rPr>
            </w:pPr>
          </w:p>
        </w:tc>
        <w:tc>
          <w:tcPr>
            <w:tcW w:w="588" w:type="pct"/>
            <w:tcBorders>
              <w:bottom w:val="single" w:sz="4" w:space="0" w:color="auto"/>
            </w:tcBorders>
            <w:vAlign w:val="bottom"/>
          </w:tcPr>
          <w:p w14:paraId="78263CC3" w14:textId="77777777" w:rsidR="00B57DDF" w:rsidRPr="00226892" w:rsidRDefault="00B57DDF" w:rsidP="00AA6F32">
            <w:pPr>
              <w:pStyle w:val="Default"/>
              <w:widowControl w:val="0"/>
              <w:jc w:val="right"/>
              <w:rPr>
                <w:rFonts w:ascii="Arial" w:hAnsi="Arial" w:cs="Arial"/>
                <w:spacing w:val="-2"/>
                <w:sz w:val="18"/>
                <w:szCs w:val="18"/>
              </w:rPr>
            </w:pPr>
          </w:p>
        </w:tc>
        <w:tc>
          <w:tcPr>
            <w:tcW w:w="588" w:type="pct"/>
            <w:tcBorders>
              <w:bottom w:val="single" w:sz="4" w:space="0" w:color="auto"/>
            </w:tcBorders>
            <w:vAlign w:val="bottom"/>
          </w:tcPr>
          <w:p w14:paraId="335D266F" w14:textId="53DD9EE9" w:rsidR="00B57DDF" w:rsidRPr="00226892" w:rsidRDefault="00B57DDF" w:rsidP="00AA6F32">
            <w:pPr>
              <w:pStyle w:val="Default"/>
              <w:widowControl w:val="0"/>
              <w:jc w:val="right"/>
              <w:rPr>
                <w:rFonts w:ascii="Arial" w:hAnsi="Arial" w:cs="Arial"/>
                <w:b/>
                <w:bCs/>
                <w:spacing w:val="-2"/>
                <w:sz w:val="18"/>
                <w:szCs w:val="18"/>
              </w:rPr>
            </w:pPr>
          </w:p>
        </w:tc>
      </w:tr>
      <w:tr w:rsidR="00B57DDF" w:rsidRPr="00226892" w14:paraId="60DCF8C8" w14:textId="77777777" w:rsidTr="00E57F66">
        <w:trPr>
          <w:cantSplit/>
        </w:trPr>
        <w:tc>
          <w:tcPr>
            <w:tcW w:w="2059" w:type="pct"/>
            <w:tcBorders>
              <w:top w:val="single" w:sz="4" w:space="0" w:color="auto"/>
            </w:tcBorders>
            <w:vAlign w:val="bottom"/>
          </w:tcPr>
          <w:p w14:paraId="45120515" w14:textId="77777777" w:rsidR="00B57DDF" w:rsidRPr="00226892" w:rsidRDefault="00B57DDF" w:rsidP="00512880">
            <w:pPr>
              <w:pStyle w:val="Default"/>
              <w:widowControl w:val="0"/>
              <w:ind w:left="113" w:right="-57" w:hanging="113"/>
              <w:rPr>
                <w:rFonts w:ascii="Arial" w:hAnsi="Arial" w:cs="Arial"/>
                <w:b/>
                <w:bCs/>
                <w:spacing w:val="-2"/>
                <w:sz w:val="18"/>
                <w:szCs w:val="18"/>
                <w:lang w:val="en-US"/>
              </w:rPr>
            </w:pPr>
          </w:p>
        </w:tc>
        <w:tc>
          <w:tcPr>
            <w:tcW w:w="588" w:type="pct"/>
            <w:tcBorders>
              <w:top w:val="single" w:sz="4" w:space="0" w:color="auto"/>
            </w:tcBorders>
            <w:vAlign w:val="bottom"/>
          </w:tcPr>
          <w:p w14:paraId="5F59C41A" w14:textId="77777777" w:rsidR="00B57DDF" w:rsidRPr="00226892" w:rsidRDefault="00B57DDF" w:rsidP="00AA6F32">
            <w:pPr>
              <w:pStyle w:val="Default"/>
              <w:widowControl w:val="0"/>
              <w:jc w:val="right"/>
              <w:rPr>
                <w:rFonts w:ascii="Arial" w:hAnsi="Arial" w:cs="Arial"/>
                <w:spacing w:val="-2"/>
                <w:sz w:val="18"/>
                <w:szCs w:val="18"/>
                <w:lang w:val="en-US"/>
              </w:rPr>
            </w:pPr>
          </w:p>
        </w:tc>
        <w:tc>
          <w:tcPr>
            <w:tcW w:w="588" w:type="pct"/>
            <w:tcBorders>
              <w:top w:val="single" w:sz="4" w:space="0" w:color="auto"/>
            </w:tcBorders>
            <w:vAlign w:val="bottom"/>
          </w:tcPr>
          <w:p w14:paraId="11C5129C" w14:textId="77777777" w:rsidR="00B57DDF" w:rsidRPr="00226892" w:rsidRDefault="00B57DDF" w:rsidP="00AA6F32">
            <w:pPr>
              <w:pStyle w:val="Default"/>
              <w:widowControl w:val="0"/>
              <w:jc w:val="right"/>
              <w:rPr>
                <w:rFonts w:ascii="Arial" w:hAnsi="Arial" w:cs="Arial"/>
                <w:spacing w:val="-2"/>
                <w:sz w:val="18"/>
                <w:szCs w:val="18"/>
                <w:lang w:val="en-US"/>
              </w:rPr>
            </w:pPr>
          </w:p>
        </w:tc>
        <w:tc>
          <w:tcPr>
            <w:tcW w:w="588" w:type="pct"/>
            <w:tcBorders>
              <w:top w:val="single" w:sz="4" w:space="0" w:color="auto"/>
            </w:tcBorders>
            <w:vAlign w:val="bottom"/>
          </w:tcPr>
          <w:p w14:paraId="50679322" w14:textId="77777777" w:rsidR="00B57DDF" w:rsidRPr="00226892" w:rsidRDefault="00B57DDF" w:rsidP="00AA6F32">
            <w:pPr>
              <w:pStyle w:val="Default"/>
              <w:widowControl w:val="0"/>
              <w:jc w:val="right"/>
              <w:rPr>
                <w:rFonts w:ascii="Arial" w:hAnsi="Arial" w:cs="Arial"/>
                <w:spacing w:val="-2"/>
                <w:sz w:val="18"/>
                <w:szCs w:val="18"/>
                <w:lang w:val="en-US"/>
              </w:rPr>
            </w:pPr>
          </w:p>
        </w:tc>
        <w:tc>
          <w:tcPr>
            <w:tcW w:w="588" w:type="pct"/>
            <w:tcBorders>
              <w:top w:val="single" w:sz="4" w:space="0" w:color="auto"/>
            </w:tcBorders>
            <w:vAlign w:val="bottom"/>
          </w:tcPr>
          <w:p w14:paraId="12CA61B5" w14:textId="77777777" w:rsidR="00B57DDF" w:rsidRPr="00226892" w:rsidRDefault="00B57DDF" w:rsidP="00AA6F32">
            <w:pPr>
              <w:pStyle w:val="Default"/>
              <w:widowControl w:val="0"/>
              <w:jc w:val="right"/>
              <w:rPr>
                <w:rFonts w:ascii="Arial" w:hAnsi="Arial" w:cs="Arial"/>
                <w:spacing w:val="-2"/>
                <w:sz w:val="18"/>
                <w:szCs w:val="18"/>
                <w:lang w:val="en-US"/>
              </w:rPr>
            </w:pPr>
          </w:p>
        </w:tc>
        <w:tc>
          <w:tcPr>
            <w:tcW w:w="588" w:type="pct"/>
            <w:tcBorders>
              <w:top w:val="single" w:sz="4" w:space="0" w:color="auto"/>
            </w:tcBorders>
            <w:vAlign w:val="bottom"/>
          </w:tcPr>
          <w:p w14:paraId="30845C7D" w14:textId="6DF60929" w:rsidR="00B57DDF" w:rsidRPr="00226892" w:rsidRDefault="00B57DDF" w:rsidP="00AA6F32">
            <w:pPr>
              <w:pStyle w:val="Default"/>
              <w:widowControl w:val="0"/>
              <w:jc w:val="right"/>
              <w:rPr>
                <w:rFonts w:ascii="Arial" w:hAnsi="Arial" w:cs="Arial"/>
                <w:b/>
                <w:bCs/>
                <w:spacing w:val="-2"/>
                <w:sz w:val="18"/>
                <w:szCs w:val="18"/>
                <w:lang w:val="en-US"/>
              </w:rPr>
            </w:pPr>
          </w:p>
        </w:tc>
      </w:tr>
      <w:tr w:rsidR="00B57DDF" w:rsidRPr="00226892" w14:paraId="048915DD" w14:textId="77777777" w:rsidTr="00E57F66">
        <w:trPr>
          <w:cantSplit/>
        </w:trPr>
        <w:tc>
          <w:tcPr>
            <w:tcW w:w="2059" w:type="pct"/>
            <w:tcBorders>
              <w:left w:val="nil"/>
              <w:bottom w:val="nil"/>
              <w:right w:val="nil"/>
            </w:tcBorders>
            <w:vAlign w:val="bottom"/>
            <w:hideMark/>
          </w:tcPr>
          <w:p w14:paraId="1840F48A" w14:textId="626E4F5D" w:rsidR="00B57DDF" w:rsidRPr="00226892" w:rsidRDefault="00B57DDF" w:rsidP="00512880">
            <w:pPr>
              <w:pStyle w:val="Default"/>
              <w:widowControl w:val="0"/>
              <w:ind w:right="-57"/>
              <w:rPr>
                <w:rFonts w:ascii="Arial" w:hAnsi="Arial" w:cs="Arial"/>
                <w:b/>
                <w:bCs/>
                <w:spacing w:val="-2"/>
                <w:sz w:val="18"/>
                <w:szCs w:val="18"/>
                <w:lang w:val="en-US"/>
              </w:rPr>
            </w:pPr>
            <w:proofErr w:type="spellStart"/>
            <w:r w:rsidRPr="00226892">
              <w:rPr>
                <w:rFonts w:ascii="Arial" w:hAnsi="Arial" w:cs="Arial"/>
                <w:b/>
                <w:bCs/>
                <w:spacing w:val="-2"/>
                <w:sz w:val="18"/>
                <w:szCs w:val="18"/>
                <w:lang w:val="en-US"/>
              </w:rPr>
              <w:t>Záväzky</w:t>
            </w:r>
            <w:proofErr w:type="spellEnd"/>
            <w:r w:rsidRPr="00226892">
              <w:rPr>
                <w:rFonts w:ascii="Arial" w:hAnsi="Arial" w:cs="Arial"/>
                <w:b/>
                <w:bCs/>
                <w:spacing w:val="-2"/>
                <w:sz w:val="18"/>
                <w:szCs w:val="18"/>
                <w:lang w:val="en-US"/>
              </w:rPr>
              <w:t xml:space="preserve"> </w:t>
            </w:r>
            <w:proofErr w:type="spellStart"/>
            <w:r w:rsidRPr="00226892">
              <w:rPr>
                <w:rFonts w:ascii="Arial" w:hAnsi="Arial" w:cs="Arial"/>
                <w:b/>
                <w:bCs/>
                <w:spacing w:val="-2"/>
                <w:sz w:val="18"/>
                <w:szCs w:val="18"/>
                <w:lang w:val="en-US"/>
              </w:rPr>
              <w:t>vykázané</w:t>
            </w:r>
            <w:proofErr w:type="spellEnd"/>
            <w:r w:rsidRPr="00226892">
              <w:rPr>
                <w:rFonts w:ascii="Arial" w:hAnsi="Arial" w:cs="Arial"/>
                <w:b/>
                <w:bCs/>
                <w:spacing w:val="-2"/>
                <w:sz w:val="18"/>
                <w:szCs w:val="18"/>
                <w:lang w:val="en-US"/>
              </w:rPr>
              <w:t xml:space="preserve"> v </w:t>
            </w:r>
            <w:proofErr w:type="spellStart"/>
            <w:r w:rsidRPr="00226892">
              <w:rPr>
                <w:rFonts w:ascii="Arial" w:hAnsi="Arial" w:cs="Arial"/>
                <w:b/>
                <w:bCs/>
                <w:spacing w:val="-2"/>
                <w:sz w:val="18"/>
                <w:szCs w:val="18"/>
                <w:lang w:val="en-US"/>
              </w:rPr>
              <w:t>peňažných</w:t>
            </w:r>
            <w:proofErr w:type="spellEnd"/>
            <w:r w:rsidRPr="00226892">
              <w:rPr>
                <w:rFonts w:ascii="Arial" w:hAnsi="Arial" w:cs="Arial"/>
                <w:b/>
                <w:bCs/>
                <w:spacing w:val="-2"/>
                <w:sz w:val="18"/>
                <w:szCs w:val="18"/>
                <w:lang w:val="en-US"/>
              </w:rPr>
              <w:t xml:space="preserve"> </w:t>
            </w:r>
            <w:proofErr w:type="spellStart"/>
            <w:r w:rsidRPr="00226892">
              <w:rPr>
                <w:rFonts w:ascii="Arial" w:hAnsi="Arial" w:cs="Arial"/>
                <w:b/>
                <w:bCs/>
                <w:spacing w:val="-2"/>
                <w:sz w:val="18"/>
                <w:szCs w:val="18"/>
                <w:lang w:val="en-US"/>
              </w:rPr>
              <w:t>tokoch</w:t>
            </w:r>
            <w:proofErr w:type="spellEnd"/>
            <w:r w:rsidRPr="00226892">
              <w:rPr>
                <w:rFonts w:ascii="Arial" w:hAnsi="Arial" w:cs="Arial"/>
                <w:b/>
                <w:bCs/>
                <w:spacing w:val="-2"/>
                <w:sz w:val="18"/>
                <w:szCs w:val="18"/>
                <w:lang w:val="en-US"/>
              </w:rPr>
              <w:t xml:space="preserve"> z </w:t>
            </w:r>
            <w:proofErr w:type="spellStart"/>
            <w:r w:rsidRPr="00226892">
              <w:rPr>
                <w:rFonts w:ascii="Arial" w:hAnsi="Arial" w:cs="Arial"/>
                <w:b/>
                <w:bCs/>
                <w:spacing w:val="-2"/>
                <w:sz w:val="18"/>
                <w:szCs w:val="18"/>
                <w:lang w:val="en-US"/>
              </w:rPr>
              <w:t>finančnej</w:t>
            </w:r>
            <w:proofErr w:type="spellEnd"/>
            <w:r w:rsidRPr="00226892">
              <w:rPr>
                <w:rFonts w:ascii="Arial" w:hAnsi="Arial" w:cs="Arial"/>
                <w:b/>
                <w:bCs/>
                <w:spacing w:val="-2"/>
                <w:sz w:val="18"/>
                <w:szCs w:val="18"/>
                <w:lang w:val="en-US"/>
              </w:rPr>
              <w:t xml:space="preserve"> </w:t>
            </w:r>
            <w:proofErr w:type="spellStart"/>
            <w:r w:rsidRPr="00226892">
              <w:rPr>
                <w:rFonts w:ascii="Arial" w:hAnsi="Arial" w:cs="Arial"/>
                <w:b/>
                <w:bCs/>
                <w:spacing w:val="-2"/>
                <w:sz w:val="18"/>
                <w:szCs w:val="18"/>
                <w:lang w:val="en-US"/>
              </w:rPr>
              <w:t>činnosti</w:t>
            </w:r>
            <w:proofErr w:type="spellEnd"/>
            <w:r w:rsidRPr="00226892">
              <w:rPr>
                <w:rFonts w:ascii="Arial" w:hAnsi="Arial" w:cs="Arial"/>
                <w:b/>
                <w:bCs/>
                <w:spacing w:val="-2"/>
                <w:sz w:val="18"/>
                <w:szCs w:val="18"/>
                <w:lang w:val="en-US"/>
              </w:rPr>
              <w:t xml:space="preserve"> k 31. </w:t>
            </w:r>
            <w:proofErr w:type="spellStart"/>
            <w:r w:rsidRPr="00226892">
              <w:rPr>
                <w:rFonts w:ascii="Arial" w:hAnsi="Arial" w:cs="Arial"/>
                <w:b/>
                <w:bCs/>
                <w:spacing w:val="-2"/>
                <w:sz w:val="18"/>
                <w:szCs w:val="18"/>
                <w:lang w:val="en-US"/>
              </w:rPr>
              <w:t>decembru</w:t>
            </w:r>
            <w:proofErr w:type="spellEnd"/>
            <w:r w:rsidRPr="00226892">
              <w:rPr>
                <w:rFonts w:ascii="Arial" w:hAnsi="Arial" w:cs="Arial"/>
                <w:b/>
                <w:bCs/>
                <w:spacing w:val="-2"/>
                <w:sz w:val="18"/>
                <w:szCs w:val="18"/>
                <w:lang w:val="en-US"/>
              </w:rPr>
              <w:t xml:space="preserve"> 2017</w:t>
            </w:r>
          </w:p>
        </w:tc>
        <w:tc>
          <w:tcPr>
            <w:tcW w:w="588" w:type="pct"/>
            <w:tcBorders>
              <w:left w:val="nil"/>
              <w:bottom w:val="nil"/>
              <w:right w:val="nil"/>
            </w:tcBorders>
            <w:vAlign w:val="bottom"/>
          </w:tcPr>
          <w:p w14:paraId="0EF20A7B" w14:textId="554A41A1" w:rsidR="00B57DDF" w:rsidRPr="00226892" w:rsidRDefault="00B57DDF" w:rsidP="00AA6F32">
            <w:pPr>
              <w:pStyle w:val="Default"/>
              <w:widowControl w:val="0"/>
              <w:jc w:val="right"/>
              <w:rPr>
                <w:rFonts w:ascii="Arial" w:hAnsi="Arial" w:cs="Arial"/>
                <w:b/>
                <w:bCs/>
                <w:spacing w:val="-2"/>
                <w:sz w:val="18"/>
                <w:szCs w:val="18"/>
                <w:lang w:val="en-US"/>
              </w:rPr>
            </w:pPr>
            <w:r w:rsidRPr="00226892">
              <w:rPr>
                <w:rFonts w:ascii="Arial" w:hAnsi="Arial" w:cs="Arial"/>
                <w:b/>
                <w:bCs/>
                <w:spacing w:val="-2"/>
                <w:sz w:val="18"/>
                <w:szCs w:val="18"/>
                <w:lang w:val="en-US"/>
              </w:rPr>
              <w:t>45 792</w:t>
            </w:r>
          </w:p>
        </w:tc>
        <w:tc>
          <w:tcPr>
            <w:tcW w:w="588" w:type="pct"/>
            <w:tcBorders>
              <w:left w:val="nil"/>
              <w:bottom w:val="nil"/>
              <w:right w:val="nil"/>
            </w:tcBorders>
            <w:vAlign w:val="bottom"/>
          </w:tcPr>
          <w:p w14:paraId="7688DAEF" w14:textId="42D4DE75" w:rsidR="00B57DDF" w:rsidRPr="00226892" w:rsidRDefault="00B57DDF" w:rsidP="00AA6F32">
            <w:pPr>
              <w:pStyle w:val="Default"/>
              <w:widowControl w:val="0"/>
              <w:jc w:val="right"/>
              <w:rPr>
                <w:rFonts w:ascii="Arial" w:hAnsi="Arial" w:cs="Arial"/>
                <w:b/>
                <w:bCs/>
                <w:spacing w:val="-2"/>
                <w:sz w:val="18"/>
                <w:szCs w:val="18"/>
                <w:lang w:val="en-US"/>
              </w:rPr>
            </w:pPr>
            <w:r w:rsidRPr="00226892">
              <w:rPr>
                <w:rFonts w:ascii="Arial" w:hAnsi="Arial" w:cs="Arial"/>
                <w:b/>
                <w:bCs/>
                <w:spacing w:val="-2"/>
                <w:sz w:val="18"/>
                <w:szCs w:val="18"/>
                <w:lang w:val="en-US"/>
              </w:rPr>
              <w:t>849</w:t>
            </w:r>
          </w:p>
        </w:tc>
        <w:tc>
          <w:tcPr>
            <w:tcW w:w="588" w:type="pct"/>
            <w:tcBorders>
              <w:left w:val="nil"/>
              <w:bottom w:val="nil"/>
              <w:right w:val="nil"/>
            </w:tcBorders>
            <w:vAlign w:val="bottom"/>
          </w:tcPr>
          <w:p w14:paraId="7B44033F" w14:textId="2C6E9CCA" w:rsidR="00B57DDF" w:rsidRPr="00226892" w:rsidRDefault="00B57DDF" w:rsidP="00AA6F32">
            <w:pPr>
              <w:pStyle w:val="Default"/>
              <w:widowControl w:val="0"/>
              <w:jc w:val="right"/>
              <w:rPr>
                <w:rFonts w:ascii="Arial" w:hAnsi="Arial" w:cs="Arial"/>
                <w:b/>
                <w:bCs/>
                <w:spacing w:val="-2"/>
                <w:sz w:val="18"/>
                <w:szCs w:val="18"/>
                <w:lang w:val="en-US"/>
              </w:rPr>
            </w:pPr>
            <w:r w:rsidRPr="00226892">
              <w:rPr>
                <w:rFonts w:ascii="Arial" w:hAnsi="Arial" w:cs="Arial"/>
                <w:b/>
                <w:bCs/>
                <w:spacing w:val="-2"/>
                <w:sz w:val="18"/>
                <w:szCs w:val="18"/>
                <w:lang w:val="en-US"/>
              </w:rPr>
              <w:t>6 876</w:t>
            </w:r>
          </w:p>
        </w:tc>
        <w:tc>
          <w:tcPr>
            <w:tcW w:w="588" w:type="pct"/>
            <w:tcBorders>
              <w:left w:val="nil"/>
              <w:bottom w:val="nil"/>
              <w:right w:val="nil"/>
            </w:tcBorders>
            <w:vAlign w:val="bottom"/>
          </w:tcPr>
          <w:p w14:paraId="6DF1DB9E" w14:textId="1A222DEF" w:rsidR="00B57DDF" w:rsidRPr="00226892" w:rsidRDefault="00B57DDF" w:rsidP="00AA6F32">
            <w:pPr>
              <w:pStyle w:val="Default"/>
              <w:widowControl w:val="0"/>
              <w:jc w:val="right"/>
              <w:rPr>
                <w:rFonts w:ascii="Arial" w:hAnsi="Arial" w:cs="Arial"/>
                <w:b/>
                <w:bCs/>
                <w:spacing w:val="-2"/>
                <w:sz w:val="18"/>
                <w:szCs w:val="18"/>
                <w:lang w:val="en-US"/>
              </w:rPr>
            </w:pPr>
            <w:r w:rsidRPr="00226892">
              <w:rPr>
                <w:rFonts w:ascii="Arial" w:hAnsi="Arial" w:cs="Arial"/>
                <w:b/>
                <w:bCs/>
                <w:spacing w:val="-2"/>
                <w:sz w:val="18"/>
                <w:szCs w:val="18"/>
                <w:lang w:val="en-US"/>
              </w:rPr>
              <w:t>-</w:t>
            </w:r>
          </w:p>
        </w:tc>
        <w:tc>
          <w:tcPr>
            <w:tcW w:w="588" w:type="pct"/>
            <w:tcBorders>
              <w:left w:val="nil"/>
              <w:bottom w:val="nil"/>
              <w:right w:val="nil"/>
            </w:tcBorders>
            <w:vAlign w:val="bottom"/>
          </w:tcPr>
          <w:p w14:paraId="7B3D94F9" w14:textId="4291241D" w:rsidR="00B57DDF" w:rsidRPr="00226892" w:rsidRDefault="00B57DDF" w:rsidP="00AA6F32">
            <w:pPr>
              <w:pStyle w:val="Default"/>
              <w:widowControl w:val="0"/>
              <w:jc w:val="right"/>
              <w:rPr>
                <w:rFonts w:ascii="Arial" w:hAnsi="Arial" w:cs="Arial"/>
                <w:b/>
                <w:bCs/>
                <w:spacing w:val="-2"/>
                <w:sz w:val="18"/>
                <w:szCs w:val="18"/>
                <w:lang w:val="en-US"/>
              </w:rPr>
            </w:pPr>
            <w:r w:rsidRPr="00226892">
              <w:rPr>
                <w:rFonts w:ascii="Arial" w:hAnsi="Arial" w:cs="Arial"/>
                <w:b/>
                <w:bCs/>
                <w:spacing w:val="-2"/>
                <w:sz w:val="18"/>
                <w:szCs w:val="18"/>
                <w:lang w:val="en-US"/>
              </w:rPr>
              <w:t>53 517</w:t>
            </w:r>
          </w:p>
        </w:tc>
      </w:tr>
      <w:tr w:rsidR="00B57DDF" w:rsidRPr="00226892" w14:paraId="5F7EA220" w14:textId="77777777" w:rsidTr="00E57F66">
        <w:trPr>
          <w:cantSplit/>
        </w:trPr>
        <w:tc>
          <w:tcPr>
            <w:tcW w:w="2059" w:type="pct"/>
            <w:vAlign w:val="bottom"/>
          </w:tcPr>
          <w:p w14:paraId="1A186713" w14:textId="77777777" w:rsidR="00B57DDF" w:rsidRPr="00226892" w:rsidRDefault="00B57DDF" w:rsidP="00512880">
            <w:pPr>
              <w:pStyle w:val="Default"/>
              <w:widowControl w:val="0"/>
              <w:ind w:left="113" w:right="-57" w:hanging="113"/>
              <w:rPr>
                <w:rFonts w:ascii="Arial" w:hAnsi="Arial" w:cs="Arial"/>
                <w:b/>
                <w:bCs/>
                <w:spacing w:val="-2"/>
                <w:sz w:val="18"/>
                <w:szCs w:val="18"/>
                <w:lang w:val="en-GB"/>
              </w:rPr>
            </w:pPr>
          </w:p>
        </w:tc>
        <w:tc>
          <w:tcPr>
            <w:tcW w:w="588" w:type="pct"/>
            <w:vAlign w:val="bottom"/>
          </w:tcPr>
          <w:p w14:paraId="353708B0" w14:textId="77777777" w:rsidR="00B57DDF" w:rsidRPr="00226892" w:rsidRDefault="00B57DDF" w:rsidP="00AA6F32">
            <w:pPr>
              <w:pStyle w:val="Default"/>
              <w:widowControl w:val="0"/>
              <w:jc w:val="right"/>
              <w:rPr>
                <w:rFonts w:ascii="Arial" w:hAnsi="Arial" w:cs="Arial"/>
                <w:spacing w:val="-2"/>
                <w:sz w:val="18"/>
                <w:szCs w:val="18"/>
                <w:lang w:val="en-US"/>
              </w:rPr>
            </w:pPr>
          </w:p>
        </w:tc>
        <w:tc>
          <w:tcPr>
            <w:tcW w:w="588" w:type="pct"/>
            <w:vAlign w:val="bottom"/>
          </w:tcPr>
          <w:p w14:paraId="1B55180A" w14:textId="77777777" w:rsidR="00B57DDF" w:rsidRPr="00226892" w:rsidRDefault="00B57DDF" w:rsidP="00AA6F32">
            <w:pPr>
              <w:pStyle w:val="Default"/>
              <w:widowControl w:val="0"/>
              <w:jc w:val="right"/>
              <w:rPr>
                <w:rFonts w:ascii="Arial" w:hAnsi="Arial" w:cs="Arial"/>
                <w:spacing w:val="-2"/>
                <w:sz w:val="18"/>
                <w:szCs w:val="18"/>
                <w:lang w:val="en-US"/>
              </w:rPr>
            </w:pPr>
          </w:p>
        </w:tc>
        <w:tc>
          <w:tcPr>
            <w:tcW w:w="588" w:type="pct"/>
            <w:vAlign w:val="bottom"/>
          </w:tcPr>
          <w:p w14:paraId="2A87F1C7" w14:textId="77777777" w:rsidR="00B57DDF" w:rsidRPr="00226892" w:rsidRDefault="00B57DDF" w:rsidP="00AA6F32">
            <w:pPr>
              <w:pStyle w:val="Default"/>
              <w:widowControl w:val="0"/>
              <w:jc w:val="right"/>
              <w:rPr>
                <w:rFonts w:ascii="Arial" w:hAnsi="Arial" w:cs="Arial"/>
                <w:spacing w:val="-2"/>
                <w:sz w:val="18"/>
                <w:szCs w:val="18"/>
                <w:lang w:val="en-US"/>
              </w:rPr>
            </w:pPr>
          </w:p>
        </w:tc>
        <w:tc>
          <w:tcPr>
            <w:tcW w:w="588" w:type="pct"/>
            <w:vAlign w:val="bottom"/>
          </w:tcPr>
          <w:p w14:paraId="2CD8D2CD" w14:textId="77777777" w:rsidR="00B57DDF" w:rsidRPr="00226892" w:rsidRDefault="00B57DDF" w:rsidP="00AA6F32">
            <w:pPr>
              <w:pStyle w:val="Default"/>
              <w:widowControl w:val="0"/>
              <w:jc w:val="right"/>
              <w:rPr>
                <w:rFonts w:ascii="Arial" w:hAnsi="Arial" w:cs="Arial"/>
                <w:spacing w:val="-2"/>
                <w:sz w:val="18"/>
                <w:szCs w:val="18"/>
                <w:lang w:val="en-US"/>
              </w:rPr>
            </w:pPr>
          </w:p>
        </w:tc>
        <w:tc>
          <w:tcPr>
            <w:tcW w:w="588" w:type="pct"/>
            <w:vAlign w:val="bottom"/>
          </w:tcPr>
          <w:p w14:paraId="3C533756" w14:textId="7283296B" w:rsidR="00B57DDF" w:rsidRPr="00226892" w:rsidRDefault="00B57DDF" w:rsidP="00AA6F32">
            <w:pPr>
              <w:pStyle w:val="Default"/>
              <w:widowControl w:val="0"/>
              <w:jc w:val="right"/>
              <w:rPr>
                <w:rFonts w:ascii="Arial" w:hAnsi="Arial" w:cs="Arial"/>
                <w:b/>
                <w:bCs/>
                <w:spacing w:val="-2"/>
                <w:sz w:val="18"/>
                <w:szCs w:val="18"/>
                <w:lang w:val="en-US"/>
              </w:rPr>
            </w:pPr>
          </w:p>
        </w:tc>
      </w:tr>
      <w:tr w:rsidR="00B57DDF" w:rsidRPr="00226892" w14:paraId="74ED250A" w14:textId="77777777" w:rsidTr="00E57F66">
        <w:trPr>
          <w:cantSplit/>
        </w:trPr>
        <w:tc>
          <w:tcPr>
            <w:tcW w:w="2059" w:type="pct"/>
            <w:vAlign w:val="bottom"/>
            <w:hideMark/>
          </w:tcPr>
          <w:p w14:paraId="181E9532" w14:textId="77777777" w:rsidR="00B57DDF" w:rsidRPr="00226892" w:rsidRDefault="00B57DDF" w:rsidP="00512880">
            <w:pPr>
              <w:pStyle w:val="Default"/>
              <w:widowControl w:val="0"/>
              <w:ind w:left="113" w:right="-57" w:hanging="113"/>
              <w:rPr>
                <w:rFonts w:ascii="Arial" w:hAnsi="Arial" w:cs="Arial"/>
                <w:b/>
                <w:bCs/>
                <w:spacing w:val="-2"/>
                <w:sz w:val="18"/>
                <w:szCs w:val="18"/>
                <w:lang w:val="en-US"/>
              </w:rPr>
            </w:pPr>
            <w:proofErr w:type="spellStart"/>
            <w:r w:rsidRPr="00226892">
              <w:rPr>
                <w:rFonts w:ascii="Arial" w:hAnsi="Arial" w:cs="Arial"/>
                <w:spacing w:val="-2"/>
                <w:sz w:val="18"/>
                <w:szCs w:val="18"/>
                <w:lang w:val="en-US"/>
              </w:rPr>
              <w:t>Peňažné</w:t>
            </w:r>
            <w:proofErr w:type="spellEnd"/>
            <w:r w:rsidRPr="00226892">
              <w:rPr>
                <w:rFonts w:ascii="Arial" w:hAnsi="Arial" w:cs="Arial"/>
                <w:spacing w:val="-2"/>
                <w:sz w:val="18"/>
                <w:szCs w:val="18"/>
                <w:lang w:val="en-US"/>
              </w:rPr>
              <w:t xml:space="preserve"> </w:t>
            </w:r>
            <w:proofErr w:type="spellStart"/>
            <w:r w:rsidRPr="00226892">
              <w:rPr>
                <w:rFonts w:ascii="Arial" w:hAnsi="Arial" w:cs="Arial"/>
                <w:spacing w:val="-2"/>
                <w:sz w:val="18"/>
                <w:szCs w:val="18"/>
                <w:lang w:val="en-US"/>
              </w:rPr>
              <w:t>toky</w:t>
            </w:r>
            <w:proofErr w:type="spellEnd"/>
            <w:r w:rsidRPr="00226892">
              <w:rPr>
                <w:rFonts w:ascii="Arial" w:hAnsi="Arial" w:cs="Arial"/>
                <w:spacing w:val="-2"/>
                <w:sz w:val="18"/>
                <w:szCs w:val="18"/>
                <w:lang w:val="en-US"/>
              </w:rPr>
              <w:t xml:space="preserve"> </w:t>
            </w:r>
            <w:proofErr w:type="spellStart"/>
            <w:r w:rsidRPr="00226892">
              <w:rPr>
                <w:rFonts w:ascii="Arial" w:hAnsi="Arial" w:cs="Arial"/>
                <w:spacing w:val="-2"/>
                <w:sz w:val="18"/>
                <w:szCs w:val="18"/>
                <w:lang w:val="en-US"/>
              </w:rPr>
              <w:t>iné</w:t>
            </w:r>
            <w:proofErr w:type="spellEnd"/>
            <w:r w:rsidRPr="00226892">
              <w:rPr>
                <w:rFonts w:ascii="Arial" w:hAnsi="Arial" w:cs="Arial"/>
                <w:spacing w:val="-2"/>
                <w:sz w:val="18"/>
                <w:szCs w:val="18"/>
                <w:lang w:val="en-US"/>
              </w:rPr>
              <w:t xml:space="preserve"> </w:t>
            </w:r>
            <w:proofErr w:type="spellStart"/>
            <w:r w:rsidRPr="00226892">
              <w:rPr>
                <w:rFonts w:ascii="Arial" w:hAnsi="Arial" w:cs="Arial"/>
                <w:spacing w:val="-2"/>
                <w:sz w:val="18"/>
                <w:szCs w:val="18"/>
                <w:lang w:val="en-US"/>
              </w:rPr>
              <w:t>ako</w:t>
            </w:r>
            <w:proofErr w:type="spellEnd"/>
            <w:r w:rsidRPr="00226892">
              <w:rPr>
                <w:rFonts w:ascii="Arial" w:hAnsi="Arial" w:cs="Arial"/>
                <w:spacing w:val="-2"/>
                <w:sz w:val="18"/>
                <w:szCs w:val="18"/>
                <w:lang w:val="en-US"/>
              </w:rPr>
              <w:t xml:space="preserve"> </w:t>
            </w:r>
            <w:proofErr w:type="spellStart"/>
            <w:r w:rsidRPr="00226892">
              <w:rPr>
                <w:rFonts w:ascii="Arial" w:hAnsi="Arial" w:cs="Arial"/>
                <w:spacing w:val="-2"/>
                <w:sz w:val="18"/>
                <w:szCs w:val="18"/>
                <w:lang w:val="en-US"/>
              </w:rPr>
              <w:t>zaplatené</w:t>
            </w:r>
            <w:proofErr w:type="spellEnd"/>
            <w:r w:rsidRPr="00226892">
              <w:rPr>
                <w:rFonts w:ascii="Arial" w:hAnsi="Arial" w:cs="Arial"/>
                <w:spacing w:val="-2"/>
                <w:sz w:val="18"/>
                <w:szCs w:val="18"/>
                <w:lang w:val="en-US"/>
              </w:rPr>
              <w:t xml:space="preserve"> </w:t>
            </w:r>
            <w:proofErr w:type="spellStart"/>
            <w:r w:rsidRPr="00226892">
              <w:rPr>
                <w:rFonts w:ascii="Arial" w:hAnsi="Arial" w:cs="Arial"/>
                <w:spacing w:val="-2"/>
                <w:sz w:val="18"/>
                <w:szCs w:val="18"/>
                <w:lang w:val="en-US"/>
              </w:rPr>
              <w:t>úroky</w:t>
            </w:r>
            <w:proofErr w:type="spellEnd"/>
          </w:p>
        </w:tc>
        <w:tc>
          <w:tcPr>
            <w:tcW w:w="588" w:type="pct"/>
            <w:vAlign w:val="bottom"/>
          </w:tcPr>
          <w:p w14:paraId="684E6465" w14:textId="4734E048" w:rsidR="00B57DDF" w:rsidRPr="00226892" w:rsidRDefault="000C5F0F" w:rsidP="00AA6F32">
            <w:pPr>
              <w:pStyle w:val="Default"/>
              <w:widowControl w:val="0"/>
              <w:jc w:val="right"/>
              <w:rPr>
                <w:rFonts w:ascii="Arial" w:hAnsi="Arial" w:cs="Arial"/>
                <w:spacing w:val="-2"/>
                <w:sz w:val="18"/>
                <w:szCs w:val="18"/>
                <w:lang w:val="en-US"/>
              </w:rPr>
            </w:pPr>
            <w:r w:rsidRPr="00226892">
              <w:rPr>
                <w:rFonts w:ascii="Arial" w:hAnsi="Arial" w:cs="Arial"/>
                <w:spacing w:val="-2"/>
                <w:sz w:val="18"/>
                <w:szCs w:val="18"/>
                <w:lang w:val="en-US"/>
              </w:rPr>
              <w:t>-22 106</w:t>
            </w:r>
          </w:p>
        </w:tc>
        <w:tc>
          <w:tcPr>
            <w:tcW w:w="588" w:type="pct"/>
            <w:vAlign w:val="bottom"/>
          </w:tcPr>
          <w:p w14:paraId="06E1FF2F" w14:textId="77777777" w:rsidR="00B57DDF" w:rsidRPr="00226892" w:rsidRDefault="00B57DDF" w:rsidP="00AA6F32">
            <w:pPr>
              <w:pStyle w:val="Default"/>
              <w:widowControl w:val="0"/>
              <w:jc w:val="right"/>
              <w:rPr>
                <w:rFonts w:ascii="Arial" w:hAnsi="Arial" w:cs="Arial"/>
                <w:spacing w:val="-2"/>
                <w:sz w:val="18"/>
                <w:szCs w:val="18"/>
                <w:lang w:val="en-US"/>
              </w:rPr>
            </w:pPr>
          </w:p>
          <w:p w14:paraId="226E709A" w14:textId="27075CFB" w:rsidR="000C5F0F" w:rsidRPr="00226892" w:rsidRDefault="000C5F0F" w:rsidP="00AA6F32">
            <w:pPr>
              <w:pStyle w:val="Default"/>
              <w:widowControl w:val="0"/>
              <w:jc w:val="right"/>
              <w:rPr>
                <w:rFonts w:ascii="Arial" w:hAnsi="Arial" w:cs="Arial"/>
                <w:spacing w:val="-2"/>
                <w:sz w:val="18"/>
                <w:szCs w:val="18"/>
                <w:lang w:val="en-US"/>
              </w:rPr>
            </w:pPr>
            <w:r w:rsidRPr="00226892">
              <w:rPr>
                <w:rFonts w:ascii="Arial" w:hAnsi="Arial" w:cs="Arial"/>
                <w:spacing w:val="-2"/>
                <w:sz w:val="18"/>
                <w:szCs w:val="18"/>
                <w:lang w:val="en-US"/>
              </w:rPr>
              <w:t>-</w:t>
            </w:r>
          </w:p>
        </w:tc>
        <w:tc>
          <w:tcPr>
            <w:tcW w:w="588" w:type="pct"/>
            <w:vAlign w:val="bottom"/>
          </w:tcPr>
          <w:p w14:paraId="31D794AD" w14:textId="77777777" w:rsidR="00B57DDF" w:rsidRPr="00226892" w:rsidRDefault="00B57DDF" w:rsidP="00AA6F32">
            <w:pPr>
              <w:pStyle w:val="Default"/>
              <w:widowControl w:val="0"/>
              <w:jc w:val="right"/>
              <w:rPr>
                <w:rFonts w:ascii="Arial" w:hAnsi="Arial" w:cs="Arial"/>
                <w:spacing w:val="-2"/>
                <w:sz w:val="18"/>
                <w:szCs w:val="18"/>
                <w:lang w:val="en-US"/>
              </w:rPr>
            </w:pPr>
          </w:p>
          <w:p w14:paraId="01E28BBB" w14:textId="10A58035" w:rsidR="000C5F0F" w:rsidRPr="00226892" w:rsidRDefault="000C5F0F" w:rsidP="00AA6F32">
            <w:pPr>
              <w:pStyle w:val="Default"/>
              <w:widowControl w:val="0"/>
              <w:jc w:val="right"/>
              <w:rPr>
                <w:rFonts w:ascii="Arial" w:hAnsi="Arial" w:cs="Arial"/>
                <w:spacing w:val="-2"/>
                <w:sz w:val="18"/>
                <w:szCs w:val="18"/>
                <w:lang w:val="en-US"/>
              </w:rPr>
            </w:pPr>
            <w:r w:rsidRPr="00226892">
              <w:rPr>
                <w:rFonts w:ascii="Arial" w:hAnsi="Arial" w:cs="Arial"/>
                <w:spacing w:val="-2"/>
                <w:sz w:val="18"/>
                <w:szCs w:val="18"/>
                <w:lang w:val="en-US"/>
              </w:rPr>
              <w:t>4 935</w:t>
            </w:r>
          </w:p>
        </w:tc>
        <w:tc>
          <w:tcPr>
            <w:tcW w:w="588" w:type="pct"/>
            <w:vAlign w:val="bottom"/>
          </w:tcPr>
          <w:p w14:paraId="66FCD076" w14:textId="77777777" w:rsidR="00B57DDF" w:rsidRPr="00226892" w:rsidRDefault="00B57DDF" w:rsidP="00AA6F32">
            <w:pPr>
              <w:pStyle w:val="Default"/>
              <w:widowControl w:val="0"/>
              <w:jc w:val="right"/>
              <w:rPr>
                <w:rFonts w:ascii="Arial" w:hAnsi="Arial" w:cs="Arial"/>
                <w:spacing w:val="-2"/>
                <w:sz w:val="18"/>
                <w:szCs w:val="18"/>
                <w:lang w:val="en-US"/>
              </w:rPr>
            </w:pPr>
          </w:p>
        </w:tc>
        <w:tc>
          <w:tcPr>
            <w:tcW w:w="588" w:type="pct"/>
            <w:vAlign w:val="bottom"/>
          </w:tcPr>
          <w:p w14:paraId="6B1738DB" w14:textId="4D697CAA" w:rsidR="00B57DDF" w:rsidRPr="00226892" w:rsidRDefault="000C5F0F" w:rsidP="00AA6F32">
            <w:pPr>
              <w:pStyle w:val="Default"/>
              <w:widowControl w:val="0"/>
              <w:jc w:val="right"/>
              <w:rPr>
                <w:rFonts w:ascii="Arial" w:hAnsi="Arial" w:cs="Arial"/>
                <w:b/>
                <w:bCs/>
                <w:spacing w:val="-2"/>
                <w:sz w:val="18"/>
                <w:szCs w:val="18"/>
                <w:lang w:val="en-US"/>
              </w:rPr>
            </w:pPr>
            <w:r w:rsidRPr="00226892">
              <w:rPr>
                <w:rFonts w:ascii="Arial" w:hAnsi="Arial" w:cs="Arial"/>
                <w:b/>
                <w:bCs/>
                <w:spacing w:val="-2"/>
                <w:sz w:val="18"/>
                <w:szCs w:val="18"/>
                <w:lang w:val="en-US"/>
              </w:rPr>
              <w:t>-17 171</w:t>
            </w:r>
          </w:p>
        </w:tc>
      </w:tr>
      <w:tr w:rsidR="00B57DDF" w:rsidRPr="00226892" w14:paraId="36C7991D" w14:textId="77777777" w:rsidTr="00E57F66">
        <w:trPr>
          <w:cantSplit/>
        </w:trPr>
        <w:tc>
          <w:tcPr>
            <w:tcW w:w="2059" w:type="pct"/>
            <w:vAlign w:val="bottom"/>
          </w:tcPr>
          <w:p w14:paraId="48B2EEBD" w14:textId="77777777" w:rsidR="00B57DDF" w:rsidRPr="00226892" w:rsidRDefault="00B57DDF" w:rsidP="00512880">
            <w:pPr>
              <w:pStyle w:val="Default"/>
              <w:widowControl w:val="0"/>
              <w:ind w:left="113" w:right="-57" w:hanging="113"/>
              <w:rPr>
                <w:rFonts w:ascii="Arial" w:hAnsi="Arial" w:cs="Arial"/>
                <w:spacing w:val="-2"/>
                <w:sz w:val="18"/>
                <w:szCs w:val="18"/>
                <w:lang w:val="en-US"/>
              </w:rPr>
            </w:pPr>
            <w:proofErr w:type="spellStart"/>
            <w:r w:rsidRPr="00226892">
              <w:rPr>
                <w:rFonts w:ascii="Arial" w:hAnsi="Arial" w:cs="Arial"/>
                <w:spacing w:val="-2"/>
                <w:sz w:val="18"/>
                <w:szCs w:val="18"/>
                <w:lang w:val="en-US"/>
              </w:rPr>
              <w:t>Časové</w:t>
            </w:r>
            <w:proofErr w:type="spellEnd"/>
            <w:r w:rsidRPr="00226892">
              <w:rPr>
                <w:rFonts w:ascii="Arial" w:hAnsi="Arial" w:cs="Arial"/>
                <w:spacing w:val="-2"/>
                <w:sz w:val="18"/>
                <w:szCs w:val="18"/>
                <w:lang w:val="en-US"/>
              </w:rPr>
              <w:t xml:space="preserve"> </w:t>
            </w:r>
            <w:proofErr w:type="spellStart"/>
            <w:r w:rsidRPr="00226892">
              <w:rPr>
                <w:rFonts w:ascii="Arial" w:hAnsi="Arial" w:cs="Arial"/>
                <w:spacing w:val="-2"/>
                <w:sz w:val="18"/>
                <w:szCs w:val="18"/>
                <w:lang w:val="en-US"/>
              </w:rPr>
              <w:t>rozlíšenie</w:t>
            </w:r>
            <w:proofErr w:type="spellEnd"/>
            <w:r w:rsidRPr="00226892">
              <w:rPr>
                <w:rFonts w:ascii="Arial" w:hAnsi="Arial" w:cs="Arial"/>
                <w:spacing w:val="-2"/>
                <w:sz w:val="18"/>
                <w:szCs w:val="18"/>
                <w:lang w:val="en-US"/>
              </w:rPr>
              <w:t xml:space="preserve"> </w:t>
            </w:r>
            <w:proofErr w:type="spellStart"/>
            <w:r w:rsidRPr="00226892">
              <w:rPr>
                <w:rFonts w:ascii="Arial" w:hAnsi="Arial" w:cs="Arial"/>
                <w:spacing w:val="-2"/>
                <w:sz w:val="18"/>
                <w:szCs w:val="18"/>
                <w:lang w:val="en-US"/>
              </w:rPr>
              <w:t>úrokov</w:t>
            </w:r>
            <w:proofErr w:type="spellEnd"/>
          </w:p>
        </w:tc>
        <w:tc>
          <w:tcPr>
            <w:tcW w:w="588" w:type="pct"/>
            <w:vAlign w:val="bottom"/>
          </w:tcPr>
          <w:p w14:paraId="137D971D" w14:textId="2BEC3761" w:rsidR="00B57DDF" w:rsidRPr="00226892" w:rsidRDefault="000C5F0F" w:rsidP="00AA6F32">
            <w:pPr>
              <w:pStyle w:val="Default"/>
              <w:widowControl w:val="0"/>
              <w:jc w:val="right"/>
              <w:rPr>
                <w:rFonts w:ascii="Arial" w:hAnsi="Arial" w:cs="Arial"/>
                <w:spacing w:val="-2"/>
                <w:sz w:val="18"/>
                <w:szCs w:val="18"/>
                <w:lang w:val="en-US"/>
              </w:rPr>
            </w:pPr>
            <w:r w:rsidRPr="00226892">
              <w:rPr>
                <w:rFonts w:ascii="Arial" w:hAnsi="Arial" w:cs="Arial"/>
                <w:spacing w:val="-2"/>
                <w:sz w:val="18"/>
                <w:szCs w:val="18"/>
                <w:lang w:val="en-US"/>
              </w:rPr>
              <w:t>469</w:t>
            </w:r>
          </w:p>
        </w:tc>
        <w:tc>
          <w:tcPr>
            <w:tcW w:w="588" w:type="pct"/>
            <w:vAlign w:val="bottom"/>
          </w:tcPr>
          <w:p w14:paraId="541AEDD4" w14:textId="6CF28305" w:rsidR="00B57DDF" w:rsidRPr="00226892" w:rsidRDefault="000C5F0F" w:rsidP="00AA6F32">
            <w:pPr>
              <w:pStyle w:val="Default"/>
              <w:widowControl w:val="0"/>
              <w:jc w:val="right"/>
              <w:rPr>
                <w:rFonts w:ascii="Arial" w:hAnsi="Arial" w:cs="Arial"/>
                <w:spacing w:val="-2"/>
                <w:sz w:val="18"/>
                <w:szCs w:val="18"/>
                <w:lang w:val="en-US"/>
              </w:rPr>
            </w:pPr>
            <w:r w:rsidRPr="00226892">
              <w:rPr>
                <w:rFonts w:ascii="Arial" w:hAnsi="Arial" w:cs="Arial"/>
                <w:spacing w:val="-2"/>
                <w:sz w:val="18"/>
                <w:szCs w:val="18"/>
                <w:lang w:val="en-US"/>
              </w:rPr>
              <w:t>22</w:t>
            </w:r>
          </w:p>
        </w:tc>
        <w:tc>
          <w:tcPr>
            <w:tcW w:w="588" w:type="pct"/>
            <w:vAlign w:val="bottom"/>
          </w:tcPr>
          <w:p w14:paraId="2822C3FF" w14:textId="476D9D73" w:rsidR="00B57DDF" w:rsidRPr="00226892" w:rsidRDefault="000C5F0F" w:rsidP="00AA6F32">
            <w:pPr>
              <w:pStyle w:val="Default"/>
              <w:widowControl w:val="0"/>
              <w:jc w:val="right"/>
              <w:rPr>
                <w:rFonts w:ascii="Arial" w:hAnsi="Arial" w:cs="Arial"/>
                <w:spacing w:val="-2"/>
                <w:sz w:val="18"/>
                <w:szCs w:val="18"/>
                <w:lang w:val="en-US"/>
              </w:rPr>
            </w:pPr>
            <w:r w:rsidRPr="00226892">
              <w:rPr>
                <w:rFonts w:ascii="Arial" w:hAnsi="Arial" w:cs="Arial"/>
                <w:spacing w:val="-2"/>
                <w:sz w:val="18"/>
                <w:szCs w:val="18"/>
                <w:lang w:val="en-US"/>
              </w:rPr>
              <w:t>52</w:t>
            </w:r>
          </w:p>
        </w:tc>
        <w:tc>
          <w:tcPr>
            <w:tcW w:w="588" w:type="pct"/>
            <w:vAlign w:val="bottom"/>
          </w:tcPr>
          <w:p w14:paraId="2FB26719" w14:textId="533E1600" w:rsidR="00B57DDF" w:rsidRPr="00226892" w:rsidRDefault="000C5F0F" w:rsidP="00AA6F32">
            <w:pPr>
              <w:pStyle w:val="Default"/>
              <w:widowControl w:val="0"/>
              <w:jc w:val="right"/>
              <w:rPr>
                <w:rFonts w:ascii="Arial" w:hAnsi="Arial" w:cs="Arial"/>
                <w:spacing w:val="-2"/>
                <w:sz w:val="18"/>
                <w:szCs w:val="18"/>
                <w:lang w:val="en-US"/>
              </w:rPr>
            </w:pPr>
            <w:r w:rsidRPr="00226892">
              <w:rPr>
                <w:rFonts w:ascii="Arial" w:hAnsi="Arial" w:cs="Arial"/>
                <w:spacing w:val="-2"/>
                <w:sz w:val="18"/>
                <w:szCs w:val="18"/>
                <w:lang w:val="en-US"/>
              </w:rPr>
              <w:t>-</w:t>
            </w:r>
          </w:p>
        </w:tc>
        <w:tc>
          <w:tcPr>
            <w:tcW w:w="588" w:type="pct"/>
            <w:vAlign w:val="bottom"/>
          </w:tcPr>
          <w:p w14:paraId="58C5C947" w14:textId="27413D5F" w:rsidR="00B57DDF" w:rsidRPr="00226892" w:rsidRDefault="000C5F0F" w:rsidP="00AA6F32">
            <w:pPr>
              <w:pStyle w:val="Default"/>
              <w:widowControl w:val="0"/>
              <w:jc w:val="right"/>
              <w:rPr>
                <w:rFonts w:ascii="Arial" w:hAnsi="Arial" w:cs="Arial"/>
                <w:b/>
                <w:bCs/>
                <w:spacing w:val="-2"/>
                <w:sz w:val="18"/>
                <w:szCs w:val="18"/>
                <w:lang w:val="en-US"/>
              </w:rPr>
            </w:pPr>
            <w:r w:rsidRPr="00226892">
              <w:rPr>
                <w:rFonts w:ascii="Arial" w:hAnsi="Arial" w:cs="Arial"/>
                <w:b/>
                <w:bCs/>
                <w:spacing w:val="-2"/>
                <w:sz w:val="18"/>
                <w:szCs w:val="18"/>
                <w:lang w:val="en-US"/>
              </w:rPr>
              <w:t>543</w:t>
            </w:r>
          </w:p>
        </w:tc>
      </w:tr>
      <w:tr w:rsidR="00B57DDF" w:rsidRPr="00226892" w14:paraId="51ED9867" w14:textId="77777777" w:rsidTr="00E57F66">
        <w:trPr>
          <w:cantSplit/>
        </w:trPr>
        <w:tc>
          <w:tcPr>
            <w:tcW w:w="2059" w:type="pct"/>
            <w:vAlign w:val="bottom"/>
          </w:tcPr>
          <w:p w14:paraId="2249ABBA" w14:textId="77777777" w:rsidR="00B57DDF" w:rsidRPr="00226892" w:rsidRDefault="00B57DDF" w:rsidP="00512880">
            <w:pPr>
              <w:pStyle w:val="Default"/>
              <w:widowControl w:val="0"/>
              <w:ind w:left="113" w:right="-57" w:hanging="113"/>
              <w:rPr>
                <w:rFonts w:ascii="Arial" w:hAnsi="Arial" w:cs="Arial"/>
                <w:spacing w:val="-2"/>
                <w:sz w:val="18"/>
                <w:szCs w:val="18"/>
                <w:lang w:val="en-US"/>
              </w:rPr>
            </w:pPr>
            <w:proofErr w:type="spellStart"/>
            <w:r w:rsidRPr="00226892">
              <w:rPr>
                <w:rFonts w:ascii="Arial" w:hAnsi="Arial" w:cs="Arial"/>
                <w:spacing w:val="-2"/>
                <w:sz w:val="18"/>
                <w:szCs w:val="18"/>
                <w:lang w:val="en-US"/>
              </w:rPr>
              <w:t>Zaplatené</w:t>
            </w:r>
            <w:proofErr w:type="spellEnd"/>
            <w:r w:rsidRPr="00226892">
              <w:rPr>
                <w:rFonts w:ascii="Arial" w:hAnsi="Arial" w:cs="Arial"/>
                <w:spacing w:val="-2"/>
                <w:sz w:val="18"/>
                <w:szCs w:val="18"/>
                <w:lang w:val="en-US"/>
              </w:rPr>
              <w:t xml:space="preserve"> </w:t>
            </w:r>
            <w:proofErr w:type="spellStart"/>
            <w:r w:rsidRPr="00226892">
              <w:rPr>
                <w:rFonts w:ascii="Arial" w:hAnsi="Arial" w:cs="Arial"/>
                <w:spacing w:val="-2"/>
                <w:sz w:val="18"/>
                <w:szCs w:val="18"/>
                <w:lang w:val="en-US"/>
              </w:rPr>
              <w:t>úroky</w:t>
            </w:r>
            <w:proofErr w:type="spellEnd"/>
          </w:p>
        </w:tc>
        <w:tc>
          <w:tcPr>
            <w:tcW w:w="588" w:type="pct"/>
            <w:vAlign w:val="bottom"/>
          </w:tcPr>
          <w:p w14:paraId="7F4DCF44" w14:textId="23D34AC4" w:rsidR="00B57DDF" w:rsidRPr="00226892" w:rsidRDefault="000C5F0F" w:rsidP="00AA6F32">
            <w:pPr>
              <w:pStyle w:val="Default"/>
              <w:widowControl w:val="0"/>
              <w:jc w:val="right"/>
              <w:rPr>
                <w:rFonts w:ascii="Arial" w:hAnsi="Arial" w:cs="Arial"/>
                <w:spacing w:val="-2"/>
                <w:sz w:val="18"/>
                <w:szCs w:val="18"/>
                <w:lang w:val="en-US"/>
              </w:rPr>
            </w:pPr>
            <w:r w:rsidRPr="00226892">
              <w:rPr>
                <w:rFonts w:ascii="Arial" w:hAnsi="Arial" w:cs="Arial"/>
                <w:spacing w:val="-2"/>
                <w:sz w:val="18"/>
                <w:szCs w:val="18"/>
                <w:lang w:val="en-US"/>
              </w:rPr>
              <w:t>-413</w:t>
            </w:r>
          </w:p>
        </w:tc>
        <w:tc>
          <w:tcPr>
            <w:tcW w:w="588" w:type="pct"/>
            <w:vAlign w:val="bottom"/>
          </w:tcPr>
          <w:p w14:paraId="67155598" w14:textId="7AD7DB05" w:rsidR="00B57DDF" w:rsidRPr="00226892" w:rsidRDefault="000C5F0F" w:rsidP="00AA6F32">
            <w:pPr>
              <w:pStyle w:val="Default"/>
              <w:widowControl w:val="0"/>
              <w:jc w:val="right"/>
              <w:rPr>
                <w:rFonts w:ascii="Arial" w:hAnsi="Arial" w:cs="Arial"/>
                <w:spacing w:val="-2"/>
                <w:sz w:val="18"/>
                <w:szCs w:val="18"/>
                <w:lang w:val="en-US"/>
              </w:rPr>
            </w:pPr>
            <w:r w:rsidRPr="00226892">
              <w:rPr>
                <w:rFonts w:ascii="Arial" w:hAnsi="Arial" w:cs="Arial"/>
                <w:spacing w:val="-2"/>
                <w:sz w:val="18"/>
                <w:szCs w:val="18"/>
                <w:lang w:val="en-US"/>
              </w:rPr>
              <w:t>-22</w:t>
            </w:r>
          </w:p>
        </w:tc>
        <w:tc>
          <w:tcPr>
            <w:tcW w:w="588" w:type="pct"/>
            <w:vAlign w:val="bottom"/>
          </w:tcPr>
          <w:p w14:paraId="388185A8" w14:textId="19D556FF" w:rsidR="00B57DDF" w:rsidRPr="00226892" w:rsidRDefault="000C5F0F" w:rsidP="00AA6F32">
            <w:pPr>
              <w:pStyle w:val="Default"/>
              <w:widowControl w:val="0"/>
              <w:jc w:val="right"/>
              <w:rPr>
                <w:rFonts w:ascii="Arial" w:hAnsi="Arial" w:cs="Arial"/>
                <w:spacing w:val="-2"/>
                <w:sz w:val="18"/>
                <w:szCs w:val="18"/>
                <w:lang w:val="en-US"/>
              </w:rPr>
            </w:pPr>
            <w:r w:rsidRPr="00226892">
              <w:rPr>
                <w:rFonts w:ascii="Arial" w:hAnsi="Arial" w:cs="Arial"/>
                <w:spacing w:val="-2"/>
                <w:sz w:val="18"/>
                <w:szCs w:val="18"/>
                <w:lang w:val="en-US"/>
              </w:rPr>
              <w:t>-52</w:t>
            </w:r>
          </w:p>
        </w:tc>
        <w:tc>
          <w:tcPr>
            <w:tcW w:w="588" w:type="pct"/>
            <w:vAlign w:val="bottom"/>
          </w:tcPr>
          <w:p w14:paraId="6935C2C8" w14:textId="0DC7D249" w:rsidR="00B57DDF" w:rsidRPr="00226892" w:rsidRDefault="000C5F0F" w:rsidP="00AA6F32">
            <w:pPr>
              <w:pStyle w:val="Default"/>
              <w:widowControl w:val="0"/>
              <w:jc w:val="right"/>
              <w:rPr>
                <w:rFonts w:ascii="Arial" w:hAnsi="Arial" w:cs="Arial"/>
                <w:spacing w:val="-2"/>
                <w:sz w:val="18"/>
                <w:szCs w:val="18"/>
                <w:lang w:val="en-US"/>
              </w:rPr>
            </w:pPr>
            <w:r w:rsidRPr="00226892">
              <w:rPr>
                <w:rFonts w:ascii="Arial" w:hAnsi="Arial" w:cs="Arial"/>
                <w:spacing w:val="-2"/>
                <w:sz w:val="18"/>
                <w:szCs w:val="18"/>
                <w:lang w:val="en-US"/>
              </w:rPr>
              <w:t>-</w:t>
            </w:r>
          </w:p>
        </w:tc>
        <w:tc>
          <w:tcPr>
            <w:tcW w:w="588" w:type="pct"/>
            <w:vAlign w:val="bottom"/>
          </w:tcPr>
          <w:p w14:paraId="5BF144E9" w14:textId="41BD147D" w:rsidR="00B57DDF" w:rsidRPr="00226892" w:rsidRDefault="000C5F0F" w:rsidP="00AA6F32">
            <w:pPr>
              <w:pStyle w:val="Default"/>
              <w:widowControl w:val="0"/>
              <w:jc w:val="right"/>
              <w:rPr>
                <w:rFonts w:ascii="Arial" w:hAnsi="Arial" w:cs="Arial"/>
                <w:b/>
                <w:bCs/>
                <w:spacing w:val="-2"/>
                <w:sz w:val="18"/>
                <w:szCs w:val="18"/>
                <w:lang w:val="en-US"/>
              </w:rPr>
            </w:pPr>
            <w:r w:rsidRPr="00226892">
              <w:rPr>
                <w:rFonts w:ascii="Arial" w:hAnsi="Arial" w:cs="Arial"/>
                <w:b/>
                <w:bCs/>
                <w:spacing w:val="-2"/>
                <w:sz w:val="18"/>
                <w:szCs w:val="18"/>
                <w:lang w:val="en-US"/>
              </w:rPr>
              <w:t>-487</w:t>
            </w:r>
          </w:p>
        </w:tc>
      </w:tr>
      <w:tr w:rsidR="00B57DDF" w:rsidRPr="00226892" w14:paraId="4D58CAC3" w14:textId="77777777" w:rsidTr="00E57F66">
        <w:trPr>
          <w:cantSplit/>
        </w:trPr>
        <w:tc>
          <w:tcPr>
            <w:tcW w:w="2059" w:type="pct"/>
            <w:vAlign w:val="bottom"/>
          </w:tcPr>
          <w:p w14:paraId="5CAF14E5" w14:textId="77777777" w:rsidR="00B57DDF" w:rsidRPr="00226892" w:rsidRDefault="00B57DDF" w:rsidP="00512880">
            <w:pPr>
              <w:pStyle w:val="Default"/>
              <w:widowControl w:val="0"/>
              <w:ind w:left="113" w:right="-57" w:hanging="113"/>
              <w:rPr>
                <w:rFonts w:ascii="Arial" w:hAnsi="Arial" w:cs="Arial"/>
                <w:spacing w:val="-2"/>
                <w:sz w:val="18"/>
                <w:szCs w:val="18"/>
              </w:rPr>
            </w:pPr>
            <w:proofErr w:type="spellStart"/>
            <w:r w:rsidRPr="00226892">
              <w:rPr>
                <w:rFonts w:ascii="Arial" w:hAnsi="Arial" w:cs="Arial"/>
                <w:spacing w:val="-2"/>
                <w:sz w:val="18"/>
                <w:szCs w:val="18"/>
                <w:lang w:val="en-US"/>
              </w:rPr>
              <w:t>Splátky</w:t>
            </w:r>
            <w:proofErr w:type="spellEnd"/>
            <w:r w:rsidRPr="00226892">
              <w:rPr>
                <w:rFonts w:ascii="Arial" w:hAnsi="Arial" w:cs="Arial"/>
                <w:spacing w:val="-2"/>
                <w:sz w:val="18"/>
                <w:szCs w:val="18"/>
                <w:lang w:val="en-US"/>
              </w:rPr>
              <w:t xml:space="preserve"> </w:t>
            </w:r>
            <w:proofErr w:type="spellStart"/>
            <w:r w:rsidRPr="00226892">
              <w:rPr>
                <w:rFonts w:ascii="Arial" w:hAnsi="Arial" w:cs="Arial"/>
                <w:spacing w:val="-2"/>
                <w:sz w:val="18"/>
                <w:szCs w:val="18"/>
                <w:lang w:val="en-US"/>
              </w:rPr>
              <w:t>finančného</w:t>
            </w:r>
            <w:proofErr w:type="spellEnd"/>
            <w:r w:rsidRPr="00226892">
              <w:rPr>
                <w:rFonts w:ascii="Arial" w:hAnsi="Arial" w:cs="Arial"/>
                <w:spacing w:val="-2"/>
                <w:sz w:val="18"/>
                <w:szCs w:val="18"/>
                <w:lang w:val="en-US"/>
              </w:rPr>
              <w:t xml:space="preserve"> </w:t>
            </w:r>
            <w:proofErr w:type="spellStart"/>
            <w:r w:rsidRPr="00226892">
              <w:rPr>
                <w:rFonts w:ascii="Arial" w:hAnsi="Arial" w:cs="Arial"/>
                <w:spacing w:val="-2"/>
                <w:sz w:val="18"/>
                <w:szCs w:val="18"/>
                <w:lang w:val="en-US"/>
              </w:rPr>
              <w:t>leasingu</w:t>
            </w:r>
            <w:proofErr w:type="spellEnd"/>
          </w:p>
        </w:tc>
        <w:tc>
          <w:tcPr>
            <w:tcW w:w="588" w:type="pct"/>
            <w:vAlign w:val="bottom"/>
          </w:tcPr>
          <w:p w14:paraId="43C17028" w14:textId="34A13EB3" w:rsidR="00B57DDF" w:rsidRPr="00226892" w:rsidRDefault="000C5F0F" w:rsidP="00AA6F32">
            <w:pPr>
              <w:pStyle w:val="Default"/>
              <w:widowControl w:val="0"/>
              <w:jc w:val="right"/>
              <w:rPr>
                <w:rFonts w:ascii="Arial" w:hAnsi="Arial" w:cs="Arial"/>
                <w:spacing w:val="-2"/>
                <w:sz w:val="18"/>
                <w:szCs w:val="18"/>
                <w:lang w:val="en-US"/>
              </w:rPr>
            </w:pPr>
            <w:r w:rsidRPr="00226892">
              <w:rPr>
                <w:rFonts w:ascii="Arial" w:hAnsi="Arial" w:cs="Arial"/>
                <w:spacing w:val="-2"/>
                <w:sz w:val="18"/>
                <w:szCs w:val="18"/>
                <w:lang w:val="en-US"/>
              </w:rPr>
              <w:t>-</w:t>
            </w:r>
          </w:p>
        </w:tc>
        <w:tc>
          <w:tcPr>
            <w:tcW w:w="588" w:type="pct"/>
            <w:vAlign w:val="bottom"/>
          </w:tcPr>
          <w:p w14:paraId="6EF875A3" w14:textId="5C9C2B38" w:rsidR="00B57DDF" w:rsidRPr="00226892" w:rsidRDefault="000C5F0F" w:rsidP="00AA6F32">
            <w:pPr>
              <w:pStyle w:val="Default"/>
              <w:widowControl w:val="0"/>
              <w:jc w:val="right"/>
              <w:rPr>
                <w:rFonts w:ascii="Arial" w:hAnsi="Arial" w:cs="Arial"/>
                <w:spacing w:val="-2"/>
                <w:sz w:val="18"/>
                <w:szCs w:val="18"/>
                <w:lang w:val="en-US"/>
              </w:rPr>
            </w:pPr>
            <w:r w:rsidRPr="00226892">
              <w:rPr>
                <w:rFonts w:ascii="Arial" w:hAnsi="Arial" w:cs="Arial"/>
                <w:spacing w:val="-2"/>
                <w:sz w:val="18"/>
                <w:szCs w:val="18"/>
                <w:lang w:val="en-US"/>
              </w:rPr>
              <w:t>-311</w:t>
            </w:r>
          </w:p>
        </w:tc>
        <w:tc>
          <w:tcPr>
            <w:tcW w:w="588" w:type="pct"/>
            <w:vAlign w:val="bottom"/>
          </w:tcPr>
          <w:p w14:paraId="4CC5D684" w14:textId="6808CCAF" w:rsidR="00B57DDF" w:rsidRPr="00226892" w:rsidRDefault="000C5F0F" w:rsidP="00AA6F32">
            <w:pPr>
              <w:pStyle w:val="Default"/>
              <w:widowControl w:val="0"/>
              <w:jc w:val="right"/>
              <w:rPr>
                <w:rFonts w:ascii="Arial" w:hAnsi="Arial" w:cs="Arial"/>
                <w:spacing w:val="-2"/>
                <w:sz w:val="18"/>
                <w:szCs w:val="18"/>
                <w:lang w:val="en-US"/>
              </w:rPr>
            </w:pPr>
            <w:r w:rsidRPr="00226892">
              <w:rPr>
                <w:rFonts w:ascii="Arial" w:hAnsi="Arial" w:cs="Arial"/>
                <w:spacing w:val="-2"/>
                <w:sz w:val="18"/>
                <w:szCs w:val="18"/>
                <w:lang w:val="en-US"/>
              </w:rPr>
              <w:t>-</w:t>
            </w:r>
          </w:p>
        </w:tc>
        <w:tc>
          <w:tcPr>
            <w:tcW w:w="588" w:type="pct"/>
            <w:vAlign w:val="bottom"/>
          </w:tcPr>
          <w:p w14:paraId="02BA37E0" w14:textId="00584697" w:rsidR="00B57DDF" w:rsidRPr="00226892" w:rsidRDefault="000C5F0F" w:rsidP="00AA6F32">
            <w:pPr>
              <w:pStyle w:val="Default"/>
              <w:widowControl w:val="0"/>
              <w:jc w:val="right"/>
              <w:rPr>
                <w:rFonts w:ascii="Arial" w:hAnsi="Arial" w:cs="Arial"/>
                <w:spacing w:val="-2"/>
                <w:sz w:val="18"/>
                <w:szCs w:val="18"/>
                <w:lang w:val="en-US"/>
              </w:rPr>
            </w:pPr>
            <w:r w:rsidRPr="00226892">
              <w:rPr>
                <w:rFonts w:ascii="Arial" w:hAnsi="Arial" w:cs="Arial"/>
                <w:spacing w:val="-2"/>
                <w:sz w:val="18"/>
                <w:szCs w:val="18"/>
                <w:lang w:val="en-US"/>
              </w:rPr>
              <w:t>-</w:t>
            </w:r>
          </w:p>
        </w:tc>
        <w:tc>
          <w:tcPr>
            <w:tcW w:w="588" w:type="pct"/>
            <w:vAlign w:val="bottom"/>
          </w:tcPr>
          <w:p w14:paraId="5CC359CC" w14:textId="5131D8D5" w:rsidR="00B57DDF" w:rsidRPr="00226892" w:rsidRDefault="000C5F0F" w:rsidP="00AA6F32">
            <w:pPr>
              <w:pStyle w:val="Default"/>
              <w:widowControl w:val="0"/>
              <w:jc w:val="right"/>
              <w:rPr>
                <w:rFonts w:ascii="Arial" w:hAnsi="Arial" w:cs="Arial"/>
                <w:b/>
                <w:bCs/>
                <w:spacing w:val="-2"/>
                <w:sz w:val="18"/>
                <w:szCs w:val="18"/>
                <w:lang w:val="en-US"/>
              </w:rPr>
            </w:pPr>
            <w:r w:rsidRPr="00226892">
              <w:rPr>
                <w:rFonts w:ascii="Arial" w:hAnsi="Arial" w:cs="Arial"/>
                <w:b/>
                <w:bCs/>
                <w:spacing w:val="-2"/>
                <w:sz w:val="18"/>
                <w:szCs w:val="18"/>
                <w:lang w:val="en-US"/>
              </w:rPr>
              <w:t>-311</w:t>
            </w:r>
          </w:p>
        </w:tc>
      </w:tr>
      <w:tr w:rsidR="00B57DDF" w:rsidRPr="00226892" w14:paraId="5D5F779C" w14:textId="77777777" w:rsidTr="00E57F66">
        <w:trPr>
          <w:cantSplit/>
        </w:trPr>
        <w:tc>
          <w:tcPr>
            <w:tcW w:w="2059" w:type="pct"/>
            <w:tcBorders>
              <w:bottom w:val="single" w:sz="4" w:space="0" w:color="auto"/>
            </w:tcBorders>
            <w:vAlign w:val="bottom"/>
          </w:tcPr>
          <w:p w14:paraId="7C665BDD" w14:textId="77777777" w:rsidR="00B57DDF" w:rsidRPr="00226892" w:rsidRDefault="00B57DDF" w:rsidP="00512880">
            <w:pPr>
              <w:pStyle w:val="Default"/>
              <w:widowControl w:val="0"/>
              <w:ind w:left="113" w:right="-57" w:hanging="113"/>
              <w:rPr>
                <w:rFonts w:ascii="Arial" w:hAnsi="Arial" w:cs="Arial"/>
                <w:spacing w:val="-2"/>
                <w:sz w:val="18"/>
                <w:szCs w:val="18"/>
              </w:rPr>
            </w:pPr>
          </w:p>
        </w:tc>
        <w:tc>
          <w:tcPr>
            <w:tcW w:w="588" w:type="pct"/>
            <w:tcBorders>
              <w:bottom w:val="single" w:sz="4" w:space="0" w:color="auto"/>
            </w:tcBorders>
            <w:vAlign w:val="bottom"/>
          </w:tcPr>
          <w:p w14:paraId="7DDF34FA" w14:textId="77777777" w:rsidR="00B57DDF" w:rsidRPr="00226892" w:rsidRDefault="00B57DDF" w:rsidP="00AA6F32">
            <w:pPr>
              <w:pStyle w:val="Default"/>
              <w:widowControl w:val="0"/>
              <w:jc w:val="right"/>
              <w:rPr>
                <w:rFonts w:ascii="Arial" w:hAnsi="Arial" w:cs="Arial"/>
                <w:spacing w:val="-2"/>
                <w:sz w:val="18"/>
                <w:szCs w:val="18"/>
                <w:lang w:val="en-US"/>
              </w:rPr>
            </w:pPr>
          </w:p>
        </w:tc>
        <w:tc>
          <w:tcPr>
            <w:tcW w:w="588" w:type="pct"/>
            <w:tcBorders>
              <w:bottom w:val="single" w:sz="4" w:space="0" w:color="auto"/>
            </w:tcBorders>
            <w:vAlign w:val="bottom"/>
          </w:tcPr>
          <w:p w14:paraId="77005939" w14:textId="77777777" w:rsidR="00B57DDF" w:rsidRPr="00226892" w:rsidRDefault="00B57DDF" w:rsidP="00AA6F32">
            <w:pPr>
              <w:pStyle w:val="Default"/>
              <w:widowControl w:val="0"/>
              <w:jc w:val="right"/>
              <w:rPr>
                <w:rFonts w:ascii="Arial" w:hAnsi="Arial" w:cs="Arial"/>
                <w:spacing w:val="-2"/>
                <w:sz w:val="18"/>
                <w:szCs w:val="18"/>
                <w:lang w:val="en-US"/>
              </w:rPr>
            </w:pPr>
          </w:p>
        </w:tc>
        <w:tc>
          <w:tcPr>
            <w:tcW w:w="588" w:type="pct"/>
            <w:tcBorders>
              <w:bottom w:val="single" w:sz="4" w:space="0" w:color="auto"/>
            </w:tcBorders>
            <w:vAlign w:val="bottom"/>
          </w:tcPr>
          <w:p w14:paraId="636BCA07" w14:textId="77777777" w:rsidR="00B57DDF" w:rsidRPr="00226892" w:rsidRDefault="00B57DDF" w:rsidP="00AA6F32">
            <w:pPr>
              <w:pStyle w:val="Default"/>
              <w:widowControl w:val="0"/>
              <w:jc w:val="right"/>
              <w:rPr>
                <w:rFonts w:ascii="Arial" w:hAnsi="Arial" w:cs="Arial"/>
                <w:spacing w:val="-2"/>
                <w:sz w:val="18"/>
                <w:szCs w:val="18"/>
                <w:lang w:val="en-US"/>
              </w:rPr>
            </w:pPr>
          </w:p>
        </w:tc>
        <w:tc>
          <w:tcPr>
            <w:tcW w:w="588" w:type="pct"/>
            <w:tcBorders>
              <w:bottom w:val="single" w:sz="4" w:space="0" w:color="auto"/>
            </w:tcBorders>
            <w:vAlign w:val="bottom"/>
          </w:tcPr>
          <w:p w14:paraId="06802A57" w14:textId="77777777" w:rsidR="00B57DDF" w:rsidRPr="00226892" w:rsidRDefault="00B57DDF" w:rsidP="00AA6F32">
            <w:pPr>
              <w:pStyle w:val="Default"/>
              <w:widowControl w:val="0"/>
              <w:jc w:val="right"/>
              <w:rPr>
                <w:rFonts w:ascii="Arial" w:hAnsi="Arial" w:cs="Arial"/>
                <w:spacing w:val="-2"/>
                <w:sz w:val="18"/>
                <w:szCs w:val="18"/>
                <w:lang w:val="en-US"/>
              </w:rPr>
            </w:pPr>
          </w:p>
        </w:tc>
        <w:tc>
          <w:tcPr>
            <w:tcW w:w="588" w:type="pct"/>
            <w:tcBorders>
              <w:bottom w:val="single" w:sz="4" w:space="0" w:color="auto"/>
            </w:tcBorders>
            <w:vAlign w:val="bottom"/>
          </w:tcPr>
          <w:p w14:paraId="39326528" w14:textId="4E49F671" w:rsidR="00B57DDF" w:rsidRPr="00226892" w:rsidRDefault="00B57DDF" w:rsidP="00AA6F32">
            <w:pPr>
              <w:pStyle w:val="Default"/>
              <w:widowControl w:val="0"/>
              <w:jc w:val="right"/>
              <w:rPr>
                <w:rFonts w:ascii="Arial" w:hAnsi="Arial" w:cs="Arial"/>
                <w:b/>
                <w:bCs/>
                <w:spacing w:val="-2"/>
                <w:sz w:val="18"/>
                <w:szCs w:val="18"/>
                <w:lang w:val="en-US"/>
              </w:rPr>
            </w:pPr>
          </w:p>
        </w:tc>
      </w:tr>
      <w:tr w:rsidR="00B57DDF" w:rsidRPr="00226892" w14:paraId="783307C0" w14:textId="77777777" w:rsidTr="00E57F66">
        <w:trPr>
          <w:cantSplit/>
        </w:trPr>
        <w:tc>
          <w:tcPr>
            <w:tcW w:w="2059" w:type="pct"/>
            <w:tcBorders>
              <w:top w:val="single" w:sz="4" w:space="0" w:color="auto"/>
            </w:tcBorders>
            <w:vAlign w:val="bottom"/>
          </w:tcPr>
          <w:p w14:paraId="327C91D6" w14:textId="77777777" w:rsidR="00B57DDF" w:rsidRPr="00226892" w:rsidRDefault="00B57DDF" w:rsidP="00512880">
            <w:pPr>
              <w:pStyle w:val="Default"/>
              <w:widowControl w:val="0"/>
              <w:ind w:left="113" w:right="-57" w:hanging="113"/>
              <w:rPr>
                <w:rFonts w:ascii="Arial" w:hAnsi="Arial" w:cs="Arial"/>
                <w:b/>
                <w:bCs/>
                <w:spacing w:val="-2"/>
                <w:sz w:val="18"/>
                <w:szCs w:val="18"/>
                <w:lang w:val="en-US"/>
              </w:rPr>
            </w:pPr>
          </w:p>
        </w:tc>
        <w:tc>
          <w:tcPr>
            <w:tcW w:w="588" w:type="pct"/>
            <w:tcBorders>
              <w:top w:val="single" w:sz="4" w:space="0" w:color="auto"/>
            </w:tcBorders>
            <w:vAlign w:val="bottom"/>
          </w:tcPr>
          <w:p w14:paraId="6FF38360" w14:textId="77777777" w:rsidR="00B57DDF" w:rsidRPr="00226892" w:rsidRDefault="00B57DDF" w:rsidP="00AA6F32">
            <w:pPr>
              <w:pStyle w:val="Default"/>
              <w:widowControl w:val="0"/>
              <w:jc w:val="right"/>
              <w:rPr>
                <w:rFonts w:ascii="Arial" w:hAnsi="Arial" w:cs="Arial"/>
                <w:spacing w:val="-2"/>
                <w:sz w:val="18"/>
                <w:szCs w:val="18"/>
                <w:lang w:val="en-US"/>
              </w:rPr>
            </w:pPr>
          </w:p>
        </w:tc>
        <w:tc>
          <w:tcPr>
            <w:tcW w:w="588" w:type="pct"/>
            <w:tcBorders>
              <w:top w:val="single" w:sz="4" w:space="0" w:color="auto"/>
            </w:tcBorders>
            <w:vAlign w:val="bottom"/>
          </w:tcPr>
          <w:p w14:paraId="6C03E266" w14:textId="77777777" w:rsidR="00B57DDF" w:rsidRPr="00226892" w:rsidRDefault="00B57DDF" w:rsidP="00AA6F32">
            <w:pPr>
              <w:pStyle w:val="Default"/>
              <w:widowControl w:val="0"/>
              <w:jc w:val="right"/>
              <w:rPr>
                <w:rFonts w:ascii="Arial" w:hAnsi="Arial" w:cs="Arial"/>
                <w:spacing w:val="-2"/>
                <w:sz w:val="18"/>
                <w:szCs w:val="18"/>
                <w:lang w:val="en-US"/>
              </w:rPr>
            </w:pPr>
          </w:p>
        </w:tc>
        <w:tc>
          <w:tcPr>
            <w:tcW w:w="588" w:type="pct"/>
            <w:tcBorders>
              <w:top w:val="single" w:sz="4" w:space="0" w:color="auto"/>
            </w:tcBorders>
            <w:vAlign w:val="bottom"/>
          </w:tcPr>
          <w:p w14:paraId="6C114BE1" w14:textId="77777777" w:rsidR="00B57DDF" w:rsidRPr="00226892" w:rsidRDefault="00B57DDF" w:rsidP="00AA6F32">
            <w:pPr>
              <w:pStyle w:val="Default"/>
              <w:widowControl w:val="0"/>
              <w:jc w:val="right"/>
              <w:rPr>
                <w:rFonts w:ascii="Arial" w:hAnsi="Arial" w:cs="Arial"/>
                <w:spacing w:val="-2"/>
                <w:sz w:val="18"/>
                <w:szCs w:val="18"/>
                <w:lang w:val="en-US"/>
              </w:rPr>
            </w:pPr>
          </w:p>
        </w:tc>
        <w:tc>
          <w:tcPr>
            <w:tcW w:w="588" w:type="pct"/>
            <w:tcBorders>
              <w:top w:val="single" w:sz="4" w:space="0" w:color="auto"/>
            </w:tcBorders>
            <w:vAlign w:val="bottom"/>
          </w:tcPr>
          <w:p w14:paraId="55EC70DC" w14:textId="77777777" w:rsidR="00B57DDF" w:rsidRPr="00226892" w:rsidRDefault="00B57DDF" w:rsidP="00AA6F32">
            <w:pPr>
              <w:pStyle w:val="Default"/>
              <w:widowControl w:val="0"/>
              <w:jc w:val="right"/>
              <w:rPr>
                <w:rFonts w:ascii="Arial" w:hAnsi="Arial" w:cs="Arial"/>
                <w:spacing w:val="-2"/>
                <w:sz w:val="18"/>
                <w:szCs w:val="18"/>
                <w:lang w:val="en-US"/>
              </w:rPr>
            </w:pPr>
          </w:p>
        </w:tc>
        <w:tc>
          <w:tcPr>
            <w:tcW w:w="588" w:type="pct"/>
            <w:tcBorders>
              <w:top w:val="single" w:sz="4" w:space="0" w:color="auto"/>
            </w:tcBorders>
            <w:vAlign w:val="bottom"/>
          </w:tcPr>
          <w:p w14:paraId="6E98D512" w14:textId="7DE5048C" w:rsidR="00B57DDF" w:rsidRPr="00226892" w:rsidRDefault="00B57DDF" w:rsidP="00AA6F32">
            <w:pPr>
              <w:pStyle w:val="Default"/>
              <w:widowControl w:val="0"/>
              <w:jc w:val="right"/>
              <w:rPr>
                <w:rFonts w:ascii="Arial" w:hAnsi="Arial" w:cs="Arial"/>
                <w:b/>
                <w:bCs/>
                <w:spacing w:val="-2"/>
                <w:sz w:val="18"/>
                <w:szCs w:val="18"/>
                <w:lang w:val="en-US"/>
              </w:rPr>
            </w:pPr>
          </w:p>
        </w:tc>
      </w:tr>
      <w:tr w:rsidR="00B57DDF" w:rsidRPr="00226892" w14:paraId="512C2B25" w14:textId="77777777" w:rsidTr="00E57F66">
        <w:trPr>
          <w:cantSplit/>
        </w:trPr>
        <w:tc>
          <w:tcPr>
            <w:tcW w:w="2059" w:type="pct"/>
            <w:tcBorders>
              <w:left w:val="nil"/>
              <w:bottom w:val="nil"/>
              <w:right w:val="nil"/>
            </w:tcBorders>
            <w:vAlign w:val="bottom"/>
            <w:hideMark/>
          </w:tcPr>
          <w:p w14:paraId="58BD4676" w14:textId="1B340ECE" w:rsidR="00B57DDF" w:rsidRPr="00226892" w:rsidRDefault="00B57DDF" w:rsidP="00512880">
            <w:pPr>
              <w:pStyle w:val="Default"/>
              <w:widowControl w:val="0"/>
              <w:ind w:right="-57"/>
              <w:rPr>
                <w:rFonts w:ascii="Arial" w:hAnsi="Arial" w:cs="Arial"/>
                <w:b/>
                <w:bCs/>
                <w:spacing w:val="-2"/>
                <w:sz w:val="18"/>
                <w:szCs w:val="18"/>
                <w:lang w:val="en-US"/>
              </w:rPr>
            </w:pPr>
            <w:proofErr w:type="spellStart"/>
            <w:r w:rsidRPr="00226892">
              <w:rPr>
                <w:rFonts w:ascii="Arial" w:hAnsi="Arial" w:cs="Arial"/>
                <w:b/>
                <w:bCs/>
                <w:spacing w:val="-2"/>
                <w:sz w:val="18"/>
                <w:szCs w:val="18"/>
                <w:lang w:val="en-US"/>
              </w:rPr>
              <w:t>Záväzky</w:t>
            </w:r>
            <w:proofErr w:type="spellEnd"/>
            <w:r w:rsidRPr="00226892">
              <w:rPr>
                <w:rFonts w:ascii="Arial" w:hAnsi="Arial" w:cs="Arial"/>
                <w:b/>
                <w:bCs/>
                <w:spacing w:val="-2"/>
                <w:sz w:val="18"/>
                <w:szCs w:val="18"/>
                <w:lang w:val="en-US"/>
              </w:rPr>
              <w:t xml:space="preserve"> </w:t>
            </w:r>
            <w:proofErr w:type="spellStart"/>
            <w:r w:rsidRPr="00226892">
              <w:rPr>
                <w:rFonts w:ascii="Arial" w:hAnsi="Arial" w:cs="Arial"/>
                <w:b/>
                <w:bCs/>
                <w:spacing w:val="-2"/>
                <w:sz w:val="18"/>
                <w:szCs w:val="18"/>
                <w:lang w:val="en-US"/>
              </w:rPr>
              <w:t>vykázané</w:t>
            </w:r>
            <w:proofErr w:type="spellEnd"/>
            <w:r w:rsidRPr="00226892">
              <w:rPr>
                <w:rFonts w:ascii="Arial" w:hAnsi="Arial" w:cs="Arial"/>
                <w:b/>
                <w:bCs/>
                <w:spacing w:val="-2"/>
                <w:sz w:val="18"/>
                <w:szCs w:val="18"/>
                <w:lang w:val="en-US"/>
              </w:rPr>
              <w:t xml:space="preserve"> v </w:t>
            </w:r>
            <w:proofErr w:type="spellStart"/>
            <w:r w:rsidRPr="00226892">
              <w:rPr>
                <w:rFonts w:ascii="Arial" w:hAnsi="Arial" w:cs="Arial"/>
                <w:b/>
                <w:bCs/>
                <w:spacing w:val="-2"/>
                <w:sz w:val="18"/>
                <w:szCs w:val="18"/>
                <w:lang w:val="en-US"/>
              </w:rPr>
              <w:t>peňažných</w:t>
            </w:r>
            <w:proofErr w:type="spellEnd"/>
            <w:r w:rsidRPr="00226892">
              <w:rPr>
                <w:rFonts w:ascii="Arial" w:hAnsi="Arial" w:cs="Arial"/>
                <w:b/>
                <w:bCs/>
                <w:spacing w:val="-2"/>
                <w:sz w:val="18"/>
                <w:szCs w:val="18"/>
                <w:lang w:val="en-US"/>
              </w:rPr>
              <w:t xml:space="preserve"> </w:t>
            </w:r>
            <w:proofErr w:type="spellStart"/>
            <w:r w:rsidRPr="00226892">
              <w:rPr>
                <w:rFonts w:ascii="Arial" w:hAnsi="Arial" w:cs="Arial"/>
                <w:b/>
                <w:bCs/>
                <w:spacing w:val="-2"/>
                <w:sz w:val="18"/>
                <w:szCs w:val="18"/>
                <w:lang w:val="en-US"/>
              </w:rPr>
              <w:t>tokoch</w:t>
            </w:r>
            <w:proofErr w:type="spellEnd"/>
            <w:r w:rsidRPr="00226892">
              <w:rPr>
                <w:rFonts w:ascii="Arial" w:hAnsi="Arial" w:cs="Arial"/>
                <w:b/>
                <w:bCs/>
                <w:spacing w:val="-2"/>
                <w:sz w:val="18"/>
                <w:szCs w:val="18"/>
                <w:lang w:val="en-US"/>
              </w:rPr>
              <w:t xml:space="preserve"> z </w:t>
            </w:r>
            <w:proofErr w:type="spellStart"/>
            <w:r w:rsidRPr="00226892">
              <w:rPr>
                <w:rFonts w:ascii="Arial" w:hAnsi="Arial" w:cs="Arial"/>
                <w:b/>
                <w:bCs/>
                <w:spacing w:val="-2"/>
                <w:sz w:val="18"/>
                <w:szCs w:val="18"/>
                <w:lang w:val="en-US"/>
              </w:rPr>
              <w:t>finančnej</w:t>
            </w:r>
            <w:proofErr w:type="spellEnd"/>
            <w:r w:rsidRPr="00226892">
              <w:rPr>
                <w:rFonts w:ascii="Arial" w:hAnsi="Arial" w:cs="Arial"/>
                <w:b/>
                <w:bCs/>
                <w:spacing w:val="-2"/>
                <w:sz w:val="18"/>
                <w:szCs w:val="18"/>
                <w:lang w:val="en-US"/>
              </w:rPr>
              <w:t xml:space="preserve"> </w:t>
            </w:r>
            <w:proofErr w:type="spellStart"/>
            <w:r w:rsidRPr="00226892">
              <w:rPr>
                <w:rFonts w:ascii="Arial" w:hAnsi="Arial" w:cs="Arial"/>
                <w:b/>
                <w:bCs/>
                <w:spacing w:val="-2"/>
                <w:sz w:val="18"/>
                <w:szCs w:val="18"/>
                <w:lang w:val="en-US"/>
              </w:rPr>
              <w:t>činnosti</w:t>
            </w:r>
            <w:proofErr w:type="spellEnd"/>
            <w:r w:rsidRPr="00226892">
              <w:rPr>
                <w:rFonts w:ascii="Arial" w:hAnsi="Arial" w:cs="Arial"/>
                <w:b/>
                <w:bCs/>
                <w:spacing w:val="-2"/>
                <w:sz w:val="18"/>
                <w:szCs w:val="18"/>
                <w:lang w:val="en-US"/>
              </w:rPr>
              <w:t xml:space="preserve"> k 31. </w:t>
            </w:r>
            <w:proofErr w:type="spellStart"/>
            <w:r w:rsidRPr="00226892">
              <w:rPr>
                <w:rFonts w:ascii="Arial" w:hAnsi="Arial" w:cs="Arial"/>
                <w:b/>
                <w:bCs/>
                <w:spacing w:val="-2"/>
                <w:sz w:val="18"/>
                <w:szCs w:val="18"/>
                <w:lang w:val="en-US"/>
              </w:rPr>
              <w:t>decembru</w:t>
            </w:r>
            <w:proofErr w:type="spellEnd"/>
            <w:r w:rsidRPr="00226892">
              <w:rPr>
                <w:rFonts w:ascii="Arial" w:hAnsi="Arial" w:cs="Arial"/>
                <w:b/>
                <w:bCs/>
                <w:spacing w:val="-2"/>
                <w:sz w:val="18"/>
                <w:szCs w:val="18"/>
                <w:lang w:val="en-US"/>
              </w:rPr>
              <w:t xml:space="preserve"> 2018</w:t>
            </w:r>
          </w:p>
        </w:tc>
        <w:tc>
          <w:tcPr>
            <w:tcW w:w="588" w:type="pct"/>
            <w:tcBorders>
              <w:left w:val="nil"/>
              <w:bottom w:val="nil"/>
              <w:right w:val="nil"/>
            </w:tcBorders>
            <w:vAlign w:val="bottom"/>
          </w:tcPr>
          <w:p w14:paraId="7045047E" w14:textId="048FB53D" w:rsidR="00B57DDF" w:rsidRPr="00226892" w:rsidRDefault="000C5F0F" w:rsidP="00AA6F32">
            <w:pPr>
              <w:pStyle w:val="Default"/>
              <w:widowControl w:val="0"/>
              <w:jc w:val="right"/>
              <w:rPr>
                <w:rFonts w:ascii="Arial" w:hAnsi="Arial" w:cs="Arial"/>
                <w:b/>
                <w:bCs/>
                <w:spacing w:val="-2"/>
                <w:sz w:val="18"/>
                <w:szCs w:val="18"/>
                <w:lang w:val="en-US"/>
              </w:rPr>
            </w:pPr>
            <w:r w:rsidRPr="00226892">
              <w:rPr>
                <w:rFonts w:ascii="Arial" w:hAnsi="Arial" w:cs="Arial"/>
                <w:b/>
                <w:bCs/>
                <w:spacing w:val="-2"/>
                <w:sz w:val="18"/>
                <w:szCs w:val="18"/>
                <w:lang w:val="en-US"/>
              </w:rPr>
              <w:t>23 742</w:t>
            </w:r>
          </w:p>
        </w:tc>
        <w:tc>
          <w:tcPr>
            <w:tcW w:w="588" w:type="pct"/>
            <w:tcBorders>
              <w:left w:val="nil"/>
              <w:bottom w:val="nil"/>
              <w:right w:val="nil"/>
            </w:tcBorders>
            <w:vAlign w:val="bottom"/>
          </w:tcPr>
          <w:p w14:paraId="22CA37A2" w14:textId="3386343A" w:rsidR="000C5F0F" w:rsidRPr="00226892" w:rsidRDefault="000C5F0F" w:rsidP="00AA6F32">
            <w:pPr>
              <w:pStyle w:val="Default"/>
              <w:widowControl w:val="0"/>
              <w:jc w:val="right"/>
              <w:rPr>
                <w:rFonts w:ascii="Arial" w:hAnsi="Arial" w:cs="Arial"/>
                <w:b/>
                <w:bCs/>
                <w:spacing w:val="-2"/>
                <w:sz w:val="18"/>
                <w:szCs w:val="18"/>
                <w:lang w:val="en-US"/>
              </w:rPr>
            </w:pPr>
            <w:r w:rsidRPr="00226892">
              <w:rPr>
                <w:rFonts w:ascii="Arial" w:hAnsi="Arial" w:cs="Arial"/>
                <w:b/>
                <w:bCs/>
                <w:spacing w:val="-2"/>
                <w:sz w:val="18"/>
                <w:szCs w:val="18"/>
                <w:lang w:val="en-US"/>
              </w:rPr>
              <w:t>538</w:t>
            </w:r>
          </w:p>
        </w:tc>
        <w:tc>
          <w:tcPr>
            <w:tcW w:w="588" w:type="pct"/>
            <w:tcBorders>
              <w:left w:val="nil"/>
              <w:bottom w:val="nil"/>
              <w:right w:val="nil"/>
            </w:tcBorders>
            <w:vAlign w:val="bottom"/>
          </w:tcPr>
          <w:p w14:paraId="42C4FE05" w14:textId="20C75BA9" w:rsidR="000C5F0F" w:rsidRPr="00226892" w:rsidRDefault="000C5F0F" w:rsidP="00AA6F32">
            <w:pPr>
              <w:pStyle w:val="Default"/>
              <w:widowControl w:val="0"/>
              <w:jc w:val="right"/>
              <w:rPr>
                <w:rFonts w:ascii="Arial" w:hAnsi="Arial" w:cs="Arial"/>
                <w:b/>
                <w:bCs/>
                <w:spacing w:val="-2"/>
                <w:sz w:val="18"/>
                <w:szCs w:val="18"/>
                <w:lang w:val="en-US"/>
              </w:rPr>
            </w:pPr>
            <w:r w:rsidRPr="00226892">
              <w:rPr>
                <w:rFonts w:ascii="Arial" w:hAnsi="Arial" w:cs="Arial"/>
                <w:b/>
                <w:bCs/>
                <w:spacing w:val="-2"/>
                <w:sz w:val="18"/>
                <w:szCs w:val="18"/>
                <w:lang w:val="en-US"/>
              </w:rPr>
              <w:t>11 811</w:t>
            </w:r>
          </w:p>
        </w:tc>
        <w:tc>
          <w:tcPr>
            <w:tcW w:w="588" w:type="pct"/>
            <w:tcBorders>
              <w:left w:val="nil"/>
              <w:bottom w:val="nil"/>
              <w:right w:val="nil"/>
            </w:tcBorders>
            <w:vAlign w:val="bottom"/>
          </w:tcPr>
          <w:p w14:paraId="5E035DAE" w14:textId="69699561" w:rsidR="000C5F0F" w:rsidRPr="00226892" w:rsidRDefault="000C5F0F" w:rsidP="00AA6F32">
            <w:pPr>
              <w:pStyle w:val="Default"/>
              <w:widowControl w:val="0"/>
              <w:jc w:val="right"/>
              <w:rPr>
                <w:rFonts w:ascii="Arial" w:hAnsi="Arial" w:cs="Arial"/>
                <w:b/>
                <w:bCs/>
                <w:spacing w:val="-2"/>
                <w:sz w:val="18"/>
                <w:szCs w:val="18"/>
                <w:lang w:val="en-US"/>
              </w:rPr>
            </w:pPr>
            <w:r w:rsidRPr="00226892">
              <w:rPr>
                <w:rFonts w:ascii="Arial" w:hAnsi="Arial" w:cs="Arial"/>
                <w:b/>
                <w:bCs/>
                <w:spacing w:val="-2"/>
                <w:sz w:val="18"/>
                <w:szCs w:val="18"/>
                <w:lang w:val="en-US"/>
              </w:rPr>
              <w:t>-</w:t>
            </w:r>
          </w:p>
        </w:tc>
        <w:tc>
          <w:tcPr>
            <w:tcW w:w="588" w:type="pct"/>
            <w:tcBorders>
              <w:left w:val="nil"/>
              <w:bottom w:val="nil"/>
              <w:right w:val="nil"/>
            </w:tcBorders>
            <w:vAlign w:val="bottom"/>
          </w:tcPr>
          <w:p w14:paraId="1A51DA30" w14:textId="6F487E69" w:rsidR="00B57DDF" w:rsidRPr="00226892" w:rsidRDefault="000C5F0F" w:rsidP="00AA6F32">
            <w:pPr>
              <w:pStyle w:val="Default"/>
              <w:widowControl w:val="0"/>
              <w:jc w:val="right"/>
              <w:rPr>
                <w:rFonts w:ascii="Arial" w:hAnsi="Arial" w:cs="Arial"/>
                <w:b/>
                <w:bCs/>
                <w:spacing w:val="-2"/>
                <w:sz w:val="18"/>
                <w:szCs w:val="18"/>
                <w:lang w:val="en-US"/>
              </w:rPr>
            </w:pPr>
            <w:r w:rsidRPr="00226892">
              <w:rPr>
                <w:rFonts w:ascii="Arial" w:hAnsi="Arial" w:cs="Arial"/>
                <w:b/>
                <w:bCs/>
                <w:spacing w:val="-2"/>
                <w:sz w:val="18"/>
                <w:szCs w:val="18"/>
                <w:lang w:val="en-US"/>
              </w:rPr>
              <w:t>36 091</w:t>
            </w:r>
          </w:p>
        </w:tc>
      </w:tr>
    </w:tbl>
    <w:p w14:paraId="60DA66DF" w14:textId="5CC90D1E" w:rsidR="00B344A2" w:rsidRPr="00226892" w:rsidRDefault="00B344A2">
      <w:pPr>
        <w:rPr>
          <w:rFonts w:ascii="Arial" w:hAnsi="Arial" w:cs="Arial"/>
          <w:lang w:eastAsia="sk-SK"/>
        </w:rPr>
      </w:pPr>
    </w:p>
    <w:p w14:paraId="28090E4B" w14:textId="77777777" w:rsidR="004C79B8" w:rsidRPr="00226892" w:rsidRDefault="004C79B8">
      <w:pPr>
        <w:rPr>
          <w:rFonts w:ascii="Arial" w:hAnsi="Arial" w:cs="Arial"/>
          <w:lang w:eastAsia="sk-SK"/>
        </w:rPr>
      </w:pPr>
    </w:p>
    <w:p w14:paraId="168DC363" w14:textId="63CC5A1B" w:rsidR="008F683A" w:rsidRPr="00226892" w:rsidRDefault="0056068D" w:rsidP="003578C0">
      <w:pPr>
        <w:pStyle w:val="Nadpis3"/>
        <w:keepNext w:val="0"/>
        <w:widowControl/>
        <w:numPr>
          <w:ilvl w:val="0"/>
          <w:numId w:val="34"/>
        </w:numPr>
        <w:tabs>
          <w:tab w:val="clear" w:pos="1069"/>
          <w:tab w:val="num" w:pos="392"/>
        </w:tabs>
        <w:suppressAutoHyphens/>
        <w:spacing w:after="120"/>
        <w:ind w:left="1077" w:hanging="1077"/>
        <w:jc w:val="both"/>
        <w:rPr>
          <w:rFonts w:ascii="Arial" w:hAnsi="Arial" w:cs="Arial"/>
          <w:b w:val="0"/>
          <w:sz w:val="20"/>
        </w:rPr>
      </w:pPr>
      <w:bookmarkStart w:id="615" w:name="_Toc27410018"/>
      <w:proofErr w:type="spellStart"/>
      <w:r w:rsidRPr="00226892">
        <w:rPr>
          <w:rFonts w:ascii="Arial" w:hAnsi="Arial" w:cs="Arial"/>
          <w:sz w:val="20"/>
        </w:rPr>
        <w:t>Peňažné</w:t>
      </w:r>
      <w:proofErr w:type="spellEnd"/>
      <w:r w:rsidRPr="00226892">
        <w:rPr>
          <w:rFonts w:ascii="Arial" w:hAnsi="Arial" w:cs="Arial"/>
          <w:sz w:val="20"/>
        </w:rPr>
        <w:t xml:space="preserve"> </w:t>
      </w:r>
      <w:proofErr w:type="spellStart"/>
      <w:r w:rsidRPr="00226892">
        <w:rPr>
          <w:rFonts w:ascii="Arial" w:hAnsi="Arial" w:cs="Arial"/>
          <w:sz w:val="20"/>
        </w:rPr>
        <w:t>toky</w:t>
      </w:r>
      <w:proofErr w:type="spellEnd"/>
      <w:r w:rsidRPr="00226892">
        <w:rPr>
          <w:rFonts w:ascii="Arial" w:hAnsi="Arial" w:cs="Arial"/>
          <w:sz w:val="20"/>
        </w:rPr>
        <w:t xml:space="preserve"> z </w:t>
      </w:r>
      <w:proofErr w:type="spellStart"/>
      <w:r w:rsidRPr="00226892">
        <w:rPr>
          <w:rFonts w:ascii="Arial" w:hAnsi="Arial" w:cs="Arial"/>
          <w:sz w:val="20"/>
        </w:rPr>
        <w:t>prevádzkovej</w:t>
      </w:r>
      <w:proofErr w:type="spellEnd"/>
      <w:r w:rsidRPr="00226892">
        <w:rPr>
          <w:rFonts w:ascii="Arial" w:hAnsi="Arial" w:cs="Arial"/>
          <w:sz w:val="20"/>
        </w:rPr>
        <w:t xml:space="preserve"> </w:t>
      </w:r>
      <w:proofErr w:type="spellStart"/>
      <w:r w:rsidRPr="00226892">
        <w:rPr>
          <w:rFonts w:ascii="Arial" w:hAnsi="Arial" w:cs="Arial"/>
          <w:sz w:val="20"/>
        </w:rPr>
        <w:t>činnosti</w:t>
      </w:r>
      <w:bookmarkEnd w:id="613"/>
      <w:bookmarkEnd w:id="615"/>
      <w:proofErr w:type="spellEnd"/>
    </w:p>
    <w:p w14:paraId="2CA24E6E" w14:textId="61F26D92" w:rsidR="00023A96" w:rsidRPr="00226892" w:rsidRDefault="00023A96" w:rsidP="00265134">
      <w:pPr>
        <w:suppressAutoHyphens/>
        <w:ind w:left="709"/>
        <w:rPr>
          <w:rFonts w:ascii="Arial" w:hAnsi="Arial" w:cs="Arial"/>
          <w:b/>
          <w:sz w:val="18"/>
          <w:szCs w:val="18"/>
          <w:highlight w:val="yellow"/>
        </w:rPr>
      </w:pPr>
      <w:bookmarkStart w:id="616" w:name="FWT_CashFromOperations"/>
    </w:p>
    <w:tbl>
      <w:tblPr>
        <w:tblW w:w="5000" w:type="pct"/>
        <w:tblCellMar>
          <w:left w:w="70" w:type="dxa"/>
          <w:right w:w="70" w:type="dxa"/>
        </w:tblCellMar>
        <w:tblLook w:val="04A0" w:firstRow="1" w:lastRow="0" w:firstColumn="1" w:lastColumn="0" w:noHBand="0" w:noVBand="1"/>
      </w:tblPr>
      <w:tblGrid>
        <w:gridCol w:w="4918"/>
        <w:gridCol w:w="657"/>
        <w:gridCol w:w="2032"/>
        <w:gridCol w:w="2032"/>
      </w:tblGrid>
      <w:tr w:rsidR="00023A96" w:rsidRPr="00226892" w14:paraId="3287ADDB" w14:textId="77777777" w:rsidTr="00C76805">
        <w:trPr>
          <w:trHeight w:val="227"/>
        </w:trPr>
        <w:tc>
          <w:tcPr>
            <w:tcW w:w="2550" w:type="pct"/>
            <w:tcBorders>
              <w:top w:val="nil"/>
              <w:left w:val="nil"/>
              <w:bottom w:val="single" w:sz="4" w:space="0" w:color="auto"/>
              <w:right w:val="nil"/>
            </w:tcBorders>
            <w:shd w:val="clear" w:color="auto" w:fill="auto"/>
            <w:noWrap/>
            <w:vAlign w:val="bottom"/>
            <w:hideMark/>
          </w:tcPr>
          <w:p w14:paraId="2D4B21DE" w14:textId="77777777" w:rsidR="00023A96" w:rsidRPr="00226892" w:rsidRDefault="00023A96" w:rsidP="00023A96">
            <w:pPr>
              <w:rPr>
                <w:rFonts w:ascii="Arial" w:hAnsi="Arial" w:cs="Arial"/>
                <w:color w:val="000000"/>
                <w:sz w:val="18"/>
                <w:szCs w:val="18"/>
                <w:lang w:val="sk-SK" w:eastAsia="sk-SK"/>
              </w:rPr>
            </w:pPr>
            <w:r w:rsidRPr="00226892">
              <w:rPr>
                <w:rFonts w:ascii="Arial" w:hAnsi="Arial" w:cs="Arial"/>
                <w:color w:val="000000"/>
                <w:sz w:val="18"/>
                <w:szCs w:val="18"/>
              </w:rPr>
              <w:t> </w:t>
            </w:r>
          </w:p>
        </w:tc>
        <w:tc>
          <w:tcPr>
            <w:tcW w:w="341" w:type="pct"/>
            <w:tcBorders>
              <w:top w:val="nil"/>
              <w:left w:val="nil"/>
              <w:bottom w:val="single" w:sz="4" w:space="0" w:color="auto"/>
              <w:right w:val="nil"/>
            </w:tcBorders>
            <w:shd w:val="clear" w:color="auto" w:fill="auto"/>
            <w:vAlign w:val="bottom"/>
            <w:hideMark/>
          </w:tcPr>
          <w:p w14:paraId="365F041C" w14:textId="77777777" w:rsidR="00023A96" w:rsidRPr="00226892" w:rsidRDefault="00023A96" w:rsidP="00C76805">
            <w:pPr>
              <w:jc w:val="center"/>
              <w:rPr>
                <w:rFonts w:ascii="Arial" w:hAnsi="Arial" w:cs="Arial"/>
                <w:b/>
                <w:bCs/>
                <w:color w:val="000000"/>
                <w:sz w:val="18"/>
                <w:szCs w:val="18"/>
              </w:rPr>
            </w:pPr>
            <w:r w:rsidRPr="00226892">
              <w:rPr>
                <w:rFonts w:ascii="Arial" w:hAnsi="Arial" w:cs="Arial"/>
                <w:b/>
                <w:bCs/>
                <w:color w:val="000000"/>
                <w:sz w:val="18"/>
                <w:szCs w:val="18"/>
              </w:rPr>
              <w:t>Note</w:t>
            </w:r>
          </w:p>
        </w:tc>
        <w:tc>
          <w:tcPr>
            <w:tcW w:w="1054" w:type="pct"/>
            <w:tcBorders>
              <w:top w:val="nil"/>
              <w:left w:val="nil"/>
              <w:bottom w:val="single" w:sz="4" w:space="0" w:color="auto"/>
              <w:right w:val="nil"/>
            </w:tcBorders>
            <w:shd w:val="clear" w:color="auto" w:fill="auto"/>
            <w:vAlign w:val="bottom"/>
            <w:hideMark/>
          </w:tcPr>
          <w:p w14:paraId="762D846E" w14:textId="55F4F6AF" w:rsidR="00023A96" w:rsidRPr="00226892" w:rsidRDefault="00023A96" w:rsidP="007477F3">
            <w:pPr>
              <w:jc w:val="center"/>
              <w:rPr>
                <w:rFonts w:ascii="Arial" w:hAnsi="Arial" w:cs="Arial"/>
                <w:b/>
                <w:bCs/>
                <w:color w:val="000000"/>
                <w:sz w:val="18"/>
                <w:szCs w:val="18"/>
              </w:rPr>
            </w:pPr>
            <w:proofErr w:type="spellStart"/>
            <w:r w:rsidRPr="00226892">
              <w:rPr>
                <w:rFonts w:ascii="Arial" w:hAnsi="Arial" w:cs="Arial"/>
                <w:b/>
                <w:bCs/>
                <w:color w:val="000000"/>
                <w:sz w:val="18"/>
                <w:szCs w:val="18"/>
              </w:rPr>
              <w:t>Rok</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končiaci</w:t>
            </w:r>
            <w:proofErr w:type="spellEnd"/>
            <w:r w:rsidRPr="00226892">
              <w:rPr>
                <w:rFonts w:ascii="Arial" w:hAnsi="Arial" w:cs="Arial"/>
                <w:b/>
                <w:bCs/>
                <w:color w:val="000000"/>
                <w:sz w:val="18"/>
                <w:szCs w:val="18"/>
              </w:rPr>
              <w:t xml:space="preserve"> 31. </w:t>
            </w:r>
            <w:proofErr w:type="spellStart"/>
            <w:r w:rsidRPr="00226892">
              <w:rPr>
                <w:rFonts w:ascii="Arial" w:hAnsi="Arial" w:cs="Arial"/>
                <w:b/>
                <w:bCs/>
                <w:color w:val="000000"/>
                <w:sz w:val="18"/>
                <w:szCs w:val="18"/>
              </w:rPr>
              <w:t>december</w:t>
            </w:r>
            <w:proofErr w:type="spellEnd"/>
            <w:r w:rsidRPr="00226892">
              <w:rPr>
                <w:rFonts w:ascii="Arial" w:hAnsi="Arial" w:cs="Arial"/>
                <w:b/>
                <w:bCs/>
                <w:color w:val="000000"/>
                <w:sz w:val="18"/>
                <w:szCs w:val="18"/>
              </w:rPr>
              <w:t xml:space="preserve"> </w:t>
            </w:r>
            <w:r w:rsidR="00FD3AC5" w:rsidRPr="00226892">
              <w:rPr>
                <w:rFonts w:ascii="Arial" w:hAnsi="Arial" w:cs="Arial"/>
                <w:b/>
                <w:bCs/>
                <w:color w:val="000000"/>
                <w:sz w:val="18"/>
                <w:szCs w:val="18"/>
              </w:rPr>
              <w:t>2018</w:t>
            </w:r>
          </w:p>
        </w:tc>
        <w:tc>
          <w:tcPr>
            <w:tcW w:w="1054" w:type="pct"/>
            <w:tcBorders>
              <w:top w:val="nil"/>
              <w:left w:val="nil"/>
              <w:bottom w:val="single" w:sz="4" w:space="0" w:color="auto"/>
              <w:right w:val="nil"/>
            </w:tcBorders>
            <w:vAlign w:val="bottom"/>
          </w:tcPr>
          <w:p w14:paraId="4B3E5D22" w14:textId="31A88DAA" w:rsidR="00023A96" w:rsidRPr="00226892" w:rsidRDefault="00023A96" w:rsidP="007477F3">
            <w:pPr>
              <w:jc w:val="center"/>
              <w:rPr>
                <w:rFonts w:ascii="Arial" w:hAnsi="Arial" w:cs="Arial"/>
                <w:b/>
                <w:bCs/>
                <w:color w:val="000000"/>
                <w:sz w:val="18"/>
                <w:szCs w:val="18"/>
              </w:rPr>
            </w:pPr>
            <w:proofErr w:type="spellStart"/>
            <w:r w:rsidRPr="00226892">
              <w:rPr>
                <w:rFonts w:ascii="Arial" w:hAnsi="Arial" w:cs="Arial"/>
                <w:b/>
                <w:bCs/>
                <w:color w:val="000000"/>
                <w:sz w:val="18"/>
                <w:szCs w:val="18"/>
              </w:rPr>
              <w:t>Rok</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končiaci</w:t>
            </w:r>
            <w:proofErr w:type="spellEnd"/>
            <w:r w:rsidRPr="00226892">
              <w:rPr>
                <w:rFonts w:ascii="Arial" w:hAnsi="Arial" w:cs="Arial"/>
                <w:b/>
                <w:bCs/>
                <w:color w:val="000000"/>
                <w:sz w:val="18"/>
                <w:szCs w:val="18"/>
              </w:rPr>
              <w:t xml:space="preserve"> 31. </w:t>
            </w:r>
            <w:proofErr w:type="spellStart"/>
            <w:r w:rsidRPr="00226892">
              <w:rPr>
                <w:rFonts w:ascii="Arial" w:hAnsi="Arial" w:cs="Arial"/>
                <w:b/>
                <w:bCs/>
                <w:color w:val="000000"/>
                <w:sz w:val="18"/>
                <w:szCs w:val="18"/>
              </w:rPr>
              <w:t>december</w:t>
            </w:r>
            <w:proofErr w:type="spellEnd"/>
            <w:r w:rsidRPr="00226892">
              <w:rPr>
                <w:rFonts w:ascii="Arial" w:hAnsi="Arial" w:cs="Arial"/>
                <w:b/>
                <w:bCs/>
                <w:color w:val="000000"/>
                <w:sz w:val="18"/>
                <w:szCs w:val="18"/>
              </w:rPr>
              <w:t xml:space="preserve"> </w:t>
            </w:r>
            <w:r w:rsidR="00F63A77" w:rsidRPr="00226892">
              <w:rPr>
                <w:rFonts w:ascii="Arial" w:hAnsi="Arial" w:cs="Arial"/>
                <w:b/>
                <w:bCs/>
                <w:color w:val="000000"/>
                <w:sz w:val="18"/>
                <w:szCs w:val="18"/>
              </w:rPr>
              <w:t>2017</w:t>
            </w:r>
          </w:p>
        </w:tc>
      </w:tr>
      <w:tr w:rsidR="00400FB1" w:rsidRPr="00226892" w14:paraId="27AFB806" w14:textId="77777777" w:rsidTr="00C76805">
        <w:trPr>
          <w:trHeight w:val="227"/>
        </w:trPr>
        <w:tc>
          <w:tcPr>
            <w:tcW w:w="2550" w:type="pct"/>
            <w:tcBorders>
              <w:top w:val="nil"/>
              <w:left w:val="nil"/>
              <w:bottom w:val="nil"/>
              <w:right w:val="nil"/>
            </w:tcBorders>
            <w:shd w:val="clear" w:color="auto" w:fill="auto"/>
            <w:vAlign w:val="center"/>
            <w:hideMark/>
          </w:tcPr>
          <w:p w14:paraId="1A256F7F" w14:textId="72FED8DA" w:rsidR="00400FB1" w:rsidRPr="00226892" w:rsidRDefault="00400FB1" w:rsidP="00400FB1">
            <w:pPr>
              <w:rPr>
                <w:rFonts w:ascii="Arial" w:hAnsi="Arial" w:cs="Arial"/>
                <w:b/>
                <w:bCs/>
                <w:color w:val="000000"/>
                <w:sz w:val="18"/>
                <w:szCs w:val="18"/>
              </w:rPr>
            </w:pPr>
            <w:proofErr w:type="spellStart"/>
            <w:r w:rsidRPr="00226892">
              <w:rPr>
                <w:rFonts w:ascii="Arial" w:hAnsi="Arial" w:cs="Arial"/>
                <w:b/>
                <w:bCs/>
                <w:color w:val="000000"/>
                <w:sz w:val="18"/>
                <w:szCs w:val="18"/>
              </w:rPr>
              <w:t>Zisk</w:t>
            </w:r>
            <w:proofErr w:type="spellEnd"/>
            <w:r w:rsidRPr="00226892">
              <w:rPr>
                <w:rFonts w:ascii="Arial" w:hAnsi="Arial" w:cs="Arial"/>
                <w:b/>
                <w:bCs/>
                <w:color w:val="000000"/>
                <w:sz w:val="18"/>
                <w:szCs w:val="18"/>
              </w:rPr>
              <w:t xml:space="preserve"> za </w:t>
            </w:r>
            <w:proofErr w:type="spellStart"/>
            <w:r w:rsidRPr="00226892">
              <w:rPr>
                <w:rFonts w:ascii="Arial" w:hAnsi="Arial" w:cs="Arial"/>
                <w:b/>
                <w:bCs/>
                <w:color w:val="000000"/>
                <w:sz w:val="18"/>
                <w:szCs w:val="18"/>
              </w:rPr>
              <w:t>bežné</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obdobie</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pred</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zdanením</w:t>
            </w:r>
            <w:proofErr w:type="spellEnd"/>
          </w:p>
        </w:tc>
        <w:tc>
          <w:tcPr>
            <w:tcW w:w="341" w:type="pct"/>
            <w:tcBorders>
              <w:top w:val="nil"/>
              <w:left w:val="nil"/>
              <w:bottom w:val="nil"/>
              <w:right w:val="nil"/>
            </w:tcBorders>
            <w:shd w:val="clear" w:color="auto" w:fill="auto"/>
            <w:vAlign w:val="bottom"/>
            <w:hideMark/>
          </w:tcPr>
          <w:p w14:paraId="293312CF" w14:textId="77777777" w:rsidR="00400FB1" w:rsidRPr="00226892" w:rsidRDefault="00400FB1" w:rsidP="00C76805">
            <w:pPr>
              <w:jc w:val="center"/>
              <w:rPr>
                <w:rFonts w:ascii="Arial" w:hAnsi="Arial" w:cs="Arial"/>
                <w:sz w:val="18"/>
                <w:szCs w:val="18"/>
              </w:rPr>
            </w:pPr>
          </w:p>
        </w:tc>
        <w:tc>
          <w:tcPr>
            <w:tcW w:w="1054" w:type="pct"/>
            <w:tcBorders>
              <w:top w:val="nil"/>
              <w:left w:val="nil"/>
              <w:bottom w:val="nil"/>
              <w:right w:val="nil"/>
            </w:tcBorders>
            <w:shd w:val="clear" w:color="auto" w:fill="auto"/>
            <w:vAlign w:val="bottom"/>
          </w:tcPr>
          <w:p w14:paraId="27656777" w14:textId="2A4F706D" w:rsidR="00400FB1" w:rsidRPr="00226892" w:rsidRDefault="00477152" w:rsidP="00400FB1">
            <w:pPr>
              <w:jc w:val="right"/>
              <w:rPr>
                <w:rFonts w:ascii="Arial" w:hAnsi="Arial" w:cs="Arial"/>
                <w:color w:val="000000"/>
                <w:sz w:val="18"/>
                <w:szCs w:val="18"/>
              </w:rPr>
            </w:pPr>
            <w:r w:rsidRPr="00226892">
              <w:rPr>
                <w:rFonts w:ascii="Arial" w:hAnsi="Arial" w:cs="Arial"/>
                <w:color w:val="000000"/>
                <w:sz w:val="18"/>
                <w:szCs w:val="18"/>
              </w:rPr>
              <w:t>3 761</w:t>
            </w:r>
          </w:p>
        </w:tc>
        <w:tc>
          <w:tcPr>
            <w:tcW w:w="1054" w:type="pct"/>
            <w:tcBorders>
              <w:top w:val="nil"/>
              <w:left w:val="nil"/>
              <w:bottom w:val="nil"/>
              <w:right w:val="nil"/>
            </w:tcBorders>
            <w:vAlign w:val="bottom"/>
          </w:tcPr>
          <w:p w14:paraId="783F1904" w14:textId="4498CBE1" w:rsidR="00400FB1" w:rsidRPr="00226892" w:rsidRDefault="00400FB1" w:rsidP="00400FB1">
            <w:pPr>
              <w:jc w:val="right"/>
              <w:rPr>
                <w:rFonts w:ascii="Arial" w:hAnsi="Arial" w:cs="Arial"/>
                <w:color w:val="000000"/>
                <w:sz w:val="18"/>
                <w:szCs w:val="18"/>
              </w:rPr>
            </w:pPr>
            <w:r w:rsidRPr="00226892">
              <w:rPr>
                <w:rFonts w:ascii="Arial" w:hAnsi="Arial" w:cs="Arial"/>
                <w:color w:val="000000"/>
                <w:sz w:val="18"/>
                <w:szCs w:val="18"/>
              </w:rPr>
              <w:t>2 501</w:t>
            </w:r>
          </w:p>
        </w:tc>
      </w:tr>
      <w:tr w:rsidR="00400FB1" w:rsidRPr="00226892" w14:paraId="5762B1D7" w14:textId="77777777" w:rsidTr="00C76805">
        <w:trPr>
          <w:trHeight w:val="227"/>
        </w:trPr>
        <w:tc>
          <w:tcPr>
            <w:tcW w:w="2550" w:type="pct"/>
            <w:tcBorders>
              <w:top w:val="nil"/>
              <w:left w:val="nil"/>
              <w:bottom w:val="nil"/>
              <w:right w:val="nil"/>
            </w:tcBorders>
            <w:shd w:val="clear" w:color="auto" w:fill="auto"/>
            <w:vAlign w:val="center"/>
            <w:hideMark/>
          </w:tcPr>
          <w:p w14:paraId="1B33848A" w14:textId="77777777" w:rsidR="00400FB1" w:rsidRPr="00226892" w:rsidRDefault="00400FB1" w:rsidP="00400FB1">
            <w:pPr>
              <w:rPr>
                <w:rFonts w:ascii="Arial" w:hAnsi="Arial" w:cs="Arial"/>
                <w:b/>
                <w:bCs/>
                <w:color w:val="000000"/>
                <w:sz w:val="18"/>
                <w:szCs w:val="18"/>
              </w:rPr>
            </w:pPr>
            <w:proofErr w:type="spellStart"/>
            <w:r w:rsidRPr="00226892">
              <w:rPr>
                <w:rFonts w:ascii="Arial" w:hAnsi="Arial" w:cs="Arial"/>
                <w:b/>
                <w:bCs/>
                <w:color w:val="000000"/>
                <w:sz w:val="18"/>
                <w:szCs w:val="18"/>
              </w:rPr>
              <w:t>Upravený</w:t>
            </w:r>
            <w:proofErr w:type="spellEnd"/>
            <w:r w:rsidRPr="00226892">
              <w:rPr>
                <w:rFonts w:ascii="Arial" w:hAnsi="Arial" w:cs="Arial"/>
                <w:b/>
                <w:bCs/>
                <w:color w:val="000000"/>
                <w:sz w:val="18"/>
                <w:szCs w:val="18"/>
              </w:rPr>
              <w:t xml:space="preserve"> o:</w:t>
            </w:r>
          </w:p>
        </w:tc>
        <w:tc>
          <w:tcPr>
            <w:tcW w:w="341" w:type="pct"/>
            <w:tcBorders>
              <w:top w:val="nil"/>
              <w:left w:val="nil"/>
              <w:bottom w:val="nil"/>
              <w:right w:val="nil"/>
            </w:tcBorders>
            <w:shd w:val="clear" w:color="auto" w:fill="auto"/>
            <w:vAlign w:val="bottom"/>
            <w:hideMark/>
          </w:tcPr>
          <w:p w14:paraId="22706B1D" w14:textId="77777777" w:rsidR="00400FB1" w:rsidRPr="00226892" w:rsidRDefault="00400FB1" w:rsidP="00C76805">
            <w:pPr>
              <w:jc w:val="center"/>
              <w:rPr>
                <w:rFonts w:ascii="Arial" w:hAnsi="Arial" w:cs="Arial"/>
                <w:sz w:val="18"/>
                <w:szCs w:val="18"/>
              </w:rPr>
            </w:pPr>
          </w:p>
        </w:tc>
        <w:tc>
          <w:tcPr>
            <w:tcW w:w="1054" w:type="pct"/>
            <w:tcBorders>
              <w:top w:val="nil"/>
              <w:left w:val="nil"/>
              <w:bottom w:val="nil"/>
              <w:right w:val="nil"/>
            </w:tcBorders>
            <w:shd w:val="clear" w:color="auto" w:fill="auto"/>
            <w:vAlign w:val="bottom"/>
          </w:tcPr>
          <w:p w14:paraId="4DCA0E3A" w14:textId="77777777" w:rsidR="00400FB1" w:rsidRPr="00226892" w:rsidRDefault="00400FB1" w:rsidP="00400FB1">
            <w:pPr>
              <w:jc w:val="right"/>
              <w:rPr>
                <w:rFonts w:ascii="Arial" w:hAnsi="Arial" w:cs="Arial"/>
                <w:sz w:val="18"/>
                <w:szCs w:val="18"/>
              </w:rPr>
            </w:pPr>
          </w:p>
        </w:tc>
        <w:tc>
          <w:tcPr>
            <w:tcW w:w="1054" w:type="pct"/>
            <w:tcBorders>
              <w:top w:val="nil"/>
              <w:left w:val="nil"/>
              <w:bottom w:val="nil"/>
              <w:right w:val="nil"/>
            </w:tcBorders>
            <w:vAlign w:val="bottom"/>
          </w:tcPr>
          <w:p w14:paraId="5B90A6FA" w14:textId="77777777" w:rsidR="00400FB1" w:rsidRPr="00226892" w:rsidRDefault="00400FB1" w:rsidP="00400FB1">
            <w:pPr>
              <w:jc w:val="right"/>
              <w:rPr>
                <w:rFonts w:ascii="Arial" w:hAnsi="Arial" w:cs="Arial"/>
                <w:sz w:val="18"/>
                <w:szCs w:val="18"/>
              </w:rPr>
            </w:pPr>
          </w:p>
        </w:tc>
      </w:tr>
      <w:tr w:rsidR="00400FB1" w:rsidRPr="00226892" w14:paraId="5875C2AE" w14:textId="77777777" w:rsidTr="00C76805">
        <w:trPr>
          <w:trHeight w:val="227"/>
        </w:trPr>
        <w:tc>
          <w:tcPr>
            <w:tcW w:w="2550" w:type="pct"/>
            <w:tcBorders>
              <w:top w:val="nil"/>
              <w:left w:val="nil"/>
              <w:bottom w:val="nil"/>
              <w:right w:val="nil"/>
            </w:tcBorders>
            <w:shd w:val="clear" w:color="auto" w:fill="auto"/>
            <w:vAlign w:val="center"/>
            <w:hideMark/>
          </w:tcPr>
          <w:p w14:paraId="004D69F7" w14:textId="77777777" w:rsidR="00400FB1" w:rsidRPr="00226892" w:rsidRDefault="00400FB1" w:rsidP="00400FB1">
            <w:pPr>
              <w:rPr>
                <w:rFonts w:ascii="Arial" w:hAnsi="Arial" w:cs="Arial"/>
                <w:sz w:val="18"/>
                <w:szCs w:val="18"/>
              </w:rPr>
            </w:pPr>
          </w:p>
        </w:tc>
        <w:tc>
          <w:tcPr>
            <w:tcW w:w="341" w:type="pct"/>
            <w:tcBorders>
              <w:top w:val="nil"/>
              <w:left w:val="nil"/>
              <w:bottom w:val="nil"/>
              <w:right w:val="nil"/>
            </w:tcBorders>
            <w:shd w:val="clear" w:color="auto" w:fill="auto"/>
            <w:vAlign w:val="bottom"/>
            <w:hideMark/>
          </w:tcPr>
          <w:p w14:paraId="34E6C893" w14:textId="77777777" w:rsidR="00400FB1" w:rsidRPr="00226892" w:rsidRDefault="00400FB1" w:rsidP="00C76805">
            <w:pPr>
              <w:jc w:val="center"/>
              <w:rPr>
                <w:rFonts w:ascii="Arial" w:hAnsi="Arial" w:cs="Arial"/>
                <w:sz w:val="18"/>
                <w:szCs w:val="18"/>
              </w:rPr>
            </w:pPr>
          </w:p>
        </w:tc>
        <w:tc>
          <w:tcPr>
            <w:tcW w:w="1054" w:type="pct"/>
            <w:tcBorders>
              <w:top w:val="nil"/>
              <w:left w:val="nil"/>
              <w:bottom w:val="nil"/>
              <w:right w:val="nil"/>
            </w:tcBorders>
            <w:shd w:val="clear" w:color="auto" w:fill="auto"/>
            <w:vAlign w:val="bottom"/>
          </w:tcPr>
          <w:p w14:paraId="14A990D0" w14:textId="77777777" w:rsidR="00400FB1" w:rsidRPr="00226892" w:rsidRDefault="00400FB1" w:rsidP="00400FB1">
            <w:pPr>
              <w:jc w:val="right"/>
              <w:rPr>
                <w:rFonts w:ascii="Arial" w:hAnsi="Arial" w:cs="Arial"/>
                <w:sz w:val="18"/>
                <w:szCs w:val="18"/>
              </w:rPr>
            </w:pPr>
          </w:p>
        </w:tc>
        <w:tc>
          <w:tcPr>
            <w:tcW w:w="1054" w:type="pct"/>
            <w:tcBorders>
              <w:top w:val="nil"/>
              <w:left w:val="nil"/>
              <w:bottom w:val="nil"/>
              <w:right w:val="nil"/>
            </w:tcBorders>
            <w:vAlign w:val="bottom"/>
          </w:tcPr>
          <w:p w14:paraId="48254285" w14:textId="77777777" w:rsidR="00400FB1" w:rsidRPr="00226892" w:rsidRDefault="00400FB1" w:rsidP="00400FB1">
            <w:pPr>
              <w:jc w:val="right"/>
              <w:rPr>
                <w:rFonts w:ascii="Arial" w:hAnsi="Arial" w:cs="Arial"/>
                <w:sz w:val="18"/>
                <w:szCs w:val="18"/>
              </w:rPr>
            </w:pPr>
          </w:p>
        </w:tc>
      </w:tr>
      <w:tr w:rsidR="00400FB1" w:rsidRPr="00226892" w14:paraId="56F1E861" w14:textId="77777777" w:rsidTr="00C76805">
        <w:trPr>
          <w:trHeight w:val="227"/>
        </w:trPr>
        <w:tc>
          <w:tcPr>
            <w:tcW w:w="2550" w:type="pct"/>
            <w:tcBorders>
              <w:top w:val="nil"/>
              <w:left w:val="nil"/>
              <w:bottom w:val="nil"/>
              <w:right w:val="nil"/>
            </w:tcBorders>
            <w:shd w:val="clear" w:color="auto" w:fill="auto"/>
            <w:vAlign w:val="center"/>
            <w:hideMark/>
          </w:tcPr>
          <w:p w14:paraId="38BA694C" w14:textId="77777777" w:rsidR="00400FB1" w:rsidRPr="00226892" w:rsidRDefault="00400FB1" w:rsidP="00400FB1">
            <w:pPr>
              <w:rPr>
                <w:rFonts w:ascii="Arial" w:hAnsi="Arial" w:cs="Arial"/>
                <w:color w:val="000000"/>
                <w:sz w:val="18"/>
                <w:szCs w:val="18"/>
              </w:rPr>
            </w:pPr>
            <w:proofErr w:type="spellStart"/>
            <w:r w:rsidRPr="00226892">
              <w:rPr>
                <w:rFonts w:ascii="Arial" w:hAnsi="Arial" w:cs="Arial"/>
                <w:color w:val="000000"/>
                <w:sz w:val="18"/>
                <w:szCs w:val="18"/>
              </w:rPr>
              <w:t>Odpisy</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dlhodobého</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nehmotného</w:t>
            </w:r>
            <w:proofErr w:type="spellEnd"/>
            <w:r w:rsidRPr="00226892">
              <w:rPr>
                <w:rFonts w:ascii="Arial" w:hAnsi="Arial" w:cs="Arial"/>
                <w:color w:val="000000"/>
                <w:sz w:val="18"/>
                <w:szCs w:val="18"/>
              </w:rPr>
              <w:t xml:space="preserve"> a </w:t>
            </w:r>
            <w:proofErr w:type="spellStart"/>
            <w:r w:rsidRPr="00226892">
              <w:rPr>
                <w:rFonts w:ascii="Arial" w:hAnsi="Arial" w:cs="Arial"/>
                <w:color w:val="000000"/>
                <w:sz w:val="18"/>
                <w:szCs w:val="18"/>
              </w:rPr>
              <w:t>hmotného</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majetku</w:t>
            </w:r>
            <w:proofErr w:type="spellEnd"/>
          </w:p>
        </w:tc>
        <w:tc>
          <w:tcPr>
            <w:tcW w:w="341" w:type="pct"/>
            <w:tcBorders>
              <w:top w:val="nil"/>
              <w:left w:val="nil"/>
              <w:bottom w:val="nil"/>
              <w:right w:val="nil"/>
            </w:tcBorders>
            <w:shd w:val="clear" w:color="auto" w:fill="auto"/>
            <w:vAlign w:val="bottom"/>
            <w:hideMark/>
          </w:tcPr>
          <w:p w14:paraId="62666B83" w14:textId="550DC435" w:rsidR="00400FB1" w:rsidRPr="00226892" w:rsidRDefault="00400FB1" w:rsidP="00C76805">
            <w:pPr>
              <w:jc w:val="center"/>
              <w:rPr>
                <w:rFonts w:ascii="Arial" w:hAnsi="Arial" w:cs="Arial"/>
                <w:sz w:val="18"/>
                <w:szCs w:val="18"/>
              </w:rPr>
            </w:pPr>
            <w:r w:rsidRPr="00226892">
              <w:rPr>
                <w:rFonts w:ascii="Arial" w:hAnsi="Arial" w:cs="Arial"/>
                <w:sz w:val="18"/>
                <w:szCs w:val="18"/>
              </w:rPr>
              <w:t>5,6</w:t>
            </w:r>
          </w:p>
        </w:tc>
        <w:tc>
          <w:tcPr>
            <w:tcW w:w="1054" w:type="pct"/>
            <w:tcBorders>
              <w:top w:val="nil"/>
              <w:left w:val="nil"/>
              <w:bottom w:val="nil"/>
              <w:right w:val="nil"/>
            </w:tcBorders>
            <w:shd w:val="clear" w:color="auto" w:fill="auto"/>
            <w:vAlign w:val="bottom"/>
          </w:tcPr>
          <w:p w14:paraId="0E3777CE" w14:textId="0597B65A" w:rsidR="00400FB1" w:rsidRPr="00226892" w:rsidRDefault="00477152" w:rsidP="00400FB1">
            <w:pPr>
              <w:jc w:val="right"/>
              <w:rPr>
                <w:rFonts w:ascii="Arial" w:hAnsi="Arial" w:cs="Arial"/>
                <w:color w:val="000000"/>
                <w:sz w:val="18"/>
                <w:szCs w:val="18"/>
              </w:rPr>
            </w:pPr>
            <w:r w:rsidRPr="00226892">
              <w:rPr>
                <w:rFonts w:ascii="Arial" w:hAnsi="Arial" w:cs="Arial"/>
                <w:color w:val="000000"/>
                <w:sz w:val="18"/>
                <w:szCs w:val="18"/>
              </w:rPr>
              <w:t>9 071</w:t>
            </w:r>
          </w:p>
        </w:tc>
        <w:tc>
          <w:tcPr>
            <w:tcW w:w="1054" w:type="pct"/>
            <w:tcBorders>
              <w:top w:val="nil"/>
              <w:left w:val="nil"/>
              <w:bottom w:val="nil"/>
              <w:right w:val="nil"/>
            </w:tcBorders>
            <w:vAlign w:val="bottom"/>
          </w:tcPr>
          <w:p w14:paraId="00FBCCF1" w14:textId="5968C8B6" w:rsidR="00400FB1" w:rsidRPr="00226892" w:rsidRDefault="00400FB1" w:rsidP="00400FB1">
            <w:pPr>
              <w:jc w:val="right"/>
              <w:rPr>
                <w:rFonts w:ascii="Arial" w:hAnsi="Arial" w:cs="Arial"/>
                <w:color w:val="000000"/>
                <w:sz w:val="18"/>
                <w:szCs w:val="18"/>
              </w:rPr>
            </w:pPr>
            <w:r w:rsidRPr="00226892">
              <w:rPr>
                <w:rFonts w:ascii="Arial" w:hAnsi="Arial" w:cs="Arial"/>
                <w:color w:val="000000"/>
                <w:sz w:val="18"/>
                <w:szCs w:val="18"/>
              </w:rPr>
              <w:t>8 9</w:t>
            </w:r>
            <w:r w:rsidR="00D042D2" w:rsidRPr="00226892">
              <w:rPr>
                <w:rFonts w:ascii="Arial" w:hAnsi="Arial" w:cs="Arial"/>
                <w:color w:val="000000"/>
                <w:sz w:val="18"/>
                <w:szCs w:val="18"/>
              </w:rPr>
              <w:t>66</w:t>
            </w:r>
          </w:p>
        </w:tc>
      </w:tr>
      <w:tr w:rsidR="00400FB1" w:rsidRPr="00226892" w14:paraId="3B93F375" w14:textId="77777777" w:rsidTr="00C76805">
        <w:trPr>
          <w:trHeight w:val="227"/>
        </w:trPr>
        <w:tc>
          <w:tcPr>
            <w:tcW w:w="2550" w:type="pct"/>
            <w:tcBorders>
              <w:top w:val="nil"/>
              <w:left w:val="nil"/>
              <w:bottom w:val="nil"/>
              <w:right w:val="nil"/>
            </w:tcBorders>
            <w:shd w:val="clear" w:color="auto" w:fill="auto"/>
            <w:vAlign w:val="center"/>
            <w:hideMark/>
          </w:tcPr>
          <w:p w14:paraId="080F5593" w14:textId="77777777" w:rsidR="00400FB1" w:rsidRPr="00226892" w:rsidRDefault="00400FB1" w:rsidP="00400FB1">
            <w:pPr>
              <w:rPr>
                <w:rFonts w:ascii="Arial" w:hAnsi="Arial" w:cs="Arial"/>
                <w:color w:val="000000"/>
                <w:sz w:val="18"/>
                <w:szCs w:val="18"/>
              </w:rPr>
            </w:pPr>
            <w:proofErr w:type="spellStart"/>
            <w:r w:rsidRPr="00226892">
              <w:rPr>
                <w:rFonts w:ascii="Arial" w:hAnsi="Arial" w:cs="Arial"/>
                <w:color w:val="000000"/>
                <w:sz w:val="18"/>
                <w:szCs w:val="18"/>
              </w:rPr>
              <w:t>Zmena</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stavu</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rezerv</w:t>
            </w:r>
            <w:proofErr w:type="spellEnd"/>
            <w:r w:rsidRPr="00226892">
              <w:rPr>
                <w:rFonts w:ascii="Arial" w:hAnsi="Arial" w:cs="Arial"/>
                <w:color w:val="000000"/>
                <w:sz w:val="18"/>
                <w:szCs w:val="18"/>
              </w:rPr>
              <w:t xml:space="preserve"> a </w:t>
            </w:r>
            <w:proofErr w:type="spellStart"/>
            <w:r w:rsidRPr="00226892">
              <w:rPr>
                <w:rFonts w:ascii="Arial" w:hAnsi="Arial" w:cs="Arial"/>
                <w:color w:val="000000"/>
                <w:sz w:val="18"/>
                <w:szCs w:val="18"/>
              </w:rPr>
              <w:t>zamestnaneckých</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požitkov</w:t>
            </w:r>
            <w:proofErr w:type="spellEnd"/>
          </w:p>
        </w:tc>
        <w:tc>
          <w:tcPr>
            <w:tcW w:w="341" w:type="pct"/>
            <w:tcBorders>
              <w:top w:val="nil"/>
              <w:left w:val="nil"/>
              <w:bottom w:val="nil"/>
              <w:right w:val="nil"/>
            </w:tcBorders>
            <w:shd w:val="clear" w:color="auto" w:fill="auto"/>
            <w:vAlign w:val="bottom"/>
            <w:hideMark/>
          </w:tcPr>
          <w:p w14:paraId="4F529D87" w14:textId="77777777" w:rsidR="00400FB1" w:rsidRPr="00226892" w:rsidRDefault="00400FB1" w:rsidP="00C76805">
            <w:pPr>
              <w:jc w:val="center"/>
              <w:rPr>
                <w:rFonts w:ascii="Arial" w:hAnsi="Arial" w:cs="Arial"/>
                <w:sz w:val="18"/>
                <w:szCs w:val="18"/>
              </w:rPr>
            </w:pPr>
          </w:p>
        </w:tc>
        <w:tc>
          <w:tcPr>
            <w:tcW w:w="1054" w:type="pct"/>
            <w:tcBorders>
              <w:top w:val="nil"/>
              <w:left w:val="nil"/>
              <w:bottom w:val="nil"/>
              <w:right w:val="nil"/>
            </w:tcBorders>
            <w:shd w:val="clear" w:color="auto" w:fill="auto"/>
            <w:vAlign w:val="bottom"/>
          </w:tcPr>
          <w:p w14:paraId="2F721591" w14:textId="070D35D5" w:rsidR="00400FB1" w:rsidRPr="00226892" w:rsidRDefault="00477152" w:rsidP="00400FB1">
            <w:pPr>
              <w:jc w:val="right"/>
              <w:rPr>
                <w:rFonts w:ascii="Arial" w:hAnsi="Arial" w:cs="Arial"/>
                <w:color w:val="000000"/>
                <w:sz w:val="18"/>
                <w:szCs w:val="18"/>
              </w:rPr>
            </w:pPr>
            <w:r w:rsidRPr="00226892">
              <w:rPr>
                <w:rFonts w:ascii="Arial" w:hAnsi="Arial" w:cs="Arial"/>
                <w:color w:val="000000"/>
                <w:sz w:val="18"/>
                <w:szCs w:val="18"/>
              </w:rPr>
              <w:t>-165</w:t>
            </w:r>
          </w:p>
        </w:tc>
        <w:tc>
          <w:tcPr>
            <w:tcW w:w="1054" w:type="pct"/>
            <w:tcBorders>
              <w:top w:val="nil"/>
              <w:left w:val="nil"/>
              <w:bottom w:val="nil"/>
              <w:right w:val="nil"/>
            </w:tcBorders>
            <w:vAlign w:val="bottom"/>
          </w:tcPr>
          <w:p w14:paraId="46B22721" w14:textId="20D6D91D" w:rsidR="00400FB1" w:rsidRPr="00226892" w:rsidRDefault="00400FB1" w:rsidP="00400FB1">
            <w:pPr>
              <w:jc w:val="right"/>
              <w:rPr>
                <w:rFonts w:ascii="Arial" w:hAnsi="Arial" w:cs="Arial"/>
                <w:color w:val="000000"/>
                <w:sz w:val="18"/>
                <w:szCs w:val="18"/>
              </w:rPr>
            </w:pPr>
            <w:r w:rsidRPr="00226892">
              <w:rPr>
                <w:rFonts w:ascii="Arial" w:hAnsi="Arial" w:cs="Arial"/>
                <w:color w:val="000000"/>
                <w:sz w:val="18"/>
                <w:szCs w:val="18"/>
              </w:rPr>
              <w:t>-5</w:t>
            </w:r>
          </w:p>
        </w:tc>
      </w:tr>
      <w:tr w:rsidR="00400FB1" w:rsidRPr="00226892" w14:paraId="0CB9647C" w14:textId="77777777" w:rsidTr="00C76805">
        <w:trPr>
          <w:trHeight w:val="227"/>
        </w:trPr>
        <w:tc>
          <w:tcPr>
            <w:tcW w:w="2550" w:type="pct"/>
            <w:tcBorders>
              <w:top w:val="nil"/>
              <w:left w:val="nil"/>
              <w:bottom w:val="nil"/>
              <w:right w:val="nil"/>
            </w:tcBorders>
            <w:shd w:val="clear" w:color="auto" w:fill="auto"/>
            <w:vAlign w:val="center"/>
            <w:hideMark/>
          </w:tcPr>
          <w:p w14:paraId="35EF9A82" w14:textId="77777777" w:rsidR="00400FB1" w:rsidRPr="00226892" w:rsidRDefault="00400FB1" w:rsidP="00400FB1">
            <w:pPr>
              <w:rPr>
                <w:rFonts w:ascii="Arial" w:hAnsi="Arial" w:cs="Arial"/>
                <w:color w:val="000000"/>
                <w:sz w:val="18"/>
                <w:szCs w:val="18"/>
              </w:rPr>
            </w:pPr>
            <w:proofErr w:type="spellStart"/>
            <w:r w:rsidRPr="00226892">
              <w:rPr>
                <w:rFonts w:ascii="Arial" w:hAnsi="Arial" w:cs="Arial"/>
                <w:color w:val="000000"/>
                <w:sz w:val="18"/>
                <w:szCs w:val="18"/>
              </w:rPr>
              <w:t>Zmena</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stavu</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opravnej</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položky</w:t>
            </w:r>
            <w:proofErr w:type="spellEnd"/>
            <w:r w:rsidRPr="00226892">
              <w:rPr>
                <w:rFonts w:ascii="Arial" w:hAnsi="Arial" w:cs="Arial"/>
                <w:color w:val="000000"/>
                <w:sz w:val="18"/>
                <w:szCs w:val="18"/>
              </w:rPr>
              <w:t xml:space="preserve"> k </w:t>
            </w:r>
            <w:proofErr w:type="spellStart"/>
            <w:r w:rsidRPr="00226892">
              <w:rPr>
                <w:rFonts w:ascii="Arial" w:hAnsi="Arial" w:cs="Arial"/>
                <w:color w:val="000000"/>
                <w:sz w:val="18"/>
                <w:szCs w:val="18"/>
              </w:rPr>
              <w:t>zásobám</w:t>
            </w:r>
            <w:proofErr w:type="spellEnd"/>
          </w:p>
        </w:tc>
        <w:tc>
          <w:tcPr>
            <w:tcW w:w="341" w:type="pct"/>
            <w:tcBorders>
              <w:top w:val="nil"/>
              <w:left w:val="nil"/>
              <w:bottom w:val="nil"/>
              <w:right w:val="nil"/>
            </w:tcBorders>
            <w:shd w:val="clear" w:color="auto" w:fill="auto"/>
            <w:vAlign w:val="bottom"/>
            <w:hideMark/>
          </w:tcPr>
          <w:p w14:paraId="4407403F" w14:textId="3E8986D0" w:rsidR="00400FB1" w:rsidRPr="00226892" w:rsidRDefault="00400FB1" w:rsidP="00C76805">
            <w:pPr>
              <w:jc w:val="center"/>
              <w:rPr>
                <w:rFonts w:ascii="Arial" w:hAnsi="Arial" w:cs="Arial"/>
                <w:sz w:val="18"/>
                <w:szCs w:val="18"/>
              </w:rPr>
            </w:pPr>
            <w:r w:rsidRPr="00226892">
              <w:rPr>
                <w:rFonts w:ascii="Arial" w:hAnsi="Arial" w:cs="Arial"/>
                <w:sz w:val="18"/>
                <w:szCs w:val="18"/>
              </w:rPr>
              <w:t>20,11</w:t>
            </w:r>
          </w:p>
        </w:tc>
        <w:tc>
          <w:tcPr>
            <w:tcW w:w="1054" w:type="pct"/>
            <w:tcBorders>
              <w:top w:val="nil"/>
              <w:left w:val="nil"/>
              <w:bottom w:val="nil"/>
              <w:right w:val="nil"/>
            </w:tcBorders>
            <w:shd w:val="clear" w:color="auto" w:fill="auto"/>
            <w:vAlign w:val="bottom"/>
          </w:tcPr>
          <w:p w14:paraId="6538949D" w14:textId="41133D11" w:rsidR="00400FB1" w:rsidRPr="00226892" w:rsidRDefault="00477152" w:rsidP="00400FB1">
            <w:pPr>
              <w:jc w:val="right"/>
              <w:rPr>
                <w:rFonts w:ascii="Arial" w:hAnsi="Arial" w:cs="Arial"/>
                <w:color w:val="000000"/>
                <w:sz w:val="18"/>
                <w:szCs w:val="18"/>
              </w:rPr>
            </w:pPr>
            <w:r w:rsidRPr="00226892">
              <w:rPr>
                <w:rFonts w:ascii="Arial" w:hAnsi="Arial" w:cs="Arial"/>
                <w:color w:val="000000"/>
                <w:sz w:val="18"/>
                <w:szCs w:val="18"/>
              </w:rPr>
              <w:t>1 11</w:t>
            </w:r>
            <w:r w:rsidR="001D6F91" w:rsidRPr="00226892">
              <w:rPr>
                <w:rFonts w:ascii="Arial" w:hAnsi="Arial" w:cs="Arial"/>
                <w:color w:val="000000"/>
                <w:sz w:val="18"/>
                <w:szCs w:val="18"/>
              </w:rPr>
              <w:t>2</w:t>
            </w:r>
          </w:p>
        </w:tc>
        <w:tc>
          <w:tcPr>
            <w:tcW w:w="1054" w:type="pct"/>
            <w:tcBorders>
              <w:top w:val="nil"/>
              <w:left w:val="nil"/>
              <w:bottom w:val="nil"/>
              <w:right w:val="nil"/>
            </w:tcBorders>
            <w:vAlign w:val="bottom"/>
          </w:tcPr>
          <w:p w14:paraId="46AA422C" w14:textId="4872C4AA" w:rsidR="00400FB1" w:rsidRPr="00226892" w:rsidRDefault="00400FB1" w:rsidP="00400FB1">
            <w:pPr>
              <w:jc w:val="right"/>
              <w:rPr>
                <w:rFonts w:ascii="Arial" w:hAnsi="Arial" w:cs="Arial"/>
                <w:color w:val="000000"/>
                <w:sz w:val="18"/>
                <w:szCs w:val="18"/>
              </w:rPr>
            </w:pPr>
            <w:r w:rsidRPr="00226892">
              <w:rPr>
                <w:rFonts w:ascii="Arial" w:hAnsi="Arial" w:cs="Arial"/>
                <w:color w:val="000000"/>
                <w:sz w:val="18"/>
                <w:szCs w:val="18"/>
              </w:rPr>
              <w:t>-100</w:t>
            </w:r>
          </w:p>
        </w:tc>
      </w:tr>
      <w:tr w:rsidR="00400FB1" w:rsidRPr="00226892" w14:paraId="75781E96" w14:textId="77777777" w:rsidTr="00C76805">
        <w:trPr>
          <w:trHeight w:val="227"/>
        </w:trPr>
        <w:tc>
          <w:tcPr>
            <w:tcW w:w="2550" w:type="pct"/>
            <w:tcBorders>
              <w:top w:val="nil"/>
              <w:left w:val="nil"/>
              <w:bottom w:val="nil"/>
              <w:right w:val="nil"/>
            </w:tcBorders>
            <w:shd w:val="clear" w:color="auto" w:fill="auto"/>
            <w:vAlign w:val="center"/>
            <w:hideMark/>
          </w:tcPr>
          <w:p w14:paraId="3F509C00" w14:textId="77777777" w:rsidR="00400FB1" w:rsidRPr="00226892" w:rsidRDefault="00400FB1" w:rsidP="00400FB1">
            <w:pPr>
              <w:rPr>
                <w:rFonts w:ascii="Arial" w:hAnsi="Arial" w:cs="Arial"/>
                <w:color w:val="000000"/>
                <w:sz w:val="18"/>
                <w:szCs w:val="18"/>
              </w:rPr>
            </w:pPr>
            <w:proofErr w:type="spellStart"/>
            <w:r w:rsidRPr="00226892">
              <w:rPr>
                <w:rFonts w:ascii="Arial" w:hAnsi="Arial" w:cs="Arial"/>
                <w:color w:val="000000"/>
                <w:sz w:val="18"/>
                <w:szCs w:val="18"/>
              </w:rPr>
              <w:t>Opravná</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položka</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na</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zníženie</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hodnoty</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pohľadávok</w:t>
            </w:r>
            <w:proofErr w:type="spellEnd"/>
          </w:p>
        </w:tc>
        <w:tc>
          <w:tcPr>
            <w:tcW w:w="341" w:type="pct"/>
            <w:tcBorders>
              <w:top w:val="nil"/>
              <w:left w:val="nil"/>
              <w:bottom w:val="nil"/>
              <w:right w:val="nil"/>
            </w:tcBorders>
            <w:shd w:val="clear" w:color="auto" w:fill="auto"/>
            <w:vAlign w:val="bottom"/>
            <w:hideMark/>
          </w:tcPr>
          <w:p w14:paraId="127D7343" w14:textId="07CFB432" w:rsidR="00400FB1" w:rsidRPr="00226892" w:rsidRDefault="00400FB1" w:rsidP="00C76805">
            <w:pPr>
              <w:jc w:val="center"/>
              <w:rPr>
                <w:rFonts w:ascii="Arial" w:hAnsi="Arial" w:cs="Arial"/>
                <w:sz w:val="18"/>
                <w:szCs w:val="18"/>
              </w:rPr>
            </w:pPr>
            <w:r w:rsidRPr="00226892">
              <w:rPr>
                <w:rFonts w:ascii="Arial" w:hAnsi="Arial" w:cs="Arial"/>
                <w:sz w:val="18"/>
                <w:szCs w:val="18"/>
              </w:rPr>
              <w:t>20,10</w:t>
            </w:r>
          </w:p>
        </w:tc>
        <w:tc>
          <w:tcPr>
            <w:tcW w:w="1054" w:type="pct"/>
            <w:tcBorders>
              <w:top w:val="nil"/>
              <w:left w:val="nil"/>
              <w:bottom w:val="nil"/>
              <w:right w:val="nil"/>
            </w:tcBorders>
            <w:shd w:val="clear" w:color="auto" w:fill="auto"/>
            <w:vAlign w:val="bottom"/>
          </w:tcPr>
          <w:p w14:paraId="71BB7AD9" w14:textId="75EF80B3" w:rsidR="00400FB1" w:rsidRPr="00226892" w:rsidRDefault="00477152" w:rsidP="00400FB1">
            <w:pPr>
              <w:jc w:val="right"/>
              <w:rPr>
                <w:rFonts w:ascii="Arial" w:hAnsi="Arial" w:cs="Arial"/>
                <w:color w:val="000000"/>
                <w:sz w:val="18"/>
                <w:szCs w:val="18"/>
              </w:rPr>
            </w:pPr>
            <w:r w:rsidRPr="00226892">
              <w:rPr>
                <w:rFonts w:ascii="Arial" w:hAnsi="Arial" w:cs="Arial"/>
                <w:color w:val="000000"/>
                <w:sz w:val="18"/>
                <w:szCs w:val="18"/>
              </w:rPr>
              <w:t>-</w:t>
            </w:r>
          </w:p>
        </w:tc>
        <w:tc>
          <w:tcPr>
            <w:tcW w:w="1054" w:type="pct"/>
            <w:tcBorders>
              <w:top w:val="nil"/>
              <w:left w:val="nil"/>
              <w:bottom w:val="nil"/>
              <w:right w:val="nil"/>
            </w:tcBorders>
            <w:vAlign w:val="bottom"/>
          </w:tcPr>
          <w:p w14:paraId="4064C8CC" w14:textId="00295628" w:rsidR="00400FB1" w:rsidRPr="00226892" w:rsidRDefault="00400FB1" w:rsidP="00400FB1">
            <w:pPr>
              <w:jc w:val="right"/>
              <w:rPr>
                <w:rFonts w:ascii="Arial" w:hAnsi="Arial" w:cs="Arial"/>
                <w:color w:val="000000"/>
                <w:sz w:val="18"/>
                <w:szCs w:val="18"/>
              </w:rPr>
            </w:pPr>
            <w:r w:rsidRPr="00226892">
              <w:rPr>
                <w:rFonts w:ascii="Arial" w:hAnsi="Arial" w:cs="Arial"/>
                <w:color w:val="000000"/>
                <w:sz w:val="18"/>
                <w:szCs w:val="18"/>
              </w:rPr>
              <w:t>2</w:t>
            </w:r>
          </w:p>
        </w:tc>
      </w:tr>
      <w:tr w:rsidR="00400FB1" w:rsidRPr="00226892" w14:paraId="403B1ACF" w14:textId="77777777" w:rsidTr="00C76805">
        <w:trPr>
          <w:trHeight w:val="227"/>
        </w:trPr>
        <w:tc>
          <w:tcPr>
            <w:tcW w:w="2550" w:type="pct"/>
            <w:tcBorders>
              <w:top w:val="nil"/>
              <w:left w:val="nil"/>
              <w:bottom w:val="nil"/>
              <w:right w:val="nil"/>
            </w:tcBorders>
            <w:shd w:val="clear" w:color="auto" w:fill="auto"/>
            <w:vAlign w:val="center"/>
            <w:hideMark/>
          </w:tcPr>
          <w:p w14:paraId="111D0495" w14:textId="500AB888" w:rsidR="00400FB1" w:rsidRPr="00226892" w:rsidRDefault="00400FB1" w:rsidP="00400FB1">
            <w:pPr>
              <w:rPr>
                <w:rFonts w:ascii="Arial" w:hAnsi="Arial" w:cs="Arial"/>
                <w:color w:val="000000"/>
                <w:sz w:val="18"/>
                <w:szCs w:val="18"/>
              </w:rPr>
            </w:pPr>
            <w:proofErr w:type="spellStart"/>
            <w:r w:rsidRPr="00226892">
              <w:rPr>
                <w:rFonts w:ascii="Arial" w:hAnsi="Arial" w:cs="Arial"/>
                <w:color w:val="000000"/>
                <w:sz w:val="18"/>
                <w:szCs w:val="18"/>
              </w:rPr>
              <w:t>Zisk</w:t>
            </w:r>
            <w:proofErr w:type="spellEnd"/>
            <w:r w:rsidRPr="00226892">
              <w:rPr>
                <w:rFonts w:ascii="Arial" w:hAnsi="Arial" w:cs="Arial"/>
                <w:color w:val="000000"/>
                <w:sz w:val="18"/>
                <w:szCs w:val="18"/>
              </w:rPr>
              <w:t xml:space="preserve"> z </w:t>
            </w:r>
            <w:proofErr w:type="spellStart"/>
            <w:r w:rsidRPr="00226892">
              <w:rPr>
                <w:rFonts w:ascii="Arial" w:hAnsi="Arial" w:cs="Arial"/>
                <w:color w:val="000000"/>
                <w:sz w:val="18"/>
                <w:szCs w:val="18"/>
              </w:rPr>
              <w:t>predaja</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dlhodobého</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majetku</w:t>
            </w:r>
            <w:proofErr w:type="spellEnd"/>
          </w:p>
        </w:tc>
        <w:tc>
          <w:tcPr>
            <w:tcW w:w="341" w:type="pct"/>
            <w:tcBorders>
              <w:top w:val="nil"/>
              <w:left w:val="nil"/>
              <w:bottom w:val="nil"/>
              <w:right w:val="nil"/>
            </w:tcBorders>
            <w:shd w:val="clear" w:color="auto" w:fill="auto"/>
            <w:vAlign w:val="bottom"/>
            <w:hideMark/>
          </w:tcPr>
          <w:p w14:paraId="2145807A" w14:textId="5549C0B7" w:rsidR="00400FB1" w:rsidRPr="00226892" w:rsidRDefault="001D6F91" w:rsidP="00C76805">
            <w:pPr>
              <w:jc w:val="center"/>
              <w:rPr>
                <w:rFonts w:ascii="Arial" w:hAnsi="Arial" w:cs="Arial"/>
                <w:sz w:val="18"/>
                <w:szCs w:val="18"/>
              </w:rPr>
            </w:pPr>
            <w:r w:rsidRPr="00226892">
              <w:rPr>
                <w:rFonts w:ascii="Arial" w:hAnsi="Arial" w:cs="Arial"/>
                <w:sz w:val="18"/>
                <w:szCs w:val="18"/>
              </w:rPr>
              <w:t>20</w:t>
            </w:r>
          </w:p>
        </w:tc>
        <w:tc>
          <w:tcPr>
            <w:tcW w:w="1054" w:type="pct"/>
            <w:tcBorders>
              <w:top w:val="nil"/>
              <w:left w:val="nil"/>
              <w:bottom w:val="nil"/>
              <w:right w:val="nil"/>
            </w:tcBorders>
            <w:shd w:val="clear" w:color="auto" w:fill="auto"/>
            <w:vAlign w:val="bottom"/>
          </w:tcPr>
          <w:p w14:paraId="025E9294" w14:textId="1A350E39" w:rsidR="00400FB1" w:rsidRPr="00226892" w:rsidRDefault="00477152" w:rsidP="00400FB1">
            <w:pPr>
              <w:jc w:val="right"/>
              <w:rPr>
                <w:rFonts w:ascii="Arial" w:hAnsi="Arial" w:cs="Arial"/>
                <w:color w:val="000000"/>
                <w:sz w:val="18"/>
                <w:szCs w:val="18"/>
              </w:rPr>
            </w:pPr>
            <w:r w:rsidRPr="00226892">
              <w:rPr>
                <w:rFonts w:ascii="Arial" w:hAnsi="Arial" w:cs="Arial"/>
                <w:color w:val="000000"/>
                <w:sz w:val="18"/>
                <w:szCs w:val="18"/>
              </w:rPr>
              <w:t>-1</w:t>
            </w:r>
            <w:r w:rsidR="00D042D2" w:rsidRPr="00226892">
              <w:rPr>
                <w:rFonts w:ascii="Arial" w:hAnsi="Arial" w:cs="Arial"/>
                <w:color w:val="000000"/>
                <w:sz w:val="18"/>
                <w:szCs w:val="18"/>
              </w:rPr>
              <w:t>23</w:t>
            </w:r>
          </w:p>
        </w:tc>
        <w:tc>
          <w:tcPr>
            <w:tcW w:w="1054" w:type="pct"/>
            <w:tcBorders>
              <w:top w:val="nil"/>
              <w:left w:val="nil"/>
              <w:bottom w:val="nil"/>
              <w:right w:val="nil"/>
            </w:tcBorders>
            <w:vAlign w:val="bottom"/>
          </w:tcPr>
          <w:p w14:paraId="0129EB78" w14:textId="057E56AE" w:rsidR="00400FB1" w:rsidRPr="00226892" w:rsidRDefault="00400FB1" w:rsidP="00400FB1">
            <w:pPr>
              <w:jc w:val="right"/>
              <w:rPr>
                <w:rFonts w:ascii="Arial" w:hAnsi="Arial" w:cs="Arial"/>
                <w:color w:val="000000"/>
                <w:sz w:val="18"/>
                <w:szCs w:val="18"/>
              </w:rPr>
            </w:pPr>
            <w:r w:rsidRPr="00226892">
              <w:rPr>
                <w:rFonts w:ascii="Arial" w:hAnsi="Arial" w:cs="Arial"/>
                <w:color w:val="000000"/>
                <w:sz w:val="18"/>
                <w:szCs w:val="18"/>
              </w:rPr>
              <w:t>-99</w:t>
            </w:r>
          </w:p>
        </w:tc>
      </w:tr>
      <w:tr w:rsidR="00400FB1" w:rsidRPr="00226892" w14:paraId="0C8CF42C" w14:textId="77777777" w:rsidTr="00C76805">
        <w:trPr>
          <w:trHeight w:val="227"/>
        </w:trPr>
        <w:tc>
          <w:tcPr>
            <w:tcW w:w="2550" w:type="pct"/>
            <w:tcBorders>
              <w:top w:val="nil"/>
              <w:left w:val="nil"/>
              <w:bottom w:val="nil"/>
              <w:right w:val="nil"/>
            </w:tcBorders>
            <w:shd w:val="clear" w:color="auto" w:fill="auto"/>
            <w:vAlign w:val="center"/>
            <w:hideMark/>
          </w:tcPr>
          <w:p w14:paraId="53F0E18C" w14:textId="77777777" w:rsidR="00400FB1" w:rsidRPr="00226892" w:rsidRDefault="00400FB1" w:rsidP="00400FB1">
            <w:pPr>
              <w:rPr>
                <w:rFonts w:ascii="Arial" w:hAnsi="Arial" w:cs="Arial"/>
                <w:color w:val="000000"/>
                <w:sz w:val="18"/>
                <w:szCs w:val="18"/>
              </w:rPr>
            </w:pPr>
            <w:proofErr w:type="spellStart"/>
            <w:r w:rsidRPr="00226892">
              <w:rPr>
                <w:rFonts w:ascii="Arial" w:hAnsi="Arial" w:cs="Arial"/>
                <w:color w:val="000000"/>
                <w:sz w:val="18"/>
                <w:szCs w:val="18"/>
              </w:rPr>
              <w:t>Podiel</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na</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zisku</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pridružených</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spoločností</w:t>
            </w:r>
            <w:proofErr w:type="spellEnd"/>
            <w:r w:rsidRPr="00226892">
              <w:rPr>
                <w:rFonts w:ascii="Arial" w:hAnsi="Arial" w:cs="Arial"/>
                <w:color w:val="000000"/>
                <w:sz w:val="18"/>
                <w:szCs w:val="18"/>
              </w:rPr>
              <w:t xml:space="preserve"> a </w:t>
            </w:r>
            <w:proofErr w:type="spellStart"/>
            <w:r w:rsidRPr="00226892">
              <w:rPr>
                <w:rFonts w:ascii="Arial" w:hAnsi="Arial" w:cs="Arial"/>
                <w:color w:val="000000"/>
                <w:sz w:val="18"/>
                <w:szCs w:val="18"/>
              </w:rPr>
              <w:t>spoločných</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podnikov</w:t>
            </w:r>
            <w:proofErr w:type="spellEnd"/>
          </w:p>
        </w:tc>
        <w:tc>
          <w:tcPr>
            <w:tcW w:w="341" w:type="pct"/>
            <w:tcBorders>
              <w:top w:val="nil"/>
              <w:left w:val="nil"/>
              <w:bottom w:val="nil"/>
              <w:right w:val="nil"/>
            </w:tcBorders>
            <w:shd w:val="clear" w:color="auto" w:fill="auto"/>
            <w:vAlign w:val="bottom"/>
            <w:hideMark/>
          </w:tcPr>
          <w:p w14:paraId="5B0988DB" w14:textId="5AD00DD4" w:rsidR="00400FB1" w:rsidRPr="00226892" w:rsidRDefault="00400FB1" w:rsidP="00C76805">
            <w:pPr>
              <w:jc w:val="center"/>
              <w:rPr>
                <w:rFonts w:ascii="Arial" w:hAnsi="Arial" w:cs="Arial"/>
                <w:sz w:val="18"/>
                <w:szCs w:val="18"/>
              </w:rPr>
            </w:pPr>
            <w:r w:rsidRPr="00226892">
              <w:rPr>
                <w:rFonts w:ascii="Arial" w:hAnsi="Arial" w:cs="Arial"/>
                <w:sz w:val="18"/>
                <w:szCs w:val="18"/>
              </w:rPr>
              <w:t>22</w:t>
            </w:r>
          </w:p>
        </w:tc>
        <w:tc>
          <w:tcPr>
            <w:tcW w:w="1054" w:type="pct"/>
            <w:tcBorders>
              <w:top w:val="nil"/>
              <w:left w:val="nil"/>
              <w:bottom w:val="nil"/>
              <w:right w:val="nil"/>
            </w:tcBorders>
            <w:shd w:val="clear" w:color="auto" w:fill="auto"/>
            <w:vAlign w:val="bottom"/>
          </w:tcPr>
          <w:p w14:paraId="17D420F6" w14:textId="7AAF55D4" w:rsidR="00400FB1" w:rsidRPr="00226892" w:rsidRDefault="00477152" w:rsidP="00400FB1">
            <w:pPr>
              <w:jc w:val="right"/>
              <w:rPr>
                <w:rFonts w:ascii="Arial" w:hAnsi="Arial" w:cs="Arial"/>
                <w:color w:val="000000"/>
                <w:sz w:val="18"/>
                <w:szCs w:val="18"/>
              </w:rPr>
            </w:pPr>
            <w:r w:rsidRPr="00226892">
              <w:rPr>
                <w:rFonts w:ascii="Arial" w:hAnsi="Arial" w:cs="Arial"/>
                <w:color w:val="000000"/>
                <w:sz w:val="18"/>
                <w:szCs w:val="18"/>
              </w:rPr>
              <w:t>-28</w:t>
            </w:r>
          </w:p>
        </w:tc>
        <w:tc>
          <w:tcPr>
            <w:tcW w:w="1054" w:type="pct"/>
            <w:tcBorders>
              <w:top w:val="nil"/>
              <w:left w:val="nil"/>
              <w:bottom w:val="nil"/>
              <w:right w:val="nil"/>
            </w:tcBorders>
            <w:vAlign w:val="bottom"/>
          </w:tcPr>
          <w:p w14:paraId="40014A52" w14:textId="337CA1B9" w:rsidR="00400FB1" w:rsidRPr="00226892" w:rsidRDefault="00400FB1" w:rsidP="00400FB1">
            <w:pPr>
              <w:jc w:val="right"/>
              <w:rPr>
                <w:rFonts w:ascii="Arial" w:hAnsi="Arial" w:cs="Arial"/>
                <w:color w:val="000000"/>
                <w:sz w:val="18"/>
                <w:szCs w:val="18"/>
              </w:rPr>
            </w:pPr>
            <w:r w:rsidRPr="00226892">
              <w:rPr>
                <w:rFonts w:ascii="Arial" w:hAnsi="Arial" w:cs="Arial"/>
                <w:color w:val="000000"/>
                <w:sz w:val="18"/>
                <w:szCs w:val="18"/>
              </w:rPr>
              <w:t>-31</w:t>
            </w:r>
          </w:p>
        </w:tc>
      </w:tr>
      <w:tr w:rsidR="00400FB1" w:rsidRPr="00226892" w14:paraId="370FFDAF" w14:textId="77777777" w:rsidTr="00C76805">
        <w:trPr>
          <w:trHeight w:val="227"/>
        </w:trPr>
        <w:tc>
          <w:tcPr>
            <w:tcW w:w="2550" w:type="pct"/>
            <w:tcBorders>
              <w:top w:val="nil"/>
              <w:left w:val="nil"/>
              <w:bottom w:val="nil"/>
              <w:right w:val="nil"/>
            </w:tcBorders>
            <w:shd w:val="clear" w:color="auto" w:fill="auto"/>
            <w:vAlign w:val="center"/>
            <w:hideMark/>
          </w:tcPr>
          <w:p w14:paraId="1C3A5096" w14:textId="04FE785C" w:rsidR="00400FB1" w:rsidRPr="00226892" w:rsidRDefault="00400FB1" w:rsidP="00400FB1">
            <w:pPr>
              <w:rPr>
                <w:rFonts w:ascii="Arial" w:hAnsi="Arial" w:cs="Arial"/>
                <w:color w:val="000000"/>
                <w:sz w:val="18"/>
                <w:szCs w:val="18"/>
              </w:rPr>
            </w:pPr>
            <w:r w:rsidRPr="00226892">
              <w:rPr>
                <w:rFonts w:ascii="Arial" w:hAnsi="Arial" w:cs="Arial"/>
                <w:color w:val="000000"/>
                <w:sz w:val="18"/>
                <w:szCs w:val="18"/>
              </w:rPr>
              <w:t xml:space="preserve">Strata z </w:t>
            </w:r>
            <w:proofErr w:type="spellStart"/>
            <w:r w:rsidRPr="00226892">
              <w:rPr>
                <w:rFonts w:ascii="Arial" w:hAnsi="Arial" w:cs="Arial"/>
                <w:color w:val="000000"/>
                <w:sz w:val="18"/>
                <w:szCs w:val="18"/>
              </w:rPr>
              <w:t>predaja</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pridružených</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spoločností</w:t>
            </w:r>
            <w:proofErr w:type="spellEnd"/>
          </w:p>
        </w:tc>
        <w:tc>
          <w:tcPr>
            <w:tcW w:w="341" w:type="pct"/>
            <w:tcBorders>
              <w:top w:val="nil"/>
              <w:left w:val="nil"/>
              <w:bottom w:val="nil"/>
              <w:right w:val="nil"/>
            </w:tcBorders>
            <w:shd w:val="clear" w:color="auto" w:fill="auto"/>
            <w:vAlign w:val="bottom"/>
            <w:hideMark/>
          </w:tcPr>
          <w:p w14:paraId="04325A25" w14:textId="35ED6F6F" w:rsidR="00400FB1" w:rsidRPr="00226892" w:rsidRDefault="00400FB1" w:rsidP="00C76805">
            <w:pPr>
              <w:jc w:val="center"/>
              <w:rPr>
                <w:rFonts w:ascii="Arial" w:hAnsi="Arial" w:cs="Arial"/>
                <w:sz w:val="18"/>
                <w:szCs w:val="18"/>
              </w:rPr>
            </w:pPr>
            <w:r w:rsidRPr="00226892">
              <w:rPr>
                <w:rFonts w:ascii="Arial" w:hAnsi="Arial" w:cs="Arial"/>
                <w:sz w:val="18"/>
                <w:szCs w:val="18"/>
              </w:rPr>
              <w:t>8</w:t>
            </w:r>
          </w:p>
        </w:tc>
        <w:tc>
          <w:tcPr>
            <w:tcW w:w="1054" w:type="pct"/>
            <w:tcBorders>
              <w:top w:val="nil"/>
              <w:left w:val="nil"/>
              <w:bottom w:val="nil"/>
              <w:right w:val="nil"/>
            </w:tcBorders>
            <w:shd w:val="clear" w:color="auto" w:fill="auto"/>
            <w:vAlign w:val="bottom"/>
          </w:tcPr>
          <w:p w14:paraId="1AB8F424" w14:textId="4F550BD9" w:rsidR="00400FB1" w:rsidRPr="00226892" w:rsidRDefault="00477152" w:rsidP="00400FB1">
            <w:pPr>
              <w:jc w:val="right"/>
              <w:rPr>
                <w:rFonts w:ascii="Arial" w:hAnsi="Arial" w:cs="Arial"/>
                <w:color w:val="000000"/>
                <w:sz w:val="18"/>
                <w:szCs w:val="18"/>
              </w:rPr>
            </w:pPr>
            <w:r w:rsidRPr="00226892">
              <w:rPr>
                <w:rFonts w:ascii="Arial" w:hAnsi="Arial" w:cs="Arial"/>
                <w:color w:val="000000"/>
                <w:sz w:val="18"/>
                <w:szCs w:val="18"/>
              </w:rPr>
              <w:t>-</w:t>
            </w:r>
          </w:p>
        </w:tc>
        <w:tc>
          <w:tcPr>
            <w:tcW w:w="1054" w:type="pct"/>
            <w:tcBorders>
              <w:top w:val="nil"/>
              <w:left w:val="nil"/>
              <w:bottom w:val="nil"/>
              <w:right w:val="nil"/>
            </w:tcBorders>
            <w:vAlign w:val="bottom"/>
          </w:tcPr>
          <w:p w14:paraId="447AD37B" w14:textId="0CB47547" w:rsidR="00400FB1" w:rsidRPr="00226892" w:rsidRDefault="00400FB1" w:rsidP="00400FB1">
            <w:pPr>
              <w:jc w:val="right"/>
              <w:rPr>
                <w:rFonts w:ascii="Arial" w:hAnsi="Arial" w:cs="Arial"/>
                <w:color w:val="000000"/>
                <w:sz w:val="18"/>
                <w:szCs w:val="18"/>
              </w:rPr>
            </w:pPr>
            <w:r w:rsidRPr="00226892">
              <w:rPr>
                <w:rFonts w:ascii="Arial" w:hAnsi="Arial" w:cs="Arial"/>
                <w:color w:val="000000"/>
                <w:sz w:val="18"/>
                <w:szCs w:val="18"/>
              </w:rPr>
              <w:t>37</w:t>
            </w:r>
          </w:p>
        </w:tc>
      </w:tr>
      <w:tr w:rsidR="00400FB1" w:rsidRPr="00226892" w14:paraId="2E23554F" w14:textId="77777777" w:rsidTr="00C76805">
        <w:trPr>
          <w:trHeight w:val="227"/>
        </w:trPr>
        <w:tc>
          <w:tcPr>
            <w:tcW w:w="2550" w:type="pct"/>
            <w:tcBorders>
              <w:top w:val="nil"/>
              <w:left w:val="nil"/>
              <w:bottom w:val="nil"/>
              <w:right w:val="nil"/>
            </w:tcBorders>
            <w:shd w:val="clear" w:color="auto" w:fill="auto"/>
            <w:vAlign w:val="center"/>
            <w:hideMark/>
          </w:tcPr>
          <w:p w14:paraId="7B8400E8" w14:textId="77777777" w:rsidR="00400FB1" w:rsidRPr="00226892" w:rsidRDefault="00400FB1" w:rsidP="00400FB1">
            <w:pPr>
              <w:rPr>
                <w:rFonts w:ascii="Arial" w:hAnsi="Arial" w:cs="Arial"/>
                <w:color w:val="000000"/>
                <w:sz w:val="18"/>
                <w:szCs w:val="18"/>
              </w:rPr>
            </w:pPr>
            <w:proofErr w:type="spellStart"/>
            <w:r w:rsidRPr="00226892">
              <w:rPr>
                <w:rFonts w:ascii="Arial" w:hAnsi="Arial" w:cs="Arial"/>
                <w:color w:val="000000"/>
                <w:sz w:val="18"/>
                <w:szCs w:val="18"/>
              </w:rPr>
              <w:t>Výnosové</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úroky</w:t>
            </w:r>
            <w:proofErr w:type="spellEnd"/>
          </w:p>
        </w:tc>
        <w:tc>
          <w:tcPr>
            <w:tcW w:w="341" w:type="pct"/>
            <w:tcBorders>
              <w:top w:val="nil"/>
              <w:left w:val="nil"/>
              <w:bottom w:val="nil"/>
              <w:right w:val="nil"/>
            </w:tcBorders>
            <w:shd w:val="clear" w:color="auto" w:fill="auto"/>
            <w:vAlign w:val="bottom"/>
            <w:hideMark/>
          </w:tcPr>
          <w:p w14:paraId="1223B86C" w14:textId="2021C2CB" w:rsidR="00400FB1" w:rsidRPr="00226892" w:rsidRDefault="001D6F91" w:rsidP="00C76805">
            <w:pPr>
              <w:jc w:val="center"/>
              <w:rPr>
                <w:rFonts w:ascii="Arial" w:hAnsi="Arial" w:cs="Arial"/>
                <w:sz w:val="18"/>
                <w:szCs w:val="18"/>
              </w:rPr>
            </w:pPr>
            <w:r w:rsidRPr="00226892">
              <w:rPr>
                <w:rFonts w:ascii="Arial" w:hAnsi="Arial" w:cs="Arial"/>
                <w:sz w:val="18"/>
                <w:szCs w:val="18"/>
              </w:rPr>
              <w:t>23</w:t>
            </w:r>
          </w:p>
        </w:tc>
        <w:tc>
          <w:tcPr>
            <w:tcW w:w="1054" w:type="pct"/>
            <w:tcBorders>
              <w:top w:val="nil"/>
              <w:left w:val="nil"/>
              <w:bottom w:val="nil"/>
              <w:right w:val="nil"/>
            </w:tcBorders>
            <w:shd w:val="clear" w:color="auto" w:fill="auto"/>
            <w:vAlign w:val="bottom"/>
          </w:tcPr>
          <w:p w14:paraId="7F66CFB0" w14:textId="0203D86C" w:rsidR="00400FB1" w:rsidRPr="00226892" w:rsidRDefault="00477152" w:rsidP="00400FB1">
            <w:pPr>
              <w:jc w:val="right"/>
              <w:rPr>
                <w:rFonts w:ascii="Arial" w:hAnsi="Arial" w:cs="Arial"/>
                <w:color w:val="000000"/>
                <w:sz w:val="18"/>
                <w:szCs w:val="18"/>
              </w:rPr>
            </w:pPr>
            <w:r w:rsidRPr="00226892">
              <w:rPr>
                <w:rFonts w:ascii="Arial" w:hAnsi="Arial" w:cs="Arial"/>
                <w:color w:val="000000"/>
                <w:sz w:val="18"/>
                <w:szCs w:val="18"/>
              </w:rPr>
              <w:t>-6</w:t>
            </w:r>
          </w:p>
        </w:tc>
        <w:tc>
          <w:tcPr>
            <w:tcW w:w="1054" w:type="pct"/>
            <w:tcBorders>
              <w:top w:val="nil"/>
              <w:left w:val="nil"/>
              <w:bottom w:val="nil"/>
              <w:right w:val="nil"/>
            </w:tcBorders>
            <w:vAlign w:val="bottom"/>
          </w:tcPr>
          <w:p w14:paraId="263A8594" w14:textId="6892607A" w:rsidR="00400FB1" w:rsidRPr="00226892" w:rsidRDefault="00400FB1" w:rsidP="00400FB1">
            <w:pPr>
              <w:jc w:val="right"/>
              <w:rPr>
                <w:rFonts w:ascii="Arial" w:hAnsi="Arial" w:cs="Arial"/>
                <w:color w:val="000000"/>
                <w:sz w:val="18"/>
                <w:szCs w:val="18"/>
              </w:rPr>
            </w:pPr>
            <w:r w:rsidRPr="00226892">
              <w:rPr>
                <w:rFonts w:ascii="Arial" w:hAnsi="Arial" w:cs="Arial"/>
                <w:color w:val="000000"/>
                <w:sz w:val="18"/>
                <w:szCs w:val="18"/>
              </w:rPr>
              <w:t>-19</w:t>
            </w:r>
          </w:p>
        </w:tc>
      </w:tr>
      <w:tr w:rsidR="00400FB1" w:rsidRPr="00226892" w14:paraId="2BED509E" w14:textId="77777777" w:rsidTr="00C76805">
        <w:trPr>
          <w:trHeight w:val="227"/>
        </w:trPr>
        <w:tc>
          <w:tcPr>
            <w:tcW w:w="2550" w:type="pct"/>
            <w:tcBorders>
              <w:top w:val="nil"/>
              <w:left w:val="nil"/>
              <w:bottom w:val="nil"/>
              <w:right w:val="nil"/>
            </w:tcBorders>
            <w:shd w:val="clear" w:color="auto" w:fill="auto"/>
            <w:vAlign w:val="center"/>
            <w:hideMark/>
          </w:tcPr>
          <w:p w14:paraId="1C8C89AC" w14:textId="77777777" w:rsidR="00400FB1" w:rsidRPr="00226892" w:rsidRDefault="00400FB1" w:rsidP="00400FB1">
            <w:pPr>
              <w:rPr>
                <w:rFonts w:ascii="Arial" w:hAnsi="Arial" w:cs="Arial"/>
                <w:color w:val="000000"/>
                <w:sz w:val="18"/>
                <w:szCs w:val="18"/>
              </w:rPr>
            </w:pPr>
            <w:proofErr w:type="spellStart"/>
            <w:r w:rsidRPr="00226892">
              <w:rPr>
                <w:rFonts w:ascii="Arial" w:hAnsi="Arial" w:cs="Arial"/>
                <w:color w:val="000000"/>
                <w:sz w:val="18"/>
                <w:szCs w:val="18"/>
              </w:rPr>
              <w:t>Nákladové</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úroky</w:t>
            </w:r>
            <w:proofErr w:type="spellEnd"/>
          </w:p>
        </w:tc>
        <w:tc>
          <w:tcPr>
            <w:tcW w:w="341" w:type="pct"/>
            <w:tcBorders>
              <w:top w:val="nil"/>
              <w:left w:val="nil"/>
              <w:bottom w:val="nil"/>
              <w:right w:val="nil"/>
            </w:tcBorders>
            <w:shd w:val="clear" w:color="auto" w:fill="auto"/>
            <w:vAlign w:val="bottom"/>
            <w:hideMark/>
          </w:tcPr>
          <w:p w14:paraId="568A5A62" w14:textId="42A92BF2" w:rsidR="00400FB1" w:rsidRPr="00226892" w:rsidRDefault="001D6F91" w:rsidP="00C76805">
            <w:pPr>
              <w:jc w:val="center"/>
              <w:rPr>
                <w:rFonts w:ascii="Arial" w:hAnsi="Arial" w:cs="Arial"/>
                <w:sz w:val="18"/>
                <w:szCs w:val="18"/>
              </w:rPr>
            </w:pPr>
            <w:r w:rsidRPr="00226892">
              <w:rPr>
                <w:rFonts w:ascii="Arial" w:hAnsi="Arial" w:cs="Arial"/>
                <w:sz w:val="18"/>
                <w:szCs w:val="18"/>
              </w:rPr>
              <w:t>24</w:t>
            </w:r>
          </w:p>
        </w:tc>
        <w:tc>
          <w:tcPr>
            <w:tcW w:w="1054" w:type="pct"/>
            <w:tcBorders>
              <w:top w:val="nil"/>
              <w:left w:val="nil"/>
              <w:bottom w:val="nil"/>
              <w:right w:val="nil"/>
            </w:tcBorders>
            <w:shd w:val="clear" w:color="auto" w:fill="auto"/>
            <w:vAlign w:val="bottom"/>
          </w:tcPr>
          <w:p w14:paraId="14BA45B5" w14:textId="528C1FD5" w:rsidR="00400FB1" w:rsidRPr="00226892" w:rsidRDefault="00477152" w:rsidP="00400FB1">
            <w:pPr>
              <w:jc w:val="right"/>
              <w:rPr>
                <w:rFonts w:ascii="Arial" w:hAnsi="Arial" w:cs="Arial"/>
                <w:color w:val="000000"/>
                <w:sz w:val="18"/>
                <w:szCs w:val="18"/>
              </w:rPr>
            </w:pPr>
            <w:r w:rsidRPr="00226892">
              <w:rPr>
                <w:rFonts w:ascii="Arial" w:hAnsi="Arial" w:cs="Arial"/>
                <w:color w:val="000000"/>
                <w:sz w:val="18"/>
                <w:szCs w:val="18"/>
              </w:rPr>
              <w:t>543</w:t>
            </w:r>
          </w:p>
        </w:tc>
        <w:tc>
          <w:tcPr>
            <w:tcW w:w="1054" w:type="pct"/>
            <w:tcBorders>
              <w:top w:val="nil"/>
              <w:left w:val="nil"/>
              <w:bottom w:val="nil"/>
              <w:right w:val="nil"/>
            </w:tcBorders>
            <w:vAlign w:val="bottom"/>
          </w:tcPr>
          <w:p w14:paraId="4910FE01" w14:textId="64AE145B" w:rsidR="00400FB1" w:rsidRPr="00226892" w:rsidRDefault="00400FB1" w:rsidP="00400FB1">
            <w:pPr>
              <w:jc w:val="right"/>
              <w:rPr>
                <w:rFonts w:ascii="Arial" w:hAnsi="Arial" w:cs="Arial"/>
                <w:color w:val="000000"/>
                <w:sz w:val="18"/>
                <w:szCs w:val="18"/>
              </w:rPr>
            </w:pPr>
            <w:r w:rsidRPr="00226892">
              <w:rPr>
                <w:rFonts w:ascii="Arial" w:hAnsi="Arial" w:cs="Arial"/>
                <w:color w:val="000000"/>
                <w:sz w:val="18"/>
                <w:szCs w:val="18"/>
              </w:rPr>
              <w:t>685</w:t>
            </w:r>
          </w:p>
        </w:tc>
      </w:tr>
      <w:tr w:rsidR="00400FB1" w:rsidRPr="00226892" w14:paraId="02727725" w14:textId="77777777" w:rsidTr="00C76805">
        <w:trPr>
          <w:trHeight w:val="227"/>
        </w:trPr>
        <w:tc>
          <w:tcPr>
            <w:tcW w:w="2550" w:type="pct"/>
            <w:tcBorders>
              <w:top w:val="nil"/>
              <w:left w:val="nil"/>
              <w:bottom w:val="nil"/>
              <w:right w:val="nil"/>
            </w:tcBorders>
            <w:shd w:val="clear" w:color="auto" w:fill="auto"/>
            <w:vAlign w:val="center"/>
            <w:hideMark/>
          </w:tcPr>
          <w:p w14:paraId="4A3A9896" w14:textId="77777777" w:rsidR="00400FB1" w:rsidRPr="00226892" w:rsidRDefault="00400FB1" w:rsidP="00400FB1">
            <w:pPr>
              <w:rPr>
                <w:rFonts w:ascii="Arial" w:hAnsi="Arial" w:cs="Arial"/>
                <w:color w:val="000000"/>
                <w:sz w:val="18"/>
                <w:szCs w:val="18"/>
              </w:rPr>
            </w:pPr>
            <w:proofErr w:type="spellStart"/>
            <w:r w:rsidRPr="00226892">
              <w:rPr>
                <w:rFonts w:ascii="Arial" w:hAnsi="Arial" w:cs="Arial"/>
                <w:color w:val="000000"/>
                <w:sz w:val="18"/>
                <w:szCs w:val="18"/>
              </w:rPr>
              <w:t>Výnosy</w:t>
            </w:r>
            <w:proofErr w:type="spellEnd"/>
            <w:r w:rsidRPr="00226892">
              <w:rPr>
                <w:rFonts w:ascii="Arial" w:hAnsi="Arial" w:cs="Arial"/>
                <w:color w:val="000000"/>
                <w:sz w:val="18"/>
                <w:szCs w:val="18"/>
              </w:rPr>
              <w:t xml:space="preserve"> zo </w:t>
            </w:r>
            <w:proofErr w:type="spellStart"/>
            <w:r w:rsidRPr="00226892">
              <w:rPr>
                <w:rFonts w:ascii="Arial" w:hAnsi="Arial" w:cs="Arial"/>
                <w:color w:val="000000"/>
                <w:sz w:val="18"/>
                <w:szCs w:val="18"/>
              </w:rPr>
              <w:t>štátnej</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dotácie</w:t>
            </w:r>
            <w:proofErr w:type="spellEnd"/>
          </w:p>
        </w:tc>
        <w:tc>
          <w:tcPr>
            <w:tcW w:w="341" w:type="pct"/>
            <w:tcBorders>
              <w:top w:val="nil"/>
              <w:left w:val="nil"/>
              <w:bottom w:val="nil"/>
              <w:right w:val="nil"/>
            </w:tcBorders>
            <w:shd w:val="clear" w:color="auto" w:fill="auto"/>
            <w:vAlign w:val="bottom"/>
            <w:hideMark/>
          </w:tcPr>
          <w:p w14:paraId="44FC8E81" w14:textId="15A4D804" w:rsidR="00400FB1" w:rsidRPr="00226892" w:rsidRDefault="001D6F91" w:rsidP="00C76805">
            <w:pPr>
              <w:jc w:val="center"/>
              <w:rPr>
                <w:rFonts w:ascii="Arial" w:hAnsi="Arial" w:cs="Arial"/>
                <w:sz w:val="18"/>
                <w:szCs w:val="18"/>
              </w:rPr>
            </w:pPr>
            <w:r w:rsidRPr="00226892">
              <w:rPr>
                <w:rFonts w:ascii="Arial" w:hAnsi="Arial" w:cs="Arial"/>
                <w:sz w:val="18"/>
                <w:szCs w:val="18"/>
              </w:rPr>
              <w:t>20</w:t>
            </w:r>
          </w:p>
        </w:tc>
        <w:tc>
          <w:tcPr>
            <w:tcW w:w="1054" w:type="pct"/>
            <w:tcBorders>
              <w:top w:val="nil"/>
              <w:left w:val="nil"/>
              <w:bottom w:val="nil"/>
              <w:right w:val="nil"/>
            </w:tcBorders>
            <w:shd w:val="clear" w:color="auto" w:fill="auto"/>
            <w:vAlign w:val="bottom"/>
          </w:tcPr>
          <w:p w14:paraId="27F3C6CD" w14:textId="302A18A1" w:rsidR="00400FB1" w:rsidRPr="00226892" w:rsidRDefault="00D042D2" w:rsidP="00400FB1">
            <w:pPr>
              <w:jc w:val="right"/>
              <w:rPr>
                <w:rFonts w:ascii="Arial" w:hAnsi="Arial" w:cs="Arial"/>
                <w:color w:val="000000"/>
                <w:sz w:val="18"/>
                <w:szCs w:val="18"/>
              </w:rPr>
            </w:pPr>
            <w:r w:rsidRPr="00226892">
              <w:rPr>
                <w:rFonts w:ascii="Arial" w:hAnsi="Arial" w:cs="Arial"/>
                <w:color w:val="000000"/>
                <w:sz w:val="18"/>
                <w:szCs w:val="18"/>
              </w:rPr>
              <w:t>469</w:t>
            </w:r>
          </w:p>
        </w:tc>
        <w:tc>
          <w:tcPr>
            <w:tcW w:w="1054" w:type="pct"/>
            <w:tcBorders>
              <w:top w:val="nil"/>
              <w:left w:val="nil"/>
              <w:bottom w:val="nil"/>
              <w:right w:val="nil"/>
            </w:tcBorders>
            <w:vAlign w:val="bottom"/>
          </w:tcPr>
          <w:p w14:paraId="4E1E7B71" w14:textId="60E15B21" w:rsidR="00400FB1" w:rsidRPr="00226892" w:rsidRDefault="00400FB1" w:rsidP="00400FB1">
            <w:pPr>
              <w:jc w:val="right"/>
              <w:rPr>
                <w:rFonts w:ascii="Arial" w:hAnsi="Arial" w:cs="Arial"/>
                <w:color w:val="000000"/>
                <w:sz w:val="18"/>
                <w:szCs w:val="18"/>
              </w:rPr>
            </w:pPr>
            <w:r w:rsidRPr="00226892">
              <w:rPr>
                <w:rFonts w:ascii="Arial" w:hAnsi="Arial" w:cs="Arial"/>
                <w:color w:val="000000"/>
                <w:sz w:val="18"/>
                <w:szCs w:val="18"/>
              </w:rPr>
              <w:t>488</w:t>
            </w:r>
          </w:p>
        </w:tc>
      </w:tr>
      <w:tr w:rsidR="00400FB1" w:rsidRPr="00226892" w14:paraId="33276917" w14:textId="77777777" w:rsidTr="00C76805">
        <w:trPr>
          <w:trHeight w:val="227"/>
        </w:trPr>
        <w:tc>
          <w:tcPr>
            <w:tcW w:w="2550" w:type="pct"/>
            <w:tcBorders>
              <w:top w:val="nil"/>
              <w:left w:val="nil"/>
              <w:bottom w:val="nil"/>
              <w:right w:val="nil"/>
            </w:tcBorders>
            <w:shd w:val="clear" w:color="auto" w:fill="auto"/>
            <w:vAlign w:val="center"/>
            <w:hideMark/>
          </w:tcPr>
          <w:p w14:paraId="0992AA38" w14:textId="77777777" w:rsidR="00400FB1" w:rsidRPr="00226892" w:rsidRDefault="00400FB1" w:rsidP="00400FB1">
            <w:pPr>
              <w:rPr>
                <w:rFonts w:ascii="Arial" w:hAnsi="Arial" w:cs="Arial"/>
                <w:color w:val="000000"/>
                <w:sz w:val="18"/>
                <w:szCs w:val="18"/>
              </w:rPr>
            </w:pPr>
            <w:proofErr w:type="spellStart"/>
            <w:r w:rsidRPr="00226892">
              <w:rPr>
                <w:rFonts w:ascii="Arial" w:hAnsi="Arial" w:cs="Arial"/>
                <w:color w:val="000000"/>
                <w:sz w:val="18"/>
                <w:szCs w:val="18"/>
              </w:rPr>
              <w:t>Ostatné</w:t>
            </w:r>
            <w:proofErr w:type="spellEnd"/>
            <w:r w:rsidRPr="00226892">
              <w:rPr>
                <w:rFonts w:ascii="Arial" w:hAnsi="Arial" w:cs="Arial"/>
                <w:color w:val="000000"/>
                <w:sz w:val="18"/>
                <w:szCs w:val="18"/>
              </w:rPr>
              <w:t xml:space="preserve"> </w:t>
            </w:r>
          </w:p>
        </w:tc>
        <w:tc>
          <w:tcPr>
            <w:tcW w:w="341" w:type="pct"/>
            <w:tcBorders>
              <w:top w:val="nil"/>
              <w:left w:val="nil"/>
              <w:bottom w:val="nil"/>
              <w:right w:val="nil"/>
            </w:tcBorders>
            <w:shd w:val="clear" w:color="auto" w:fill="auto"/>
            <w:vAlign w:val="bottom"/>
            <w:hideMark/>
          </w:tcPr>
          <w:p w14:paraId="5A98E44F" w14:textId="77777777" w:rsidR="00400FB1" w:rsidRPr="00226892" w:rsidRDefault="00400FB1" w:rsidP="00C76805">
            <w:pPr>
              <w:jc w:val="center"/>
              <w:rPr>
                <w:rFonts w:ascii="Arial" w:hAnsi="Arial" w:cs="Arial"/>
                <w:sz w:val="18"/>
                <w:szCs w:val="18"/>
              </w:rPr>
            </w:pPr>
          </w:p>
        </w:tc>
        <w:tc>
          <w:tcPr>
            <w:tcW w:w="1054" w:type="pct"/>
            <w:tcBorders>
              <w:top w:val="nil"/>
              <w:left w:val="nil"/>
              <w:bottom w:val="nil"/>
              <w:right w:val="nil"/>
            </w:tcBorders>
            <w:shd w:val="clear" w:color="auto" w:fill="auto"/>
            <w:vAlign w:val="bottom"/>
          </w:tcPr>
          <w:p w14:paraId="367B8CDB" w14:textId="75DAF626" w:rsidR="00400FB1" w:rsidRPr="00226892" w:rsidRDefault="00D042D2" w:rsidP="00400FB1">
            <w:pPr>
              <w:pStyle w:val="Odsekzoznamu"/>
              <w:jc w:val="right"/>
              <w:rPr>
                <w:rFonts w:ascii="Arial" w:hAnsi="Arial" w:cs="Arial"/>
                <w:color w:val="000000"/>
                <w:sz w:val="18"/>
                <w:szCs w:val="18"/>
              </w:rPr>
            </w:pPr>
            <w:r w:rsidRPr="00226892">
              <w:rPr>
                <w:rFonts w:ascii="Arial" w:hAnsi="Arial" w:cs="Arial"/>
                <w:color w:val="000000"/>
                <w:sz w:val="18"/>
                <w:szCs w:val="18"/>
              </w:rPr>
              <w:t>14</w:t>
            </w:r>
          </w:p>
        </w:tc>
        <w:tc>
          <w:tcPr>
            <w:tcW w:w="1054" w:type="pct"/>
            <w:tcBorders>
              <w:top w:val="nil"/>
              <w:left w:val="nil"/>
              <w:bottom w:val="nil"/>
              <w:right w:val="nil"/>
            </w:tcBorders>
            <w:vAlign w:val="bottom"/>
          </w:tcPr>
          <w:p w14:paraId="3CD78573" w14:textId="0AC0B6C0" w:rsidR="00400FB1" w:rsidRPr="00226892" w:rsidRDefault="00D042D2" w:rsidP="00400FB1">
            <w:pPr>
              <w:jc w:val="right"/>
              <w:rPr>
                <w:rFonts w:ascii="Arial" w:hAnsi="Arial" w:cs="Arial"/>
                <w:color w:val="000000"/>
                <w:sz w:val="18"/>
                <w:szCs w:val="18"/>
              </w:rPr>
            </w:pPr>
            <w:r w:rsidRPr="00226892">
              <w:rPr>
                <w:rFonts w:ascii="Arial" w:hAnsi="Arial" w:cs="Arial"/>
                <w:color w:val="000000"/>
                <w:sz w:val="18"/>
                <w:szCs w:val="18"/>
              </w:rPr>
              <w:t>-289</w:t>
            </w:r>
          </w:p>
        </w:tc>
      </w:tr>
      <w:tr w:rsidR="00400FB1" w:rsidRPr="00226892" w14:paraId="5AC77D0F" w14:textId="77777777" w:rsidTr="00C76805">
        <w:trPr>
          <w:trHeight w:val="227"/>
        </w:trPr>
        <w:tc>
          <w:tcPr>
            <w:tcW w:w="2550" w:type="pct"/>
            <w:tcBorders>
              <w:top w:val="nil"/>
              <w:left w:val="nil"/>
              <w:bottom w:val="nil"/>
              <w:right w:val="nil"/>
            </w:tcBorders>
            <w:shd w:val="clear" w:color="auto" w:fill="auto"/>
            <w:vAlign w:val="center"/>
            <w:hideMark/>
          </w:tcPr>
          <w:p w14:paraId="09F768CE" w14:textId="77777777" w:rsidR="00400FB1" w:rsidRPr="00226892" w:rsidRDefault="00400FB1" w:rsidP="00400FB1">
            <w:pPr>
              <w:rPr>
                <w:rFonts w:ascii="Arial" w:hAnsi="Arial" w:cs="Arial"/>
                <w:color w:val="000000"/>
                <w:sz w:val="18"/>
                <w:szCs w:val="18"/>
              </w:rPr>
            </w:pPr>
          </w:p>
        </w:tc>
        <w:tc>
          <w:tcPr>
            <w:tcW w:w="341" w:type="pct"/>
            <w:tcBorders>
              <w:top w:val="nil"/>
              <w:left w:val="nil"/>
              <w:bottom w:val="nil"/>
              <w:right w:val="nil"/>
            </w:tcBorders>
            <w:shd w:val="clear" w:color="auto" w:fill="auto"/>
            <w:vAlign w:val="bottom"/>
            <w:hideMark/>
          </w:tcPr>
          <w:p w14:paraId="737C6B51" w14:textId="77777777" w:rsidR="00400FB1" w:rsidRPr="00226892" w:rsidRDefault="00400FB1" w:rsidP="00C76805">
            <w:pPr>
              <w:jc w:val="center"/>
              <w:rPr>
                <w:rFonts w:ascii="Arial" w:hAnsi="Arial" w:cs="Arial"/>
                <w:sz w:val="18"/>
                <w:szCs w:val="18"/>
              </w:rPr>
            </w:pPr>
          </w:p>
        </w:tc>
        <w:tc>
          <w:tcPr>
            <w:tcW w:w="1054" w:type="pct"/>
            <w:tcBorders>
              <w:top w:val="nil"/>
              <w:left w:val="nil"/>
              <w:bottom w:val="nil"/>
              <w:right w:val="nil"/>
            </w:tcBorders>
            <w:shd w:val="clear" w:color="auto" w:fill="auto"/>
            <w:vAlign w:val="bottom"/>
          </w:tcPr>
          <w:p w14:paraId="072E0362" w14:textId="77777777" w:rsidR="00400FB1" w:rsidRPr="00226892" w:rsidRDefault="00400FB1" w:rsidP="00400FB1">
            <w:pPr>
              <w:jc w:val="right"/>
              <w:rPr>
                <w:rFonts w:ascii="Arial" w:hAnsi="Arial" w:cs="Arial"/>
                <w:sz w:val="18"/>
                <w:szCs w:val="18"/>
              </w:rPr>
            </w:pPr>
          </w:p>
        </w:tc>
        <w:tc>
          <w:tcPr>
            <w:tcW w:w="1054" w:type="pct"/>
            <w:tcBorders>
              <w:top w:val="nil"/>
              <w:left w:val="nil"/>
              <w:bottom w:val="nil"/>
              <w:right w:val="nil"/>
            </w:tcBorders>
            <w:vAlign w:val="bottom"/>
          </w:tcPr>
          <w:p w14:paraId="0B446AF2" w14:textId="77777777" w:rsidR="00400FB1" w:rsidRPr="00226892" w:rsidRDefault="00400FB1" w:rsidP="00400FB1">
            <w:pPr>
              <w:jc w:val="right"/>
              <w:rPr>
                <w:rFonts w:ascii="Arial" w:hAnsi="Arial" w:cs="Arial"/>
                <w:sz w:val="18"/>
                <w:szCs w:val="18"/>
              </w:rPr>
            </w:pPr>
          </w:p>
        </w:tc>
      </w:tr>
      <w:tr w:rsidR="00400FB1" w:rsidRPr="00226892" w14:paraId="26B7AC01" w14:textId="77777777" w:rsidTr="00C76805">
        <w:trPr>
          <w:trHeight w:val="227"/>
        </w:trPr>
        <w:tc>
          <w:tcPr>
            <w:tcW w:w="2550" w:type="pct"/>
            <w:tcBorders>
              <w:top w:val="nil"/>
              <w:left w:val="nil"/>
              <w:bottom w:val="nil"/>
              <w:right w:val="nil"/>
            </w:tcBorders>
            <w:shd w:val="clear" w:color="auto" w:fill="auto"/>
            <w:vAlign w:val="center"/>
            <w:hideMark/>
          </w:tcPr>
          <w:p w14:paraId="32159CAA" w14:textId="77777777" w:rsidR="00400FB1" w:rsidRPr="00226892" w:rsidRDefault="00400FB1" w:rsidP="00400FB1">
            <w:pPr>
              <w:rPr>
                <w:rFonts w:ascii="Arial" w:hAnsi="Arial" w:cs="Arial"/>
                <w:b/>
                <w:bCs/>
                <w:sz w:val="18"/>
                <w:szCs w:val="18"/>
              </w:rPr>
            </w:pPr>
            <w:r w:rsidRPr="00226892">
              <w:rPr>
                <w:rFonts w:ascii="Arial" w:hAnsi="Arial" w:cs="Arial"/>
                <w:b/>
                <w:bCs/>
                <w:sz w:val="18"/>
                <w:szCs w:val="18"/>
              </w:rPr>
              <w:t xml:space="preserve"> </w:t>
            </w:r>
            <w:proofErr w:type="spellStart"/>
            <w:r w:rsidRPr="00226892">
              <w:rPr>
                <w:rFonts w:ascii="Arial" w:hAnsi="Arial" w:cs="Arial"/>
                <w:b/>
                <w:bCs/>
                <w:sz w:val="18"/>
                <w:szCs w:val="18"/>
              </w:rPr>
              <w:t>Medzisúčet</w:t>
            </w:r>
            <w:proofErr w:type="spellEnd"/>
            <w:r w:rsidRPr="00226892">
              <w:rPr>
                <w:rFonts w:ascii="Arial" w:hAnsi="Arial" w:cs="Arial"/>
                <w:b/>
                <w:bCs/>
                <w:sz w:val="18"/>
                <w:szCs w:val="18"/>
              </w:rPr>
              <w:t xml:space="preserve"> </w:t>
            </w:r>
          </w:p>
        </w:tc>
        <w:tc>
          <w:tcPr>
            <w:tcW w:w="341" w:type="pct"/>
            <w:tcBorders>
              <w:top w:val="nil"/>
              <w:left w:val="nil"/>
              <w:bottom w:val="nil"/>
              <w:right w:val="nil"/>
            </w:tcBorders>
            <w:shd w:val="clear" w:color="auto" w:fill="auto"/>
            <w:vAlign w:val="bottom"/>
            <w:hideMark/>
          </w:tcPr>
          <w:p w14:paraId="0227F509" w14:textId="77777777" w:rsidR="00400FB1" w:rsidRPr="00226892" w:rsidRDefault="00400FB1" w:rsidP="00C76805">
            <w:pPr>
              <w:jc w:val="center"/>
              <w:rPr>
                <w:rFonts w:ascii="Arial" w:hAnsi="Arial" w:cs="Arial"/>
                <w:sz w:val="18"/>
                <w:szCs w:val="18"/>
              </w:rPr>
            </w:pPr>
          </w:p>
        </w:tc>
        <w:tc>
          <w:tcPr>
            <w:tcW w:w="1054" w:type="pct"/>
            <w:tcBorders>
              <w:top w:val="single" w:sz="4" w:space="0" w:color="auto"/>
              <w:left w:val="nil"/>
              <w:bottom w:val="double" w:sz="6" w:space="0" w:color="auto"/>
              <w:right w:val="nil"/>
            </w:tcBorders>
            <w:shd w:val="clear" w:color="auto" w:fill="auto"/>
            <w:vAlign w:val="bottom"/>
          </w:tcPr>
          <w:p w14:paraId="51F0147D" w14:textId="0D2AA544" w:rsidR="00400FB1" w:rsidRPr="00226892" w:rsidRDefault="00477152" w:rsidP="00400FB1">
            <w:pPr>
              <w:jc w:val="right"/>
              <w:rPr>
                <w:rFonts w:ascii="Arial" w:hAnsi="Arial" w:cs="Arial"/>
                <w:b/>
                <w:color w:val="000000"/>
                <w:sz w:val="18"/>
                <w:szCs w:val="18"/>
              </w:rPr>
            </w:pPr>
            <w:r w:rsidRPr="00226892">
              <w:rPr>
                <w:rFonts w:ascii="Arial" w:hAnsi="Arial" w:cs="Arial"/>
                <w:b/>
                <w:color w:val="000000"/>
                <w:sz w:val="18"/>
                <w:szCs w:val="18"/>
              </w:rPr>
              <w:t xml:space="preserve">14 </w:t>
            </w:r>
            <w:r w:rsidR="00D042D2" w:rsidRPr="00226892">
              <w:rPr>
                <w:rFonts w:ascii="Arial" w:hAnsi="Arial" w:cs="Arial"/>
                <w:b/>
                <w:color w:val="000000"/>
                <w:sz w:val="18"/>
                <w:szCs w:val="18"/>
              </w:rPr>
              <w:t>648</w:t>
            </w:r>
          </w:p>
        </w:tc>
        <w:tc>
          <w:tcPr>
            <w:tcW w:w="1054" w:type="pct"/>
            <w:tcBorders>
              <w:top w:val="single" w:sz="4" w:space="0" w:color="auto"/>
              <w:left w:val="nil"/>
              <w:bottom w:val="double" w:sz="6" w:space="0" w:color="auto"/>
              <w:right w:val="nil"/>
            </w:tcBorders>
            <w:vAlign w:val="bottom"/>
          </w:tcPr>
          <w:p w14:paraId="024EDE6D" w14:textId="51F2081F" w:rsidR="00400FB1" w:rsidRPr="00226892" w:rsidRDefault="00400FB1" w:rsidP="00400FB1">
            <w:pPr>
              <w:jc w:val="right"/>
              <w:rPr>
                <w:rFonts w:ascii="Arial" w:hAnsi="Arial" w:cs="Arial"/>
                <w:b/>
                <w:color w:val="000000"/>
                <w:sz w:val="18"/>
                <w:szCs w:val="18"/>
              </w:rPr>
            </w:pPr>
            <w:r w:rsidRPr="00226892">
              <w:rPr>
                <w:rFonts w:ascii="Arial" w:hAnsi="Arial" w:cs="Arial"/>
                <w:b/>
                <w:color w:val="000000"/>
                <w:sz w:val="18"/>
                <w:szCs w:val="18"/>
              </w:rPr>
              <w:t xml:space="preserve">12 </w:t>
            </w:r>
            <w:r w:rsidR="00D042D2" w:rsidRPr="00226892">
              <w:rPr>
                <w:rFonts w:ascii="Arial" w:hAnsi="Arial" w:cs="Arial"/>
                <w:b/>
                <w:color w:val="000000"/>
                <w:sz w:val="18"/>
                <w:szCs w:val="18"/>
              </w:rPr>
              <w:t>136</w:t>
            </w:r>
          </w:p>
        </w:tc>
      </w:tr>
      <w:tr w:rsidR="00400FB1" w:rsidRPr="00226892" w14:paraId="364EDE92" w14:textId="77777777" w:rsidTr="00C76805">
        <w:trPr>
          <w:trHeight w:val="227"/>
        </w:trPr>
        <w:tc>
          <w:tcPr>
            <w:tcW w:w="2550" w:type="pct"/>
            <w:tcBorders>
              <w:top w:val="nil"/>
              <w:left w:val="nil"/>
              <w:bottom w:val="nil"/>
              <w:right w:val="nil"/>
            </w:tcBorders>
            <w:shd w:val="clear" w:color="auto" w:fill="auto"/>
            <w:vAlign w:val="center"/>
            <w:hideMark/>
          </w:tcPr>
          <w:p w14:paraId="05E1A7EC" w14:textId="77777777" w:rsidR="00432C11" w:rsidRPr="00226892" w:rsidRDefault="00432C11" w:rsidP="00400FB1">
            <w:pPr>
              <w:rPr>
                <w:rFonts w:ascii="Arial" w:hAnsi="Arial" w:cs="Arial"/>
                <w:color w:val="000000"/>
                <w:sz w:val="18"/>
                <w:szCs w:val="18"/>
              </w:rPr>
            </w:pPr>
          </w:p>
          <w:p w14:paraId="4C82A75B" w14:textId="77777777" w:rsidR="00432C11" w:rsidRPr="00226892" w:rsidRDefault="00432C11" w:rsidP="00400FB1">
            <w:pPr>
              <w:rPr>
                <w:rFonts w:ascii="Arial" w:hAnsi="Arial" w:cs="Arial"/>
                <w:color w:val="000000"/>
                <w:sz w:val="18"/>
                <w:szCs w:val="18"/>
              </w:rPr>
            </w:pPr>
          </w:p>
          <w:p w14:paraId="6F4E62E0" w14:textId="721937E8" w:rsidR="00400FB1" w:rsidRPr="00226892" w:rsidRDefault="00400FB1" w:rsidP="00400FB1">
            <w:pPr>
              <w:rPr>
                <w:rFonts w:ascii="Arial" w:hAnsi="Arial" w:cs="Arial"/>
                <w:color w:val="000000"/>
                <w:sz w:val="18"/>
                <w:szCs w:val="18"/>
              </w:rPr>
            </w:pPr>
            <w:proofErr w:type="spellStart"/>
            <w:r w:rsidRPr="00226892">
              <w:rPr>
                <w:rFonts w:ascii="Arial" w:hAnsi="Arial" w:cs="Arial"/>
                <w:color w:val="000000"/>
                <w:sz w:val="18"/>
                <w:szCs w:val="18"/>
              </w:rPr>
              <w:t>Zmeny</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pracovného</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kapitálu</w:t>
            </w:r>
            <w:proofErr w:type="spellEnd"/>
            <w:r w:rsidRPr="00226892">
              <w:rPr>
                <w:rFonts w:ascii="Arial" w:hAnsi="Arial" w:cs="Arial"/>
                <w:color w:val="000000"/>
                <w:sz w:val="18"/>
                <w:szCs w:val="18"/>
              </w:rPr>
              <w:t>:</w:t>
            </w:r>
          </w:p>
        </w:tc>
        <w:tc>
          <w:tcPr>
            <w:tcW w:w="341" w:type="pct"/>
            <w:tcBorders>
              <w:top w:val="nil"/>
              <w:left w:val="nil"/>
              <w:bottom w:val="nil"/>
              <w:right w:val="nil"/>
            </w:tcBorders>
            <w:shd w:val="clear" w:color="auto" w:fill="auto"/>
            <w:vAlign w:val="bottom"/>
            <w:hideMark/>
          </w:tcPr>
          <w:p w14:paraId="2D342B47" w14:textId="77777777" w:rsidR="00400FB1" w:rsidRPr="00226892" w:rsidRDefault="00400FB1" w:rsidP="00C76805">
            <w:pPr>
              <w:jc w:val="center"/>
              <w:rPr>
                <w:rFonts w:ascii="Arial" w:hAnsi="Arial" w:cs="Arial"/>
                <w:sz w:val="18"/>
                <w:szCs w:val="18"/>
              </w:rPr>
            </w:pPr>
          </w:p>
        </w:tc>
        <w:tc>
          <w:tcPr>
            <w:tcW w:w="1054" w:type="pct"/>
            <w:tcBorders>
              <w:top w:val="nil"/>
              <w:left w:val="nil"/>
              <w:bottom w:val="nil"/>
              <w:right w:val="nil"/>
            </w:tcBorders>
            <w:shd w:val="clear" w:color="auto" w:fill="auto"/>
            <w:vAlign w:val="bottom"/>
          </w:tcPr>
          <w:p w14:paraId="456D1F08" w14:textId="77777777" w:rsidR="00400FB1" w:rsidRPr="00226892" w:rsidRDefault="00400FB1" w:rsidP="00400FB1">
            <w:pPr>
              <w:jc w:val="right"/>
              <w:rPr>
                <w:rFonts w:ascii="Arial" w:hAnsi="Arial" w:cs="Arial"/>
                <w:sz w:val="18"/>
                <w:szCs w:val="18"/>
              </w:rPr>
            </w:pPr>
          </w:p>
        </w:tc>
        <w:tc>
          <w:tcPr>
            <w:tcW w:w="1054" w:type="pct"/>
            <w:tcBorders>
              <w:top w:val="nil"/>
              <w:left w:val="nil"/>
              <w:bottom w:val="nil"/>
              <w:right w:val="nil"/>
            </w:tcBorders>
            <w:vAlign w:val="bottom"/>
          </w:tcPr>
          <w:p w14:paraId="064C4064" w14:textId="77777777" w:rsidR="00400FB1" w:rsidRPr="00226892" w:rsidRDefault="00400FB1" w:rsidP="00400FB1">
            <w:pPr>
              <w:jc w:val="right"/>
              <w:rPr>
                <w:rFonts w:ascii="Arial" w:hAnsi="Arial" w:cs="Arial"/>
                <w:sz w:val="18"/>
                <w:szCs w:val="18"/>
              </w:rPr>
            </w:pPr>
          </w:p>
        </w:tc>
      </w:tr>
      <w:tr w:rsidR="00400FB1" w:rsidRPr="00226892" w14:paraId="5CAF223C" w14:textId="77777777" w:rsidTr="00C76805">
        <w:trPr>
          <w:trHeight w:val="227"/>
        </w:trPr>
        <w:tc>
          <w:tcPr>
            <w:tcW w:w="2550" w:type="pct"/>
            <w:tcBorders>
              <w:top w:val="nil"/>
              <w:left w:val="nil"/>
              <w:bottom w:val="nil"/>
              <w:right w:val="nil"/>
            </w:tcBorders>
            <w:shd w:val="clear" w:color="auto" w:fill="auto"/>
            <w:vAlign w:val="center"/>
            <w:hideMark/>
          </w:tcPr>
          <w:p w14:paraId="0ABD6142" w14:textId="77777777" w:rsidR="00400FB1" w:rsidRPr="00226892" w:rsidRDefault="00400FB1" w:rsidP="00400FB1">
            <w:pPr>
              <w:rPr>
                <w:rFonts w:ascii="Arial" w:hAnsi="Arial" w:cs="Arial"/>
                <w:color w:val="000000"/>
                <w:sz w:val="18"/>
                <w:szCs w:val="18"/>
              </w:rPr>
            </w:pPr>
            <w:proofErr w:type="spellStart"/>
            <w:r w:rsidRPr="00226892">
              <w:rPr>
                <w:rFonts w:ascii="Arial" w:hAnsi="Arial" w:cs="Arial"/>
                <w:color w:val="000000"/>
                <w:sz w:val="18"/>
                <w:szCs w:val="18"/>
              </w:rPr>
              <w:t>Zásoby</w:t>
            </w:r>
            <w:proofErr w:type="spellEnd"/>
          </w:p>
        </w:tc>
        <w:tc>
          <w:tcPr>
            <w:tcW w:w="341" w:type="pct"/>
            <w:tcBorders>
              <w:top w:val="nil"/>
              <w:left w:val="nil"/>
              <w:bottom w:val="nil"/>
              <w:right w:val="nil"/>
            </w:tcBorders>
            <w:shd w:val="clear" w:color="auto" w:fill="auto"/>
            <w:vAlign w:val="bottom"/>
            <w:hideMark/>
          </w:tcPr>
          <w:p w14:paraId="1E48C8C4" w14:textId="77777777" w:rsidR="00400FB1" w:rsidRPr="00226892" w:rsidRDefault="00400FB1" w:rsidP="00C76805">
            <w:pPr>
              <w:jc w:val="center"/>
              <w:rPr>
                <w:rFonts w:ascii="Arial" w:hAnsi="Arial" w:cs="Arial"/>
                <w:sz w:val="18"/>
                <w:szCs w:val="18"/>
              </w:rPr>
            </w:pPr>
          </w:p>
        </w:tc>
        <w:tc>
          <w:tcPr>
            <w:tcW w:w="1054" w:type="pct"/>
            <w:tcBorders>
              <w:top w:val="nil"/>
              <w:left w:val="nil"/>
              <w:bottom w:val="nil"/>
              <w:right w:val="nil"/>
            </w:tcBorders>
            <w:shd w:val="clear" w:color="auto" w:fill="auto"/>
            <w:vAlign w:val="bottom"/>
          </w:tcPr>
          <w:p w14:paraId="694ACBFC" w14:textId="6A82C0E3" w:rsidR="00400FB1" w:rsidRPr="00226892" w:rsidRDefault="00477152" w:rsidP="00400FB1">
            <w:pPr>
              <w:jc w:val="right"/>
              <w:rPr>
                <w:rFonts w:ascii="Arial" w:hAnsi="Arial" w:cs="Arial"/>
                <w:color w:val="000000"/>
                <w:sz w:val="18"/>
                <w:szCs w:val="18"/>
              </w:rPr>
            </w:pPr>
            <w:r w:rsidRPr="00226892">
              <w:rPr>
                <w:rFonts w:ascii="Arial" w:hAnsi="Arial" w:cs="Arial"/>
                <w:color w:val="000000"/>
                <w:sz w:val="18"/>
                <w:szCs w:val="18"/>
              </w:rPr>
              <w:t xml:space="preserve">11 </w:t>
            </w:r>
            <w:r w:rsidR="00D042D2" w:rsidRPr="00226892">
              <w:rPr>
                <w:rFonts w:ascii="Arial" w:hAnsi="Arial" w:cs="Arial"/>
                <w:color w:val="000000"/>
                <w:sz w:val="18"/>
                <w:szCs w:val="18"/>
              </w:rPr>
              <w:t>986</w:t>
            </w:r>
          </w:p>
        </w:tc>
        <w:tc>
          <w:tcPr>
            <w:tcW w:w="1054" w:type="pct"/>
            <w:tcBorders>
              <w:top w:val="nil"/>
              <w:left w:val="nil"/>
              <w:bottom w:val="nil"/>
              <w:right w:val="nil"/>
            </w:tcBorders>
            <w:vAlign w:val="bottom"/>
          </w:tcPr>
          <w:p w14:paraId="75807901" w14:textId="14DC7502" w:rsidR="00400FB1" w:rsidRPr="00226892" w:rsidRDefault="00400FB1" w:rsidP="00400FB1">
            <w:pPr>
              <w:jc w:val="right"/>
              <w:rPr>
                <w:rFonts w:ascii="Arial" w:hAnsi="Arial" w:cs="Arial"/>
                <w:color w:val="000000"/>
                <w:sz w:val="18"/>
                <w:szCs w:val="18"/>
              </w:rPr>
            </w:pPr>
            <w:r w:rsidRPr="00226892">
              <w:rPr>
                <w:rFonts w:ascii="Arial" w:hAnsi="Arial" w:cs="Arial"/>
                <w:color w:val="000000"/>
                <w:sz w:val="18"/>
                <w:szCs w:val="18"/>
              </w:rPr>
              <w:t>-1 693</w:t>
            </w:r>
          </w:p>
        </w:tc>
      </w:tr>
      <w:tr w:rsidR="00400FB1" w:rsidRPr="00226892" w14:paraId="7CD238EA" w14:textId="77777777" w:rsidTr="00C76805">
        <w:trPr>
          <w:trHeight w:val="227"/>
        </w:trPr>
        <w:tc>
          <w:tcPr>
            <w:tcW w:w="2550" w:type="pct"/>
            <w:tcBorders>
              <w:top w:val="nil"/>
              <w:left w:val="nil"/>
              <w:bottom w:val="nil"/>
              <w:right w:val="nil"/>
            </w:tcBorders>
            <w:shd w:val="clear" w:color="auto" w:fill="auto"/>
            <w:vAlign w:val="center"/>
            <w:hideMark/>
          </w:tcPr>
          <w:p w14:paraId="45C12FD6" w14:textId="77777777" w:rsidR="00400FB1" w:rsidRPr="00226892" w:rsidRDefault="00400FB1" w:rsidP="00400FB1">
            <w:pPr>
              <w:rPr>
                <w:rFonts w:ascii="Arial" w:hAnsi="Arial" w:cs="Arial"/>
                <w:color w:val="000000"/>
                <w:sz w:val="18"/>
                <w:szCs w:val="18"/>
              </w:rPr>
            </w:pPr>
            <w:proofErr w:type="spellStart"/>
            <w:r w:rsidRPr="00226892">
              <w:rPr>
                <w:rFonts w:ascii="Arial" w:hAnsi="Arial" w:cs="Arial"/>
                <w:color w:val="000000"/>
                <w:sz w:val="18"/>
                <w:szCs w:val="18"/>
              </w:rPr>
              <w:t>Pohľadávky</w:t>
            </w:r>
            <w:proofErr w:type="spellEnd"/>
            <w:r w:rsidRPr="00226892">
              <w:rPr>
                <w:rFonts w:ascii="Arial" w:hAnsi="Arial" w:cs="Arial"/>
                <w:color w:val="000000"/>
                <w:sz w:val="18"/>
                <w:szCs w:val="18"/>
              </w:rPr>
              <w:t xml:space="preserve"> z </w:t>
            </w:r>
            <w:proofErr w:type="spellStart"/>
            <w:r w:rsidRPr="00226892">
              <w:rPr>
                <w:rFonts w:ascii="Arial" w:hAnsi="Arial" w:cs="Arial"/>
                <w:color w:val="000000"/>
                <w:sz w:val="18"/>
                <w:szCs w:val="18"/>
              </w:rPr>
              <w:t>obchodného</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styku</w:t>
            </w:r>
            <w:proofErr w:type="spellEnd"/>
            <w:r w:rsidRPr="00226892">
              <w:rPr>
                <w:rFonts w:ascii="Arial" w:hAnsi="Arial" w:cs="Arial"/>
                <w:color w:val="000000"/>
                <w:sz w:val="18"/>
                <w:szCs w:val="18"/>
              </w:rPr>
              <w:t xml:space="preserve"> </w:t>
            </w:r>
            <w:proofErr w:type="gramStart"/>
            <w:r w:rsidRPr="00226892">
              <w:rPr>
                <w:rFonts w:ascii="Arial" w:hAnsi="Arial" w:cs="Arial"/>
                <w:color w:val="000000"/>
                <w:sz w:val="18"/>
                <w:szCs w:val="18"/>
              </w:rPr>
              <w:t>a</w:t>
            </w:r>
            <w:proofErr w:type="gramEnd"/>
            <w:r w:rsidRPr="00226892">
              <w:rPr>
                <w:rFonts w:ascii="Arial" w:hAnsi="Arial" w:cs="Arial"/>
                <w:color w:val="000000"/>
                <w:sz w:val="18"/>
                <w:szCs w:val="18"/>
              </w:rPr>
              <w:t> </w:t>
            </w:r>
            <w:proofErr w:type="spellStart"/>
            <w:r w:rsidRPr="00226892">
              <w:rPr>
                <w:rFonts w:ascii="Arial" w:hAnsi="Arial" w:cs="Arial"/>
                <w:color w:val="000000"/>
                <w:sz w:val="18"/>
                <w:szCs w:val="18"/>
              </w:rPr>
              <w:t>ostatné</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pohľadávky</w:t>
            </w:r>
            <w:proofErr w:type="spellEnd"/>
          </w:p>
        </w:tc>
        <w:tc>
          <w:tcPr>
            <w:tcW w:w="341" w:type="pct"/>
            <w:tcBorders>
              <w:top w:val="nil"/>
              <w:left w:val="nil"/>
              <w:bottom w:val="nil"/>
              <w:right w:val="nil"/>
            </w:tcBorders>
            <w:shd w:val="clear" w:color="auto" w:fill="auto"/>
            <w:vAlign w:val="bottom"/>
            <w:hideMark/>
          </w:tcPr>
          <w:p w14:paraId="1F550EFE" w14:textId="77777777" w:rsidR="00400FB1" w:rsidRPr="00226892" w:rsidRDefault="00400FB1" w:rsidP="00C76805">
            <w:pPr>
              <w:jc w:val="center"/>
              <w:rPr>
                <w:rFonts w:ascii="Arial" w:hAnsi="Arial" w:cs="Arial"/>
                <w:sz w:val="18"/>
                <w:szCs w:val="18"/>
              </w:rPr>
            </w:pPr>
          </w:p>
        </w:tc>
        <w:tc>
          <w:tcPr>
            <w:tcW w:w="1054" w:type="pct"/>
            <w:tcBorders>
              <w:top w:val="nil"/>
              <w:left w:val="nil"/>
              <w:bottom w:val="nil"/>
              <w:right w:val="nil"/>
            </w:tcBorders>
            <w:shd w:val="clear" w:color="auto" w:fill="auto"/>
            <w:vAlign w:val="bottom"/>
          </w:tcPr>
          <w:p w14:paraId="1D2CEF7B" w14:textId="2E6CA60A" w:rsidR="00400FB1" w:rsidRPr="00226892" w:rsidRDefault="00477152" w:rsidP="00400FB1">
            <w:pPr>
              <w:jc w:val="right"/>
              <w:rPr>
                <w:rFonts w:ascii="Arial" w:hAnsi="Arial" w:cs="Arial"/>
                <w:color w:val="000000"/>
                <w:sz w:val="18"/>
                <w:szCs w:val="18"/>
              </w:rPr>
            </w:pPr>
            <w:r w:rsidRPr="00226892">
              <w:rPr>
                <w:rFonts w:ascii="Arial" w:hAnsi="Arial" w:cs="Arial"/>
                <w:color w:val="000000"/>
                <w:sz w:val="18"/>
                <w:szCs w:val="18"/>
              </w:rPr>
              <w:t>2 1</w:t>
            </w:r>
            <w:r w:rsidR="00D042D2" w:rsidRPr="00226892">
              <w:rPr>
                <w:rFonts w:ascii="Arial" w:hAnsi="Arial" w:cs="Arial"/>
                <w:color w:val="000000"/>
                <w:sz w:val="18"/>
                <w:szCs w:val="18"/>
              </w:rPr>
              <w:t>55</w:t>
            </w:r>
          </w:p>
        </w:tc>
        <w:tc>
          <w:tcPr>
            <w:tcW w:w="1054" w:type="pct"/>
            <w:tcBorders>
              <w:top w:val="nil"/>
              <w:left w:val="nil"/>
              <w:bottom w:val="nil"/>
              <w:right w:val="nil"/>
            </w:tcBorders>
            <w:vAlign w:val="bottom"/>
          </w:tcPr>
          <w:p w14:paraId="5FEC06EA" w14:textId="49ED8915" w:rsidR="00400FB1" w:rsidRPr="00226892" w:rsidRDefault="00400FB1" w:rsidP="00400FB1">
            <w:pPr>
              <w:jc w:val="right"/>
              <w:rPr>
                <w:rFonts w:ascii="Arial" w:hAnsi="Arial" w:cs="Arial"/>
                <w:color w:val="000000"/>
                <w:sz w:val="18"/>
                <w:szCs w:val="18"/>
              </w:rPr>
            </w:pPr>
            <w:r w:rsidRPr="00226892">
              <w:rPr>
                <w:rFonts w:ascii="Arial" w:hAnsi="Arial" w:cs="Arial"/>
                <w:color w:val="000000"/>
                <w:sz w:val="18"/>
                <w:szCs w:val="18"/>
              </w:rPr>
              <w:t>-5 528</w:t>
            </w:r>
          </w:p>
        </w:tc>
      </w:tr>
      <w:tr w:rsidR="00400FB1" w:rsidRPr="00226892" w14:paraId="442ACE43" w14:textId="77777777" w:rsidTr="00C76805">
        <w:trPr>
          <w:trHeight w:val="227"/>
        </w:trPr>
        <w:tc>
          <w:tcPr>
            <w:tcW w:w="2550" w:type="pct"/>
            <w:tcBorders>
              <w:top w:val="nil"/>
              <w:left w:val="nil"/>
              <w:bottom w:val="nil"/>
              <w:right w:val="nil"/>
            </w:tcBorders>
            <w:shd w:val="clear" w:color="auto" w:fill="auto"/>
            <w:vAlign w:val="center"/>
            <w:hideMark/>
          </w:tcPr>
          <w:p w14:paraId="27DE5727" w14:textId="77777777" w:rsidR="00400FB1" w:rsidRPr="00226892" w:rsidRDefault="00400FB1" w:rsidP="00400FB1">
            <w:pPr>
              <w:rPr>
                <w:rFonts w:ascii="Arial" w:hAnsi="Arial" w:cs="Arial"/>
                <w:color w:val="000000"/>
                <w:sz w:val="18"/>
                <w:szCs w:val="18"/>
              </w:rPr>
            </w:pPr>
            <w:proofErr w:type="spellStart"/>
            <w:r w:rsidRPr="00226892">
              <w:rPr>
                <w:rFonts w:ascii="Arial" w:hAnsi="Arial" w:cs="Arial"/>
                <w:color w:val="000000"/>
                <w:sz w:val="18"/>
                <w:szCs w:val="18"/>
              </w:rPr>
              <w:t>Záväzky</w:t>
            </w:r>
            <w:proofErr w:type="spellEnd"/>
            <w:r w:rsidRPr="00226892">
              <w:rPr>
                <w:rFonts w:ascii="Arial" w:hAnsi="Arial" w:cs="Arial"/>
                <w:color w:val="000000"/>
                <w:sz w:val="18"/>
                <w:szCs w:val="18"/>
              </w:rPr>
              <w:t xml:space="preserve"> z </w:t>
            </w:r>
            <w:proofErr w:type="spellStart"/>
            <w:r w:rsidRPr="00226892">
              <w:rPr>
                <w:rFonts w:ascii="Arial" w:hAnsi="Arial" w:cs="Arial"/>
                <w:color w:val="000000"/>
                <w:sz w:val="18"/>
                <w:szCs w:val="18"/>
              </w:rPr>
              <w:t>obchodného</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styku</w:t>
            </w:r>
            <w:proofErr w:type="spellEnd"/>
            <w:r w:rsidRPr="00226892">
              <w:rPr>
                <w:rFonts w:ascii="Arial" w:hAnsi="Arial" w:cs="Arial"/>
                <w:color w:val="000000"/>
                <w:sz w:val="18"/>
                <w:szCs w:val="18"/>
              </w:rPr>
              <w:t xml:space="preserve"> </w:t>
            </w:r>
            <w:proofErr w:type="gramStart"/>
            <w:r w:rsidRPr="00226892">
              <w:rPr>
                <w:rFonts w:ascii="Arial" w:hAnsi="Arial" w:cs="Arial"/>
                <w:color w:val="000000"/>
                <w:sz w:val="18"/>
                <w:szCs w:val="18"/>
              </w:rPr>
              <w:t>a</w:t>
            </w:r>
            <w:proofErr w:type="gramEnd"/>
            <w:r w:rsidRPr="00226892">
              <w:rPr>
                <w:rFonts w:ascii="Arial" w:hAnsi="Arial" w:cs="Arial"/>
                <w:color w:val="000000"/>
                <w:sz w:val="18"/>
                <w:szCs w:val="18"/>
              </w:rPr>
              <w:t> </w:t>
            </w:r>
            <w:proofErr w:type="spellStart"/>
            <w:r w:rsidRPr="00226892">
              <w:rPr>
                <w:rFonts w:ascii="Arial" w:hAnsi="Arial" w:cs="Arial"/>
                <w:color w:val="000000"/>
                <w:sz w:val="18"/>
                <w:szCs w:val="18"/>
              </w:rPr>
              <w:t>ostatné</w:t>
            </w:r>
            <w:proofErr w:type="spellEnd"/>
            <w:r w:rsidRPr="00226892">
              <w:rPr>
                <w:rFonts w:ascii="Arial" w:hAnsi="Arial" w:cs="Arial"/>
                <w:color w:val="000000"/>
                <w:sz w:val="18"/>
                <w:szCs w:val="18"/>
              </w:rPr>
              <w:t xml:space="preserve"> </w:t>
            </w:r>
            <w:proofErr w:type="spellStart"/>
            <w:r w:rsidRPr="00226892">
              <w:rPr>
                <w:rFonts w:ascii="Arial" w:hAnsi="Arial" w:cs="Arial"/>
                <w:color w:val="000000"/>
                <w:sz w:val="18"/>
                <w:szCs w:val="18"/>
              </w:rPr>
              <w:t>záväzky</w:t>
            </w:r>
            <w:proofErr w:type="spellEnd"/>
          </w:p>
        </w:tc>
        <w:tc>
          <w:tcPr>
            <w:tcW w:w="341" w:type="pct"/>
            <w:tcBorders>
              <w:top w:val="nil"/>
              <w:left w:val="nil"/>
              <w:bottom w:val="nil"/>
              <w:right w:val="nil"/>
            </w:tcBorders>
            <w:shd w:val="clear" w:color="auto" w:fill="auto"/>
            <w:vAlign w:val="bottom"/>
            <w:hideMark/>
          </w:tcPr>
          <w:p w14:paraId="17C24D9C" w14:textId="77777777" w:rsidR="00400FB1" w:rsidRPr="00226892" w:rsidRDefault="00400FB1" w:rsidP="00C76805">
            <w:pPr>
              <w:jc w:val="center"/>
              <w:rPr>
                <w:rFonts w:ascii="Arial" w:hAnsi="Arial" w:cs="Arial"/>
                <w:sz w:val="18"/>
                <w:szCs w:val="18"/>
              </w:rPr>
            </w:pPr>
          </w:p>
        </w:tc>
        <w:tc>
          <w:tcPr>
            <w:tcW w:w="1054" w:type="pct"/>
            <w:tcBorders>
              <w:top w:val="nil"/>
              <w:left w:val="nil"/>
              <w:bottom w:val="nil"/>
              <w:right w:val="nil"/>
            </w:tcBorders>
            <w:shd w:val="clear" w:color="auto" w:fill="auto"/>
            <w:vAlign w:val="bottom"/>
          </w:tcPr>
          <w:p w14:paraId="1428165E" w14:textId="10CCB008" w:rsidR="00400FB1" w:rsidRPr="00226892" w:rsidRDefault="00477152" w:rsidP="00400FB1">
            <w:pPr>
              <w:pStyle w:val="Odsekzoznamu"/>
              <w:jc w:val="right"/>
              <w:rPr>
                <w:rFonts w:ascii="Arial" w:hAnsi="Arial" w:cs="Arial"/>
                <w:color w:val="000000"/>
                <w:sz w:val="18"/>
                <w:szCs w:val="18"/>
              </w:rPr>
            </w:pPr>
            <w:r w:rsidRPr="00226892">
              <w:rPr>
                <w:rFonts w:ascii="Arial" w:hAnsi="Arial" w:cs="Arial"/>
                <w:color w:val="000000"/>
                <w:sz w:val="18"/>
                <w:szCs w:val="18"/>
              </w:rPr>
              <w:t xml:space="preserve">4 </w:t>
            </w:r>
            <w:r w:rsidR="00D042D2" w:rsidRPr="00226892">
              <w:rPr>
                <w:rFonts w:ascii="Arial" w:hAnsi="Arial" w:cs="Arial"/>
                <w:color w:val="000000"/>
                <w:sz w:val="18"/>
                <w:szCs w:val="18"/>
              </w:rPr>
              <w:t>488</w:t>
            </w:r>
          </w:p>
        </w:tc>
        <w:tc>
          <w:tcPr>
            <w:tcW w:w="1054" w:type="pct"/>
            <w:tcBorders>
              <w:top w:val="nil"/>
              <w:left w:val="nil"/>
              <w:bottom w:val="nil"/>
              <w:right w:val="nil"/>
            </w:tcBorders>
            <w:vAlign w:val="bottom"/>
          </w:tcPr>
          <w:p w14:paraId="60EECC91" w14:textId="1225C1E0" w:rsidR="00400FB1" w:rsidRPr="00226892" w:rsidRDefault="00400FB1" w:rsidP="00400FB1">
            <w:pPr>
              <w:jc w:val="right"/>
              <w:rPr>
                <w:rFonts w:ascii="Arial" w:hAnsi="Arial" w:cs="Arial"/>
                <w:color w:val="000000"/>
                <w:sz w:val="18"/>
                <w:szCs w:val="18"/>
              </w:rPr>
            </w:pPr>
            <w:r w:rsidRPr="00226892">
              <w:rPr>
                <w:rFonts w:ascii="Arial" w:hAnsi="Arial" w:cs="Arial"/>
                <w:color w:val="000000"/>
                <w:sz w:val="18"/>
                <w:szCs w:val="18"/>
              </w:rPr>
              <w:t>4 627</w:t>
            </w:r>
          </w:p>
        </w:tc>
      </w:tr>
      <w:tr w:rsidR="00400FB1" w:rsidRPr="00226892" w14:paraId="16D01111" w14:textId="77777777" w:rsidTr="00C76805">
        <w:trPr>
          <w:trHeight w:val="227"/>
        </w:trPr>
        <w:tc>
          <w:tcPr>
            <w:tcW w:w="2550" w:type="pct"/>
            <w:tcBorders>
              <w:top w:val="nil"/>
              <w:left w:val="nil"/>
              <w:bottom w:val="nil"/>
              <w:right w:val="nil"/>
            </w:tcBorders>
            <w:shd w:val="clear" w:color="auto" w:fill="auto"/>
            <w:vAlign w:val="center"/>
            <w:hideMark/>
          </w:tcPr>
          <w:p w14:paraId="3937B649" w14:textId="77777777" w:rsidR="00400FB1" w:rsidRPr="00226892" w:rsidRDefault="00400FB1" w:rsidP="00400FB1">
            <w:pPr>
              <w:rPr>
                <w:rFonts w:ascii="Arial" w:hAnsi="Arial" w:cs="Arial"/>
                <w:color w:val="000000"/>
                <w:sz w:val="18"/>
                <w:szCs w:val="18"/>
              </w:rPr>
            </w:pPr>
          </w:p>
        </w:tc>
        <w:tc>
          <w:tcPr>
            <w:tcW w:w="341" w:type="pct"/>
            <w:tcBorders>
              <w:top w:val="nil"/>
              <w:left w:val="nil"/>
              <w:bottom w:val="nil"/>
              <w:right w:val="nil"/>
            </w:tcBorders>
            <w:shd w:val="clear" w:color="auto" w:fill="auto"/>
            <w:vAlign w:val="bottom"/>
            <w:hideMark/>
          </w:tcPr>
          <w:p w14:paraId="2958CF1C" w14:textId="77777777" w:rsidR="00400FB1" w:rsidRPr="00226892" w:rsidRDefault="00400FB1" w:rsidP="00C76805">
            <w:pPr>
              <w:jc w:val="center"/>
              <w:rPr>
                <w:rFonts w:ascii="Arial" w:hAnsi="Arial" w:cs="Arial"/>
                <w:sz w:val="18"/>
                <w:szCs w:val="18"/>
              </w:rPr>
            </w:pPr>
          </w:p>
        </w:tc>
        <w:tc>
          <w:tcPr>
            <w:tcW w:w="1054" w:type="pct"/>
            <w:tcBorders>
              <w:top w:val="nil"/>
              <w:left w:val="nil"/>
              <w:bottom w:val="nil"/>
              <w:right w:val="nil"/>
            </w:tcBorders>
            <w:shd w:val="clear" w:color="auto" w:fill="auto"/>
            <w:vAlign w:val="bottom"/>
          </w:tcPr>
          <w:p w14:paraId="4F0E2EAD" w14:textId="77777777" w:rsidR="00400FB1" w:rsidRPr="00226892" w:rsidRDefault="00400FB1" w:rsidP="00400FB1">
            <w:pPr>
              <w:jc w:val="right"/>
              <w:rPr>
                <w:rFonts w:ascii="Arial" w:hAnsi="Arial" w:cs="Arial"/>
                <w:sz w:val="18"/>
                <w:szCs w:val="18"/>
              </w:rPr>
            </w:pPr>
          </w:p>
        </w:tc>
        <w:tc>
          <w:tcPr>
            <w:tcW w:w="1054" w:type="pct"/>
            <w:tcBorders>
              <w:top w:val="nil"/>
              <w:left w:val="nil"/>
              <w:bottom w:val="nil"/>
              <w:right w:val="nil"/>
            </w:tcBorders>
            <w:vAlign w:val="bottom"/>
          </w:tcPr>
          <w:p w14:paraId="6E2183F4" w14:textId="77777777" w:rsidR="00400FB1" w:rsidRPr="00226892" w:rsidRDefault="00400FB1" w:rsidP="00400FB1">
            <w:pPr>
              <w:jc w:val="right"/>
              <w:rPr>
                <w:rFonts w:ascii="Arial" w:hAnsi="Arial" w:cs="Arial"/>
                <w:sz w:val="18"/>
                <w:szCs w:val="18"/>
              </w:rPr>
            </w:pPr>
          </w:p>
        </w:tc>
      </w:tr>
      <w:tr w:rsidR="00400FB1" w:rsidRPr="00226892" w14:paraId="5357BBA7" w14:textId="77777777" w:rsidTr="00756C6D">
        <w:trPr>
          <w:trHeight w:val="227"/>
        </w:trPr>
        <w:tc>
          <w:tcPr>
            <w:tcW w:w="2550" w:type="pct"/>
            <w:tcBorders>
              <w:top w:val="nil"/>
              <w:left w:val="nil"/>
              <w:bottom w:val="nil"/>
              <w:right w:val="nil"/>
            </w:tcBorders>
            <w:shd w:val="clear" w:color="auto" w:fill="auto"/>
            <w:vAlign w:val="bottom"/>
            <w:hideMark/>
          </w:tcPr>
          <w:p w14:paraId="472B8288" w14:textId="77777777" w:rsidR="00400FB1" w:rsidRPr="00226892" w:rsidRDefault="00400FB1" w:rsidP="00400FB1">
            <w:pPr>
              <w:rPr>
                <w:rFonts w:ascii="Arial" w:hAnsi="Arial" w:cs="Arial"/>
                <w:b/>
                <w:bCs/>
                <w:color w:val="000000"/>
                <w:sz w:val="18"/>
                <w:szCs w:val="18"/>
              </w:rPr>
            </w:pPr>
            <w:proofErr w:type="spellStart"/>
            <w:r w:rsidRPr="00226892">
              <w:rPr>
                <w:rFonts w:ascii="Arial" w:hAnsi="Arial" w:cs="Arial"/>
                <w:b/>
                <w:bCs/>
                <w:color w:val="000000"/>
                <w:sz w:val="18"/>
                <w:szCs w:val="18"/>
              </w:rPr>
              <w:t>Peňažné</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prostriedky</w:t>
            </w:r>
            <w:proofErr w:type="spellEnd"/>
            <w:r w:rsidRPr="00226892">
              <w:rPr>
                <w:rFonts w:ascii="Arial" w:hAnsi="Arial" w:cs="Arial"/>
                <w:b/>
                <w:bCs/>
                <w:color w:val="000000"/>
                <w:sz w:val="18"/>
                <w:szCs w:val="18"/>
              </w:rPr>
              <w:t xml:space="preserve"> z </w:t>
            </w:r>
            <w:proofErr w:type="spellStart"/>
            <w:r w:rsidRPr="00226892">
              <w:rPr>
                <w:rFonts w:ascii="Arial" w:hAnsi="Arial" w:cs="Arial"/>
                <w:b/>
                <w:bCs/>
                <w:color w:val="000000"/>
                <w:sz w:val="18"/>
                <w:szCs w:val="18"/>
              </w:rPr>
              <w:t>prevádzky</w:t>
            </w:r>
            <w:proofErr w:type="spellEnd"/>
          </w:p>
        </w:tc>
        <w:tc>
          <w:tcPr>
            <w:tcW w:w="341" w:type="pct"/>
            <w:tcBorders>
              <w:top w:val="nil"/>
              <w:left w:val="nil"/>
              <w:bottom w:val="nil"/>
              <w:right w:val="nil"/>
            </w:tcBorders>
            <w:shd w:val="clear" w:color="auto" w:fill="auto"/>
            <w:vAlign w:val="bottom"/>
            <w:hideMark/>
          </w:tcPr>
          <w:p w14:paraId="6B3B6E93" w14:textId="77777777" w:rsidR="00400FB1" w:rsidRPr="00226892" w:rsidRDefault="00400FB1" w:rsidP="00400FB1">
            <w:pPr>
              <w:jc w:val="right"/>
              <w:rPr>
                <w:rFonts w:ascii="Arial" w:hAnsi="Arial" w:cs="Arial"/>
                <w:sz w:val="18"/>
                <w:szCs w:val="18"/>
              </w:rPr>
            </w:pPr>
          </w:p>
        </w:tc>
        <w:tc>
          <w:tcPr>
            <w:tcW w:w="1054" w:type="pct"/>
            <w:tcBorders>
              <w:top w:val="single" w:sz="4" w:space="0" w:color="auto"/>
              <w:left w:val="nil"/>
              <w:bottom w:val="double" w:sz="6" w:space="0" w:color="auto"/>
              <w:right w:val="nil"/>
            </w:tcBorders>
            <w:shd w:val="clear" w:color="auto" w:fill="auto"/>
            <w:vAlign w:val="bottom"/>
          </w:tcPr>
          <w:p w14:paraId="620DEF11" w14:textId="09B8E710" w:rsidR="00400FB1" w:rsidRPr="00226892" w:rsidRDefault="00477152" w:rsidP="00400FB1">
            <w:pPr>
              <w:jc w:val="right"/>
              <w:rPr>
                <w:rFonts w:ascii="Arial" w:hAnsi="Arial" w:cs="Arial"/>
                <w:b/>
                <w:color w:val="000000"/>
                <w:sz w:val="18"/>
                <w:szCs w:val="18"/>
              </w:rPr>
            </w:pPr>
            <w:r w:rsidRPr="00226892">
              <w:rPr>
                <w:rFonts w:ascii="Arial" w:hAnsi="Arial" w:cs="Arial"/>
                <w:b/>
                <w:color w:val="000000"/>
                <w:sz w:val="18"/>
                <w:szCs w:val="18"/>
              </w:rPr>
              <w:t>3</w:t>
            </w:r>
            <w:r w:rsidR="00D042D2" w:rsidRPr="00226892">
              <w:rPr>
                <w:rFonts w:ascii="Arial" w:hAnsi="Arial" w:cs="Arial"/>
                <w:b/>
                <w:color w:val="000000"/>
                <w:sz w:val="18"/>
                <w:szCs w:val="18"/>
              </w:rPr>
              <w:t>3 277</w:t>
            </w:r>
          </w:p>
        </w:tc>
        <w:tc>
          <w:tcPr>
            <w:tcW w:w="1054" w:type="pct"/>
            <w:tcBorders>
              <w:top w:val="single" w:sz="4" w:space="0" w:color="auto"/>
              <w:left w:val="nil"/>
              <w:bottom w:val="double" w:sz="6" w:space="0" w:color="auto"/>
              <w:right w:val="nil"/>
            </w:tcBorders>
            <w:vAlign w:val="bottom"/>
          </w:tcPr>
          <w:p w14:paraId="4B994E25" w14:textId="0790462F" w:rsidR="00400FB1" w:rsidRPr="00226892" w:rsidRDefault="00400FB1" w:rsidP="00400FB1">
            <w:pPr>
              <w:jc w:val="right"/>
              <w:rPr>
                <w:rFonts w:ascii="Arial" w:hAnsi="Arial" w:cs="Arial"/>
                <w:b/>
                <w:color w:val="000000"/>
                <w:sz w:val="18"/>
                <w:szCs w:val="18"/>
              </w:rPr>
            </w:pPr>
            <w:r w:rsidRPr="00226892">
              <w:rPr>
                <w:rFonts w:ascii="Arial" w:hAnsi="Arial" w:cs="Arial"/>
                <w:b/>
                <w:color w:val="000000"/>
                <w:sz w:val="18"/>
                <w:szCs w:val="18"/>
              </w:rPr>
              <w:t xml:space="preserve">9 </w:t>
            </w:r>
            <w:r w:rsidR="00D042D2" w:rsidRPr="00226892">
              <w:rPr>
                <w:rFonts w:ascii="Arial" w:hAnsi="Arial" w:cs="Arial"/>
                <w:b/>
                <w:color w:val="000000"/>
                <w:sz w:val="18"/>
                <w:szCs w:val="18"/>
              </w:rPr>
              <w:t>542</w:t>
            </w:r>
          </w:p>
        </w:tc>
      </w:tr>
    </w:tbl>
    <w:p w14:paraId="01D49614" w14:textId="77777777" w:rsidR="006C0567" w:rsidRPr="00226892" w:rsidRDefault="006C0567">
      <w:pPr>
        <w:suppressAutoHyphens/>
        <w:rPr>
          <w:rFonts w:ascii="Arial" w:hAnsi="Arial" w:cs="Arial"/>
          <w:b/>
          <w:sz w:val="18"/>
          <w:szCs w:val="18"/>
          <w:highlight w:val="yellow"/>
        </w:rPr>
      </w:pPr>
    </w:p>
    <w:p w14:paraId="207EF08E" w14:textId="39B3C1A2" w:rsidR="006C0567" w:rsidRPr="00226892" w:rsidRDefault="006C0567">
      <w:pPr>
        <w:rPr>
          <w:rFonts w:ascii="Arial" w:hAnsi="Arial" w:cs="Arial"/>
          <w:snapToGrid w:val="0"/>
          <w:color w:val="000000"/>
          <w:sz w:val="18"/>
          <w:szCs w:val="18"/>
          <w:highlight w:val="yellow"/>
        </w:rPr>
      </w:pPr>
      <w:bookmarkStart w:id="617" w:name="_Toc516654959"/>
      <w:bookmarkEnd w:id="617"/>
    </w:p>
    <w:p w14:paraId="0C34BDA9" w14:textId="5D09B74D" w:rsidR="008E74B4" w:rsidRPr="00226892" w:rsidRDefault="0056068D" w:rsidP="008E74B4">
      <w:pPr>
        <w:pStyle w:val="Nadpis3"/>
        <w:keepNext w:val="0"/>
        <w:widowControl/>
        <w:numPr>
          <w:ilvl w:val="0"/>
          <w:numId w:val="34"/>
        </w:numPr>
        <w:tabs>
          <w:tab w:val="clear" w:pos="1069"/>
          <w:tab w:val="num" w:pos="392"/>
        </w:tabs>
        <w:suppressAutoHyphens/>
        <w:ind w:left="1077" w:hanging="1077"/>
        <w:jc w:val="both"/>
        <w:rPr>
          <w:rFonts w:ascii="Arial" w:hAnsi="Arial" w:cs="Arial"/>
          <w:sz w:val="20"/>
        </w:rPr>
      </w:pPr>
      <w:bookmarkStart w:id="618" w:name="_Toc516654960"/>
      <w:bookmarkStart w:id="619" w:name="_Toc516654961"/>
      <w:bookmarkStart w:id="620" w:name="_Toc516654962"/>
      <w:bookmarkStart w:id="621" w:name="_Toc516654963"/>
      <w:bookmarkStart w:id="622" w:name="_Toc516654964"/>
      <w:bookmarkStart w:id="623" w:name="_Toc516654965"/>
      <w:bookmarkStart w:id="624" w:name="_Toc516654966"/>
      <w:bookmarkStart w:id="625" w:name="_Toc237250326"/>
      <w:bookmarkStart w:id="626" w:name="_Toc237250327"/>
      <w:bookmarkStart w:id="627" w:name="_Toc237250328"/>
      <w:bookmarkStart w:id="628" w:name="_Toc325985821"/>
      <w:bookmarkStart w:id="629" w:name="_Toc387812524"/>
      <w:bookmarkStart w:id="630" w:name="_Toc27410019"/>
      <w:bookmarkEnd w:id="616"/>
      <w:bookmarkEnd w:id="618"/>
      <w:bookmarkEnd w:id="619"/>
      <w:bookmarkEnd w:id="620"/>
      <w:bookmarkEnd w:id="621"/>
      <w:bookmarkEnd w:id="622"/>
      <w:bookmarkEnd w:id="623"/>
      <w:bookmarkEnd w:id="624"/>
      <w:bookmarkEnd w:id="625"/>
      <w:bookmarkEnd w:id="626"/>
      <w:bookmarkEnd w:id="627"/>
      <w:proofErr w:type="spellStart"/>
      <w:r w:rsidRPr="00226892">
        <w:rPr>
          <w:rFonts w:ascii="Arial" w:hAnsi="Arial" w:cs="Arial"/>
          <w:sz w:val="20"/>
        </w:rPr>
        <w:lastRenderedPageBreak/>
        <w:t>Podmienené</w:t>
      </w:r>
      <w:proofErr w:type="spellEnd"/>
      <w:r w:rsidRPr="00226892">
        <w:rPr>
          <w:rFonts w:ascii="Arial" w:hAnsi="Arial" w:cs="Arial"/>
          <w:sz w:val="20"/>
        </w:rPr>
        <w:t xml:space="preserve"> </w:t>
      </w:r>
      <w:proofErr w:type="spellStart"/>
      <w:r w:rsidRPr="00226892">
        <w:rPr>
          <w:rFonts w:ascii="Arial" w:hAnsi="Arial" w:cs="Arial"/>
          <w:sz w:val="20"/>
        </w:rPr>
        <w:t>záväzky</w:t>
      </w:r>
      <w:bookmarkEnd w:id="628"/>
      <w:bookmarkEnd w:id="629"/>
      <w:proofErr w:type="spellEnd"/>
      <w:r w:rsidR="005A4A9E" w:rsidRPr="00226892">
        <w:rPr>
          <w:rFonts w:ascii="Arial" w:hAnsi="Arial" w:cs="Arial"/>
          <w:sz w:val="20"/>
        </w:rPr>
        <w:t xml:space="preserve"> a </w:t>
      </w:r>
      <w:proofErr w:type="spellStart"/>
      <w:r w:rsidR="005A4A9E" w:rsidRPr="00226892">
        <w:rPr>
          <w:rFonts w:ascii="Arial" w:hAnsi="Arial" w:cs="Arial"/>
          <w:sz w:val="20"/>
        </w:rPr>
        <w:t>podmienené</w:t>
      </w:r>
      <w:proofErr w:type="spellEnd"/>
      <w:r w:rsidR="005A4A9E" w:rsidRPr="00226892">
        <w:rPr>
          <w:rFonts w:ascii="Arial" w:hAnsi="Arial" w:cs="Arial"/>
          <w:sz w:val="20"/>
        </w:rPr>
        <w:t xml:space="preserve"> </w:t>
      </w:r>
      <w:proofErr w:type="spellStart"/>
      <w:r w:rsidR="005A4A9E" w:rsidRPr="00226892">
        <w:rPr>
          <w:rFonts w:ascii="Arial" w:hAnsi="Arial" w:cs="Arial"/>
          <w:sz w:val="20"/>
        </w:rPr>
        <w:t>aktíva</w:t>
      </w:r>
      <w:bookmarkEnd w:id="630"/>
      <w:proofErr w:type="spellEnd"/>
    </w:p>
    <w:p w14:paraId="223B51EC" w14:textId="77777777" w:rsidR="0056068D" w:rsidRPr="00226892" w:rsidRDefault="0056068D" w:rsidP="008F7011">
      <w:pPr>
        <w:suppressAutoHyphens/>
        <w:ind w:left="426"/>
        <w:jc w:val="both"/>
        <w:rPr>
          <w:rFonts w:ascii="Arial" w:hAnsi="Arial" w:cs="Arial"/>
          <w:sz w:val="18"/>
          <w:szCs w:val="18"/>
          <w:lang w:val="sk-SK"/>
        </w:rPr>
      </w:pPr>
    </w:p>
    <w:p w14:paraId="153B53C9" w14:textId="2D68773A" w:rsidR="005A4A9E" w:rsidRPr="00226892" w:rsidRDefault="005A4A9E" w:rsidP="00756C6D">
      <w:pPr>
        <w:suppressAutoHyphens/>
        <w:jc w:val="both"/>
        <w:rPr>
          <w:rFonts w:ascii="Arial" w:hAnsi="Arial" w:cs="Arial"/>
          <w:b/>
          <w:bCs/>
          <w:iCs/>
          <w:lang w:val="sk-SK"/>
        </w:rPr>
      </w:pPr>
      <w:r w:rsidRPr="00226892">
        <w:rPr>
          <w:rFonts w:ascii="Arial" w:hAnsi="Arial" w:cs="Arial"/>
          <w:b/>
          <w:bCs/>
          <w:iCs/>
          <w:lang w:val="sk-SK"/>
        </w:rPr>
        <w:t>Podmienené záväzky</w:t>
      </w:r>
    </w:p>
    <w:p w14:paraId="1BB2C696" w14:textId="77777777" w:rsidR="005A4A9E" w:rsidRPr="00226892" w:rsidRDefault="005A4A9E" w:rsidP="00756C6D">
      <w:pPr>
        <w:suppressAutoHyphens/>
        <w:jc w:val="both"/>
        <w:rPr>
          <w:rFonts w:ascii="Arial" w:hAnsi="Arial" w:cs="Arial"/>
          <w:b/>
          <w:bCs/>
          <w:iCs/>
          <w:lang w:val="sk-SK"/>
        </w:rPr>
      </w:pPr>
    </w:p>
    <w:p w14:paraId="58C2A193" w14:textId="22C57BD2" w:rsidR="0056068D" w:rsidRPr="00226892" w:rsidRDefault="0056068D" w:rsidP="00756C6D">
      <w:pPr>
        <w:suppressAutoHyphens/>
        <w:jc w:val="both"/>
        <w:rPr>
          <w:rFonts w:ascii="Arial" w:hAnsi="Arial" w:cs="Arial"/>
          <w:i/>
          <w:lang w:val="sk-SK"/>
        </w:rPr>
      </w:pPr>
      <w:r w:rsidRPr="00226892">
        <w:rPr>
          <w:rFonts w:ascii="Arial" w:hAnsi="Arial" w:cs="Arial"/>
          <w:i/>
          <w:lang w:val="sk-SK"/>
        </w:rPr>
        <w:t>Daňová legislatíva</w:t>
      </w:r>
    </w:p>
    <w:p w14:paraId="3DBD723F" w14:textId="77777777" w:rsidR="0056068D" w:rsidRPr="00226892" w:rsidRDefault="0056068D" w:rsidP="00756C6D">
      <w:pPr>
        <w:suppressAutoHyphens/>
        <w:jc w:val="both"/>
        <w:rPr>
          <w:rFonts w:ascii="Arial" w:hAnsi="Arial" w:cs="Arial"/>
          <w:lang w:val="sk-SK"/>
        </w:rPr>
      </w:pPr>
    </w:p>
    <w:p w14:paraId="27D4BFAB" w14:textId="3B557EAB" w:rsidR="0056068D" w:rsidRPr="00226892" w:rsidRDefault="0056068D" w:rsidP="00756C6D">
      <w:pPr>
        <w:suppressAutoHyphens/>
        <w:jc w:val="both"/>
        <w:rPr>
          <w:rFonts w:ascii="Arial" w:hAnsi="Arial" w:cs="Arial"/>
          <w:lang w:val="sk-SK"/>
        </w:rPr>
      </w:pPr>
      <w:r w:rsidRPr="00226892">
        <w:rPr>
          <w:rFonts w:ascii="Arial" w:hAnsi="Arial" w:cs="Arial"/>
          <w:color w:val="000000"/>
          <w:lang w:val="sk-SK"/>
        </w:rPr>
        <w:t xml:space="preserve">Vzhľadom na to, že viaceré oblasti slovenského daňového práva (napr. legislatíva ohľadom transferového oceňovania) doteraz neboli dostatočne overené praxou, existuje neistota v tom, ako ich budú daňové orgány aplikovať. Mieru tejto neistoty nie je možné kvantifikovať a zanikne až potom, keď budú k dispozícii právne precedensy príp. oficiálne interpretácie príslušných orgánov. Daň z príjmu Skupiny za roky </w:t>
      </w:r>
      <w:r w:rsidR="000A2B76" w:rsidRPr="00226892">
        <w:rPr>
          <w:rFonts w:ascii="Arial" w:hAnsi="Arial" w:cs="Arial"/>
          <w:color w:val="000000"/>
          <w:lang w:val="sk-SK"/>
        </w:rPr>
        <w:t>201</w:t>
      </w:r>
      <w:r w:rsidR="007A16C5" w:rsidRPr="00226892">
        <w:rPr>
          <w:rFonts w:ascii="Arial" w:hAnsi="Arial" w:cs="Arial"/>
          <w:color w:val="000000"/>
          <w:lang w:val="sk-SK"/>
        </w:rPr>
        <w:t>2</w:t>
      </w:r>
      <w:r w:rsidR="000A2B76" w:rsidRPr="00226892">
        <w:rPr>
          <w:rFonts w:ascii="Arial" w:hAnsi="Arial" w:cs="Arial"/>
          <w:color w:val="000000"/>
          <w:lang w:val="sk-SK"/>
        </w:rPr>
        <w:t xml:space="preserve"> </w:t>
      </w:r>
      <w:r w:rsidRPr="00226892">
        <w:rPr>
          <w:rFonts w:ascii="Arial" w:hAnsi="Arial" w:cs="Arial"/>
          <w:color w:val="000000"/>
          <w:lang w:val="sk-SK"/>
        </w:rPr>
        <w:t xml:space="preserve">až </w:t>
      </w:r>
      <w:r w:rsidR="00FD3AC5" w:rsidRPr="00226892">
        <w:rPr>
          <w:rFonts w:ascii="Arial" w:hAnsi="Arial" w:cs="Arial"/>
          <w:color w:val="000000"/>
          <w:lang w:val="sk-SK"/>
        </w:rPr>
        <w:t>2018</w:t>
      </w:r>
      <w:r w:rsidRPr="00226892">
        <w:rPr>
          <w:rFonts w:ascii="Arial" w:hAnsi="Arial" w:cs="Arial"/>
          <w:color w:val="000000"/>
          <w:lang w:val="sk-SK"/>
        </w:rPr>
        <w:t xml:space="preserve"> ešte nebola predmetom daňovej kontroly a teda ostáva možnosť dorubenia daňovej povinnosti. Vedenie Skupiny si nie je vedomé žiadnych okolností, v dôsledku ktorých by jej vznikol v budúcnosti významný náklad.</w:t>
      </w:r>
    </w:p>
    <w:p w14:paraId="27C9C25D" w14:textId="77777777" w:rsidR="0056068D" w:rsidRPr="00226892" w:rsidRDefault="0056068D" w:rsidP="00756C6D">
      <w:pPr>
        <w:jc w:val="both"/>
        <w:rPr>
          <w:rFonts w:ascii="Arial" w:hAnsi="Arial" w:cs="Arial"/>
          <w:i/>
          <w:color w:val="000000"/>
          <w:lang w:val="sk-SK"/>
        </w:rPr>
      </w:pPr>
    </w:p>
    <w:p w14:paraId="023228F4" w14:textId="77777777" w:rsidR="0056068D" w:rsidRPr="00226892" w:rsidRDefault="0056068D" w:rsidP="00756C6D">
      <w:pPr>
        <w:suppressAutoHyphens/>
        <w:jc w:val="both"/>
        <w:rPr>
          <w:rFonts w:ascii="Arial" w:hAnsi="Arial" w:cs="Arial"/>
          <w:i/>
          <w:color w:val="000000"/>
          <w:lang w:val="sk-SK"/>
        </w:rPr>
      </w:pPr>
      <w:r w:rsidRPr="00226892">
        <w:rPr>
          <w:rFonts w:ascii="Arial" w:hAnsi="Arial" w:cs="Arial"/>
          <w:i/>
          <w:color w:val="000000"/>
          <w:lang w:val="sk-SK"/>
        </w:rPr>
        <w:t>Súdne spory</w:t>
      </w:r>
    </w:p>
    <w:p w14:paraId="5959D0D6" w14:textId="77777777" w:rsidR="0056068D" w:rsidRPr="00226892" w:rsidRDefault="0056068D" w:rsidP="00756C6D">
      <w:pPr>
        <w:suppressAutoHyphens/>
        <w:jc w:val="both"/>
        <w:rPr>
          <w:rFonts w:ascii="Arial" w:hAnsi="Arial" w:cs="Arial"/>
          <w:color w:val="000000"/>
          <w:lang w:val="sk-SK"/>
        </w:rPr>
      </w:pPr>
    </w:p>
    <w:p w14:paraId="65AD846C" w14:textId="3794F7ED" w:rsidR="0056068D" w:rsidRPr="00226892" w:rsidRDefault="0056068D" w:rsidP="00756C6D">
      <w:pPr>
        <w:suppressAutoHyphens/>
        <w:jc w:val="both"/>
        <w:rPr>
          <w:rFonts w:ascii="Arial" w:hAnsi="Arial" w:cs="Arial"/>
          <w:color w:val="000000"/>
          <w:lang w:val="sk-SK"/>
        </w:rPr>
      </w:pPr>
      <w:r w:rsidRPr="00226892">
        <w:rPr>
          <w:rFonts w:ascii="Arial" w:hAnsi="Arial" w:cs="Arial"/>
          <w:color w:val="000000"/>
          <w:lang w:val="sk-SK"/>
        </w:rPr>
        <w:t>Skupina nie je účastníkom žiadnych súdnych konaní mimo bežných obchodných súdnych sporov. Pri súdnych sporoch sa neočakáva významný nepriaznivý vplyv ich výsledkov na finančnú pozíciu, výsledky prevádzkovej činnosti alebo peňažné toky Skupiny.</w:t>
      </w:r>
    </w:p>
    <w:p w14:paraId="68F7FEEF" w14:textId="77777777" w:rsidR="007477F3" w:rsidRPr="00226892" w:rsidRDefault="007477F3" w:rsidP="00756C6D">
      <w:pPr>
        <w:suppressAutoHyphens/>
        <w:jc w:val="both"/>
        <w:rPr>
          <w:rFonts w:ascii="Arial" w:hAnsi="Arial" w:cs="Arial"/>
          <w:color w:val="000000"/>
          <w:lang w:val="sk-SK"/>
        </w:rPr>
      </w:pPr>
    </w:p>
    <w:p w14:paraId="3459DD42" w14:textId="30AC0CF1" w:rsidR="0056068D" w:rsidRPr="00226892" w:rsidRDefault="008E74B4" w:rsidP="00756C6D">
      <w:pPr>
        <w:suppressAutoHyphens/>
        <w:jc w:val="both"/>
        <w:rPr>
          <w:rFonts w:ascii="Arial" w:hAnsi="Arial" w:cs="Arial"/>
          <w:i/>
          <w:lang w:val="sk-SK"/>
        </w:rPr>
      </w:pPr>
      <w:bookmarkStart w:id="631" w:name="_Hlk516232144"/>
      <w:r w:rsidRPr="00226892">
        <w:rPr>
          <w:rFonts w:ascii="Arial" w:hAnsi="Arial" w:cs="Arial"/>
          <w:i/>
          <w:lang w:val="sk-SK"/>
        </w:rPr>
        <w:t>Poskytnuté ručenia</w:t>
      </w:r>
    </w:p>
    <w:p w14:paraId="365687FF" w14:textId="77777777" w:rsidR="008E74B4" w:rsidRPr="00226892" w:rsidRDefault="008E74B4" w:rsidP="00756C6D">
      <w:pPr>
        <w:suppressAutoHyphens/>
        <w:jc w:val="both"/>
        <w:rPr>
          <w:rFonts w:ascii="Arial" w:hAnsi="Arial" w:cs="Arial"/>
          <w:i/>
          <w:lang w:val="sk-SK"/>
        </w:rPr>
      </w:pPr>
    </w:p>
    <w:p w14:paraId="53794215" w14:textId="711EA3EB" w:rsidR="008E74B4" w:rsidRPr="00226892" w:rsidRDefault="008E74B4" w:rsidP="00756C6D">
      <w:pPr>
        <w:suppressAutoHyphens/>
        <w:jc w:val="both"/>
        <w:rPr>
          <w:rFonts w:ascii="Arial" w:hAnsi="Arial" w:cs="Arial"/>
          <w:lang w:val="sk-SK"/>
        </w:rPr>
      </w:pPr>
      <w:r w:rsidRPr="00226892">
        <w:rPr>
          <w:rFonts w:ascii="Arial" w:hAnsi="Arial" w:cs="Arial"/>
          <w:lang w:val="sk-SK"/>
        </w:rPr>
        <w:t xml:space="preserve">Časť z úverového rámca od Slovenskej sporiteľne, </w:t>
      </w:r>
      <w:proofErr w:type="spellStart"/>
      <w:r w:rsidRPr="00226892">
        <w:rPr>
          <w:rFonts w:ascii="Arial" w:hAnsi="Arial" w:cs="Arial"/>
          <w:lang w:val="sk-SK"/>
        </w:rPr>
        <w:t>a.s</w:t>
      </w:r>
      <w:proofErr w:type="spellEnd"/>
      <w:r w:rsidRPr="00226892">
        <w:rPr>
          <w:rFonts w:ascii="Arial" w:hAnsi="Arial" w:cs="Arial"/>
          <w:lang w:val="sk-SK"/>
        </w:rPr>
        <w:t>. vo výške 165 970 EUR slúži ako colná zábezpeka</w:t>
      </w:r>
      <w:r w:rsidR="00400FB1" w:rsidRPr="00226892">
        <w:rPr>
          <w:rFonts w:ascii="Arial" w:hAnsi="Arial" w:cs="Arial"/>
          <w:lang w:val="sk-SK"/>
        </w:rPr>
        <w:t xml:space="preserve"> (k 31. decembru 2017: 165 970 EUR)</w:t>
      </w:r>
      <w:r w:rsidRPr="00226892">
        <w:rPr>
          <w:rFonts w:ascii="Arial" w:hAnsi="Arial" w:cs="Arial"/>
          <w:lang w:val="sk-SK"/>
        </w:rPr>
        <w:t>.</w:t>
      </w:r>
    </w:p>
    <w:p w14:paraId="768A01DE" w14:textId="77777777" w:rsidR="0056068D" w:rsidRPr="00226892" w:rsidRDefault="0056068D" w:rsidP="00756C6D">
      <w:pPr>
        <w:suppressAutoHyphens/>
        <w:jc w:val="both"/>
        <w:rPr>
          <w:rFonts w:ascii="Arial" w:hAnsi="Arial" w:cs="Arial"/>
          <w:lang w:val="sk-SK"/>
        </w:rPr>
      </w:pPr>
    </w:p>
    <w:p w14:paraId="335B861B" w14:textId="6E2F2C5A" w:rsidR="008E74B4" w:rsidRPr="00226892" w:rsidRDefault="008E74B4" w:rsidP="00756C6D">
      <w:pPr>
        <w:suppressAutoHyphens/>
        <w:jc w:val="both"/>
        <w:rPr>
          <w:rFonts w:ascii="Arial" w:hAnsi="Arial" w:cs="Arial"/>
          <w:b/>
          <w:lang w:val="sk-SK"/>
        </w:rPr>
      </w:pPr>
      <w:r w:rsidRPr="00226892">
        <w:rPr>
          <w:rFonts w:ascii="Arial" w:hAnsi="Arial" w:cs="Arial"/>
          <w:b/>
          <w:lang w:val="sk-SK"/>
        </w:rPr>
        <w:t>Podmienené aktíva</w:t>
      </w:r>
    </w:p>
    <w:p w14:paraId="53EBB8A3" w14:textId="77777777" w:rsidR="008E74B4" w:rsidRPr="00226892" w:rsidRDefault="008E74B4" w:rsidP="00235CDF">
      <w:pPr>
        <w:pStyle w:val="odst"/>
      </w:pPr>
    </w:p>
    <w:p w14:paraId="27769A23" w14:textId="77777777" w:rsidR="0056068D" w:rsidRPr="00226892" w:rsidRDefault="0056068D" w:rsidP="00235CDF">
      <w:pPr>
        <w:pStyle w:val="odst"/>
      </w:pPr>
      <w:r w:rsidRPr="00226892">
        <w:t>Prijaté ručenia</w:t>
      </w:r>
    </w:p>
    <w:p w14:paraId="0C03E731" w14:textId="77777777" w:rsidR="0056068D" w:rsidRPr="00226892" w:rsidRDefault="0056068D" w:rsidP="009B79FC">
      <w:pPr>
        <w:pStyle w:val="odstavec"/>
      </w:pPr>
    </w:p>
    <w:p w14:paraId="05185E4B" w14:textId="15AF8EFD" w:rsidR="00991C4B" w:rsidRPr="00226892" w:rsidRDefault="00991C4B" w:rsidP="009B79FC">
      <w:pPr>
        <w:pStyle w:val="odstavec"/>
      </w:pPr>
      <w:r w:rsidRPr="00226892">
        <w:t xml:space="preserve">V prospech MATADOR </w:t>
      </w:r>
      <w:proofErr w:type="spellStart"/>
      <w:r w:rsidRPr="00226892">
        <w:t>Automotive</w:t>
      </w:r>
      <w:proofErr w:type="spellEnd"/>
      <w:r w:rsidRPr="00226892">
        <w:t xml:space="preserve"> Vráble, </w:t>
      </w:r>
      <w:proofErr w:type="spellStart"/>
      <w:r w:rsidRPr="00226892">
        <w:t>a.s</w:t>
      </w:r>
      <w:proofErr w:type="spellEnd"/>
      <w:r w:rsidRPr="00226892">
        <w:t xml:space="preserve">. boli prijaté bankové záruky za záväzky tretích strán vo výške </w:t>
      </w:r>
      <w:r w:rsidR="005B7760" w:rsidRPr="00226892">
        <w:t xml:space="preserve">752 tis. EUR (k 31. decembru 2017: </w:t>
      </w:r>
      <w:r w:rsidR="00543CAF" w:rsidRPr="00226892">
        <w:t>1</w:t>
      </w:r>
      <w:r w:rsidR="008E74B4" w:rsidRPr="00226892">
        <w:t> 335 tis.</w:t>
      </w:r>
      <w:r w:rsidRPr="00226892">
        <w:t xml:space="preserve"> EUR</w:t>
      </w:r>
      <w:r w:rsidR="005B7760" w:rsidRPr="00226892">
        <w:t>)</w:t>
      </w:r>
      <w:r w:rsidRPr="00226892">
        <w:t>.</w:t>
      </w:r>
    </w:p>
    <w:bookmarkEnd w:id="631"/>
    <w:p w14:paraId="161490C9" w14:textId="401835F9" w:rsidR="006C0567" w:rsidRPr="00226892" w:rsidRDefault="006C0567" w:rsidP="008E74B4">
      <w:pPr>
        <w:ind w:left="426"/>
        <w:rPr>
          <w:rFonts w:ascii="Arial" w:eastAsia="Times New Roman" w:hAnsi="Arial" w:cs="Arial"/>
          <w:szCs w:val="24"/>
          <w:lang w:val="sk-SK" w:eastAsia="sk-SK"/>
        </w:rPr>
      </w:pPr>
    </w:p>
    <w:p w14:paraId="4710D185" w14:textId="363C7E52" w:rsidR="0056068D" w:rsidRPr="00226892" w:rsidRDefault="0056068D" w:rsidP="003578C0">
      <w:pPr>
        <w:pStyle w:val="Nadpis3"/>
        <w:keepNext w:val="0"/>
        <w:widowControl/>
        <w:numPr>
          <w:ilvl w:val="0"/>
          <w:numId w:val="34"/>
        </w:numPr>
        <w:tabs>
          <w:tab w:val="clear" w:pos="1069"/>
          <w:tab w:val="num" w:pos="392"/>
        </w:tabs>
        <w:suppressAutoHyphens/>
        <w:spacing w:after="180"/>
        <w:ind w:left="1077" w:hanging="1077"/>
        <w:jc w:val="both"/>
        <w:rPr>
          <w:rFonts w:ascii="Arial" w:hAnsi="Arial" w:cs="Arial"/>
          <w:sz w:val="20"/>
        </w:rPr>
      </w:pPr>
      <w:bookmarkStart w:id="632" w:name="_Toc422151113"/>
      <w:bookmarkStart w:id="633" w:name="_Toc422151114"/>
      <w:bookmarkStart w:id="634" w:name="_Toc422151115"/>
      <w:bookmarkStart w:id="635" w:name="_Toc422151116"/>
      <w:bookmarkStart w:id="636" w:name="_Toc325985822"/>
      <w:bookmarkStart w:id="637" w:name="_Toc387812525"/>
      <w:bookmarkStart w:id="638" w:name="_Toc27410020"/>
      <w:bookmarkStart w:id="639" w:name="_Hlk484179098"/>
      <w:bookmarkEnd w:id="632"/>
      <w:bookmarkEnd w:id="633"/>
      <w:bookmarkEnd w:id="634"/>
      <w:bookmarkEnd w:id="635"/>
      <w:proofErr w:type="spellStart"/>
      <w:r w:rsidRPr="00226892">
        <w:rPr>
          <w:rFonts w:ascii="Arial" w:hAnsi="Arial" w:cs="Arial"/>
          <w:sz w:val="20"/>
        </w:rPr>
        <w:t>Investičné</w:t>
      </w:r>
      <w:proofErr w:type="spellEnd"/>
      <w:r w:rsidRPr="00226892">
        <w:rPr>
          <w:rFonts w:ascii="Arial" w:hAnsi="Arial" w:cs="Arial"/>
          <w:sz w:val="20"/>
        </w:rPr>
        <w:t xml:space="preserve"> </w:t>
      </w:r>
      <w:proofErr w:type="spellStart"/>
      <w:r w:rsidRPr="00226892">
        <w:rPr>
          <w:rFonts w:ascii="Arial" w:hAnsi="Arial" w:cs="Arial"/>
          <w:sz w:val="20"/>
        </w:rPr>
        <w:t>záväzky</w:t>
      </w:r>
      <w:bookmarkEnd w:id="636"/>
      <w:bookmarkEnd w:id="637"/>
      <w:bookmarkEnd w:id="638"/>
      <w:proofErr w:type="spellEnd"/>
    </w:p>
    <w:p w14:paraId="7940B04B" w14:textId="77777777" w:rsidR="0056068D" w:rsidRPr="00226892" w:rsidRDefault="0056068D" w:rsidP="00756C6D">
      <w:pPr>
        <w:suppressAutoHyphens/>
        <w:spacing w:after="180"/>
        <w:rPr>
          <w:rFonts w:ascii="Arial" w:hAnsi="Arial" w:cs="Arial"/>
          <w:b/>
          <w:color w:val="000000"/>
          <w:lang w:val="sk-SK"/>
        </w:rPr>
      </w:pPr>
      <w:r w:rsidRPr="00226892">
        <w:rPr>
          <w:rFonts w:ascii="Arial" w:hAnsi="Arial" w:cs="Arial"/>
          <w:color w:val="000000"/>
          <w:sz w:val="18"/>
          <w:szCs w:val="18"/>
          <w:lang w:val="sk-SK"/>
        </w:rPr>
        <w:t>(a)</w:t>
      </w:r>
      <w:r w:rsidRPr="00226892">
        <w:rPr>
          <w:rFonts w:ascii="Arial" w:hAnsi="Arial" w:cs="Arial"/>
          <w:color w:val="000000"/>
          <w:sz w:val="18"/>
          <w:szCs w:val="18"/>
          <w:lang w:val="sk-SK"/>
        </w:rPr>
        <w:tab/>
      </w:r>
      <w:r w:rsidRPr="00226892">
        <w:rPr>
          <w:rFonts w:ascii="Arial" w:hAnsi="Arial" w:cs="Arial"/>
          <w:color w:val="000000"/>
          <w:lang w:val="sk-SK"/>
        </w:rPr>
        <w:t>Budúce investičné výdavky</w:t>
      </w:r>
    </w:p>
    <w:bookmarkEnd w:id="639"/>
    <w:p w14:paraId="531316BF" w14:textId="2A22BDF8" w:rsidR="0056068D" w:rsidRPr="00226892" w:rsidRDefault="0056068D" w:rsidP="00756C6D">
      <w:pPr>
        <w:suppressAutoHyphens/>
        <w:jc w:val="both"/>
        <w:rPr>
          <w:rFonts w:ascii="Arial" w:hAnsi="Arial" w:cs="Arial"/>
          <w:lang w:val="sk-SK"/>
        </w:rPr>
      </w:pPr>
      <w:r w:rsidRPr="00226892">
        <w:rPr>
          <w:rFonts w:ascii="Arial" w:hAnsi="Arial" w:cs="Arial"/>
          <w:lang w:val="sk-SK"/>
        </w:rPr>
        <w:t xml:space="preserve">K 31. decembru </w:t>
      </w:r>
      <w:r w:rsidR="00FD3AC5" w:rsidRPr="00226892">
        <w:rPr>
          <w:rFonts w:ascii="Arial" w:hAnsi="Arial" w:cs="Arial"/>
          <w:lang w:val="sk-SK"/>
        </w:rPr>
        <w:t>2018</w:t>
      </w:r>
      <w:r w:rsidR="00101555" w:rsidRPr="00226892">
        <w:rPr>
          <w:rFonts w:ascii="Arial" w:hAnsi="Arial" w:cs="Arial"/>
          <w:lang w:val="sk-SK"/>
        </w:rPr>
        <w:t xml:space="preserve"> </w:t>
      </w:r>
      <w:r w:rsidR="00A71482" w:rsidRPr="00226892">
        <w:rPr>
          <w:rFonts w:ascii="Arial" w:hAnsi="Arial" w:cs="Arial"/>
          <w:lang w:val="sk-SK"/>
        </w:rPr>
        <w:t xml:space="preserve">ani k 31. decembru </w:t>
      </w:r>
      <w:r w:rsidR="00F63A77" w:rsidRPr="00226892">
        <w:rPr>
          <w:rFonts w:ascii="Arial" w:hAnsi="Arial" w:cs="Arial"/>
          <w:lang w:val="sk-SK"/>
        </w:rPr>
        <w:t>2017</w:t>
      </w:r>
      <w:r w:rsidR="00101555" w:rsidRPr="00226892">
        <w:rPr>
          <w:rFonts w:ascii="Arial" w:hAnsi="Arial" w:cs="Arial"/>
          <w:lang w:val="sk-SK"/>
        </w:rPr>
        <w:t xml:space="preserve"> </w:t>
      </w:r>
      <w:r w:rsidRPr="00226892">
        <w:rPr>
          <w:rFonts w:ascii="Arial" w:hAnsi="Arial" w:cs="Arial"/>
          <w:lang w:val="sk-SK"/>
        </w:rPr>
        <w:t xml:space="preserve">Skupina neeviduje </w:t>
      </w:r>
      <w:r w:rsidR="008A26F2" w:rsidRPr="00226892">
        <w:rPr>
          <w:rFonts w:ascii="Arial" w:hAnsi="Arial" w:cs="Arial"/>
          <w:lang w:val="sk-SK"/>
        </w:rPr>
        <w:t xml:space="preserve">žiadne iné </w:t>
      </w:r>
      <w:r w:rsidRPr="00226892">
        <w:rPr>
          <w:rFonts w:ascii="Arial" w:hAnsi="Arial" w:cs="Arial"/>
          <w:lang w:val="sk-SK"/>
        </w:rPr>
        <w:t>zmluvne dohodnuté budúce investičné záväzky v súvislosti s obstaraním dlhodobého hmotného majetku ani dlhodobého nehmotného majetku.</w:t>
      </w:r>
    </w:p>
    <w:p w14:paraId="1E5C79B3" w14:textId="77777777" w:rsidR="0056068D" w:rsidRPr="00226892" w:rsidRDefault="0056068D" w:rsidP="00756C6D">
      <w:pPr>
        <w:suppressAutoHyphens/>
        <w:jc w:val="both"/>
        <w:rPr>
          <w:rFonts w:ascii="Arial" w:hAnsi="Arial" w:cs="Arial"/>
          <w:lang w:val="sk-SK"/>
        </w:rPr>
      </w:pPr>
    </w:p>
    <w:p w14:paraId="5CB59979" w14:textId="3E41AAE3" w:rsidR="0056068D" w:rsidRPr="00226892" w:rsidRDefault="0056068D" w:rsidP="00756C6D">
      <w:pPr>
        <w:suppressAutoHyphens/>
        <w:jc w:val="both"/>
        <w:rPr>
          <w:rFonts w:ascii="Arial" w:hAnsi="Arial" w:cs="Arial"/>
          <w:lang w:val="sk-SK"/>
        </w:rPr>
      </w:pPr>
      <w:r w:rsidRPr="00226892">
        <w:rPr>
          <w:rFonts w:ascii="Arial" w:hAnsi="Arial" w:cs="Arial"/>
          <w:lang w:val="sk-SK"/>
        </w:rPr>
        <w:t xml:space="preserve">K 31. decembru </w:t>
      </w:r>
      <w:r w:rsidR="00FD3AC5" w:rsidRPr="00226892">
        <w:rPr>
          <w:rFonts w:ascii="Arial" w:hAnsi="Arial" w:cs="Arial"/>
          <w:lang w:val="sk-SK"/>
        </w:rPr>
        <w:t>2018</w:t>
      </w:r>
      <w:r w:rsidR="00101555" w:rsidRPr="00226892">
        <w:rPr>
          <w:rFonts w:ascii="Arial" w:hAnsi="Arial" w:cs="Arial"/>
          <w:lang w:val="sk-SK"/>
        </w:rPr>
        <w:t xml:space="preserve"> </w:t>
      </w:r>
      <w:r w:rsidRPr="00226892">
        <w:rPr>
          <w:rFonts w:ascii="Arial" w:hAnsi="Arial" w:cs="Arial"/>
          <w:lang w:val="sk-SK"/>
        </w:rPr>
        <w:t xml:space="preserve">ani k 31. decembru </w:t>
      </w:r>
      <w:r w:rsidR="00F63A77" w:rsidRPr="00226892">
        <w:rPr>
          <w:rFonts w:ascii="Arial" w:hAnsi="Arial" w:cs="Arial"/>
          <w:lang w:val="sk-SK"/>
        </w:rPr>
        <w:t>2017</w:t>
      </w:r>
      <w:r w:rsidR="00101555" w:rsidRPr="00226892">
        <w:rPr>
          <w:rFonts w:ascii="Arial" w:hAnsi="Arial" w:cs="Arial"/>
          <w:lang w:val="sk-SK"/>
        </w:rPr>
        <w:t xml:space="preserve"> </w:t>
      </w:r>
      <w:r w:rsidRPr="00226892">
        <w:rPr>
          <w:rFonts w:ascii="Arial" w:hAnsi="Arial" w:cs="Arial"/>
          <w:lang w:val="sk-SK"/>
        </w:rPr>
        <w:t>Skupina neeviduje ani žiadne zmluvné záväzky týkajúce sa budúcich opráv a údržby dlhodobého hmotného majetku</w:t>
      </w:r>
      <w:r w:rsidR="00E45B7C" w:rsidRPr="00226892">
        <w:rPr>
          <w:rFonts w:ascii="Arial" w:hAnsi="Arial" w:cs="Arial"/>
          <w:lang w:val="sk-SK"/>
        </w:rPr>
        <w:t xml:space="preserve"> a investícií do nehnuteľností.</w:t>
      </w:r>
    </w:p>
    <w:p w14:paraId="3DCDA1CE" w14:textId="77777777" w:rsidR="0056068D" w:rsidRPr="00226892" w:rsidRDefault="0056068D" w:rsidP="00756C6D">
      <w:pPr>
        <w:suppressAutoHyphens/>
        <w:jc w:val="both"/>
        <w:rPr>
          <w:rFonts w:ascii="Arial" w:hAnsi="Arial" w:cs="Arial"/>
          <w:lang w:val="sk-SK"/>
        </w:rPr>
      </w:pPr>
    </w:p>
    <w:p w14:paraId="14C5366D" w14:textId="77777777" w:rsidR="0056068D" w:rsidRPr="00226892" w:rsidRDefault="0056068D" w:rsidP="00756C6D">
      <w:pPr>
        <w:suppressAutoHyphens/>
        <w:spacing w:after="180"/>
        <w:jc w:val="both"/>
        <w:rPr>
          <w:rFonts w:ascii="Arial" w:hAnsi="Arial" w:cs="Arial"/>
          <w:lang w:val="sk-SK"/>
        </w:rPr>
      </w:pPr>
      <w:r w:rsidRPr="00226892">
        <w:rPr>
          <w:rFonts w:ascii="Arial" w:hAnsi="Arial" w:cs="Arial"/>
          <w:lang w:val="sk-SK"/>
        </w:rPr>
        <w:t>(b)</w:t>
      </w:r>
      <w:r w:rsidRPr="00226892">
        <w:rPr>
          <w:rFonts w:ascii="Arial" w:hAnsi="Arial" w:cs="Arial"/>
          <w:lang w:val="sk-SK"/>
        </w:rPr>
        <w:tab/>
        <w:t>Povinnosti z operatívneho lízingu</w:t>
      </w:r>
    </w:p>
    <w:p w14:paraId="791F8D9C" w14:textId="77777777" w:rsidR="0056068D" w:rsidRPr="00226892" w:rsidRDefault="0056068D" w:rsidP="00756C6D">
      <w:pPr>
        <w:suppressAutoHyphens/>
        <w:jc w:val="both"/>
        <w:rPr>
          <w:rFonts w:ascii="Arial" w:hAnsi="Arial" w:cs="Arial"/>
          <w:lang w:val="sk-SK"/>
        </w:rPr>
      </w:pPr>
      <w:r w:rsidRPr="00226892">
        <w:rPr>
          <w:rFonts w:ascii="Arial" w:hAnsi="Arial" w:cs="Arial"/>
          <w:lang w:val="sk-SK"/>
        </w:rPr>
        <w:t>Skupina si neprenajíma majetky na základe nevypovedateľného operatívneho lízingu.</w:t>
      </w:r>
    </w:p>
    <w:p w14:paraId="4A889215" w14:textId="77777777" w:rsidR="0056068D" w:rsidRPr="00226892" w:rsidRDefault="0056068D" w:rsidP="00756C6D">
      <w:pPr>
        <w:suppressAutoHyphens/>
        <w:jc w:val="both"/>
        <w:rPr>
          <w:rFonts w:ascii="Arial" w:hAnsi="Arial" w:cs="Arial"/>
          <w:lang w:val="sk-SK"/>
        </w:rPr>
      </w:pPr>
    </w:p>
    <w:p w14:paraId="74590592" w14:textId="77777777" w:rsidR="0056068D" w:rsidRPr="00226892" w:rsidRDefault="0056068D" w:rsidP="00756C6D">
      <w:pPr>
        <w:suppressAutoHyphens/>
        <w:jc w:val="both"/>
        <w:rPr>
          <w:rFonts w:ascii="Arial" w:hAnsi="Arial" w:cs="Arial"/>
          <w:lang w:val="sk-SK"/>
        </w:rPr>
      </w:pPr>
      <w:r w:rsidRPr="00226892">
        <w:rPr>
          <w:rFonts w:ascii="Arial" w:hAnsi="Arial" w:cs="Arial"/>
          <w:lang w:val="sk-SK"/>
        </w:rPr>
        <w:t>Skupina si prenajíma rôzne administratívne priestory, stroje a zariadenia a dopravné prostriedky na základe vypovedateľných zmlúv o operatívnom lízingu. Výpovedná lehota zo strany Skupiny je u týchto zmlúv  do 12 mesiacov.</w:t>
      </w:r>
    </w:p>
    <w:p w14:paraId="163798FE" w14:textId="77777777" w:rsidR="0056068D" w:rsidRPr="00226892" w:rsidRDefault="0056068D" w:rsidP="00756C6D">
      <w:pPr>
        <w:suppressAutoHyphens/>
        <w:rPr>
          <w:rFonts w:ascii="Arial" w:hAnsi="Arial" w:cs="Arial"/>
          <w:lang w:val="sk-SK"/>
        </w:rPr>
      </w:pPr>
    </w:p>
    <w:p w14:paraId="6DF511ED" w14:textId="0A0D0BEF" w:rsidR="0056068D" w:rsidRPr="00226892" w:rsidRDefault="0056068D" w:rsidP="00756C6D">
      <w:pPr>
        <w:suppressAutoHyphens/>
        <w:jc w:val="both"/>
        <w:rPr>
          <w:rFonts w:ascii="Arial" w:hAnsi="Arial" w:cs="Arial"/>
          <w:lang w:val="sk-SK"/>
        </w:rPr>
      </w:pPr>
      <w:r w:rsidRPr="00226892">
        <w:rPr>
          <w:rFonts w:ascii="Arial" w:hAnsi="Arial" w:cs="Arial"/>
          <w:lang w:val="sk-SK"/>
        </w:rPr>
        <w:t xml:space="preserve">Náklady na operatívny lízing zaúčtované do </w:t>
      </w:r>
      <w:r w:rsidR="007C21E2" w:rsidRPr="00226892">
        <w:rPr>
          <w:rFonts w:ascii="Arial" w:hAnsi="Arial" w:cs="Arial"/>
          <w:lang w:val="sk-SK"/>
        </w:rPr>
        <w:t xml:space="preserve">zisku </w:t>
      </w:r>
      <w:r w:rsidRPr="00226892">
        <w:rPr>
          <w:rFonts w:ascii="Arial" w:hAnsi="Arial" w:cs="Arial"/>
          <w:lang w:val="sk-SK"/>
        </w:rPr>
        <w:t>a</w:t>
      </w:r>
      <w:r w:rsidR="007C21E2" w:rsidRPr="00226892">
        <w:rPr>
          <w:rFonts w:ascii="Arial" w:hAnsi="Arial" w:cs="Arial"/>
          <w:lang w:val="sk-SK"/>
        </w:rPr>
        <w:t>lebo</w:t>
      </w:r>
      <w:r w:rsidRPr="00226892">
        <w:rPr>
          <w:rFonts w:ascii="Arial" w:hAnsi="Arial" w:cs="Arial"/>
          <w:lang w:val="sk-SK"/>
        </w:rPr>
        <w:t> </w:t>
      </w:r>
      <w:r w:rsidR="007C21E2" w:rsidRPr="00226892">
        <w:rPr>
          <w:rFonts w:ascii="Arial" w:hAnsi="Arial" w:cs="Arial"/>
          <w:lang w:val="sk-SK"/>
        </w:rPr>
        <w:t xml:space="preserve">straty </w:t>
      </w:r>
      <w:r w:rsidRPr="00226892">
        <w:rPr>
          <w:rFonts w:ascii="Arial" w:hAnsi="Arial" w:cs="Arial"/>
          <w:lang w:val="sk-SK"/>
        </w:rPr>
        <w:t>v priebehu účtovného obdobia sú vykázané               v</w:t>
      </w:r>
      <w:r w:rsidR="00D13161" w:rsidRPr="00226892">
        <w:rPr>
          <w:rFonts w:ascii="Arial" w:hAnsi="Arial" w:cs="Arial"/>
          <w:lang w:val="sk-SK"/>
        </w:rPr>
        <w:t> bode 2</w:t>
      </w:r>
      <w:r w:rsidR="00522218" w:rsidRPr="00226892">
        <w:rPr>
          <w:rFonts w:ascii="Arial" w:hAnsi="Arial" w:cs="Arial"/>
          <w:lang w:val="sk-SK"/>
        </w:rPr>
        <w:t>1</w:t>
      </w:r>
      <w:r w:rsidR="00D13161" w:rsidRPr="00226892">
        <w:rPr>
          <w:rFonts w:ascii="Arial" w:hAnsi="Arial" w:cs="Arial"/>
          <w:lang w:val="sk-SK"/>
        </w:rPr>
        <w:t xml:space="preserve"> p</w:t>
      </w:r>
      <w:r w:rsidRPr="00226892">
        <w:rPr>
          <w:rFonts w:ascii="Arial" w:hAnsi="Arial" w:cs="Arial"/>
          <w:lang w:val="sk-SK"/>
        </w:rPr>
        <w:t>oznám</w:t>
      </w:r>
      <w:r w:rsidR="00D13161" w:rsidRPr="00226892">
        <w:rPr>
          <w:rFonts w:ascii="Arial" w:hAnsi="Arial" w:cs="Arial"/>
          <w:lang w:val="sk-SK"/>
        </w:rPr>
        <w:t>ok</w:t>
      </w:r>
      <w:r w:rsidRPr="00226892">
        <w:rPr>
          <w:rFonts w:ascii="Arial" w:hAnsi="Arial" w:cs="Arial"/>
          <w:lang w:val="sk-SK"/>
        </w:rPr>
        <w:t>.</w:t>
      </w:r>
    </w:p>
    <w:p w14:paraId="6FBA89A0" w14:textId="61248F75" w:rsidR="006C0567" w:rsidRPr="00226892" w:rsidRDefault="006C0567" w:rsidP="00FD21B8">
      <w:pPr>
        <w:suppressAutoHyphens/>
        <w:ind w:left="426"/>
        <w:jc w:val="both"/>
        <w:rPr>
          <w:rFonts w:ascii="Arial" w:hAnsi="Arial" w:cs="Arial"/>
          <w:lang w:val="sk-SK"/>
        </w:rPr>
      </w:pPr>
    </w:p>
    <w:p w14:paraId="271B610F" w14:textId="0E1CC232" w:rsidR="00C76805" w:rsidRPr="00226892" w:rsidRDefault="00C76805">
      <w:pPr>
        <w:rPr>
          <w:rFonts w:ascii="Arial" w:hAnsi="Arial" w:cs="Arial"/>
          <w:b/>
          <w:snapToGrid w:val="0"/>
          <w:color w:val="000000"/>
        </w:rPr>
      </w:pPr>
      <w:bookmarkStart w:id="640" w:name="_Toc422151118"/>
      <w:bookmarkStart w:id="641" w:name="_Toc422151119"/>
      <w:bookmarkStart w:id="642" w:name="_Toc325985824"/>
      <w:bookmarkStart w:id="643" w:name="_Toc387812526"/>
      <w:bookmarkEnd w:id="640"/>
      <w:bookmarkEnd w:id="641"/>
      <w:r w:rsidRPr="00226892">
        <w:rPr>
          <w:rFonts w:ascii="Arial" w:hAnsi="Arial" w:cs="Arial"/>
          <w:b/>
          <w:snapToGrid w:val="0"/>
          <w:color w:val="000000"/>
        </w:rPr>
        <w:br w:type="page"/>
      </w:r>
    </w:p>
    <w:p w14:paraId="3026A230" w14:textId="60E0B20C" w:rsidR="0056068D" w:rsidRPr="00226892" w:rsidRDefault="0056068D" w:rsidP="003578C0">
      <w:pPr>
        <w:pStyle w:val="Nadpis3"/>
        <w:keepNext w:val="0"/>
        <w:widowControl/>
        <w:numPr>
          <w:ilvl w:val="0"/>
          <w:numId w:val="34"/>
        </w:numPr>
        <w:tabs>
          <w:tab w:val="clear" w:pos="1069"/>
          <w:tab w:val="num" w:pos="392"/>
        </w:tabs>
        <w:suppressAutoHyphens/>
        <w:ind w:left="1077" w:hanging="1077"/>
        <w:jc w:val="both"/>
        <w:rPr>
          <w:rFonts w:ascii="Arial" w:hAnsi="Arial" w:cs="Arial"/>
          <w:sz w:val="20"/>
        </w:rPr>
      </w:pPr>
      <w:bookmarkStart w:id="644" w:name="_Toc27410021"/>
      <w:proofErr w:type="spellStart"/>
      <w:r w:rsidRPr="00226892">
        <w:rPr>
          <w:rFonts w:ascii="Arial" w:hAnsi="Arial" w:cs="Arial"/>
          <w:sz w:val="20"/>
        </w:rPr>
        <w:lastRenderedPageBreak/>
        <w:t>Transakcie</w:t>
      </w:r>
      <w:proofErr w:type="spellEnd"/>
      <w:r w:rsidRPr="00226892">
        <w:rPr>
          <w:rFonts w:ascii="Arial" w:hAnsi="Arial" w:cs="Arial"/>
          <w:sz w:val="20"/>
        </w:rPr>
        <w:t xml:space="preserve"> so </w:t>
      </w:r>
      <w:proofErr w:type="spellStart"/>
      <w:r w:rsidRPr="00226892">
        <w:rPr>
          <w:rFonts w:ascii="Arial" w:hAnsi="Arial" w:cs="Arial"/>
          <w:sz w:val="20"/>
        </w:rPr>
        <w:t>spriaznenými</w:t>
      </w:r>
      <w:proofErr w:type="spellEnd"/>
      <w:r w:rsidRPr="00226892">
        <w:rPr>
          <w:rFonts w:ascii="Arial" w:hAnsi="Arial" w:cs="Arial"/>
          <w:sz w:val="20"/>
        </w:rPr>
        <w:t xml:space="preserve"> </w:t>
      </w:r>
      <w:proofErr w:type="spellStart"/>
      <w:r w:rsidRPr="00226892">
        <w:rPr>
          <w:rFonts w:ascii="Arial" w:hAnsi="Arial" w:cs="Arial"/>
          <w:sz w:val="20"/>
        </w:rPr>
        <w:t>stranami</w:t>
      </w:r>
      <w:bookmarkEnd w:id="642"/>
      <w:bookmarkEnd w:id="643"/>
      <w:bookmarkEnd w:id="644"/>
      <w:proofErr w:type="spellEnd"/>
    </w:p>
    <w:p w14:paraId="5528CF52" w14:textId="77777777" w:rsidR="0056068D" w:rsidRPr="00226892" w:rsidRDefault="0056068D" w:rsidP="000405EF">
      <w:pPr>
        <w:pStyle w:val="Head3"/>
      </w:pPr>
    </w:p>
    <w:p w14:paraId="19A66C5C" w14:textId="77777777" w:rsidR="0056068D" w:rsidRPr="00226892" w:rsidRDefault="0056068D" w:rsidP="00756C6D">
      <w:pPr>
        <w:suppressAutoHyphens/>
        <w:jc w:val="both"/>
        <w:rPr>
          <w:rFonts w:ascii="Arial" w:hAnsi="Arial" w:cs="Arial"/>
          <w:lang w:val="sk-SK"/>
        </w:rPr>
      </w:pPr>
      <w:r w:rsidRPr="00226892">
        <w:rPr>
          <w:rFonts w:ascii="Arial" w:hAnsi="Arial" w:cs="Arial"/>
          <w:lang w:val="sk-SK"/>
        </w:rPr>
        <w:t>Za spriaznené osoby sú považované spoločnosti, v ktorých má Skupina spoločnú kontrolu alebo môže uplatňovať významný vplyv pri finančnom a prevádzkovom rozhodovaní. Pod túto definíciu spadajú pridružené a spoločné podniky, fyzické osoby vlastniace priamo alebo nepriamo podiel na hlasovacích právach, ktorý im dáva možnosť uplatňovať v Skupine a jej dcérskych spoločnostiach podstatný vplyv ako aj ich blízki rodinní príslušníci, kľúčoví pracovníci s rozhodovacou právomocou a ich blízki rodinní príslušníci, ako aj spoločnosti, v ktorých majú tieto osoby rozhodujúci alebo podstatný vplyv. Kľúčoví pracovníci s rozhodovacou právomocou sú osoby v rámci Skupiny a jej dcérskych spoločností, ktorí majú právomoc prideľovať zdroje alebo ovplyvňovať finančné a prevádzkové rozhodnutia Skupiny. Blízki rodinní príslušníci sú členovia rodiny, u ktorých nezávislý pozorovateľ dokáže vnímať úzke rodinné puto. Transakcie so spriaznenými stranami sú definované ako prevod zdrojov alebo povinností medzi spriaznenými stranami bez ohľadu na to, či je za to fakturovaná nejaká cena.</w:t>
      </w:r>
    </w:p>
    <w:p w14:paraId="2097CAA8" w14:textId="77777777" w:rsidR="0056068D" w:rsidRPr="00226892" w:rsidRDefault="0056068D" w:rsidP="00756C6D">
      <w:pPr>
        <w:suppressAutoHyphens/>
        <w:rPr>
          <w:rFonts w:ascii="Arial" w:hAnsi="Arial" w:cs="Arial"/>
          <w:lang w:val="sk-SK"/>
        </w:rPr>
      </w:pPr>
    </w:p>
    <w:p w14:paraId="7A466293" w14:textId="77777777" w:rsidR="0056068D" w:rsidRPr="00226892" w:rsidRDefault="0056068D" w:rsidP="00756C6D">
      <w:pPr>
        <w:suppressAutoHyphens/>
        <w:rPr>
          <w:rFonts w:ascii="Arial" w:hAnsi="Arial" w:cs="Arial"/>
          <w:lang w:val="sk-SK"/>
        </w:rPr>
      </w:pPr>
      <w:r w:rsidRPr="00226892">
        <w:rPr>
          <w:rFonts w:ascii="Arial" w:hAnsi="Arial" w:cs="Arial"/>
          <w:lang w:val="sk-SK"/>
        </w:rPr>
        <w:t>Spriaznené strany, s ktorými boli uskutočnené významné transakcie, boli nasledovné:</w:t>
      </w:r>
    </w:p>
    <w:p w14:paraId="79408F8B" w14:textId="77777777" w:rsidR="0056068D" w:rsidRPr="00226892" w:rsidRDefault="0056068D" w:rsidP="00756C6D">
      <w:pPr>
        <w:suppressAutoHyphens/>
        <w:rPr>
          <w:rFonts w:ascii="Arial" w:hAnsi="Arial" w:cs="Arial"/>
          <w:lang w:val="sk-SK"/>
        </w:rPr>
      </w:pPr>
    </w:p>
    <w:p w14:paraId="495F2B4E" w14:textId="2394CAEB" w:rsidR="00953547" w:rsidRPr="00226892" w:rsidRDefault="00953547" w:rsidP="00756C6D">
      <w:pPr>
        <w:suppressAutoHyphens/>
        <w:rPr>
          <w:rFonts w:ascii="Arial" w:hAnsi="Arial" w:cs="Arial"/>
          <w:bCs/>
          <w:i/>
          <w:lang w:val="sk-SK"/>
        </w:rPr>
      </w:pPr>
      <w:r w:rsidRPr="00226892">
        <w:rPr>
          <w:rFonts w:ascii="Arial" w:hAnsi="Arial" w:cs="Arial"/>
          <w:bCs/>
          <w:i/>
          <w:lang w:val="sk-SK"/>
        </w:rPr>
        <w:t>Priama materská spoločnosť:</w:t>
      </w:r>
    </w:p>
    <w:p w14:paraId="20498A6D" w14:textId="1E395DEF" w:rsidR="006B1BD1" w:rsidRPr="00226892" w:rsidRDefault="006B1BD1" w:rsidP="00756C6D">
      <w:pPr>
        <w:suppressAutoHyphens/>
        <w:rPr>
          <w:rFonts w:ascii="Arial" w:hAnsi="Arial" w:cs="Arial"/>
          <w:bCs/>
          <w:iCs/>
          <w:lang w:val="sk-SK"/>
        </w:rPr>
      </w:pPr>
      <w:r w:rsidRPr="00226892">
        <w:rPr>
          <w:rFonts w:ascii="Arial" w:hAnsi="Arial" w:cs="Arial"/>
          <w:bCs/>
          <w:iCs/>
          <w:lang w:val="sk-SK"/>
        </w:rPr>
        <w:t xml:space="preserve">do 30. júna 2018 - </w:t>
      </w:r>
      <w:r w:rsidR="00953547" w:rsidRPr="00226892">
        <w:rPr>
          <w:rFonts w:ascii="Arial" w:hAnsi="Arial" w:cs="Arial"/>
          <w:bCs/>
          <w:iCs/>
          <w:lang w:val="sk-SK"/>
        </w:rPr>
        <w:t xml:space="preserve">M.I.L. </w:t>
      </w:r>
      <w:proofErr w:type="spellStart"/>
      <w:r w:rsidR="00953547" w:rsidRPr="00226892">
        <w:rPr>
          <w:rFonts w:ascii="Arial" w:hAnsi="Arial" w:cs="Arial"/>
          <w:bCs/>
          <w:iCs/>
          <w:lang w:val="sk-SK"/>
        </w:rPr>
        <w:t>Matinvestmetns</w:t>
      </w:r>
      <w:proofErr w:type="spellEnd"/>
      <w:r w:rsidR="00953547" w:rsidRPr="00226892">
        <w:rPr>
          <w:rFonts w:ascii="Arial" w:hAnsi="Arial" w:cs="Arial"/>
          <w:bCs/>
          <w:iCs/>
          <w:lang w:val="sk-SK"/>
        </w:rPr>
        <w:t xml:space="preserve"> </w:t>
      </w:r>
      <w:proofErr w:type="spellStart"/>
      <w:r w:rsidR="00953547" w:rsidRPr="00226892">
        <w:rPr>
          <w:rFonts w:ascii="Arial" w:hAnsi="Arial" w:cs="Arial"/>
          <w:bCs/>
          <w:iCs/>
          <w:lang w:val="sk-SK"/>
        </w:rPr>
        <w:t>Limited</w:t>
      </w:r>
      <w:proofErr w:type="spellEnd"/>
      <w:r w:rsidRPr="00226892">
        <w:rPr>
          <w:rFonts w:ascii="Arial" w:hAnsi="Arial" w:cs="Arial"/>
          <w:bCs/>
          <w:iCs/>
          <w:lang w:val="sk-SK"/>
        </w:rPr>
        <w:t xml:space="preserve"> </w:t>
      </w:r>
    </w:p>
    <w:p w14:paraId="62DD5DAE" w14:textId="78459164" w:rsidR="00953547" w:rsidRPr="00226892" w:rsidRDefault="006B1BD1" w:rsidP="00756C6D">
      <w:pPr>
        <w:suppressAutoHyphens/>
        <w:rPr>
          <w:rFonts w:ascii="Arial" w:hAnsi="Arial" w:cs="Arial"/>
          <w:bCs/>
          <w:i/>
          <w:lang w:val="sk-SK"/>
        </w:rPr>
      </w:pPr>
      <w:r w:rsidRPr="00226892">
        <w:rPr>
          <w:rFonts w:ascii="Arial" w:hAnsi="Arial" w:cs="Arial"/>
          <w:bCs/>
          <w:iCs/>
          <w:lang w:val="sk-SK"/>
        </w:rPr>
        <w:t xml:space="preserve">od 1. júla 2018 – SODECIA </w:t>
      </w:r>
      <w:proofErr w:type="spellStart"/>
      <w:r w:rsidRPr="00226892">
        <w:rPr>
          <w:rFonts w:ascii="Arial" w:hAnsi="Arial" w:cs="Arial"/>
          <w:bCs/>
          <w:iCs/>
          <w:lang w:val="sk-SK"/>
        </w:rPr>
        <w:t>Automotive</w:t>
      </w:r>
      <w:proofErr w:type="spellEnd"/>
      <w:r w:rsidRPr="00226892">
        <w:rPr>
          <w:rFonts w:ascii="Arial" w:hAnsi="Arial" w:cs="Arial"/>
          <w:bCs/>
          <w:iCs/>
          <w:lang w:val="sk-SK"/>
        </w:rPr>
        <w:t xml:space="preserve"> </w:t>
      </w:r>
      <w:proofErr w:type="spellStart"/>
      <w:r w:rsidRPr="00226892">
        <w:rPr>
          <w:rFonts w:ascii="Arial" w:hAnsi="Arial" w:cs="Arial"/>
          <w:bCs/>
          <w:iCs/>
          <w:lang w:val="sk-SK"/>
        </w:rPr>
        <w:t>Europe</w:t>
      </w:r>
      <w:proofErr w:type="spellEnd"/>
      <w:r w:rsidRPr="00226892">
        <w:rPr>
          <w:rFonts w:ascii="Arial" w:hAnsi="Arial" w:cs="Arial"/>
          <w:bCs/>
          <w:iCs/>
          <w:lang w:val="sk-SK"/>
        </w:rPr>
        <w:t xml:space="preserve"> </w:t>
      </w:r>
      <w:proofErr w:type="spellStart"/>
      <w:r w:rsidRPr="00226892">
        <w:rPr>
          <w:rFonts w:ascii="Arial" w:hAnsi="Arial" w:cs="Arial"/>
          <w:bCs/>
          <w:iCs/>
          <w:lang w:val="sk-SK"/>
        </w:rPr>
        <w:t>GmbH</w:t>
      </w:r>
      <w:proofErr w:type="spellEnd"/>
    </w:p>
    <w:p w14:paraId="3380F83C" w14:textId="77777777" w:rsidR="00953547" w:rsidRPr="00226892" w:rsidRDefault="00953547" w:rsidP="00756C6D">
      <w:pPr>
        <w:suppressAutoHyphens/>
        <w:rPr>
          <w:rFonts w:ascii="Arial" w:hAnsi="Arial" w:cs="Arial"/>
          <w:bCs/>
          <w:i/>
          <w:lang w:val="sk-SK"/>
        </w:rPr>
      </w:pPr>
    </w:p>
    <w:p w14:paraId="3CCFC84C" w14:textId="6E703CE7" w:rsidR="0056068D" w:rsidRPr="00226892" w:rsidRDefault="0056068D" w:rsidP="00756C6D">
      <w:pPr>
        <w:suppressAutoHyphens/>
        <w:rPr>
          <w:rFonts w:ascii="Arial" w:hAnsi="Arial" w:cs="Arial"/>
          <w:bCs/>
          <w:i/>
          <w:lang w:val="sk-SK"/>
        </w:rPr>
      </w:pPr>
      <w:r w:rsidRPr="00226892">
        <w:rPr>
          <w:rFonts w:ascii="Arial" w:hAnsi="Arial" w:cs="Arial"/>
          <w:bCs/>
          <w:i/>
          <w:lang w:val="sk-SK"/>
        </w:rPr>
        <w:t>Pridružené spoločnosti</w:t>
      </w:r>
      <w:r w:rsidR="00953547" w:rsidRPr="00226892">
        <w:rPr>
          <w:rFonts w:ascii="Arial" w:hAnsi="Arial" w:cs="Arial"/>
          <w:bCs/>
          <w:i/>
          <w:lang w:val="sk-SK"/>
        </w:rPr>
        <w:t xml:space="preserve"> a spoločné podniky:</w:t>
      </w:r>
    </w:p>
    <w:p w14:paraId="6B2AAE69" w14:textId="5CA900FA" w:rsidR="0056068D" w:rsidRPr="00226892" w:rsidRDefault="00953547" w:rsidP="00756C6D">
      <w:pPr>
        <w:suppressAutoHyphens/>
        <w:rPr>
          <w:rFonts w:ascii="Arial" w:hAnsi="Arial" w:cs="Arial"/>
          <w:bCs/>
          <w:lang w:val="sk-SK"/>
        </w:rPr>
      </w:pPr>
      <w:r w:rsidRPr="00226892">
        <w:rPr>
          <w:rFonts w:ascii="Arial" w:hAnsi="Arial" w:cs="Arial"/>
          <w:bCs/>
          <w:lang w:val="sk-SK"/>
        </w:rPr>
        <w:t xml:space="preserve">KARSIT Matador </w:t>
      </w:r>
      <w:proofErr w:type="spellStart"/>
      <w:r w:rsidRPr="00226892">
        <w:rPr>
          <w:rFonts w:ascii="Arial" w:hAnsi="Arial" w:cs="Arial"/>
          <w:bCs/>
          <w:lang w:val="sk-SK"/>
        </w:rPr>
        <w:t>s.r.o</w:t>
      </w:r>
      <w:proofErr w:type="spellEnd"/>
      <w:r w:rsidRPr="00226892">
        <w:rPr>
          <w:rFonts w:ascii="Arial" w:hAnsi="Arial" w:cs="Arial"/>
          <w:bCs/>
          <w:lang w:val="sk-SK"/>
        </w:rPr>
        <w:t xml:space="preserve">. (do 20. októbra 2017), DELMA, </w:t>
      </w:r>
      <w:proofErr w:type="spellStart"/>
      <w:r w:rsidRPr="00226892">
        <w:rPr>
          <w:rFonts w:ascii="Arial" w:hAnsi="Arial" w:cs="Arial"/>
          <w:bCs/>
          <w:lang w:val="sk-SK"/>
        </w:rPr>
        <w:t>s.r.o</w:t>
      </w:r>
      <w:proofErr w:type="spellEnd"/>
      <w:r w:rsidRPr="00226892">
        <w:rPr>
          <w:rFonts w:ascii="Arial" w:hAnsi="Arial" w:cs="Arial"/>
          <w:bCs/>
          <w:lang w:val="sk-SK"/>
        </w:rPr>
        <w:t xml:space="preserve">. (do 20. novembra 2017), </w:t>
      </w:r>
      <w:r w:rsidR="00CE0299" w:rsidRPr="00226892">
        <w:rPr>
          <w:rFonts w:ascii="Arial" w:hAnsi="Arial" w:cs="Arial"/>
          <w:bCs/>
          <w:lang w:val="sk-SK"/>
        </w:rPr>
        <w:t xml:space="preserve">D.V. </w:t>
      </w:r>
      <w:proofErr w:type="spellStart"/>
      <w:r w:rsidR="00CE0299" w:rsidRPr="00226892">
        <w:rPr>
          <w:rFonts w:ascii="Arial" w:hAnsi="Arial" w:cs="Arial"/>
          <w:bCs/>
          <w:lang w:val="sk-SK"/>
        </w:rPr>
        <w:t>s.r.o</w:t>
      </w:r>
      <w:proofErr w:type="spellEnd"/>
      <w:r w:rsidR="00CE0299" w:rsidRPr="00226892">
        <w:rPr>
          <w:rFonts w:ascii="Arial" w:hAnsi="Arial" w:cs="Arial"/>
          <w:bCs/>
          <w:lang w:val="sk-SK"/>
        </w:rPr>
        <w:t>.</w:t>
      </w:r>
    </w:p>
    <w:p w14:paraId="2BD74D4B" w14:textId="77777777" w:rsidR="00CE0299" w:rsidRPr="00226892" w:rsidRDefault="00CE0299" w:rsidP="00756C6D">
      <w:pPr>
        <w:suppressAutoHyphens/>
        <w:rPr>
          <w:rFonts w:ascii="Arial" w:hAnsi="Arial" w:cs="Arial"/>
          <w:bCs/>
          <w:i/>
          <w:lang w:val="sk-SK"/>
        </w:rPr>
      </w:pPr>
    </w:p>
    <w:p w14:paraId="0E658BC1" w14:textId="061C231A" w:rsidR="00953547" w:rsidRPr="00226892" w:rsidRDefault="00953547" w:rsidP="00756C6D">
      <w:pPr>
        <w:suppressAutoHyphens/>
        <w:rPr>
          <w:rFonts w:ascii="Arial" w:hAnsi="Arial" w:cs="Arial"/>
          <w:i/>
          <w:lang w:val="sk-SK"/>
        </w:rPr>
      </w:pPr>
      <w:r w:rsidRPr="00226892">
        <w:rPr>
          <w:rFonts w:ascii="Arial" w:hAnsi="Arial" w:cs="Arial"/>
          <w:i/>
          <w:lang w:val="sk-SK"/>
        </w:rPr>
        <w:t>Ostatné spriaznené strany</w:t>
      </w:r>
    </w:p>
    <w:p w14:paraId="007B5AA4" w14:textId="49AA2E2D" w:rsidR="00953547" w:rsidRPr="00226892" w:rsidRDefault="006B1BD1" w:rsidP="00756C6D">
      <w:pPr>
        <w:suppressAutoHyphens/>
        <w:rPr>
          <w:rFonts w:ascii="Arial" w:hAnsi="Arial" w:cs="Arial"/>
          <w:iCs/>
          <w:lang w:val="sk-SK"/>
        </w:rPr>
      </w:pPr>
      <w:r w:rsidRPr="00226892">
        <w:rPr>
          <w:rFonts w:ascii="Arial" w:hAnsi="Arial" w:cs="Arial"/>
          <w:iCs/>
          <w:lang w:val="sk-SK"/>
        </w:rPr>
        <w:t xml:space="preserve">do 30. júna 2018 </w:t>
      </w:r>
      <w:r w:rsidR="005F26CD" w:rsidRPr="00226892">
        <w:rPr>
          <w:rFonts w:ascii="Arial" w:hAnsi="Arial" w:cs="Arial"/>
          <w:iCs/>
          <w:lang w:val="sk-SK"/>
        </w:rPr>
        <w:t>–</w:t>
      </w:r>
      <w:r w:rsidRPr="00226892">
        <w:rPr>
          <w:rFonts w:ascii="Arial" w:hAnsi="Arial" w:cs="Arial"/>
          <w:iCs/>
          <w:lang w:val="sk-SK"/>
        </w:rPr>
        <w:t xml:space="preserve"> </w:t>
      </w:r>
      <w:r w:rsidR="005F26CD" w:rsidRPr="00226892">
        <w:rPr>
          <w:rFonts w:ascii="Arial" w:hAnsi="Arial" w:cs="Arial"/>
          <w:iCs/>
          <w:lang w:val="sk-SK"/>
        </w:rPr>
        <w:t xml:space="preserve">MATADOR Holding </w:t>
      </w:r>
      <w:proofErr w:type="spellStart"/>
      <w:r w:rsidR="005F26CD" w:rsidRPr="00226892">
        <w:rPr>
          <w:rFonts w:ascii="Arial" w:hAnsi="Arial" w:cs="Arial"/>
          <w:iCs/>
          <w:lang w:val="sk-SK"/>
        </w:rPr>
        <w:t>a.s</w:t>
      </w:r>
      <w:proofErr w:type="spellEnd"/>
      <w:r w:rsidR="005F26CD" w:rsidRPr="00226892">
        <w:rPr>
          <w:rFonts w:ascii="Arial" w:hAnsi="Arial" w:cs="Arial"/>
          <w:iCs/>
          <w:lang w:val="sk-SK"/>
        </w:rPr>
        <w:t xml:space="preserve">. a </w:t>
      </w:r>
      <w:r w:rsidR="00953547" w:rsidRPr="00226892">
        <w:rPr>
          <w:rFonts w:ascii="Arial" w:hAnsi="Arial" w:cs="Arial"/>
          <w:iCs/>
          <w:lang w:val="sk-SK"/>
        </w:rPr>
        <w:t xml:space="preserve">sesterské spoločnosti patriace do konsolidovanej skupiny MATADOR Holding, </w:t>
      </w:r>
      <w:proofErr w:type="spellStart"/>
      <w:r w:rsidR="00953547" w:rsidRPr="00226892">
        <w:rPr>
          <w:rFonts w:ascii="Arial" w:hAnsi="Arial" w:cs="Arial"/>
          <w:iCs/>
          <w:lang w:val="sk-SK"/>
        </w:rPr>
        <w:t>a.s</w:t>
      </w:r>
      <w:proofErr w:type="spellEnd"/>
      <w:r w:rsidR="00953547" w:rsidRPr="00226892">
        <w:rPr>
          <w:rFonts w:ascii="Arial" w:hAnsi="Arial" w:cs="Arial"/>
          <w:iCs/>
          <w:lang w:val="sk-SK"/>
        </w:rPr>
        <w:t>.</w:t>
      </w:r>
    </w:p>
    <w:p w14:paraId="6EC76750" w14:textId="2D1F1E24" w:rsidR="006B1BD1" w:rsidRPr="00226892" w:rsidRDefault="006B1BD1" w:rsidP="00756C6D">
      <w:pPr>
        <w:suppressAutoHyphens/>
        <w:jc w:val="both"/>
        <w:rPr>
          <w:rFonts w:ascii="Arial" w:hAnsi="Arial" w:cs="Arial"/>
          <w:iCs/>
          <w:lang w:val="sk-SK"/>
        </w:rPr>
      </w:pPr>
      <w:r w:rsidRPr="00226892">
        <w:rPr>
          <w:rFonts w:ascii="Arial" w:hAnsi="Arial" w:cs="Arial"/>
          <w:iCs/>
          <w:lang w:val="sk-SK"/>
        </w:rPr>
        <w:t xml:space="preserve">od 1. júla 2018 – sesterské spoločnosti patriace do konsolidovanej skupiny SODECIA </w:t>
      </w:r>
      <w:proofErr w:type="spellStart"/>
      <w:r w:rsidRPr="00226892">
        <w:rPr>
          <w:rFonts w:ascii="Arial" w:hAnsi="Arial" w:cs="Arial"/>
          <w:iCs/>
          <w:lang w:val="sk-SK"/>
        </w:rPr>
        <w:t>Automotive</w:t>
      </w:r>
      <w:proofErr w:type="spellEnd"/>
      <w:r w:rsidRPr="00226892">
        <w:rPr>
          <w:rFonts w:ascii="Arial" w:hAnsi="Arial" w:cs="Arial"/>
          <w:iCs/>
          <w:lang w:val="sk-SK"/>
        </w:rPr>
        <w:t xml:space="preserve"> </w:t>
      </w:r>
      <w:proofErr w:type="spellStart"/>
      <w:r w:rsidRPr="00226892">
        <w:rPr>
          <w:rFonts w:ascii="Arial" w:hAnsi="Arial" w:cs="Arial"/>
          <w:iCs/>
          <w:lang w:val="sk-SK"/>
        </w:rPr>
        <w:t>Europe</w:t>
      </w:r>
      <w:proofErr w:type="spellEnd"/>
      <w:r w:rsidRPr="00226892">
        <w:rPr>
          <w:rFonts w:ascii="Arial" w:hAnsi="Arial" w:cs="Arial"/>
          <w:iCs/>
          <w:lang w:val="sk-SK"/>
        </w:rPr>
        <w:t xml:space="preserve"> </w:t>
      </w:r>
      <w:proofErr w:type="spellStart"/>
      <w:r w:rsidRPr="00226892">
        <w:rPr>
          <w:rFonts w:ascii="Arial" w:hAnsi="Arial" w:cs="Arial"/>
          <w:iCs/>
          <w:lang w:val="sk-SK"/>
        </w:rPr>
        <w:t>GmbH</w:t>
      </w:r>
      <w:proofErr w:type="spellEnd"/>
    </w:p>
    <w:p w14:paraId="1710AF8A" w14:textId="77777777" w:rsidR="00953547" w:rsidRPr="00226892" w:rsidRDefault="00953547" w:rsidP="00756C6D">
      <w:pPr>
        <w:suppressAutoHyphens/>
        <w:rPr>
          <w:rFonts w:ascii="Arial" w:hAnsi="Arial" w:cs="Arial"/>
          <w:i/>
          <w:lang w:val="sk-SK"/>
        </w:rPr>
      </w:pPr>
    </w:p>
    <w:p w14:paraId="4145A93A" w14:textId="565CF309" w:rsidR="00DD63CA" w:rsidRPr="00226892" w:rsidRDefault="0056068D" w:rsidP="00756C6D">
      <w:pPr>
        <w:autoSpaceDE w:val="0"/>
        <w:autoSpaceDN w:val="0"/>
        <w:adjustRightInd w:val="0"/>
        <w:jc w:val="both"/>
        <w:rPr>
          <w:rFonts w:ascii="Arial" w:hAnsi="Arial" w:cs="Arial"/>
          <w:sz w:val="18"/>
          <w:szCs w:val="18"/>
          <w:highlight w:val="yellow"/>
          <w:lang w:val="sk-SK"/>
        </w:rPr>
      </w:pPr>
      <w:r w:rsidRPr="00226892">
        <w:rPr>
          <w:rFonts w:ascii="Arial" w:hAnsi="Arial" w:cs="Arial"/>
          <w:lang w:val="sk-SK"/>
        </w:rPr>
        <w:t xml:space="preserve">Pohľadávky a záväzky vyplývajúce z transakcií so spriaznenými stranami k 31. decembru </w:t>
      </w:r>
      <w:r w:rsidR="00FD3AC5" w:rsidRPr="00226892">
        <w:rPr>
          <w:rFonts w:ascii="Arial" w:hAnsi="Arial" w:cs="Arial"/>
          <w:lang w:val="sk-SK"/>
        </w:rPr>
        <w:t>2018</w:t>
      </w:r>
      <w:r w:rsidR="00CE3E6A" w:rsidRPr="00226892">
        <w:rPr>
          <w:rFonts w:ascii="Arial" w:hAnsi="Arial" w:cs="Arial"/>
          <w:lang w:val="sk-SK"/>
        </w:rPr>
        <w:t xml:space="preserve"> </w:t>
      </w:r>
      <w:r w:rsidRPr="00226892">
        <w:rPr>
          <w:rFonts w:ascii="Arial" w:hAnsi="Arial" w:cs="Arial"/>
          <w:lang w:val="sk-SK"/>
        </w:rPr>
        <w:t>sú uvedené v nasledovnej tabuľke:</w:t>
      </w:r>
      <w:bookmarkStart w:id="645" w:name="FWT_ReceivAndPayablWithRelParties_CY"/>
      <w:r w:rsidR="00DD63CA" w:rsidRPr="00226892">
        <w:rPr>
          <w:rFonts w:ascii="Arial" w:hAnsi="Arial" w:cs="Arial"/>
          <w:sz w:val="18"/>
          <w:szCs w:val="18"/>
          <w:highlight w:val="yellow"/>
          <w:lang w:val="sk-SK"/>
        </w:rPr>
        <w:t xml:space="preserve"> </w:t>
      </w:r>
    </w:p>
    <w:tbl>
      <w:tblPr>
        <w:tblW w:w="5000" w:type="pct"/>
        <w:tblCellMar>
          <w:left w:w="70" w:type="dxa"/>
          <w:right w:w="70" w:type="dxa"/>
        </w:tblCellMar>
        <w:tblLook w:val="04A0" w:firstRow="1" w:lastRow="0" w:firstColumn="1" w:lastColumn="0" w:noHBand="0" w:noVBand="1"/>
      </w:tblPr>
      <w:tblGrid>
        <w:gridCol w:w="3103"/>
        <w:gridCol w:w="1218"/>
        <w:gridCol w:w="191"/>
        <w:gridCol w:w="191"/>
        <w:gridCol w:w="1364"/>
        <w:gridCol w:w="191"/>
        <w:gridCol w:w="1320"/>
        <w:gridCol w:w="191"/>
        <w:gridCol w:w="1870"/>
      </w:tblGrid>
      <w:tr w:rsidR="00763928" w:rsidRPr="00226892" w14:paraId="48B047DD" w14:textId="77777777" w:rsidTr="00756C6D">
        <w:trPr>
          <w:trHeight w:val="227"/>
        </w:trPr>
        <w:tc>
          <w:tcPr>
            <w:tcW w:w="1615" w:type="pct"/>
            <w:tcBorders>
              <w:top w:val="nil"/>
              <w:left w:val="nil"/>
              <w:bottom w:val="single" w:sz="4" w:space="0" w:color="auto"/>
              <w:right w:val="nil"/>
            </w:tcBorders>
            <w:shd w:val="clear" w:color="auto" w:fill="auto"/>
            <w:noWrap/>
            <w:vAlign w:val="bottom"/>
            <w:hideMark/>
          </w:tcPr>
          <w:p w14:paraId="2879E81D" w14:textId="77777777" w:rsidR="00763928" w:rsidRPr="00226892" w:rsidRDefault="00763928" w:rsidP="00833CC0">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w:t>
            </w:r>
          </w:p>
        </w:tc>
        <w:tc>
          <w:tcPr>
            <w:tcW w:w="638" w:type="pct"/>
            <w:tcBorders>
              <w:top w:val="nil"/>
              <w:left w:val="nil"/>
              <w:bottom w:val="single" w:sz="4" w:space="0" w:color="auto"/>
              <w:right w:val="nil"/>
            </w:tcBorders>
            <w:shd w:val="clear" w:color="auto" w:fill="auto"/>
            <w:vAlign w:val="bottom"/>
            <w:hideMark/>
          </w:tcPr>
          <w:p w14:paraId="67CA6EC2" w14:textId="0C8EA3E0" w:rsidR="00763928" w:rsidRPr="00226892" w:rsidRDefault="00763928">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Pridružené spoločnosti a spoločné podniky </w:t>
            </w:r>
          </w:p>
        </w:tc>
        <w:tc>
          <w:tcPr>
            <w:tcW w:w="91" w:type="pct"/>
            <w:tcBorders>
              <w:top w:val="nil"/>
              <w:left w:val="nil"/>
              <w:bottom w:val="single" w:sz="4" w:space="0" w:color="auto"/>
              <w:right w:val="nil"/>
            </w:tcBorders>
            <w:shd w:val="clear" w:color="auto" w:fill="auto"/>
            <w:vAlign w:val="bottom"/>
            <w:hideMark/>
          </w:tcPr>
          <w:p w14:paraId="5C07FA97" w14:textId="77777777" w:rsidR="00763928" w:rsidRPr="00226892" w:rsidRDefault="0076392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91" w:type="pct"/>
            <w:tcBorders>
              <w:top w:val="nil"/>
              <w:left w:val="nil"/>
              <w:bottom w:val="single" w:sz="4" w:space="0" w:color="auto"/>
              <w:right w:val="nil"/>
            </w:tcBorders>
            <w:shd w:val="clear" w:color="auto" w:fill="auto"/>
            <w:vAlign w:val="bottom"/>
            <w:hideMark/>
          </w:tcPr>
          <w:p w14:paraId="6AA8100B" w14:textId="77777777" w:rsidR="00763928" w:rsidRPr="00226892" w:rsidRDefault="0076392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714" w:type="pct"/>
            <w:tcBorders>
              <w:top w:val="nil"/>
              <w:left w:val="nil"/>
              <w:bottom w:val="single" w:sz="4" w:space="0" w:color="auto"/>
              <w:right w:val="nil"/>
            </w:tcBorders>
            <w:shd w:val="clear" w:color="auto" w:fill="auto"/>
            <w:vAlign w:val="bottom"/>
            <w:hideMark/>
          </w:tcPr>
          <w:p w14:paraId="4C7C70E1" w14:textId="107E7F9C" w:rsidR="00763928" w:rsidRPr="00226892" w:rsidRDefault="00763928" w:rsidP="004D20EC">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 Matersk</w:t>
            </w:r>
            <w:r w:rsidR="005F26CD" w:rsidRPr="00226892">
              <w:rPr>
                <w:rFonts w:ascii="Arial" w:eastAsia="Times New Roman" w:hAnsi="Arial" w:cs="Arial"/>
                <w:b/>
                <w:bCs/>
                <w:color w:val="000000"/>
                <w:sz w:val="18"/>
                <w:szCs w:val="18"/>
                <w:lang w:val="sk-SK" w:eastAsia="sk-SK"/>
              </w:rPr>
              <w:t>á</w:t>
            </w:r>
            <w:r w:rsidRPr="00226892">
              <w:rPr>
                <w:rFonts w:ascii="Arial" w:eastAsia="Times New Roman" w:hAnsi="Arial" w:cs="Arial"/>
                <w:b/>
                <w:bCs/>
                <w:color w:val="000000"/>
                <w:sz w:val="18"/>
                <w:szCs w:val="18"/>
                <w:lang w:val="sk-SK" w:eastAsia="sk-SK"/>
              </w:rPr>
              <w:t xml:space="preserve"> spoločnos</w:t>
            </w:r>
            <w:r w:rsidR="005F26CD" w:rsidRPr="00226892">
              <w:rPr>
                <w:rFonts w:ascii="Arial" w:eastAsia="Times New Roman" w:hAnsi="Arial" w:cs="Arial"/>
                <w:b/>
                <w:bCs/>
                <w:color w:val="000000"/>
                <w:sz w:val="18"/>
                <w:szCs w:val="18"/>
                <w:lang w:val="sk-SK" w:eastAsia="sk-SK"/>
              </w:rPr>
              <w:t>ť</w:t>
            </w:r>
          </w:p>
        </w:tc>
        <w:tc>
          <w:tcPr>
            <w:tcW w:w="91" w:type="pct"/>
            <w:tcBorders>
              <w:top w:val="nil"/>
              <w:left w:val="nil"/>
              <w:bottom w:val="single" w:sz="4" w:space="0" w:color="auto"/>
              <w:right w:val="nil"/>
            </w:tcBorders>
            <w:shd w:val="clear" w:color="auto" w:fill="auto"/>
            <w:vAlign w:val="bottom"/>
            <w:hideMark/>
          </w:tcPr>
          <w:p w14:paraId="5D033D61" w14:textId="77777777" w:rsidR="00763928" w:rsidRPr="00226892" w:rsidRDefault="0076392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691" w:type="pct"/>
            <w:tcBorders>
              <w:top w:val="nil"/>
              <w:left w:val="nil"/>
              <w:bottom w:val="single" w:sz="4" w:space="0" w:color="auto"/>
              <w:right w:val="nil"/>
            </w:tcBorders>
            <w:shd w:val="clear" w:color="auto" w:fill="auto"/>
            <w:vAlign w:val="bottom"/>
            <w:hideMark/>
          </w:tcPr>
          <w:p w14:paraId="6056A3AE" w14:textId="50F8B439" w:rsidR="00763928" w:rsidRPr="00226892" w:rsidRDefault="00763928" w:rsidP="008E2CAB">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 Ostatné spriaznené strany</w:t>
            </w:r>
          </w:p>
        </w:tc>
        <w:tc>
          <w:tcPr>
            <w:tcW w:w="91" w:type="pct"/>
            <w:tcBorders>
              <w:top w:val="nil"/>
              <w:left w:val="nil"/>
              <w:bottom w:val="single" w:sz="4" w:space="0" w:color="auto"/>
              <w:right w:val="nil"/>
            </w:tcBorders>
            <w:shd w:val="clear" w:color="auto" w:fill="auto"/>
            <w:vAlign w:val="bottom"/>
            <w:hideMark/>
          </w:tcPr>
          <w:p w14:paraId="76D22432" w14:textId="77777777" w:rsidR="00763928" w:rsidRPr="00226892" w:rsidRDefault="00763928">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976" w:type="pct"/>
            <w:tcBorders>
              <w:top w:val="nil"/>
              <w:left w:val="nil"/>
              <w:bottom w:val="single" w:sz="4" w:space="0" w:color="auto"/>
              <w:right w:val="nil"/>
            </w:tcBorders>
            <w:shd w:val="clear" w:color="auto" w:fill="auto"/>
            <w:vAlign w:val="bottom"/>
            <w:hideMark/>
          </w:tcPr>
          <w:p w14:paraId="76C39822" w14:textId="77777777" w:rsidR="00763928" w:rsidRPr="00226892" w:rsidRDefault="00763928">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 Spolu </w:t>
            </w:r>
          </w:p>
        </w:tc>
      </w:tr>
      <w:tr w:rsidR="00763928" w:rsidRPr="00226892" w14:paraId="04E25F5D" w14:textId="77777777" w:rsidTr="00756C6D">
        <w:trPr>
          <w:trHeight w:val="227"/>
        </w:trPr>
        <w:tc>
          <w:tcPr>
            <w:tcW w:w="1615" w:type="pct"/>
            <w:tcBorders>
              <w:top w:val="nil"/>
              <w:left w:val="nil"/>
              <w:bottom w:val="nil"/>
              <w:right w:val="nil"/>
            </w:tcBorders>
            <w:shd w:val="clear" w:color="auto" w:fill="auto"/>
            <w:vAlign w:val="bottom"/>
            <w:hideMark/>
          </w:tcPr>
          <w:p w14:paraId="2DC1B856" w14:textId="77777777" w:rsidR="00763928" w:rsidRPr="00226892" w:rsidRDefault="00763928" w:rsidP="00833CC0">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Pohľadávky – z obchodného styku</w:t>
            </w:r>
          </w:p>
        </w:tc>
        <w:tc>
          <w:tcPr>
            <w:tcW w:w="638" w:type="pct"/>
            <w:tcBorders>
              <w:top w:val="nil"/>
              <w:left w:val="nil"/>
              <w:bottom w:val="nil"/>
              <w:right w:val="nil"/>
            </w:tcBorders>
            <w:shd w:val="clear" w:color="auto" w:fill="auto"/>
            <w:vAlign w:val="bottom"/>
          </w:tcPr>
          <w:p w14:paraId="7BC986EB" w14:textId="46E4887F" w:rsidR="00763928" w:rsidRPr="00226892" w:rsidRDefault="00E94117" w:rsidP="00D40B0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13</w:t>
            </w:r>
          </w:p>
        </w:tc>
        <w:tc>
          <w:tcPr>
            <w:tcW w:w="91" w:type="pct"/>
            <w:tcBorders>
              <w:top w:val="nil"/>
              <w:left w:val="nil"/>
              <w:bottom w:val="nil"/>
              <w:right w:val="nil"/>
            </w:tcBorders>
            <w:shd w:val="clear" w:color="auto" w:fill="auto"/>
            <w:vAlign w:val="bottom"/>
          </w:tcPr>
          <w:p w14:paraId="7D49D0BD" w14:textId="77777777" w:rsidR="00763928" w:rsidRPr="00226892" w:rsidRDefault="00763928" w:rsidP="00D40B06">
            <w:pPr>
              <w:jc w:val="right"/>
              <w:rPr>
                <w:rFonts w:ascii="Arial" w:eastAsia="Times New Roman" w:hAnsi="Arial" w:cs="Arial"/>
                <w:color w:val="000000"/>
                <w:sz w:val="18"/>
                <w:szCs w:val="18"/>
                <w:lang w:val="sk-SK" w:eastAsia="sk-SK"/>
              </w:rPr>
            </w:pPr>
          </w:p>
        </w:tc>
        <w:tc>
          <w:tcPr>
            <w:tcW w:w="91" w:type="pct"/>
            <w:tcBorders>
              <w:top w:val="nil"/>
              <w:left w:val="nil"/>
              <w:bottom w:val="nil"/>
              <w:right w:val="nil"/>
            </w:tcBorders>
            <w:shd w:val="clear" w:color="auto" w:fill="auto"/>
            <w:vAlign w:val="bottom"/>
          </w:tcPr>
          <w:p w14:paraId="2A9036A2" w14:textId="77777777" w:rsidR="00763928" w:rsidRPr="00226892" w:rsidRDefault="00763928" w:rsidP="00D40B06">
            <w:pPr>
              <w:jc w:val="right"/>
              <w:rPr>
                <w:rFonts w:ascii="Arial" w:eastAsia="Times New Roman" w:hAnsi="Arial" w:cs="Arial"/>
                <w:color w:val="000000"/>
                <w:sz w:val="18"/>
                <w:szCs w:val="18"/>
                <w:lang w:val="sk-SK" w:eastAsia="sk-SK"/>
              </w:rPr>
            </w:pPr>
          </w:p>
        </w:tc>
        <w:tc>
          <w:tcPr>
            <w:tcW w:w="714" w:type="pct"/>
            <w:tcBorders>
              <w:top w:val="nil"/>
              <w:left w:val="nil"/>
              <w:bottom w:val="nil"/>
              <w:right w:val="nil"/>
            </w:tcBorders>
            <w:shd w:val="clear" w:color="auto" w:fill="auto"/>
            <w:vAlign w:val="bottom"/>
          </w:tcPr>
          <w:p w14:paraId="798CC0DC" w14:textId="48553D03" w:rsidR="00763928" w:rsidRPr="00226892" w:rsidRDefault="00E94117" w:rsidP="00D40B0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1 183</w:t>
            </w:r>
          </w:p>
        </w:tc>
        <w:tc>
          <w:tcPr>
            <w:tcW w:w="91" w:type="pct"/>
            <w:tcBorders>
              <w:top w:val="nil"/>
              <w:left w:val="nil"/>
              <w:bottom w:val="nil"/>
              <w:right w:val="nil"/>
            </w:tcBorders>
            <w:shd w:val="clear" w:color="auto" w:fill="auto"/>
            <w:vAlign w:val="bottom"/>
          </w:tcPr>
          <w:p w14:paraId="27CFBA39" w14:textId="77777777" w:rsidR="00763928" w:rsidRPr="00226892" w:rsidRDefault="00763928" w:rsidP="00D40B06">
            <w:pPr>
              <w:jc w:val="right"/>
              <w:rPr>
                <w:rFonts w:ascii="Arial" w:eastAsia="Times New Roman" w:hAnsi="Arial" w:cs="Arial"/>
                <w:color w:val="000000"/>
                <w:sz w:val="18"/>
                <w:szCs w:val="18"/>
                <w:lang w:val="sk-SK" w:eastAsia="sk-SK"/>
              </w:rPr>
            </w:pPr>
          </w:p>
        </w:tc>
        <w:tc>
          <w:tcPr>
            <w:tcW w:w="691" w:type="pct"/>
            <w:tcBorders>
              <w:top w:val="nil"/>
              <w:left w:val="nil"/>
              <w:bottom w:val="nil"/>
              <w:right w:val="nil"/>
            </w:tcBorders>
            <w:shd w:val="clear" w:color="auto" w:fill="auto"/>
            <w:vAlign w:val="bottom"/>
          </w:tcPr>
          <w:p w14:paraId="6727F1C0" w14:textId="091283DF" w:rsidR="00763928" w:rsidRPr="00226892" w:rsidRDefault="00E94117" w:rsidP="00D40B0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1 076</w:t>
            </w:r>
          </w:p>
        </w:tc>
        <w:tc>
          <w:tcPr>
            <w:tcW w:w="91" w:type="pct"/>
            <w:tcBorders>
              <w:top w:val="nil"/>
              <w:left w:val="nil"/>
              <w:bottom w:val="nil"/>
              <w:right w:val="nil"/>
            </w:tcBorders>
            <w:shd w:val="clear" w:color="auto" w:fill="auto"/>
            <w:vAlign w:val="bottom"/>
          </w:tcPr>
          <w:p w14:paraId="027232D0" w14:textId="77777777" w:rsidR="00763928" w:rsidRPr="00226892" w:rsidRDefault="00763928" w:rsidP="00D40B06">
            <w:pPr>
              <w:jc w:val="right"/>
              <w:rPr>
                <w:rFonts w:ascii="Arial" w:eastAsia="Times New Roman" w:hAnsi="Arial" w:cs="Arial"/>
                <w:color w:val="000000"/>
                <w:sz w:val="18"/>
                <w:szCs w:val="18"/>
                <w:lang w:val="sk-SK" w:eastAsia="sk-SK"/>
              </w:rPr>
            </w:pPr>
          </w:p>
        </w:tc>
        <w:tc>
          <w:tcPr>
            <w:tcW w:w="976" w:type="pct"/>
            <w:tcBorders>
              <w:top w:val="nil"/>
              <w:left w:val="nil"/>
              <w:bottom w:val="nil"/>
              <w:right w:val="nil"/>
            </w:tcBorders>
            <w:shd w:val="clear" w:color="auto" w:fill="auto"/>
            <w:vAlign w:val="bottom"/>
          </w:tcPr>
          <w:p w14:paraId="721403CA" w14:textId="2659A514" w:rsidR="00763928" w:rsidRPr="00226892" w:rsidRDefault="00E94117" w:rsidP="00D40B0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2 272</w:t>
            </w:r>
          </w:p>
        </w:tc>
      </w:tr>
      <w:tr w:rsidR="00763928" w:rsidRPr="00226892" w14:paraId="461AD942" w14:textId="77777777" w:rsidTr="00756C6D">
        <w:trPr>
          <w:trHeight w:val="227"/>
        </w:trPr>
        <w:tc>
          <w:tcPr>
            <w:tcW w:w="1615" w:type="pct"/>
            <w:tcBorders>
              <w:top w:val="nil"/>
              <w:left w:val="nil"/>
              <w:bottom w:val="nil"/>
              <w:right w:val="nil"/>
            </w:tcBorders>
            <w:shd w:val="clear" w:color="auto" w:fill="auto"/>
            <w:noWrap/>
            <w:vAlign w:val="bottom"/>
            <w:hideMark/>
          </w:tcPr>
          <w:p w14:paraId="7B712A74" w14:textId="6CB13492" w:rsidR="00763928" w:rsidRPr="00226892" w:rsidRDefault="00763928" w:rsidP="00EE747E">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 ostatné (Pozn. 10)</w:t>
            </w:r>
          </w:p>
        </w:tc>
        <w:tc>
          <w:tcPr>
            <w:tcW w:w="638" w:type="pct"/>
            <w:tcBorders>
              <w:top w:val="nil"/>
              <w:left w:val="nil"/>
              <w:bottom w:val="nil"/>
              <w:right w:val="nil"/>
            </w:tcBorders>
            <w:shd w:val="clear" w:color="auto" w:fill="auto"/>
            <w:vAlign w:val="bottom"/>
          </w:tcPr>
          <w:p w14:paraId="3F76A2C5" w14:textId="581ECA67" w:rsidR="00763928" w:rsidRPr="00226892" w:rsidRDefault="00E94117" w:rsidP="00D14B23">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1" w:type="pct"/>
            <w:tcBorders>
              <w:top w:val="nil"/>
              <w:left w:val="nil"/>
              <w:bottom w:val="nil"/>
              <w:right w:val="nil"/>
            </w:tcBorders>
            <w:shd w:val="clear" w:color="auto" w:fill="auto"/>
            <w:vAlign w:val="bottom"/>
          </w:tcPr>
          <w:p w14:paraId="454F3882" w14:textId="77777777" w:rsidR="00763928" w:rsidRPr="00226892" w:rsidRDefault="00763928" w:rsidP="00D40B06">
            <w:pPr>
              <w:jc w:val="right"/>
              <w:rPr>
                <w:rFonts w:ascii="Arial" w:eastAsia="Times New Roman" w:hAnsi="Arial" w:cs="Arial"/>
                <w:color w:val="000000"/>
                <w:sz w:val="18"/>
                <w:szCs w:val="18"/>
                <w:lang w:val="sk-SK" w:eastAsia="sk-SK"/>
              </w:rPr>
            </w:pPr>
          </w:p>
        </w:tc>
        <w:tc>
          <w:tcPr>
            <w:tcW w:w="91" w:type="pct"/>
            <w:tcBorders>
              <w:top w:val="nil"/>
              <w:left w:val="nil"/>
              <w:bottom w:val="nil"/>
              <w:right w:val="nil"/>
            </w:tcBorders>
            <w:shd w:val="clear" w:color="auto" w:fill="auto"/>
            <w:vAlign w:val="bottom"/>
          </w:tcPr>
          <w:p w14:paraId="6FB570D7" w14:textId="77777777" w:rsidR="00763928" w:rsidRPr="00226892" w:rsidRDefault="00763928" w:rsidP="00D40B06">
            <w:pPr>
              <w:jc w:val="right"/>
              <w:rPr>
                <w:rFonts w:ascii="Arial" w:eastAsia="Times New Roman" w:hAnsi="Arial" w:cs="Arial"/>
                <w:color w:val="000000"/>
                <w:sz w:val="18"/>
                <w:szCs w:val="18"/>
                <w:lang w:val="sk-SK" w:eastAsia="sk-SK"/>
              </w:rPr>
            </w:pPr>
          </w:p>
        </w:tc>
        <w:tc>
          <w:tcPr>
            <w:tcW w:w="714" w:type="pct"/>
            <w:tcBorders>
              <w:top w:val="nil"/>
              <w:left w:val="nil"/>
              <w:bottom w:val="nil"/>
              <w:right w:val="nil"/>
            </w:tcBorders>
            <w:shd w:val="clear" w:color="auto" w:fill="auto"/>
            <w:vAlign w:val="bottom"/>
          </w:tcPr>
          <w:p w14:paraId="1EB6D833" w14:textId="3047BEF7" w:rsidR="00763928" w:rsidRPr="00226892" w:rsidRDefault="00E94117" w:rsidP="00D40B0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1" w:type="pct"/>
            <w:tcBorders>
              <w:top w:val="nil"/>
              <w:left w:val="nil"/>
              <w:bottom w:val="nil"/>
              <w:right w:val="nil"/>
            </w:tcBorders>
            <w:shd w:val="clear" w:color="auto" w:fill="auto"/>
            <w:vAlign w:val="bottom"/>
          </w:tcPr>
          <w:p w14:paraId="6790EC2D" w14:textId="77777777" w:rsidR="00763928" w:rsidRPr="00226892" w:rsidRDefault="00763928" w:rsidP="00D40B06">
            <w:pPr>
              <w:jc w:val="right"/>
              <w:rPr>
                <w:rFonts w:ascii="Arial" w:eastAsia="Times New Roman" w:hAnsi="Arial" w:cs="Arial"/>
                <w:color w:val="000000"/>
                <w:sz w:val="18"/>
                <w:szCs w:val="18"/>
                <w:lang w:val="sk-SK" w:eastAsia="sk-SK"/>
              </w:rPr>
            </w:pPr>
          </w:p>
        </w:tc>
        <w:tc>
          <w:tcPr>
            <w:tcW w:w="691" w:type="pct"/>
            <w:tcBorders>
              <w:top w:val="nil"/>
              <w:left w:val="nil"/>
              <w:bottom w:val="nil"/>
              <w:right w:val="nil"/>
            </w:tcBorders>
            <w:shd w:val="clear" w:color="auto" w:fill="auto"/>
            <w:vAlign w:val="bottom"/>
          </w:tcPr>
          <w:p w14:paraId="3DC15769" w14:textId="4B75D2A3" w:rsidR="00763928" w:rsidRPr="00226892" w:rsidRDefault="00E94117" w:rsidP="00D40B0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1" w:type="pct"/>
            <w:tcBorders>
              <w:top w:val="nil"/>
              <w:left w:val="nil"/>
              <w:bottom w:val="nil"/>
              <w:right w:val="nil"/>
            </w:tcBorders>
            <w:shd w:val="clear" w:color="auto" w:fill="auto"/>
            <w:vAlign w:val="bottom"/>
          </w:tcPr>
          <w:p w14:paraId="3D43218C" w14:textId="77777777" w:rsidR="00763928" w:rsidRPr="00226892" w:rsidRDefault="00763928" w:rsidP="00D40B06">
            <w:pPr>
              <w:jc w:val="right"/>
              <w:rPr>
                <w:rFonts w:ascii="Arial" w:eastAsia="Times New Roman" w:hAnsi="Arial" w:cs="Arial"/>
                <w:color w:val="000000"/>
                <w:sz w:val="18"/>
                <w:szCs w:val="18"/>
                <w:lang w:val="sk-SK" w:eastAsia="sk-SK"/>
              </w:rPr>
            </w:pPr>
          </w:p>
        </w:tc>
        <w:tc>
          <w:tcPr>
            <w:tcW w:w="976" w:type="pct"/>
            <w:tcBorders>
              <w:top w:val="nil"/>
              <w:left w:val="nil"/>
              <w:bottom w:val="nil"/>
              <w:right w:val="nil"/>
            </w:tcBorders>
            <w:shd w:val="clear" w:color="auto" w:fill="auto"/>
            <w:vAlign w:val="bottom"/>
          </w:tcPr>
          <w:p w14:paraId="536ADFDC" w14:textId="56495364" w:rsidR="00763928" w:rsidRPr="00226892" w:rsidRDefault="00F9792B" w:rsidP="00D14B23">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w:t>
            </w:r>
          </w:p>
        </w:tc>
      </w:tr>
      <w:tr w:rsidR="00763928" w:rsidRPr="00226892" w14:paraId="033F8625" w14:textId="77777777" w:rsidTr="00756C6D">
        <w:trPr>
          <w:trHeight w:val="227"/>
        </w:trPr>
        <w:tc>
          <w:tcPr>
            <w:tcW w:w="1615" w:type="pct"/>
            <w:tcBorders>
              <w:top w:val="nil"/>
              <w:left w:val="nil"/>
              <w:bottom w:val="nil"/>
              <w:right w:val="nil"/>
            </w:tcBorders>
            <w:shd w:val="clear" w:color="auto" w:fill="auto"/>
            <w:noWrap/>
            <w:vAlign w:val="bottom"/>
          </w:tcPr>
          <w:p w14:paraId="721C6FB1" w14:textId="6C2DD3BF" w:rsidR="00763928" w:rsidRPr="00226892" w:rsidRDefault="00763928" w:rsidP="00EE747E">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Posk</w:t>
            </w:r>
            <w:r w:rsidR="00B4615F" w:rsidRPr="00226892">
              <w:rPr>
                <w:rFonts w:ascii="Arial" w:eastAsia="Times New Roman" w:hAnsi="Arial" w:cs="Arial"/>
                <w:color w:val="000000"/>
                <w:sz w:val="18"/>
                <w:szCs w:val="18"/>
                <w:lang w:val="sk-SK" w:eastAsia="sk-SK"/>
              </w:rPr>
              <w:t>y</w:t>
            </w:r>
            <w:r w:rsidRPr="00226892">
              <w:rPr>
                <w:rFonts w:ascii="Arial" w:eastAsia="Times New Roman" w:hAnsi="Arial" w:cs="Arial"/>
                <w:color w:val="000000"/>
                <w:sz w:val="18"/>
                <w:szCs w:val="18"/>
                <w:lang w:val="sk-SK" w:eastAsia="sk-SK"/>
              </w:rPr>
              <w:t>tnuté pôžičky (Pozn. 10)</w:t>
            </w:r>
          </w:p>
        </w:tc>
        <w:tc>
          <w:tcPr>
            <w:tcW w:w="638" w:type="pct"/>
            <w:tcBorders>
              <w:top w:val="nil"/>
              <w:left w:val="nil"/>
              <w:bottom w:val="nil"/>
              <w:right w:val="nil"/>
            </w:tcBorders>
            <w:shd w:val="clear" w:color="auto" w:fill="auto"/>
            <w:vAlign w:val="bottom"/>
          </w:tcPr>
          <w:p w14:paraId="47F5C2BA" w14:textId="682B8937" w:rsidR="00763928" w:rsidRPr="00226892" w:rsidRDefault="00E94117" w:rsidP="00D14B23">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1" w:type="pct"/>
            <w:tcBorders>
              <w:top w:val="nil"/>
              <w:left w:val="nil"/>
              <w:bottom w:val="nil"/>
              <w:right w:val="nil"/>
            </w:tcBorders>
            <w:shd w:val="clear" w:color="auto" w:fill="auto"/>
            <w:vAlign w:val="bottom"/>
          </w:tcPr>
          <w:p w14:paraId="3A3C22ED" w14:textId="77777777" w:rsidR="00763928" w:rsidRPr="00226892" w:rsidRDefault="00763928" w:rsidP="00D40B06">
            <w:pPr>
              <w:jc w:val="right"/>
              <w:rPr>
                <w:rFonts w:ascii="Arial" w:eastAsia="Times New Roman" w:hAnsi="Arial" w:cs="Arial"/>
                <w:color w:val="000000"/>
                <w:sz w:val="18"/>
                <w:szCs w:val="18"/>
                <w:lang w:val="sk-SK" w:eastAsia="sk-SK"/>
              </w:rPr>
            </w:pPr>
          </w:p>
        </w:tc>
        <w:tc>
          <w:tcPr>
            <w:tcW w:w="91" w:type="pct"/>
            <w:tcBorders>
              <w:top w:val="nil"/>
              <w:left w:val="nil"/>
              <w:bottom w:val="nil"/>
              <w:right w:val="nil"/>
            </w:tcBorders>
            <w:shd w:val="clear" w:color="auto" w:fill="auto"/>
            <w:vAlign w:val="bottom"/>
          </w:tcPr>
          <w:p w14:paraId="24E16F5F" w14:textId="77777777" w:rsidR="00763928" w:rsidRPr="00226892" w:rsidRDefault="00763928" w:rsidP="00D40B06">
            <w:pPr>
              <w:jc w:val="right"/>
              <w:rPr>
                <w:rFonts w:ascii="Arial" w:eastAsia="Times New Roman" w:hAnsi="Arial" w:cs="Arial"/>
                <w:color w:val="000000"/>
                <w:sz w:val="18"/>
                <w:szCs w:val="18"/>
                <w:lang w:val="sk-SK" w:eastAsia="sk-SK"/>
              </w:rPr>
            </w:pPr>
          </w:p>
        </w:tc>
        <w:tc>
          <w:tcPr>
            <w:tcW w:w="714" w:type="pct"/>
            <w:tcBorders>
              <w:top w:val="nil"/>
              <w:left w:val="nil"/>
              <w:bottom w:val="nil"/>
              <w:right w:val="nil"/>
            </w:tcBorders>
            <w:shd w:val="clear" w:color="auto" w:fill="auto"/>
            <w:vAlign w:val="bottom"/>
          </w:tcPr>
          <w:p w14:paraId="777A580A" w14:textId="693BEFA0" w:rsidR="00763928" w:rsidRPr="00226892" w:rsidRDefault="00E94117" w:rsidP="00D40B0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1" w:type="pct"/>
            <w:tcBorders>
              <w:top w:val="nil"/>
              <w:left w:val="nil"/>
              <w:bottom w:val="nil"/>
              <w:right w:val="nil"/>
            </w:tcBorders>
            <w:shd w:val="clear" w:color="auto" w:fill="auto"/>
            <w:vAlign w:val="bottom"/>
          </w:tcPr>
          <w:p w14:paraId="2B90713E" w14:textId="77777777" w:rsidR="00763928" w:rsidRPr="00226892" w:rsidRDefault="00763928" w:rsidP="00D40B06">
            <w:pPr>
              <w:jc w:val="right"/>
              <w:rPr>
                <w:rFonts w:ascii="Arial" w:eastAsia="Times New Roman" w:hAnsi="Arial" w:cs="Arial"/>
                <w:color w:val="000000"/>
                <w:sz w:val="18"/>
                <w:szCs w:val="18"/>
                <w:lang w:val="sk-SK" w:eastAsia="sk-SK"/>
              </w:rPr>
            </w:pPr>
          </w:p>
        </w:tc>
        <w:tc>
          <w:tcPr>
            <w:tcW w:w="691" w:type="pct"/>
            <w:tcBorders>
              <w:top w:val="nil"/>
              <w:left w:val="nil"/>
              <w:bottom w:val="nil"/>
              <w:right w:val="nil"/>
            </w:tcBorders>
            <w:shd w:val="clear" w:color="auto" w:fill="auto"/>
            <w:vAlign w:val="bottom"/>
          </w:tcPr>
          <w:p w14:paraId="5F5529DE" w14:textId="3B64CC81" w:rsidR="00763928" w:rsidRPr="00226892" w:rsidRDefault="00E94117" w:rsidP="00D40B0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1" w:type="pct"/>
            <w:tcBorders>
              <w:top w:val="nil"/>
              <w:left w:val="nil"/>
              <w:bottom w:val="nil"/>
              <w:right w:val="nil"/>
            </w:tcBorders>
            <w:shd w:val="clear" w:color="auto" w:fill="auto"/>
            <w:vAlign w:val="bottom"/>
          </w:tcPr>
          <w:p w14:paraId="61341B63" w14:textId="77777777" w:rsidR="00763928" w:rsidRPr="00226892" w:rsidRDefault="00763928" w:rsidP="00D40B06">
            <w:pPr>
              <w:jc w:val="right"/>
              <w:rPr>
                <w:rFonts w:ascii="Arial" w:eastAsia="Times New Roman" w:hAnsi="Arial" w:cs="Arial"/>
                <w:color w:val="000000"/>
                <w:sz w:val="18"/>
                <w:szCs w:val="18"/>
                <w:lang w:val="sk-SK" w:eastAsia="sk-SK"/>
              </w:rPr>
            </w:pPr>
          </w:p>
        </w:tc>
        <w:tc>
          <w:tcPr>
            <w:tcW w:w="976" w:type="pct"/>
            <w:tcBorders>
              <w:top w:val="nil"/>
              <w:left w:val="nil"/>
              <w:bottom w:val="nil"/>
              <w:right w:val="nil"/>
            </w:tcBorders>
            <w:shd w:val="clear" w:color="auto" w:fill="auto"/>
            <w:vAlign w:val="bottom"/>
          </w:tcPr>
          <w:p w14:paraId="270B9AD4" w14:textId="5611057C" w:rsidR="00763928" w:rsidRPr="00226892" w:rsidRDefault="00F9792B" w:rsidP="00D14B23">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w:t>
            </w:r>
          </w:p>
        </w:tc>
      </w:tr>
      <w:tr w:rsidR="00763928" w:rsidRPr="00226892" w14:paraId="1AD8EEA2" w14:textId="77777777" w:rsidTr="00756C6D">
        <w:trPr>
          <w:trHeight w:val="227"/>
        </w:trPr>
        <w:tc>
          <w:tcPr>
            <w:tcW w:w="1615" w:type="pct"/>
            <w:tcBorders>
              <w:top w:val="nil"/>
              <w:left w:val="nil"/>
              <w:bottom w:val="nil"/>
              <w:right w:val="nil"/>
            </w:tcBorders>
            <w:shd w:val="clear" w:color="auto" w:fill="auto"/>
            <w:vAlign w:val="bottom"/>
            <w:hideMark/>
          </w:tcPr>
          <w:p w14:paraId="0F0D86C1" w14:textId="77777777" w:rsidR="00763928" w:rsidRPr="00226892" w:rsidRDefault="00763928" w:rsidP="00833CC0">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Spolu pohľadávky </w:t>
            </w:r>
          </w:p>
        </w:tc>
        <w:tc>
          <w:tcPr>
            <w:tcW w:w="638" w:type="pct"/>
            <w:tcBorders>
              <w:top w:val="single" w:sz="4" w:space="0" w:color="auto"/>
              <w:left w:val="nil"/>
              <w:bottom w:val="double" w:sz="6" w:space="0" w:color="auto"/>
              <w:right w:val="nil"/>
            </w:tcBorders>
            <w:shd w:val="clear" w:color="auto" w:fill="auto"/>
            <w:vAlign w:val="bottom"/>
          </w:tcPr>
          <w:p w14:paraId="14F7626C" w14:textId="7C363B07" w:rsidR="00763928" w:rsidRPr="00226892" w:rsidRDefault="00E94117" w:rsidP="00D40B0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13</w:t>
            </w:r>
          </w:p>
        </w:tc>
        <w:tc>
          <w:tcPr>
            <w:tcW w:w="91" w:type="pct"/>
            <w:tcBorders>
              <w:top w:val="nil"/>
              <w:left w:val="nil"/>
              <w:bottom w:val="nil"/>
              <w:right w:val="nil"/>
            </w:tcBorders>
            <w:shd w:val="clear" w:color="auto" w:fill="auto"/>
            <w:vAlign w:val="bottom"/>
          </w:tcPr>
          <w:p w14:paraId="71878792" w14:textId="77777777" w:rsidR="00763928" w:rsidRPr="00226892" w:rsidRDefault="00763928" w:rsidP="00D40B06">
            <w:pPr>
              <w:jc w:val="right"/>
              <w:rPr>
                <w:rFonts w:ascii="Arial" w:eastAsia="Times New Roman" w:hAnsi="Arial" w:cs="Arial"/>
                <w:b/>
                <w:bCs/>
                <w:color w:val="000000"/>
                <w:sz w:val="18"/>
                <w:szCs w:val="18"/>
                <w:lang w:val="sk-SK" w:eastAsia="sk-SK"/>
              </w:rPr>
            </w:pPr>
          </w:p>
        </w:tc>
        <w:tc>
          <w:tcPr>
            <w:tcW w:w="91" w:type="pct"/>
            <w:tcBorders>
              <w:top w:val="nil"/>
              <w:left w:val="nil"/>
              <w:bottom w:val="nil"/>
              <w:right w:val="nil"/>
            </w:tcBorders>
            <w:shd w:val="clear" w:color="auto" w:fill="auto"/>
            <w:vAlign w:val="bottom"/>
          </w:tcPr>
          <w:p w14:paraId="0FF3CFFF" w14:textId="77777777" w:rsidR="00763928" w:rsidRPr="00226892" w:rsidRDefault="00763928" w:rsidP="00D40B06">
            <w:pPr>
              <w:jc w:val="right"/>
              <w:rPr>
                <w:rFonts w:ascii="Arial" w:eastAsia="Times New Roman" w:hAnsi="Arial" w:cs="Arial"/>
                <w:b/>
                <w:bCs/>
                <w:color w:val="000000"/>
                <w:sz w:val="18"/>
                <w:szCs w:val="18"/>
                <w:lang w:val="sk-SK" w:eastAsia="sk-SK"/>
              </w:rPr>
            </w:pPr>
          </w:p>
        </w:tc>
        <w:tc>
          <w:tcPr>
            <w:tcW w:w="714" w:type="pct"/>
            <w:tcBorders>
              <w:top w:val="single" w:sz="4" w:space="0" w:color="auto"/>
              <w:left w:val="nil"/>
              <w:bottom w:val="double" w:sz="6" w:space="0" w:color="auto"/>
              <w:right w:val="nil"/>
            </w:tcBorders>
            <w:shd w:val="clear" w:color="auto" w:fill="auto"/>
            <w:vAlign w:val="bottom"/>
          </w:tcPr>
          <w:p w14:paraId="177F2881" w14:textId="47836C03" w:rsidR="00763928" w:rsidRPr="00226892" w:rsidRDefault="00E94117" w:rsidP="00D40B0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1 183</w:t>
            </w:r>
          </w:p>
        </w:tc>
        <w:tc>
          <w:tcPr>
            <w:tcW w:w="91" w:type="pct"/>
            <w:tcBorders>
              <w:top w:val="nil"/>
              <w:left w:val="nil"/>
              <w:bottom w:val="nil"/>
              <w:right w:val="nil"/>
            </w:tcBorders>
            <w:shd w:val="clear" w:color="auto" w:fill="auto"/>
            <w:vAlign w:val="bottom"/>
          </w:tcPr>
          <w:p w14:paraId="04419F8E" w14:textId="77777777" w:rsidR="00763928" w:rsidRPr="00226892" w:rsidRDefault="00763928" w:rsidP="00D40B06">
            <w:pPr>
              <w:jc w:val="right"/>
              <w:rPr>
                <w:rFonts w:ascii="Arial" w:eastAsia="Times New Roman" w:hAnsi="Arial" w:cs="Arial"/>
                <w:b/>
                <w:bCs/>
                <w:color w:val="000000"/>
                <w:sz w:val="18"/>
                <w:szCs w:val="18"/>
                <w:lang w:val="sk-SK" w:eastAsia="sk-SK"/>
              </w:rPr>
            </w:pPr>
          </w:p>
        </w:tc>
        <w:tc>
          <w:tcPr>
            <w:tcW w:w="691" w:type="pct"/>
            <w:tcBorders>
              <w:top w:val="single" w:sz="4" w:space="0" w:color="auto"/>
              <w:left w:val="nil"/>
              <w:bottom w:val="double" w:sz="6" w:space="0" w:color="auto"/>
              <w:right w:val="nil"/>
            </w:tcBorders>
            <w:shd w:val="clear" w:color="auto" w:fill="auto"/>
            <w:vAlign w:val="bottom"/>
          </w:tcPr>
          <w:p w14:paraId="6492B106" w14:textId="17D37B4B" w:rsidR="00763928" w:rsidRPr="00226892" w:rsidRDefault="00E94117" w:rsidP="00D40B0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1 076</w:t>
            </w:r>
          </w:p>
        </w:tc>
        <w:tc>
          <w:tcPr>
            <w:tcW w:w="91" w:type="pct"/>
            <w:tcBorders>
              <w:top w:val="nil"/>
              <w:left w:val="nil"/>
              <w:bottom w:val="nil"/>
              <w:right w:val="nil"/>
            </w:tcBorders>
            <w:shd w:val="clear" w:color="auto" w:fill="auto"/>
            <w:vAlign w:val="bottom"/>
          </w:tcPr>
          <w:p w14:paraId="6A9E13FC" w14:textId="77777777" w:rsidR="00763928" w:rsidRPr="00226892" w:rsidRDefault="00763928" w:rsidP="00D40B06">
            <w:pPr>
              <w:jc w:val="right"/>
              <w:rPr>
                <w:rFonts w:ascii="Arial" w:eastAsia="Times New Roman" w:hAnsi="Arial" w:cs="Arial"/>
                <w:b/>
                <w:bCs/>
                <w:color w:val="000000"/>
                <w:sz w:val="18"/>
                <w:szCs w:val="18"/>
                <w:lang w:val="sk-SK" w:eastAsia="sk-SK"/>
              </w:rPr>
            </w:pPr>
          </w:p>
        </w:tc>
        <w:tc>
          <w:tcPr>
            <w:tcW w:w="976" w:type="pct"/>
            <w:tcBorders>
              <w:top w:val="single" w:sz="4" w:space="0" w:color="auto"/>
              <w:left w:val="nil"/>
              <w:bottom w:val="double" w:sz="6" w:space="0" w:color="auto"/>
              <w:right w:val="nil"/>
            </w:tcBorders>
            <w:shd w:val="clear" w:color="auto" w:fill="auto"/>
            <w:vAlign w:val="bottom"/>
          </w:tcPr>
          <w:p w14:paraId="4D719E76" w14:textId="272DBBAC" w:rsidR="00763928" w:rsidRPr="00226892" w:rsidRDefault="00E94117" w:rsidP="00D40B0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2 272</w:t>
            </w:r>
          </w:p>
        </w:tc>
      </w:tr>
      <w:tr w:rsidR="00763928" w:rsidRPr="00226892" w14:paraId="7CF2076A" w14:textId="77777777" w:rsidTr="00756C6D">
        <w:trPr>
          <w:trHeight w:val="227"/>
        </w:trPr>
        <w:tc>
          <w:tcPr>
            <w:tcW w:w="1615" w:type="pct"/>
            <w:tcBorders>
              <w:top w:val="nil"/>
              <w:left w:val="nil"/>
              <w:bottom w:val="nil"/>
              <w:right w:val="nil"/>
            </w:tcBorders>
            <w:shd w:val="clear" w:color="auto" w:fill="auto"/>
            <w:vAlign w:val="bottom"/>
            <w:hideMark/>
          </w:tcPr>
          <w:p w14:paraId="72FDB62A" w14:textId="2B174C64" w:rsidR="00763928" w:rsidRPr="00226892" w:rsidRDefault="00763928" w:rsidP="00734402">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Záväzky – z obchodného styku </w:t>
            </w:r>
          </w:p>
        </w:tc>
        <w:tc>
          <w:tcPr>
            <w:tcW w:w="638" w:type="pct"/>
            <w:tcBorders>
              <w:top w:val="nil"/>
              <w:left w:val="nil"/>
              <w:bottom w:val="nil"/>
              <w:right w:val="nil"/>
            </w:tcBorders>
            <w:shd w:val="clear" w:color="auto" w:fill="auto"/>
            <w:vAlign w:val="bottom"/>
          </w:tcPr>
          <w:p w14:paraId="0A425994" w14:textId="20857DA4" w:rsidR="00763928" w:rsidRPr="00226892" w:rsidRDefault="00E94117" w:rsidP="00734402">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1" w:type="pct"/>
            <w:tcBorders>
              <w:top w:val="nil"/>
              <w:left w:val="nil"/>
              <w:bottom w:val="nil"/>
              <w:right w:val="nil"/>
            </w:tcBorders>
            <w:shd w:val="clear" w:color="auto" w:fill="auto"/>
            <w:vAlign w:val="bottom"/>
          </w:tcPr>
          <w:p w14:paraId="2E734108" w14:textId="77777777" w:rsidR="00763928" w:rsidRPr="00226892" w:rsidRDefault="00763928" w:rsidP="00734402">
            <w:pPr>
              <w:jc w:val="right"/>
              <w:rPr>
                <w:rFonts w:ascii="Arial" w:eastAsia="Times New Roman" w:hAnsi="Arial" w:cs="Arial"/>
                <w:color w:val="000000"/>
                <w:sz w:val="18"/>
                <w:szCs w:val="18"/>
                <w:lang w:val="sk-SK" w:eastAsia="sk-SK"/>
              </w:rPr>
            </w:pPr>
          </w:p>
        </w:tc>
        <w:tc>
          <w:tcPr>
            <w:tcW w:w="91" w:type="pct"/>
            <w:tcBorders>
              <w:top w:val="nil"/>
              <w:left w:val="nil"/>
              <w:bottom w:val="nil"/>
              <w:right w:val="nil"/>
            </w:tcBorders>
            <w:shd w:val="clear" w:color="auto" w:fill="auto"/>
            <w:vAlign w:val="bottom"/>
          </w:tcPr>
          <w:p w14:paraId="1692A793" w14:textId="77777777" w:rsidR="00763928" w:rsidRPr="00226892" w:rsidRDefault="00763928" w:rsidP="00734402">
            <w:pPr>
              <w:jc w:val="right"/>
              <w:rPr>
                <w:rFonts w:ascii="Arial" w:eastAsia="Times New Roman" w:hAnsi="Arial" w:cs="Arial"/>
                <w:color w:val="000000"/>
                <w:sz w:val="18"/>
                <w:szCs w:val="18"/>
                <w:lang w:val="sk-SK" w:eastAsia="sk-SK"/>
              </w:rPr>
            </w:pPr>
          </w:p>
        </w:tc>
        <w:tc>
          <w:tcPr>
            <w:tcW w:w="714" w:type="pct"/>
            <w:tcBorders>
              <w:top w:val="nil"/>
              <w:left w:val="nil"/>
              <w:bottom w:val="nil"/>
              <w:right w:val="nil"/>
            </w:tcBorders>
            <w:shd w:val="clear" w:color="auto" w:fill="auto"/>
            <w:vAlign w:val="bottom"/>
          </w:tcPr>
          <w:p w14:paraId="133379D0" w14:textId="7EB0FC7F" w:rsidR="00763928" w:rsidRPr="00226892" w:rsidRDefault="00F9792B" w:rsidP="00734402">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1" w:type="pct"/>
            <w:tcBorders>
              <w:top w:val="nil"/>
              <w:left w:val="nil"/>
              <w:bottom w:val="nil"/>
              <w:right w:val="nil"/>
            </w:tcBorders>
            <w:shd w:val="clear" w:color="auto" w:fill="auto"/>
            <w:vAlign w:val="bottom"/>
          </w:tcPr>
          <w:p w14:paraId="38D4D803" w14:textId="77777777" w:rsidR="00763928" w:rsidRPr="00226892" w:rsidRDefault="00763928" w:rsidP="00734402">
            <w:pPr>
              <w:jc w:val="right"/>
              <w:rPr>
                <w:rFonts w:ascii="Arial" w:eastAsia="Times New Roman" w:hAnsi="Arial" w:cs="Arial"/>
                <w:color w:val="000000"/>
                <w:sz w:val="18"/>
                <w:szCs w:val="18"/>
                <w:lang w:val="sk-SK" w:eastAsia="sk-SK"/>
              </w:rPr>
            </w:pPr>
          </w:p>
        </w:tc>
        <w:tc>
          <w:tcPr>
            <w:tcW w:w="691" w:type="pct"/>
            <w:tcBorders>
              <w:top w:val="nil"/>
              <w:left w:val="nil"/>
              <w:bottom w:val="nil"/>
              <w:right w:val="nil"/>
            </w:tcBorders>
            <w:shd w:val="clear" w:color="auto" w:fill="auto"/>
            <w:vAlign w:val="bottom"/>
          </w:tcPr>
          <w:p w14:paraId="586FAE73" w14:textId="6D8BD7B6" w:rsidR="00763928" w:rsidRPr="00226892" w:rsidRDefault="00F9792B" w:rsidP="00734402">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31</w:t>
            </w:r>
          </w:p>
        </w:tc>
        <w:tc>
          <w:tcPr>
            <w:tcW w:w="91" w:type="pct"/>
            <w:tcBorders>
              <w:top w:val="nil"/>
              <w:left w:val="nil"/>
              <w:bottom w:val="nil"/>
              <w:right w:val="nil"/>
            </w:tcBorders>
            <w:shd w:val="clear" w:color="auto" w:fill="auto"/>
            <w:vAlign w:val="bottom"/>
          </w:tcPr>
          <w:p w14:paraId="4F8456EE" w14:textId="77777777" w:rsidR="00763928" w:rsidRPr="00226892" w:rsidRDefault="00763928" w:rsidP="00734402">
            <w:pPr>
              <w:jc w:val="right"/>
              <w:rPr>
                <w:rFonts w:ascii="Arial" w:eastAsia="Times New Roman" w:hAnsi="Arial" w:cs="Arial"/>
                <w:color w:val="000000"/>
                <w:sz w:val="18"/>
                <w:szCs w:val="18"/>
                <w:lang w:val="sk-SK" w:eastAsia="sk-SK"/>
              </w:rPr>
            </w:pPr>
          </w:p>
        </w:tc>
        <w:tc>
          <w:tcPr>
            <w:tcW w:w="976" w:type="pct"/>
            <w:tcBorders>
              <w:top w:val="nil"/>
              <w:left w:val="nil"/>
              <w:bottom w:val="nil"/>
              <w:right w:val="nil"/>
            </w:tcBorders>
            <w:shd w:val="clear" w:color="auto" w:fill="auto"/>
            <w:vAlign w:val="bottom"/>
          </w:tcPr>
          <w:p w14:paraId="2307CA8B" w14:textId="363E031E" w:rsidR="00763928" w:rsidRPr="00226892" w:rsidRDefault="00F9792B" w:rsidP="00734402">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31</w:t>
            </w:r>
          </w:p>
        </w:tc>
      </w:tr>
      <w:tr w:rsidR="00763928" w:rsidRPr="00226892" w14:paraId="63B3A87C" w14:textId="77777777" w:rsidTr="00756C6D">
        <w:trPr>
          <w:trHeight w:val="227"/>
        </w:trPr>
        <w:tc>
          <w:tcPr>
            <w:tcW w:w="1615" w:type="pct"/>
            <w:tcBorders>
              <w:top w:val="nil"/>
              <w:left w:val="nil"/>
              <w:bottom w:val="nil"/>
              <w:right w:val="nil"/>
            </w:tcBorders>
            <w:shd w:val="clear" w:color="auto" w:fill="auto"/>
            <w:vAlign w:val="bottom"/>
            <w:hideMark/>
          </w:tcPr>
          <w:p w14:paraId="484B60E2" w14:textId="68A19EAB" w:rsidR="00763928" w:rsidRPr="00226892" w:rsidRDefault="00763928" w:rsidP="008D29D7">
            <w:pPr>
              <w:pStyle w:val="Odsekzoznamu"/>
              <w:numPr>
                <w:ilvl w:val="0"/>
                <w:numId w:val="38"/>
              </w:numPr>
              <w:rPr>
                <w:rFonts w:ascii="Arial" w:hAnsi="Arial" w:cs="Arial"/>
                <w:color w:val="000000"/>
                <w:sz w:val="18"/>
                <w:szCs w:val="18"/>
                <w:lang w:val="sk-SK" w:eastAsia="sk-SK"/>
              </w:rPr>
            </w:pPr>
            <w:r w:rsidRPr="00226892">
              <w:rPr>
                <w:rFonts w:ascii="Arial" w:hAnsi="Arial" w:cs="Arial"/>
                <w:color w:val="000000"/>
                <w:sz w:val="18"/>
                <w:szCs w:val="18"/>
                <w:lang w:val="sk-SK" w:eastAsia="sk-SK"/>
              </w:rPr>
              <w:t>ostatné (Pozn. 1</w:t>
            </w:r>
            <w:r w:rsidR="00522218" w:rsidRPr="00226892">
              <w:rPr>
                <w:rFonts w:ascii="Arial" w:hAnsi="Arial" w:cs="Arial"/>
                <w:color w:val="000000"/>
                <w:sz w:val="18"/>
                <w:szCs w:val="18"/>
                <w:lang w:val="sk-SK" w:eastAsia="sk-SK"/>
              </w:rPr>
              <w:t>8</w:t>
            </w:r>
            <w:r w:rsidRPr="00226892">
              <w:rPr>
                <w:rFonts w:ascii="Arial" w:hAnsi="Arial" w:cs="Arial"/>
                <w:color w:val="000000"/>
                <w:sz w:val="18"/>
                <w:szCs w:val="18"/>
                <w:lang w:val="sk-SK" w:eastAsia="sk-SK"/>
              </w:rPr>
              <w:t>)</w:t>
            </w:r>
          </w:p>
        </w:tc>
        <w:tc>
          <w:tcPr>
            <w:tcW w:w="638" w:type="pct"/>
            <w:tcBorders>
              <w:top w:val="nil"/>
              <w:left w:val="nil"/>
              <w:bottom w:val="nil"/>
              <w:right w:val="nil"/>
            </w:tcBorders>
            <w:shd w:val="clear" w:color="auto" w:fill="auto"/>
            <w:vAlign w:val="bottom"/>
          </w:tcPr>
          <w:p w14:paraId="0ED0A2A9" w14:textId="29A22B61" w:rsidR="00763928" w:rsidRPr="00226892" w:rsidRDefault="00E94117" w:rsidP="00734402">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1" w:type="pct"/>
            <w:tcBorders>
              <w:top w:val="nil"/>
              <w:left w:val="nil"/>
              <w:bottom w:val="nil"/>
              <w:right w:val="nil"/>
            </w:tcBorders>
            <w:shd w:val="clear" w:color="auto" w:fill="auto"/>
            <w:vAlign w:val="bottom"/>
          </w:tcPr>
          <w:p w14:paraId="74FCD7BA" w14:textId="77777777" w:rsidR="00763928" w:rsidRPr="00226892" w:rsidRDefault="00763928" w:rsidP="00734402">
            <w:pPr>
              <w:jc w:val="right"/>
              <w:rPr>
                <w:rFonts w:ascii="Arial" w:eastAsia="Times New Roman" w:hAnsi="Arial" w:cs="Arial"/>
                <w:color w:val="000000"/>
                <w:sz w:val="18"/>
                <w:szCs w:val="18"/>
                <w:lang w:val="sk-SK" w:eastAsia="sk-SK"/>
              </w:rPr>
            </w:pPr>
          </w:p>
        </w:tc>
        <w:tc>
          <w:tcPr>
            <w:tcW w:w="91" w:type="pct"/>
            <w:tcBorders>
              <w:top w:val="nil"/>
              <w:left w:val="nil"/>
              <w:bottom w:val="nil"/>
              <w:right w:val="nil"/>
            </w:tcBorders>
            <w:shd w:val="clear" w:color="auto" w:fill="auto"/>
            <w:vAlign w:val="bottom"/>
          </w:tcPr>
          <w:p w14:paraId="22ECEC77" w14:textId="77777777" w:rsidR="00763928" w:rsidRPr="00226892" w:rsidRDefault="00763928" w:rsidP="00734402">
            <w:pPr>
              <w:jc w:val="right"/>
              <w:rPr>
                <w:rFonts w:ascii="Arial" w:eastAsia="Times New Roman" w:hAnsi="Arial" w:cs="Arial"/>
                <w:color w:val="000000"/>
                <w:sz w:val="18"/>
                <w:szCs w:val="18"/>
                <w:lang w:val="sk-SK" w:eastAsia="sk-SK"/>
              </w:rPr>
            </w:pPr>
          </w:p>
        </w:tc>
        <w:tc>
          <w:tcPr>
            <w:tcW w:w="714" w:type="pct"/>
            <w:tcBorders>
              <w:top w:val="nil"/>
              <w:left w:val="nil"/>
              <w:bottom w:val="nil"/>
              <w:right w:val="nil"/>
            </w:tcBorders>
            <w:shd w:val="clear" w:color="auto" w:fill="auto"/>
            <w:vAlign w:val="bottom"/>
          </w:tcPr>
          <w:p w14:paraId="7638484D" w14:textId="674E4D24" w:rsidR="00763928" w:rsidRPr="00226892" w:rsidRDefault="00182361" w:rsidP="009C7BCF">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1" w:type="pct"/>
            <w:tcBorders>
              <w:top w:val="nil"/>
              <w:left w:val="nil"/>
              <w:bottom w:val="nil"/>
              <w:right w:val="nil"/>
            </w:tcBorders>
            <w:shd w:val="clear" w:color="auto" w:fill="auto"/>
            <w:vAlign w:val="bottom"/>
          </w:tcPr>
          <w:p w14:paraId="683A9F37" w14:textId="77777777" w:rsidR="00763928" w:rsidRPr="00226892" w:rsidRDefault="00763928" w:rsidP="00734402">
            <w:pPr>
              <w:jc w:val="right"/>
              <w:rPr>
                <w:rFonts w:ascii="Arial" w:eastAsia="Times New Roman" w:hAnsi="Arial" w:cs="Arial"/>
                <w:color w:val="000000"/>
                <w:sz w:val="18"/>
                <w:szCs w:val="18"/>
                <w:lang w:val="sk-SK" w:eastAsia="sk-SK"/>
              </w:rPr>
            </w:pPr>
          </w:p>
        </w:tc>
        <w:tc>
          <w:tcPr>
            <w:tcW w:w="691" w:type="pct"/>
            <w:tcBorders>
              <w:top w:val="nil"/>
              <w:left w:val="nil"/>
              <w:bottom w:val="nil"/>
              <w:right w:val="nil"/>
            </w:tcBorders>
            <w:shd w:val="clear" w:color="auto" w:fill="auto"/>
            <w:vAlign w:val="bottom"/>
          </w:tcPr>
          <w:p w14:paraId="2BFAFAE4" w14:textId="70443EF1" w:rsidR="00763928" w:rsidRPr="00226892" w:rsidRDefault="00182361" w:rsidP="00734402">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1" w:type="pct"/>
            <w:tcBorders>
              <w:top w:val="nil"/>
              <w:left w:val="nil"/>
              <w:bottom w:val="nil"/>
              <w:right w:val="nil"/>
            </w:tcBorders>
            <w:shd w:val="clear" w:color="auto" w:fill="auto"/>
            <w:vAlign w:val="bottom"/>
          </w:tcPr>
          <w:p w14:paraId="5677C49C" w14:textId="77777777" w:rsidR="00763928" w:rsidRPr="00226892" w:rsidRDefault="00763928" w:rsidP="00734402">
            <w:pPr>
              <w:jc w:val="right"/>
              <w:rPr>
                <w:rFonts w:ascii="Arial" w:eastAsia="Times New Roman" w:hAnsi="Arial" w:cs="Arial"/>
                <w:color w:val="000000"/>
                <w:sz w:val="18"/>
                <w:szCs w:val="18"/>
                <w:lang w:val="sk-SK" w:eastAsia="sk-SK"/>
              </w:rPr>
            </w:pPr>
          </w:p>
        </w:tc>
        <w:tc>
          <w:tcPr>
            <w:tcW w:w="976" w:type="pct"/>
            <w:tcBorders>
              <w:top w:val="nil"/>
              <w:left w:val="nil"/>
              <w:bottom w:val="nil"/>
              <w:right w:val="nil"/>
            </w:tcBorders>
            <w:shd w:val="clear" w:color="auto" w:fill="auto"/>
            <w:vAlign w:val="bottom"/>
          </w:tcPr>
          <w:p w14:paraId="4BBE6EF6" w14:textId="3BDE702F" w:rsidR="00763928" w:rsidRPr="00226892" w:rsidRDefault="00182361" w:rsidP="00734402">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w:t>
            </w:r>
          </w:p>
        </w:tc>
      </w:tr>
      <w:tr w:rsidR="00763928" w:rsidRPr="00226892" w14:paraId="75A4FB9E" w14:textId="77777777" w:rsidTr="00756C6D">
        <w:trPr>
          <w:trHeight w:val="227"/>
        </w:trPr>
        <w:tc>
          <w:tcPr>
            <w:tcW w:w="1615" w:type="pct"/>
            <w:tcBorders>
              <w:top w:val="nil"/>
              <w:left w:val="nil"/>
              <w:bottom w:val="nil"/>
              <w:right w:val="nil"/>
            </w:tcBorders>
            <w:shd w:val="clear" w:color="auto" w:fill="auto"/>
            <w:vAlign w:val="bottom"/>
            <w:hideMark/>
          </w:tcPr>
          <w:p w14:paraId="0F47878F" w14:textId="0E4CD140" w:rsidR="00763928" w:rsidRPr="00226892" w:rsidRDefault="00763928" w:rsidP="00763928">
            <w:pPr>
              <w:rPr>
                <w:rFonts w:ascii="Arial" w:hAnsi="Arial" w:cs="Arial"/>
                <w:color w:val="000000"/>
                <w:sz w:val="18"/>
                <w:szCs w:val="18"/>
                <w:lang w:val="sk-SK" w:eastAsia="sk-SK"/>
              </w:rPr>
            </w:pPr>
            <w:r w:rsidRPr="00226892">
              <w:rPr>
                <w:rFonts w:ascii="Arial" w:eastAsia="Times New Roman" w:hAnsi="Arial" w:cs="Arial"/>
                <w:color w:val="000000"/>
                <w:sz w:val="18"/>
                <w:szCs w:val="18"/>
                <w:lang w:val="sk-SK" w:eastAsia="sk-SK"/>
              </w:rPr>
              <w:t>P</w:t>
            </w:r>
            <w:r w:rsidR="00B4615F" w:rsidRPr="00226892">
              <w:rPr>
                <w:rFonts w:ascii="Arial" w:eastAsia="Times New Roman" w:hAnsi="Arial" w:cs="Arial"/>
                <w:color w:val="000000"/>
                <w:sz w:val="18"/>
                <w:szCs w:val="18"/>
                <w:lang w:val="sk-SK" w:eastAsia="sk-SK"/>
              </w:rPr>
              <w:t xml:space="preserve">rijaté </w:t>
            </w:r>
            <w:r w:rsidRPr="00226892">
              <w:rPr>
                <w:rFonts w:ascii="Arial" w:eastAsia="Times New Roman" w:hAnsi="Arial" w:cs="Arial"/>
                <w:color w:val="000000"/>
                <w:sz w:val="18"/>
                <w:szCs w:val="18"/>
                <w:lang w:val="sk-SK" w:eastAsia="sk-SK"/>
              </w:rPr>
              <w:t>pôžičky</w:t>
            </w:r>
            <w:r w:rsidR="00B4615F" w:rsidRPr="00226892">
              <w:rPr>
                <w:rFonts w:ascii="Arial" w:eastAsia="Times New Roman" w:hAnsi="Arial" w:cs="Arial"/>
                <w:color w:val="000000"/>
                <w:sz w:val="18"/>
                <w:szCs w:val="18"/>
                <w:lang w:val="sk-SK" w:eastAsia="sk-SK"/>
              </w:rPr>
              <w:t xml:space="preserve"> (Pozn. 1</w:t>
            </w:r>
            <w:r w:rsidR="00522218" w:rsidRPr="00226892">
              <w:rPr>
                <w:rFonts w:ascii="Arial" w:eastAsia="Times New Roman" w:hAnsi="Arial" w:cs="Arial"/>
                <w:color w:val="000000"/>
                <w:sz w:val="18"/>
                <w:szCs w:val="18"/>
                <w:lang w:val="sk-SK" w:eastAsia="sk-SK"/>
              </w:rPr>
              <w:t>5</w:t>
            </w:r>
            <w:r w:rsidR="00B4615F" w:rsidRPr="00226892">
              <w:rPr>
                <w:rFonts w:ascii="Arial" w:eastAsia="Times New Roman" w:hAnsi="Arial" w:cs="Arial"/>
                <w:color w:val="000000"/>
                <w:sz w:val="18"/>
                <w:szCs w:val="18"/>
                <w:lang w:val="sk-SK" w:eastAsia="sk-SK"/>
              </w:rPr>
              <w:t>)</w:t>
            </w:r>
          </w:p>
        </w:tc>
        <w:tc>
          <w:tcPr>
            <w:tcW w:w="638" w:type="pct"/>
            <w:tcBorders>
              <w:top w:val="nil"/>
              <w:left w:val="nil"/>
              <w:bottom w:val="nil"/>
              <w:right w:val="nil"/>
            </w:tcBorders>
            <w:shd w:val="clear" w:color="auto" w:fill="auto"/>
            <w:vAlign w:val="bottom"/>
          </w:tcPr>
          <w:p w14:paraId="46283019" w14:textId="7E2F1755" w:rsidR="00763928" w:rsidRPr="00226892" w:rsidRDefault="00E94117" w:rsidP="00D14B23">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1" w:type="pct"/>
            <w:tcBorders>
              <w:top w:val="nil"/>
              <w:left w:val="nil"/>
              <w:bottom w:val="nil"/>
              <w:right w:val="nil"/>
            </w:tcBorders>
            <w:shd w:val="clear" w:color="auto" w:fill="auto"/>
            <w:vAlign w:val="bottom"/>
          </w:tcPr>
          <w:p w14:paraId="0EC9FCF0" w14:textId="77777777" w:rsidR="00763928" w:rsidRPr="00226892" w:rsidRDefault="00763928" w:rsidP="00D40B06">
            <w:pPr>
              <w:jc w:val="right"/>
              <w:rPr>
                <w:rFonts w:ascii="Arial" w:eastAsia="Times New Roman" w:hAnsi="Arial" w:cs="Arial"/>
                <w:color w:val="000000"/>
                <w:sz w:val="18"/>
                <w:szCs w:val="18"/>
                <w:lang w:val="sk-SK" w:eastAsia="sk-SK"/>
              </w:rPr>
            </w:pPr>
          </w:p>
        </w:tc>
        <w:tc>
          <w:tcPr>
            <w:tcW w:w="91" w:type="pct"/>
            <w:tcBorders>
              <w:top w:val="nil"/>
              <w:left w:val="nil"/>
              <w:bottom w:val="nil"/>
              <w:right w:val="nil"/>
            </w:tcBorders>
            <w:shd w:val="clear" w:color="auto" w:fill="auto"/>
            <w:vAlign w:val="bottom"/>
          </w:tcPr>
          <w:p w14:paraId="731D9BA9" w14:textId="77777777" w:rsidR="00763928" w:rsidRPr="00226892" w:rsidRDefault="00763928" w:rsidP="00D40B06">
            <w:pPr>
              <w:jc w:val="right"/>
              <w:rPr>
                <w:rFonts w:ascii="Arial" w:eastAsia="Times New Roman" w:hAnsi="Arial" w:cs="Arial"/>
                <w:color w:val="000000"/>
                <w:sz w:val="18"/>
                <w:szCs w:val="18"/>
                <w:lang w:val="sk-SK" w:eastAsia="sk-SK"/>
              </w:rPr>
            </w:pPr>
          </w:p>
        </w:tc>
        <w:tc>
          <w:tcPr>
            <w:tcW w:w="714" w:type="pct"/>
            <w:tcBorders>
              <w:top w:val="nil"/>
              <w:left w:val="nil"/>
              <w:bottom w:val="nil"/>
              <w:right w:val="nil"/>
            </w:tcBorders>
            <w:shd w:val="clear" w:color="auto" w:fill="auto"/>
            <w:vAlign w:val="bottom"/>
          </w:tcPr>
          <w:p w14:paraId="51E9A7D7" w14:textId="03D5505A" w:rsidR="00763928" w:rsidRPr="00226892" w:rsidRDefault="00F9792B" w:rsidP="00D40B0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10 0</w:t>
            </w:r>
            <w:r w:rsidR="00182361" w:rsidRPr="00226892">
              <w:rPr>
                <w:rFonts w:ascii="Arial" w:eastAsia="Times New Roman" w:hAnsi="Arial" w:cs="Arial"/>
                <w:color w:val="000000"/>
                <w:sz w:val="18"/>
                <w:szCs w:val="18"/>
                <w:lang w:val="sk-SK" w:eastAsia="sk-SK"/>
              </w:rPr>
              <w:t>33</w:t>
            </w:r>
          </w:p>
        </w:tc>
        <w:tc>
          <w:tcPr>
            <w:tcW w:w="91" w:type="pct"/>
            <w:tcBorders>
              <w:top w:val="nil"/>
              <w:left w:val="nil"/>
              <w:bottom w:val="nil"/>
              <w:right w:val="nil"/>
            </w:tcBorders>
            <w:shd w:val="clear" w:color="auto" w:fill="auto"/>
            <w:vAlign w:val="bottom"/>
          </w:tcPr>
          <w:p w14:paraId="0BD8D048" w14:textId="77777777" w:rsidR="00763928" w:rsidRPr="00226892" w:rsidRDefault="00763928" w:rsidP="00D40B06">
            <w:pPr>
              <w:jc w:val="right"/>
              <w:rPr>
                <w:rFonts w:ascii="Arial" w:eastAsia="Times New Roman" w:hAnsi="Arial" w:cs="Arial"/>
                <w:color w:val="000000"/>
                <w:sz w:val="18"/>
                <w:szCs w:val="18"/>
                <w:lang w:val="sk-SK" w:eastAsia="sk-SK"/>
              </w:rPr>
            </w:pPr>
          </w:p>
        </w:tc>
        <w:tc>
          <w:tcPr>
            <w:tcW w:w="691" w:type="pct"/>
            <w:tcBorders>
              <w:top w:val="nil"/>
              <w:left w:val="nil"/>
              <w:bottom w:val="nil"/>
              <w:right w:val="nil"/>
            </w:tcBorders>
            <w:shd w:val="clear" w:color="auto" w:fill="auto"/>
            <w:vAlign w:val="bottom"/>
          </w:tcPr>
          <w:p w14:paraId="17BB0039" w14:textId="1BCF48BE" w:rsidR="00763928" w:rsidRPr="00226892" w:rsidRDefault="00F9792B" w:rsidP="00D40B0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1 7</w:t>
            </w:r>
            <w:r w:rsidR="00182361" w:rsidRPr="00226892">
              <w:rPr>
                <w:rFonts w:ascii="Arial" w:eastAsia="Times New Roman" w:hAnsi="Arial" w:cs="Arial"/>
                <w:color w:val="000000"/>
                <w:sz w:val="18"/>
                <w:szCs w:val="18"/>
                <w:lang w:val="sk-SK" w:eastAsia="sk-SK"/>
              </w:rPr>
              <w:t>78</w:t>
            </w:r>
          </w:p>
        </w:tc>
        <w:tc>
          <w:tcPr>
            <w:tcW w:w="91" w:type="pct"/>
            <w:tcBorders>
              <w:top w:val="nil"/>
              <w:left w:val="nil"/>
              <w:bottom w:val="nil"/>
              <w:right w:val="nil"/>
            </w:tcBorders>
            <w:shd w:val="clear" w:color="auto" w:fill="auto"/>
            <w:vAlign w:val="bottom"/>
          </w:tcPr>
          <w:p w14:paraId="7C0448AB" w14:textId="77777777" w:rsidR="00763928" w:rsidRPr="00226892" w:rsidRDefault="00763928" w:rsidP="00D40B06">
            <w:pPr>
              <w:jc w:val="right"/>
              <w:rPr>
                <w:rFonts w:ascii="Arial" w:eastAsia="Times New Roman" w:hAnsi="Arial" w:cs="Arial"/>
                <w:color w:val="000000"/>
                <w:sz w:val="18"/>
                <w:szCs w:val="18"/>
                <w:lang w:val="sk-SK" w:eastAsia="sk-SK"/>
              </w:rPr>
            </w:pPr>
          </w:p>
        </w:tc>
        <w:tc>
          <w:tcPr>
            <w:tcW w:w="976" w:type="pct"/>
            <w:tcBorders>
              <w:top w:val="nil"/>
              <w:left w:val="nil"/>
              <w:bottom w:val="nil"/>
              <w:right w:val="nil"/>
            </w:tcBorders>
            <w:shd w:val="clear" w:color="auto" w:fill="auto"/>
            <w:vAlign w:val="bottom"/>
          </w:tcPr>
          <w:p w14:paraId="4B64D0A4" w14:textId="407F4703" w:rsidR="00763928" w:rsidRPr="00226892" w:rsidRDefault="00F9792B" w:rsidP="00D14B23">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11 </w:t>
            </w:r>
            <w:r w:rsidR="00182361" w:rsidRPr="00226892">
              <w:rPr>
                <w:rFonts w:ascii="Arial" w:eastAsia="Times New Roman" w:hAnsi="Arial" w:cs="Arial"/>
                <w:b/>
                <w:bCs/>
                <w:color w:val="000000"/>
                <w:sz w:val="18"/>
                <w:szCs w:val="18"/>
                <w:lang w:val="sk-SK" w:eastAsia="sk-SK"/>
              </w:rPr>
              <w:t>811</w:t>
            </w:r>
          </w:p>
        </w:tc>
      </w:tr>
      <w:tr w:rsidR="00763928" w:rsidRPr="00226892" w14:paraId="58A3AE27" w14:textId="77777777" w:rsidTr="00756C6D">
        <w:trPr>
          <w:trHeight w:val="227"/>
        </w:trPr>
        <w:tc>
          <w:tcPr>
            <w:tcW w:w="1615" w:type="pct"/>
            <w:tcBorders>
              <w:top w:val="nil"/>
              <w:left w:val="nil"/>
              <w:bottom w:val="nil"/>
              <w:right w:val="nil"/>
            </w:tcBorders>
            <w:shd w:val="clear" w:color="auto" w:fill="auto"/>
            <w:noWrap/>
            <w:vAlign w:val="bottom"/>
            <w:hideMark/>
          </w:tcPr>
          <w:p w14:paraId="5555C6A5" w14:textId="77777777" w:rsidR="00763928" w:rsidRPr="00226892" w:rsidRDefault="00763928" w:rsidP="00833CC0">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Spolu záväzky </w:t>
            </w:r>
          </w:p>
        </w:tc>
        <w:tc>
          <w:tcPr>
            <w:tcW w:w="638" w:type="pct"/>
            <w:tcBorders>
              <w:top w:val="single" w:sz="4" w:space="0" w:color="auto"/>
              <w:left w:val="nil"/>
              <w:bottom w:val="double" w:sz="6" w:space="0" w:color="auto"/>
              <w:right w:val="nil"/>
            </w:tcBorders>
            <w:shd w:val="clear" w:color="auto" w:fill="auto"/>
            <w:vAlign w:val="bottom"/>
          </w:tcPr>
          <w:p w14:paraId="56B297A9" w14:textId="0BED8CB5" w:rsidR="00763928" w:rsidRPr="00226892" w:rsidRDefault="00E94117" w:rsidP="00D14B23">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w:t>
            </w:r>
          </w:p>
        </w:tc>
        <w:tc>
          <w:tcPr>
            <w:tcW w:w="91" w:type="pct"/>
            <w:tcBorders>
              <w:top w:val="nil"/>
              <w:left w:val="nil"/>
              <w:bottom w:val="nil"/>
              <w:right w:val="nil"/>
            </w:tcBorders>
            <w:shd w:val="clear" w:color="auto" w:fill="auto"/>
            <w:vAlign w:val="bottom"/>
          </w:tcPr>
          <w:p w14:paraId="1C710191" w14:textId="77777777" w:rsidR="00763928" w:rsidRPr="00226892" w:rsidRDefault="00763928" w:rsidP="00D40B06">
            <w:pPr>
              <w:jc w:val="right"/>
              <w:rPr>
                <w:rFonts w:ascii="Arial" w:eastAsia="Times New Roman" w:hAnsi="Arial" w:cs="Arial"/>
                <w:b/>
                <w:bCs/>
                <w:color w:val="000000"/>
                <w:sz w:val="18"/>
                <w:szCs w:val="18"/>
                <w:lang w:val="sk-SK" w:eastAsia="sk-SK"/>
              </w:rPr>
            </w:pPr>
          </w:p>
        </w:tc>
        <w:tc>
          <w:tcPr>
            <w:tcW w:w="91" w:type="pct"/>
            <w:tcBorders>
              <w:top w:val="nil"/>
              <w:left w:val="nil"/>
              <w:bottom w:val="nil"/>
              <w:right w:val="nil"/>
            </w:tcBorders>
            <w:shd w:val="clear" w:color="auto" w:fill="auto"/>
            <w:vAlign w:val="bottom"/>
          </w:tcPr>
          <w:p w14:paraId="17F17FB8" w14:textId="77777777" w:rsidR="00763928" w:rsidRPr="00226892" w:rsidRDefault="00763928" w:rsidP="00D40B06">
            <w:pPr>
              <w:jc w:val="right"/>
              <w:rPr>
                <w:rFonts w:ascii="Arial" w:eastAsia="Times New Roman" w:hAnsi="Arial" w:cs="Arial"/>
                <w:b/>
                <w:bCs/>
                <w:color w:val="000000"/>
                <w:sz w:val="18"/>
                <w:szCs w:val="18"/>
                <w:lang w:val="sk-SK" w:eastAsia="sk-SK"/>
              </w:rPr>
            </w:pPr>
          </w:p>
        </w:tc>
        <w:tc>
          <w:tcPr>
            <w:tcW w:w="714" w:type="pct"/>
            <w:tcBorders>
              <w:top w:val="single" w:sz="4" w:space="0" w:color="auto"/>
              <w:left w:val="nil"/>
              <w:bottom w:val="double" w:sz="6" w:space="0" w:color="auto"/>
              <w:right w:val="nil"/>
            </w:tcBorders>
            <w:shd w:val="clear" w:color="auto" w:fill="auto"/>
            <w:vAlign w:val="bottom"/>
          </w:tcPr>
          <w:p w14:paraId="26BD62BA" w14:textId="13F732F7" w:rsidR="00763928" w:rsidRPr="00226892" w:rsidRDefault="00E94117" w:rsidP="00D40B0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10 </w:t>
            </w:r>
            <w:r w:rsidR="00F9792B" w:rsidRPr="00226892">
              <w:rPr>
                <w:rFonts w:ascii="Arial" w:eastAsia="Times New Roman" w:hAnsi="Arial" w:cs="Arial"/>
                <w:b/>
                <w:bCs/>
                <w:color w:val="000000"/>
                <w:sz w:val="18"/>
                <w:szCs w:val="18"/>
                <w:lang w:val="sk-SK" w:eastAsia="sk-SK"/>
              </w:rPr>
              <w:t>0</w:t>
            </w:r>
            <w:r w:rsidR="00282866" w:rsidRPr="00226892">
              <w:rPr>
                <w:rFonts w:ascii="Arial" w:eastAsia="Times New Roman" w:hAnsi="Arial" w:cs="Arial"/>
                <w:b/>
                <w:bCs/>
                <w:color w:val="000000"/>
                <w:sz w:val="18"/>
                <w:szCs w:val="18"/>
                <w:lang w:val="sk-SK" w:eastAsia="sk-SK"/>
              </w:rPr>
              <w:t>33</w:t>
            </w:r>
          </w:p>
        </w:tc>
        <w:tc>
          <w:tcPr>
            <w:tcW w:w="91" w:type="pct"/>
            <w:tcBorders>
              <w:top w:val="nil"/>
              <w:left w:val="nil"/>
              <w:bottom w:val="nil"/>
              <w:right w:val="nil"/>
            </w:tcBorders>
            <w:shd w:val="clear" w:color="auto" w:fill="auto"/>
            <w:vAlign w:val="bottom"/>
          </w:tcPr>
          <w:p w14:paraId="4A814BD7" w14:textId="77777777" w:rsidR="00763928" w:rsidRPr="00226892" w:rsidRDefault="00763928" w:rsidP="00D40B06">
            <w:pPr>
              <w:jc w:val="right"/>
              <w:rPr>
                <w:rFonts w:ascii="Arial" w:eastAsia="Times New Roman" w:hAnsi="Arial" w:cs="Arial"/>
                <w:b/>
                <w:bCs/>
                <w:color w:val="000000"/>
                <w:sz w:val="18"/>
                <w:szCs w:val="18"/>
                <w:lang w:val="sk-SK" w:eastAsia="sk-SK"/>
              </w:rPr>
            </w:pPr>
          </w:p>
        </w:tc>
        <w:tc>
          <w:tcPr>
            <w:tcW w:w="691" w:type="pct"/>
            <w:tcBorders>
              <w:top w:val="single" w:sz="4" w:space="0" w:color="auto"/>
              <w:left w:val="nil"/>
              <w:bottom w:val="double" w:sz="6" w:space="0" w:color="auto"/>
              <w:right w:val="nil"/>
            </w:tcBorders>
            <w:shd w:val="clear" w:color="auto" w:fill="auto"/>
            <w:vAlign w:val="bottom"/>
          </w:tcPr>
          <w:p w14:paraId="5D4761E0" w14:textId="073D019A" w:rsidR="00763928" w:rsidRPr="00226892" w:rsidRDefault="00F9792B" w:rsidP="00D40B0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1 </w:t>
            </w:r>
            <w:r w:rsidR="00282866" w:rsidRPr="00226892">
              <w:rPr>
                <w:rFonts w:ascii="Arial" w:eastAsia="Times New Roman" w:hAnsi="Arial" w:cs="Arial"/>
                <w:b/>
                <w:bCs/>
                <w:color w:val="000000"/>
                <w:sz w:val="18"/>
                <w:szCs w:val="18"/>
                <w:lang w:val="sk-SK" w:eastAsia="sk-SK"/>
              </w:rPr>
              <w:t>809</w:t>
            </w:r>
          </w:p>
        </w:tc>
        <w:tc>
          <w:tcPr>
            <w:tcW w:w="91" w:type="pct"/>
            <w:tcBorders>
              <w:top w:val="nil"/>
              <w:left w:val="nil"/>
              <w:bottom w:val="nil"/>
              <w:right w:val="nil"/>
            </w:tcBorders>
            <w:shd w:val="clear" w:color="auto" w:fill="auto"/>
            <w:vAlign w:val="bottom"/>
          </w:tcPr>
          <w:p w14:paraId="1682C85C" w14:textId="77777777" w:rsidR="00763928" w:rsidRPr="00226892" w:rsidRDefault="00763928" w:rsidP="00D40B06">
            <w:pPr>
              <w:jc w:val="right"/>
              <w:rPr>
                <w:rFonts w:ascii="Arial" w:eastAsia="Times New Roman" w:hAnsi="Arial" w:cs="Arial"/>
                <w:b/>
                <w:bCs/>
                <w:color w:val="000000"/>
                <w:sz w:val="18"/>
                <w:szCs w:val="18"/>
                <w:lang w:val="sk-SK" w:eastAsia="sk-SK"/>
              </w:rPr>
            </w:pPr>
          </w:p>
        </w:tc>
        <w:tc>
          <w:tcPr>
            <w:tcW w:w="976" w:type="pct"/>
            <w:tcBorders>
              <w:top w:val="single" w:sz="4" w:space="0" w:color="auto"/>
              <w:left w:val="nil"/>
              <w:bottom w:val="double" w:sz="6" w:space="0" w:color="auto"/>
              <w:right w:val="nil"/>
            </w:tcBorders>
            <w:shd w:val="clear" w:color="auto" w:fill="auto"/>
            <w:vAlign w:val="bottom"/>
          </w:tcPr>
          <w:p w14:paraId="324D402C" w14:textId="3EAFC804" w:rsidR="00763928" w:rsidRPr="00226892" w:rsidRDefault="00F9792B" w:rsidP="00D14B23">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11 8</w:t>
            </w:r>
            <w:r w:rsidR="00282866" w:rsidRPr="00226892">
              <w:rPr>
                <w:rFonts w:ascii="Arial" w:eastAsia="Times New Roman" w:hAnsi="Arial" w:cs="Arial"/>
                <w:b/>
                <w:bCs/>
                <w:color w:val="000000"/>
                <w:sz w:val="18"/>
                <w:szCs w:val="18"/>
                <w:lang w:val="sk-SK" w:eastAsia="sk-SK"/>
              </w:rPr>
              <w:t>42</w:t>
            </w:r>
          </w:p>
        </w:tc>
      </w:tr>
    </w:tbl>
    <w:p w14:paraId="36CA4339" w14:textId="74D6BC1B" w:rsidR="00C473E3" w:rsidRPr="00226892" w:rsidRDefault="00DD63CA" w:rsidP="00833CC0">
      <w:pPr>
        <w:rPr>
          <w:rFonts w:ascii="Arial" w:hAnsi="Arial" w:cs="Arial"/>
          <w:sz w:val="18"/>
          <w:szCs w:val="18"/>
          <w:highlight w:val="yellow"/>
        </w:rPr>
      </w:pPr>
      <w:r w:rsidRPr="00226892">
        <w:rPr>
          <w:rFonts w:ascii="Arial" w:hAnsi="Arial" w:cs="Arial"/>
          <w:sz w:val="18"/>
          <w:szCs w:val="18"/>
          <w:highlight w:val="yellow"/>
        </w:rPr>
        <w:t xml:space="preserve"> </w:t>
      </w:r>
      <w:bookmarkEnd w:id="645"/>
      <w:r w:rsidRPr="00226892">
        <w:rPr>
          <w:rFonts w:ascii="Arial" w:hAnsi="Arial" w:cs="Arial"/>
          <w:sz w:val="18"/>
          <w:szCs w:val="18"/>
          <w:highlight w:val="yellow"/>
        </w:rPr>
        <w:t xml:space="preserve"> </w:t>
      </w:r>
      <w:r w:rsidR="00C473E3" w:rsidRPr="00226892">
        <w:rPr>
          <w:rFonts w:ascii="Arial" w:hAnsi="Arial" w:cs="Arial"/>
          <w:sz w:val="18"/>
          <w:szCs w:val="18"/>
          <w:highlight w:val="yellow"/>
        </w:rPr>
        <w:t xml:space="preserve"> </w:t>
      </w:r>
    </w:p>
    <w:p w14:paraId="7F895DA6" w14:textId="33067CEE" w:rsidR="00DD63CA" w:rsidRPr="00226892" w:rsidRDefault="0056068D" w:rsidP="00756C6D">
      <w:pPr>
        <w:jc w:val="both"/>
        <w:rPr>
          <w:rFonts w:ascii="Arial" w:hAnsi="Arial" w:cs="Arial"/>
          <w:sz w:val="16"/>
          <w:szCs w:val="16"/>
        </w:rPr>
      </w:pPr>
      <w:r w:rsidRPr="00226892">
        <w:rPr>
          <w:rFonts w:ascii="Arial" w:hAnsi="Arial" w:cs="Arial"/>
          <w:lang w:val="sk-SK"/>
        </w:rPr>
        <w:t xml:space="preserve">Pohľadávky a záväzky vyplývajúce z transakcií so spriaznenými stranami k 31. decembru </w:t>
      </w:r>
      <w:r w:rsidR="00F63A77" w:rsidRPr="00226892">
        <w:rPr>
          <w:rFonts w:ascii="Arial" w:hAnsi="Arial" w:cs="Arial"/>
          <w:lang w:val="sk-SK"/>
        </w:rPr>
        <w:t>2017</w:t>
      </w:r>
      <w:r w:rsidR="00CE3E6A" w:rsidRPr="00226892">
        <w:rPr>
          <w:rFonts w:ascii="Arial" w:hAnsi="Arial" w:cs="Arial"/>
          <w:lang w:val="sk-SK"/>
        </w:rPr>
        <w:t xml:space="preserve"> </w:t>
      </w:r>
      <w:r w:rsidRPr="00226892">
        <w:rPr>
          <w:rFonts w:ascii="Arial" w:hAnsi="Arial" w:cs="Arial"/>
          <w:lang w:val="sk-SK"/>
        </w:rPr>
        <w:t>sú uvedené v nasledovnej tabuľke:</w:t>
      </w:r>
      <w:r w:rsidR="005B2A45" w:rsidRPr="00226892">
        <w:rPr>
          <w:rFonts w:ascii="Arial" w:hAnsi="Arial" w:cs="Arial"/>
        </w:rPr>
        <w:t xml:space="preserve"> </w:t>
      </w:r>
      <w:bookmarkStart w:id="646" w:name="FWT_ReceivAndPayablWithRelParties_PY"/>
      <w:r w:rsidR="00B4615F" w:rsidRPr="00226892">
        <w:rPr>
          <w:rFonts w:ascii="Arial" w:hAnsi="Arial" w:cs="Arial"/>
          <w:sz w:val="16"/>
          <w:szCs w:val="16"/>
        </w:rPr>
        <w:tab/>
      </w:r>
      <w:r w:rsidR="00DD63CA" w:rsidRPr="00226892">
        <w:rPr>
          <w:rFonts w:ascii="Arial" w:hAnsi="Arial" w:cs="Arial"/>
          <w:sz w:val="16"/>
          <w:szCs w:val="16"/>
        </w:rPr>
        <w:t xml:space="preserve"> </w:t>
      </w:r>
    </w:p>
    <w:tbl>
      <w:tblPr>
        <w:tblW w:w="5000" w:type="pct"/>
        <w:tblCellMar>
          <w:left w:w="70" w:type="dxa"/>
          <w:right w:w="70" w:type="dxa"/>
        </w:tblCellMar>
        <w:tblLook w:val="04A0" w:firstRow="1" w:lastRow="0" w:firstColumn="1" w:lastColumn="0" w:noHBand="0" w:noVBand="1"/>
      </w:tblPr>
      <w:tblGrid>
        <w:gridCol w:w="3130"/>
        <w:gridCol w:w="1216"/>
        <w:gridCol w:w="175"/>
        <w:gridCol w:w="175"/>
        <w:gridCol w:w="1357"/>
        <w:gridCol w:w="185"/>
        <w:gridCol w:w="1353"/>
        <w:gridCol w:w="168"/>
        <w:gridCol w:w="1880"/>
      </w:tblGrid>
      <w:tr w:rsidR="00B4615F" w:rsidRPr="00226892" w14:paraId="4D87F1BA" w14:textId="77777777" w:rsidTr="00756C6D">
        <w:trPr>
          <w:trHeight w:val="227"/>
        </w:trPr>
        <w:tc>
          <w:tcPr>
            <w:tcW w:w="1623" w:type="pct"/>
            <w:tcBorders>
              <w:top w:val="nil"/>
              <w:left w:val="nil"/>
              <w:bottom w:val="single" w:sz="4" w:space="0" w:color="auto"/>
              <w:right w:val="nil"/>
            </w:tcBorders>
            <w:shd w:val="clear" w:color="auto" w:fill="auto"/>
            <w:noWrap/>
            <w:vAlign w:val="bottom"/>
            <w:hideMark/>
          </w:tcPr>
          <w:p w14:paraId="53DAA6F5" w14:textId="77777777" w:rsidR="00B4615F" w:rsidRPr="00226892" w:rsidRDefault="00B4615F" w:rsidP="00833CC0">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w:t>
            </w:r>
          </w:p>
        </w:tc>
        <w:tc>
          <w:tcPr>
            <w:tcW w:w="631" w:type="pct"/>
            <w:tcBorders>
              <w:top w:val="nil"/>
              <w:left w:val="nil"/>
              <w:bottom w:val="single" w:sz="4" w:space="0" w:color="auto"/>
              <w:right w:val="nil"/>
            </w:tcBorders>
            <w:shd w:val="clear" w:color="auto" w:fill="auto"/>
            <w:vAlign w:val="bottom"/>
            <w:hideMark/>
          </w:tcPr>
          <w:p w14:paraId="0643F660" w14:textId="43DAC251" w:rsidR="00B4615F" w:rsidRPr="00226892" w:rsidRDefault="00B4615F">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Pridružené spoločnosti a spoločné podniky </w:t>
            </w:r>
          </w:p>
        </w:tc>
        <w:tc>
          <w:tcPr>
            <w:tcW w:w="91" w:type="pct"/>
            <w:tcBorders>
              <w:top w:val="nil"/>
              <w:left w:val="nil"/>
              <w:bottom w:val="single" w:sz="4" w:space="0" w:color="auto"/>
              <w:right w:val="nil"/>
            </w:tcBorders>
          </w:tcPr>
          <w:p w14:paraId="355FDF28" w14:textId="77777777" w:rsidR="00B4615F" w:rsidRPr="00226892" w:rsidRDefault="00B4615F">
            <w:pPr>
              <w:jc w:val="center"/>
              <w:rPr>
                <w:rFonts w:ascii="Arial" w:eastAsia="Times New Roman" w:hAnsi="Arial" w:cs="Arial"/>
                <w:b/>
                <w:bCs/>
                <w:color w:val="000000"/>
                <w:sz w:val="18"/>
                <w:szCs w:val="18"/>
                <w:lang w:val="sk-SK" w:eastAsia="sk-SK"/>
              </w:rPr>
            </w:pPr>
          </w:p>
        </w:tc>
        <w:tc>
          <w:tcPr>
            <w:tcW w:w="91" w:type="pct"/>
            <w:tcBorders>
              <w:top w:val="nil"/>
              <w:left w:val="nil"/>
              <w:bottom w:val="single" w:sz="4" w:space="0" w:color="auto"/>
              <w:right w:val="nil"/>
            </w:tcBorders>
          </w:tcPr>
          <w:p w14:paraId="0B99B344" w14:textId="77777777" w:rsidR="00B4615F" w:rsidRPr="00226892" w:rsidRDefault="00B4615F">
            <w:pPr>
              <w:jc w:val="center"/>
              <w:rPr>
                <w:rFonts w:ascii="Arial" w:eastAsia="Times New Roman" w:hAnsi="Arial" w:cs="Arial"/>
                <w:b/>
                <w:bCs/>
                <w:color w:val="000000"/>
                <w:sz w:val="18"/>
                <w:szCs w:val="18"/>
                <w:lang w:val="sk-SK" w:eastAsia="sk-SK"/>
              </w:rPr>
            </w:pPr>
          </w:p>
        </w:tc>
        <w:tc>
          <w:tcPr>
            <w:tcW w:w="704" w:type="pct"/>
            <w:tcBorders>
              <w:top w:val="nil"/>
              <w:left w:val="nil"/>
              <w:bottom w:val="single" w:sz="4" w:space="0" w:color="auto"/>
              <w:right w:val="nil"/>
            </w:tcBorders>
            <w:shd w:val="clear" w:color="auto" w:fill="auto"/>
            <w:vAlign w:val="bottom"/>
            <w:hideMark/>
          </w:tcPr>
          <w:p w14:paraId="34B12EC7" w14:textId="68B42CE8" w:rsidR="00B4615F" w:rsidRPr="00226892" w:rsidRDefault="00B4615F">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Matersk</w:t>
            </w:r>
            <w:r w:rsidR="005F26CD" w:rsidRPr="00226892">
              <w:rPr>
                <w:rFonts w:ascii="Arial" w:eastAsia="Times New Roman" w:hAnsi="Arial" w:cs="Arial"/>
                <w:b/>
                <w:bCs/>
                <w:color w:val="000000"/>
                <w:sz w:val="18"/>
                <w:szCs w:val="18"/>
                <w:lang w:val="sk-SK" w:eastAsia="sk-SK"/>
              </w:rPr>
              <w:t>á</w:t>
            </w:r>
            <w:r w:rsidRPr="00226892">
              <w:rPr>
                <w:rFonts w:ascii="Arial" w:eastAsia="Times New Roman" w:hAnsi="Arial" w:cs="Arial"/>
                <w:b/>
                <w:bCs/>
                <w:color w:val="000000"/>
                <w:sz w:val="18"/>
                <w:szCs w:val="18"/>
                <w:lang w:val="sk-SK" w:eastAsia="sk-SK"/>
              </w:rPr>
              <w:t xml:space="preserve"> spoločnos</w:t>
            </w:r>
            <w:r w:rsidR="005F26CD" w:rsidRPr="00226892">
              <w:rPr>
                <w:rFonts w:ascii="Arial" w:eastAsia="Times New Roman" w:hAnsi="Arial" w:cs="Arial"/>
                <w:b/>
                <w:bCs/>
                <w:color w:val="000000"/>
                <w:sz w:val="18"/>
                <w:szCs w:val="18"/>
                <w:lang w:val="sk-SK" w:eastAsia="sk-SK"/>
              </w:rPr>
              <w:t>ť</w:t>
            </w:r>
          </w:p>
        </w:tc>
        <w:tc>
          <w:tcPr>
            <w:tcW w:w="96" w:type="pct"/>
            <w:tcBorders>
              <w:top w:val="nil"/>
              <w:left w:val="nil"/>
              <w:bottom w:val="single" w:sz="4" w:space="0" w:color="auto"/>
              <w:right w:val="nil"/>
            </w:tcBorders>
          </w:tcPr>
          <w:p w14:paraId="0810A43C" w14:textId="77777777" w:rsidR="00B4615F" w:rsidRPr="00226892" w:rsidRDefault="00B4615F">
            <w:pPr>
              <w:jc w:val="center"/>
              <w:rPr>
                <w:rFonts w:ascii="Arial" w:eastAsia="Times New Roman" w:hAnsi="Arial" w:cs="Arial"/>
                <w:b/>
                <w:bCs/>
                <w:color w:val="000000"/>
                <w:sz w:val="18"/>
                <w:szCs w:val="18"/>
                <w:lang w:val="sk-SK" w:eastAsia="sk-SK"/>
              </w:rPr>
            </w:pPr>
          </w:p>
        </w:tc>
        <w:tc>
          <w:tcPr>
            <w:tcW w:w="702" w:type="pct"/>
            <w:tcBorders>
              <w:top w:val="nil"/>
              <w:left w:val="nil"/>
              <w:bottom w:val="single" w:sz="4" w:space="0" w:color="auto"/>
              <w:right w:val="nil"/>
            </w:tcBorders>
            <w:shd w:val="clear" w:color="auto" w:fill="auto"/>
            <w:vAlign w:val="bottom"/>
            <w:hideMark/>
          </w:tcPr>
          <w:p w14:paraId="4E7B4C0B" w14:textId="7CC46099" w:rsidR="00B4615F" w:rsidRPr="00226892" w:rsidRDefault="00B4615F">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Ostatné spriaznené strany </w:t>
            </w:r>
          </w:p>
        </w:tc>
        <w:tc>
          <w:tcPr>
            <w:tcW w:w="87" w:type="pct"/>
            <w:tcBorders>
              <w:top w:val="nil"/>
              <w:left w:val="nil"/>
              <w:bottom w:val="single" w:sz="4" w:space="0" w:color="auto"/>
              <w:right w:val="nil"/>
            </w:tcBorders>
          </w:tcPr>
          <w:p w14:paraId="0AF08C4C" w14:textId="77777777" w:rsidR="00B4615F" w:rsidRPr="00226892" w:rsidRDefault="00B4615F">
            <w:pPr>
              <w:jc w:val="center"/>
              <w:rPr>
                <w:rFonts w:ascii="Arial" w:eastAsia="Times New Roman" w:hAnsi="Arial" w:cs="Arial"/>
                <w:b/>
                <w:bCs/>
                <w:color w:val="000000"/>
                <w:sz w:val="18"/>
                <w:szCs w:val="18"/>
                <w:lang w:val="sk-SK" w:eastAsia="sk-SK"/>
              </w:rPr>
            </w:pPr>
          </w:p>
        </w:tc>
        <w:tc>
          <w:tcPr>
            <w:tcW w:w="975" w:type="pct"/>
            <w:tcBorders>
              <w:top w:val="nil"/>
              <w:left w:val="nil"/>
              <w:bottom w:val="single" w:sz="4" w:space="0" w:color="auto"/>
              <w:right w:val="nil"/>
            </w:tcBorders>
            <w:shd w:val="clear" w:color="auto" w:fill="auto"/>
            <w:vAlign w:val="bottom"/>
            <w:hideMark/>
          </w:tcPr>
          <w:p w14:paraId="6E3049B1" w14:textId="75870FE7" w:rsidR="00B4615F" w:rsidRPr="00226892" w:rsidRDefault="00B4615F">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Spolu </w:t>
            </w:r>
          </w:p>
        </w:tc>
      </w:tr>
      <w:tr w:rsidR="006B1BD1" w:rsidRPr="00226892" w14:paraId="43772FA9" w14:textId="77777777" w:rsidTr="00756C6D">
        <w:trPr>
          <w:trHeight w:val="227"/>
        </w:trPr>
        <w:tc>
          <w:tcPr>
            <w:tcW w:w="1623" w:type="pct"/>
            <w:tcBorders>
              <w:top w:val="nil"/>
              <w:left w:val="nil"/>
              <w:bottom w:val="nil"/>
              <w:right w:val="nil"/>
            </w:tcBorders>
            <w:shd w:val="clear" w:color="auto" w:fill="auto"/>
            <w:vAlign w:val="bottom"/>
            <w:hideMark/>
          </w:tcPr>
          <w:p w14:paraId="73515218" w14:textId="77777777" w:rsidR="006B1BD1" w:rsidRPr="00226892" w:rsidRDefault="006B1BD1" w:rsidP="006B1BD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Pohľadávky – z obchodného styku </w:t>
            </w:r>
          </w:p>
        </w:tc>
        <w:tc>
          <w:tcPr>
            <w:tcW w:w="631" w:type="pct"/>
            <w:tcBorders>
              <w:top w:val="nil"/>
              <w:left w:val="nil"/>
              <w:bottom w:val="nil"/>
              <w:right w:val="nil"/>
            </w:tcBorders>
            <w:shd w:val="clear" w:color="auto" w:fill="auto"/>
            <w:vAlign w:val="bottom"/>
          </w:tcPr>
          <w:p w14:paraId="11C767A5" w14:textId="1AF38DE8" w:rsidR="006B1BD1" w:rsidRPr="00226892" w:rsidRDefault="006B1BD1"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w:t>
            </w:r>
          </w:p>
        </w:tc>
        <w:tc>
          <w:tcPr>
            <w:tcW w:w="91" w:type="pct"/>
            <w:tcBorders>
              <w:top w:val="nil"/>
              <w:left w:val="nil"/>
              <w:bottom w:val="nil"/>
              <w:right w:val="nil"/>
            </w:tcBorders>
            <w:vAlign w:val="bottom"/>
          </w:tcPr>
          <w:p w14:paraId="4A54C691"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91" w:type="pct"/>
            <w:tcBorders>
              <w:top w:val="nil"/>
              <w:left w:val="nil"/>
              <w:bottom w:val="nil"/>
              <w:right w:val="nil"/>
            </w:tcBorders>
            <w:vAlign w:val="bottom"/>
          </w:tcPr>
          <w:p w14:paraId="7C92188A"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704" w:type="pct"/>
            <w:tcBorders>
              <w:top w:val="nil"/>
              <w:left w:val="nil"/>
              <w:bottom w:val="nil"/>
              <w:right w:val="nil"/>
            </w:tcBorders>
            <w:shd w:val="clear" w:color="auto" w:fill="auto"/>
            <w:vAlign w:val="bottom"/>
          </w:tcPr>
          <w:p w14:paraId="7896A605" w14:textId="3C5252B6" w:rsidR="006B1BD1" w:rsidRPr="00226892" w:rsidRDefault="005F26CD"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6" w:type="pct"/>
            <w:tcBorders>
              <w:top w:val="nil"/>
              <w:left w:val="nil"/>
              <w:bottom w:val="nil"/>
              <w:right w:val="nil"/>
            </w:tcBorders>
            <w:vAlign w:val="bottom"/>
          </w:tcPr>
          <w:p w14:paraId="24971DC7"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702" w:type="pct"/>
            <w:tcBorders>
              <w:top w:val="nil"/>
              <w:left w:val="nil"/>
              <w:bottom w:val="nil"/>
              <w:right w:val="nil"/>
            </w:tcBorders>
            <w:shd w:val="clear" w:color="auto" w:fill="auto"/>
            <w:vAlign w:val="bottom"/>
          </w:tcPr>
          <w:p w14:paraId="382F40E9" w14:textId="26BB77FB" w:rsidR="006B1BD1" w:rsidRPr="00226892" w:rsidRDefault="005F26CD"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745</w:t>
            </w:r>
          </w:p>
        </w:tc>
        <w:tc>
          <w:tcPr>
            <w:tcW w:w="87" w:type="pct"/>
            <w:tcBorders>
              <w:top w:val="nil"/>
              <w:left w:val="nil"/>
              <w:bottom w:val="nil"/>
              <w:right w:val="nil"/>
            </w:tcBorders>
            <w:vAlign w:val="bottom"/>
          </w:tcPr>
          <w:p w14:paraId="26F615DE" w14:textId="77777777" w:rsidR="006B1BD1" w:rsidRPr="00226892" w:rsidRDefault="006B1BD1" w:rsidP="006B1BD1">
            <w:pPr>
              <w:jc w:val="right"/>
              <w:rPr>
                <w:rFonts w:ascii="Arial" w:eastAsia="Times New Roman" w:hAnsi="Arial" w:cs="Arial"/>
                <w:b/>
                <w:bCs/>
                <w:color w:val="000000"/>
                <w:sz w:val="18"/>
                <w:szCs w:val="18"/>
                <w:lang w:val="sk-SK" w:eastAsia="sk-SK"/>
              </w:rPr>
            </w:pPr>
          </w:p>
        </w:tc>
        <w:tc>
          <w:tcPr>
            <w:tcW w:w="975" w:type="pct"/>
            <w:tcBorders>
              <w:top w:val="nil"/>
              <w:left w:val="nil"/>
              <w:bottom w:val="nil"/>
              <w:right w:val="nil"/>
            </w:tcBorders>
            <w:shd w:val="clear" w:color="auto" w:fill="auto"/>
            <w:vAlign w:val="bottom"/>
          </w:tcPr>
          <w:p w14:paraId="53356BD8" w14:textId="0AB294CE" w:rsidR="006B1BD1" w:rsidRPr="00226892" w:rsidRDefault="005F26CD" w:rsidP="006B1BD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747</w:t>
            </w:r>
          </w:p>
        </w:tc>
      </w:tr>
      <w:tr w:rsidR="006B1BD1" w:rsidRPr="00226892" w14:paraId="65477B65" w14:textId="77777777" w:rsidTr="00756C6D">
        <w:trPr>
          <w:trHeight w:val="227"/>
        </w:trPr>
        <w:tc>
          <w:tcPr>
            <w:tcW w:w="1623" w:type="pct"/>
            <w:tcBorders>
              <w:top w:val="nil"/>
              <w:left w:val="nil"/>
              <w:bottom w:val="nil"/>
              <w:right w:val="nil"/>
            </w:tcBorders>
            <w:shd w:val="clear" w:color="auto" w:fill="auto"/>
            <w:vAlign w:val="bottom"/>
            <w:hideMark/>
          </w:tcPr>
          <w:p w14:paraId="7163FD7F" w14:textId="736AA2C4" w:rsidR="006B1BD1" w:rsidRPr="00226892" w:rsidRDefault="006B1BD1" w:rsidP="006B1BD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 ostatné (Pozn. 10) </w:t>
            </w:r>
          </w:p>
        </w:tc>
        <w:tc>
          <w:tcPr>
            <w:tcW w:w="631" w:type="pct"/>
            <w:tcBorders>
              <w:top w:val="nil"/>
              <w:left w:val="nil"/>
              <w:bottom w:val="nil"/>
              <w:right w:val="nil"/>
            </w:tcBorders>
            <w:shd w:val="clear" w:color="auto" w:fill="auto"/>
            <w:vAlign w:val="bottom"/>
          </w:tcPr>
          <w:p w14:paraId="2400D565" w14:textId="34412CC1" w:rsidR="006B1BD1" w:rsidRPr="00226892" w:rsidRDefault="006B1BD1"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1" w:type="pct"/>
            <w:tcBorders>
              <w:top w:val="nil"/>
              <w:left w:val="nil"/>
              <w:bottom w:val="nil"/>
              <w:right w:val="nil"/>
            </w:tcBorders>
            <w:vAlign w:val="bottom"/>
          </w:tcPr>
          <w:p w14:paraId="4F0738AA"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91" w:type="pct"/>
            <w:tcBorders>
              <w:top w:val="nil"/>
              <w:left w:val="nil"/>
              <w:bottom w:val="nil"/>
              <w:right w:val="nil"/>
            </w:tcBorders>
            <w:vAlign w:val="bottom"/>
          </w:tcPr>
          <w:p w14:paraId="6315BBB4"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704" w:type="pct"/>
            <w:tcBorders>
              <w:top w:val="nil"/>
              <w:left w:val="nil"/>
              <w:bottom w:val="nil"/>
              <w:right w:val="nil"/>
            </w:tcBorders>
            <w:shd w:val="clear" w:color="auto" w:fill="auto"/>
            <w:vAlign w:val="bottom"/>
          </w:tcPr>
          <w:p w14:paraId="53CEE273" w14:textId="435EBB49" w:rsidR="006B1BD1" w:rsidRPr="00226892" w:rsidRDefault="006B1BD1"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6" w:type="pct"/>
            <w:tcBorders>
              <w:top w:val="nil"/>
              <w:left w:val="nil"/>
              <w:bottom w:val="nil"/>
              <w:right w:val="nil"/>
            </w:tcBorders>
            <w:vAlign w:val="bottom"/>
          </w:tcPr>
          <w:p w14:paraId="42D22B7F"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702" w:type="pct"/>
            <w:tcBorders>
              <w:top w:val="nil"/>
              <w:left w:val="nil"/>
              <w:bottom w:val="nil"/>
              <w:right w:val="nil"/>
            </w:tcBorders>
            <w:shd w:val="clear" w:color="auto" w:fill="auto"/>
            <w:vAlign w:val="bottom"/>
          </w:tcPr>
          <w:p w14:paraId="13DB7930" w14:textId="026C0775" w:rsidR="006B1BD1" w:rsidRPr="00226892" w:rsidRDefault="005F26CD"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87" w:type="pct"/>
            <w:tcBorders>
              <w:top w:val="nil"/>
              <w:left w:val="nil"/>
              <w:bottom w:val="nil"/>
              <w:right w:val="nil"/>
            </w:tcBorders>
            <w:vAlign w:val="bottom"/>
          </w:tcPr>
          <w:p w14:paraId="65C4D5F1" w14:textId="77777777" w:rsidR="006B1BD1" w:rsidRPr="00226892" w:rsidRDefault="006B1BD1" w:rsidP="006B1BD1">
            <w:pPr>
              <w:jc w:val="right"/>
              <w:rPr>
                <w:rFonts w:ascii="Arial" w:eastAsia="Times New Roman" w:hAnsi="Arial" w:cs="Arial"/>
                <w:b/>
                <w:bCs/>
                <w:color w:val="000000"/>
                <w:sz w:val="18"/>
                <w:szCs w:val="18"/>
                <w:lang w:val="sk-SK" w:eastAsia="sk-SK"/>
              </w:rPr>
            </w:pPr>
          </w:p>
        </w:tc>
        <w:tc>
          <w:tcPr>
            <w:tcW w:w="975" w:type="pct"/>
            <w:tcBorders>
              <w:top w:val="nil"/>
              <w:left w:val="nil"/>
              <w:bottom w:val="nil"/>
              <w:right w:val="nil"/>
            </w:tcBorders>
            <w:shd w:val="clear" w:color="auto" w:fill="auto"/>
            <w:vAlign w:val="bottom"/>
          </w:tcPr>
          <w:p w14:paraId="4B505E89" w14:textId="75FD21AC" w:rsidR="006B1BD1" w:rsidRPr="00226892" w:rsidRDefault="005F26CD" w:rsidP="006B1BD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w:t>
            </w:r>
          </w:p>
        </w:tc>
      </w:tr>
      <w:tr w:rsidR="006B1BD1" w:rsidRPr="00226892" w14:paraId="2C16A0E8" w14:textId="77777777" w:rsidTr="00756C6D">
        <w:trPr>
          <w:trHeight w:val="227"/>
        </w:trPr>
        <w:tc>
          <w:tcPr>
            <w:tcW w:w="1623" w:type="pct"/>
            <w:tcBorders>
              <w:top w:val="nil"/>
              <w:left w:val="nil"/>
              <w:bottom w:val="nil"/>
              <w:right w:val="nil"/>
            </w:tcBorders>
            <w:shd w:val="clear" w:color="auto" w:fill="auto"/>
            <w:vAlign w:val="bottom"/>
            <w:hideMark/>
          </w:tcPr>
          <w:p w14:paraId="4E6C3957" w14:textId="0C2751A3" w:rsidR="006B1BD1" w:rsidRPr="00226892" w:rsidRDefault="006B1BD1" w:rsidP="006B1BD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Poskytnuté pôžičky (Pozn. 10) </w:t>
            </w:r>
          </w:p>
        </w:tc>
        <w:tc>
          <w:tcPr>
            <w:tcW w:w="631" w:type="pct"/>
            <w:tcBorders>
              <w:top w:val="nil"/>
              <w:left w:val="nil"/>
              <w:bottom w:val="nil"/>
              <w:right w:val="nil"/>
            </w:tcBorders>
            <w:shd w:val="clear" w:color="auto" w:fill="auto"/>
            <w:vAlign w:val="bottom"/>
          </w:tcPr>
          <w:p w14:paraId="28E09B5E" w14:textId="5521C352" w:rsidR="006B1BD1" w:rsidRPr="00226892" w:rsidRDefault="006B1BD1"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1" w:type="pct"/>
            <w:tcBorders>
              <w:top w:val="nil"/>
              <w:left w:val="nil"/>
              <w:bottom w:val="nil"/>
              <w:right w:val="nil"/>
            </w:tcBorders>
            <w:vAlign w:val="bottom"/>
          </w:tcPr>
          <w:p w14:paraId="477C7B92"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91" w:type="pct"/>
            <w:tcBorders>
              <w:top w:val="nil"/>
              <w:left w:val="nil"/>
              <w:bottom w:val="nil"/>
              <w:right w:val="nil"/>
            </w:tcBorders>
            <w:vAlign w:val="bottom"/>
          </w:tcPr>
          <w:p w14:paraId="08C7A0B8"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704" w:type="pct"/>
            <w:tcBorders>
              <w:top w:val="nil"/>
              <w:left w:val="nil"/>
              <w:bottom w:val="nil"/>
              <w:right w:val="nil"/>
            </w:tcBorders>
            <w:shd w:val="clear" w:color="auto" w:fill="auto"/>
            <w:vAlign w:val="bottom"/>
          </w:tcPr>
          <w:p w14:paraId="56C77129" w14:textId="0B4EF310" w:rsidR="006B1BD1" w:rsidRPr="00226892" w:rsidRDefault="006B1BD1"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6" w:type="pct"/>
            <w:tcBorders>
              <w:top w:val="nil"/>
              <w:left w:val="nil"/>
              <w:bottom w:val="nil"/>
              <w:right w:val="nil"/>
            </w:tcBorders>
            <w:vAlign w:val="bottom"/>
          </w:tcPr>
          <w:p w14:paraId="37B9F51F"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702" w:type="pct"/>
            <w:tcBorders>
              <w:top w:val="nil"/>
              <w:left w:val="nil"/>
              <w:bottom w:val="nil"/>
              <w:right w:val="nil"/>
            </w:tcBorders>
            <w:shd w:val="clear" w:color="auto" w:fill="auto"/>
            <w:vAlign w:val="bottom"/>
          </w:tcPr>
          <w:p w14:paraId="747449B2" w14:textId="6ECF7138" w:rsidR="006B1BD1" w:rsidRPr="00226892" w:rsidRDefault="006B1BD1"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370</w:t>
            </w:r>
          </w:p>
        </w:tc>
        <w:tc>
          <w:tcPr>
            <w:tcW w:w="87" w:type="pct"/>
            <w:tcBorders>
              <w:top w:val="nil"/>
              <w:left w:val="nil"/>
              <w:bottom w:val="nil"/>
              <w:right w:val="nil"/>
            </w:tcBorders>
            <w:vAlign w:val="bottom"/>
          </w:tcPr>
          <w:p w14:paraId="3EE18010" w14:textId="77777777" w:rsidR="006B1BD1" w:rsidRPr="00226892" w:rsidRDefault="006B1BD1" w:rsidP="006B1BD1">
            <w:pPr>
              <w:jc w:val="right"/>
              <w:rPr>
                <w:rFonts w:ascii="Arial" w:eastAsia="Times New Roman" w:hAnsi="Arial" w:cs="Arial"/>
                <w:b/>
                <w:bCs/>
                <w:color w:val="000000"/>
                <w:sz w:val="18"/>
                <w:szCs w:val="18"/>
                <w:lang w:val="sk-SK" w:eastAsia="sk-SK"/>
              </w:rPr>
            </w:pPr>
          </w:p>
        </w:tc>
        <w:tc>
          <w:tcPr>
            <w:tcW w:w="975" w:type="pct"/>
            <w:tcBorders>
              <w:top w:val="nil"/>
              <w:left w:val="nil"/>
              <w:bottom w:val="nil"/>
              <w:right w:val="nil"/>
            </w:tcBorders>
            <w:shd w:val="clear" w:color="auto" w:fill="auto"/>
            <w:vAlign w:val="bottom"/>
          </w:tcPr>
          <w:p w14:paraId="1C3804A3" w14:textId="27376B54" w:rsidR="006B1BD1" w:rsidRPr="00226892" w:rsidRDefault="006B1BD1" w:rsidP="006B1BD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370</w:t>
            </w:r>
          </w:p>
        </w:tc>
      </w:tr>
      <w:tr w:rsidR="006B1BD1" w:rsidRPr="00226892" w14:paraId="634E9771" w14:textId="77777777" w:rsidTr="00756C6D">
        <w:trPr>
          <w:trHeight w:val="227"/>
        </w:trPr>
        <w:tc>
          <w:tcPr>
            <w:tcW w:w="1623" w:type="pct"/>
            <w:tcBorders>
              <w:top w:val="nil"/>
              <w:left w:val="nil"/>
              <w:bottom w:val="nil"/>
              <w:right w:val="nil"/>
            </w:tcBorders>
            <w:shd w:val="clear" w:color="auto" w:fill="auto"/>
            <w:vAlign w:val="bottom"/>
            <w:hideMark/>
          </w:tcPr>
          <w:p w14:paraId="7B27A6E4" w14:textId="77777777" w:rsidR="006B1BD1" w:rsidRPr="00226892" w:rsidRDefault="006B1BD1" w:rsidP="006B1BD1">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 Spolu pohľadávky  </w:t>
            </w:r>
          </w:p>
        </w:tc>
        <w:tc>
          <w:tcPr>
            <w:tcW w:w="631" w:type="pct"/>
            <w:tcBorders>
              <w:top w:val="single" w:sz="4" w:space="0" w:color="auto"/>
              <w:left w:val="nil"/>
              <w:bottom w:val="double" w:sz="6" w:space="0" w:color="auto"/>
              <w:right w:val="nil"/>
            </w:tcBorders>
            <w:shd w:val="clear" w:color="auto" w:fill="auto"/>
            <w:vAlign w:val="bottom"/>
          </w:tcPr>
          <w:p w14:paraId="3B3A6506" w14:textId="141D4445" w:rsidR="006B1BD1" w:rsidRPr="00226892" w:rsidRDefault="006B1BD1" w:rsidP="006B1BD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w:t>
            </w:r>
          </w:p>
        </w:tc>
        <w:tc>
          <w:tcPr>
            <w:tcW w:w="91" w:type="pct"/>
            <w:tcBorders>
              <w:top w:val="single" w:sz="4" w:space="0" w:color="auto"/>
              <w:left w:val="nil"/>
              <w:bottom w:val="double" w:sz="6" w:space="0" w:color="auto"/>
              <w:right w:val="nil"/>
            </w:tcBorders>
            <w:vAlign w:val="bottom"/>
          </w:tcPr>
          <w:p w14:paraId="6AFF2DE4" w14:textId="77777777" w:rsidR="006B1BD1" w:rsidRPr="00226892" w:rsidRDefault="006B1BD1" w:rsidP="006B1BD1">
            <w:pPr>
              <w:jc w:val="right"/>
              <w:rPr>
                <w:rFonts w:ascii="Arial" w:eastAsia="Times New Roman" w:hAnsi="Arial" w:cs="Arial"/>
                <w:b/>
                <w:bCs/>
                <w:color w:val="000000"/>
                <w:sz w:val="18"/>
                <w:szCs w:val="18"/>
                <w:lang w:val="sk-SK" w:eastAsia="sk-SK"/>
              </w:rPr>
            </w:pPr>
          </w:p>
        </w:tc>
        <w:tc>
          <w:tcPr>
            <w:tcW w:w="91" w:type="pct"/>
            <w:tcBorders>
              <w:top w:val="single" w:sz="4" w:space="0" w:color="auto"/>
              <w:left w:val="nil"/>
              <w:bottom w:val="double" w:sz="6" w:space="0" w:color="auto"/>
              <w:right w:val="nil"/>
            </w:tcBorders>
            <w:vAlign w:val="bottom"/>
          </w:tcPr>
          <w:p w14:paraId="19E9BEBB" w14:textId="77777777" w:rsidR="006B1BD1" w:rsidRPr="00226892" w:rsidRDefault="006B1BD1" w:rsidP="006B1BD1">
            <w:pPr>
              <w:jc w:val="right"/>
              <w:rPr>
                <w:rFonts w:ascii="Arial" w:eastAsia="Times New Roman" w:hAnsi="Arial" w:cs="Arial"/>
                <w:b/>
                <w:bCs/>
                <w:color w:val="000000"/>
                <w:sz w:val="18"/>
                <w:szCs w:val="18"/>
                <w:lang w:val="sk-SK" w:eastAsia="sk-SK"/>
              </w:rPr>
            </w:pPr>
          </w:p>
        </w:tc>
        <w:tc>
          <w:tcPr>
            <w:tcW w:w="704" w:type="pct"/>
            <w:tcBorders>
              <w:top w:val="single" w:sz="4" w:space="0" w:color="auto"/>
              <w:left w:val="nil"/>
              <w:bottom w:val="double" w:sz="6" w:space="0" w:color="auto"/>
              <w:right w:val="nil"/>
            </w:tcBorders>
            <w:shd w:val="clear" w:color="auto" w:fill="auto"/>
            <w:vAlign w:val="bottom"/>
          </w:tcPr>
          <w:p w14:paraId="7D02B6C7" w14:textId="52FE0C9D" w:rsidR="006B1BD1" w:rsidRPr="00226892" w:rsidRDefault="005F26CD" w:rsidP="006B1BD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w:t>
            </w:r>
          </w:p>
        </w:tc>
        <w:tc>
          <w:tcPr>
            <w:tcW w:w="96" w:type="pct"/>
            <w:tcBorders>
              <w:top w:val="single" w:sz="4" w:space="0" w:color="auto"/>
              <w:left w:val="nil"/>
              <w:bottom w:val="double" w:sz="6" w:space="0" w:color="auto"/>
              <w:right w:val="nil"/>
            </w:tcBorders>
            <w:vAlign w:val="bottom"/>
          </w:tcPr>
          <w:p w14:paraId="5B7C4168" w14:textId="77777777" w:rsidR="006B1BD1" w:rsidRPr="00226892" w:rsidRDefault="006B1BD1" w:rsidP="006B1BD1">
            <w:pPr>
              <w:jc w:val="right"/>
              <w:rPr>
                <w:rFonts w:ascii="Arial" w:eastAsia="Times New Roman" w:hAnsi="Arial" w:cs="Arial"/>
                <w:b/>
                <w:bCs/>
                <w:color w:val="000000"/>
                <w:sz w:val="18"/>
                <w:szCs w:val="18"/>
                <w:lang w:val="sk-SK" w:eastAsia="sk-SK"/>
              </w:rPr>
            </w:pPr>
          </w:p>
        </w:tc>
        <w:tc>
          <w:tcPr>
            <w:tcW w:w="702" w:type="pct"/>
            <w:tcBorders>
              <w:top w:val="single" w:sz="4" w:space="0" w:color="auto"/>
              <w:left w:val="nil"/>
              <w:bottom w:val="double" w:sz="6" w:space="0" w:color="auto"/>
              <w:right w:val="nil"/>
            </w:tcBorders>
            <w:shd w:val="clear" w:color="auto" w:fill="auto"/>
            <w:vAlign w:val="bottom"/>
          </w:tcPr>
          <w:p w14:paraId="47A95AAD" w14:textId="601CE93B" w:rsidR="006B1BD1" w:rsidRPr="00226892" w:rsidRDefault="006B1BD1" w:rsidP="006B1BD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1 </w:t>
            </w:r>
            <w:r w:rsidR="005F26CD" w:rsidRPr="00226892">
              <w:rPr>
                <w:rFonts w:ascii="Arial" w:eastAsia="Times New Roman" w:hAnsi="Arial" w:cs="Arial"/>
                <w:b/>
                <w:bCs/>
                <w:color w:val="000000"/>
                <w:sz w:val="18"/>
                <w:szCs w:val="18"/>
                <w:lang w:val="sk-SK" w:eastAsia="sk-SK"/>
              </w:rPr>
              <w:t>115</w:t>
            </w:r>
          </w:p>
        </w:tc>
        <w:tc>
          <w:tcPr>
            <w:tcW w:w="87" w:type="pct"/>
            <w:tcBorders>
              <w:top w:val="single" w:sz="4" w:space="0" w:color="auto"/>
              <w:left w:val="nil"/>
              <w:bottom w:val="double" w:sz="6" w:space="0" w:color="auto"/>
              <w:right w:val="nil"/>
            </w:tcBorders>
            <w:vAlign w:val="bottom"/>
          </w:tcPr>
          <w:p w14:paraId="0CAE65D2" w14:textId="77777777" w:rsidR="006B1BD1" w:rsidRPr="00226892" w:rsidRDefault="006B1BD1" w:rsidP="006B1BD1">
            <w:pPr>
              <w:jc w:val="right"/>
              <w:rPr>
                <w:rFonts w:ascii="Arial" w:eastAsia="Times New Roman" w:hAnsi="Arial" w:cs="Arial"/>
                <w:b/>
                <w:bCs/>
                <w:color w:val="000000"/>
                <w:sz w:val="18"/>
                <w:szCs w:val="18"/>
                <w:lang w:val="sk-SK" w:eastAsia="sk-SK"/>
              </w:rPr>
            </w:pPr>
          </w:p>
        </w:tc>
        <w:tc>
          <w:tcPr>
            <w:tcW w:w="975" w:type="pct"/>
            <w:tcBorders>
              <w:top w:val="single" w:sz="4" w:space="0" w:color="auto"/>
              <w:left w:val="nil"/>
              <w:bottom w:val="double" w:sz="6" w:space="0" w:color="auto"/>
              <w:right w:val="nil"/>
            </w:tcBorders>
            <w:shd w:val="clear" w:color="auto" w:fill="auto"/>
            <w:vAlign w:val="bottom"/>
          </w:tcPr>
          <w:p w14:paraId="2D77ADAD" w14:textId="027BAE00" w:rsidR="006B1BD1" w:rsidRPr="00226892" w:rsidRDefault="006B1BD1" w:rsidP="006B1BD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1 11</w:t>
            </w:r>
            <w:r w:rsidR="001D6F91" w:rsidRPr="00226892">
              <w:rPr>
                <w:rFonts w:ascii="Arial" w:eastAsia="Times New Roman" w:hAnsi="Arial" w:cs="Arial"/>
                <w:b/>
                <w:bCs/>
                <w:color w:val="000000"/>
                <w:sz w:val="18"/>
                <w:szCs w:val="18"/>
                <w:lang w:val="sk-SK" w:eastAsia="sk-SK"/>
              </w:rPr>
              <w:t>7</w:t>
            </w:r>
          </w:p>
        </w:tc>
      </w:tr>
      <w:tr w:rsidR="006B1BD1" w:rsidRPr="00226892" w14:paraId="595967DE" w14:textId="77777777" w:rsidTr="00756C6D">
        <w:trPr>
          <w:trHeight w:val="227"/>
        </w:trPr>
        <w:tc>
          <w:tcPr>
            <w:tcW w:w="1623" w:type="pct"/>
            <w:tcBorders>
              <w:top w:val="nil"/>
              <w:left w:val="nil"/>
              <w:bottom w:val="nil"/>
              <w:right w:val="nil"/>
            </w:tcBorders>
            <w:shd w:val="clear" w:color="auto" w:fill="auto"/>
            <w:vAlign w:val="bottom"/>
            <w:hideMark/>
          </w:tcPr>
          <w:p w14:paraId="45D1FF61" w14:textId="7A5F164E" w:rsidR="006B1BD1" w:rsidRPr="00226892" w:rsidRDefault="006B1BD1" w:rsidP="006B1BD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Záväzky – z obchodného styku</w:t>
            </w:r>
          </w:p>
        </w:tc>
        <w:tc>
          <w:tcPr>
            <w:tcW w:w="631" w:type="pct"/>
            <w:tcBorders>
              <w:top w:val="nil"/>
              <w:left w:val="nil"/>
              <w:bottom w:val="nil"/>
              <w:right w:val="nil"/>
            </w:tcBorders>
            <w:shd w:val="clear" w:color="auto" w:fill="auto"/>
            <w:vAlign w:val="bottom"/>
          </w:tcPr>
          <w:p w14:paraId="243EF3F2" w14:textId="23133262" w:rsidR="006B1BD1" w:rsidRPr="00226892" w:rsidRDefault="006B1BD1"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1 278</w:t>
            </w:r>
          </w:p>
        </w:tc>
        <w:tc>
          <w:tcPr>
            <w:tcW w:w="91" w:type="pct"/>
            <w:tcBorders>
              <w:top w:val="nil"/>
              <w:left w:val="nil"/>
              <w:bottom w:val="nil"/>
              <w:right w:val="nil"/>
            </w:tcBorders>
            <w:vAlign w:val="bottom"/>
          </w:tcPr>
          <w:p w14:paraId="1E215E3D"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91" w:type="pct"/>
            <w:tcBorders>
              <w:top w:val="nil"/>
              <w:left w:val="nil"/>
              <w:bottom w:val="nil"/>
              <w:right w:val="nil"/>
            </w:tcBorders>
            <w:vAlign w:val="bottom"/>
          </w:tcPr>
          <w:p w14:paraId="0128FD0A"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704" w:type="pct"/>
            <w:tcBorders>
              <w:top w:val="nil"/>
              <w:left w:val="nil"/>
              <w:bottom w:val="nil"/>
              <w:right w:val="nil"/>
            </w:tcBorders>
            <w:shd w:val="clear" w:color="auto" w:fill="auto"/>
            <w:vAlign w:val="bottom"/>
          </w:tcPr>
          <w:p w14:paraId="1C8028EC" w14:textId="10BFBEA7" w:rsidR="006B1BD1" w:rsidRPr="00226892" w:rsidRDefault="005F26CD"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6" w:type="pct"/>
            <w:tcBorders>
              <w:top w:val="nil"/>
              <w:left w:val="nil"/>
              <w:bottom w:val="nil"/>
              <w:right w:val="nil"/>
            </w:tcBorders>
            <w:vAlign w:val="bottom"/>
          </w:tcPr>
          <w:p w14:paraId="7BAEB9BA"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702" w:type="pct"/>
            <w:tcBorders>
              <w:top w:val="nil"/>
              <w:left w:val="nil"/>
              <w:bottom w:val="nil"/>
              <w:right w:val="nil"/>
            </w:tcBorders>
            <w:shd w:val="clear" w:color="auto" w:fill="auto"/>
            <w:vAlign w:val="bottom"/>
          </w:tcPr>
          <w:p w14:paraId="791811A9" w14:textId="5FC08F8A" w:rsidR="006B1BD1" w:rsidRPr="00226892" w:rsidRDefault="001D6F91"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2 </w:t>
            </w:r>
            <w:r w:rsidR="005F26CD" w:rsidRPr="00226892">
              <w:rPr>
                <w:rFonts w:ascii="Arial" w:eastAsia="Times New Roman" w:hAnsi="Arial" w:cs="Arial"/>
                <w:color w:val="000000"/>
                <w:sz w:val="18"/>
                <w:szCs w:val="18"/>
                <w:lang w:val="sk-SK" w:eastAsia="sk-SK"/>
              </w:rPr>
              <w:t>637</w:t>
            </w:r>
          </w:p>
        </w:tc>
        <w:tc>
          <w:tcPr>
            <w:tcW w:w="87" w:type="pct"/>
            <w:tcBorders>
              <w:top w:val="nil"/>
              <w:left w:val="nil"/>
              <w:bottom w:val="nil"/>
              <w:right w:val="nil"/>
            </w:tcBorders>
            <w:vAlign w:val="bottom"/>
          </w:tcPr>
          <w:p w14:paraId="2B6A7702" w14:textId="77777777" w:rsidR="006B1BD1" w:rsidRPr="00226892" w:rsidRDefault="006B1BD1" w:rsidP="006B1BD1">
            <w:pPr>
              <w:jc w:val="right"/>
              <w:rPr>
                <w:rFonts w:ascii="Arial" w:eastAsia="Times New Roman" w:hAnsi="Arial" w:cs="Arial"/>
                <w:b/>
                <w:bCs/>
                <w:color w:val="000000"/>
                <w:sz w:val="18"/>
                <w:szCs w:val="18"/>
                <w:lang w:val="sk-SK" w:eastAsia="sk-SK"/>
              </w:rPr>
            </w:pPr>
          </w:p>
        </w:tc>
        <w:tc>
          <w:tcPr>
            <w:tcW w:w="975" w:type="pct"/>
            <w:tcBorders>
              <w:top w:val="nil"/>
              <w:left w:val="nil"/>
              <w:bottom w:val="nil"/>
              <w:right w:val="nil"/>
            </w:tcBorders>
            <w:shd w:val="clear" w:color="auto" w:fill="auto"/>
            <w:vAlign w:val="bottom"/>
          </w:tcPr>
          <w:p w14:paraId="2E644FE2" w14:textId="43312170" w:rsidR="006B1BD1" w:rsidRPr="00226892" w:rsidRDefault="006B1BD1" w:rsidP="006B1BD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 </w:t>
            </w:r>
            <w:r w:rsidR="001D6F91" w:rsidRPr="00226892">
              <w:rPr>
                <w:rFonts w:ascii="Arial" w:eastAsia="Times New Roman" w:hAnsi="Arial" w:cs="Arial"/>
                <w:b/>
                <w:bCs/>
                <w:color w:val="000000"/>
                <w:sz w:val="18"/>
                <w:szCs w:val="18"/>
                <w:lang w:val="sk-SK" w:eastAsia="sk-SK"/>
              </w:rPr>
              <w:t>915</w:t>
            </w:r>
          </w:p>
        </w:tc>
      </w:tr>
      <w:tr w:rsidR="006B1BD1" w:rsidRPr="00226892" w14:paraId="685280F3" w14:textId="77777777" w:rsidTr="00756C6D">
        <w:trPr>
          <w:trHeight w:val="227"/>
        </w:trPr>
        <w:tc>
          <w:tcPr>
            <w:tcW w:w="1623" w:type="pct"/>
            <w:tcBorders>
              <w:top w:val="nil"/>
              <w:left w:val="nil"/>
              <w:bottom w:val="nil"/>
              <w:right w:val="nil"/>
            </w:tcBorders>
            <w:shd w:val="clear" w:color="auto" w:fill="auto"/>
            <w:vAlign w:val="bottom"/>
            <w:hideMark/>
          </w:tcPr>
          <w:p w14:paraId="55F29686" w14:textId="21D4C0FE" w:rsidR="006B1BD1" w:rsidRPr="00226892" w:rsidRDefault="006B1BD1" w:rsidP="006B1BD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 ostatné (Pozn. 1</w:t>
            </w:r>
            <w:r w:rsidR="00522218" w:rsidRPr="00226892">
              <w:rPr>
                <w:rFonts w:ascii="Arial" w:eastAsia="Times New Roman" w:hAnsi="Arial" w:cs="Arial"/>
                <w:color w:val="000000"/>
                <w:sz w:val="18"/>
                <w:szCs w:val="18"/>
                <w:lang w:val="sk-SK" w:eastAsia="sk-SK"/>
              </w:rPr>
              <w:t>8</w:t>
            </w:r>
            <w:r w:rsidRPr="00226892">
              <w:rPr>
                <w:rFonts w:ascii="Arial" w:eastAsia="Times New Roman" w:hAnsi="Arial" w:cs="Arial"/>
                <w:color w:val="000000"/>
                <w:sz w:val="18"/>
                <w:szCs w:val="18"/>
                <w:lang w:val="sk-SK" w:eastAsia="sk-SK"/>
              </w:rPr>
              <w:t xml:space="preserve">) </w:t>
            </w:r>
          </w:p>
        </w:tc>
        <w:tc>
          <w:tcPr>
            <w:tcW w:w="631" w:type="pct"/>
            <w:tcBorders>
              <w:top w:val="nil"/>
              <w:left w:val="nil"/>
              <w:bottom w:val="nil"/>
              <w:right w:val="nil"/>
            </w:tcBorders>
            <w:shd w:val="clear" w:color="auto" w:fill="auto"/>
            <w:vAlign w:val="bottom"/>
          </w:tcPr>
          <w:p w14:paraId="56857B94" w14:textId="555C9A93" w:rsidR="006B1BD1" w:rsidRPr="00226892" w:rsidRDefault="006B1BD1"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1" w:type="pct"/>
            <w:tcBorders>
              <w:top w:val="nil"/>
              <w:left w:val="nil"/>
              <w:bottom w:val="nil"/>
              <w:right w:val="nil"/>
            </w:tcBorders>
            <w:vAlign w:val="bottom"/>
          </w:tcPr>
          <w:p w14:paraId="59E2C1FE"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91" w:type="pct"/>
            <w:tcBorders>
              <w:top w:val="nil"/>
              <w:left w:val="nil"/>
              <w:bottom w:val="nil"/>
              <w:right w:val="nil"/>
            </w:tcBorders>
            <w:vAlign w:val="bottom"/>
          </w:tcPr>
          <w:p w14:paraId="6B391652"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704" w:type="pct"/>
            <w:tcBorders>
              <w:top w:val="nil"/>
              <w:left w:val="nil"/>
              <w:bottom w:val="nil"/>
              <w:right w:val="nil"/>
            </w:tcBorders>
            <w:shd w:val="clear" w:color="auto" w:fill="auto"/>
            <w:vAlign w:val="bottom"/>
          </w:tcPr>
          <w:p w14:paraId="081A3AF5" w14:textId="0611EA37" w:rsidR="006B1BD1" w:rsidRPr="00226892" w:rsidRDefault="001D6F91"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6" w:type="pct"/>
            <w:tcBorders>
              <w:top w:val="nil"/>
              <w:left w:val="nil"/>
              <w:bottom w:val="nil"/>
              <w:right w:val="nil"/>
            </w:tcBorders>
            <w:vAlign w:val="bottom"/>
          </w:tcPr>
          <w:p w14:paraId="71548385"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702" w:type="pct"/>
            <w:tcBorders>
              <w:top w:val="nil"/>
              <w:left w:val="nil"/>
              <w:bottom w:val="nil"/>
              <w:right w:val="nil"/>
            </w:tcBorders>
            <w:shd w:val="clear" w:color="auto" w:fill="auto"/>
            <w:vAlign w:val="bottom"/>
          </w:tcPr>
          <w:p w14:paraId="52468033" w14:textId="7054C340" w:rsidR="006B1BD1" w:rsidRPr="00226892" w:rsidRDefault="006B1BD1"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87" w:type="pct"/>
            <w:tcBorders>
              <w:top w:val="nil"/>
              <w:left w:val="nil"/>
              <w:bottom w:val="nil"/>
              <w:right w:val="nil"/>
            </w:tcBorders>
            <w:vAlign w:val="bottom"/>
          </w:tcPr>
          <w:p w14:paraId="75B0FA2B" w14:textId="77777777" w:rsidR="006B1BD1" w:rsidRPr="00226892" w:rsidRDefault="006B1BD1" w:rsidP="006B1BD1">
            <w:pPr>
              <w:jc w:val="right"/>
              <w:rPr>
                <w:rFonts w:ascii="Arial" w:eastAsia="Times New Roman" w:hAnsi="Arial" w:cs="Arial"/>
                <w:b/>
                <w:bCs/>
                <w:color w:val="000000"/>
                <w:sz w:val="18"/>
                <w:szCs w:val="18"/>
                <w:lang w:val="sk-SK" w:eastAsia="sk-SK"/>
              </w:rPr>
            </w:pPr>
          </w:p>
        </w:tc>
        <w:tc>
          <w:tcPr>
            <w:tcW w:w="975" w:type="pct"/>
            <w:tcBorders>
              <w:top w:val="nil"/>
              <w:left w:val="nil"/>
              <w:bottom w:val="nil"/>
              <w:right w:val="nil"/>
            </w:tcBorders>
            <w:shd w:val="clear" w:color="auto" w:fill="auto"/>
            <w:vAlign w:val="bottom"/>
          </w:tcPr>
          <w:p w14:paraId="217A3511" w14:textId="7125C35D" w:rsidR="006B1BD1" w:rsidRPr="00226892" w:rsidRDefault="001D6F91" w:rsidP="006B1BD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w:t>
            </w:r>
          </w:p>
        </w:tc>
      </w:tr>
      <w:tr w:rsidR="006B1BD1" w:rsidRPr="00226892" w14:paraId="06E286E4" w14:textId="77777777" w:rsidTr="00756C6D">
        <w:trPr>
          <w:trHeight w:val="227"/>
        </w:trPr>
        <w:tc>
          <w:tcPr>
            <w:tcW w:w="1623" w:type="pct"/>
            <w:tcBorders>
              <w:top w:val="nil"/>
              <w:left w:val="nil"/>
              <w:bottom w:val="nil"/>
              <w:right w:val="nil"/>
            </w:tcBorders>
            <w:shd w:val="clear" w:color="auto" w:fill="auto"/>
            <w:vAlign w:val="bottom"/>
            <w:hideMark/>
          </w:tcPr>
          <w:p w14:paraId="5914C2D5" w14:textId="6B08E3DF" w:rsidR="006B1BD1" w:rsidRPr="00226892" w:rsidRDefault="006B1BD1" w:rsidP="006B1BD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Prijaté pôžičky (Pozn. 1</w:t>
            </w:r>
            <w:r w:rsidR="00522218" w:rsidRPr="00226892">
              <w:rPr>
                <w:rFonts w:ascii="Arial" w:eastAsia="Times New Roman" w:hAnsi="Arial" w:cs="Arial"/>
                <w:color w:val="000000"/>
                <w:sz w:val="18"/>
                <w:szCs w:val="18"/>
                <w:lang w:val="sk-SK" w:eastAsia="sk-SK"/>
              </w:rPr>
              <w:t>5</w:t>
            </w:r>
            <w:r w:rsidRPr="00226892">
              <w:rPr>
                <w:rFonts w:ascii="Arial" w:eastAsia="Times New Roman" w:hAnsi="Arial" w:cs="Arial"/>
                <w:color w:val="000000"/>
                <w:sz w:val="18"/>
                <w:szCs w:val="18"/>
                <w:lang w:val="sk-SK" w:eastAsia="sk-SK"/>
              </w:rPr>
              <w:t xml:space="preserve">) </w:t>
            </w:r>
          </w:p>
        </w:tc>
        <w:tc>
          <w:tcPr>
            <w:tcW w:w="631" w:type="pct"/>
            <w:tcBorders>
              <w:top w:val="nil"/>
              <w:left w:val="nil"/>
              <w:bottom w:val="nil"/>
              <w:right w:val="nil"/>
            </w:tcBorders>
            <w:shd w:val="clear" w:color="auto" w:fill="auto"/>
            <w:vAlign w:val="bottom"/>
          </w:tcPr>
          <w:p w14:paraId="0C835E18" w14:textId="0D1F2DE6" w:rsidR="006B1BD1" w:rsidRPr="00226892" w:rsidRDefault="006B1BD1"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1" w:type="pct"/>
            <w:tcBorders>
              <w:top w:val="nil"/>
              <w:left w:val="nil"/>
              <w:bottom w:val="nil"/>
              <w:right w:val="nil"/>
            </w:tcBorders>
            <w:vAlign w:val="bottom"/>
          </w:tcPr>
          <w:p w14:paraId="729C55E1"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91" w:type="pct"/>
            <w:tcBorders>
              <w:top w:val="nil"/>
              <w:left w:val="nil"/>
              <w:bottom w:val="nil"/>
              <w:right w:val="nil"/>
            </w:tcBorders>
            <w:vAlign w:val="bottom"/>
          </w:tcPr>
          <w:p w14:paraId="30972BE7"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704" w:type="pct"/>
            <w:tcBorders>
              <w:top w:val="nil"/>
              <w:left w:val="nil"/>
              <w:bottom w:val="nil"/>
              <w:right w:val="nil"/>
            </w:tcBorders>
            <w:shd w:val="clear" w:color="auto" w:fill="auto"/>
            <w:vAlign w:val="bottom"/>
          </w:tcPr>
          <w:p w14:paraId="13C50F72" w14:textId="1CCC0C16" w:rsidR="006B1BD1" w:rsidRPr="00226892" w:rsidRDefault="006B1BD1"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1 7</w:t>
            </w:r>
            <w:r w:rsidR="005F26CD" w:rsidRPr="00226892">
              <w:rPr>
                <w:rFonts w:ascii="Arial" w:eastAsia="Times New Roman" w:hAnsi="Arial" w:cs="Arial"/>
                <w:color w:val="000000"/>
                <w:sz w:val="18"/>
                <w:szCs w:val="18"/>
                <w:lang w:val="sk-SK" w:eastAsia="sk-SK"/>
              </w:rPr>
              <w:t>62</w:t>
            </w:r>
          </w:p>
        </w:tc>
        <w:tc>
          <w:tcPr>
            <w:tcW w:w="96" w:type="pct"/>
            <w:tcBorders>
              <w:top w:val="nil"/>
              <w:left w:val="nil"/>
              <w:bottom w:val="nil"/>
              <w:right w:val="nil"/>
            </w:tcBorders>
            <w:vAlign w:val="bottom"/>
          </w:tcPr>
          <w:p w14:paraId="3D2B79AD"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702" w:type="pct"/>
            <w:tcBorders>
              <w:top w:val="nil"/>
              <w:left w:val="nil"/>
              <w:bottom w:val="nil"/>
              <w:right w:val="nil"/>
            </w:tcBorders>
            <w:shd w:val="clear" w:color="auto" w:fill="auto"/>
            <w:vAlign w:val="bottom"/>
          </w:tcPr>
          <w:p w14:paraId="157EF45B" w14:textId="422ADFB0" w:rsidR="006B1BD1" w:rsidRPr="00226892" w:rsidRDefault="006B1BD1"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5 </w:t>
            </w:r>
            <w:r w:rsidR="005F26CD" w:rsidRPr="00226892">
              <w:rPr>
                <w:rFonts w:ascii="Arial" w:eastAsia="Times New Roman" w:hAnsi="Arial" w:cs="Arial"/>
                <w:color w:val="000000"/>
                <w:sz w:val="18"/>
                <w:szCs w:val="18"/>
                <w:lang w:val="sk-SK" w:eastAsia="sk-SK"/>
              </w:rPr>
              <w:t>114</w:t>
            </w:r>
          </w:p>
        </w:tc>
        <w:tc>
          <w:tcPr>
            <w:tcW w:w="87" w:type="pct"/>
            <w:tcBorders>
              <w:top w:val="nil"/>
              <w:left w:val="nil"/>
              <w:bottom w:val="nil"/>
              <w:right w:val="nil"/>
            </w:tcBorders>
            <w:vAlign w:val="bottom"/>
          </w:tcPr>
          <w:p w14:paraId="174FF150" w14:textId="77777777" w:rsidR="006B1BD1" w:rsidRPr="00226892" w:rsidRDefault="006B1BD1" w:rsidP="006B1BD1">
            <w:pPr>
              <w:jc w:val="right"/>
              <w:rPr>
                <w:rFonts w:ascii="Arial" w:eastAsia="Times New Roman" w:hAnsi="Arial" w:cs="Arial"/>
                <w:b/>
                <w:bCs/>
                <w:color w:val="000000"/>
                <w:sz w:val="18"/>
                <w:szCs w:val="18"/>
                <w:lang w:val="sk-SK" w:eastAsia="sk-SK"/>
              </w:rPr>
            </w:pPr>
          </w:p>
        </w:tc>
        <w:tc>
          <w:tcPr>
            <w:tcW w:w="975" w:type="pct"/>
            <w:tcBorders>
              <w:top w:val="nil"/>
              <w:left w:val="nil"/>
              <w:bottom w:val="nil"/>
              <w:right w:val="nil"/>
            </w:tcBorders>
            <w:shd w:val="clear" w:color="auto" w:fill="auto"/>
            <w:vAlign w:val="bottom"/>
          </w:tcPr>
          <w:p w14:paraId="01E69B5A" w14:textId="5E4C8BB8" w:rsidR="006B1BD1" w:rsidRPr="00226892" w:rsidRDefault="001D6F91" w:rsidP="006B1BD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6 </w:t>
            </w:r>
            <w:r w:rsidR="005F26CD" w:rsidRPr="00226892">
              <w:rPr>
                <w:rFonts w:ascii="Arial" w:eastAsia="Times New Roman" w:hAnsi="Arial" w:cs="Arial"/>
                <w:b/>
                <w:bCs/>
                <w:color w:val="000000"/>
                <w:sz w:val="18"/>
                <w:szCs w:val="18"/>
                <w:lang w:val="sk-SK" w:eastAsia="sk-SK"/>
              </w:rPr>
              <w:t>876</w:t>
            </w:r>
          </w:p>
        </w:tc>
      </w:tr>
      <w:tr w:rsidR="006B1BD1" w:rsidRPr="00226892" w14:paraId="1A6A169C" w14:textId="77777777" w:rsidTr="00756C6D">
        <w:trPr>
          <w:trHeight w:val="227"/>
        </w:trPr>
        <w:tc>
          <w:tcPr>
            <w:tcW w:w="1623" w:type="pct"/>
            <w:tcBorders>
              <w:top w:val="nil"/>
              <w:left w:val="nil"/>
              <w:bottom w:val="nil"/>
              <w:right w:val="nil"/>
            </w:tcBorders>
            <w:shd w:val="clear" w:color="auto" w:fill="auto"/>
            <w:vAlign w:val="bottom"/>
            <w:hideMark/>
          </w:tcPr>
          <w:p w14:paraId="3B5D9F57" w14:textId="77777777" w:rsidR="006B1BD1" w:rsidRPr="00226892" w:rsidRDefault="006B1BD1" w:rsidP="006B1BD1">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 Spolu záväzky  </w:t>
            </w:r>
          </w:p>
        </w:tc>
        <w:tc>
          <w:tcPr>
            <w:tcW w:w="631" w:type="pct"/>
            <w:tcBorders>
              <w:top w:val="single" w:sz="4" w:space="0" w:color="auto"/>
              <w:left w:val="nil"/>
              <w:bottom w:val="double" w:sz="6" w:space="0" w:color="auto"/>
              <w:right w:val="nil"/>
            </w:tcBorders>
            <w:shd w:val="clear" w:color="auto" w:fill="auto"/>
            <w:vAlign w:val="bottom"/>
          </w:tcPr>
          <w:p w14:paraId="11B69428" w14:textId="2EE7DA17" w:rsidR="006B1BD1" w:rsidRPr="00226892" w:rsidRDefault="006B1BD1" w:rsidP="006B1BD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1 278</w:t>
            </w:r>
          </w:p>
        </w:tc>
        <w:tc>
          <w:tcPr>
            <w:tcW w:w="91" w:type="pct"/>
            <w:tcBorders>
              <w:top w:val="single" w:sz="4" w:space="0" w:color="auto"/>
              <w:left w:val="nil"/>
              <w:bottom w:val="double" w:sz="6" w:space="0" w:color="auto"/>
              <w:right w:val="nil"/>
            </w:tcBorders>
            <w:vAlign w:val="bottom"/>
          </w:tcPr>
          <w:p w14:paraId="39A5ABD3" w14:textId="77777777" w:rsidR="006B1BD1" w:rsidRPr="00226892" w:rsidRDefault="006B1BD1" w:rsidP="006B1BD1">
            <w:pPr>
              <w:jc w:val="right"/>
              <w:rPr>
                <w:rFonts w:ascii="Arial" w:eastAsia="Times New Roman" w:hAnsi="Arial" w:cs="Arial"/>
                <w:b/>
                <w:bCs/>
                <w:color w:val="000000"/>
                <w:sz w:val="18"/>
                <w:szCs w:val="18"/>
                <w:lang w:val="sk-SK" w:eastAsia="sk-SK"/>
              </w:rPr>
            </w:pPr>
          </w:p>
        </w:tc>
        <w:tc>
          <w:tcPr>
            <w:tcW w:w="91" w:type="pct"/>
            <w:tcBorders>
              <w:top w:val="single" w:sz="4" w:space="0" w:color="auto"/>
              <w:left w:val="nil"/>
              <w:bottom w:val="double" w:sz="6" w:space="0" w:color="auto"/>
              <w:right w:val="nil"/>
            </w:tcBorders>
            <w:vAlign w:val="bottom"/>
          </w:tcPr>
          <w:p w14:paraId="5CF7E85B" w14:textId="77777777" w:rsidR="006B1BD1" w:rsidRPr="00226892" w:rsidRDefault="006B1BD1" w:rsidP="006B1BD1">
            <w:pPr>
              <w:jc w:val="right"/>
              <w:rPr>
                <w:rFonts w:ascii="Arial" w:eastAsia="Times New Roman" w:hAnsi="Arial" w:cs="Arial"/>
                <w:b/>
                <w:bCs/>
                <w:color w:val="000000"/>
                <w:sz w:val="18"/>
                <w:szCs w:val="18"/>
                <w:lang w:val="sk-SK" w:eastAsia="sk-SK"/>
              </w:rPr>
            </w:pPr>
          </w:p>
        </w:tc>
        <w:tc>
          <w:tcPr>
            <w:tcW w:w="704" w:type="pct"/>
            <w:tcBorders>
              <w:top w:val="single" w:sz="4" w:space="0" w:color="auto"/>
              <w:left w:val="nil"/>
              <w:bottom w:val="double" w:sz="6" w:space="0" w:color="auto"/>
              <w:right w:val="nil"/>
            </w:tcBorders>
            <w:shd w:val="clear" w:color="auto" w:fill="auto"/>
            <w:vAlign w:val="bottom"/>
          </w:tcPr>
          <w:p w14:paraId="274C10BD" w14:textId="0A4E65D7" w:rsidR="006B1BD1" w:rsidRPr="00226892" w:rsidRDefault="006B1BD1" w:rsidP="006B1BD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1 7</w:t>
            </w:r>
            <w:r w:rsidR="005F26CD" w:rsidRPr="00226892">
              <w:rPr>
                <w:rFonts w:ascii="Arial" w:eastAsia="Times New Roman" w:hAnsi="Arial" w:cs="Arial"/>
                <w:b/>
                <w:bCs/>
                <w:color w:val="000000"/>
                <w:sz w:val="18"/>
                <w:szCs w:val="18"/>
                <w:lang w:val="sk-SK" w:eastAsia="sk-SK"/>
              </w:rPr>
              <w:t>62</w:t>
            </w:r>
          </w:p>
        </w:tc>
        <w:tc>
          <w:tcPr>
            <w:tcW w:w="96" w:type="pct"/>
            <w:tcBorders>
              <w:top w:val="single" w:sz="4" w:space="0" w:color="auto"/>
              <w:left w:val="nil"/>
              <w:bottom w:val="double" w:sz="6" w:space="0" w:color="auto"/>
              <w:right w:val="nil"/>
            </w:tcBorders>
            <w:vAlign w:val="bottom"/>
          </w:tcPr>
          <w:p w14:paraId="1D777EE0" w14:textId="77777777" w:rsidR="006B1BD1" w:rsidRPr="00226892" w:rsidRDefault="006B1BD1" w:rsidP="006B1BD1">
            <w:pPr>
              <w:jc w:val="right"/>
              <w:rPr>
                <w:rFonts w:ascii="Arial" w:eastAsia="Times New Roman" w:hAnsi="Arial" w:cs="Arial"/>
                <w:b/>
                <w:bCs/>
                <w:color w:val="000000"/>
                <w:sz w:val="18"/>
                <w:szCs w:val="18"/>
                <w:lang w:val="sk-SK" w:eastAsia="sk-SK"/>
              </w:rPr>
            </w:pPr>
          </w:p>
        </w:tc>
        <w:tc>
          <w:tcPr>
            <w:tcW w:w="702" w:type="pct"/>
            <w:tcBorders>
              <w:top w:val="single" w:sz="4" w:space="0" w:color="auto"/>
              <w:left w:val="nil"/>
              <w:bottom w:val="double" w:sz="6" w:space="0" w:color="auto"/>
              <w:right w:val="nil"/>
            </w:tcBorders>
            <w:shd w:val="clear" w:color="auto" w:fill="auto"/>
            <w:vAlign w:val="bottom"/>
          </w:tcPr>
          <w:p w14:paraId="04CFD296" w14:textId="7CF2D125" w:rsidR="006B1BD1" w:rsidRPr="00226892" w:rsidRDefault="006B1BD1" w:rsidP="006B1BD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7 </w:t>
            </w:r>
            <w:r w:rsidR="005F26CD" w:rsidRPr="00226892">
              <w:rPr>
                <w:rFonts w:ascii="Arial" w:eastAsia="Times New Roman" w:hAnsi="Arial" w:cs="Arial"/>
                <w:b/>
                <w:bCs/>
                <w:color w:val="000000"/>
                <w:sz w:val="18"/>
                <w:szCs w:val="18"/>
                <w:lang w:val="sk-SK" w:eastAsia="sk-SK"/>
              </w:rPr>
              <w:t>751</w:t>
            </w:r>
          </w:p>
        </w:tc>
        <w:tc>
          <w:tcPr>
            <w:tcW w:w="87" w:type="pct"/>
            <w:tcBorders>
              <w:top w:val="single" w:sz="4" w:space="0" w:color="auto"/>
              <w:left w:val="nil"/>
              <w:bottom w:val="double" w:sz="6" w:space="0" w:color="auto"/>
              <w:right w:val="nil"/>
            </w:tcBorders>
            <w:vAlign w:val="bottom"/>
          </w:tcPr>
          <w:p w14:paraId="3EB12B64" w14:textId="77777777" w:rsidR="006B1BD1" w:rsidRPr="00226892" w:rsidRDefault="006B1BD1" w:rsidP="006B1BD1">
            <w:pPr>
              <w:jc w:val="right"/>
              <w:rPr>
                <w:rFonts w:ascii="Arial" w:eastAsia="Times New Roman" w:hAnsi="Arial" w:cs="Arial"/>
                <w:b/>
                <w:bCs/>
                <w:color w:val="000000"/>
                <w:sz w:val="18"/>
                <w:szCs w:val="18"/>
                <w:lang w:val="sk-SK" w:eastAsia="sk-SK"/>
              </w:rPr>
            </w:pPr>
          </w:p>
        </w:tc>
        <w:tc>
          <w:tcPr>
            <w:tcW w:w="975" w:type="pct"/>
            <w:tcBorders>
              <w:top w:val="single" w:sz="4" w:space="0" w:color="auto"/>
              <w:left w:val="nil"/>
              <w:bottom w:val="double" w:sz="6" w:space="0" w:color="auto"/>
              <w:right w:val="nil"/>
            </w:tcBorders>
            <w:shd w:val="clear" w:color="auto" w:fill="auto"/>
            <w:vAlign w:val="bottom"/>
          </w:tcPr>
          <w:p w14:paraId="123F1DE2" w14:textId="2D56E24C" w:rsidR="006B1BD1" w:rsidRPr="00226892" w:rsidRDefault="001D6F91" w:rsidP="006B1BD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10</w:t>
            </w:r>
            <w:r w:rsidR="006B1BD1" w:rsidRPr="00226892">
              <w:rPr>
                <w:rFonts w:ascii="Arial" w:eastAsia="Times New Roman" w:hAnsi="Arial" w:cs="Arial"/>
                <w:b/>
                <w:bCs/>
                <w:color w:val="000000"/>
                <w:sz w:val="18"/>
                <w:szCs w:val="18"/>
                <w:lang w:val="sk-SK" w:eastAsia="sk-SK"/>
              </w:rPr>
              <w:t xml:space="preserve"> 6</w:t>
            </w:r>
            <w:r w:rsidR="005F26CD" w:rsidRPr="00226892">
              <w:rPr>
                <w:rFonts w:ascii="Arial" w:eastAsia="Times New Roman" w:hAnsi="Arial" w:cs="Arial"/>
                <w:b/>
                <w:bCs/>
                <w:color w:val="000000"/>
                <w:sz w:val="18"/>
                <w:szCs w:val="18"/>
                <w:lang w:val="sk-SK" w:eastAsia="sk-SK"/>
              </w:rPr>
              <w:t>91</w:t>
            </w:r>
          </w:p>
        </w:tc>
      </w:tr>
    </w:tbl>
    <w:p w14:paraId="7FA9A10F" w14:textId="400E4C13" w:rsidR="00837450" w:rsidRPr="00226892" w:rsidRDefault="00DD63CA" w:rsidP="00833CC0">
      <w:pPr>
        <w:suppressAutoHyphens/>
        <w:jc w:val="both"/>
        <w:rPr>
          <w:rFonts w:ascii="Arial" w:hAnsi="Arial" w:cs="Arial"/>
          <w:sz w:val="16"/>
          <w:szCs w:val="16"/>
          <w:highlight w:val="yellow"/>
        </w:rPr>
      </w:pPr>
      <w:r w:rsidRPr="00226892">
        <w:rPr>
          <w:rFonts w:ascii="Arial" w:hAnsi="Arial" w:cs="Arial"/>
          <w:sz w:val="16"/>
          <w:szCs w:val="16"/>
          <w:highlight w:val="yellow"/>
        </w:rPr>
        <w:t xml:space="preserve"> </w:t>
      </w:r>
      <w:bookmarkEnd w:id="646"/>
      <w:r w:rsidRPr="00226892">
        <w:rPr>
          <w:rFonts w:ascii="Arial" w:hAnsi="Arial" w:cs="Arial"/>
          <w:sz w:val="16"/>
          <w:szCs w:val="16"/>
          <w:highlight w:val="yellow"/>
        </w:rPr>
        <w:t xml:space="preserve"> </w:t>
      </w:r>
      <w:r w:rsidR="00C473E3" w:rsidRPr="00226892">
        <w:rPr>
          <w:rFonts w:ascii="Arial" w:hAnsi="Arial" w:cs="Arial"/>
          <w:sz w:val="16"/>
          <w:szCs w:val="16"/>
          <w:highlight w:val="yellow"/>
        </w:rPr>
        <w:t xml:space="preserve"> </w:t>
      </w:r>
    </w:p>
    <w:p w14:paraId="2D2722CF" w14:textId="77777777" w:rsidR="00B10824" w:rsidRPr="00226892" w:rsidRDefault="00B10824" w:rsidP="00756C6D">
      <w:pPr>
        <w:suppressAutoHyphens/>
        <w:jc w:val="both"/>
        <w:rPr>
          <w:rFonts w:ascii="Arial" w:hAnsi="Arial" w:cs="Arial"/>
        </w:rPr>
      </w:pPr>
    </w:p>
    <w:p w14:paraId="2E90B87C" w14:textId="4D2E3484" w:rsidR="00B10824" w:rsidRPr="00226892" w:rsidRDefault="00B10824" w:rsidP="00756C6D">
      <w:pPr>
        <w:suppressAutoHyphens/>
        <w:jc w:val="both"/>
        <w:rPr>
          <w:rFonts w:ascii="Arial" w:hAnsi="Arial" w:cs="Arial"/>
          <w:lang w:val="en-US"/>
        </w:rPr>
      </w:pPr>
      <w:proofErr w:type="spellStart"/>
      <w:r w:rsidRPr="00226892">
        <w:rPr>
          <w:rFonts w:ascii="Arial" w:hAnsi="Arial" w:cs="Arial"/>
        </w:rPr>
        <w:lastRenderedPageBreak/>
        <w:t>Prijaté</w:t>
      </w:r>
      <w:proofErr w:type="spellEnd"/>
      <w:r w:rsidRPr="00226892">
        <w:rPr>
          <w:rFonts w:ascii="Arial" w:hAnsi="Arial" w:cs="Arial"/>
        </w:rPr>
        <w:t xml:space="preserve"> </w:t>
      </w:r>
      <w:proofErr w:type="spellStart"/>
      <w:r w:rsidRPr="00226892">
        <w:rPr>
          <w:rFonts w:ascii="Arial" w:hAnsi="Arial" w:cs="Arial"/>
        </w:rPr>
        <w:t>pôžičky</w:t>
      </w:r>
      <w:proofErr w:type="spellEnd"/>
      <w:r w:rsidRPr="00226892">
        <w:rPr>
          <w:rFonts w:ascii="Arial" w:hAnsi="Arial" w:cs="Arial"/>
        </w:rPr>
        <w:t xml:space="preserve"> k </w:t>
      </w:r>
      <w:r w:rsidRPr="00226892">
        <w:rPr>
          <w:rFonts w:ascii="Arial" w:hAnsi="Arial" w:cs="Arial"/>
          <w:lang w:val="en-US"/>
        </w:rPr>
        <w:t xml:space="preserve">31. </w:t>
      </w:r>
      <w:proofErr w:type="spellStart"/>
      <w:r w:rsidRPr="00226892">
        <w:rPr>
          <w:rFonts w:ascii="Arial" w:hAnsi="Arial" w:cs="Arial"/>
          <w:lang w:val="en-US"/>
        </w:rPr>
        <w:t>decembru</w:t>
      </w:r>
      <w:proofErr w:type="spellEnd"/>
      <w:r w:rsidRPr="00226892">
        <w:rPr>
          <w:rFonts w:ascii="Arial" w:hAnsi="Arial" w:cs="Arial"/>
          <w:lang w:val="en-US"/>
        </w:rPr>
        <w:t xml:space="preserve"> 2017 za </w:t>
      </w:r>
      <w:proofErr w:type="spellStart"/>
      <w:r w:rsidRPr="00226892">
        <w:rPr>
          <w:rFonts w:ascii="Arial" w:hAnsi="Arial" w:cs="Arial"/>
          <w:lang w:val="en-US"/>
        </w:rPr>
        <w:t>ostatn</w:t>
      </w:r>
      <w:proofErr w:type="spellEnd"/>
      <w:r w:rsidRPr="00226892">
        <w:rPr>
          <w:rFonts w:ascii="Arial" w:hAnsi="Arial" w:cs="Arial"/>
          <w:lang w:val="sk-SK"/>
        </w:rPr>
        <w:t xml:space="preserve">é spriaznené strany v hodnote 5 114 tis. EUR sú vykázané k 31. decembru 2018 ako prijaté pôžičky od materskej spoločnosti </w:t>
      </w:r>
      <w:r w:rsidRPr="00226892">
        <w:rPr>
          <w:rFonts w:ascii="Arial" w:hAnsi="Arial" w:cs="Arial"/>
          <w:lang w:val="en-US"/>
        </w:rPr>
        <w:t xml:space="preserve">SODECIA Automotive Europe GmbH po </w:t>
      </w:r>
      <w:r w:rsidRPr="00226892">
        <w:rPr>
          <w:rFonts w:ascii="Arial" w:hAnsi="Arial" w:cs="Arial"/>
          <w:lang w:val="sk-SK"/>
        </w:rPr>
        <w:t xml:space="preserve">navýšení hodnoty na </w:t>
      </w:r>
      <w:r w:rsidRPr="00226892">
        <w:rPr>
          <w:rFonts w:ascii="Arial" w:hAnsi="Arial" w:cs="Arial"/>
          <w:lang w:val="en-US"/>
        </w:rPr>
        <w:t>10 033 tis. EUR.</w:t>
      </w:r>
    </w:p>
    <w:p w14:paraId="3C95C9F8" w14:textId="516F1BF7" w:rsidR="006C0567" w:rsidRPr="00226892" w:rsidRDefault="00EF337D" w:rsidP="00756C6D">
      <w:pPr>
        <w:suppressAutoHyphens/>
        <w:jc w:val="both"/>
        <w:rPr>
          <w:rFonts w:ascii="Arial" w:hAnsi="Arial" w:cs="Arial"/>
        </w:rPr>
      </w:pPr>
      <w:proofErr w:type="spellStart"/>
      <w:r w:rsidRPr="00226892">
        <w:rPr>
          <w:rFonts w:ascii="Arial" w:hAnsi="Arial" w:cs="Arial"/>
        </w:rPr>
        <w:t>Pohľadávky</w:t>
      </w:r>
      <w:proofErr w:type="spellEnd"/>
      <w:r w:rsidRPr="00226892">
        <w:rPr>
          <w:rFonts w:ascii="Arial" w:hAnsi="Arial" w:cs="Arial"/>
        </w:rPr>
        <w:t xml:space="preserve"> a </w:t>
      </w:r>
      <w:proofErr w:type="spellStart"/>
      <w:r w:rsidRPr="00226892">
        <w:rPr>
          <w:rFonts w:ascii="Arial" w:hAnsi="Arial" w:cs="Arial"/>
        </w:rPr>
        <w:t>záväzky</w:t>
      </w:r>
      <w:proofErr w:type="spellEnd"/>
      <w:r w:rsidRPr="00226892">
        <w:rPr>
          <w:rFonts w:ascii="Arial" w:hAnsi="Arial" w:cs="Arial"/>
        </w:rPr>
        <w:t xml:space="preserve"> </w:t>
      </w:r>
      <w:proofErr w:type="spellStart"/>
      <w:r w:rsidRPr="00226892">
        <w:rPr>
          <w:rFonts w:ascii="Arial" w:hAnsi="Arial" w:cs="Arial"/>
        </w:rPr>
        <w:t>voči</w:t>
      </w:r>
      <w:proofErr w:type="spellEnd"/>
      <w:r w:rsidRPr="00226892">
        <w:rPr>
          <w:rFonts w:ascii="Arial" w:hAnsi="Arial" w:cs="Arial"/>
        </w:rPr>
        <w:t xml:space="preserve"> </w:t>
      </w:r>
      <w:proofErr w:type="spellStart"/>
      <w:r w:rsidRPr="00226892">
        <w:rPr>
          <w:rFonts w:ascii="Arial" w:hAnsi="Arial" w:cs="Arial"/>
        </w:rPr>
        <w:t>spriazneným</w:t>
      </w:r>
      <w:proofErr w:type="spellEnd"/>
      <w:r w:rsidRPr="00226892">
        <w:rPr>
          <w:rFonts w:ascii="Arial" w:hAnsi="Arial" w:cs="Arial"/>
        </w:rPr>
        <w:t xml:space="preserve"> </w:t>
      </w:r>
      <w:proofErr w:type="spellStart"/>
      <w:r w:rsidRPr="00226892">
        <w:rPr>
          <w:rFonts w:ascii="Arial" w:hAnsi="Arial" w:cs="Arial"/>
        </w:rPr>
        <w:t>stranám</w:t>
      </w:r>
      <w:proofErr w:type="spellEnd"/>
      <w:r w:rsidRPr="00226892">
        <w:rPr>
          <w:rFonts w:ascii="Arial" w:hAnsi="Arial" w:cs="Arial"/>
        </w:rPr>
        <w:t xml:space="preserve"> </w:t>
      </w:r>
      <w:proofErr w:type="spellStart"/>
      <w:r w:rsidRPr="00226892">
        <w:rPr>
          <w:rFonts w:ascii="Arial" w:hAnsi="Arial" w:cs="Arial"/>
        </w:rPr>
        <w:t>nie</w:t>
      </w:r>
      <w:proofErr w:type="spellEnd"/>
      <w:r w:rsidRPr="00226892">
        <w:rPr>
          <w:rFonts w:ascii="Arial" w:hAnsi="Arial" w:cs="Arial"/>
        </w:rPr>
        <w:t xml:space="preserve"> </w:t>
      </w:r>
      <w:proofErr w:type="spellStart"/>
      <w:r w:rsidRPr="00226892">
        <w:rPr>
          <w:rFonts w:ascii="Arial" w:hAnsi="Arial" w:cs="Arial"/>
        </w:rPr>
        <w:t>sú</w:t>
      </w:r>
      <w:proofErr w:type="spellEnd"/>
      <w:r w:rsidRPr="00226892">
        <w:rPr>
          <w:rFonts w:ascii="Arial" w:hAnsi="Arial" w:cs="Arial"/>
        </w:rPr>
        <w:t xml:space="preserve"> k 31. </w:t>
      </w:r>
      <w:proofErr w:type="spellStart"/>
      <w:r w:rsidRPr="00226892">
        <w:rPr>
          <w:rFonts w:ascii="Arial" w:hAnsi="Arial" w:cs="Arial"/>
        </w:rPr>
        <w:t>decembru</w:t>
      </w:r>
      <w:proofErr w:type="spellEnd"/>
      <w:r w:rsidRPr="00226892">
        <w:rPr>
          <w:rFonts w:ascii="Arial" w:hAnsi="Arial" w:cs="Arial"/>
        </w:rPr>
        <w:t xml:space="preserve"> </w:t>
      </w:r>
      <w:r w:rsidR="00FD3AC5" w:rsidRPr="00226892">
        <w:rPr>
          <w:rFonts w:ascii="Arial" w:hAnsi="Arial" w:cs="Arial"/>
        </w:rPr>
        <w:t>2018</w:t>
      </w:r>
      <w:r w:rsidRPr="00226892">
        <w:rPr>
          <w:rFonts w:ascii="Arial" w:hAnsi="Arial" w:cs="Arial"/>
        </w:rPr>
        <w:t xml:space="preserve"> ani k 31. </w:t>
      </w:r>
      <w:proofErr w:type="spellStart"/>
      <w:r w:rsidRPr="00226892">
        <w:rPr>
          <w:rFonts w:ascii="Arial" w:hAnsi="Arial" w:cs="Arial"/>
        </w:rPr>
        <w:t>decembru</w:t>
      </w:r>
      <w:proofErr w:type="spellEnd"/>
      <w:r w:rsidRPr="00226892">
        <w:rPr>
          <w:rFonts w:ascii="Arial" w:hAnsi="Arial" w:cs="Arial"/>
        </w:rPr>
        <w:t xml:space="preserve"> </w:t>
      </w:r>
      <w:r w:rsidR="00F63A77" w:rsidRPr="00226892">
        <w:rPr>
          <w:rFonts w:ascii="Arial" w:hAnsi="Arial" w:cs="Arial"/>
        </w:rPr>
        <w:t>2017</w:t>
      </w:r>
      <w:r w:rsidRPr="00226892">
        <w:rPr>
          <w:rFonts w:ascii="Arial" w:hAnsi="Arial" w:cs="Arial"/>
        </w:rPr>
        <w:t xml:space="preserve"> po </w:t>
      </w:r>
      <w:proofErr w:type="spellStart"/>
      <w:r w:rsidRPr="00226892">
        <w:rPr>
          <w:rFonts w:ascii="Arial" w:hAnsi="Arial" w:cs="Arial"/>
        </w:rPr>
        <w:t>splatnosti</w:t>
      </w:r>
      <w:proofErr w:type="spellEnd"/>
      <w:r w:rsidRPr="00226892">
        <w:rPr>
          <w:rFonts w:ascii="Arial" w:hAnsi="Arial" w:cs="Arial"/>
        </w:rPr>
        <w:t xml:space="preserve"> ani </w:t>
      </w:r>
      <w:proofErr w:type="spellStart"/>
      <w:r w:rsidRPr="00226892">
        <w:rPr>
          <w:rFonts w:ascii="Arial" w:hAnsi="Arial" w:cs="Arial"/>
        </w:rPr>
        <w:t>znehodnotené</w:t>
      </w:r>
      <w:proofErr w:type="spellEnd"/>
      <w:r w:rsidRPr="00226892">
        <w:rPr>
          <w:rFonts w:ascii="Arial" w:hAnsi="Arial" w:cs="Arial"/>
        </w:rPr>
        <w:t>.</w:t>
      </w:r>
      <w:r w:rsidR="00E94117" w:rsidRPr="00226892">
        <w:rPr>
          <w:rFonts w:ascii="Arial" w:hAnsi="Arial" w:cs="Arial"/>
        </w:rPr>
        <w:t xml:space="preserve"> </w:t>
      </w:r>
    </w:p>
    <w:p w14:paraId="493BAE3E" w14:textId="02B8AFF3" w:rsidR="00D86E58" w:rsidRPr="00226892" w:rsidRDefault="0056068D" w:rsidP="00756C6D">
      <w:pPr>
        <w:autoSpaceDE w:val="0"/>
        <w:autoSpaceDN w:val="0"/>
        <w:adjustRightInd w:val="0"/>
        <w:jc w:val="both"/>
        <w:rPr>
          <w:rFonts w:ascii="Arial" w:hAnsi="Arial" w:cs="Arial"/>
        </w:rPr>
      </w:pPr>
      <w:r w:rsidRPr="00226892">
        <w:rPr>
          <w:rFonts w:ascii="Arial" w:hAnsi="Arial" w:cs="Arial"/>
          <w:lang w:val="sk-SK"/>
        </w:rPr>
        <w:t>Výnosy a náklady z transakcií so spriaz</w:t>
      </w:r>
      <w:r w:rsidR="00A71482" w:rsidRPr="00226892">
        <w:rPr>
          <w:rFonts w:ascii="Arial" w:hAnsi="Arial" w:cs="Arial"/>
          <w:lang w:val="sk-SK"/>
        </w:rPr>
        <w:t xml:space="preserve">nenými stranami boli v roku </w:t>
      </w:r>
      <w:r w:rsidR="00FD3AC5" w:rsidRPr="00226892">
        <w:rPr>
          <w:rFonts w:ascii="Arial" w:hAnsi="Arial" w:cs="Arial"/>
          <w:lang w:val="sk-SK"/>
        </w:rPr>
        <w:t>2018</w:t>
      </w:r>
      <w:r w:rsidR="00CE3E6A" w:rsidRPr="00226892">
        <w:rPr>
          <w:rFonts w:ascii="Arial" w:hAnsi="Arial" w:cs="Arial"/>
          <w:lang w:val="sk-SK"/>
        </w:rPr>
        <w:t xml:space="preserve"> </w:t>
      </w:r>
      <w:r w:rsidRPr="00226892">
        <w:rPr>
          <w:rFonts w:ascii="Arial" w:hAnsi="Arial" w:cs="Arial"/>
          <w:lang w:val="sk-SK"/>
        </w:rPr>
        <w:t>nasledovné:</w:t>
      </w:r>
    </w:p>
    <w:p w14:paraId="499B01BD" w14:textId="77777777" w:rsidR="00DD63CA" w:rsidRPr="00226892" w:rsidRDefault="00DD63CA" w:rsidP="00833CC0">
      <w:pPr>
        <w:suppressAutoHyphens/>
        <w:rPr>
          <w:rFonts w:ascii="Arial" w:hAnsi="Arial" w:cs="Arial"/>
          <w:szCs w:val="18"/>
        </w:rPr>
      </w:pPr>
      <w:bookmarkStart w:id="647" w:name="FWT_IncomeAndExpWithRelParties_CY"/>
      <w:r w:rsidRPr="00226892">
        <w:rPr>
          <w:rFonts w:ascii="Arial" w:hAnsi="Arial" w:cs="Arial"/>
          <w:sz w:val="18"/>
          <w:szCs w:val="18"/>
        </w:rPr>
        <w:t xml:space="preserve"> </w:t>
      </w:r>
    </w:p>
    <w:tbl>
      <w:tblPr>
        <w:tblW w:w="5000" w:type="pct"/>
        <w:tblCellMar>
          <w:left w:w="70" w:type="dxa"/>
          <w:right w:w="70" w:type="dxa"/>
        </w:tblCellMar>
        <w:tblLook w:val="04A0" w:firstRow="1" w:lastRow="0" w:firstColumn="1" w:lastColumn="0" w:noHBand="0" w:noVBand="1"/>
      </w:tblPr>
      <w:tblGrid>
        <w:gridCol w:w="2658"/>
        <w:gridCol w:w="1571"/>
        <w:gridCol w:w="191"/>
        <w:gridCol w:w="1662"/>
        <w:gridCol w:w="191"/>
        <w:gridCol w:w="1822"/>
        <w:gridCol w:w="191"/>
        <w:gridCol w:w="1353"/>
      </w:tblGrid>
      <w:tr w:rsidR="004E5D12" w:rsidRPr="00226892" w:rsidDel="004E5D12" w14:paraId="4D1380D5" w14:textId="77777777" w:rsidTr="00F0299B">
        <w:trPr>
          <w:trHeight w:val="227"/>
        </w:trPr>
        <w:tc>
          <w:tcPr>
            <w:tcW w:w="1379" w:type="pct"/>
            <w:tcBorders>
              <w:top w:val="nil"/>
              <w:left w:val="nil"/>
              <w:bottom w:val="single" w:sz="4" w:space="0" w:color="auto"/>
              <w:right w:val="nil"/>
            </w:tcBorders>
            <w:shd w:val="clear" w:color="auto" w:fill="auto"/>
            <w:noWrap/>
            <w:vAlign w:val="bottom"/>
          </w:tcPr>
          <w:p w14:paraId="0EAFB258" w14:textId="004257F4" w:rsidR="004E5D12" w:rsidRPr="00226892" w:rsidDel="004E5D12" w:rsidRDefault="004E5D12" w:rsidP="00833CC0">
            <w:pPr>
              <w:rPr>
                <w:rFonts w:ascii="Arial" w:eastAsia="Times New Roman" w:hAnsi="Arial" w:cs="Arial"/>
                <w:b/>
                <w:bCs/>
                <w:color w:val="000000"/>
                <w:sz w:val="18"/>
                <w:szCs w:val="18"/>
                <w:lang w:val="sk-SK" w:eastAsia="sk-SK"/>
              </w:rPr>
            </w:pPr>
            <w:r w:rsidRPr="00226892" w:rsidDel="004E5D12">
              <w:rPr>
                <w:rFonts w:ascii="Arial" w:eastAsia="Times New Roman" w:hAnsi="Arial" w:cs="Arial"/>
                <w:b/>
                <w:bCs/>
                <w:color w:val="000000"/>
                <w:sz w:val="18"/>
                <w:szCs w:val="18"/>
                <w:lang w:val="sk-SK" w:eastAsia="sk-SK"/>
              </w:rPr>
              <w:t> </w:t>
            </w:r>
          </w:p>
        </w:tc>
        <w:tc>
          <w:tcPr>
            <w:tcW w:w="815" w:type="pct"/>
            <w:tcBorders>
              <w:top w:val="nil"/>
              <w:left w:val="nil"/>
              <w:bottom w:val="single" w:sz="4" w:space="0" w:color="auto"/>
              <w:right w:val="nil"/>
            </w:tcBorders>
            <w:shd w:val="clear" w:color="auto" w:fill="auto"/>
            <w:vAlign w:val="bottom"/>
          </w:tcPr>
          <w:p w14:paraId="05598C66" w14:textId="0C34E6B0" w:rsidR="004E5D12" w:rsidRPr="00226892" w:rsidDel="004E5D12" w:rsidRDefault="004E5D12">
            <w:pPr>
              <w:jc w:val="center"/>
              <w:rPr>
                <w:rFonts w:ascii="Arial" w:eastAsia="Times New Roman" w:hAnsi="Arial" w:cs="Arial"/>
                <w:b/>
                <w:bCs/>
                <w:color w:val="000000"/>
                <w:sz w:val="18"/>
                <w:szCs w:val="18"/>
                <w:lang w:val="sk-SK" w:eastAsia="sk-SK"/>
              </w:rPr>
            </w:pPr>
            <w:r w:rsidRPr="00226892" w:rsidDel="004E5D12">
              <w:rPr>
                <w:rFonts w:ascii="Arial" w:eastAsia="Times New Roman" w:hAnsi="Arial" w:cs="Arial"/>
                <w:b/>
                <w:bCs/>
                <w:color w:val="000000"/>
                <w:sz w:val="18"/>
                <w:szCs w:val="18"/>
                <w:lang w:val="sk-SK" w:eastAsia="sk-SK"/>
              </w:rPr>
              <w:t xml:space="preserve"> Pridružené spoločnosti  </w:t>
            </w:r>
          </w:p>
        </w:tc>
        <w:tc>
          <w:tcPr>
            <w:tcW w:w="99" w:type="pct"/>
            <w:tcBorders>
              <w:top w:val="nil"/>
              <w:left w:val="nil"/>
              <w:bottom w:val="single" w:sz="4" w:space="0" w:color="auto"/>
              <w:right w:val="nil"/>
            </w:tcBorders>
            <w:shd w:val="clear" w:color="auto" w:fill="auto"/>
            <w:vAlign w:val="bottom"/>
          </w:tcPr>
          <w:p w14:paraId="576BE1E5" w14:textId="6482A682" w:rsidR="004E5D12" w:rsidRPr="00226892" w:rsidDel="004E5D12" w:rsidRDefault="004E5D12">
            <w:pPr>
              <w:rPr>
                <w:rFonts w:ascii="Arial" w:eastAsia="Times New Roman" w:hAnsi="Arial" w:cs="Arial"/>
                <w:color w:val="000000"/>
                <w:sz w:val="18"/>
                <w:szCs w:val="18"/>
                <w:lang w:val="sk-SK" w:eastAsia="sk-SK"/>
              </w:rPr>
            </w:pPr>
            <w:r w:rsidRPr="00226892" w:rsidDel="004E5D12">
              <w:rPr>
                <w:rFonts w:ascii="Arial" w:eastAsia="Times New Roman" w:hAnsi="Arial" w:cs="Arial"/>
                <w:color w:val="000000"/>
                <w:sz w:val="18"/>
                <w:szCs w:val="18"/>
                <w:lang w:val="sk-SK" w:eastAsia="sk-SK"/>
              </w:rPr>
              <w:t> </w:t>
            </w:r>
          </w:p>
        </w:tc>
        <w:tc>
          <w:tcPr>
            <w:tcW w:w="862" w:type="pct"/>
            <w:tcBorders>
              <w:top w:val="nil"/>
              <w:left w:val="nil"/>
              <w:bottom w:val="single" w:sz="4" w:space="0" w:color="auto"/>
              <w:right w:val="nil"/>
            </w:tcBorders>
            <w:shd w:val="clear" w:color="auto" w:fill="auto"/>
            <w:vAlign w:val="bottom"/>
          </w:tcPr>
          <w:p w14:paraId="60C5FAE9" w14:textId="033AB6C4" w:rsidR="004E5D12" w:rsidRPr="00226892" w:rsidDel="004E5D12" w:rsidRDefault="004E5D12">
            <w:pPr>
              <w:jc w:val="center"/>
              <w:rPr>
                <w:rFonts w:ascii="Arial" w:eastAsia="Times New Roman" w:hAnsi="Arial" w:cs="Arial"/>
                <w:b/>
                <w:bCs/>
                <w:color w:val="000000"/>
                <w:sz w:val="18"/>
                <w:szCs w:val="18"/>
                <w:lang w:val="sk-SK" w:eastAsia="sk-SK"/>
              </w:rPr>
            </w:pPr>
            <w:r w:rsidRPr="00226892" w:rsidDel="004E5D12">
              <w:rPr>
                <w:rFonts w:ascii="Arial" w:eastAsia="Times New Roman" w:hAnsi="Arial" w:cs="Arial"/>
                <w:b/>
                <w:bCs/>
                <w:color w:val="000000"/>
                <w:sz w:val="18"/>
                <w:szCs w:val="18"/>
                <w:lang w:val="sk-SK" w:eastAsia="sk-SK"/>
              </w:rPr>
              <w:t>Materská spoločnosť</w:t>
            </w:r>
          </w:p>
        </w:tc>
        <w:tc>
          <w:tcPr>
            <w:tcW w:w="99" w:type="pct"/>
            <w:tcBorders>
              <w:top w:val="nil"/>
              <w:left w:val="nil"/>
              <w:bottom w:val="single" w:sz="4" w:space="0" w:color="auto"/>
              <w:right w:val="nil"/>
            </w:tcBorders>
            <w:shd w:val="clear" w:color="auto" w:fill="auto"/>
            <w:vAlign w:val="bottom"/>
          </w:tcPr>
          <w:p w14:paraId="2637ABFD" w14:textId="7E8236D2" w:rsidR="004E5D12" w:rsidRPr="00226892" w:rsidDel="004E5D12" w:rsidRDefault="004E5D12">
            <w:pPr>
              <w:rPr>
                <w:rFonts w:ascii="Arial" w:eastAsia="Times New Roman" w:hAnsi="Arial" w:cs="Arial"/>
                <w:color w:val="000000"/>
                <w:sz w:val="18"/>
                <w:szCs w:val="18"/>
                <w:lang w:val="sk-SK" w:eastAsia="sk-SK"/>
              </w:rPr>
            </w:pPr>
            <w:r w:rsidRPr="00226892" w:rsidDel="004E5D12">
              <w:rPr>
                <w:rFonts w:ascii="Arial" w:eastAsia="Times New Roman" w:hAnsi="Arial" w:cs="Arial"/>
                <w:color w:val="000000"/>
                <w:sz w:val="18"/>
                <w:szCs w:val="18"/>
                <w:lang w:val="sk-SK" w:eastAsia="sk-SK"/>
              </w:rPr>
              <w:t> </w:t>
            </w:r>
          </w:p>
        </w:tc>
        <w:tc>
          <w:tcPr>
            <w:tcW w:w="945" w:type="pct"/>
            <w:tcBorders>
              <w:top w:val="nil"/>
              <w:left w:val="nil"/>
              <w:bottom w:val="single" w:sz="4" w:space="0" w:color="auto"/>
              <w:right w:val="nil"/>
            </w:tcBorders>
            <w:shd w:val="clear" w:color="auto" w:fill="auto"/>
            <w:vAlign w:val="bottom"/>
          </w:tcPr>
          <w:p w14:paraId="40CDDF9A" w14:textId="647E0A47" w:rsidR="004E5D12" w:rsidRPr="00226892" w:rsidDel="004E5D12" w:rsidRDefault="004E5D12">
            <w:pPr>
              <w:jc w:val="center"/>
              <w:rPr>
                <w:rFonts w:ascii="Arial" w:eastAsia="Times New Roman" w:hAnsi="Arial" w:cs="Arial"/>
                <w:b/>
                <w:bCs/>
                <w:color w:val="000000"/>
                <w:sz w:val="18"/>
                <w:szCs w:val="18"/>
                <w:lang w:val="sk-SK" w:eastAsia="sk-SK"/>
              </w:rPr>
            </w:pPr>
            <w:r w:rsidRPr="00226892" w:rsidDel="004E5D12">
              <w:rPr>
                <w:rFonts w:ascii="Arial" w:eastAsia="Times New Roman" w:hAnsi="Arial" w:cs="Arial"/>
                <w:b/>
                <w:bCs/>
                <w:color w:val="000000"/>
                <w:sz w:val="18"/>
                <w:szCs w:val="18"/>
                <w:lang w:val="sk-SK" w:eastAsia="sk-SK"/>
              </w:rPr>
              <w:t xml:space="preserve"> Ostatné spriaznené strany </w:t>
            </w:r>
          </w:p>
        </w:tc>
        <w:tc>
          <w:tcPr>
            <w:tcW w:w="99" w:type="pct"/>
            <w:tcBorders>
              <w:top w:val="nil"/>
              <w:left w:val="nil"/>
              <w:bottom w:val="single" w:sz="4" w:space="0" w:color="auto"/>
              <w:right w:val="nil"/>
            </w:tcBorders>
            <w:shd w:val="clear" w:color="auto" w:fill="auto"/>
            <w:vAlign w:val="bottom"/>
          </w:tcPr>
          <w:p w14:paraId="3507F6DB" w14:textId="525D3D9A" w:rsidR="004E5D12" w:rsidRPr="00226892" w:rsidDel="004E5D12" w:rsidRDefault="004E5D12">
            <w:pPr>
              <w:rPr>
                <w:rFonts w:ascii="Arial" w:eastAsia="Times New Roman" w:hAnsi="Arial" w:cs="Arial"/>
                <w:color w:val="000000"/>
                <w:sz w:val="18"/>
                <w:szCs w:val="18"/>
                <w:lang w:val="sk-SK" w:eastAsia="sk-SK"/>
              </w:rPr>
            </w:pPr>
            <w:r w:rsidRPr="00226892" w:rsidDel="004E5D12">
              <w:rPr>
                <w:rFonts w:ascii="Arial" w:eastAsia="Times New Roman" w:hAnsi="Arial" w:cs="Arial"/>
                <w:color w:val="000000"/>
                <w:sz w:val="18"/>
                <w:szCs w:val="18"/>
                <w:lang w:val="sk-SK" w:eastAsia="sk-SK"/>
              </w:rPr>
              <w:t> </w:t>
            </w:r>
          </w:p>
        </w:tc>
        <w:tc>
          <w:tcPr>
            <w:tcW w:w="702" w:type="pct"/>
            <w:tcBorders>
              <w:top w:val="nil"/>
              <w:left w:val="nil"/>
              <w:bottom w:val="single" w:sz="4" w:space="0" w:color="auto"/>
              <w:right w:val="nil"/>
            </w:tcBorders>
            <w:shd w:val="clear" w:color="auto" w:fill="auto"/>
            <w:vAlign w:val="bottom"/>
          </w:tcPr>
          <w:p w14:paraId="0D95F638" w14:textId="5E1127CB" w:rsidR="004E5D12" w:rsidRPr="00226892" w:rsidDel="004E5D12" w:rsidRDefault="004E5D12">
            <w:pPr>
              <w:jc w:val="center"/>
              <w:rPr>
                <w:rFonts w:ascii="Arial" w:eastAsia="Times New Roman" w:hAnsi="Arial" w:cs="Arial"/>
                <w:b/>
                <w:bCs/>
                <w:color w:val="000000"/>
                <w:sz w:val="18"/>
                <w:szCs w:val="18"/>
                <w:lang w:val="sk-SK" w:eastAsia="sk-SK"/>
              </w:rPr>
            </w:pPr>
            <w:r w:rsidRPr="00226892" w:rsidDel="004E5D12">
              <w:rPr>
                <w:rFonts w:ascii="Arial" w:eastAsia="Times New Roman" w:hAnsi="Arial" w:cs="Arial"/>
                <w:b/>
                <w:bCs/>
                <w:color w:val="000000"/>
                <w:sz w:val="18"/>
                <w:szCs w:val="18"/>
                <w:lang w:val="sk-SK" w:eastAsia="sk-SK"/>
              </w:rPr>
              <w:t xml:space="preserve"> Spolu </w:t>
            </w:r>
          </w:p>
        </w:tc>
      </w:tr>
      <w:tr w:rsidR="004E5D12" w:rsidRPr="00226892" w:rsidDel="004E5D12" w14:paraId="02E55247" w14:textId="77777777" w:rsidTr="00F0299B">
        <w:trPr>
          <w:trHeight w:val="227"/>
        </w:trPr>
        <w:tc>
          <w:tcPr>
            <w:tcW w:w="1379" w:type="pct"/>
            <w:tcBorders>
              <w:top w:val="nil"/>
              <w:left w:val="nil"/>
              <w:bottom w:val="nil"/>
              <w:right w:val="nil"/>
            </w:tcBorders>
            <w:shd w:val="clear" w:color="auto" w:fill="auto"/>
            <w:vAlign w:val="bottom"/>
          </w:tcPr>
          <w:p w14:paraId="60471CE3" w14:textId="32920E03" w:rsidR="004E5D12" w:rsidRPr="00226892" w:rsidDel="004E5D12" w:rsidRDefault="004E5D12" w:rsidP="00734402">
            <w:pPr>
              <w:rPr>
                <w:rFonts w:ascii="Arial" w:eastAsia="Times New Roman" w:hAnsi="Arial" w:cs="Arial"/>
                <w:color w:val="000000"/>
                <w:sz w:val="18"/>
                <w:szCs w:val="18"/>
                <w:lang w:val="sk-SK" w:eastAsia="sk-SK"/>
              </w:rPr>
            </w:pPr>
            <w:r w:rsidRPr="00226892" w:rsidDel="004E5D12">
              <w:rPr>
                <w:rFonts w:ascii="Arial" w:eastAsia="Times New Roman" w:hAnsi="Arial" w:cs="Arial"/>
                <w:color w:val="000000"/>
                <w:sz w:val="18"/>
                <w:szCs w:val="18"/>
                <w:lang w:val="sk-SK" w:eastAsia="sk-SK"/>
              </w:rPr>
              <w:t xml:space="preserve"> Predaj zásob</w:t>
            </w:r>
          </w:p>
        </w:tc>
        <w:tc>
          <w:tcPr>
            <w:tcW w:w="815" w:type="pct"/>
            <w:tcBorders>
              <w:top w:val="nil"/>
              <w:left w:val="nil"/>
              <w:bottom w:val="nil"/>
              <w:right w:val="nil"/>
            </w:tcBorders>
            <w:shd w:val="clear" w:color="auto" w:fill="auto"/>
            <w:vAlign w:val="bottom"/>
          </w:tcPr>
          <w:p w14:paraId="232C1A6A" w14:textId="283066FB" w:rsidR="004E5D12" w:rsidRPr="00226892" w:rsidDel="004E5D12" w:rsidRDefault="004E5D12" w:rsidP="00734402">
            <w:pPr>
              <w:jc w:val="right"/>
              <w:rPr>
                <w:rFonts w:ascii="Arial" w:eastAsia="Times New Roman" w:hAnsi="Arial" w:cs="Arial"/>
                <w:color w:val="000000"/>
                <w:sz w:val="18"/>
                <w:szCs w:val="18"/>
                <w:lang w:val="sk-SK" w:eastAsia="sk-SK"/>
              </w:rPr>
            </w:pPr>
            <w:r w:rsidRPr="00226892" w:rsidDel="004E5D12">
              <w:rPr>
                <w:rFonts w:ascii="Arial" w:eastAsia="Times New Roman" w:hAnsi="Arial" w:cs="Arial"/>
                <w:color w:val="000000"/>
                <w:sz w:val="18"/>
                <w:szCs w:val="18"/>
                <w:lang w:val="sk-SK" w:eastAsia="sk-SK"/>
              </w:rPr>
              <w:t>-</w:t>
            </w:r>
          </w:p>
        </w:tc>
        <w:tc>
          <w:tcPr>
            <w:tcW w:w="99" w:type="pct"/>
            <w:tcBorders>
              <w:top w:val="nil"/>
              <w:left w:val="nil"/>
              <w:bottom w:val="nil"/>
              <w:right w:val="nil"/>
            </w:tcBorders>
            <w:shd w:val="clear" w:color="auto" w:fill="auto"/>
            <w:vAlign w:val="bottom"/>
          </w:tcPr>
          <w:p w14:paraId="6DFE2833" w14:textId="77777777" w:rsidR="004E5D12" w:rsidRPr="00226892" w:rsidDel="004E5D12" w:rsidRDefault="004E5D12" w:rsidP="00734402">
            <w:pPr>
              <w:jc w:val="right"/>
              <w:rPr>
                <w:rFonts w:ascii="Arial" w:eastAsia="Times New Roman" w:hAnsi="Arial" w:cs="Arial"/>
                <w:color w:val="000000"/>
                <w:sz w:val="18"/>
                <w:szCs w:val="18"/>
                <w:lang w:val="sk-SK" w:eastAsia="sk-SK"/>
              </w:rPr>
            </w:pPr>
          </w:p>
        </w:tc>
        <w:tc>
          <w:tcPr>
            <w:tcW w:w="862" w:type="pct"/>
            <w:tcBorders>
              <w:top w:val="nil"/>
              <w:left w:val="nil"/>
              <w:bottom w:val="nil"/>
              <w:right w:val="nil"/>
            </w:tcBorders>
            <w:shd w:val="clear" w:color="auto" w:fill="auto"/>
            <w:vAlign w:val="bottom"/>
          </w:tcPr>
          <w:p w14:paraId="4A59289C" w14:textId="63EB6626" w:rsidR="004E5D12" w:rsidRPr="00226892" w:rsidDel="004E5D12" w:rsidRDefault="004E5D12" w:rsidP="00734402">
            <w:pPr>
              <w:jc w:val="right"/>
              <w:rPr>
                <w:rFonts w:ascii="Arial" w:eastAsia="Times New Roman" w:hAnsi="Arial" w:cs="Arial"/>
                <w:color w:val="000000"/>
                <w:sz w:val="18"/>
                <w:szCs w:val="18"/>
                <w:lang w:val="sk-SK" w:eastAsia="sk-SK"/>
              </w:rPr>
            </w:pPr>
            <w:r w:rsidRPr="00226892" w:rsidDel="004E5D12">
              <w:rPr>
                <w:rFonts w:ascii="Arial" w:eastAsia="Times New Roman" w:hAnsi="Arial" w:cs="Arial"/>
                <w:color w:val="000000"/>
                <w:sz w:val="18"/>
                <w:szCs w:val="18"/>
                <w:lang w:val="sk-SK" w:eastAsia="sk-SK"/>
              </w:rPr>
              <w:t>-</w:t>
            </w:r>
          </w:p>
        </w:tc>
        <w:tc>
          <w:tcPr>
            <w:tcW w:w="99" w:type="pct"/>
            <w:tcBorders>
              <w:top w:val="nil"/>
              <w:left w:val="nil"/>
              <w:bottom w:val="nil"/>
              <w:right w:val="nil"/>
            </w:tcBorders>
            <w:shd w:val="clear" w:color="auto" w:fill="auto"/>
            <w:vAlign w:val="bottom"/>
          </w:tcPr>
          <w:p w14:paraId="5977BAB8" w14:textId="77777777" w:rsidR="004E5D12" w:rsidRPr="00226892" w:rsidDel="004E5D12" w:rsidRDefault="004E5D12" w:rsidP="00734402">
            <w:pPr>
              <w:jc w:val="right"/>
              <w:rPr>
                <w:rFonts w:ascii="Arial" w:eastAsia="Times New Roman" w:hAnsi="Arial" w:cs="Arial"/>
                <w:color w:val="000000"/>
                <w:sz w:val="18"/>
                <w:szCs w:val="18"/>
                <w:lang w:val="sk-SK" w:eastAsia="sk-SK"/>
              </w:rPr>
            </w:pPr>
          </w:p>
        </w:tc>
        <w:tc>
          <w:tcPr>
            <w:tcW w:w="945" w:type="pct"/>
            <w:tcBorders>
              <w:top w:val="nil"/>
              <w:left w:val="nil"/>
              <w:bottom w:val="nil"/>
              <w:right w:val="nil"/>
            </w:tcBorders>
            <w:shd w:val="clear" w:color="auto" w:fill="auto"/>
            <w:vAlign w:val="bottom"/>
          </w:tcPr>
          <w:p w14:paraId="6142FAB6" w14:textId="05019D44" w:rsidR="004E5D12" w:rsidRPr="00226892" w:rsidDel="004E5D12" w:rsidRDefault="00427990" w:rsidP="00734402">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1 577</w:t>
            </w:r>
          </w:p>
        </w:tc>
        <w:tc>
          <w:tcPr>
            <w:tcW w:w="99" w:type="pct"/>
            <w:tcBorders>
              <w:top w:val="nil"/>
              <w:left w:val="nil"/>
              <w:bottom w:val="nil"/>
              <w:right w:val="nil"/>
            </w:tcBorders>
            <w:shd w:val="clear" w:color="auto" w:fill="auto"/>
            <w:vAlign w:val="bottom"/>
          </w:tcPr>
          <w:p w14:paraId="6198F819" w14:textId="77777777" w:rsidR="004E5D12" w:rsidRPr="00226892" w:rsidDel="004E5D12" w:rsidRDefault="004E5D12" w:rsidP="00734402">
            <w:pPr>
              <w:jc w:val="right"/>
              <w:rPr>
                <w:rFonts w:ascii="Arial" w:eastAsia="Times New Roman" w:hAnsi="Arial" w:cs="Arial"/>
                <w:color w:val="000000"/>
                <w:sz w:val="18"/>
                <w:szCs w:val="18"/>
                <w:lang w:val="sk-SK" w:eastAsia="sk-SK"/>
              </w:rPr>
            </w:pPr>
          </w:p>
        </w:tc>
        <w:tc>
          <w:tcPr>
            <w:tcW w:w="702" w:type="pct"/>
            <w:tcBorders>
              <w:top w:val="nil"/>
              <w:left w:val="nil"/>
              <w:bottom w:val="nil"/>
              <w:right w:val="nil"/>
            </w:tcBorders>
            <w:shd w:val="clear" w:color="auto" w:fill="auto"/>
            <w:vAlign w:val="bottom"/>
          </w:tcPr>
          <w:p w14:paraId="4472CB12" w14:textId="352C7141" w:rsidR="004E5D12" w:rsidRPr="00226892" w:rsidDel="004E5D12" w:rsidRDefault="00427990" w:rsidP="00734402">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1 577</w:t>
            </w:r>
          </w:p>
        </w:tc>
      </w:tr>
      <w:tr w:rsidR="004E5D12" w:rsidRPr="00226892" w:rsidDel="004E5D12" w14:paraId="446E1817" w14:textId="77777777" w:rsidTr="00F0299B">
        <w:trPr>
          <w:trHeight w:val="227"/>
        </w:trPr>
        <w:tc>
          <w:tcPr>
            <w:tcW w:w="1379" w:type="pct"/>
            <w:tcBorders>
              <w:top w:val="nil"/>
              <w:left w:val="nil"/>
              <w:bottom w:val="nil"/>
              <w:right w:val="nil"/>
            </w:tcBorders>
            <w:shd w:val="clear" w:color="auto" w:fill="auto"/>
            <w:vAlign w:val="bottom"/>
          </w:tcPr>
          <w:p w14:paraId="3176C664" w14:textId="4E9EF8CE" w:rsidR="004E5D12" w:rsidRPr="00226892" w:rsidDel="004E5D12" w:rsidRDefault="004E5D12" w:rsidP="00833CC0">
            <w:pPr>
              <w:rPr>
                <w:rFonts w:ascii="Arial" w:eastAsia="Times New Roman" w:hAnsi="Arial" w:cs="Arial"/>
                <w:color w:val="000000"/>
                <w:sz w:val="18"/>
                <w:szCs w:val="18"/>
                <w:lang w:val="sk-SK" w:eastAsia="sk-SK"/>
              </w:rPr>
            </w:pPr>
            <w:r w:rsidRPr="00226892" w:rsidDel="004E5D12">
              <w:rPr>
                <w:rFonts w:ascii="Arial" w:eastAsia="Times New Roman" w:hAnsi="Arial" w:cs="Arial"/>
                <w:color w:val="000000"/>
                <w:sz w:val="18"/>
                <w:szCs w:val="18"/>
                <w:lang w:val="sk-SK" w:eastAsia="sk-SK"/>
              </w:rPr>
              <w:t xml:space="preserve"> Predaj služieb </w:t>
            </w:r>
          </w:p>
        </w:tc>
        <w:tc>
          <w:tcPr>
            <w:tcW w:w="815" w:type="pct"/>
            <w:tcBorders>
              <w:top w:val="nil"/>
              <w:left w:val="nil"/>
              <w:bottom w:val="nil"/>
              <w:right w:val="nil"/>
            </w:tcBorders>
            <w:shd w:val="clear" w:color="auto" w:fill="auto"/>
            <w:vAlign w:val="bottom"/>
          </w:tcPr>
          <w:p w14:paraId="34A5C8E3" w14:textId="43BBD77E" w:rsidR="004E5D12" w:rsidRPr="00226892" w:rsidDel="004E5D12" w:rsidRDefault="004E5D12" w:rsidP="00D14B23">
            <w:pPr>
              <w:jc w:val="right"/>
              <w:rPr>
                <w:rFonts w:ascii="Arial" w:eastAsia="Times New Roman" w:hAnsi="Arial" w:cs="Arial"/>
                <w:color w:val="000000"/>
                <w:sz w:val="18"/>
                <w:szCs w:val="18"/>
                <w:lang w:val="sk-SK" w:eastAsia="sk-SK"/>
              </w:rPr>
            </w:pPr>
            <w:r w:rsidRPr="00226892" w:rsidDel="004E5D12">
              <w:rPr>
                <w:rFonts w:ascii="Arial" w:eastAsia="Times New Roman" w:hAnsi="Arial" w:cs="Arial"/>
                <w:color w:val="000000"/>
                <w:sz w:val="18"/>
                <w:szCs w:val="18"/>
                <w:lang w:val="sk-SK" w:eastAsia="sk-SK"/>
              </w:rPr>
              <w:t>52</w:t>
            </w:r>
          </w:p>
        </w:tc>
        <w:tc>
          <w:tcPr>
            <w:tcW w:w="99" w:type="pct"/>
            <w:tcBorders>
              <w:top w:val="nil"/>
              <w:left w:val="nil"/>
              <w:bottom w:val="nil"/>
              <w:right w:val="nil"/>
            </w:tcBorders>
            <w:shd w:val="clear" w:color="auto" w:fill="auto"/>
            <w:vAlign w:val="bottom"/>
          </w:tcPr>
          <w:p w14:paraId="57188F25" w14:textId="77777777" w:rsidR="004E5D12" w:rsidRPr="00226892" w:rsidDel="004E5D12" w:rsidRDefault="004E5D12" w:rsidP="00D40B06">
            <w:pPr>
              <w:jc w:val="right"/>
              <w:rPr>
                <w:rFonts w:ascii="Arial" w:eastAsia="Times New Roman" w:hAnsi="Arial" w:cs="Arial"/>
                <w:color w:val="000000"/>
                <w:sz w:val="18"/>
                <w:szCs w:val="18"/>
                <w:lang w:val="sk-SK" w:eastAsia="sk-SK"/>
              </w:rPr>
            </w:pPr>
          </w:p>
        </w:tc>
        <w:tc>
          <w:tcPr>
            <w:tcW w:w="862" w:type="pct"/>
            <w:tcBorders>
              <w:top w:val="nil"/>
              <w:left w:val="nil"/>
              <w:bottom w:val="nil"/>
              <w:right w:val="nil"/>
            </w:tcBorders>
            <w:shd w:val="clear" w:color="auto" w:fill="auto"/>
            <w:vAlign w:val="bottom"/>
          </w:tcPr>
          <w:p w14:paraId="643860BF" w14:textId="1403291E" w:rsidR="004E5D12" w:rsidRPr="00226892" w:rsidDel="004E5D12" w:rsidRDefault="00427990" w:rsidP="00D40B0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455</w:t>
            </w:r>
          </w:p>
        </w:tc>
        <w:tc>
          <w:tcPr>
            <w:tcW w:w="99" w:type="pct"/>
            <w:tcBorders>
              <w:top w:val="nil"/>
              <w:left w:val="nil"/>
              <w:bottom w:val="nil"/>
              <w:right w:val="nil"/>
            </w:tcBorders>
            <w:shd w:val="clear" w:color="auto" w:fill="auto"/>
            <w:vAlign w:val="bottom"/>
          </w:tcPr>
          <w:p w14:paraId="61E46536" w14:textId="77777777" w:rsidR="004E5D12" w:rsidRPr="00226892" w:rsidDel="004E5D12" w:rsidRDefault="004E5D12" w:rsidP="00D40B06">
            <w:pPr>
              <w:jc w:val="right"/>
              <w:rPr>
                <w:rFonts w:ascii="Arial" w:eastAsia="Times New Roman" w:hAnsi="Arial" w:cs="Arial"/>
                <w:color w:val="000000"/>
                <w:sz w:val="18"/>
                <w:szCs w:val="18"/>
                <w:lang w:val="sk-SK" w:eastAsia="sk-SK"/>
              </w:rPr>
            </w:pPr>
          </w:p>
        </w:tc>
        <w:tc>
          <w:tcPr>
            <w:tcW w:w="945" w:type="pct"/>
            <w:tcBorders>
              <w:top w:val="nil"/>
              <w:left w:val="nil"/>
              <w:bottom w:val="nil"/>
              <w:right w:val="nil"/>
            </w:tcBorders>
            <w:shd w:val="clear" w:color="auto" w:fill="auto"/>
            <w:vAlign w:val="bottom"/>
          </w:tcPr>
          <w:p w14:paraId="120BC30E" w14:textId="315C5774" w:rsidR="004E5D12" w:rsidRPr="00226892" w:rsidDel="004E5D12" w:rsidRDefault="00427990" w:rsidP="00D40B0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w:t>
            </w:r>
            <w:r w:rsidR="004E5D12" w:rsidRPr="00226892" w:rsidDel="004E5D12">
              <w:rPr>
                <w:rFonts w:ascii="Arial" w:eastAsia="Times New Roman" w:hAnsi="Arial" w:cs="Arial"/>
                <w:color w:val="000000"/>
                <w:sz w:val="18"/>
                <w:szCs w:val="18"/>
                <w:lang w:val="sk-SK" w:eastAsia="sk-SK"/>
              </w:rPr>
              <w:t>7</w:t>
            </w:r>
          </w:p>
        </w:tc>
        <w:tc>
          <w:tcPr>
            <w:tcW w:w="99" w:type="pct"/>
            <w:tcBorders>
              <w:top w:val="nil"/>
              <w:left w:val="nil"/>
              <w:bottom w:val="nil"/>
              <w:right w:val="nil"/>
            </w:tcBorders>
            <w:shd w:val="clear" w:color="auto" w:fill="auto"/>
            <w:vAlign w:val="bottom"/>
          </w:tcPr>
          <w:p w14:paraId="68469BEB" w14:textId="77777777" w:rsidR="004E5D12" w:rsidRPr="00226892" w:rsidDel="004E5D12" w:rsidRDefault="004E5D12" w:rsidP="00D40B06">
            <w:pPr>
              <w:jc w:val="right"/>
              <w:rPr>
                <w:rFonts w:ascii="Arial" w:eastAsia="Times New Roman" w:hAnsi="Arial" w:cs="Arial"/>
                <w:color w:val="000000"/>
                <w:sz w:val="18"/>
                <w:szCs w:val="18"/>
                <w:lang w:val="sk-SK" w:eastAsia="sk-SK"/>
              </w:rPr>
            </w:pPr>
          </w:p>
        </w:tc>
        <w:tc>
          <w:tcPr>
            <w:tcW w:w="702" w:type="pct"/>
            <w:tcBorders>
              <w:top w:val="nil"/>
              <w:left w:val="nil"/>
              <w:bottom w:val="nil"/>
              <w:right w:val="nil"/>
            </w:tcBorders>
            <w:shd w:val="clear" w:color="auto" w:fill="auto"/>
            <w:vAlign w:val="bottom"/>
          </w:tcPr>
          <w:p w14:paraId="77D86A2C" w14:textId="21E99357" w:rsidR="004E5D12" w:rsidRPr="00226892" w:rsidDel="004E5D12" w:rsidRDefault="00427990" w:rsidP="00D14B23">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534</w:t>
            </w:r>
          </w:p>
        </w:tc>
      </w:tr>
      <w:tr w:rsidR="004E5D12" w:rsidRPr="00226892" w:rsidDel="004E5D12" w14:paraId="5B6B1AA3" w14:textId="77777777" w:rsidTr="00F0299B">
        <w:trPr>
          <w:trHeight w:val="227"/>
        </w:trPr>
        <w:tc>
          <w:tcPr>
            <w:tcW w:w="1379" w:type="pct"/>
            <w:tcBorders>
              <w:top w:val="nil"/>
              <w:left w:val="nil"/>
              <w:bottom w:val="nil"/>
              <w:right w:val="nil"/>
            </w:tcBorders>
            <w:shd w:val="clear" w:color="auto" w:fill="auto"/>
            <w:vAlign w:val="bottom"/>
          </w:tcPr>
          <w:p w14:paraId="38884D87" w14:textId="36E9C8DD" w:rsidR="004E5D12" w:rsidRPr="00226892" w:rsidDel="004E5D12" w:rsidRDefault="004E5D12" w:rsidP="00833CC0">
            <w:pPr>
              <w:rPr>
                <w:rFonts w:ascii="Arial" w:eastAsia="Times New Roman" w:hAnsi="Arial" w:cs="Arial"/>
                <w:color w:val="000000"/>
                <w:sz w:val="18"/>
                <w:szCs w:val="18"/>
                <w:lang w:val="sk-SK" w:eastAsia="sk-SK"/>
              </w:rPr>
            </w:pPr>
            <w:r w:rsidRPr="00226892" w:rsidDel="004E5D12">
              <w:rPr>
                <w:rFonts w:ascii="Arial" w:eastAsia="Times New Roman" w:hAnsi="Arial" w:cs="Arial"/>
                <w:color w:val="000000"/>
                <w:sz w:val="18"/>
                <w:szCs w:val="18"/>
                <w:lang w:val="sk-SK" w:eastAsia="sk-SK"/>
              </w:rPr>
              <w:t xml:space="preserve"> Ostatné výnosy </w:t>
            </w:r>
          </w:p>
        </w:tc>
        <w:tc>
          <w:tcPr>
            <w:tcW w:w="815" w:type="pct"/>
            <w:tcBorders>
              <w:top w:val="nil"/>
              <w:left w:val="nil"/>
              <w:bottom w:val="nil"/>
              <w:right w:val="nil"/>
            </w:tcBorders>
            <w:shd w:val="clear" w:color="auto" w:fill="auto"/>
            <w:vAlign w:val="bottom"/>
          </w:tcPr>
          <w:p w14:paraId="6013111A" w14:textId="41CBA478" w:rsidR="004E5D12" w:rsidRPr="00226892" w:rsidDel="004E5D12" w:rsidRDefault="004E5D12" w:rsidP="00D14B23">
            <w:pPr>
              <w:jc w:val="right"/>
              <w:rPr>
                <w:rFonts w:ascii="Arial" w:eastAsia="Times New Roman" w:hAnsi="Arial" w:cs="Arial"/>
                <w:color w:val="000000"/>
                <w:sz w:val="18"/>
                <w:szCs w:val="18"/>
                <w:lang w:val="sk-SK" w:eastAsia="sk-SK"/>
              </w:rPr>
            </w:pPr>
            <w:r w:rsidRPr="00226892" w:rsidDel="004E5D12">
              <w:rPr>
                <w:rFonts w:ascii="Arial" w:eastAsia="Times New Roman" w:hAnsi="Arial" w:cs="Arial"/>
                <w:color w:val="000000"/>
                <w:sz w:val="18"/>
                <w:szCs w:val="18"/>
                <w:lang w:val="sk-SK" w:eastAsia="sk-SK"/>
              </w:rPr>
              <w:t>-</w:t>
            </w:r>
          </w:p>
        </w:tc>
        <w:tc>
          <w:tcPr>
            <w:tcW w:w="99" w:type="pct"/>
            <w:tcBorders>
              <w:top w:val="nil"/>
              <w:left w:val="nil"/>
              <w:bottom w:val="nil"/>
              <w:right w:val="nil"/>
            </w:tcBorders>
            <w:shd w:val="clear" w:color="auto" w:fill="auto"/>
            <w:vAlign w:val="bottom"/>
          </w:tcPr>
          <w:p w14:paraId="56840336" w14:textId="77777777" w:rsidR="004E5D12" w:rsidRPr="00226892" w:rsidDel="004E5D12" w:rsidRDefault="004E5D12" w:rsidP="00D40B06">
            <w:pPr>
              <w:jc w:val="right"/>
              <w:rPr>
                <w:rFonts w:ascii="Arial" w:eastAsia="Times New Roman" w:hAnsi="Arial" w:cs="Arial"/>
                <w:color w:val="000000"/>
                <w:sz w:val="18"/>
                <w:szCs w:val="18"/>
                <w:lang w:val="sk-SK" w:eastAsia="sk-SK"/>
              </w:rPr>
            </w:pPr>
          </w:p>
        </w:tc>
        <w:tc>
          <w:tcPr>
            <w:tcW w:w="862" w:type="pct"/>
            <w:tcBorders>
              <w:top w:val="nil"/>
              <w:left w:val="nil"/>
              <w:bottom w:val="nil"/>
              <w:right w:val="nil"/>
            </w:tcBorders>
            <w:shd w:val="clear" w:color="auto" w:fill="auto"/>
            <w:vAlign w:val="bottom"/>
          </w:tcPr>
          <w:p w14:paraId="217C169F" w14:textId="3C7175CC" w:rsidR="004E5D12" w:rsidRPr="00226892" w:rsidDel="004E5D12" w:rsidRDefault="004E5D12" w:rsidP="00D40B06">
            <w:pPr>
              <w:jc w:val="right"/>
              <w:rPr>
                <w:rFonts w:ascii="Arial" w:eastAsia="Times New Roman" w:hAnsi="Arial" w:cs="Arial"/>
                <w:color w:val="000000"/>
                <w:sz w:val="18"/>
                <w:szCs w:val="18"/>
                <w:lang w:val="sk-SK" w:eastAsia="sk-SK"/>
              </w:rPr>
            </w:pPr>
            <w:r w:rsidRPr="00226892" w:rsidDel="004E5D12">
              <w:rPr>
                <w:rFonts w:ascii="Arial" w:eastAsia="Times New Roman" w:hAnsi="Arial" w:cs="Arial"/>
                <w:color w:val="000000"/>
                <w:sz w:val="18"/>
                <w:szCs w:val="18"/>
                <w:lang w:val="sk-SK" w:eastAsia="sk-SK"/>
              </w:rPr>
              <w:t>-</w:t>
            </w:r>
          </w:p>
        </w:tc>
        <w:tc>
          <w:tcPr>
            <w:tcW w:w="99" w:type="pct"/>
            <w:tcBorders>
              <w:top w:val="nil"/>
              <w:left w:val="nil"/>
              <w:bottom w:val="nil"/>
              <w:right w:val="nil"/>
            </w:tcBorders>
            <w:shd w:val="clear" w:color="auto" w:fill="auto"/>
            <w:vAlign w:val="bottom"/>
          </w:tcPr>
          <w:p w14:paraId="307C89BC" w14:textId="77777777" w:rsidR="004E5D12" w:rsidRPr="00226892" w:rsidDel="004E5D12" w:rsidRDefault="004E5D12" w:rsidP="00D40B06">
            <w:pPr>
              <w:jc w:val="right"/>
              <w:rPr>
                <w:rFonts w:ascii="Arial" w:eastAsia="Times New Roman" w:hAnsi="Arial" w:cs="Arial"/>
                <w:color w:val="000000"/>
                <w:sz w:val="18"/>
                <w:szCs w:val="18"/>
                <w:lang w:val="sk-SK" w:eastAsia="sk-SK"/>
              </w:rPr>
            </w:pPr>
          </w:p>
        </w:tc>
        <w:tc>
          <w:tcPr>
            <w:tcW w:w="945" w:type="pct"/>
            <w:tcBorders>
              <w:top w:val="nil"/>
              <w:left w:val="nil"/>
              <w:bottom w:val="nil"/>
              <w:right w:val="nil"/>
            </w:tcBorders>
            <w:shd w:val="clear" w:color="auto" w:fill="auto"/>
            <w:vAlign w:val="bottom"/>
          </w:tcPr>
          <w:p w14:paraId="34BCBF13" w14:textId="0803704F" w:rsidR="004E5D12" w:rsidRPr="00226892" w:rsidDel="004E5D12" w:rsidRDefault="00427990" w:rsidP="00D40B0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14</w:t>
            </w:r>
          </w:p>
        </w:tc>
        <w:tc>
          <w:tcPr>
            <w:tcW w:w="99" w:type="pct"/>
            <w:tcBorders>
              <w:top w:val="nil"/>
              <w:left w:val="nil"/>
              <w:bottom w:val="nil"/>
              <w:right w:val="nil"/>
            </w:tcBorders>
            <w:shd w:val="clear" w:color="auto" w:fill="auto"/>
            <w:vAlign w:val="bottom"/>
          </w:tcPr>
          <w:p w14:paraId="47FB0435" w14:textId="77777777" w:rsidR="004E5D12" w:rsidRPr="00226892" w:rsidDel="004E5D12" w:rsidRDefault="004E5D12" w:rsidP="00D40B06">
            <w:pPr>
              <w:jc w:val="right"/>
              <w:rPr>
                <w:rFonts w:ascii="Arial" w:eastAsia="Times New Roman" w:hAnsi="Arial" w:cs="Arial"/>
                <w:color w:val="000000"/>
                <w:sz w:val="18"/>
                <w:szCs w:val="18"/>
                <w:lang w:val="sk-SK" w:eastAsia="sk-SK"/>
              </w:rPr>
            </w:pPr>
          </w:p>
        </w:tc>
        <w:tc>
          <w:tcPr>
            <w:tcW w:w="702" w:type="pct"/>
            <w:tcBorders>
              <w:top w:val="nil"/>
              <w:left w:val="nil"/>
              <w:bottom w:val="nil"/>
              <w:right w:val="nil"/>
            </w:tcBorders>
            <w:shd w:val="clear" w:color="auto" w:fill="auto"/>
            <w:vAlign w:val="bottom"/>
          </w:tcPr>
          <w:p w14:paraId="03DD49F6" w14:textId="2F50D3D7" w:rsidR="004E5D12" w:rsidRPr="00226892" w:rsidDel="004E5D12" w:rsidRDefault="00427990">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14</w:t>
            </w:r>
          </w:p>
        </w:tc>
      </w:tr>
      <w:tr w:rsidR="004E5D12" w:rsidRPr="00226892" w:rsidDel="004E5D12" w14:paraId="1CBD36C7" w14:textId="77777777" w:rsidTr="00F0299B">
        <w:trPr>
          <w:trHeight w:val="227"/>
        </w:trPr>
        <w:tc>
          <w:tcPr>
            <w:tcW w:w="1379" w:type="pct"/>
            <w:tcBorders>
              <w:top w:val="nil"/>
              <w:left w:val="nil"/>
              <w:bottom w:val="nil"/>
              <w:right w:val="nil"/>
            </w:tcBorders>
            <w:shd w:val="clear" w:color="auto" w:fill="auto"/>
            <w:vAlign w:val="bottom"/>
          </w:tcPr>
          <w:p w14:paraId="3F27B3AB" w14:textId="21EB1FBA" w:rsidR="004E5D12" w:rsidRPr="00226892" w:rsidDel="004E5D12" w:rsidRDefault="004E5D12" w:rsidP="00833CC0">
            <w:pPr>
              <w:rPr>
                <w:rFonts w:ascii="Arial" w:eastAsia="Times New Roman" w:hAnsi="Arial" w:cs="Arial"/>
                <w:b/>
                <w:bCs/>
                <w:color w:val="000000"/>
                <w:sz w:val="18"/>
                <w:szCs w:val="18"/>
                <w:lang w:val="sk-SK" w:eastAsia="sk-SK"/>
              </w:rPr>
            </w:pPr>
            <w:r w:rsidRPr="00226892" w:rsidDel="004E5D12">
              <w:rPr>
                <w:rFonts w:ascii="Arial" w:eastAsia="Times New Roman" w:hAnsi="Arial" w:cs="Arial"/>
                <w:b/>
                <w:bCs/>
                <w:color w:val="000000"/>
                <w:sz w:val="18"/>
                <w:szCs w:val="18"/>
                <w:lang w:val="sk-SK" w:eastAsia="sk-SK"/>
              </w:rPr>
              <w:t xml:space="preserve"> Spolu predaj </w:t>
            </w:r>
          </w:p>
        </w:tc>
        <w:tc>
          <w:tcPr>
            <w:tcW w:w="815" w:type="pct"/>
            <w:tcBorders>
              <w:top w:val="single" w:sz="4" w:space="0" w:color="auto"/>
              <w:left w:val="nil"/>
              <w:bottom w:val="double" w:sz="6" w:space="0" w:color="auto"/>
              <w:right w:val="nil"/>
            </w:tcBorders>
            <w:shd w:val="clear" w:color="auto" w:fill="auto"/>
            <w:vAlign w:val="bottom"/>
          </w:tcPr>
          <w:p w14:paraId="71246DED" w14:textId="542CD539" w:rsidR="004E5D12" w:rsidRPr="00226892" w:rsidDel="004E5D12" w:rsidRDefault="004E5D12" w:rsidP="00D40B06">
            <w:pPr>
              <w:jc w:val="right"/>
              <w:rPr>
                <w:rFonts w:ascii="Arial" w:eastAsia="Times New Roman" w:hAnsi="Arial" w:cs="Arial"/>
                <w:b/>
                <w:bCs/>
                <w:color w:val="000000"/>
                <w:sz w:val="18"/>
                <w:szCs w:val="18"/>
                <w:lang w:val="sk-SK" w:eastAsia="sk-SK"/>
              </w:rPr>
            </w:pPr>
            <w:r w:rsidRPr="00226892" w:rsidDel="004E5D12">
              <w:rPr>
                <w:rFonts w:ascii="Arial" w:eastAsia="Times New Roman" w:hAnsi="Arial" w:cs="Arial"/>
                <w:b/>
                <w:bCs/>
                <w:color w:val="000000"/>
                <w:sz w:val="18"/>
                <w:szCs w:val="18"/>
                <w:lang w:val="sk-SK" w:eastAsia="sk-SK"/>
              </w:rPr>
              <w:t>52</w:t>
            </w:r>
          </w:p>
        </w:tc>
        <w:tc>
          <w:tcPr>
            <w:tcW w:w="99" w:type="pct"/>
            <w:tcBorders>
              <w:top w:val="nil"/>
              <w:left w:val="nil"/>
              <w:bottom w:val="nil"/>
              <w:right w:val="nil"/>
            </w:tcBorders>
            <w:shd w:val="clear" w:color="auto" w:fill="auto"/>
            <w:vAlign w:val="bottom"/>
          </w:tcPr>
          <w:p w14:paraId="1D9A1E47" w14:textId="77777777" w:rsidR="004E5D12" w:rsidRPr="00226892" w:rsidDel="004E5D12" w:rsidRDefault="004E5D12" w:rsidP="00D40B06">
            <w:pPr>
              <w:jc w:val="right"/>
              <w:rPr>
                <w:rFonts w:ascii="Arial" w:eastAsia="Times New Roman" w:hAnsi="Arial" w:cs="Arial"/>
                <w:b/>
                <w:bCs/>
                <w:color w:val="000000"/>
                <w:sz w:val="18"/>
                <w:szCs w:val="18"/>
                <w:lang w:val="sk-SK" w:eastAsia="sk-SK"/>
              </w:rPr>
            </w:pPr>
          </w:p>
        </w:tc>
        <w:tc>
          <w:tcPr>
            <w:tcW w:w="862" w:type="pct"/>
            <w:tcBorders>
              <w:top w:val="single" w:sz="4" w:space="0" w:color="auto"/>
              <w:left w:val="nil"/>
              <w:bottom w:val="double" w:sz="6" w:space="0" w:color="auto"/>
              <w:right w:val="nil"/>
            </w:tcBorders>
            <w:shd w:val="clear" w:color="auto" w:fill="auto"/>
            <w:vAlign w:val="bottom"/>
          </w:tcPr>
          <w:p w14:paraId="3C8842F7" w14:textId="424E54F3" w:rsidR="004E5D12" w:rsidRPr="00226892" w:rsidDel="004E5D12" w:rsidRDefault="00427990" w:rsidP="00D40B0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455</w:t>
            </w:r>
          </w:p>
        </w:tc>
        <w:tc>
          <w:tcPr>
            <w:tcW w:w="99" w:type="pct"/>
            <w:tcBorders>
              <w:top w:val="nil"/>
              <w:left w:val="nil"/>
              <w:bottom w:val="nil"/>
              <w:right w:val="nil"/>
            </w:tcBorders>
            <w:shd w:val="clear" w:color="auto" w:fill="auto"/>
            <w:vAlign w:val="bottom"/>
          </w:tcPr>
          <w:p w14:paraId="527DC7E9" w14:textId="77777777" w:rsidR="004E5D12" w:rsidRPr="00226892" w:rsidDel="004E5D12" w:rsidRDefault="004E5D12" w:rsidP="00D40B06">
            <w:pPr>
              <w:jc w:val="right"/>
              <w:rPr>
                <w:rFonts w:ascii="Arial" w:eastAsia="Times New Roman" w:hAnsi="Arial" w:cs="Arial"/>
                <w:b/>
                <w:bCs/>
                <w:color w:val="000000"/>
                <w:sz w:val="18"/>
                <w:szCs w:val="18"/>
                <w:lang w:val="sk-SK" w:eastAsia="sk-SK"/>
              </w:rPr>
            </w:pPr>
          </w:p>
        </w:tc>
        <w:tc>
          <w:tcPr>
            <w:tcW w:w="945" w:type="pct"/>
            <w:tcBorders>
              <w:top w:val="single" w:sz="4" w:space="0" w:color="auto"/>
              <w:left w:val="nil"/>
              <w:bottom w:val="double" w:sz="6" w:space="0" w:color="auto"/>
              <w:right w:val="nil"/>
            </w:tcBorders>
            <w:shd w:val="clear" w:color="auto" w:fill="auto"/>
            <w:vAlign w:val="bottom"/>
          </w:tcPr>
          <w:p w14:paraId="3E6B08BE" w14:textId="02B5FA7B" w:rsidR="004E5D12" w:rsidRPr="00226892" w:rsidDel="004E5D12" w:rsidRDefault="00427990" w:rsidP="00D40B0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1 618</w:t>
            </w:r>
          </w:p>
        </w:tc>
        <w:tc>
          <w:tcPr>
            <w:tcW w:w="99" w:type="pct"/>
            <w:tcBorders>
              <w:top w:val="nil"/>
              <w:left w:val="nil"/>
              <w:bottom w:val="nil"/>
              <w:right w:val="nil"/>
            </w:tcBorders>
            <w:shd w:val="clear" w:color="auto" w:fill="auto"/>
            <w:vAlign w:val="bottom"/>
          </w:tcPr>
          <w:p w14:paraId="2B3B255C" w14:textId="77777777" w:rsidR="004E5D12" w:rsidRPr="00226892" w:rsidDel="004E5D12" w:rsidRDefault="004E5D12" w:rsidP="00D40B06">
            <w:pPr>
              <w:jc w:val="right"/>
              <w:rPr>
                <w:rFonts w:ascii="Arial" w:eastAsia="Times New Roman" w:hAnsi="Arial" w:cs="Arial"/>
                <w:b/>
                <w:bCs/>
                <w:color w:val="000000"/>
                <w:sz w:val="18"/>
                <w:szCs w:val="18"/>
                <w:lang w:val="sk-SK" w:eastAsia="sk-SK"/>
              </w:rPr>
            </w:pPr>
          </w:p>
        </w:tc>
        <w:tc>
          <w:tcPr>
            <w:tcW w:w="702" w:type="pct"/>
            <w:tcBorders>
              <w:top w:val="single" w:sz="4" w:space="0" w:color="auto"/>
              <w:left w:val="nil"/>
              <w:bottom w:val="double" w:sz="6" w:space="0" w:color="auto"/>
              <w:right w:val="nil"/>
            </w:tcBorders>
            <w:shd w:val="clear" w:color="auto" w:fill="auto"/>
            <w:vAlign w:val="bottom"/>
          </w:tcPr>
          <w:p w14:paraId="17150714" w14:textId="3F742E1F" w:rsidR="004E5D12" w:rsidRPr="00226892" w:rsidDel="004E5D12" w:rsidRDefault="00427990" w:rsidP="00374F34">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2 125</w:t>
            </w:r>
          </w:p>
        </w:tc>
      </w:tr>
      <w:tr w:rsidR="004E5D12" w:rsidRPr="00226892" w:rsidDel="004E5D12" w14:paraId="2953539F" w14:textId="77777777" w:rsidTr="00F0299B">
        <w:trPr>
          <w:trHeight w:val="227"/>
        </w:trPr>
        <w:tc>
          <w:tcPr>
            <w:tcW w:w="1379" w:type="pct"/>
            <w:tcBorders>
              <w:top w:val="nil"/>
              <w:left w:val="nil"/>
              <w:bottom w:val="nil"/>
              <w:right w:val="nil"/>
            </w:tcBorders>
            <w:shd w:val="clear" w:color="auto" w:fill="auto"/>
            <w:vAlign w:val="bottom"/>
          </w:tcPr>
          <w:p w14:paraId="6AD44024" w14:textId="77777777" w:rsidR="004E5D12" w:rsidRPr="00226892" w:rsidDel="004E5D12" w:rsidRDefault="004E5D12" w:rsidP="00833CC0">
            <w:pPr>
              <w:rPr>
                <w:rFonts w:ascii="Arial" w:eastAsia="Times New Roman" w:hAnsi="Arial" w:cs="Arial"/>
                <w:b/>
                <w:bCs/>
                <w:color w:val="000000"/>
                <w:sz w:val="18"/>
                <w:szCs w:val="18"/>
                <w:lang w:val="sk-SK" w:eastAsia="sk-SK"/>
              </w:rPr>
            </w:pPr>
          </w:p>
        </w:tc>
        <w:tc>
          <w:tcPr>
            <w:tcW w:w="815" w:type="pct"/>
            <w:tcBorders>
              <w:top w:val="nil"/>
              <w:left w:val="nil"/>
              <w:bottom w:val="nil"/>
              <w:right w:val="nil"/>
            </w:tcBorders>
            <w:shd w:val="clear" w:color="auto" w:fill="auto"/>
            <w:vAlign w:val="bottom"/>
          </w:tcPr>
          <w:p w14:paraId="6BAD9864" w14:textId="77777777" w:rsidR="004E5D12" w:rsidRPr="00226892" w:rsidDel="004E5D12" w:rsidRDefault="004E5D12" w:rsidP="00D40B06">
            <w:pPr>
              <w:jc w:val="right"/>
              <w:rPr>
                <w:rFonts w:ascii="Arial" w:eastAsia="Times New Roman" w:hAnsi="Arial" w:cs="Arial"/>
                <w:sz w:val="18"/>
                <w:szCs w:val="18"/>
                <w:lang w:val="sk-SK" w:eastAsia="sk-SK"/>
              </w:rPr>
            </w:pPr>
          </w:p>
        </w:tc>
        <w:tc>
          <w:tcPr>
            <w:tcW w:w="99" w:type="pct"/>
            <w:tcBorders>
              <w:top w:val="nil"/>
              <w:left w:val="nil"/>
              <w:bottom w:val="nil"/>
              <w:right w:val="nil"/>
            </w:tcBorders>
            <w:shd w:val="clear" w:color="auto" w:fill="auto"/>
            <w:vAlign w:val="bottom"/>
          </w:tcPr>
          <w:p w14:paraId="7DBC2325" w14:textId="77777777" w:rsidR="004E5D12" w:rsidRPr="00226892" w:rsidDel="004E5D12" w:rsidRDefault="004E5D12" w:rsidP="00D40B06">
            <w:pPr>
              <w:jc w:val="right"/>
              <w:rPr>
                <w:rFonts w:ascii="Arial" w:eastAsia="Times New Roman" w:hAnsi="Arial" w:cs="Arial"/>
                <w:sz w:val="18"/>
                <w:szCs w:val="18"/>
                <w:lang w:val="sk-SK" w:eastAsia="sk-SK"/>
              </w:rPr>
            </w:pPr>
          </w:p>
        </w:tc>
        <w:tc>
          <w:tcPr>
            <w:tcW w:w="862" w:type="pct"/>
            <w:tcBorders>
              <w:top w:val="nil"/>
              <w:left w:val="nil"/>
              <w:bottom w:val="nil"/>
              <w:right w:val="nil"/>
            </w:tcBorders>
            <w:shd w:val="clear" w:color="auto" w:fill="auto"/>
            <w:vAlign w:val="bottom"/>
          </w:tcPr>
          <w:p w14:paraId="359D3528" w14:textId="77777777" w:rsidR="004E5D12" w:rsidRPr="00226892" w:rsidDel="004E5D12" w:rsidRDefault="004E5D12" w:rsidP="00D40B06">
            <w:pPr>
              <w:jc w:val="right"/>
              <w:rPr>
                <w:rFonts w:ascii="Arial" w:eastAsia="Times New Roman" w:hAnsi="Arial" w:cs="Arial"/>
                <w:sz w:val="18"/>
                <w:szCs w:val="18"/>
                <w:lang w:val="sk-SK" w:eastAsia="sk-SK"/>
              </w:rPr>
            </w:pPr>
          </w:p>
        </w:tc>
        <w:tc>
          <w:tcPr>
            <w:tcW w:w="99" w:type="pct"/>
            <w:tcBorders>
              <w:top w:val="nil"/>
              <w:left w:val="nil"/>
              <w:bottom w:val="nil"/>
              <w:right w:val="nil"/>
            </w:tcBorders>
            <w:shd w:val="clear" w:color="auto" w:fill="auto"/>
            <w:vAlign w:val="bottom"/>
          </w:tcPr>
          <w:p w14:paraId="6B0D1CF7" w14:textId="77777777" w:rsidR="004E5D12" w:rsidRPr="00226892" w:rsidDel="004E5D12" w:rsidRDefault="004E5D12" w:rsidP="00D40B06">
            <w:pPr>
              <w:jc w:val="right"/>
              <w:rPr>
                <w:rFonts w:ascii="Arial" w:eastAsia="Times New Roman" w:hAnsi="Arial" w:cs="Arial"/>
                <w:sz w:val="18"/>
                <w:szCs w:val="18"/>
                <w:lang w:val="sk-SK" w:eastAsia="sk-SK"/>
              </w:rPr>
            </w:pPr>
          </w:p>
        </w:tc>
        <w:tc>
          <w:tcPr>
            <w:tcW w:w="945" w:type="pct"/>
            <w:tcBorders>
              <w:top w:val="nil"/>
              <w:left w:val="nil"/>
              <w:bottom w:val="nil"/>
              <w:right w:val="nil"/>
            </w:tcBorders>
            <w:shd w:val="clear" w:color="auto" w:fill="auto"/>
            <w:vAlign w:val="bottom"/>
          </w:tcPr>
          <w:p w14:paraId="711D1CF9" w14:textId="77777777" w:rsidR="004E5D12" w:rsidRPr="00226892" w:rsidDel="004E5D12" w:rsidRDefault="004E5D12" w:rsidP="00D40B06">
            <w:pPr>
              <w:jc w:val="right"/>
              <w:rPr>
                <w:rFonts w:ascii="Arial" w:eastAsia="Times New Roman" w:hAnsi="Arial" w:cs="Arial"/>
                <w:sz w:val="18"/>
                <w:szCs w:val="18"/>
                <w:lang w:val="sk-SK" w:eastAsia="sk-SK"/>
              </w:rPr>
            </w:pPr>
          </w:p>
        </w:tc>
        <w:tc>
          <w:tcPr>
            <w:tcW w:w="99" w:type="pct"/>
            <w:tcBorders>
              <w:top w:val="nil"/>
              <w:left w:val="nil"/>
              <w:bottom w:val="nil"/>
              <w:right w:val="nil"/>
            </w:tcBorders>
            <w:shd w:val="clear" w:color="auto" w:fill="auto"/>
            <w:vAlign w:val="bottom"/>
          </w:tcPr>
          <w:p w14:paraId="04ED765F" w14:textId="77777777" w:rsidR="004E5D12" w:rsidRPr="00226892" w:rsidDel="004E5D12" w:rsidRDefault="004E5D12" w:rsidP="00D40B06">
            <w:pPr>
              <w:jc w:val="right"/>
              <w:rPr>
                <w:rFonts w:ascii="Arial" w:eastAsia="Times New Roman" w:hAnsi="Arial" w:cs="Arial"/>
                <w:sz w:val="18"/>
                <w:szCs w:val="18"/>
                <w:lang w:val="sk-SK" w:eastAsia="sk-SK"/>
              </w:rPr>
            </w:pPr>
          </w:p>
        </w:tc>
        <w:tc>
          <w:tcPr>
            <w:tcW w:w="702" w:type="pct"/>
            <w:tcBorders>
              <w:top w:val="nil"/>
              <w:left w:val="nil"/>
              <w:bottom w:val="nil"/>
              <w:right w:val="nil"/>
            </w:tcBorders>
            <w:shd w:val="clear" w:color="auto" w:fill="auto"/>
            <w:vAlign w:val="bottom"/>
          </w:tcPr>
          <w:p w14:paraId="24E2BC02" w14:textId="77777777" w:rsidR="004E5D12" w:rsidRPr="00226892" w:rsidDel="004E5D12" w:rsidRDefault="004E5D12" w:rsidP="00D40B06">
            <w:pPr>
              <w:jc w:val="right"/>
              <w:rPr>
                <w:rFonts w:ascii="Arial" w:eastAsia="Times New Roman" w:hAnsi="Arial" w:cs="Arial"/>
                <w:sz w:val="18"/>
                <w:szCs w:val="18"/>
                <w:lang w:val="sk-SK" w:eastAsia="sk-SK"/>
              </w:rPr>
            </w:pPr>
          </w:p>
        </w:tc>
      </w:tr>
      <w:tr w:rsidR="004E5D12" w:rsidRPr="00226892" w:rsidDel="004E5D12" w14:paraId="556D5032" w14:textId="77777777" w:rsidTr="00F0299B">
        <w:trPr>
          <w:trHeight w:val="227"/>
        </w:trPr>
        <w:tc>
          <w:tcPr>
            <w:tcW w:w="1379" w:type="pct"/>
            <w:tcBorders>
              <w:top w:val="nil"/>
              <w:left w:val="nil"/>
              <w:bottom w:val="nil"/>
              <w:right w:val="nil"/>
            </w:tcBorders>
            <w:shd w:val="clear" w:color="auto" w:fill="auto"/>
            <w:vAlign w:val="bottom"/>
          </w:tcPr>
          <w:p w14:paraId="3391E457" w14:textId="5DAA6741" w:rsidR="004E5D12" w:rsidRPr="00226892" w:rsidDel="004E5D12" w:rsidRDefault="004E5D12" w:rsidP="00734402">
            <w:pPr>
              <w:rPr>
                <w:rFonts w:ascii="Arial" w:eastAsia="Times New Roman" w:hAnsi="Arial" w:cs="Arial"/>
                <w:color w:val="000000"/>
                <w:sz w:val="18"/>
                <w:szCs w:val="18"/>
                <w:lang w:val="sk-SK" w:eastAsia="sk-SK"/>
              </w:rPr>
            </w:pPr>
            <w:r w:rsidRPr="00226892" w:rsidDel="004E5D12">
              <w:rPr>
                <w:rFonts w:ascii="Arial" w:eastAsia="Times New Roman" w:hAnsi="Arial" w:cs="Arial"/>
                <w:color w:val="000000"/>
                <w:sz w:val="18"/>
                <w:szCs w:val="18"/>
                <w:lang w:val="sk-SK" w:eastAsia="sk-SK"/>
              </w:rPr>
              <w:t xml:space="preserve"> Nákup zásob </w:t>
            </w:r>
          </w:p>
        </w:tc>
        <w:tc>
          <w:tcPr>
            <w:tcW w:w="815" w:type="pct"/>
            <w:tcBorders>
              <w:top w:val="nil"/>
              <w:left w:val="nil"/>
              <w:bottom w:val="nil"/>
              <w:right w:val="nil"/>
            </w:tcBorders>
            <w:shd w:val="clear" w:color="auto" w:fill="auto"/>
            <w:vAlign w:val="bottom"/>
          </w:tcPr>
          <w:p w14:paraId="7EF1A36F" w14:textId="6D480153" w:rsidR="004E5D12" w:rsidRPr="00226892" w:rsidDel="004E5D12" w:rsidRDefault="004E5D12" w:rsidP="00734402">
            <w:pPr>
              <w:jc w:val="right"/>
              <w:rPr>
                <w:rFonts w:ascii="Arial" w:eastAsia="Times New Roman" w:hAnsi="Arial" w:cs="Arial"/>
                <w:color w:val="000000"/>
                <w:sz w:val="18"/>
                <w:szCs w:val="18"/>
                <w:lang w:val="sk-SK" w:eastAsia="sk-SK"/>
              </w:rPr>
            </w:pPr>
            <w:r w:rsidRPr="00226892" w:rsidDel="004E5D12">
              <w:rPr>
                <w:rFonts w:ascii="Arial" w:eastAsia="Times New Roman" w:hAnsi="Arial" w:cs="Arial"/>
                <w:color w:val="000000"/>
                <w:sz w:val="18"/>
                <w:szCs w:val="18"/>
                <w:lang w:val="sk-SK" w:eastAsia="sk-SK"/>
              </w:rPr>
              <w:t>-</w:t>
            </w:r>
          </w:p>
        </w:tc>
        <w:tc>
          <w:tcPr>
            <w:tcW w:w="99" w:type="pct"/>
            <w:tcBorders>
              <w:top w:val="nil"/>
              <w:left w:val="nil"/>
              <w:bottom w:val="nil"/>
              <w:right w:val="nil"/>
            </w:tcBorders>
            <w:shd w:val="clear" w:color="auto" w:fill="auto"/>
            <w:vAlign w:val="bottom"/>
          </w:tcPr>
          <w:p w14:paraId="1717E49E" w14:textId="77777777" w:rsidR="004E5D12" w:rsidRPr="00226892" w:rsidDel="004E5D12" w:rsidRDefault="004E5D12" w:rsidP="00734402">
            <w:pPr>
              <w:jc w:val="right"/>
              <w:rPr>
                <w:rFonts w:ascii="Arial" w:eastAsia="Times New Roman" w:hAnsi="Arial" w:cs="Arial"/>
                <w:color w:val="000000"/>
                <w:sz w:val="18"/>
                <w:szCs w:val="18"/>
                <w:lang w:val="sk-SK" w:eastAsia="sk-SK"/>
              </w:rPr>
            </w:pPr>
          </w:p>
        </w:tc>
        <w:tc>
          <w:tcPr>
            <w:tcW w:w="862" w:type="pct"/>
            <w:tcBorders>
              <w:top w:val="nil"/>
              <w:left w:val="nil"/>
              <w:bottom w:val="nil"/>
              <w:right w:val="nil"/>
            </w:tcBorders>
            <w:shd w:val="clear" w:color="auto" w:fill="auto"/>
            <w:vAlign w:val="bottom"/>
          </w:tcPr>
          <w:p w14:paraId="0AAA4EA7" w14:textId="7E67CFC0" w:rsidR="004E5D12" w:rsidRPr="00226892" w:rsidDel="004E5D12" w:rsidRDefault="004E5D12" w:rsidP="00734402">
            <w:pPr>
              <w:jc w:val="right"/>
              <w:rPr>
                <w:rFonts w:ascii="Arial" w:eastAsia="Times New Roman" w:hAnsi="Arial" w:cs="Arial"/>
                <w:color w:val="000000"/>
                <w:sz w:val="18"/>
                <w:szCs w:val="18"/>
                <w:lang w:val="sk-SK" w:eastAsia="sk-SK"/>
              </w:rPr>
            </w:pPr>
            <w:r w:rsidRPr="00226892" w:rsidDel="004E5D12">
              <w:rPr>
                <w:rFonts w:ascii="Arial" w:eastAsia="Times New Roman" w:hAnsi="Arial" w:cs="Arial"/>
                <w:color w:val="000000"/>
                <w:sz w:val="18"/>
                <w:szCs w:val="18"/>
                <w:lang w:val="sk-SK" w:eastAsia="sk-SK"/>
              </w:rPr>
              <w:t>-</w:t>
            </w:r>
          </w:p>
        </w:tc>
        <w:tc>
          <w:tcPr>
            <w:tcW w:w="99" w:type="pct"/>
            <w:tcBorders>
              <w:top w:val="nil"/>
              <w:left w:val="nil"/>
              <w:bottom w:val="nil"/>
              <w:right w:val="nil"/>
            </w:tcBorders>
            <w:shd w:val="clear" w:color="auto" w:fill="auto"/>
            <w:vAlign w:val="bottom"/>
          </w:tcPr>
          <w:p w14:paraId="42981A8F" w14:textId="77777777" w:rsidR="004E5D12" w:rsidRPr="00226892" w:rsidDel="004E5D12" w:rsidRDefault="004E5D12" w:rsidP="00734402">
            <w:pPr>
              <w:jc w:val="right"/>
              <w:rPr>
                <w:rFonts w:ascii="Arial" w:eastAsia="Times New Roman" w:hAnsi="Arial" w:cs="Arial"/>
                <w:color w:val="000000"/>
                <w:sz w:val="18"/>
                <w:szCs w:val="18"/>
                <w:lang w:val="sk-SK" w:eastAsia="sk-SK"/>
              </w:rPr>
            </w:pPr>
          </w:p>
        </w:tc>
        <w:tc>
          <w:tcPr>
            <w:tcW w:w="945" w:type="pct"/>
            <w:tcBorders>
              <w:top w:val="nil"/>
              <w:left w:val="nil"/>
              <w:bottom w:val="nil"/>
              <w:right w:val="nil"/>
            </w:tcBorders>
            <w:shd w:val="clear" w:color="auto" w:fill="auto"/>
            <w:vAlign w:val="bottom"/>
          </w:tcPr>
          <w:p w14:paraId="603FBB23" w14:textId="164501B6" w:rsidR="004E5D12" w:rsidRPr="00226892" w:rsidDel="004E5D12" w:rsidRDefault="00427990" w:rsidP="00734402">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103</w:t>
            </w:r>
          </w:p>
        </w:tc>
        <w:tc>
          <w:tcPr>
            <w:tcW w:w="99" w:type="pct"/>
            <w:tcBorders>
              <w:top w:val="nil"/>
              <w:left w:val="nil"/>
              <w:bottom w:val="nil"/>
              <w:right w:val="nil"/>
            </w:tcBorders>
            <w:shd w:val="clear" w:color="auto" w:fill="auto"/>
            <w:vAlign w:val="bottom"/>
          </w:tcPr>
          <w:p w14:paraId="07FB09BB" w14:textId="77777777" w:rsidR="004E5D12" w:rsidRPr="00226892" w:rsidDel="004E5D12" w:rsidRDefault="004E5D12" w:rsidP="00734402">
            <w:pPr>
              <w:jc w:val="right"/>
              <w:rPr>
                <w:rFonts w:ascii="Arial" w:eastAsia="Times New Roman" w:hAnsi="Arial" w:cs="Arial"/>
                <w:color w:val="000000"/>
                <w:sz w:val="18"/>
                <w:szCs w:val="18"/>
                <w:lang w:val="sk-SK" w:eastAsia="sk-SK"/>
              </w:rPr>
            </w:pPr>
          </w:p>
        </w:tc>
        <w:tc>
          <w:tcPr>
            <w:tcW w:w="702" w:type="pct"/>
            <w:tcBorders>
              <w:top w:val="nil"/>
              <w:left w:val="nil"/>
              <w:bottom w:val="nil"/>
              <w:right w:val="nil"/>
            </w:tcBorders>
            <w:shd w:val="clear" w:color="auto" w:fill="auto"/>
            <w:vAlign w:val="bottom"/>
          </w:tcPr>
          <w:p w14:paraId="44B10082" w14:textId="76E1CAA3" w:rsidR="004E5D12" w:rsidRPr="00226892" w:rsidDel="004E5D12" w:rsidRDefault="00427990" w:rsidP="00734402">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103</w:t>
            </w:r>
          </w:p>
        </w:tc>
      </w:tr>
      <w:tr w:rsidR="004E5D12" w:rsidRPr="00226892" w:rsidDel="004E5D12" w14:paraId="58840852" w14:textId="77777777" w:rsidTr="00F0299B">
        <w:trPr>
          <w:trHeight w:val="227"/>
        </w:trPr>
        <w:tc>
          <w:tcPr>
            <w:tcW w:w="1379" w:type="pct"/>
            <w:tcBorders>
              <w:top w:val="nil"/>
              <w:left w:val="nil"/>
              <w:bottom w:val="nil"/>
              <w:right w:val="nil"/>
            </w:tcBorders>
            <w:shd w:val="clear" w:color="auto" w:fill="auto"/>
            <w:vAlign w:val="bottom"/>
          </w:tcPr>
          <w:p w14:paraId="515774DB" w14:textId="5C402507" w:rsidR="004E5D12" w:rsidRPr="00226892" w:rsidDel="004E5D12" w:rsidRDefault="004E5D12" w:rsidP="00734402">
            <w:pPr>
              <w:rPr>
                <w:rFonts w:ascii="Arial" w:eastAsia="Times New Roman" w:hAnsi="Arial" w:cs="Arial"/>
                <w:color w:val="000000"/>
                <w:sz w:val="18"/>
                <w:szCs w:val="18"/>
                <w:lang w:val="sk-SK" w:eastAsia="sk-SK"/>
              </w:rPr>
            </w:pPr>
            <w:r w:rsidRPr="00226892" w:rsidDel="004E5D12">
              <w:rPr>
                <w:rFonts w:ascii="Arial" w:eastAsia="Times New Roman" w:hAnsi="Arial" w:cs="Arial"/>
                <w:color w:val="000000"/>
                <w:sz w:val="18"/>
                <w:szCs w:val="18"/>
                <w:lang w:val="sk-SK" w:eastAsia="sk-SK"/>
              </w:rPr>
              <w:t xml:space="preserve"> Nákup služieb </w:t>
            </w:r>
          </w:p>
        </w:tc>
        <w:tc>
          <w:tcPr>
            <w:tcW w:w="815" w:type="pct"/>
            <w:tcBorders>
              <w:top w:val="nil"/>
              <w:left w:val="nil"/>
              <w:bottom w:val="nil"/>
              <w:right w:val="nil"/>
            </w:tcBorders>
            <w:shd w:val="clear" w:color="auto" w:fill="auto"/>
            <w:vAlign w:val="bottom"/>
          </w:tcPr>
          <w:p w14:paraId="232AE92D" w14:textId="1D7B881A" w:rsidR="004E5D12" w:rsidRPr="00226892" w:rsidDel="004E5D12" w:rsidRDefault="00427990" w:rsidP="00734402">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2 932</w:t>
            </w:r>
          </w:p>
        </w:tc>
        <w:tc>
          <w:tcPr>
            <w:tcW w:w="99" w:type="pct"/>
            <w:tcBorders>
              <w:top w:val="nil"/>
              <w:left w:val="nil"/>
              <w:bottom w:val="nil"/>
              <w:right w:val="nil"/>
            </w:tcBorders>
            <w:shd w:val="clear" w:color="auto" w:fill="auto"/>
            <w:vAlign w:val="bottom"/>
          </w:tcPr>
          <w:p w14:paraId="4040213D" w14:textId="77777777" w:rsidR="004E5D12" w:rsidRPr="00226892" w:rsidDel="004E5D12" w:rsidRDefault="004E5D12" w:rsidP="00734402">
            <w:pPr>
              <w:jc w:val="right"/>
              <w:rPr>
                <w:rFonts w:ascii="Arial" w:eastAsia="Times New Roman" w:hAnsi="Arial" w:cs="Arial"/>
                <w:color w:val="000000"/>
                <w:sz w:val="18"/>
                <w:szCs w:val="18"/>
                <w:lang w:val="sk-SK" w:eastAsia="sk-SK"/>
              </w:rPr>
            </w:pPr>
          </w:p>
        </w:tc>
        <w:tc>
          <w:tcPr>
            <w:tcW w:w="862" w:type="pct"/>
            <w:tcBorders>
              <w:top w:val="nil"/>
              <w:left w:val="nil"/>
              <w:bottom w:val="nil"/>
              <w:right w:val="nil"/>
            </w:tcBorders>
            <w:shd w:val="clear" w:color="auto" w:fill="auto"/>
            <w:vAlign w:val="bottom"/>
          </w:tcPr>
          <w:p w14:paraId="7747FC58" w14:textId="5F9F885B" w:rsidR="004E5D12" w:rsidRPr="00226892" w:rsidDel="004E5D12" w:rsidRDefault="00427990" w:rsidP="00734402">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535</w:t>
            </w:r>
          </w:p>
        </w:tc>
        <w:tc>
          <w:tcPr>
            <w:tcW w:w="99" w:type="pct"/>
            <w:tcBorders>
              <w:top w:val="nil"/>
              <w:left w:val="nil"/>
              <w:bottom w:val="nil"/>
              <w:right w:val="nil"/>
            </w:tcBorders>
            <w:shd w:val="clear" w:color="auto" w:fill="auto"/>
            <w:vAlign w:val="bottom"/>
          </w:tcPr>
          <w:p w14:paraId="1FA8BE59" w14:textId="77777777" w:rsidR="004E5D12" w:rsidRPr="00226892" w:rsidDel="004E5D12" w:rsidRDefault="004E5D12" w:rsidP="00734402">
            <w:pPr>
              <w:jc w:val="right"/>
              <w:rPr>
                <w:rFonts w:ascii="Arial" w:eastAsia="Times New Roman" w:hAnsi="Arial" w:cs="Arial"/>
                <w:color w:val="000000"/>
                <w:sz w:val="18"/>
                <w:szCs w:val="18"/>
                <w:lang w:val="sk-SK" w:eastAsia="sk-SK"/>
              </w:rPr>
            </w:pPr>
          </w:p>
        </w:tc>
        <w:tc>
          <w:tcPr>
            <w:tcW w:w="945" w:type="pct"/>
            <w:tcBorders>
              <w:top w:val="nil"/>
              <w:left w:val="nil"/>
              <w:bottom w:val="nil"/>
              <w:right w:val="nil"/>
            </w:tcBorders>
            <w:shd w:val="clear" w:color="auto" w:fill="auto"/>
            <w:vAlign w:val="bottom"/>
          </w:tcPr>
          <w:p w14:paraId="279B11E8" w14:textId="7A93D849" w:rsidR="004E5D12" w:rsidRPr="00226892" w:rsidDel="004E5D12" w:rsidRDefault="00427990" w:rsidP="00734402">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304</w:t>
            </w:r>
          </w:p>
        </w:tc>
        <w:tc>
          <w:tcPr>
            <w:tcW w:w="99" w:type="pct"/>
            <w:tcBorders>
              <w:top w:val="nil"/>
              <w:left w:val="nil"/>
              <w:bottom w:val="nil"/>
              <w:right w:val="nil"/>
            </w:tcBorders>
            <w:shd w:val="clear" w:color="auto" w:fill="auto"/>
            <w:vAlign w:val="bottom"/>
          </w:tcPr>
          <w:p w14:paraId="030AC641" w14:textId="77777777" w:rsidR="004E5D12" w:rsidRPr="00226892" w:rsidDel="004E5D12" w:rsidRDefault="004E5D12" w:rsidP="00734402">
            <w:pPr>
              <w:jc w:val="right"/>
              <w:rPr>
                <w:rFonts w:ascii="Arial" w:eastAsia="Times New Roman" w:hAnsi="Arial" w:cs="Arial"/>
                <w:color w:val="000000"/>
                <w:sz w:val="18"/>
                <w:szCs w:val="18"/>
                <w:lang w:val="sk-SK" w:eastAsia="sk-SK"/>
              </w:rPr>
            </w:pPr>
          </w:p>
        </w:tc>
        <w:tc>
          <w:tcPr>
            <w:tcW w:w="702" w:type="pct"/>
            <w:tcBorders>
              <w:top w:val="nil"/>
              <w:left w:val="nil"/>
              <w:bottom w:val="nil"/>
              <w:right w:val="nil"/>
            </w:tcBorders>
            <w:shd w:val="clear" w:color="auto" w:fill="auto"/>
            <w:vAlign w:val="bottom"/>
          </w:tcPr>
          <w:p w14:paraId="4F645E57" w14:textId="13B5D7A9" w:rsidR="004E5D12" w:rsidRPr="00226892" w:rsidDel="004E5D12" w:rsidRDefault="00427990" w:rsidP="00734402">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3 771</w:t>
            </w:r>
          </w:p>
        </w:tc>
      </w:tr>
      <w:tr w:rsidR="004E5D12" w:rsidRPr="00226892" w:rsidDel="004E5D12" w14:paraId="3396FCD9" w14:textId="77777777" w:rsidTr="00F0299B">
        <w:trPr>
          <w:trHeight w:val="227"/>
        </w:trPr>
        <w:tc>
          <w:tcPr>
            <w:tcW w:w="1379" w:type="pct"/>
            <w:tcBorders>
              <w:top w:val="nil"/>
              <w:left w:val="nil"/>
              <w:bottom w:val="nil"/>
              <w:right w:val="nil"/>
            </w:tcBorders>
            <w:shd w:val="clear" w:color="auto" w:fill="auto"/>
            <w:vAlign w:val="bottom"/>
          </w:tcPr>
          <w:p w14:paraId="7ECE2123" w14:textId="426EED5E" w:rsidR="004E5D12" w:rsidRPr="00226892" w:rsidDel="004E5D12" w:rsidRDefault="004E5D12" w:rsidP="00734402">
            <w:pPr>
              <w:rPr>
                <w:rFonts w:ascii="Arial" w:eastAsia="Times New Roman" w:hAnsi="Arial" w:cs="Arial"/>
                <w:color w:val="000000"/>
                <w:sz w:val="18"/>
                <w:szCs w:val="18"/>
                <w:lang w:val="sk-SK" w:eastAsia="sk-SK"/>
              </w:rPr>
            </w:pPr>
            <w:r w:rsidRPr="00226892" w:rsidDel="004E5D12">
              <w:rPr>
                <w:rFonts w:ascii="Arial" w:eastAsia="Times New Roman" w:hAnsi="Arial" w:cs="Arial"/>
                <w:color w:val="000000"/>
                <w:sz w:val="18"/>
                <w:szCs w:val="18"/>
                <w:lang w:val="sk-SK" w:eastAsia="sk-SK"/>
              </w:rPr>
              <w:t xml:space="preserve"> Nákup nástrojov </w:t>
            </w:r>
          </w:p>
        </w:tc>
        <w:tc>
          <w:tcPr>
            <w:tcW w:w="815" w:type="pct"/>
            <w:tcBorders>
              <w:top w:val="nil"/>
              <w:left w:val="nil"/>
              <w:bottom w:val="nil"/>
              <w:right w:val="nil"/>
            </w:tcBorders>
            <w:shd w:val="clear" w:color="auto" w:fill="auto"/>
            <w:vAlign w:val="bottom"/>
          </w:tcPr>
          <w:p w14:paraId="44DA266A" w14:textId="34951580" w:rsidR="004E5D12" w:rsidRPr="00226892" w:rsidDel="004E5D12" w:rsidRDefault="004E5D12" w:rsidP="00734402">
            <w:pPr>
              <w:jc w:val="right"/>
              <w:rPr>
                <w:rFonts w:ascii="Arial" w:eastAsia="Times New Roman" w:hAnsi="Arial" w:cs="Arial"/>
                <w:color w:val="000000"/>
                <w:sz w:val="18"/>
                <w:szCs w:val="18"/>
                <w:lang w:val="sk-SK" w:eastAsia="sk-SK"/>
              </w:rPr>
            </w:pPr>
            <w:r w:rsidRPr="00226892" w:rsidDel="004E5D12">
              <w:rPr>
                <w:rFonts w:ascii="Arial" w:eastAsia="Times New Roman" w:hAnsi="Arial" w:cs="Arial"/>
                <w:color w:val="000000"/>
                <w:sz w:val="18"/>
                <w:szCs w:val="18"/>
                <w:lang w:val="sk-SK" w:eastAsia="sk-SK"/>
              </w:rPr>
              <w:t>512</w:t>
            </w:r>
          </w:p>
        </w:tc>
        <w:tc>
          <w:tcPr>
            <w:tcW w:w="99" w:type="pct"/>
            <w:tcBorders>
              <w:top w:val="nil"/>
              <w:left w:val="nil"/>
              <w:bottom w:val="nil"/>
              <w:right w:val="nil"/>
            </w:tcBorders>
            <w:shd w:val="clear" w:color="auto" w:fill="auto"/>
            <w:vAlign w:val="bottom"/>
          </w:tcPr>
          <w:p w14:paraId="000088B4" w14:textId="77777777" w:rsidR="004E5D12" w:rsidRPr="00226892" w:rsidDel="004E5D12" w:rsidRDefault="004E5D12" w:rsidP="00734402">
            <w:pPr>
              <w:jc w:val="right"/>
              <w:rPr>
                <w:rFonts w:ascii="Arial" w:eastAsia="Times New Roman" w:hAnsi="Arial" w:cs="Arial"/>
                <w:color w:val="000000"/>
                <w:sz w:val="18"/>
                <w:szCs w:val="18"/>
                <w:lang w:val="sk-SK" w:eastAsia="sk-SK"/>
              </w:rPr>
            </w:pPr>
          </w:p>
        </w:tc>
        <w:tc>
          <w:tcPr>
            <w:tcW w:w="862" w:type="pct"/>
            <w:tcBorders>
              <w:top w:val="nil"/>
              <w:left w:val="nil"/>
              <w:bottom w:val="nil"/>
              <w:right w:val="nil"/>
            </w:tcBorders>
            <w:shd w:val="clear" w:color="auto" w:fill="auto"/>
            <w:vAlign w:val="bottom"/>
          </w:tcPr>
          <w:p w14:paraId="2F890CDA" w14:textId="5666ADFC" w:rsidR="004E5D12" w:rsidRPr="00226892" w:rsidDel="004E5D12" w:rsidRDefault="004E5D12" w:rsidP="00734402">
            <w:pPr>
              <w:jc w:val="right"/>
              <w:rPr>
                <w:rFonts w:ascii="Arial" w:eastAsia="Times New Roman" w:hAnsi="Arial" w:cs="Arial"/>
                <w:color w:val="000000"/>
                <w:sz w:val="18"/>
                <w:szCs w:val="18"/>
                <w:lang w:val="sk-SK" w:eastAsia="sk-SK"/>
              </w:rPr>
            </w:pPr>
            <w:r w:rsidRPr="00226892" w:rsidDel="004E5D12">
              <w:rPr>
                <w:rFonts w:ascii="Arial" w:eastAsia="Times New Roman" w:hAnsi="Arial" w:cs="Arial"/>
                <w:color w:val="000000"/>
                <w:sz w:val="18"/>
                <w:szCs w:val="18"/>
                <w:lang w:val="sk-SK" w:eastAsia="sk-SK"/>
              </w:rPr>
              <w:t>-</w:t>
            </w:r>
          </w:p>
        </w:tc>
        <w:tc>
          <w:tcPr>
            <w:tcW w:w="99" w:type="pct"/>
            <w:tcBorders>
              <w:top w:val="nil"/>
              <w:left w:val="nil"/>
              <w:bottom w:val="nil"/>
              <w:right w:val="nil"/>
            </w:tcBorders>
            <w:shd w:val="clear" w:color="auto" w:fill="auto"/>
            <w:vAlign w:val="bottom"/>
          </w:tcPr>
          <w:p w14:paraId="37BEC829" w14:textId="77777777" w:rsidR="004E5D12" w:rsidRPr="00226892" w:rsidDel="004E5D12" w:rsidRDefault="004E5D12" w:rsidP="00734402">
            <w:pPr>
              <w:jc w:val="right"/>
              <w:rPr>
                <w:rFonts w:ascii="Arial" w:eastAsia="Times New Roman" w:hAnsi="Arial" w:cs="Arial"/>
                <w:color w:val="000000"/>
                <w:sz w:val="18"/>
                <w:szCs w:val="18"/>
                <w:lang w:val="sk-SK" w:eastAsia="sk-SK"/>
              </w:rPr>
            </w:pPr>
          </w:p>
        </w:tc>
        <w:tc>
          <w:tcPr>
            <w:tcW w:w="945" w:type="pct"/>
            <w:tcBorders>
              <w:top w:val="nil"/>
              <w:left w:val="nil"/>
              <w:bottom w:val="nil"/>
              <w:right w:val="nil"/>
            </w:tcBorders>
            <w:shd w:val="clear" w:color="auto" w:fill="auto"/>
            <w:vAlign w:val="bottom"/>
          </w:tcPr>
          <w:p w14:paraId="2D11A0AA" w14:textId="7CDC64A6" w:rsidR="004E5D12" w:rsidRPr="00226892" w:rsidDel="004E5D12" w:rsidRDefault="00427990" w:rsidP="00734402">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737</w:t>
            </w:r>
          </w:p>
        </w:tc>
        <w:tc>
          <w:tcPr>
            <w:tcW w:w="99" w:type="pct"/>
            <w:tcBorders>
              <w:top w:val="nil"/>
              <w:left w:val="nil"/>
              <w:bottom w:val="nil"/>
              <w:right w:val="nil"/>
            </w:tcBorders>
            <w:shd w:val="clear" w:color="auto" w:fill="auto"/>
            <w:vAlign w:val="bottom"/>
          </w:tcPr>
          <w:p w14:paraId="184D7672" w14:textId="77777777" w:rsidR="004E5D12" w:rsidRPr="00226892" w:rsidDel="004E5D12" w:rsidRDefault="004E5D12" w:rsidP="00734402">
            <w:pPr>
              <w:jc w:val="right"/>
              <w:rPr>
                <w:rFonts w:ascii="Arial" w:eastAsia="Times New Roman" w:hAnsi="Arial" w:cs="Arial"/>
                <w:color w:val="000000"/>
                <w:sz w:val="18"/>
                <w:szCs w:val="18"/>
                <w:lang w:val="sk-SK" w:eastAsia="sk-SK"/>
              </w:rPr>
            </w:pPr>
          </w:p>
        </w:tc>
        <w:tc>
          <w:tcPr>
            <w:tcW w:w="702" w:type="pct"/>
            <w:tcBorders>
              <w:top w:val="nil"/>
              <w:left w:val="nil"/>
              <w:bottom w:val="nil"/>
              <w:right w:val="nil"/>
            </w:tcBorders>
            <w:shd w:val="clear" w:color="auto" w:fill="auto"/>
            <w:vAlign w:val="bottom"/>
          </w:tcPr>
          <w:p w14:paraId="6EC5C156" w14:textId="0D194E52" w:rsidR="004E5D12" w:rsidRPr="00226892" w:rsidDel="004E5D12" w:rsidRDefault="00427990" w:rsidP="00734402">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1 249</w:t>
            </w:r>
          </w:p>
        </w:tc>
      </w:tr>
      <w:tr w:rsidR="004E5D12" w:rsidRPr="00226892" w:rsidDel="004E5D12" w14:paraId="0151FD8A" w14:textId="77777777" w:rsidTr="00F0299B">
        <w:trPr>
          <w:trHeight w:val="227"/>
        </w:trPr>
        <w:tc>
          <w:tcPr>
            <w:tcW w:w="1379" w:type="pct"/>
            <w:tcBorders>
              <w:top w:val="nil"/>
              <w:left w:val="nil"/>
              <w:bottom w:val="nil"/>
              <w:right w:val="nil"/>
            </w:tcBorders>
            <w:shd w:val="clear" w:color="auto" w:fill="auto"/>
            <w:vAlign w:val="bottom"/>
          </w:tcPr>
          <w:p w14:paraId="1D155AF8" w14:textId="41783734" w:rsidR="004E5D12" w:rsidRPr="00226892" w:rsidDel="004E5D12" w:rsidRDefault="004E5D12" w:rsidP="00734402">
            <w:pPr>
              <w:rPr>
                <w:rFonts w:ascii="Arial" w:eastAsia="Times New Roman" w:hAnsi="Arial" w:cs="Arial"/>
                <w:color w:val="000000"/>
                <w:sz w:val="18"/>
                <w:szCs w:val="18"/>
                <w:lang w:val="sk-SK" w:eastAsia="sk-SK"/>
              </w:rPr>
            </w:pPr>
            <w:r w:rsidRPr="00226892" w:rsidDel="004E5D12">
              <w:rPr>
                <w:rFonts w:ascii="Arial" w:eastAsia="Times New Roman" w:hAnsi="Arial" w:cs="Arial"/>
                <w:color w:val="000000"/>
                <w:sz w:val="18"/>
                <w:szCs w:val="18"/>
                <w:lang w:val="sk-SK" w:eastAsia="sk-SK"/>
              </w:rPr>
              <w:t xml:space="preserve"> Nákup majetku</w:t>
            </w:r>
          </w:p>
        </w:tc>
        <w:tc>
          <w:tcPr>
            <w:tcW w:w="815" w:type="pct"/>
            <w:tcBorders>
              <w:top w:val="nil"/>
              <w:left w:val="nil"/>
              <w:bottom w:val="nil"/>
              <w:right w:val="nil"/>
            </w:tcBorders>
            <w:shd w:val="clear" w:color="auto" w:fill="auto"/>
            <w:vAlign w:val="bottom"/>
          </w:tcPr>
          <w:p w14:paraId="574F8C92" w14:textId="4C3215EE" w:rsidR="004E5D12" w:rsidRPr="00226892" w:rsidDel="004E5D12" w:rsidRDefault="00427990" w:rsidP="00734402">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9" w:type="pct"/>
            <w:tcBorders>
              <w:top w:val="nil"/>
              <w:left w:val="nil"/>
              <w:bottom w:val="nil"/>
              <w:right w:val="nil"/>
            </w:tcBorders>
            <w:shd w:val="clear" w:color="auto" w:fill="auto"/>
            <w:vAlign w:val="bottom"/>
          </w:tcPr>
          <w:p w14:paraId="21D0AAE3" w14:textId="77777777" w:rsidR="004E5D12" w:rsidRPr="00226892" w:rsidDel="004E5D12" w:rsidRDefault="004E5D12" w:rsidP="00734402">
            <w:pPr>
              <w:jc w:val="right"/>
              <w:rPr>
                <w:rFonts w:ascii="Arial" w:eastAsia="Times New Roman" w:hAnsi="Arial" w:cs="Arial"/>
                <w:color w:val="000000"/>
                <w:sz w:val="18"/>
                <w:szCs w:val="18"/>
                <w:lang w:val="sk-SK" w:eastAsia="sk-SK"/>
              </w:rPr>
            </w:pPr>
          </w:p>
        </w:tc>
        <w:tc>
          <w:tcPr>
            <w:tcW w:w="862" w:type="pct"/>
            <w:tcBorders>
              <w:top w:val="nil"/>
              <w:left w:val="nil"/>
              <w:bottom w:val="nil"/>
              <w:right w:val="nil"/>
            </w:tcBorders>
            <w:shd w:val="clear" w:color="auto" w:fill="auto"/>
            <w:vAlign w:val="bottom"/>
          </w:tcPr>
          <w:p w14:paraId="5D3884E1" w14:textId="31833724" w:rsidR="004E5D12" w:rsidRPr="00226892" w:rsidDel="004E5D12" w:rsidRDefault="004E5D12" w:rsidP="00734402">
            <w:pPr>
              <w:jc w:val="right"/>
              <w:rPr>
                <w:rFonts w:ascii="Arial" w:eastAsia="Times New Roman" w:hAnsi="Arial" w:cs="Arial"/>
                <w:color w:val="000000"/>
                <w:sz w:val="18"/>
                <w:szCs w:val="18"/>
                <w:lang w:val="sk-SK" w:eastAsia="sk-SK"/>
              </w:rPr>
            </w:pPr>
            <w:r w:rsidRPr="00226892" w:rsidDel="004E5D12">
              <w:rPr>
                <w:rFonts w:ascii="Arial" w:eastAsia="Times New Roman" w:hAnsi="Arial" w:cs="Arial"/>
                <w:color w:val="000000"/>
                <w:sz w:val="18"/>
                <w:szCs w:val="18"/>
                <w:lang w:val="sk-SK" w:eastAsia="sk-SK"/>
              </w:rPr>
              <w:t>-</w:t>
            </w:r>
          </w:p>
        </w:tc>
        <w:tc>
          <w:tcPr>
            <w:tcW w:w="99" w:type="pct"/>
            <w:tcBorders>
              <w:top w:val="nil"/>
              <w:left w:val="nil"/>
              <w:bottom w:val="nil"/>
              <w:right w:val="nil"/>
            </w:tcBorders>
            <w:shd w:val="clear" w:color="auto" w:fill="auto"/>
            <w:vAlign w:val="bottom"/>
          </w:tcPr>
          <w:p w14:paraId="5C4E9157" w14:textId="77777777" w:rsidR="004E5D12" w:rsidRPr="00226892" w:rsidDel="004E5D12" w:rsidRDefault="004E5D12" w:rsidP="00734402">
            <w:pPr>
              <w:jc w:val="right"/>
              <w:rPr>
                <w:rFonts w:ascii="Arial" w:eastAsia="Times New Roman" w:hAnsi="Arial" w:cs="Arial"/>
                <w:color w:val="000000"/>
                <w:sz w:val="18"/>
                <w:szCs w:val="18"/>
                <w:lang w:val="sk-SK" w:eastAsia="sk-SK"/>
              </w:rPr>
            </w:pPr>
          </w:p>
        </w:tc>
        <w:tc>
          <w:tcPr>
            <w:tcW w:w="945" w:type="pct"/>
            <w:tcBorders>
              <w:top w:val="nil"/>
              <w:left w:val="nil"/>
              <w:bottom w:val="nil"/>
              <w:right w:val="nil"/>
            </w:tcBorders>
            <w:shd w:val="clear" w:color="auto" w:fill="auto"/>
            <w:vAlign w:val="bottom"/>
          </w:tcPr>
          <w:p w14:paraId="4D2A9C22" w14:textId="4D085C32" w:rsidR="004E5D12" w:rsidRPr="00226892" w:rsidDel="004E5D12" w:rsidRDefault="00427990" w:rsidP="00734402">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1 665</w:t>
            </w:r>
          </w:p>
        </w:tc>
        <w:tc>
          <w:tcPr>
            <w:tcW w:w="99" w:type="pct"/>
            <w:tcBorders>
              <w:top w:val="nil"/>
              <w:left w:val="nil"/>
              <w:bottom w:val="nil"/>
              <w:right w:val="nil"/>
            </w:tcBorders>
            <w:shd w:val="clear" w:color="auto" w:fill="auto"/>
            <w:vAlign w:val="bottom"/>
          </w:tcPr>
          <w:p w14:paraId="76B4A2E8" w14:textId="77777777" w:rsidR="004E5D12" w:rsidRPr="00226892" w:rsidDel="004E5D12" w:rsidRDefault="004E5D12" w:rsidP="00734402">
            <w:pPr>
              <w:jc w:val="right"/>
              <w:rPr>
                <w:rFonts w:ascii="Arial" w:eastAsia="Times New Roman" w:hAnsi="Arial" w:cs="Arial"/>
                <w:color w:val="000000"/>
                <w:sz w:val="18"/>
                <w:szCs w:val="18"/>
                <w:lang w:val="sk-SK" w:eastAsia="sk-SK"/>
              </w:rPr>
            </w:pPr>
          </w:p>
        </w:tc>
        <w:tc>
          <w:tcPr>
            <w:tcW w:w="702" w:type="pct"/>
            <w:tcBorders>
              <w:top w:val="nil"/>
              <w:left w:val="nil"/>
              <w:bottom w:val="nil"/>
              <w:right w:val="nil"/>
            </w:tcBorders>
            <w:shd w:val="clear" w:color="auto" w:fill="auto"/>
            <w:vAlign w:val="bottom"/>
          </w:tcPr>
          <w:p w14:paraId="0ADAA754" w14:textId="5FD3CFA0" w:rsidR="004E5D12" w:rsidRPr="00226892" w:rsidDel="004E5D12" w:rsidRDefault="00427990" w:rsidP="00734402">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1 665</w:t>
            </w:r>
          </w:p>
        </w:tc>
      </w:tr>
      <w:tr w:rsidR="004E5D12" w:rsidRPr="00226892" w:rsidDel="004E5D12" w14:paraId="11482BAD" w14:textId="77777777" w:rsidTr="00F0299B">
        <w:trPr>
          <w:trHeight w:val="227"/>
        </w:trPr>
        <w:tc>
          <w:tcPr>
            <w:tcW w:w="1379" w:type="pct"/>
            <w:tcBorders>
              <w:top w:val="nil"/>
              <w:left w:val="nil"/>
              <w:bottom w:val="nil"/>
              <w:right w:val="nil"/>
            </w:tcBorders>
            <w:shd w:val="clear" w:color="auto" w:fill="auto"/>
            <w:vAlign w:val="bottom"/>
          </w:tcPr>
          <w:p w14:paraId="6066A776" w14:textId="18C0337D" w:rsidR="004E5D12" w:rsidRPr="00226892" w:rsidDel="004E5D12" w:rsidRDefault="004E5D12" w:rsidP="00833CC0">
            <w:pPr>
              <w:rPr>
                <w:rFonts w:ascii="Arial" w:eastAsia="Times New Roman" w:hAnsi="Arial" w:cs="Arial"/>
                <w:color w:val="000000"/>
                <w:sz w:val="18"/>
                <w:szCs w:val="18"/>
                <w:lang w:val="sk-SK" w:eastAsia="sk-SK"/>
              </w:rPr>
            </w:pPr>
            <w:r w:rsidRPr="00226892" w:rsidDel="004E5D12">
              <w:rPr>
                <w:rFonts w:ascii="Arial" w:eastAsia="Times New Roman" w:hAnsi="Arial" w:cs="Arial"/>
                <w:color w:val="000000"/>
                <w:sz w:val="18"/>
                <w:szCs w:val="18"/>
                <w:lang w:val="sk-SK" w:eastAsia="sk-SK"/>
              </w:rPr>
              <w:t xml:space="preserve"> Nákup ostatné </w:t>
            </w:r>
          </w:p>
        </w:tc>
        <w:tc>
          <w:tcPr>
            <w:tcW w:w="815" w:type="pct"/>
            <w:tcBorders>
              <w:top w:val="nil"/>
              <w:left w:val="nil"/>
              <w:bottom w:val="nil"/>
              <w:right w:val="nil"/>
            </w:tcBorders>
            <w:shd w:val="clear" w:color="auto" w:fill="auto"/>
            <w:vAlign w:val="bottom"/>
          </w:tcPr>
          <w:p w14:paraId="5D334A8F" w14:textId="2083F943" w:rsidR="004E5D12" w:rsidRPr="00226892" w:rsidDel="004E5D12" w:rsidRDefault="004E5D12" w:rsidP="00D14B23">
            <w:pPr>
              <w:jc w:val="right"/>
              <w:rPr>
                <w:rFonts w:ascii="Arial" w:eastAsia="Times New Roman" w:hAnsi="Arial" w:cs="Arial"/>
                <w:color w:val="000000"/>
                <w:sz w:val="18"/>
                <w:szCs w:val="18"/>
                <w:lang w:val="sk-SK" w:eastAsia="sk-SK"/>
              </w:rPr>
            </w:pPr>
            <w:r w:rsidRPr="00226892" w:rsidDel="004E5D12">
              <w:rPr>
                <w:rFonts w:ascii="Arial" w:eastAsia="Times New Roman" w:hAnsi="Arial" w:cs="Arial"/>
                <w:color w:val="000000"/>
                <w:sz w:val="18"/>
                <w:szCs w:val="18"/>
                <w:lang w:val="sk-SK" w:eastAsia="sk-SK"/>
              </w:rPr>
              <w:t>-</w:t>
            </w:r>
          </w:p>
        </w:tc>
        <w:tc>
          <w:tcPr>
            <w:tcW w:w="99" w:type="pct"/>
            <w:tcBorders>
              <w:top w:val="nil"/>
              <w:left w:val="nil"/>
              <w:bottom w:val="nil"/>
              <w:right w:val="nil"/>
            </w:tcBorders>
            <w:shd w:val="clear" w:color="auto" w:fill="auto"/>
            <w:vAlign w:val="bottom"/>
          </w:tcPr>
          <w:p w14:paraId="13C030FC" w14:textId="77777777" w:rsidR="004E5D12" w:rsidRPr="00226892" w:rsidDel="004E5D12" w:rsidRDefault="004E5D12" w:rsidP="00D40B06">
            <w:pPr>
              <w:jc w:val="right"/>
              <w:rPr>
                <w:rFonts w:ascii="Arial" w:eastAsia="Times New Roman" w:hAnsi="Arial" w:cs="Arial"/>
                <w:color w:val="000000"/>
                <w:sz w:val="18"/>
                <w:szCs w:val="18"/>
                <w:lang w:val="sk-SK" w:eastAsia="sk-SK"/>
              </w:rPr>
            </w:pPr>
          </w:p>
        </w:tc>
        <w:tc>
          <w:tcPr>
            <w:tcW w:w="862" w:type="pct"/>
            <w:tcBorders>
              <w:top w:val="nil"/>
              <w:left w:val="nil"/>
              <w:bottom w:val="nil"/>
              <w:right w:val="nil"/>
            </w:tcBorders>
            <w:shd w:val="clear" w:color="auto" w:fill="auto"/>
            <w:vAlign w:val="bottom"/>
          </w:tcPr>
          <w:p w14:paraId="4F23EFA4" w14:textId="01FE3152" w:rsidR="004E5D12" w:rsidRPr="00226892" w:rsidDel="004E5D12" w:rsidRDefault="004E5D12" w:rsidP="00D40B06">
            <w:pPr>
              <w:jc w:val="right"/>
              <w:rPr>
                <w:rFonts w:ascii="Arial" w:eastAsia="Times New Roman" w:hAnsi="Arial" w:cs="Arial"/>
                <w:color w:val="000000"/>
                <w:sz w:val="18"/>
                <w:szCs w:val="18"/>
                <w:lang w:val="sk-SK" w:eastAsia="sk-SK"/>
              </w:rPr>
            </w:pPr>
            <w:r w:rsidRPr="00226892" w:rsidDel="004E5D12">
              <w:rPr>
                <w:rFonts w:ascii="Arial" w:eastAsia="Times New Roman" w:hAnsi="Arial" w:cs="Arial"/>
                <w:color w:val="000000"/>
                <w:sz w:val="18"/>
                <w:szCs w:val="18"/>
                <w:lang w:val="sk-SK" w:eastAsia="sk-SK"/>
              </w:rPr>
              <w:t>-</w:t>
            </w:r>
          </w:p>
        </w:tc>
        <w:tc>
          <w:tcPr>
            <w:tcW w:w="99" w:type="pct"/>
            <w:tcBorders>
              <w:top w:val="nil"/>
              <w:left w:val="nil"/>
              <w:bottom w:val="nil"/>
              <w:right w:val="nil"/>
            </w:tcBorders>
            <w:shd w:val="clear" w:color="auto" w:fill="auto"/>
            <w:vAlign w:val="bottom"/>
          </w:tcPr>
          <w:p w14:paraId="30AD33FB" w14:textId="77777777" w:rsidR="004E5D12" w:rsidRPr="00226892" w:rsidDel="004E5D12" w:rsidRDefault="004E5D12" w:rsidP="00D40B06">
            <w:pPr>
              <w:jc w:val="right"/>
              <w:rPr>
                <w:rFonts w:ascii="Arial" w:eastAsia="Times New Roman" w:hAnsi="Arial" w:cs="Arial"/>
                <w:color w:val="000000"/>
                <w:sz w:val="18"/>
                <w:szCs w:val="18"/>
                <w:lang w:val="sk-SK" w:eastAsia="sk-SK"/>
              </w:rPr>
            </w:pPr>
          </w:p>
        </w:tc>
        <w:tc>
          <w:tcPr>
            <w:tcW w:w="945" w:type="pct"/>
            <w:tcBorders>
              <w:top w:val="nil"/>
              <w:left w:val="nil"/>
              <w:bottom w:val="nil"/>
              <w:right w:val="nil"/>
            </w:tcBorders>
            <w:shd w:val="clear" w:color="auto" w:fill="auto"/>
            <w:vAlign w:val="bottom"/>
          </w:tcPr>
          <w:p w14:paraId="7FAFF002" w14:textId="7AFDFC95" w:rsidR="004E5D12" w:rsidRPr="00226892" w:rsidDel="004E5D12" w:rsidRDefault="00427990" w:rsidP="00D40B06">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28</w:t>
            </w:r>
          </w:p>
        </w:tc>
        <w:tc>
          <w:tcPr>
            <w:tcW w:w="99" w:type="pct"/>
            <w:tcBorders>
              <w:top w:val="nil"/>
              <w:left w:val="nil"/>
              <w:bottom w:val="nil"/>
              <w:right w:val="nil"/>
            </w:tcBorders>
            <w:shd w:val="clear" w:color="auto" w:fill="auto"/>
            <w:vAlign w:val="bottom"/>
          </w:tcPr>
          <w:p w14:paraId="1B97760A" w14:textId="77777777" w:rsidR="004E5D12" w:rsidRPr="00226892" w:rsidDel="004E5D12" w:rsidRDefault="004E5D12" w:rsidP="00D40B06">
            <w:pPr>
              <w:jc w:val="right"/>
              <w:rPr>
                <w:rFonts w:ascii="Arial" w:eastAsia="Times New Roman" w:hAnsi="Arial" w:cs="Arial"/>
                <w:color w:val="000000"/>
                <w:sz w:val="18"/>
                <w:szCs w:val="18"/>
                <w:lang w:val="sk-SK" w:eastAsia="sk-SK"/>
              </w:rPr>
            </w:pPr>
          </w:p>
        </w:tc>
        <w:tc>
          <w:tcPr>
            <w:tcW w:w="702" w:type="pct"/>
            <w:tcBorders>
              <w:top w:val="nil"/>
              <w:left w:val="nil"/>
              <w:bottom w:val="nil"/>
              <w:right w:val="nil"/>
            </w:tcBorders>
            <w:shd w:val="clear" w:color="auto" w:fill="auto"/>
            <w:vAlign w:val="bottom"/>
          </w:tcPr>
          <w:p w14:paraId="1C98141C" w14:textId="50270F83" w:rsidR="004E5D12" w:rsidRPr="00226892" w:rsidDel="004E5D12" w:rsidRDefault="00427990" w:rsidP="00D14B23">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28</w:t>
            </w:r>
          </w:p>
        </w:tc>
      </w:tr>
      <w:tr w:rsidR="004E5D12" w:rsidRPr="00226892" w:rsidDel="004E5D12" w14:paraId="5B5965A7" w14:textId="77777777" w:rsidTr="00F0299B">
        <w:trPr>
          <w:trHeight w:val="227"/>
        </w:trPr>
        <w:tc>
          <w:tcPr>
            <w:tcW w:w="1379" w:type="pct"/>
            <w:tcBorders>
              <w:top w:val="nil"/>
              <w:left w:val="nil"/>
              <w:bottom w:val="nil"/>
              <w:right w:val="nil"/>
            </w:tcBorders>
            <w:shd w:val="clear" w:color="auto" w:fill="auto"/>
            <w:vAlign w:val="bottom"/>
          </w:tcPr>
          <w:p w14:paraId="0E90EF1D" w14:textId="0F9D8D50" w:rsidR="004E5D12" w:rsidRPr="00226892" w:rsidDel="004E5D12" w:rsidRDefault="004E5D12" w:rsidP="00833CC0">
            <w:pPr>
              <w:rPr>
                <w:rFonts w:ascii="Arial" w:eastAsia="Times New Roman" w:hAnsi="Arial" w:cs="Arial"/>
                <w:b/>
                <w:bCs/>
                <w:color w:val="000000"/>
                <w:sz w:val="18"/>
                <w:szCs w:val="18"/>
                <w:lang w:val="sk-SK" w:eastAsia="sk-SK"/>
              </w:rPr>
            </w:pPr>
            <w:r w:rsidRPr="00226892" w:rsidDel="004E5D12">
              <w:rPr>
                <w:rFonts w:ascii="Arial" w:eastAsia="Times New Roman" w:hAnsi="Arial" w:cs="Arial"/>
                <w:b/>
                <w:bCs/>
                <w:color w:val="000000"/>
                <w:sz w:val="18"/>
                <w:szCs w:val="18"/>
                <w:lang w:val="sk-SK" w:eastAsia="sk-SK"/>
              </w:rPr>
              <w:t xml:space="preserve"> Spolu nákup </w:t>
            </w:r>
          </w:p>
        </w:tc>
        <w:tc>
          <w:tcPr>
            <w:tcW w:w="815" w:type="pct"/>
            <w:tcBorders>
              <w:top w:val="single" w:sz="4" w:space="0" w:color="auto"/>
              <w:left w:val="nil"/>
              <w:bottom w:val="double" w:sz="6" w:space="0" w:color="auto"/>
              <w:right w:val="nil"/>
            </w:tcBorders>
            <w:shd w:val="clear" w:color="auto" w:fill="auto"/>
            <w:vAlign w:val="bottom"/>
          </w:tcPr>
          <w:p w14:paraId="6931DF02" w14:textId="2A430124" w:rsidR="004E5D12" w:rsidRPr="00226892" w:rsidDel="004E5D12" w:rsidRDefault="004E5D12" w:rsidP="00D14B23">
            <w:pPr>
              <w:jc w:val="right"/>
              <w:rPr>
                <w:rFonts w:ascii="Arial" w:eastAsia="Times New Roman" w:hAnsi="Arial" w:cs="Arial"/>
                <w:b/>
                <w:bCs/>
                <w:color w:val="000000"/>
                <w:sz w:val="18"/>
                <w:szCs w:val="18"/>
                <w:lang w:val="sk-SK" w:eastAsia="sk-SK"/>
              </w:rPr>
            </w:pPr>
            <w:r w:rsidRPr="00226892" w:rsidDel="004E5D12">
              <w:rPr>
                <w:rFonts w:ascii="Arial" w:eastAsia="Times New Roman" w:hAnsi="Arial" w:cs="Arial"/>
                <w:b/>
                <w:bCs/>
                <w:color w:val="000000"/>
                <w:sz w:val="18"/>
                <w:szCs w:val="18"/>
                <w:lang w:val="sk-SK" w:eastAsia="sk-SK"/>
              </w:rPr>
              <w:t>3 444</w:t>
            </w:r>
          </w:p>
        </w:tc>
        <w:tc>
          <w:tcPr>
            <w:tcW w:w="99" w:type="pct"/>
            <w:tcBorders>
              <w:top w:val="nil"/>
              <w:left w:val="nil"/>
              <w:bottom w:val="nil"/>
              <w:right w:val="nil"/>
            </w:tcBorders>
            <w:shd w:val="clear" w:color="auto" w:fill="auto"/>
            <w:vAlign w:val="bottom"/>
          </w:tcPr>
          <w:p w14:paraId="394547C3" w14:textId="77777777" w:rsidR="004E5D12" w:rsidRPr="00226892" w:rsidDel="004E5D12" w:rsidRDefault="004E5D12" w:rsidP="00D40B06">
            <w:pPr>
              <w:jc w:val="right"/>
              <w:rPr>
                <w:rFonts w:ascii="Arial" w:eastAsia="Times New Roman" w:hAnsi="Arial" w:cs="Arial"/>
                <w:b/>
                <w:bCs/>
                <w:color w:val="000000"/>
                <w:sz w:val="18"/>
                <w:szCs w:val="18"/>
                <w:lang w:val="sk-SK" w:eastAsia="sk-SK"/>
              </w:rPr>
            </w:pPr>
          </w:p>
        </w:tc>
        <w:tc>
          <w:tcPr>
            <w:tcW w:w="862" w:type="pct"/>
            <w:tcBorders>
              <w:top w:val="single" w:sz="4" w:space="0" w:color="auto"/>
              <w:left w:val="nil"/>
              <w:bottom w:val="double" w:sz="6" w:space="0" w:color="auto"/>
              <w:right w:val="nil"/>
            </w:tcBorders>
            <w:shd w:val="clear" w:color="auto" w:fill="auto"/>
            <w:vAlign w:val="bottom"/>
          </w:tcPr>
          <w:p w14:paraId="31DEDD3B" w14:textId="04753382" w:rsidR="004E5D12" w:rsidRPr="00226892" w:rsidDel="004E5D12" w:rsidRDefault="00427990" w:rsidP="00D40B0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535</w:t>
            </w:r>
          </w:p>
        </w:tc>
        <w:tc>
          <w:tcPr>
            <w:tcW w:w="99" w:type="pct"/>
            <w:tcBorders>
              <w:top w:val="nil"/>
              <w:left w:val="nil"/>
              <w:bottom w:val="nil"/>
              <w:right w:val="nil"/>
            </w:tcBorders>
            <w:shd w:val="clear" w:color="auto" w:fill="auto"/>
            <w:vAlign w:val="bottom"/>
          </w:tcPr>
          <w:p w14:paraId="4DD9EEA9" w14:textId="77777777" w:rsidR="004E5D12" w:rsidRPr="00226892" w:rsidDel="004E5D12" w:rsidRDefault="004E5D12" w:rsidP="00D40B06">
            <w:pPr>
              <w:jc w:val="right"/>
              <w:rPr>
                <w:rFonts w:ascii="Arial" w:eastAsia="Times New Roman" w:hAnsi="Arial" w:cs="Arial"/>
                <w:b/>
                <w:bCs/>
                <w:color w:val="000000"/>
                <w:sz w:val="18"/>
                <w:szCs w:val="18"/>
                <w:lang w:val="sk-SK" w:eastAsia="sk-SK"/>
              </w:rPr>
            </w:pPr>
          </w:p>
        </w:tc>
        <w:tc>
          <w:tcPr>
            <w:tcW w:w="945" w:type="pct"/>
            <w:tcBorders>
              <w:top w:val="single" w:sz="4" w:space="0" w:color="auto"/>
              <w:left w:val="nil"/>
              <w:bottom w:val="double" w:sz="6" w:space="0" w:color="auto"/>
              <w:right w:val="nil"/>
            </w:tcBorders>
            <w:shd w:val="clear" w:color="auto" w:fill="auto"/>
            <w:vAlign w:val="bottom"/>
          </w:tcPr>
          <w:p w14:paraId="3CA59526" w14:textId="4707393A" w:rsidR="004E5D12" w:rsidRPr="00226892" w:rsidDel="004E5D12" w:rsidRDefault="00427990" w:rsidP="00D40B06">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2 837</w:t>
            </w:r>
          </w:p>
        </w:tc>
        <w:tc>
          <w:tcPr>
            <w:tcW w:w="99" w:type="pct"/>
            <w:tcBorders>
              <w:top w:val="nil"/>
              <w:left w:val="nil"/>
              <w:bottom w:val="nil"/>
              <w:right w:val="nil"/>
            </w:tcBorders>
            <w:shd w:val="clear" w:color="auto" w:fill="auto"/>
            <w:vAlign w:val="bottom"/>
          </w:tcPr>
          <w:p w14:paraId="37579EC8" w14:textId="77777777" w:rsidR="004E5D12" w:rsidRPr="00226892" w:rsidDel="004E5D12" w:rsidRDefault="004E5D12" w:rsidP="00D40B06">
            <w:pPr>
              <w:jc w:val="right"/>
              <w:rPr>
                <w:rFonts w:ascii="Arial" w:eastAsia="Times New Roman" w:hAnsi="Arial" w:cs="Arial"/>
                <w:b/>
                <w:bCs/>
                <w:color w:val="000000"/>
                <w:sz w:val="18"/>
                <w:szCs w:val="18"/>
                <w:lang w:val="sk-SK" w:eastAsia="sk-SK"/>
              </w:rPr>
            </w:pPr>
          </w:p>
        </w:tc>
        <w:tc>
          <w:tcPr>
            <w:tcW w:w="702" w:type="pct"/>
            <w:tcBorders>
              <w:top w:val="single" w:sz="4" w:space="0" w:color="auto"/>
              <w:left w:val="nil"/>
              <w:bottom w:val="double" w:sz="6" w:space="0" w:color="auto"/>
              <w:right w:val="nil"/>
            </w:tcBorders>
            <w:shd w:val="clear" w:color="auto" w:fill="auto"/>
            <w:vAlign w:val="bottom"/>
          </w:tcPr>
          <w:p w14:paraId="37733F8A" w14:textId="6FF94231" w:rsidR="004E5D12" w:rsidRPr="00226892" w:rsidDel="004E5D12" w:rsidRDefault="00427990" w:rsidP="00D14B23">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6</w:t>
            </w:r>
            <w:r w:rsidR="004E5D12" w:rsidRPr="00226892" w:rsidDel="004E5D12">
              <w:rPr>
                <w:rFonts w:ascii="Arial" w:eastAsia="Times New Roman" w:hAnsi="Arial" w:cs="Arial"/>
                <w:b/>
                <w:bCs/>
                <w:color w:val="000000"/>
                <w:sz w:val="18"/>
                <w:szCs w:val="18"/>
                <w:lang w:val="sk-SK" w:eastAsia="sk-SK"/>
              </w:rPr>
              <w:t xml:space="preserve"> </w:t>
            </w:r>
            <w:r w:rsidRPr="00226892">
              <w:rPr>
                <w:rFonts w:ascii="Arial" w:eastAsia="Times New Roman" w:hAnsi="Arial" w:cs="Arial"/>
                <w:b/>
                <w:bCs/>
                <w:color w:val="000000"/>
                <w:sz w:val="18"/>
                <w:szCs w:val="18"/>
                <w:lang w:val="sk-SK" w:eastAsia="sk-SK"/>
              </w:rPr>
              <w:t>816</w:t>
            </w:r>
          </w:p>
        </w:tc>
      </w:tr>
    </w:tbl>
    <w:p w14:paraId="158F65AC" w14:textId="4C2BDBC5" w:rsidR="00C6261A" w:rsidRPr="00226892" w:rsidRDefault="00DD63CA" w:rsidP="00833CC0">
      <w:pPr>
        <w:suppressAutoHyphens/>
        <w:rPr>
          <w:rFonts w:ascii="Arial" w:hAnsi="Arial" w:cs="Arial"/>
          <w:szCs w:val="18"/>
          <w:highlight w:val="yellow"/>
        </w:rPr>
      </w:pPr>
      <w:r w:rsidRPr="00226892">
        <w:rPr>
          <w:rFonts w:ascii="Arial" w:hAnsi="Arial" w:cs="Arial"/>
          <w:sz w:val="18"/>
          <w:szCs w:val="18"/>
          <w:highlight w:val="yellow"/>
        </w:rPr>
        <w:t xml:space="preserve"> </w:t>
      </w:r>
      <w:bookmarkEnd w:id="647"/>
      <w:r w:rsidRPr="00226892">
        <w:rPr>
          <w:rFonts w:ascii="Arial" w:hAnsi="Arial" w:cs="Arial"/>
          <w:sz w:val="18"/>
          <w:szCs w:val="18"/>
          <w:highlight w:val="yellow"/>
        </w:rPr>
        <w:t xml:space="preserve"> </w:t>
      </w:r>
    </w:p>
    <w:p w14:paraId="57FAA67D" w14:textId="3AE58090" w:rsidR="00837450" w:rsidRPr="00226892" w:rsidRDefault="0056068D" w:rsidP="00756C6D">
      <w:pPr>
        <w:autoSpaceDE w:val="0"/>
        <w:autoSpaceDN w:val="0"/>
        <w:adjustRightInd w:val="0"/>
        <w:jc w:val="both"/>
        <w:rPr>
          <w:rFonts w:ascii="Arial" w:hAnsi="Arial" w:cs="Arial"/>
        </w:rPr>
      </w:pPr>
      <w:r w:rsidRPr="00226892">
        <w:rPr>
          <w:rFonts w:ascii="Arial" w:hAnsi="Arial" w:cs="Arial"/>
          <w:lang w:val="sk-SK"/>
        </w:rPr>
        <w:t xml:space="preserve">Výnosy a náklady z transakcií so spriaznenými stranami boli v roku </w:t>
      </w:r>
      <w:r w:rsidR="00F63A77" w:rsidRPr="00226892">
        <w:rPr>
          <w:rFonts w:ascii="Arial" w:hAnsi="Arial" w:cs="Arial"/>
          <w:lang w:val="sk-SK"/>
        </w:rPr>
        <w:t>2017</w:t>
      </w:r>
      <w:r w:rsidR="00CE3E6A" w:rsidRPr="00226892">
        <w:rPr>
          <w:rFonts w:ascii="Arial" w:hAnsi="Arial" w:cs="Arial"/>
          <w:lang w:val="sk-SK"/>
        </w:rPr>
        <w:t xml:space="preserve"> </w:t>
      </w:r>
      <w:r w:rsidRPr="00226892">
        <w:rPr>
          <w:rFonts w:ascii="Arial" w:hAnsi="Arial" w:cs="Arial"/>
          <w:lang w:val="sk-SK"/>
        </w:rPr>
        <w:t>nasledovné:</w:t>
      </w:r>
    </w:p>
    <w:p w14:paraId="33AA625D" w14:textId="543731AC" w:rsidR="00DD63CA" w:rsidRPr="00226892" w:rsidRDefault="00DD63CA" w:rsidP="00833CC0">
      <w:pPr>
        <w:rPr>
          <w:rFonts w:ascii="Arial" w:hAnsi="Arial" w:cs="Arial"/>
          <w:i/>
          <w:szCs w:val="18"/>
          <w:highlight w:val="yellow"/>
        </w:rPr>
      </w:pPr>
      <w:bookmarkStart w:id="648" w:name="FWT_IncomeAndExpWithRelParties_PY"/>
    </w:p>
    <w:tbl>
      <w:tblPr>
        <w:tblW w:w="5000" w:type="pct"/>
        <w:tblCellMar>
          <w:left w:w="70" w:type="dxa"/>
          <w:right w:w="70" w:type="dxa"/>
        </w:tblCellMar>
        <w:tblLook w:val="04A0" w:firstRow="1" w:lastRow="0" w:firstColumn="1" w:lastColumn="0" w:noHBand="0" w:noVBand="1"/>
      </w:tblPr>
      <w:tblGrid>
        <w:gridCol w:w="2675"/>
        <w:gridCol w:w="1557"/>
        <w:gridCol w:w="192"/>
        <w:gridCol w:w="1571"/>
        <w:gridCol w:w="276"/>
        <w:gridCol w:w="1808"/>
        <w:gridCol w:w="191"/>
        <w:gridCol w:w="1369"/>
      </w:tblGrid>
      <w:tr w:rsidR="00DD63CA" w:rsidRPr="00226892" w14:paraId="0ED3E667" w14:textId="77777777" w:rsidTr="00756C6D">
        <w:trPr>
          <w:trHeight w:val="227"/>
        </w:trPr>
        <w:tc>
          <w:tcPr>
            <w:tcW w:w="1389" w:type="pct"/>
            <w:tcBorders>
              <w:top w:val="nil"/>
              <w:left w:val="nil"/>
              <w:bottom w:val="single" w:sz="4" w:space="0" w:color="auto"/>
              <w:right w:val="nil"/>
            </w:tcBorders>
            <w:shd w:val="clear" w:color="auto" w:fill="auto"/>
            <w:noWrap/>
            <w:vAlign w:val="bottom"/>
            <w:hideMark/>
          </w:tcPr>
          <w:p w14:paraId="2A8C4C9F" w14:textId="77777777" w:rsidR="00DD63CA" w:rsidRPr="00226892" w:rsidRDefault="00DD63CA" w:rsidP="00833CC0">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w:t>
            </w:r>
          </w:p>
        </w:tc>
        <w:tc>
          <w:tcPr>
            <w:tcW w:w="809" w:type="pct"/>
            <w:tcBorders>
              <w:top w:val="nil"/>
              <w:left w:val="nil"/>
              <w:bottom w:val="single" w:sz="4" w:space="0" w:color="auto"/>
              <w:right w:val="nil"/>
            </w:tcBorders>
            <w:shd w:val="clear" w:color="auto" w:fill="auto"/>
            <w:vAlign w:val="bottom"/>
            <w:hideMark/>
          </w:tcPr>
          <w:p w14:paraId="63644A7F" w14:textId="6BFEE9ED" w:rsidR="00DD63CA" w:rsidRPr="00226892" w:rsidRDefault="00DD63CA">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 Pridružené spoločnosti</w:t>
            </w:r>
            <w:r w:rsidR="00513937" w:rsidRPr="00226892">
              <w:rPr>
                <w:rFonts w:ascii="Arial" w:eastAsia="Times New Roman" w:hAnsi="Arial" w:cs="Arial"/>
                <w:b/>
                <w:bCs/>
                <w:color w:val="000000"/>
                <w:sz w:val="18"/>
                <w:szCs w:val="18"/>
                <w:lang w:val="sk-SK" w:eastAsia="sk-SK"/>
              </w:rPr>
              <w:t xml:space="preserve"> a spoločné podniky</w:t>
            </w:r>
            <w:r w:rsidRPr="00226892">
              <w:rPr>
                <w:rFonts w:ascii="Arial" w:eastAsia="Times New Roman" w:hAnsi="Arial" w:cs="Arial"/>
                <w:b/>
                <w:bCs/>
                <w:color w:val="000000"/>
                <w:sz w:val="18"/>
                <w:szCs w:val="18"/>
                <w:lang w:val="sk-SK" w:eastAsia="sk-SK"/>
              </w:rPr>
              <w:t xml:space="preserve"> </w:t>
            </w:r>
          </w:p>
        </w:tc>
        <w:tc>
          <w:tcPr>
            <w:tcW w:w="101" w:type="pct"/>
            <w:tcBorders>
              <w:top w:val="nil"/>
              <w:left w:val="nil"/>
              <w:bottom w:val="single" w:sz="4" w:space="0" w:color="auto"/>
              <w:right w:val="nil"/>
            </w:tcBorders>
            <w:shd w:val="clear" w:color="auto" w:fill="auto"/>
            <w:vAlign w:val="bottom"/>
            <w:hideMark/>
          </w:tcPr>
          <w:p w14:paraId="198AE911" w14:textId="77777777" w:rsidR="00DD63CA" w:rsidRPr="00226892" w:rsidRDefault="00DD63CA">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816" w:type="pct"/>
            <w:tcBorders>
              <w:top w:val="nil"/>
              <w:left w:val="nil"/>
              <w:bottom w:val="single" w:sz="4" w:space="0" w:color="auto"/>
              <w:right w:val="nil"/>
            </w:tcBorders>
            <w:shd w:val="clear" w:color="auto" w:fill="auto"/>
            <w:vAlign w:val="bottom"/>
            <w:hideMark/>
          </w:tcPr>
          <w:p w14:paraId="011BFF7B" w14:textId="576CE9B5" w:rsidR="00DD63CA" w:rsidRPr="00226892" w:rsidRDefault="00513937">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Matersk</w:t>
            </w:r>
            <w:r w:rsidR="005F26CD" w:rsidRPr="00226892">
              <w:rPr>
                <w:rFonts w:ascii="Arial" w:eastAsia="Times New Roman" w:hAnsi="Arial" w:cs="Arial"/>
                <w:b/>
                <w:bCs/>
                <w:color w:val="000000"/>
                <w:sz w:val="18"/>
                <w:szCs w:val="18"/>
                <w:lang w:val="sk-SK" w:eastAsia="sk-SK"/>
              </w:rPr>
              <w:t>á</w:t>
            </w:r>
            <w:r w:rsidRPr="00226892">
              <w:rPr>
                <w:rFonts w:ascii="Arial" w:eastAsia="Times New Roman" w:hAnsi="Arial" w:cs="Arial"/>
                <w:b/>
                <w:bCs/>
                <w:color w:val="000000"/>
                <w:sz w:val="18"/>
                <w:szCs w:val="18"/>
                <w:lang w:val="sk-SK" w:eastAsia="sk-SK"/>
              </w:rPr>
              <w:t xml:space="preserve"> spoločnos</w:t>
            </w:r>
            <w:r w:rsidR="005F26CD" w:rsidRPr="00226892">
              <w:rPr>
                <w:rFonts w:ascii="Arial" w:eastAsia="Times New Roman" w:hAnsi="Arial" w:cs="Arial"/>
                <w:b/>
                <w:bCs/>
                <w:color w:val="000000"/>
                <w:sz w:val="18"/>
                <w:szCs w:val="18"/>
                <w:lang w:val="sk-SK" w:eastAsia="sk-SK"/>
              </w:rPr>
              <w:t>ť</w:t>
            </w:r>
            <w:r w:rsidR="00DD63CA" w:rsidRPr="00226892">
              <w:rPr>
                <w:rFonts w:ascii="Arial" w:eastAsia="Times New Roman" w:hAnsi="Arial" w:cs="Arial"/>
                <w:b/>
                <w:bCs/>
                <w:color w:val="000000"/>
                <w:sz w:val="18"/>
                <w:szCs w:val="18"/>
                <w:lang w:val="sk-SK" w:eastAsia="sk-SK"/>
              </w:rPr>
              <w:t xml:space="preserve"> </w:t>
            </w:r>
          </w:p>
        </w:tc>
        <w:tc>
          <w:tcPr>
            <w:tcW w:w="144" w:type="pct"/>
            <w:tcBorders>
              <w:top w:val="nil"/>
              <w:left w:val="nil"/>
              <w:bottom w:val="single" w:sz="4" w:space="0" w:color="auto"/>
              <w:right w:val="nil"/>
            </w:tcBorders>
            <w:shd w:val="clear" w:color="auto" w:fill="auto"/>
            <w:vAlign w:val="bottom"/>
            <w:hideMark/>
          </w:tcPr>
          <w:p w14:paraId="2A24BE0B" w14:textId="77777777" w:rsidR="00DD63CA" w:rsidRPr="00226892" w:rsidRDefault="00DD63CA">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939" w:type="pct"/>
            <w:tcBorders>
              <w:top w:val="nil"/>
              <w:left w:val="nil"/>
              <w:bottom w:val="single" w:sz="4" w:space="0" w:color="auto"/>
              <w:right w:val="nil"/>
            </w:tcBorders>
            <w:shd w:val="clear" w:color="auto" w:fill="auto"/>
            <w:vAlign w:val="bottom"/>
            <w:hideMark/>
          </w:tcPr>
          <w:p w14:paraId="5E9B73DA" w14:textId="77777777" w:rsidR="00DD63CA" w:rsidRPr="00226892" w:rsidRDefault="00DD63CA">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 Ostatné spriaznené strany </w:t>
            </w:r>
          </w:p>
        </w:tc>
        <w:tc>
          <w:tcPr>
            <w:tcW w:w="91" w:type="pct"/>
            <w:tcBorders>
              <w:top w:val="nil"/>
              <w:left w:val="nil"/>
              <w:bottom w:val="single" w:sz="4" w:space="0" w:color="auto"/>
              <w:right w:val="nil"/>
            </w:tcBorders>
            <w:shd w:val="clear" w:color="auto" w:fill="auto"/>
            <w:vAlign w:val="bottom"/>
            <w:hideMark/>
          </w:tcPr>
          <w:p w14:paraId="0CB85EF5" w14:textId="77777777" w:rsidR="00DD63CA" w:rsidRPr="00226892" w:rsidRDefault="00DD63CA">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712" w:type="pct"/>
            <w:tcBorders>
              <w:top w:val="nil"/>
              <w:left w:val="nil"/>
              <w:bottom w:val="single" w:sz="4" w:space="0" w:color="auto"/>
              <w:right w:val="nil"/>
            </w:tcBorders>
            <w:shd w:val="clear" w:color="auto" w:fill="auto"/>
            <w:vAlign w:val="bottom"/>
            <w:hideMark/>
          </w:tcPr>
          <w:p w14:paraId="181F9640" w14:textId="77777777" w:rsidR="00DD63CA" w:rsidRPr="00226892" w:rsidRDefault="00DD63CA">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 Spolu </w:t>
            </w:r>
          </w:p>
        </w:tc>
      </w:tr>
      <w:tr w:rsidR="006B1BD1" w:rsidRPr="00226892" w14:paraId="57B3D00B" w14:textId="77777777" w:rsidTr="00756C6D">
        <w:trPr>
          <w:trHeight w:val="227"/>
        </w:trPr>
        <w:tc>
          <w:tcPr>
            <w:tcW w:w="1389" w:type="pct"/>
            <w:tcBorders>
              <w:top w:val="nil"/>
              <w:left w:val="nil"/>
              <w:bottom w:val="nil"/>
              <w:right w:val="nil"/>
            </w:tcBorders>
            <w:shd w:val="clear" w:color="auto" w:fill="auto"/>
            <w:vAlign w:val="bottom"/>
            <w:hideMark/>
          </w:tcPr>
          <w:p w14:paraId="1C57696B" w14:textId="424A75D1" w:rsidR="006B1BD1" w:rsidRPr="00226892" w:rsidRDefault="006B1BD1" w:rsidP="006B1BD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Predaj zásob </w:t>
            </w:r>
          </w:p>
        </w:tc>
        <w:tc>
          <w:tcPr>
            <w:tcW w:w="809" w:type="pct"/>
            <w:tcBorders>
              <w:top w:val="nil"/>
              <w:left w:val="nil"/>
              <w:bottom w:val="nil"/>
              <w:right w:val="nil"/>
            </w:tcBorders>
            <w:shd w:val="clear" w:color="auto" w:fill="auto"/>
            <w:vAlign w:val="bottom"/>
          </w:tcPr>
          <w:p w14:paraId="6073F666" w14:textId="1181F38D" w:rsidR="006B1BD1" w:rsidRPr="00226892" w:rsidRDefault="006B1BD1"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685</w:t>
            </w:r>
          </w:p>
        </w:tc>
        <w:tc>
          <w:tcPr>
            <w:tcW w:w="101" w:type="pct"/>
            <w:tcBorders>
              <w:top w:val="nil"/>
              <w:left w:val="nil"/>
              <w:bottom w:val="nil"/>
              <w:right w:val="nil"/>
            </w:tcBorders>
            <w:shd w:val="clear" w:color="auto" w:fill="auto"/>
            <w:vAlign w:val="bottom"/>
          </w:tcPr>
          <w:p w14:paraId="5BC0A0A9"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816" w:type="pct"/>
            <w:tcBorders>
              <w:top w:val="nil"/>
              <w:left w:val="nil"/>
              <w:bottom w:val="nil"/>
              <w:right w:val="nil"/>
            </w:tcBorders>
            <w:shd w:val="clear" w:color="auto" w:fill="auto"/>
            <w:vAlign w:val="bottom"/>
          </w:tcPr>
          <w:p w14:paraId="07E06C08" w14:textId="5DAE9775" w:rsidR="006B1BD1" w:rsidRPr="00226892" w:rsidRDefault="005F26CD"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44" w:type="pct"/>
            <w:tcBorders>
              <w:top w:val="nil"/>
              <w:left w:val="nil"/>
              <w:bottom w:val="nil"/>
              <w:right w:val="nil"/>
            </w:tcBorders>
            <w:shd w:val="clear" w:color="auto" w:fill="auto"/>
            <w:vAlign w:val="bottom"/>
          </w:tcPr>
          <w:p w14:paraId="479D3351"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939" w:type="pct"/>
            <w:tcBorders>
              <w:top w:val="nil"/>
              <w:left w:val="nil"/>
              <w:bottom w:val="nil"/>
              <w:right w:val="nil"/>
            </w:tcBorders>
            <w:shd w:val="clear" w:color="auto" w:fill="auto"/>
            <w:vAlign w:val="bottom"/>
          </w:tcPr>
          <w:p w14:paraId="74C67E0B" w14:textId="3B60E8F6" w:rsidR="006B1BD1" w:rsidRPr="00226892" w:rsidRDefault="006B1BD1"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1 618</w:t>
            </w:r>
          </w:p>
        </w:tc>
        <w:tc>
          <w:tcPr>
            <w:tcW w:w="91" w:type="pct"/>
            <w:tcBorders>
              <w:top w:val="nil"/>
              <w:left w:val="nil"/>
              <w:bottom w:val="nil"/>
              <w:right w:val="nil"/>
            </w:tcBorders>
            <w:shd w:val="clear" w:color="auto" w:fill="auto"/>
            <w:vAlign w:val="bottom"/>
          </w:tcPr>
          <w:p w14:paraId="7DDE611B"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712" w:type="pct"/>
            <w:tcBorders>
              <w:top w:val="nil"/>
              <w:left w:val="nil"/>
              <w:bottom w:val="nil"/>
              <w:right w:val="nil"/>
            </w:tcBorders>
            <w:shd w:val="clear" w:color="auto" w:fill="auto"/>
            <w:vAlign w:val="bottom"/>
          </w:tcPr>
          <w:p w14:paraId="5740456A" w14:textId="0FD6001C" w:rsidR="006B1BD1" w:rsidRPr="00226892" w:rsidRDefault="006B1BD1" w:rsidP="006B1BD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2 303</w:t>
            </w:r>
          </w:p>
        </w:tc>
      </w:tr>
      <w:tr w:rsidR="006B1BD1" w:rsidRPr="00226892" w14:paraId="3348D3EA" w14:textId="77777777" w:rsidTr="00756C6D">
        <w:trPr>
          <w:trHeight w:val="227"/>
        </w:trPr>
        <w:tc>
          <w:tcPr>
            <w:tcW w:w="1389" w:type="pct"/>
            <w:tcBorders>
              <w:top w:val="nil"/>
              <w:left w:val="nil"/>
              <w:bottom w:val="nil"/>
              <w:right w:val="nil"/>
            </w:tcBorders>
            <w:shd w:val="clear" w:color="auto" w:fill="auto"/>
            <w:vAlign w:val="bottom"/>
            <w:hideMark/>
          </w:tcPr>
          <w:p w14:paraId="723AA607" w14:textId="37CDAE2C" w:rsidR="006B1BD1" w:rsidRPr="00226892" w:rsidRDefault="006B1BD1" w:rsidP="006B1BD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Predaj služieb </w:t>
            </w:r>
          </w:p>
        </w:tc>
        <w:tc>
          <w:tcPr>
            <w:tcW w:w="809" w:type="pct"/>
            <w:tcBorders>
              <w:top w:val="nil"/>
              <w:left w:val="nil"/>
              <w:bottom w:val="nil"/>
              <w:right w:val="nil"/>
            </w:tcBorders>
            <w:shd w:val="clear" w:color="auto" w:fill="auto"/>
            <w:vAlign w:val="bottom"/>
          </w:tcPr>
          <w:p w14:paraId="4F00459D" w14:textId="1FCEE460" w:rsidR="006B1BD1" w:rsidRPr="00226892" w:rsidRDefault="006B1BD1"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47</w:t>
            </w:r>
          </w:p>
        </w:tc>
        <w:tc>
          <w:tcPr>
            <w:tcW w:w="101" w:type="pct"/>
            <w:tcBorders>
              <w:top w:val="nil"/>
              <w:left w:val="nil"/>
              <w:bottom w:val="nil"/>
              <w:right w:val="nil"/>
            </w:tcBorders>
            <w:shd w:val="clear" w:color="auto" w:fill="auto"/>
            <w:vAlign w:val="bottom"/>
          </w:tcPr>
          <w:p w14:paraId="587B879A"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816" w:type="pct"/>
            <w:tcBorders>
              <w:top w:val="nil"/>
              <w:left w:val="nil"/>
              <w:bottom w:val="nil"/>
              <w:right w:val="nil"/>
            </w:tcBorders>
            <w:shd w:val="clear" w:color="auto" w:fill="auto"/>
            <w:vAlign w:val="bottom"/>
          </w:tcPr>
          <w:p w14:paraId="160E0A8C" w14:textId="0DF553E6" w:rsidR="006B1BD1" w:rsidRPr="00226892" w:rsidRDefault="005F26CD"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44" w:type="pct"/>
            <w:tcBorders>
              <w:top w:val="nil"/>
              <w:left w:val="nil"/>
              <w:bottom w:val="nil"/>
              <w:right w:val="nil"/>
            </w:tcBorders>
            <w:shd w:val="clear" w:color="auto" w:fill="auto"/>
            <w:vAlign w:val="bottom"/>
          </w:tcPr>
          <w:p w14:paraId="33B74A0B"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939" w:type="pct"/>
            <w:tcBorders>
              <w:top w:val="nil"/>
              <w:left w:val="nil"/>
              <w:bottom w:val="nil"/>
              <w:right w:val="nil"/>
            </w:tcBorders>
            <w:shd w:val="clear" w:color="auto" w:fill="auto"/>
            <w:vAlign w:val="bottom"/>
          </w:tcPr>
          <w:p w14:paraId="19A04FC8" w14:textId="627DCD59" w:rsidR="006B1BD1" w:rsidRPr="00226892" w:rsidRDefault="005F26CD"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82</w:t>
            </w:r>
          </w:p>
        </w:tc>
        <w:tc>
          <w:tcPr>
            <w:tcW w:w="91" w:type="pct"/>
            <w:tcBorders>
              <w:top w:val="nil"/>
              <w:left w:val="nil"/>
              <w:bottom w:val="nil"/>
              <w:right w:val="nil"/>
            </w:tcBorders>
            <w:shd w:val="clear" w:color="auto" w:fill="auto"/>
            <w:vAlign w:val="bottom"/>
          </w:tcPr>
          <w:p w14:paraId="36215F95"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712" w:type="pct"/>
            <w:tcBorders>
              <w:top w:val="nil"/>
              <w:left w:val="nil"/>
              <w:bottom w:val="nil"/>
              <w:right w:val="nil"/>
            </w:tcBorders>
            <w:shd w:val="clear" w:color="auto" w:fill="auto"/>
            <w:vAlign w:val="bottom"/>
          </w:tcPr>
          <w:p w14:paraId="395CAC40" w14:textId="70621465" w:rsidR="006B1BD1" w:rsidRPr="00226892" w:rsidRDefault="006B1BD1" w:rsidP="006B1BD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129</w:t>
            </w:r>
          </w:p>
        </w:tc>
      </w:tr>
      <w:tr w:rsidR="006B1BD1" w:rsidRPr="00226892" w14:paraId="1F2D88BE" w14:textId="77777777" w:rsidTr="00756C6D">
        <w:trPr>
          <w:trHeight w:val="227"/>
        </w:trPr>
        <w:tc>
          <w:tcPr>
            <w:tcW w:w="1389" w:type="pct"/>
            <w:tcBorders>
              <w:top w:val="nil"/>
              <w:left w:val="nil"/>
              <w:bottom w:val="nil"/>
              <w:right w:val="nil"/>
            </w:tcBorders>
            <w:shd w:val="clear" w:color="auto" w:fill="auto"/>
            <w:vAlign w:val="bottom"/>
            <w:hideMark/>
          </w:tcPr>
          <w:p w14:paraId="0BF6887C" w14:textId="77777777" w:rsidR="006B1BD1" w:rsidRPr="00226892" w:rsidRDefault="006B1BD1" w:rsidP="006B1BD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Ostatné výnosy </w:t>
            </w:r>
          </w:p>
        </w:tc>
        <w:tc>
          <w:tcPr>
            <w:tcW w:w="809" w:type="pct"/>
            <w:tcBorders>
              <w:top w:val="nil"/>
              <w:left w:val="nil"/>
              <w:bottom w:val="nil"/>
              <w:right w:val="nil"/>
            </w:tcBorders>
            <w:shd w:val="clear" w:color="auto" w:fill="auto"/>
            <w:vAlign w:val="bottom"/>
          </w:tcPr>
          <w:p w14:paraId="0BDEB3AC" w14:textId="7DB547F2" w:rsidR="006B1BD1" w:rsidRPr="00226892" w:rsidRDefault="006B1BD1"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6</w:t>
            </w:r>
          </w:p>
        </w:tc>
        <w:tc>
          <w:tcPr>
            <w:tcW w:w="101" w:type="pct"/>
            <w:tcBorders>
              <w:top w:val="nil"/>
              <w:left w:val="nil"/>
              <w:bottom w:val="nil"/>
              <w:right w:val="nil"/>
            </w:tcBorders>
            <w:shd w:val="clear" w:color="auto" w:fill="auto"/>
            <w:vAlign w:val="bottom"/>
          </w:tcPr>
          <w:p w14:paraId="799F90EB"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816" w:type="pct"/>
            <w:tcBorders>
              <w:top w:val="nil"/>
              <w:left w:val="nil"/>
              <w:bottom w:val="nil"/>
              <w:right w:val="nil"/>
            </w:tcBorders>
            <w:shd w:val="clear" w:color="auto" w:fill="auto"/>
            <w:vAlign w:val="bottom"/>
          </w:tcPr>
          <w:p w14:paraId="7987737D" w14:textId="17A063B7" w:rsidR="006B1BD1" w:rsidRPr="00226892" w:rsidRDefault="005F26CD"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44" w:type="pct"/>
            <w:tcBorders>
              <w:top w:val="nil"/>
              <w:left w:val="nil"/>
              <w:bottom w:val="nil"/>
              <w:right w:val="nil"/>
            </w:tcBorders>
            <w:shd w:val="clear" w:color="auto" w:fill="auto"/>
            <w:vAlign w:val="bottom"/>
          </w:tcPr>
          <w:p w14:paraId="5C6686CF"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939" w:type="pct"/>
            <w:tcBorders>
              <w:top w:val="nil"/>
              <w:left w:val="nil"/>
              <w:bottom w:val="nil"/>
              <w:right w:val="nil"/>
            </w:tcBorders>
            <w:shd w:val="clear" w:color="auto" w:fill="auto"/>
            <w:vAlign w:val="bottom"/>
          </w:tcPr>
          <w:p w14:paraId="644E8B8A" w14:textId="3A4E6098" w:rsidR="006B1BD1" w:rsidRPr="00226892" w:rsidRDefault="005F26CD"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74</w:t>
            </w:r>
          </w:p>
        </w:tc>
        <w:tc>
          <w:tcPr>
            <w:tcW w:w="91" w:type="pct"/>
            <w:tcBorders>
              <w:top w:val="nil"/>
              <w:left w:val="nil"/>
              <w:bottom w:val="nil"/>
              <w:right w:val="nil"/>
            </w:tcBorders>
            <w:shd w:val="clear" w:color="auto" w:fill="auto"/>
            <w:vAlign w:val="bottom"/>
          </w:tcPr>
          <w:p w14:paraId="344C0CE4"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712" w:type="pct"/>
            <w:tcBorders>
              <w:top w:val="nil"/>
              <w:left w:val="nil"/>
              <w:bottom w:val="nil"/>
              <w:right w:val="nil"/>
            </w:tcBorders>
            <w:shd w:val="clear" w:color="auto" w:fill="auto"/>
            <w:vAlign w:val="bottom"/>
          </w:tcPr>
          <w:p w14:paraId="649765E9" w14:textId="184C75FC" w:rsidR="006B1BD1" w:rsidRPr="00226892" w:rsidRDefault="006B1BD1" w:rsidP="006B1BD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80</w:t>
            </w:r>
          </w:p>
        </w:tc>
      </w:tr>
      <w:tr w:rsidR="006B1BD1" w:rsidRPr="00226892" w14:paraId="2A0E9868" w14:textId="77777777" w:rsidTr="00756C6D">
        <w:trPr>
          <w:trHeight w:val="227"/>
        </w:trPr>
        <w:tc>
          <w:tcPr>
            <w:tcW w:w="1389" w:type="pct"/>
            <w:tcBorders>
              <w:top w:val="nil"/>
              <w:left w:val="nil"/>
              <w:bottom w:val="nil"/>
              <w:right w:val="nil"/>
            </w:tcBorders>
            <w:shd w:val="clear" w:color="auto" w:fill="auto"/>
            <w:vAlign w:val="bottom"/>
            <w:hideMark/>
          </w:tcPr>
          <w:p w14:paraId="30E3A67C" w14:textId="77777777" w:rsidR="006B1BD1" w:rsidRPr="00226892" w:rsidRDefault="006B1BD1" w:rsidP="006B1BD1">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 Spolu predaj </w:t>
            </w:r>
          </w:p>
        </w:tc>
        <w:tc>
          <w:tcPr>
            <w:tcW w:w="809" w:type="pct"/>
            <w:tcBorders>
              <w:top w:val="single" w:sz="4" w:space="0" w:color="auto"/>
              <w:left w:val="nil"/>
              <w:bottom w:val="double" w:sz="6" w:space="0" w:color="auto"/>
              <w:right w:val="nil"/>
            </w:tcBorders>
            <w:shd w:val="clear" w:color="auto" w:fill="auto"/>
            <w:vAlign w:val="bottom"/>
          </w:tcPr>
          <w:p w14:paraId="2876A523" w14:textId="4E167197" w:rsidR="006B1BD1" w:rsidRPr="00226892" w:rsidRDefault="006B1BD1" w:rsidP="006B1BD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738</w:t>
            </w:r>
          </w:p>
        </w:tc>
        <w:tc>
          <w:tcPr>
            <w:tcW w:w="101" w:type="pct"/>
            <w:tcBorders>
              <w:top w:val="nil"/>
              <w:left w:val="nil"/>
              <w:bottom w:val="nil"/>
              <w:right w:val="nil"/>
            </w:tcBorders>
            <w:shd w:val="clear" w:color="auto" w:fill="auto"/>
            <w:vAlign w:val="bottom"/>
          </w:tcPr>
          <w:p w14:paraId="6AA9EB21" w14:textId="77777777" w:rsidR="006B1BD1" w:rsidRPr="00226892" w:rsidRDefault="006B1BD1" w:rsidP="006B1BD1">
            <w:pPr>
              <w:jc w:val="right"/>
              <w:rPr>
                <w:rFonts w:ascii="Arial" w:eastAsia="Times New Roman" w:hAnsi="Arial" w:cs="Arial"/>
                <w:b/>
                <w:bCs/>
                <w:color w:val="000000"/>
                <w:sz w:val="18"/>
                <w:szCs w:val="18"/>
                <w:lang w:val="sk-SK" w:eastAsia="sk-SK"/>
              </w:rPr>
            </w:pPr>
          </w:p>
        </w:tc>
        <w:tc>
          <w:tcPr>
            <w:tcW w:w="816" w:type="pct"/>
            <w:tcBorders>
              <w:top w:val="single" w:sz="4" w:space="0" w:color="auto"/>
              <w:left w:val="nil"/>
              <w:bottom w:val="double" w:sz="6" w:space="0" w:color="auto"/>
              <w:right w:val="nil"/>
            </w:tcBorders>
            <w:shd w:val="clear" w:color="auto" w:fill="auto"/>
            <w:vAlign w:val="bottom"/>
          </w:tcPr>
          <w:p w14:paraId="13AE52C4" w14:textId="7F1E300E" w:rsidR="006B1BD1" w:rsidRPr="00226892" w:rsidRDefault="005F26CD" w:rsidP="006B1BD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w:t>
            </w:r>
          </w:p>
        </w:tc>
        <w:tc>
          <w:tcPr>
            <w:tcW w:w="144" w:type="pct"/>
            <w:tcBorders>
              <w:top w:val="nil"/>
              <w:left w:val="nil"/>
              <w:bottom w:val="nil"/>
              <w:right w:val="nil"/>
            </w:tcBorders>
            <w:shd w:val="clear" w:color="auto" w:fill="auto"/>
            <w:vAlign w:val="bottom"/>
          </w:tcPr>
          <w:p w14:paraId="21A9F3C2" w14:textId="77777777" w:rsidR="006B1BD1" w:rsidRPr="00226892" w:rsidRDefault="006B1BD1" w:rsidP="006B1BD1">
            <w:pPr>
              <w:jc w:val="right"/>
              <w:rPr>
                <w:rFonts w:ascii="Arial" w:eastAsia="Times New Roman" w:hAnsi="Arial" w:cs="Arial"/>
                <w:b/>
                <w:bCs/>
                <w:color w:val="000000"/>
                <w:sz w:val="18"/>
                <w:szCs w:val="18"/>
                <w:lang w:val="sk-SK" w:eastAsia="sk-SK"/>
              </w:rPr>
            </w:pPr>
          </w:p>
        </w:tc>
        <w:tc>
          <w:tcPr>
            <w:tcW w:w="939" w:type="pct"/>
            <w:tcBorders>
              <w:top w:val="single" w:sz="4" w:space="0" w:color="auto"/>
              <w:left w:val="nil"/>
              <w:bottom w:val="double" w:sz="6" w:space="0" w:color="auto"/>
              <w:right w:val="nil"/>
            </w:tcBorders>
            <w:shd w:val="clear" w:color="auto" w:fill="auto"/>
            <w:vAlign w:val="bottom"/>
          </w:tcPr>
          <w:p w14:paraId="0FF9290E" w14:textId="3EFFA218" w:rsidR="006B1BD1" w:rsidRPr="00226892" w:rsidRDefault="006B1BD1" w:rsidP="006B1BD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1 7</w:t>
            </w:r>
            <w:r w:rsidR="005F26CD" w:rsidRPr="00226892">
              <w:rPr>
                <w:rFonts w:ascii="Arial" w:eastAsia="Times New Roman" w:hAnsi="Arial" w:cs="Arial"/>
                <w:b/>
                <w:bCs/>
                <w:color w:val="000000"/>
                <w:sz w:val="18"/>
                <w:szCs w:val="18"/>
                <w:lang w:val="sk-SK" w:eastAsia="sk-SK"/>
              </w:rPr>
              <w:t>74</w:t>
            </w:r>
          </w:p>
        </w:tc>
        <w:tc>
          <w:tcPr>
            <w:tcW w:w="91" w:type="pct"/>
            <w:tcBorders>
              <w:top w:val="nil"/>
              <w:left w:val="nil"/>
              <w:bottom w:val="nil"/>
              <w:right w:val="nil"/>
            </w:tcBorders>
            <w:shd w:val="clear" w:color="auto" w:fill="auto"/>
            <w:vAlign w:val="bottom"/>
          </w:tcPr>
          <w:p w14:paraId="64A8ADD0" w14:textId="77777777" w:rsidR="006B1BD1" w:rsidRPr="00226892" w:rsidRDefault="006B1BD1" w:rsidP="006B1BD1">
            <w:pPr>
              <w:jc w:val="right"/>
              <w:rPr>
                <w:rFonts w:ascii="Arial" w:eastAsia="Times New Roman" w:hAnsi="Arial" w:cs="Arial"/>
                <w:b/>
                <w:bCs/>
                <w:color w:val="000000"/>
                <w:sz w:val="18"/>
                <w:szCs w:val="18"/>
                <w:lang w:val="sk-SK" w:eastAsia="sk-SK"/>
              </w:rPr>
            </w:pPr>
          </w:p>
        </w:tc>
        <w:tc>
          <w:tcPr>
            <w:tcW w:w="712" w:type="pct"/>
            <w:tcBorders>
              <w:top w:val="single" w:sz="4" w:space="0" w:color="auto"/>
              <w:left w:val="nil"/>
              <w:bottom w:val="double" w:sz="6" w:space="0" w:color="auto"/>
              <w:right w:val="nil"/>
            </w:tcBorders>
            <w:shd w:val="clear" w:color="auto" w:fill="auto"/>
            <w:vAlign w:val="bottom"/>
          </w:tcPr>
          <w:p w14:paraId="3620F974" w14:textId="7B9122AA" w:rsidR="006B1BD1" w:rsidRPr="00226892" w:rsidRDefault="006B1BD1" w:rsidP="006B1BD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2 512</w:t>
            </w:r>
          </w:p>
        </w:tc>
      </w:tr>
      <w:tr w:rsidR="006B1BD1" w:rsidRPr="00226892" w14:paraId="38CACB4D" w14:textId="77777777" w:rsidTr="00756C6D">
        <w:trPr>
          <w:trHeight w:val="227"/>
        </w:trPr>
        <w:tc>
          <w:tcPr>
            <w:tcW w:w="1389" w:type="pct"/>
            <w:tcBorders>
              <w:top w:val="nil"/>
              <w:left w:val="nil"/>
              <w:bottom w:val="nil"/>
              <w:right w:val="nil"/>
            </w:tcBorders>
            <w:shd w:val="clear" w:color="auto" w:fill="auto"/>
            <w:vAlign w:val="bottom"/>
            <w:hideMark/>
          </w:tcPr>
          <w:p w14:paraId="0CF98947" w14:textId="77777777" w:rsidR="006B1BD1" w:rsidRPr="00226892" w:rsidRDefault="006B1BD1" w:rsidP="006B1BD1">
            <w:pPr>
              <w:rPr>
                <w:rFonts w:ascii="Arial" w:eastAsia="Times New Roman" w:hAnsi="Arial" w:cs="Arial"/>
                <w:b/>
                <w:bCs/>
                <w:color w:val="000000"/>
                <w:sz w:val="16"/>
                <w:szCs w:val="16"/>
                <w:lang w:val="sk-SK" w:eastAsia="sk-SK"/>
              </w:rPr>
            </w:pPr>
          </w:p>
        </w:tc>
        <w:tc>
          <w:tcPr>
            <w:tcW w:w="809" w:type="pct"/>
            <w:tcBorders>
              <w:top w:val="nil"/>
              <w:left w:val="nil"/>
              <w:bottom w:val="nil"/>
              <w:right w:val="nil"/>
            </w:tcBorders>
            <w:shd w:val="clear" w:color="auto" w:fill="auto"/>
            <w:vAlign w:val="bottom"/>
          </w:tcPr>
          <w:p w14:paraId="5C1424CF" w14:textId="77777777" w:rsidR="006B1BD1" w:rsidRPr="00226892" w:rsidRDefault="006B1BD1" w:rsidP="006B1BD1">
            <w:pPr>
              <w:jc w:val="right"/>
              <w:rPr>
                <w:rFonts w:ascii="Arial" w:eastAsia="Times New Roman" w:hAnsi="Arial" w:cs="Arial"/>
                <w:sz w:val="18"/>
                <w:szCs w:val="18"/>
                <w:lang w:val="sk-SK" w:eastAsia="sk-SK"/>
              </w:rPr>
            </w:pPr>
          </w:p>
        </w:tc>
        <w:tc>
          <w:tcPr>
            <w:tcW w:w="101" w:type="pct"/>
            <w:tcBorders>
              <w:top w:val="nil"/>
              <w:left w:val="nil"/>
              <w:bottom w:val="nil"/>
              <w:right w:val="nil"/>
            </w:tcBorders>
            <w:shd w:val="clear" w:color="auto" w:fill="auto"/>
            <w:vAlign w:val="bottom"/>
          </w:tcPr>
          <w:p w14:paraId="0BD50600" w14:textId="77777777" w:rsidR="006B1BD1" w:rsidRPr="00226892" w:rsidRDefault="006B1BD1" w:rsidP="006B1BD1">
            <w:pPr>
              <w:jc w:val="right"/>
              <w:rPr>
                <w:rFonts w:ascii="Arial" w:eastAsia="Times New Roman" w:hAnsi="Arial" w:cs="Arial"/>
                <w:sz w:val="18"/>
                <w:szCs w:val="18"/>
                <w:lang w:val="sk-SK" w:eastAsia="sk-SK"/>
              </w:rPr>
            </w:pPr>
          </w:p>
        </w:tc>
        <w:tc>
          <w:tcPr>
            <w:tcW w:w="816" w:type="pct"/>
            <w:tcBorders>
              <w:top w:val="nil"/>
              <w:left w:val="nil"/>
              <w:bottom w:val="nil"/>
              <w:right w:val="nil"/>
            </w:tcBorders>
            <w:shd w:val="clear" w:color="auto" w:fill="auto"/>
            <w:vAlign w:val="bottom"/>
          </w:tcPr>
          <w:p w14:paraId="0653D797" w14:textId="77777777" w:rsidR="006B1BD1" w:rsidRPr="00226892" w:rsidRDefault="006B1BD1" w:rsidP="006B1BD1">
            <w:pPr>
              <w:jc w:val="right"/>
              <w:rPr>
                <w:rFonts w:ascii="Arial" w:eastAsia="Times New Roman" w:hAnsi="Arial" w:cs="Arial"/>
                <w:sz w:val="18"/>
                <w:szCs w:val="18"/>
                <w:lang w:val="sk-SK" w:eastAsia="sk-SK"/>
              </w:rPr>
            </w:pPr>
          </w:p>
        </w:tc>
        <w:tc>
          <w:tcPr>
            <w:tcW w:w="144" w:type="pct"/>
            <w:tcBorders>
              <w:top w:val="nil"/>
              <w:left w:val="nil"/>
              <w:bottom w:val="nil"/>
              <w:right w:val="nil"/>
            </w:tcBorders>
            <w:shd w:val="clear" w:color="auto" w:fill="auto"/>
            <w:vAlign w:val="bottom"/>
          </w:tcPr>
          <w:p w14:paraId="59826810" w14:textId="77777777" w:rsidR="006B1BD1" w:rsidRPr="00226892" w:rsidRDefault="006B1BD1" w:rsidP="006B1BD1">
            <w:pPr>
              <w:jc w:val="right"/>
              <w:rPr>
                <w:rFonts w:ascii="Arial" w:eastAsia="Times New Roman" w:hAnsi="Arial" w:cs="Arial"/>
                <w:sz w:val="18"/>
                <w:szCs w:val="18"/>
                <w:lang w:val="sk-SK" w:eastAsia="sk-SK"/>
              </w:rPr>
            </w:pPr>
          </w:p>
        </w:tc>
        <w:tc>
          <w:tcPr>
            <w:tcW w:w="939" w:type="pct"/>
            <w:tcBorders>
              <w:top w:val="nil"/>
              <w:left w:val="nil"/>
              <w:bottom w:val="nil"/>
              <w:right w:val="nil"/>
            </w:tcBorders>
            <w:shd w:val="clear" w:color="auto" w:fill="auto"/>
            <w:vAlign w:val="bottom"/>
          </w:tcPr>
          <w:p w14:paraId="7ADF0E18" w14:textId="77777777" w:rsidR="006B1BD1" w:rsidRPr="00226892" w:rsidRDefault="006B1BD1" w:rsidP="006B1BD1">
            <w:pPr>
              <w:jc w:val="right"/>
              <w:rPr>
                <w:rFonts w:ascii="Arial" w:eastAsia="Times New Roman" w:hAnsi="Arial" w:cs="Arial"/>
                <w:sz w:val="18"/>
                <w:szCs w:val="18"/>
                <w:lang w:val="sk-SK" w:eastAsia="sk-SK"/>
              </w:rPr>
            </w:pPr>
          </w:p>
        </w:tc>
        <w:tc>
          <w:tcPr>
            <w:tcW w:w="91" w:type="pct"/>
            <w:tcBorders>
              <w:top w:val="nil"/>
              <w:left w:val="nil"/>
              <w:bottom w:val="nil"/>
              <w:right w:val="nil"/>
            </w:tcBorders>
            <w:shd w:val="clear" w:color="auto" w:fill="auto"/>
            <w:vAlign w:val="bottom"/>
          </w:tcPr>
          <w:p w14:paraId="5A2C9837" w14:textId="77777777" w:rsidR="006B1BD1" w:rsidRPr="00226892" w:rsidRDefault="006B1BD1" w:rsidP="006B1BD1">
            <w:pPr>
              <w:jc w:val="right"/>
              <w:rPr>
                <w:rFonts w:ascii="Arial" w:eastAsia="Times New Roman" w:hAnsi="Arial" w:cs="Arial"/>
                <w:sz w:val="18"/>
                <w:szCs w:val="18"/>
                <w:lang w:val="sk-SK" w:eastAsia="sk-SK"/>
              </w:rPr>
            </w:pPr>
          </w:p>
        </w:tc>
        <w:tc>
          <w:tcPr>
            <w:tcW w:w="712" w:type="pct"/>
            <w:tcBorders>
              <w:top w:val="nil"/>
              <w:left w:val="nil"/>
              <w:bottom w:val="nil"/>
              <w:right w:val="nil"/>
            </w:tcBorders>
            <w:shd w:val="clear" w:color="auto" w:fill="auto"/>
            <w:vAlign w:val="bottom"/>
          </w:tcPr>
          <w:p w14:paraId="7BD86C97" w14:textId="77777777" w:rsidR="006B1BD1" w:rsidRPr="00226892" w:rsidRDefault="006B1BD1" w:rsidP="006B1BD1">
            <w:pPr>
              <w:jc w:val="right"/>
              <w:rPr>
                <w:rFonts w:ascii="Arial" w:eastAsia="Times New Roman" w:hAnsi="Arial" w:cs="Arial"/>
                <w:sz w:val="18"/>
                <w:szCs w:val="18"/>
                <w:lang w:val="sk-SK" w:eastAsia="sk-SK"/>
              </w:rPr>
            </w:pPr>
          </w:p>
        </w:tc>
      </w:tr>
      <w:tr w:rsidR="006B1BD1" w:rsidRPr="00226892" w14:paraId="295102E5" w14:textId="77777777" w:rsidTr="00756C6D">
        <w:trPr>
          <w:trHeight w:val="227"/>
        </w:trPr>
        <w:tc>
          <w:tcPr>
            <w:tcW w:w="1389" w:type="pct"/>
            <w:tcBorders>
              <w:top w:val="nil"/>
              <w:left w:val="nil"/>
              <w:bottom w:val="nil"/>
              <w:right w:val="nil"/>
            </w:tcBorders>
            <w:shd w:val="clear" w:color="auto" w:fill="auto"/>
            <w:vAlign w:val="bottom"/>
            <w:hideMark/>
          </w:tcPr>
          <w:p w14:paraId="193C89B1" w14:textId="1B46E924" w:rsidR="006B1BD1" w:rsidRPr="00226892" w:rsidRDefault="006B1BD1" w:rsidP="006B1BD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Nákup zásob </w:t>
            </w:r>
          </w:p>
        </w:tc>
        <w:tc>
          <w:tcPr>
            <w:tcW w:w="809" w:type="pct"/>
            <w:tcBorders>
              <w:top w:val="nil"/>
              <w:left w:val="nil"/>
              <w:bottom w:val="nil"/>
              <w:right w:val="nil"/>
            </w:tcBorders>
            <w:shd w:val="clear" w:color="auto" w:fill="auto"/>
            <w:vAlign w:val="bottom"/>
          </w:tcPr>
          <w:p w14:paraId="427B19E7" w14:textId="09EBC4FA" w:rsidR="006B1BD1" w:rsidRPr="00226892" w:rsidRDefault="006B1BD1"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01" w:type="pct"/>
            <w:tcBorders>
              <w:top w:val="nil"/>
              <w:left w:val="nil"/>
              <w:bottom w:val="nil"/>
              <w:right w:val="nil"/>
            </w:tcBorders>
            <w:shd w:val="clear" w:color="auto" w:fill="auto"/>
            <w:vAlign w:val="bottom"/>
          </w:tcPr>
          <w:p w14:paraId="079D7B27"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816" w:type="pct"/>
            <w:tcBorders>
              <w:top w:val="nil"/>
              <w:left w:val="nil"/>
              <w:bottom w:val="nil"/>
              <w:right w:val="nil"/>
            </w:tcBorders>
            <w:shd w:val="clear" w:color="auto" w:fill="auto"/>
            <w:vAlign w:val="bottom"/>
          </w:tcPr>
          <w:p w14:paraId="3F8A3E8A" w14:textId="44267B5A" w:rsidR="006B1BD1" w:rsidRPr="00226892" w:rsidRDefault="005F26CD"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44" w:type="pct"/>
            <w:tcBorders>
              <w:top w:val="nil"/>
              <w:left w:val="nil"/>
              <w:bottom w:val="nil"/>
              <w:right w:val="nil"/>
            </w:tcBorders>
            <w:shd w:val="clear" w:color="auto" w:fill="auto"/>
            <w:vAlign w:val="bottom"/>
          </w:tcPr>
          <w:p w14:paraId="358E16E4"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939" w:type="pct"/>
            <w:tcBorders>
              <w:top w:val="nil"/>
              <w:left w:val="nil"/>
              <w:bottom w:val="nil"/>
              <w:right w:val="nil"/>
            </w:tcBorders>
            <w:shd w:val="clear" w:color="auto" w:fill="auto"/>
            <w:vAlign w:val="bottom"/>
          </w:tcPr>
          <w:p w14:paraId="2710EBBE" w14:textId="0704BCC4" w:rsidR="006B1BD1" w:rsidRPr="00226892" w:rsidRDefault="006B1BD1"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271</w:t>
            </w:r>
          </w:p>
        </w:tc>
        <w:tc>
          <w:tcPr>
            <w:tcW w:w="91" w:type="pct"/>
            <w:tcBorders>
              <w:top w:val="nil"/>
              <w:left w:val="nil"/>
              <w:bottom w:val="nil"/>
              <w:right w:val="nil"/>
            </w:tcBorders>
            <w:shd w:val="clear" w:color="auto" w:fill="auto"/>
            <w:vAlign w:val="bottom"/>
          </w:tcPr>
          <w:p w14:paraId="4F30935E"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712" w:type="pct"/>
            <w:tcBorders>
              <w:top w:val="nil"/>
              <w:left w:val="nil"/>
              <w:bottom w:val="nil"/>
              <w:right w:val="nil"/>
            </w:tcBorders>
            <w:shd w:val="clear" w:color="auto" w:fill="auto"/>
            <w:vAlign w:val="bottom"/>
          </w:tcPr>
          <w:p w14:paraId="15925198" w14:textId="5BCA50BE" w:rsidR="006B1BD1" w:rsidRPr="00226892" w:rsidRDefault="006B1BD1" w:rsidP="006B1BD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271</w:t>
            </w:r>
          </w:p>
        </w:tc>
      </w:tr>
      <w:tr w:rsidR="006B1BD1" w:rsidRPr="00226892" w14:paraId="19021751" w14:textId="77777777" w:rsidTr="00756C6D">
        <w:trPr>
          <w:trHeight w:val="227"/>
        </w:trPr>
        <w:tc>
          <w:tcPr>
            <w:tcW w:w="1389" w:type="pct"/>
            <w:tcBorders>
              <w:top w:val="nil"/>
              <w:left w:val="nil"/>
              <w:bottom w:val="nil"/>
              <w:right w:val="nil"/>
            </w:tcBorders>
            <w:shd w:val="clear" w:color="auto" w:fill="auto"/>
            <w:vAlign w:val="bottom"/>
            <w:hideMark/>
          </w:tcPr>
          <w:p w14:paraId="23E8DA65" w14:textId="77777777" w:rsidR="006B1BD1" w:rsidRPr="00226892" w:rsidRDefault="006B1BD1" w:rsidP="006B1BD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Nákup služieb </w:t>
            </w:r>
          </w:p>
        </w:tc>
        <w:tc>
          <w:tcPr>
            <w:tcW w:w="809" w:type="pct"/>
            <w:tcBorders>
              <w:top w:val="nil"/>
              <w:left w:val="nil"/>
              <w:bottom w:val="nil"/>
              <w:right w:val="nil"/>
            </w:tcBorders>
            <w:shd w:val="clear" w:color="auto" w:fill="auto"/>
            <w:vAlign w:val="bottom"/>
          </w:tcPr>
          <w:p w14:paraId="370F07F1" w14:textId="7B8862EF" w:rsidR="006B1BD1" w:rsidRPr="00226892" w:rsidRDefault="006B1BD1"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3 027</w:t>
            </w:r>
          </w:p>
        </w:tc>
        <w:tc>
          <w:tcPr>
            <w:tcW w:w="101" w:type="pct"/>
            <w:tcBorders>
              <w:top w:val="nil"/>
              <w:left w:val="nil"/>
              <w:bottom w:val="nil"/>
              <w:right w:val="nil"/>
            </w:tcBorders>
            <w:shd w:val="clear" w:color="auto" w:fill="auto"/>
            <w:vAlign w:val="bottom"/>
          </w:tcPr>
          <w:p w14:paraId="56B08BAE"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816" w:type="pct"/>
            <w:tcBorders>
              <w:top w:val="nil"/>
              <w:left w:val="nil"/>
              <w:bottom w:val="nil"/>
              <w:right w:val="nil"/>
            </w:tcBorders>
            <w:shd w:val="clear" w:color="auto" w:fill="auto"/>
            <w:vAlign w:val="bottom"/>
          </w:tcPr>
          <w:p w14:paraId="4DEB77F7" w14:textId="135705B0" w:rsidR="006B1BD1" w:rsidRPr="00226892" w:rsidRDefault="005F26CD"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44" w:type="pct"/>
            <w:tcBorders>
              <w:top w:val="nil"/>
              <w:left w:val="nil"/>
              <w:bottom w:val="nil"/>
              <w:right w:val="nil"/>
            </w:tcBorders>
            <w:shd w:val="clear" w:color="auto" w:fill="auto"/>
            <w:vAlign w:val="bottom"/>
          </w:tcPr>
          <w:p w14:paraId="5D660BD5"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939" w:type="pct"/>
            <w:tcBorders>
              <w:top w:val="nil"/>
              <w:left w:val="nil"/>
              <w:bottom w:val="nil"/>
              <w:right w:val="nil"/>
            </w:tcBorders>
            <w:shd w:val="clear" w:color="auto" w:fill="auto"/>
            <w:vAlign w:val="bottom"/>
          </w:tcPr>
          <w:p w14:paraId="2EE0C0B3" w14:textId="199B646D" w:rsidR="006B1BD1" w:rsidRPr="00226892" w:rsidRDefault="005F26CD"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3 563</w:t>
            </w:r>
          </w:p>
        </w:tc>
        <w:tc>
          <w:tcPr>
            <w:tcW w:w="91" w:type="pct"/>
            <w:tcBorders>
              <w:top w:val="nil"/>
              <w:left w:val="nil"/>
              <w:bottom w:val="nil"/>
              <w:right w:val="nil"/>
            </w:tcBorders>
            <w:shd w:val="clear" w:color="auto" w:fill="auto"/>
            <w:vAlign w:val="bottom"/>
          </w:tcPr>
          <w:p w14:paraId="7F4D5017"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712" w:type="pct"/>
            <w:tcBorders>
              <w:top w:val="nil"/>
              <w:left w:val="nil"/>
              <w:bottom w:val="nil"/>
              <w:right w:val="nil"/>
            </w:tcBorders>
            <w:shd w:val="clear" w:color="auto" w:fill="auto"/>
            <w:vAlign w:val="bottom"/>
          </w:tcPr>
          <w:p w14:paraId="540683FB" w14:textId="288A01FE" w:rsidR="006B1BD1" w:rsidRPr="00226892" w:rsidRDefault="006B1BD1" w:rsidP="006B1BD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6 590</w:t>
            </w:r>
          </w:p>
        </w:tc>
      </w:tr>
      <w:tr w:rsidR="006B1BD1" w:rsidRPr="00226892" w14:paraId="3C5DF698" w14:textId="77777777" w:rsidTr="00756C6D">
        <w:trPr>
          <w:trHeight w:val="227"/>
        </w:trPr>
        <w:tc>
          <w:tcPr>
            <w:tcW w:w="1389" w:type="pct"/>
            <w:tcBorders>
              <w:top w:val="nil"/>
              <w:left w:val="nil"/>
              <w:bottom w:val="nil"/>
              <w:right w:val="nil"/>
            </w:tcBorders>
            <w:shd w:val="clear" w:color="auto" w:fill="auto"/>
            <w:vAlign w:val="bottom"/>
            <w:hideMark/>
          </w:tcPr>
          <w:p w14:paraId="00453DD2" w14:textId="3F2C9025" w:rsidR="006B1BD1" w:rsidRPr="00226892" w:rsidRDefault="006B1BD1" w:rsidP="006B1BD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Nákup nástrojov</w:t>
            </w:r>
          </w:p>
        </w:tc>
        <w:tc>
          <w:tcPr>
            <w:tcW w:w="809" w:type="pct"/>
            <w:tcBorders>
              <w:top w:val="nil"/>
              <w:left w:val="nil"/>
              <w:bottom w:val="nil"/>
              <w:right w:val="nil"/>
            </w:tcBorders>
            <w:shd w:val="clear" w:color="auto" w:fill="auto"/>
            <w:vAlign w:val="bottom"/>
          </w:tcPr>
          <w:p w14:paraId="7B614806" w14:textId="517B3162" w:rsidR="006B1BD1" w:rsidRPr="00226892" w:rsidRDefault="006B1BD1"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01" w:type="pct"/>
            <w:tcBorders>
              <w:top w:val="nil"/>
              <w:left w:val="nil"/>
              <w:bottom w:val="nil"/>
              <w:right w:val="nil"/>
            </w:tcBorders>
            <w:shd w:val="clear" w:color="auto" w:fill="auto"/>
            <w:vAlign w:val="bottom"/>
          </w:tcPr>
          <w:p w14:paraId="5E150ADC"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816" w:type="pct"/>
            <w:tcBorders>
              <w:top w:val="nil"/>
              <w:left w:val="nil"/>
              <w:bottom w:val="nil"/>
              <w:right w:val="nil"/>
            </w:tcBorders>
            <w:shd w:val="clear" w:color="auto" w:fill="auto"/>
            <w:vAlign w:val="bottom"/>
          </w:tcPr>
          <w:p w14:paraId="684E8BBC" w14:textId="0C81EA30" w:rsidR="006B1BD1" w:rsidRPr="00226892" w:rsidRDefault="005F26CD"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44" w:type="pct"/>
            <w:tcBorders>
              <w:top w:val="nil"/>
              <w:left w:val="nil"/>
              <w:bottom w:val="nil"/>
              <w:right w:val="nil"/>
            </w:tcBorders>
            <w:shd w:val="clear" w:color="auto" w:fill="auto"/>
            <w:vAlign w:val="bottom"/>
          </w:tcPr>
          <w:p w14:paraId="2853A821"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939" w:type="pct"/>
            <w:tcBorders>
              <w:top w:val="nil"/>
              <w:left w:val="nil"/>
              <w:bottom w:val="nil"/>
              <w:right w:val="nil"/>
            </w:tcBorders>
            <w:shd w:val="clear" w:color="auto" w:fill="auto"/>
            <w:vAlign w:val="bottom"/>
          </w:tcPr>
          <w:p w14:paraId="2C65C4FE" w14:textId="06FED75B" w:rsidR="006B1BD1" w:rsidRPr="00226892" w:rsidRDefault="006B1BD1"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1 521</w:t>
            </w:r>
          </w:p>
        </w:tc>
        <w:tc>
          <w:tcPr>
            <w:tcW w:w="91" w:type="pct"/>
            <w:tcBorders>
              <w:top w:val="nil"/>
              <w:left w:val="nil"/>
              <w:bottom w:val="nil"/>
              <w:right w:val="nil"/>
            </w:tcBorders>
            <w:shd w:val="clear" w:color="auto" w:fill="auto"/>
            <w:vAlign w:val="bottom"/>
          </w:tcPr>
          <w:p w14:paraId="5743174B"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712" w:type="pct"/>
            <w:tcBorders>
              <w:top w:val="nil"/>
              <w:left w:val="nil"/>
              <w:bottom w:val="nil"/>
              <w:right w:val="nil"/>
            </w:tcBorders>
            <w:shd w:val="clear" w:color="auto" w:fill="auto"/>
            <w:vAlign w:val="bottom"/>
          </w:tcPr>
          <w:p w14:paraId="43E17BFA" w14:textId="79986C70" w:rsidR="006B1BD1" w:rsidRPr="00226892" w:rsidRDefault="006B1BD1" w:rsidP="006B1BD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1 521</w:t>
            </w:r>
          </w:p>
        </w:tc>
      </w:tr>
      <w:tr w:rsidR="006B1BD1" w:rsidRPr="00226892" w14:paraId="60EFDCAB" w14:textId="77777777" w:rsidTr="00756C6D">
        <w:trPr>
          <w:trHeight w:val="227"/>
        </w:trPr>
        <w:tc>
          <w:tcPr>
            <w:tcW w:w="1389" w:type="pct"/>
            <w:tcBorders>
              <w:top w:val="nil"/>
              <w:left w:val="nil"/>
              <w:bottom w:val="nil"/>
              <w:right w:val="nil"/>
            </w:tcBorders>
            <w:shd w:val="clear" w:color="auto" w:fill="auto"/>
            <w:vAlign w:val="bottom"/>
            <w:hideMark/>
          </w:tcPr>
          <w:p w14:paraId="7BC9F7B6" w14:textId="54232F4E" w:rsidR="006B1BD1" w:rsidRPr="00226892" w:rsidRDefault="006B1BD1" w:rsidP="006B1BD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Nákup majetku </w:t>
            </w:r>
          </w:p>
        </w:tc>
        <w:tc>
          <w:tcPr>
            <w:tcW w:w="809" w:type="pct"/>
            <w:tcBorders>
              <w:top w:val="nil"/>
              <w:left w:val="nil"/>
              <w:bottom w:val="nil"/>
              <w:right w:val="nil"/>
            </w:tcBorders>
            <w:shd w:val="clear" w:color="auto" w:fill="auto"/>
            <w:vAlign w:val="bottom"/>
          </w:tcPr>
          <w:p w14:paraId="0E3100CC" w14:textId="6784EF3C" w:rsidR="006B1BD1" w:rsidRPr="00226892" w:rsidRDefault="006B1BD1"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01" w:type="pct"/>
            <w:tcBorders>
              <w:top w:val="nil"/>
              <w:left w:val="nil"/>
              <w:bottom w:val="nil"/>
              <w:right w:val="nil"/>
            </w:tcBorders>
            <w:shd w:val="clear" w:color="auto" w:fill="auto"/>
            <w:vAlign w:val="bottom"/>
          </w:tcPr>
          <w:p w14:paraId="08F8595F"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816" w:type="pct"/>
            <w:tcBorders>
              <w:top w:val="nil"/>
              <w:left w:val="nil"/>
              <w:bottom w:val="nil"/>
              <w:right w:val="nil"/>
            </w:tcBorders>
            <w:shd w:val="clear" w:color="auto" w:fill="auto"/>
            <w:vAlign w:val="bottom"/>
          </w:tcPr>
          <w:p w14:paraId="3A893B06" w14:textId="6F01DE38" w:rsidR="006B1BD1" w:rsidRPr="00226892" w:rsidRDefault="005F26CD"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144" w:type="pct"/>
            <w:tcBorders>
              <w:top w:val="nil"/>
              <w:left w:val="nil"/>
              <w:bottom w:val="nil"/>
              <w:right w:val="nil"/>
            </w:tcBorders>
            <w:shd w:val="clear" w:color="auto" w:fill="auto"/>
            <w:vAlign w:val="bottom"/>
          </w:tcPr>
          <w:p w14:paraId="3DAA20C8"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939" w:type="pct"/>
            <w:tcBorders>
              <w:top w:val="nil"/>
              <w:left w:val="nil"/>
              <w:bottom w:val="nil"/>
              <w:right w:val="nil"/>
            </w:tcBorders>
            <w:shd w:val="clear" w:color="auto" w:fill="auto"/>
            <w:vAlign w:val="bottom"/>
          </w:tcPr>
          <w:p w14:paraId="42B87D0F" w14:textId="2EEFE1E0" w:rsidR="006B1BD1" w:rsidRPr="00226892" w:rsidRDefault="006B1BD1"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3 </w:t>
            </w:r>
            <w:r w:rsidR="005F26CD" w:rsidRPr="00226892">
              <w:rPr>
                <w:rFonts w:ascii="Arial" w:eastAsia="Times New Roman" w:hAnsi="Arial" w:cs="Arial"/>
                <w:color w:val="000000"/>
                <w:sz w:val="18"/>
                <w:szCs w:val="18"/>
                <w:lang w:val="sk-SK" w:eastAsia="sk-SK"/>
              </w:rPr>
              <w:t>823</w:t>
            </w:r>
          </w:p>
        </w:tc>
        <w:tc>
          <w:tcPr>
            <w:tcW w:w="91" w:type="pct"/>
            <w:tcBorders>
              <w:top w:val="nil"/>
              <w:left w:val="nil"/>
              <w:bottom w:val="nil"/>
              <w:right w:val="nil"/>
            </w:tcBorders>
            <w:shd w:val="clear" w:color="auto" w:fill="auto"/>
            <w:vAlign w:val="bottom"/>
          </w:tcPr>
          <w:p w14:paraId="3AA29193"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712" w:type="pct"/>
            <w:tcBorders>
              <w:top w:val="nil"/>
              <w:left w:val="nil"/>
              <w:bottom w:val="nil"/>
              <w:right w:val="nil"/>
            </w:tcBorders>
            <w:shd w:val="clear" w:color="auto" w:fill="auto"/>
            <w:vAlign w:val="bottom"/>
          </w:tcPr>
          <w:p w14:paraId="09B7882D" w14:textId="22EABD63" w:rsidR="006B1BD1" w:rsidRPr="00226892" w:rsidRDefault="006B1BD1" w:rsidP="006B1BD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3 823</w:t>
            </w:r>
          </w:p>
        </w:tc>
      </w:tr>
      <w:tr w:rsidR="006B1BD1" w:rsidRPr="00226892" w14:paraId="7E4D37E0" w14:textId="77777777" w:rsidTr="00756C6D">
        <w:trPr>
          <w:trHeight w:val="227"/>
        </w:trPr>
        <w:tc>
          <w:tcPr>
            <w:tcW w:w="1389" w:type="pct"/>
            <w:tcBorders>
              <w:top w:val="nil"/>
              <w:left w:val="nil"/>
              <w:bottom w:val="nil"/>
              <w:right w:val="nil"/>
            </w:tcBorders>
            <w:shd w:val="clear" w:color="auto" w:fill="auto"/>
            <w:vAlign w:val="bottom"/>
            <w:hideMark/>
          </w:tcPr>
          <w:p w14:paraId="56E618EC" w14:textId="054D201A" w:rsidR="006B1BD1" w:rsidRPr="00226892" w:rsidRDefault="006B1BD1" w:rsidP="006B1BD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 Nákup ostatné </w:t>
            </w:r>
          </w:p>
        </w:tc>
        <w:tc>
          <w:tcPr>
            <w:tcW w:w="809" w:type="pct"/>
            <w:tcBorders>
              <w:top w:val="nil"/>
              <w:left w:val="nil"/>
              <w:bottom w:val="nil"/>
              <w:right w:val="nil"/>
            </w:tcBorders>
            <w:shd w:val="clear" w:color="auto" w:fill="auto"/>
            <w:vAlign w:val="bottom"/>
          </w:tcPr>
          <w:p w14:paraId="5456E84E" w14:textId="2270476C" w:rsidR="006B1BD1" w:rsidRPr="00226892" w:rsidRDefault="006B1BD1"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w:t>
            </w:r>
          </w:p>
        </w:tc>
        <w:tc>
          <w:tcPr>
            <w:tcW w:w="101" w:type="pct"/>
            <w:tcBorders>
              <w:top w:val="nil"/>
              <w:left w:val="nil"/>
              <w:bottom w:val="nil"/>
              <w:right w:val="nil"/>
            </w:tcBorders>
            <w:shd w:val="clear" w:color="auto" w:fill="auto"/>
            <w:vAlign w:val="bottom"/>
          </w:tcPr>
          <w:p w14:paraId="251AD89F"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816" w:type="pct"/>
            <w:tcBorders>
              <w:top w:val="nil"/>
              <w:left w:val="nil"/>
              <w:bottom w:val="nil"/>
              <w:right w:val="nil"/>
            </w:tcBorders>
            <w:shd w:val="clear" w:color="auto" w:fill="auto"/>
            <w:vAlign w:val="bottom"/>
          </w:tcPr>
          <w:p w14:paraId="11F50EE7" w14:textId="487BA16F" w:rsidR="006B1BD1" w:rsidRPr="00226892" w:rsidRDefault="005F26CD"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33</w:t>
            </w:r>
          </w:p>
        </w:tc>
        <w:tc>
          <w:tcPr>
            <w:tcW w:w="144" w:type="pct"/>
            <w:tcBorders>
              <w:top w:val="nil"/>
              <w:left w:val="nil"/>
              <w:bottom w:val="nil"/>
              <w:right w:val="nil"/>
            </w:tcBorders>
            <w:shd w:val="clear" w:color="auto" w:fill="auto"/>
            <w:vAlign w:val="bottom"/>
          </w:tcPr>
          <w:p w14:paraId="01495DCF"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939" w:type="pct"/>
            <w:tcBorders>
              <w:top w:val="nil"/>
              <w:left w:val="nil"/>
              <w:bottom w:val="nil"/>
              <w:right w:val="nil"/>
            </w:tcBorders>
            <w:shd w:val="clear" w:color="auto" w:fill="auto"/>
            <w:vAlign w:val="bottom"/>
          </w:tcPr>
          <w:p w14:paraId="76A06FEA" w14:textId="52CE86B2" w:rsidR="006B1BD1" w:rsidRPr="00226892" w:rsidRDefault="005F26CD"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72</w:t>
            </w:r>
          </w:p>
        </w:tc>
        <w:tc>
          <w:tcPr>
            <w:tcW w:w="91" w:type="pct"/>
            <w:tcBorders>
              <w:top w:val="nil"/>
              <w:left w:val="nil"/>
              <w:bottom w:val="nil"/>
              <w:right w:val="nil"/>
            </w:tcBorders>
            <w:shd w:val="clear" w:color="auto" w:fill="auto"/>
            <w:vAlign w:val="bottom"/>
          </w:tcPr>
          <w:p w14:paraId="03F25A2D"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712" w:type="pct"/>
            <w:tcBorders>
              <w:top w:val="nil"/>
              <w:left w:val="nil"/>
              <w:bottom w:val="nil"/>
              <w:right w:val="nil"/>
            </w:tcBorders>
            <w:shd w:val="clear" w:color="auto" w:fill="auto"/>
            <w:vAlign w:val="bottom"/>
          </w:tcPr>
          <w:p w14:paraId="037A1A3D" w14:textId="24613895" w:rsidR="006B1BD1" w:rsidRPr="00226892" w:rsidRDefault="006B1BD1" w:rsidP="006B1BD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106</w:t>
            </w:r>
          </w:p>
        </w:tc>
      </w:tr>
      <w:tr w:rsidR="006B1BD1" w:rsidRPr="00226892" w14:paraId="03C981E1" w14:textId="77777777" w:rsidTr="00756C6D">
        <w:trPr>
          <w:trHeight w:val="227"/>
        </w:trPr>
        <w:tc>
          <w:tcPr>
            <w:tcW w:w="1389" w:type="pct"/>
            <w:tcBorders>
              <w:top w:val="nil"/>
              <w:left w:val="nil"/>
              <w:bottom w:val="nil"/>
              <w:right w:val="nil"/>
            </w:tcBorders>
            <w:shd w:val="clear" w:color="auto" w:fill="auto"/>
            <w:vAlign w:val="bottom"/>
            <w:hideMark/>
          </w:tcPr>
          <w:p w14:paraId="73658289" w14:textId="77777777" w:rsidR="006B1BD1" w:rsidRPr="00226892" w:rsidRDefault="006B1BD1" w:rsidP="006B1BD1">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 Spolu nákup </w:t>
            </w:r>
          </w:p>
        </w:tc>
        <w:tc>
          <w:tcPr>
            <w:tcW w:w="809" w:type="pct"/>
            <w:tcBorders>
              <w:top w:val="single" w:sz="4" w:space="0" w:color="auto"/>
              <w:left w:val="nil"/>
              <w:bottom w:val="double" w:sz="6" w:space="0" w:color="auto"/>
              <w:right w:val="nil"/>
            </w:tcBorders>
            <w:shd w:val="clear" w:color="auto" w:fill="auto"/>
            <w:vAlign w:val="bottom"/>
          </w:tcPr>
          <w:p w14:paraId="184DACD8" w14:textId="40C48345" w:rsidR="006B1BD1" w:rsidRPr="00226892" w:rsidRDefault="006B1BD1" w:rsidP="006B1BD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3 028</w:t>
            </w:r>
          </w:p>
        </w:tc>
        <w:tc>
          <w:tcPr>
            <w:tcW w:w="101" w:type="pct"/>
            <w:tcBorders>
              <w:top w:val="nil"/>
              <w:left w:val="nil"/>
              <w:bottom w:val="nil"/>
              <w:right w:val="nil"/>
            </w:tcBorders>
            <w:shd w:val="clear" w:color="auto" w:fill="auto"/>
            <w:vAlign w:val="bottom"/>
          </w:tcPr>
          <w:p w14:paraId="76ECA3AC" w14:textId="77777777" w:rsidR="006B1BD1" w:rsidRPr="00226892" w:rsidRDefault="006B1BD1" w:rsidP="006B1BD1">
            <w:pPr>
              <w:jc w:val="right"/>
              <w:rPr>
                <w:rFonts w:ascii="Arial" w:eastAsia="Times New Roman" w:hAnsi="Arial" w:cs="Arial"/>
                <w:b/>
                <w:bCs/>
                <w:color w:val="000000"/>
                <w:sz w:val="18"/>
                <w:szCs w:val="18"/>
                <w:lang w:val="sk-SK" w:eastAsia="sk-SK"/>
              </w:rPr>
            </w:pPr>
          </w:p>
        </w:tc>
        <w:tc>
          <w:tcPr>
            <w:tcW w:w="816" w:type="pct"/>
            <w:tcBorders>
              <w:top w:val="single" w:sz="4" w:space="0" w:color="auto"/>
              <w:left w:val="nil"/>
              <w:bottom w:val="double" w:sz="6" w:space="0" w:color="auto"/>
              <w:right w:val="nil"/>
            </w:tcBorders>
            <w:shd w:val="clear" w:color="auto" w:fill="auto"/>
            <w:vAlign w:val="bottom"/>
          </w:tcPr>
          <w:p w14:paraId="6F4FE914" w14:textId="22B536B8" w:rsidR="006B1BD1" w:rsidRPr="00226892" w:rsidRDefault="005F26CD" w:rsidP="006B1BD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33</w:t>
            </w:r>
          </w:p>
        </w:tc>
        <w:tc>
          <w:tcPr>
            <w:tcW w:w="144" w:type="pct"/>
            <w:tcBorders>
              <w:top w:val="nil"/>
              <w:left w:val="nil"/>
              <w:bottom w:val="nil"/>
              <w:right w:val="nil"/>
            </w:tcBorders>
            <w:shd w:val="clear" w:color="auto" w:fill="auto"/>
            <w:vAlign w:val="bottom"/>
          </w:tcPr>
          <w:p w14:paraId="67AD9E2C" w14:textId="77777777" w:rsidR="006B1BD1" w:rsidRPr="00226892" w:rsidRDefault="006B1BD1" w:rsidP="006B1BD1">
            <w:pPr>
              <w:jc w:val="right"/>
              <w:rPr>
                <w:rFonts w:ascii="Arial" w:eastAsia="Times New Roman" w:hAnsi="Arial" w:cs="Arial"/>
                <w:b/>
                <w:bCs/>
                <w:color w:val="000000"/>
                <w:sz w:val="18"/>
                <w:szCs w:val="18"/>
                <w:lang w:val="sk-SK" w:eastAsia="sk-SK"/>
              </w:rPr>
            </w:pPr>
          </w:p>
        </w:tc>
        <w:tc>
          <w:tcPr>
            <w:tcW w:w="939" w:type="pct"/>
            <w:tcBorders>
              <w:top w:val="single" w:sz="4" w:space="0" w:color="auto"/>
              <w:left w:val="nil"/>
              <w:bottom w:val="double" w:sz="6" w:space="0" w:color="auto"/>
              <w:right w:val="nil"/>
            </w:tcBorders>
            <w:shd w:val="clear" w:color="auto" w:fill="auto"/>
            <w:vAlign w:val="bottom"/>
          </w:tcPr>
          <w:p w14:paraId="0A99EC35" w14:textId="54585315" w:rsidR="006B1BD1" w:rsidRPr="00226892" w:rsidRDefault="005F26CD" w:rsidP="006B1BD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 9 250</w:t>
            </w:r>
          </w:p>
        </w:tc>
        <w:tc>
          <w:tcPr>
            <w:tcW w:w="91" w:type="pct"/>
            <w:tcBorders>
              <w:top w:val="nil"/>
              <w:left w:val="nil"/>
              <w:bottom w:val="nil"/>
              <w:right w:val="nil"/>
            </w:tcBorders>
            <w:shd w:val="clear" w:color="auto" w:fill="auto"/>
            <w:vAlign w:val="bottom"/>
          </w:tcPr>
          <w:p w14:paraId="4E076826" w14:textId="77777777" w:rsidR="006B1BD1" w:rsidRPr="00226892" w:rsidRDefault="006B1BD1" w:rsidP="006B1BD1">
            <w:pPr>
              <w:jc w:val="right"/>
              <w:rPr>
                <w:rFonts w:ascii="Arial" w:eastAsia="Times New Roman" w:hAnsi="Arial" w:cs="Arial"/>
                <w:b/>
                <w:bCs/>
                <w:color w:val="000000"/>
                <w:sz w:val="18"/>
                <w:szCs w:val="18"/>
                <w:lang w:val="sk-SK" w:eastAsia="sk-SK"/>
              </w:rPr>
            </w:pPr>
          </w:p>
        </w:tc>
        <w:tc>
          <w:tcPr>
            <w:tcW w:w="712" w:type="pct"/>
            <w:tcBorders>
              <w:top w:val="single" w:sz="4" w:space="0" w:color="auto"/>
              <w:left w:val="nil"/>
              <w:bottom w:val="double" w:sz="6" w:space="0" w:color="auto"/>
              <w:right w:val="nil"/>
            </w:tcBorders>
            <w:shd w:val="clear" w:color="auto" w:fill="auto"/>
            <w:vAlign w:val="bottom"/>
          </w:tcPr>
          <w:p w14:paraId="0D334ACE" w14:textId="62B369B0" w:rsidR="006B1BD1" w:rsidRPr="00226892" w:rsidRDefault="006B1BD1" w:rsidP="006B1BD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12 311</w:t>
            </w:r>
          </w:p>
        </w:tc>
      </w:tr>
    </w:tbl>
    <w:p w14:paraId="2F88CE3F" w14:textId="49EB3245" w:rsidR="00DD51C3" w:rsidRPr="00226892" w:rsidRDefault="00DD63CA">
      <w:pPr>
        <w:rPr>
          <w:rFonts w:ascii="Arial" w:hAnsi="Arial" w:cs="Arial"/>
          <w:i/>
          <w:sz w:val="22"/>
          <w:highlight w:val="yellow"/>
        </w:rPr>
      </w:pPr>
      <w:r w:rsidRPr="00226892">
        <w:rPr>
          <w:rFonts w:ascii="Arial" w:hAnsi="Arial" w:cs="Arial"/>
          <w:i/>
          <w:sz w:val="18"/>
          <w:szCs w:val="18"/>
          <w:highlight w:val="yellow"/>
        </w:rPr>
        <w:t xml:space="preserve"> </w:t>
      </w:r>
      <w:bookmarkEnd w:id="648"/>
      <w:r w:rsidRPr="00226892">
        <w:rPr>
          <w:rFonts w:ascii="Arial" w:hAnsi="Arial" w:cs="Arial"/>
          <w:i/>
          <w:sz w:val="18"/>
          <w:szCs w:val="18"/>
          <w:highlight w:val="yellow"/>
        </w:rPr>
        <w:t xml:space="preserve"> </w:t>
      </w:r>
    </w:p>
    <w:p w14:paraId="1339BA96" w14:textId="54A4A78B" w:rsidR="00837450" w:rsidRPr="00226892" w:rsidRDefault="0056068D" w:rsidP="00756C6D">
      <w:pPr>
        <w:suppressAutoHyphens/>
        <w:jc w:val="both"/>
        <w:rPr>
          <w:rFonts w:ascii="Arial" w:hAnsi="Arial" w:cs="Arial"/>
          <w:i/>
          <w:sz w:val="18"/>
          <w:szCs w:val="18"/>
        </w:rPr>
      </w:pPr>
      <w:r w:rsidRPr="00226892">
        <w:rPr>
          <w:rFonts w:ascii="Arial" w:hAnsi="Arial" w:cs="Arial"/>
          <w:lang w:val="sk-SK"/>
        </w:rPr>
        <w:t xml:space="preserve">Prehľad pôžičiek poskytnutých </w:t>
      </w:r>
      <w:r w:rsidR="00B73E03" w:rsidRPr="00226892">
        <w:rPr>
          <w:rFonts w:ascii="Arial" w:hAnsi="Arial" w:cs="Arial"/>
          <w:lang w:val="sk-SK"/>
        </w:rPr>
        <w:t>spriazneným stranám</w:t>
      </w:r>
      <w:r w:rsidRPr="00226892">
        <w:rPr>
          <w:rFonts w:ascii="Arial" w:hAnsi="Arial" w:cs="Arial"/>
          <w:lang w:val="sk-SK"/>
        </w:rPr>
        <w:t xml:space="preserve"> v roku  </w:t>
      </w:r>
      <w:r w:rsidR="00FD3AC5" w:rsidRPr="00226892">
        <w:rPr>
          <w:rFonts w:ascii="Arial" w:hAnsi="Arial" w:cs="Arial"/>
          <w:lang w:val="sk-SK"/>
        </w:rPr>
        <w:t>2018</w:t>
      </w:r>
      <w:r w:rsidR="00CE3E6A" w:rsidRPr="00226892">
        <w:rPr>
          <w:rFonts w:ascii="Arial" w:hAnsi="Arial" w:cs="Arial"/>
          <w:lang w:val="sk-SK"/>
        </w:rPr>
        <w:t xml:space="preserve"> </w:t>
      </w:r>
      <w:r w:rsidRPr="00226892">
        <w:rPr>
          <w:rFonts w:ascii="Arial" w:hAnsi="Arial" w:cs="Arial"/>
          <w:lang w:val="sk-SK"/>
        </w:rPr>
        <w:t>a </w:t>
      </w:r>
      <w:r w:rsidR="00F63A77" w:rsidRPr="00226892">
        <w:rPr>
          <w:rFonts w:ascii="Arial" w:hAnsi="Arial" w:cs="Arial"/>
          <w:lang w:val="sk-SK"/>
        </w:rPr>
        <w:t>2017</w:t>
      </w:r>
      <w:r w:rsidR="00CE3E6A" w:rsidRPr="00226892">
        <w:rPr>
          <w:rFonts w:ascii="Arial" w:hAnsi="Arial" w:cs="Arial"/>
          <w:lang w:val="sk-SK"/>
        </w:rPr>
        <w:t xml:space="preserve"> </w:t>
      </w:r>
      <w:r w:rsidRPr="00226892">
        <w:rPr>
          <w:rFonts w:ascii="Arial" w:hAnsi="Arial" w:cs="Arial"/>
          <w:lang w:val="sk-SK"/>
        </w:rPr>
        <w:t>je uvedený v nasledujúcej tabuľke</w:t>
      </w:r>
      <w:r w:rsidRPr="00226892">
        <w:rPr>
          <w:rFonts w:ascii="Arial" w:hAnsi="Arial" w:cs="Arial"/>
          <w:sz w:val="18"/>
          <w:szCs w:val="18"/>
          <w:lang w:val="sk-SK"/>
        </w:rPr>
        <w:t>:</w:t>
      </w:r>
    </w:p>
    <w:p w14:paraId="12ED6B68" w14:textId="0FDCAA18" w:rsidR="008D5E62" w:rsidRPr="00226892" w:rsidRDefault="008D5E62" w:rsidP="008F7011">
      <w:pPr>
        <w:suppressAutoHyphens/>
        <w:ind w:left="426"/>
        <w:rPr>
          <w:rFonts w:ascii="Arial" w:hAnsi="Arial" w:cs="Arial"/>
          <w:sz w:val="16"/>
          <w:szCs w:val="16"/>
          <w:highlight w:val="yellow"/>
        </w:rPr>
      </w:pPr>
      <w:bookmarkStart w:id="649" w:name="FWT_LoansToRelParties"/>
      <w:r w:rsidRPr="00226892">
        <w:rPr>
          <w:rFonts w:ascii="Arial" w:hAnsi="Arial" w:cs="Arial"/>
          <w:sz w:val="16"/>
          <w:szCs w:val="16"/>
          <w:highlight w:val="yellow"/>
        </w:rPr>
        <w:t xml:space="preserve"> </w:t>
      </w:r>
    </w:p>
    <w:tbl>
      <w:tblPr>
        <w:tblW w:w="5000" w:type="pct"/>
        <w:tblCellMar>
          <w:left w:w="70" w:type="dxa"/>
          <w:right w:w="70" w:type="dxa"/>
        </w:tblCellMar>
        <w:tblLook w:val="04A0" w:firstRow="1" w:lastRow="0" w:firstColumn="1" w:lastColumn="0" w:noHBand="0" w:noVBand="1"/>
      </w:tblPr>
      <w:tblGrid>
        <w:gridCol w:w="5187"/>
        <w:gridCol w:w="191"/>
        <w:gridCol w:w="2036"/>
        <w:gridCol w:w="191"/>
        <w:gridCol w:w="2034"/>
      </w:tblGrid>
      <w:tr w:rsidR="008D5E62" w:rsidRPr="00226892" w14:paraId="466506CD" w14:textId="77777777" w:rsidTr="00756C6D">
        <w:trPr>
          <w:trHeight w:val="227"/>
        </w:trPr>
        <w:tc>
          <w:tcPr>
            <w:tcW w:w="2699" w:type="pct"/>
            <w:tcBorders>
              <w:top w:val="nil"/>
              <w:left w:val="nil"/>
              <w:bottom w:val="single" w:sz="4" w:space="0" w:color="auto"/>
              <w:right w:val="nil"/>
            </w:tcBorders>
            <w:shd w:val="clear" w:color="auto" w:fill="auto"/>
            <w:vAlign w:val="bottom"/>
            <w:hideMark/>
          </w:tcPr>
          <w:p w14:paraId="393E1EE4" w14:textId="77777777" w:rsidR="008D5E62" w:rsidRPr="00226892" w:rsidRDefault="008D5E62" w:rsidP="00833CC0">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Pôžičky poskytnuté spriazneným stranám</w:t>
            </w:r>
          </w:p>
        </w:tc>
        <w:tc>
          <w:tcPr>
            <w:tcW w:w="87" w:type="pct"/>
            <w:tcBorders>
              <w:top w:val="nil"/>
              <w:left w:val="nil"/>
              <w:bottom w:val="single" w:sz="4" w:space="0" w:color="auto"/>
              <w:right w:val="nil"/>
            </w:tcBorders>
            <w:shd w:val="clear" w:color="auto" w:fill="auto"/>
            <w:vAlign w:val="bottom"/>
            <w:hideMark/>
          </w:tcPr>
          <w:p w14:paraId="1F33EDD1" w14:textId="77777777" w:rsidR="008D5E62" w:rsidRPr="00226892" w:rsidRDefault="008D5E62">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064" w:type="pct"/>
            <w:tcBorders>
              <w:top w:val="nil"/>
              <w:left w:val="nil"/>
              <w:bottom w:val="single" w:sz="4" w:space="0" w:color="auto"/>
              <w:right w:val="nil"/>
            </w:tcBorders>
            <w:shd w:val="clear" w:color="auto" w:fill="auto"/>
            <w:vAlign w:val="bottom"/>
            <w:hideMark/>
          </w:tcPr>
          <w:p w14:paraId="26372E5D" w14:textId="175C8025" w:rsidR="008D5E62" w:rsidRPr="00226892" w:rsidRDefault="00FD3AC5">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2018</w:t>
            </w:r>
          </w:p>
        </w:tc>
        <w:tc>
          <w:tcPr>
            <w:tcW w:w="87" w:type="pct"/>
            <w:tcBorders>
              <w:top w:val="nil"/>
              <w:left w:val="nil"/>
              <w:bottom w:val="single" w:sz="4" w:space="0" w:color="auto"/>
              <w:right w:val="nil"/>
            </w:tcBorders>
            <w:shd w:val="clear" w:color="auto" w:fill="auto"/>
            <w:vAlign w:val="bottom"/>
            <w:hideMark/>
          </w:tcPr>
          <w:p w14:paraId="2DFA6B8B" w14:textId="77777777" w:rsidR="008D5E62" w:rsidRPr="00226892" w:rsidRDefault="008D5E62">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w:t>
            </w:r>
          </w:p>
        </w:tc>
        <w:tc>
          <w:tcPr>
            <w:tcW w:w="1064" w:type="pct"/>
            <w:tcBorders>
              <w:top w:val="nil"/>
              <w:left w:val="nil"/>
              <w:bottom w:val="single" w:sz="4" w:space="0" w:color="auto"/>
              <w:right w:val="nil"/>
            </w:tcBorders>
            <w:shd w:val="clear" w:color="auto" w:fill="auto"/>
            <w:vAlign w:val="bottom"/>
            <w:hideMark/>
          </w:tcPr>
          <w:p w14:paraId="7AFC9174" w14:textId="49D15BC6" w:rsidR="008D5E62" w:rsidRPr="00226892" w:rsidRDefault="00F63A77">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2017</w:t>
            </w:r>
          </w:p>
        </w:tc>
      </w:tr>
      <w:tr w:rsidR="008D5E62" w:rsidRPr="00226892" w14:paraId="3A09B923" w14:textId="77777777" w:rsidTr="00756C6D">
        <w:trPr>
          <w:trHeight w:val="227"/>
        </w:trPr>
        <w:tc>
          <w:tcPr>
            <w:tcW w:w="2699" w:type="pct"/>
            <w:tcBorders>
              <w:top w:val="nil"/>
              <w:left w:val="nil"/>
              <w:bottom w:val="nil"/>
              <w:right w:val="nil"/>
            </w:tcBorders>
            <w:shd w:val="clear" w:color="auto" w:fill="auto"/>
            <w:vAlign w:val="bottom"/>
            <w:hideMark/>
          </w:tcPr>
          <w:p w14:paraId="2CC2C376" w14:textId="77777777" w:rsidR="008D5E62" w:rsidRPr="00226892" w:rsidRDefault="008D5E62" w:rsidP="00833CC0">
            <w:pPr>
              <w:jc w:val="center"/>
              <w:rPr>
                <w:rFonts w:ascii="Arial" w:eastAsia="Times New Roman" w:hAnsi="Arial" w:cs="Arial"/>
                <w:b/>
                <w:bCs/>
                <w:color w:val="000000"/>
                <w:sz w:val="18"/>
                <w:szCs w:val="18"/>
                <w:lang w:val="sk-SK" w:eastAsia="sk-SK"/>
              </w:rPr>
            </w:pPr>
          </w:p>
        </w:tc>
        <w:tc>
          <w:tcPr>
            <w:tcW w:w="87" w:type="pct"/>
            <w:tcBorders>
              <w:top w:val="nil"/>
              <w:left w:val="nil"/>
              <w:bottom w:val="nil"/>
              <w:right w:val="nil"/>
            </w:tcBorders>
            <w:shd w:val="clear" w:color="auto" w:fill="auto"/>
            <w:vAlign w:val="bottom"/>
            <w:hideMark/>
          </w:tcPr>
          <w:p w14:paraId="46D1494D" w14:textId="77777777" w:rsidR="008D5E62" w:rsidRPr="00226892" w:rsidRDefault="008D5E62" w:rsidP="00833CC0">
            <w:pPr>
              <w:rPr>
                <w:rFonts w:ascii="Arial" w:eastAsia="Times New Roman" w:hAnsi="Arial" w:cs="Arial"/>
                <w:lang w:val="sk-SK" w:eastAsia="sk-SK"/>
              </w:rPr>
            </w:pPr>
          </w:p>
        </w:tc>
        <w:tc>
          <w:tcPr>
            <w:tcW w:w="1064" w:type="pct"/>
            <w:tcBorders>
              <w:top w:val="nil"/>
              <w:left w:val="nil"/>
              <w:bottom w:val="nil"/>
              <w:right w:val="nil"/>
            </w:tcBorders>
            <w:shd w:val="clear" w:color="auto" w:fill="auto"/>
            <w:vAlign w:val="bottom"/>
            <w:hideMark/>
          </w:tcPr>
          <w:p w14:paraId="65F5FB18" w14:textId="77777777" w:rsidR="008D5E62" w:rsidRPr="00226892" w:rsidRDefault="008D5E62">
            <w:pPr>
              <w:rPr>
                <w:rFonts w:ascii="Arial" w:eastAsia="Times New Roman" w:hAnsi="Arial" w:cs="Arial"/>
                <w:lang w:val="sk-SK" w:eastAsia="sk-SK"/>
              </w:rPr>
            </w:pPr>
          </w:p>
        </w:tc>
        <w:tc>
          <w:tcPr>
            <w:tcW w:w="87" w:type="pct"/>
            <w:tcBorders>
              <w:top w:val="nil"/>
              <w:left w:val="nil"/>
              <w:bottom w:val="nil"/>
              <w:right w:val="nil"/>
            </w:tcBorders>
            <w:shd w:val="clear" w:color="auto" w:fill="auto"/>
            <w:vAlign w:val="bottom"/>
            <w:hideMark/>
          </w:tcPr>
          <w:p w14:paraId="28AEA5AE" w14:textId="77777777" w:rsidR="008D5E62" w:rsidRPr="00226892" w:rsidRDefault="008D5E62">
            <w:pPr>
              <w:jc w:val="center"/>
              <w:rPr>
                <w:rFonts w:ascii="Arial" w:eastAsia="Times New Roman" w:hAnsi="Arial" w:cs="Arial"/>
                <w:lang w:val="sk-SK" w:eastAsia="sk-SK"/>
              </w:rPr>
            </w:pPr>
          </w:p>
        </w:tc>
        <w:tc>
          <w:tcPr>
            <w:tcW w:w="1064" w:type="pct"/>
            <w:tcBorders>
              <w:top w:val="nil"/>
              <w:left w:val="nil"/>
              <w:bottom w:val="nil"/>
              <w:right w:val="nil"/>
            </w:tcBorders>
            <w:shd w:val="clear" w:color="auto" w:fill="auto"/>
            <w:vAlign w:val="bottom"/>
            <w:hideMark/>
          </w:tcPr>
          <w:p w14:paraId="4F16D582" w14:textId="77777777" w:rsidR="008D5E62" w:rsidRPr="00226892" w:rsidRDefault="008D5E62">
            <w:pPr>
              <w:jc w:val="center"/>
              <w:rPr>
                <w:rFonts w:ascii="Arial" w:eastAsia="Times New Roman" w:hAnsi="Arial" w:cs="Arial"/>
                <w:lang w:val="sk-SK" w:eastAsia="sk-SK"/>
              </w:rPr>
            </w:pPr>
          </w:p>
        </w:tc>
      </w:tr>
      <w:tr w:rsidR="006B1BD1" w:rsidRPr="00226892" w14:paraId="13DB663E" w14:textId="77777777" w:rsidTr="00756C6D">
        <w:trPr>
          <w:trHeight w:val="227"/>
        </w:trPr>
        <w:tc>
          <w:tcPr>
            <w:tcW w:w="2699" w:type="pct"/>
            <w:tcBorders>
              <w:top w:val="nil"/>
              <w:left w:val="nil"/>
              <w:bottom w:val="nil"/>
              <w:right w:val="nil"/>
            </w:tcBorders>
            <w:shd w:val="clear" w:color="auto" w:fill="auto"/>
            <w:noWrap/>
            <w:vAlign w:val="bottom"/>
            <w:hideMark/>
          </w:tcPr>
          <w:p w14:paraId="2210568C" w14:textId="77777777" w:rsidR="006B1BD1" w:rsidRPr="00226892" w:rsidRDefault="006B1BD1" w:rsidP="006B1BD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Začiatočný stav</w:t>
            </w:r>
          </w:p>
        </w:tc>
        <w:tc>
          <w:tcPr>
            <w:tcW w:w="87" w:type="pct"/>
            <w:tcBorders>
              <w:top w:val="nil"/>
              <w:left w:val="nil"/>
              <w:bottom w:val="nil"/>
              <w:right w:val="nil"/>
            </w:tcBorders>
            <w:shd w:val="clear" w:color="auto" w:fill="auto"/>
            <w:vAlign w:val="bottom"/>
            <w:hideMark/>
          </w:tcPr>
          <w:p w14:paraId="67D502BD" w14:textId="77777777" w:rsidR="006B1BD1" w:rsidRPr="00226892" w:rsidRDefault="006B1BD1" w:rsidP="006B1BD1">
            <w:pPr>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hideMark/>
          </w:tcPr>
          <w:p w14:paraId="71D6EA3E" w14:textId="7FBA9417" w:rsidR="006B1BD1" w:rsidRPr="00226892" w:rsidRDefault="006B1BD1"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370    </w:t>
            </w:r>
          </w:p>
        </w:tc>
        <w:tc>
          <w:tcPr>
            <w:tcW w:w="87" w:type="pct"/>
            <w:tcBorders>
              <w:top w:val="nil"/>
              <w:left w:val="nil"/>
              <w:bottom w:val="nil"/>
              <w:right w:val="nil"/>
            </w:tcBorders>
            <w:shd w:val="clear" w:color="auto" w:fill="auto"/>
            <w:vAlign w:val="bottom"/>
            <w:hideMark/>
          </w:tcPr>
          <w:p w14:paraId="5CE547B4"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62FCB5E8" w14:textId="33D03C67" w:rsidR="006B1BD1" w:rsidRPr="00226892" w:rsidRDefault="006B1BD1" w:rsidP="006B1BD1">
            <w:pPr>
              <w:jc w:val="right"/>
              <w:rPr>
                <w:rFonts w:ascii="Arial" w:eastAsia="Times New Roman" w:hAnsi="Arial" w:cs="Arial"/>
                <w:sz w:val="18"/>
                <w:szCs w:val="18"/>
                <w:lang w:val="sk-SK" w:eastAsia="sk-SK"/>
              </w:rPr>
            </w:pPr>
            <w:r w:rsidRPr="00226892">
              <w:rPr>
                <w:rFonts w:ascii="Arial" w:eastAsia="Times New Roman" w:hAnsi="Arial" w:cs="Arial"/>
                <w:color w:val="000000"/>
                <w:sz w:val="18"/>
                <w:szCs w:val="18"/>
                <w:lang w:val="sk-SK" w:eastAsia="sk-SK"/>
              </w:rPr>
              <w:t xml:space="preserve">820    </w:t>
            </w:r>
          </w:p>
        </w:tc>
      </w:tr>
      <w:tr w:rsidR="006B1BD1" w:rsidRPr="00226892" w14:paraId="2556D0F3" w14:textId="77777777" w:rsidTr="00756C6D">
        <w:trPr>
          <w:trHeight w:val="227"/>
        </w:trPr>
        <w:tc>
          <w:tcPr>
            <w:tcW w:w="2699" w:type="pct"/>
            <w:tcBorders>
              <w:top w:val="nil"/>
              <w:left w:val="nil"/>
              <w:bottom w:val="nil"/>
              <w:right w:val="nil"/>
            </w:tcBorders>
            <w:shd w:val="clear" w:color="auto" w:fill="auto"/>
            <w:vAlign w:val="center"/>
            <w:hideMark/>
          </w:tcPr>
          <w:p w14:paraId="62EE0DA5" w14:textId="77777777" w:rsidR="006B1BD1" w:rsidRPr="00226892" w:rsidRDefault="006B1BD1" w:rsidP="006B1BD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Pôžičky poskytnuté počas roka</w:t>
            </w:r>
          </w:p>
        </w:tc>
        <w:tc>
          <w:tcPr>
            <w:tcW w:w="87" w:type="pct"/>
            <w:tcBorders>
              <w:top w:val="nil"/>
              <w:left w:val="nil"/>
              <w:bottom w:val="nil"/>
              <w:right w:val="nil"/>
            </w:tcBorders>
            <w:shd w:val="clear" w:color="auto" w:fill="auto"/>
            <w:vAlign w:val="bottom"/>
            <w:hideMark/>
          </w:tcPr>
          <w:p w14:paraId="618E6AD3" w14:textId="77777777" w:rsidR="006B1BD1" w:rsidRPr="00226892" w:rsidRDefault="006B1BD1" w:rsidP="006B1BD1">
            <w:pPr>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hideMark/>
          </w:tcPr>
          <w:p w14:paraId="2FA51278" w14:textId="56AA139C" w:rsidR="006B1BD1" w:rsidRPr="00226892" w:rsidRDefault="006B1BD1"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200    </w:t>
            </w:r>
          </w:p>
        </w:tc>
        <w:tc>
          <w:tcPr>
            <w:tcW w:w="87" w:type="pct"/>
            <w:tcBorders>
              <w:top w:val="nil"/>
              <w:left w:val="nil"/>
              <w:bottom w:val="nil"/>
              <w:right w:val="nil"/>
            </w:tcBorders>
            <w:shd w:val="clear" w:color="auto" w:fill="auto"/>
            <w:vAlign w:val="bottom"/>
            <w:hideMark/>
          </w:tcPr>
          <w:p w14:paraId="6AC25C0F"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3D529CD1" w14:textId="55BF197E" w:rsidR="006B1BD1" w:rsidRPr="00226892" w:rsidRDefault="006B1BD1" w:rsidP="006B1BD1">
            <w:pPr>
              <w:jc w:val="right"/>
              <w:rPr>
                <w:rFonts w:ascii="Arial" w:eastAsia="Times New Roman" w:hAnsi="Arial" w:cs="Arial"/>
                <w:sz w:val="18"/>
                <w:szCs w:val="18"/>
                <w:lang w:val="sk-SK" w:eastAsia="sk-SK"/>
              </w:rPr>
            </w:pPr>
            <w:r w:rsidRPr="00226892">
              <w:rPr>
                <w:rFonts w:ascii="Arial" w:eastAsia="Times New Roman" w:hAnsi="Arial" w:cs="Arial"/>
                <w:color w:val="000000"/>
                <w:sz w:val="18"/>
                <w:szCs w:val="18"/>
                <w:lang w:val="sk-SK" w:eastAsia="sk-SK"/>
              </w:rPr>
              <w:t xml:space="preserve">-    </w:t>
            </w:r>
          </w:p>
        </w:tc>
      </w:tr>
      <w:tr w:rsidR="006B1BD1" w:rsidRPr="00226892" w14:paraId="69110C67" w14:textId="77777777" w:rsidTr="00756C6D">
        <w:trPr>
          <w:trHeight w:val="227"/>
        </w:trPr>
        <w:tc>
          <w:tcPr>
            <w:tcW w:w="2699" w:type="pct"/>
            <w:tcBorders>
              <w:top w:val="nil"/>
              <w:left w:val="nil"/>
              <w:bottom w:val="nil"/>
              <w:right w:val="nil"/>
            </w:tcBorders>
            <w:shd w:val="clear" w:color="auto" w:fill="auto"/>
            <w:vAlign w:val="center"/>
            <w:hideMark/>
          </w:tcPr>
          <w:p w14:paraId="0E9AB7A6" w14:textId="77777777" w:rsidR="006B1BD1" w:rsidRPr="00226892" w:rsidRDefault="006B1BD1" w:rsidP="006B1BD1">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Pôžičky splatené počas roka</w:t>
            </w:r>
          </w:p>
        </w:tc>
        <w:tc>
          <w:tcPr>
            <w:tcW w:w="87" w:type="pct"/>
            <w:tcBorders>
              <w:top w:val="nil"/>
              <w:left w:val="nil"/>
              <w:bottom w:val="nil"/>
              <w:right w:val="nil"/>
            </w:tcBorders>
            <w:shd w:val="clear" w:color="auto" w:fill="auto"/>
            <w:vAlign w:val="bottom"/>
            <w:hideMark/>
          </w:tcPr>
          <w:p w14:paraId="608405B6" w14:textId="77777777" w:rsidR="006B1BD1" w:rsidRPr="00226892" w:rsidRDefault="006B1BD1" w:rsidP="006B1BD1">
            <w:pPr>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hideMark/>
          </w:tcPr>
          <w:p w14:paraId="43DC0FFA" w14:textId="1F41DE1A" w:rsidR="006B1BD1" w:rsidRPr="00226892" w:rsidRDefault="006B1BD1" w:rsidP="006B1BD1">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-100    </w:t>
            </w:r>
          </w:p>
        </w:tc>
        <w:tc>
          <w:tcPr>
            <w:tcW w:w="87" w:type="pct"/>
            <w:tcBorders>
              <w:top w:val="nil"/>
              <w:left w:val="nil"/>
              <w:bottom w:val="nil"/>
              <w:right w:val="nil"/>
            </w:tcBorders>
            <w:shd w:val="clear" w:color="auto" w:fill="auto"/>
            <w:vAlign w:val="bottom"/>
            <w:hideMark/>
          </w:tcPr>
          <w:p w14:paraId="6C5DC322" w14:textId="77777777" w:rsidR="006B1BD1" w:rsidRPr="00226892" w:rsidRDefault="006B1BD1" w:rsidP="006B1BD1">
            <w:pPr>
              <w:jc w:val="right"/>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6413DCF8" w14:textId="3CF2516E" w:rsidR="006B1BD1" w:rsidRPr="00226892" w:rsidRDefault="006B1BD1" w:rsidP="006B1BD1">
            <w:pPr>
              <w:jc w:val="right"/>
              <w:rPr>
                <w:rFonts w:ascii="Arial" w:eastAsia="Times New Roman" w:hAnsi="Arial" w:cs="Arial"/>
                <w:sz w:val="18"/>
                <w:szCs w:val="18"/>
                <w:lang w:val="sk-SK" w:eastAsia="sk-SK"/>
              </w:rPr>
            </w:pPr>
            <w:r w:rsidRPr="00226892">
              <w:rPr>
                <w:rFonts w:ascii="Arial" w:eastAsia="Times New Roman" w:hAnsi="Arial" w:cs="Arial"/>
                <w:color w:val="000000"/>
                <w:sz w:val="18"/>
                <w:szCs w:val="18"/>
                <w:lang w:val="sk-SK" w:eastAsia="sk-SK"/>
              </w:rPr>
              <w:t xml:space="preserve">-450    </w:t>
            </w:r>
          </w:p>
        </w:tc>
      </w:tr>
      <w:tr w:rsidR="006B1BD1" w:rsidRPr="00226892" w14:paraId="0B837276" w14:textId="77777777" w:rsidTr="00756C6D">
        <w:trPr>
          <w:trHeight w:val="227"/>
        </w:trPr>
        <w:tc>
          <w:tcPr>
            <w:tcW w:w="2699" w:type="pct"/>
            <w:tcBorders>
              <w:top w:val="nil"/>
              <w:left w:val="nil"/>
              <w:bottom w:val="nil"/>
              <w:right w:val="nil"/>
            </w:tcBorders>
            <w:shd w:val="clear" w:color="auto" w:fill="auto"/>
            <w:noWrap/>
            <w:vAlign w:val="bottom"/>
            <w:hideMark/>
          </w:tcPr>
          <w:p w14:paraId="66DA5DF8" w14:textId="77777777" w:rsidR="006B1BD1" w:rsidRPr="00226892" w:rsidRDefault="006B1BD1" w:rsidP="006B1BD1">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Konečný zostatok</w:t>
            </w:r>
          </w:p>
        </w:tc>
        <w:tc>
          <w:tcPr>
            <w:tcW w:w="87" w:type="pct"/>
            <w:tcBorders>
              <w:top w:val="nil"/>
              <w:left w:val="nil"/>
              <w:bottom w:val="nil"/>
              <w:right w:val="nil"/>
            </w:tcBorders>
            <w:shd w:val="clear" w:color="auto" w:fill="auto"/>
            <w:vAlign w:val="bottom"/>
            <w:hideMark/>
          </w:tcPr>
          <w:p w14:paraId="6253DCAA" w14:textId="77777777" w:rsidR="006B1BD1" w:rsidRPr="00226892" w:rsidRDefault="006B1BD1" w:rsidP="006B1BD1">
            <w:pPr>
              <w:rPr>
                <w:rFonts w:ascii="Arial" w:eastAsia="Times New Roman" w:hAnsi="Arial" w:cs="Arial"/>
                <w:b/>
                <w:bCs/>
                <w:color w:val="000000"/>
                <w:sz w:val="18"/>
                <w:szCs w:val="18"/>
                <w:lang w:val="sk-SK" w:eastAsia="sk-SK"/>
              </w:rPr>
            </w:pPr>
          </w:p>
        </w:tc>
        <w:tc>
          <w:tcPr>
            <w:tcW w:w="1064" w:type="pct"/>
            <w:tcBorders>
              <w:top w:val="single" w:sz="4" w:space="0" w:color="auto"/>
              <w:left w:val="nil"/>
              <w:bottom w:val="double" w:sz="6" w:space="0" w:color="auto"/>
              <w:right w:val="nil"/>
            </w:tcBorders>
            <w:shd w:val="clear" w:color="auto" w:fill="auto"/>
            <w:vAlign w:val="bottom"/>
            <w:hideMark/>
          </w:tcPr>
          <w:p w14:paraId="46456356" w14:textId="372AB577" w:rsidR="006B1BD1" w:rsidRPr="00226892" w:rsidRDefault="006B1BD1" w:rsidP="006B1BD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470    </w:t>
            </w:r>
          </w:p>
        </w:tc>
        <w:tc>
          <w:tcPr>
            <w:tcW w:w="87" w:type="pct"/>
            <w:tcBorders>
              <w:top w:val="nil"/>
              <w:left w:val="nil"/>
              <w:bottom w:val="nil"/>
              <w:right w:val="nil"/>
            </w:tcBorders>
            <w:shd w:val="clear" w:color="auto" w:fill="auto"/>
            <w:vAlign w:val="bottom"/>
            <w:hideMark/>
          </w:tcPr>
          <w:p w14:paraId="6F00C490" w14:textId="77777777" w:rsidR="006B1BD1" w:rsidRPr="00226892" w:rsidRDefault="006B1BD1" w:rsidP="006B1BD1">
            <w:pPr>
              <w:jc w:val="right"/>
              <w:rPr>
                <w:rFonts w:ascii="Arial" w:eastAsia="Times New Roman" w:hAnsi="Arial" w:cs="Arial"/>
                <w:b/>
                <w:bCs/>
                <w:color w:val="000000"/>
                <w:sz w:val="18"/>
                <w:szCs w:val="18"/>
                <w:lang w:val="sk-SK" w:eastAsia="sk-SK"/>
              </w:rPr>
            </w:pPr>
          </w:p>
        </w:tc>
        <w:tc>
          <w:tcPr>
            <w:tcW w:w="1064" w:type="pct"/>
            <w:tcBorders>
              <w:top w:val="single" w:sz="4" w:space="0" w:color="auto"/>
              <w:left w:val="nil"/>
              <w:bottom w:val="double" w:sz="6" w:space="0" w:color="auto"/>
              <w:right w:val="nil"/>
            </w:tcBorders>
            <w:shd w:val="clear" w:color="auto" w:fill="auto"/>
            <w:vAlign w:val="bottom"/>
            <w:hideMark/>
          </w:tcPr>
          <w:p w14:paraId="0B81BEDA" w14:textId="6336384A" w:rsidR="006B1BD1" w:rsidRPr="00226892" w:rsidRDefault="006B1BD1" w:rsidP="006B1BD1">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xml:space="preserve">370    </w:t>
            </w:r>
          </w:p>
        </w:tc>
      </w:tr>
    </w:tbl>
    <w:p w14:paraId="6C8AC3D6" w14:textId="5EF45B81" w:rsidR="00F47C39" w:rsidRPr="00226892" w:rsidDel="00F47C39" w:rsidRDefault="008D5E62">
      <w:pPr>
        <w:suppressAutoHyphens/>
        <w:rPr>
          <w:rFonts w:ascii="Arial" w:hAnsi="Arial" w:cs="Arial"/>
          <w:szCs w:val="18"/>
        </w:rPr>
      </w:pPr>
      <w:r w:rsidRPr="00226892">
        <w:rPr>
          <w:rFonts w:ascii="Arial" w:hAnsi="Arial" w:cs="Arial"/>
          <w:sz w:val="16"/>
          <w:szCs w:val="16"/>
          <w:highlight w:val="yellow"/>
        </w:rPr>
        <w:t xml:space="preserve"> </w:t>
      </w:r>
      <w:bookmarkEnd w:id="649"/>
      <w:r w:rsidRPr="00226892">
        <w:rPr>
          <w:rFonts w:ascii="Arial" w:hAnsi="Arial" w:cs="Arial"/>
          <w:sz w:val="16"/>
          <w:szCs w:val="16"/>
          <w:highlight w:val="yellow"/>
        </w:rPr>
        <w:t xml:space="preserve"> </w:t>
      </w:r>
      <w:bookmarkStart w:id="650" w:name="FWT_LoansToRelPartiesByCompany"/>
    </w:p>
    <w:tbl>
      <w:tblPr>
        <w:tblW w:w="5000" w:type="pct"/>
        <w:tblCellMar>
          <w:left w:w="70" w:type="dxa"/>
          <w:right w:w="70" w:type="dxa"/>
        </w:tblCellMar>
        <w:tblLook w:val="04A0" w:firstRow="1" w:lastRow="0" w:firstColumn="1" w:lastColumn="0" w:noHBand="0" w:noVBand="1"/>
      </w:tblPr>
      <w:tblGrid>
        <w:gridCol w:w="2274"/>
        <w:gridCol w:w="1418"/>
        <w:gridCol w:w="1520"/>
        <w:gridCol w:w="1594"/>
        <w:gridCol w:w="1428"/>
        <w:gridCol w:w="1382"/>
        <w:gridCol w:w="23"/>
      </w:tblGrid>
      <w:tr w:rsidR="00E10876" w:rsidRPr="00226892" w14:paraId="2AA15703" w14:textId="77777777" w:rsidTr="00756C6D">
        <w:trPr>
          <w:trHeight w:val="227"/>
        </w:trPr>
        <w:tc>
          <w:tcPr>
            <w:tcW w:w="1179" w:type="pct"/>
            <w:tcBorders>
              <w:top w:val="nil"/>
              <w:left w:val="nil"/>
              <w:bottom w:val="single" w:sz="4" w:space="0" w:color="auto"/>
              <w:right w:val="nil"/>
            </w:tcBorders>
            <w:shd w:val="clear" w:color="auto" w:fill="auto"/>
            <w:noWrap/>
            <w:vAlign w:val="bottom"/>
            <w:hideMark/>
          </w:tcPr>
          <w:p w14:paraId="03B25409" w14:textId="77777777" w:rsidR="00E10876" w:rsidRPr="00226892" w:rsidRDefault="00E10876">
            <w:pPr>
              <w:rPr>
                <w:rFonts w:ascii="Arial" w:hAnsi="Arial" w:cs="Arial"/>
                <w:b/>
                <w:bCs/>
                <w:color w:val="000000"/>
                <w:sz w:val="18"/>
                <w:szCs w:val="18"/>
                <w:lang w:val="sk-SK" w:eastAsia="sk-SK"/>
              </w:rPr>
            </w:pPr>
            <w:bookmarkStart w:id="651" w:name="RANGE!C3:H9"/>
            <w:proofErr w:type="spellStart"/>
            <w:r w:rsidRPr="00226892">
              <w:rPr>
                <w:rFonts w:ascii="Arial" w:hAnsi="Arial" w:cs="Arial"/>
                <w:b/>
                <w:bCs/>
                <w:color w:val="000000"/>
                <w:sz w:val="18"/>
                <w:szCs w:val="18"/>
              </w:rPr>
              <w:t>Typ</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pôžičky</w:t>
            </w:r>
            <w:bookmarkEnd w:id="651"/>
            <w:proofErr w:type="spellEnd"/>
          </w:p>
        </w:tc>
        <w:tc>
          <w:tcPr>
            <w:tcW w:w="735" w:type="pct"/>
            <w:tcBorders>
              <w:top w:val="nil"/>
              <w:left w:val="nil"/>
              <w:bottom w:val="single" w:sz="4" w:space="0" w:color="auto"/>
              <w:right w:val="nil"/>
            </w:tcBorders>
            <w:shd w:val="clear" w:color="auto" w:fill="auto"/>
            <w:vAlign w:val="bottom"/>
            <w:hideMark/>
          </w:tcPr>
          <w:p w14:paraId="6B4E8E32" w14:textId="77777777" w:rsidR="00E10876" w:rsidRPr="00226892" w:rsidRDefault="00E10876" w:rsidP="00FD21B8">
            <w:pPr>
              <w:jc w:val="center"/>
              <w:rPr>
                <w:rFonts w:ascii="Arial" w:hAnsi="Arial" w:cs="Arial"/>
                <w:b/>
                <w:bCs/>
                <w:color w:val="000000"/>
                <w:sz w:val="18"/>
                <w:szCs w:val="18"/>
              </w:rPr>
            </w:pPr>
            <w:r w:rsidRPr="00226892">
              <w:rPr>
                <w:rFonts w:ascii="Arial" w:hAnsi="Arial" w:cs="Arial"/>
                <w:b/>
                <w:bCs/>
                <w:color w:val="000000"/>
                <w:sz w:val="18"/>
                <w:szCs w:val="18"/>
              </w:rPr>
              <w:t>Mena</w:t>
            </w:r>
          </w:p>
        </w:tc>
        <w:tc>
          <w:tcPr>
            <w:tcW w:w="788" w:type="pct"/>
            <w:tcBorders>
              <w:top w:val="nil"/>
              <w:left w:val="nil"/>
              <w:bottom w:val="single" w:sz="4" w:space="0" w:color="auto"/>
              <w:right w:val="nil"/>
            </w:tcBorders>
            <w:shd w:val="clear" w:color="auto" w:fill="auto"/>
            <w:vAlign w:val="bottom"/>
            <w:hideMark/>
          </w:tcPr>
          <w:p w14:paraId="3FB20575" w14:textId="77777777" w:rsidR="00E10876" w:rsidRPr="00226892" w:rsidRDefault="00E10876" w:rsidP="00FD21B8">
            <w:pPr>
              <w:jc w:val="center"/>
              <w:rPr>
                <w:rFonts w:ascii="Arial" w:hAnsi="Arial" w:cs="Arial"/>
                <w:b/>
                <w:bCs/>
                <w:color w:val="000000"/>
                <w:sz w:val="18"/>
                <w:szCs w:val="18"/>
              </w:rPr>
            </w:pPr>
            <w:proofErr w:type="spellStart"/>
            <w:r w:rsidRPr="00226892">
              <w:rPr>
                <w:rFonts w:ascii="Arial" w:hAnsi="Arial" w:cs="Arial"/>
                <w:b/>
                <w:bCs/>
                <w:color w:val="000000"/>
                <w:sz w:val="18"/>
                <w:szCs w:val="18"/>
              </w:rPr>
              <w:t>Ročný</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úrok</w:t>
            </w:r>
            <w:proofErr w:type="spellEnd"/>
            <w:r w:rsidRPr="00226892">
              <w:rPr>
                <w:rFonts w:ascii="Arial" w:hAnsi="Arial" w:cs="Arial"/>
                <w:b/>
                <w:bCs/>
                <w:color w:val="000000"/>
                <w:sz w:val="18"/>
                <w:szCs w:val="18"/>
              </w:rPr>
              <w:t xml:space="preserve"> %</w:t>
            </w:r>
          </w:p>
        </w:tc>
        <w:tc>
          <w:tcPr>
            <w:tcW w:w="827" w:type="pct"/>
            <w:tcBorders>
              <w:top w:val="nil"/>
              <w:left w:val="nil"/>
              <w:bottom w:val="single" w:sz="4" w:space="0" w:color="auto"/>
              <w:right w:val="nil"/>
            </w:tcBorders>
            <w:shd w:val="clear" w:color="auto" w:fill="auto"/>
            <w:vAlign w:val="bottom"/>
            <w:hideMark/>
          </w:tcPr>
          <w:p w14:paraId="2B88258F" w14:textId="77777777" w:rsidR="00E10876" w:rsidRPr="00226892" w:rsidRDefault="00E10876" w:rsidP="00FD21B8">
            <w:pPr>
              <w:jc w:val="center"/>
              <w:rPr>
                <w:rFonts w:ascii="Arial" w:hAnsi="Arial" w:cs="Arial"/>
                <w:b/>
                <w:bCs/>
                <w:color w:val="000000"/>
                <w:sz w:val="18"/>
                <w:szCs w:val="18"/>
              </w:rPr>
            </w:pPr>
            <w:proofErr w:type="spellStart"/>
            <w:r w:rsidRPr="00226892">
              <w:rPr>
                <w:rFonts w:ascii="Arial" w:hAnsi="Arial" w:cs="Arial"/>
                <w:b/>
                <w:bCs/>
                <w:color w:val="000000"/>
                <w:sz w:val="18"/>
                <w:szCs w:val="18"/>
              </w:rPr>
              <w:t>Splatnosť</w:t>
            </w:r>
            <w:proofErr w:type="spellEnd"/>
          </w:p>
        </w:tc>
        <w:tc>
          <w:tcPr>
            <w:tcW w:w="741" w:type="pct"/>
            <w:tcBorders>
              <w:top w:val="nil"/>
              <w:left w:val="nil"/>
              <w:bottom w:val="single" w:sz="4" w:space="0" w:color="auto"/>
              <w:right w:val="nil"/>
            </w:tcBorders>
            <w:shd w:val="clear" w:color="auto" w:fill="auto"/>
            <w:vAlign w:val="bottom"/>
            <w:hideMark/>
          </w:tcPr>
          <w:p w14:paraId="2115A070" w14:textId="3AEAF340" w:rsidR="00E10876" w:rsidRPr="00226892" w:rsidRDefault="00E10876" w:rsidP="00FD21B8">
            <w:pPr>
              <w:jc w:val="center"/>
              <w:rPr>
                <w:rFonts w:ascii="Arial" w:hAnsi="Arial" w:cs="Arial"/>
                <w:b/>
                <w:bCs/>
                <w:color w:val="000000"/>
                <w:sz w:val="18"/>
                <w:szCs w:val="18"/>
              </w:rPr>
            </w:pPr>
            <w:proofErr w:type="spellStart"/>
            <w:r w:rsidRPr="00226892">
              <w:rPr>
                <w:rFonts w:ascii="Arial" w:hAnsi="Arial" w:cs="Arial"/>
                <w:b/>
                <w:bCs/>
                <w:color w:val="000000"/>
                <w:sz w:val="18"/>
                <w:szCs w:val="18"/>
              </w:rPr>
              <w:t>Stav</w:t>
            </w:r>
            <w:proofErr w:type="spellEnd"/>
            <w:r w:rsidRPr="00226892">
              <w:rPr>
                <w:rFonts w:ascii="Arial" w:hAnsi="Arial" w:cs="Arial"/>
                <w:b/>
                <w:bCs/>
                <w:color w:val="000000"/>
                <w:sz w:val="18"/>
                <w:szCs w:val="18"/>
              </w:rPr>
              <w:t xml:space="preserve"> </w:t>
            </w:r>
            <w:r w:rsidR="006E08CD" w:rsidRPr="00226892">
              <w:rPr>
                <w:rFonts w:ascii="Arial" w:hAnsi="Arial" w:cs="Arial"/>
                <w:b/>
                <w:bCs/>
                <w:color w:val="000000"/>
                <w:sz w:val="18"/>
                <w:szCs w:val="18"/>
              </w:rPr>
              <w:t xml:space="preserve">k 31. </w:t>
            </w:r>
            <w:proofErr w:type="spellStart"/>
            <w:r w:rsidR="006E08CD" w:rsidRPr="00226892">
              <w:rPr>
                <w:rFonts w:ascii="Arial" w:hAnsi="Arial" w:cs="Arial"/>
                <w:b/>
                <w:bCs/>
                <w:color w:val="000000"/>
                <w:sz w:val="18"/>
                <w:szCs w:val="18"/>
              </w:rPr>
              <w:t>decembru</w:t>
            </w:r>
            <w:proofErr w:type="spellEnd"/>
            <w:r w:rsidR="006E08CD" w:rsidRPr="00226892">
              <w:rPr>
                <w:rFonts w:ascii="Arial" w:hAnsi="Arial" w:cs="Arial"/>
                <w:b/>
                <w:bCs/>
                <w:color w:val="000000"/>
                <w:sz w:val="18"/>
                <w:szCs w:val="18"/>
              </w:rPr>
              <w:t xml:space="preserve"> </w:t>
            </w:r>
            <w:r w:rsidR="00FD3AC5" w:rsidRPr="00226892">
              <w:rPr>
                <w:rFonts w:ascii="Arial" w:hAnsi="Arial" w:cs="Arial"/>
                <w:b/>
                <w:bCs/>
                <w:color w:val="000000"/>
                <w:sz w:val="18"/>
                <w:szCs w:val="18"/>
              </w:rPr>
              <w:t>2018</w:t>
            </w:r>
          </w:p>
        </w:tc>
        <w:tc>
          <w:tcPr>
            <w:tcW w:w="729" w:type="pct"/>
            <w:gridSpan w:val="2"/>
            <w:tcBorders>
              <w:top w:val="nil"/>
              <w:left w:val="nil"/>
              <w:bottom w:val="single" w:sz="4" w:space="0" w:color="auto"/>
              <w:right w:val="nil"/>
            </w:tcBorders>
            <w:shd w:val="clear" w:color="auto" w:fill="auto"/>
            <w:vAlign w:val="bottom"/>
            <w:hideMark/>
          </w:tcPr>
          <w:p w14:paraId="55B8B916" w14:textId="4CA652F9" w:rsidR="00E10876" w:rsidRPr="00226892" w:rsidRDefault="00E10876" w:rsidP="00FD21B8">
            <w:pPr>
              <w:jc w:val="center"/>
              <w:rPr>
                <w:rFonts w:ascii="Arial" w:hAnsi="Arial" w:cs="Arial"/>
                <w:b/>
                <w:bCs/>
                <w:color w:val="000000"/>
                <w:sz w:val="18"/>
                <w:szCs w:val="18"/>
              </w:rPr>
            </w:pPr>
            <w:proofErr w:type="spellStart"/>
            <w:r w:rsidRPr="00226892">
              <w:rPr>
                <w:rFonts w:ascii="Arial" w:hAnsi="Arial" w:cs="Arial"/>
                <w:b/>
                <w:bCs/>
                <w:color w:val="000000"/>
                <w:sz w:val="18"/>
                <w:szCs w:val="18"/>
              </w:rPr>
              <w:t>Stav</w:t>
            </w:r>
            <w:proofErr w:type="spellEnd"/>
            <w:r w:rsidRPr="00226892">
              <w:rPr>
                <w:rFonts w:ascii="Arial" w:hAnsi="Arial" w:cs="Arial"/>
                <w:b/>
                <w:bCs/>
                <w:color w:val="000000"/>
                <w:sz w:val="18"/>
                <w:szCs w:val="18"/>
              </w:rPr>
              <w:t xml:space="preserve"> </w:t>
            </w:r>
            <w:r w:rsidR="006E08CD" w:rsidRPr="00226892">
              <w:rPr>
                <w:rFonts w:ascii="Arial" w:hAnsi="Arial" w:cs="Arial"/>
                <w:b/>
                <w:bCs/>
                <w:color w:val="000000"/>
                <w:sz w:val="18"/>
                <w:szCs w:val="18"/>
              </w:rPr>
              <w:t xml:space="preserve">k 31. </w:t>
            </w:r>
            <w:proofErr w:type="spellStart"/>
            <w:r w:rsidR="006E08CD" w:rsidRPr="00226892">
              <w:rPr>
                <w:rFonts w:ascii="Arial" w:hAnsi="Arial" w:cs="Arial"/>
                <w:b/>
                <w:bCs/>
                <w:color w:val="000000"/>
                <w:sz w:val="18"/>
                <w:szCs w:val="18"/>
              </w:rPr>
              <w:t>decembru</w:t>
            </w:r>
            <w:proofErr w:type="spellEnd"/>
            <w:r w:rsidR="006E08CD" w:rsidRPr="00226892">
              <w:rPr>
                <w:rFonts w:ascii="Arial" w:hAnsi="Arial" w:cs="Arial"/>
                <w:b/>
                <w:bCs/>
                <w:color w:val="000000"/>
                <w:sz w:val="18"/>
                <w:szCs w:val="18"/>
              </w:rPr>
              <w:t xml:space="preserve"> </w:t>
            </w:r>
            <w:r w:rsidR="00F63A77" w:rsidRPr="00226892">
              <w:rPr>
                <w:rFonts w:ascii="Arial" w:hAnsi="Arial" w:cs="Arial"/>
                <w:b/>
                <w:bCs/>
                <w:color w:val="000000"/>
                <w:sz w:val="18"/>
                <w:szCs w:val="18"/>
              </w:rPr>
              <w:t>2017</w:t>
            </w:r>
          </w:p>
        </w:tc>
      </w:tr>
      <w:tr w:rsidR="006B1BD1" w:rsidRPr="00226892" w14:paraId="7D7BD6BD" w14:textId="77777777" w:rsidTr="00756C6D">
        <w:trPr>
          <w:trHeight w:val="227"/>
        </w:trPr>
        <w:tc>
          <w:tcPr>
            <w:tcW w:w="1179" w:type="pct"/>
            <w:tcBorders>
              <w:top w:val="nil"/>
              <w:left w:val="nil"/>
              <w:bottom w:val="nil"/>
              <w:right w:val="nil"/>
            </w:tcBorders>
            <w:shd w:val="clear" w:color="auto" w:fill="auto"/>
            <w:vAlign w:val="bottom"/>
            <w:hideMark/>
          </w:tcPr>
          <w:p w14:paraId="35F013CF" w14:textId="77777777" w:rsidR="006B1BD1" w:rsidRPr="00226892" w:rsidRDefault="006B1BD1" w:rsidP="008915C0">
            <w:pPr>
              <w:rPr>
                <w:rFonts w:ascii="Arial" w:hAnsi="Arial" w:cs="Arial"/>
                <w:color w:val="000000"/>
                <w:sz w:val="18"/>
                <w:szCs w:val="18"/>
              </w:rPr>
            </w:pPr>
            <w:r w:rsidRPr="00226892">
              <w:rPr>
                <w:rFonts w:ascii="Arial" w:hAnsi="Arial" w:cs="Arial"/>
                <w:color w:val="000000"/>
                <w:sz w:val="18"/>
                <w:szCs w:val="18"/>
              </w:rPr>
              <w:t>MATADOR Automotive Rus LLC</w:t>
            </w:r>
          </w:p>
        </w:tc>
        <w:tc>
          <w:tcPr>
            <w:tcW w:w="735" w:type="pct"/>
            <w:tcBorders>
              <w:top w:val="nil"/>
              <w:left w:val="nil"/>
              <w:bottom w:val="nil"/>
              <w:right w:val="nil"/>
            </w:tcBorders>
            <w:shd w:val="clear" w:color="auto" w:fill="auto"/>
            <w:vAlign w:val="bottom"/>
            <w:hideMark/>
          </w:tcPr>
          <w:p w14:paraId="5634B28F" w14:textId="77777777" w:rsidR="006B1BD1" w:rsidRPr="00226892" w:rsidRDefault="006B1BD1" w:rsidP="008915C0">
            <w:pPr>
              <w:rPr>
                <w:rFonts w:ascii="Arial" w:hAnsi="Arial" w:cs="Arial"/>
                <w:color w:val="000000"/>
                <w:sz w:val="18"/>
                <w:szCs w:val="18"/>
              </w:rPr>
            </w:pPr>
            <w:r w:rsidRPr="00226892">
              <w:rPr>
                <w:rFonts w:ascii="Arial" w:hAnsi="Arial" w:cs="Arial"/>
                <w:color w:val="000000"/>
                <w:sz w:val="18"/>
                <w:szCs w:val="18"/>
              </w:rPr>
              <w:t xml:space="preserve">       EUR </w:t>
            </w:r>
          </w:p>
        </w:tc>
        <w:tc>
          <w:tcPr>
            <w:tcW w:w="788" w:type="pct"/>
            <w:tcBorders>
              <w:top w:val="nil"/>
              <w:left w:val="nil"/>
              <w:bottom w:val="nil"/>
              <w:right w:val="nil"/>
            </w:tcBorders>
            <w:shd w:val="clear" w:color="auto" w:fill="auto"/>
            <w:vAlign w:val="bottom"/>
            <w:hideMark/>
          </w:tcPr>
          <w:p w14:paraId="3EB2F7EF" w14:textId="3AC48818" w:rsidR="006B1BD1" w:rsidRPr="00226892" w:rsidRDefault="006B1BD1" w:rsidP="008915C0">
            <w:pPr>
              <w:rPr>
                <w:rFonts w:ascii="Arial" w:hAnsi="Arial" w:cs="Arial"/>
                <w:color w:val="000000"/>
                <w:sz w:val="18"/>
                <w:szCs w:val="18"/>
              </w:rPr>
            </w:pPr>
            <w:r w:rsidRPr="00226892">
              <w:rPr>
                <w:rFonts w:ascii="Arial" w:hAnsi="Arial" w:cs="Arial"/>
                <w:color w:val="000000"/>
                <w:sz w:val="18"/>
                <w:szCs w:val="18"/>
              </w:rPr>
              <w:t xml:space="preserve">  </w:t>
            </w:r>
            <w:r w:rsidR="005F26CD" w:rsidRPr="00226892">
              <w:rPr>
                <w:rFonts w:ascii="Arial" w:hAnsi="Arial" w:cs="Arial"/>
                <w:color w:val="000000"/>
                <w:sz w:val="18"/>
                <w:szCs w:val="18"/>
              </w:rPr>
              <w:t>1% / 3%</w:t>
            </w:r>
          </w:p>
        </w:tc>
        <w:tc>
          <w:tcPr>
            <w:tcW w:w="827" w:type="pct"/>
            <w:tcBorders>
              <w:top w:val="nil"/>
              <w:left w:val="nil"/>
              <w:bottom w:val="nil"/>
              <w:right w:val="nil"/>
            </w:tcBorders>
            <w:shd w:val="clear" w:color="auto" w:fill="auto"/>
            <w:vAlign w:val="bottom"/>
            <w:hideMark/>
          </w:tcPr>
          <w:p w14:paraId="72DE5972" w14:textId="77777777" w:rsidR="006B1BD1" w:rsidRPr="00226892" w:rsidRDefault="006B1BD1" w:rsidP="008915C0">
            <w:pPr>
              <w:jc w:val="right"/>
              <w:rPr>
                <w:rFonts w:ascii="Arial" w:hAnsi="Arial" w:cs="Arial"/>
                <w:color w:val="000000"/>
                <w:sz w:val="18"/>
                <w:szCs w:val="18"/>
              </w:rPr>
            </w:pPr>
            <w:r w:rsidRPr="00226892">
              <w:rPr>
                <w:rFonts w:ascii="Arial" w:hAnsi="Arial" w:cs="Arial"/>
                <w:color w:val="000000"/>
                <w:sz w:val="18"/>
                <w:szCs w:val="18"/>
              </w:rPr>
              <w:t xml:space="preserve">31. </w:t>
            </w:r>
            <w:proofErr w:type="spellStart"/>
            <w:r w:rsidRPr="00226892">
              <w:rPr>
                <w:rFonts w:ascii="Arial" w:hAnsi="Arial" w:cs="Arial"/>
                <w:color w:val="000000"/>
                <w:sz w:val="18"/>
                <w:szCs w:val="18"/>
              </w:rPr>
              <w:t>decembra</w:t>
            </w:r>
            <w:proofErr w:type="spellEnd"/>
            <w:r w:rsidRPr="00226892">
              <w:rPr>
                <w:rFonts w:ascii="Arial" w:hAnsi="Arial" w:cs="Arial"/>
                <w:color w:val="000000"/>
                <w:sz w:val="18"/>
                <w:szCs w:val="18"/>
              </w:rPr>
              <w:t xml:space="preserve"> 2019 </w:t>
            </w:r>
          </w:p>
        </w:tc>
        <w:tc>
          <w:tcPr>
            <w:tcW w:w="741" w:type="pct"/>
            <w:tcBorders>
              <w:top w:val="nil"/>
              <w:left w:val="nil"/>
              <w:bottom w:val="nil"/>
              <w:right w:val="nil"/>
            </w:tcBorders>
            <w:shd w:val="clear" w:color="auto" w:fill="auto"/>
            <w:vAlign w:val="bottom"/>
            <w:hideMark/>
          </w:tcPr>
          <w:p w14:paraId="571A7182" w14:textId="176BCA0F" w:rsidR="006B1BD1" w:rsidRPr="00226892" w:rsidRDefault="006B1BD1" w:rsidP="008915C0">
            <w:pPr>
              <w:jc w:val="right"/>
              <w:rPr>
                <w:rFonts w:ascii="Arial" w:hAnsi="Arial" w:cs="Arial"/>
                <w:color w:val="000000"/>
                <w:sz w:val="18"/>
                <w:szCs w:val="18"/>
              </w:rPr>
            </w:pPr>
            <w:r w:rsidRPr="00226892">
              <w:rPr>
                <w:rFonts w:ascii="Arial" w:hAnsi="Arial" w:cs="Arial"/>
                <w:color w:val="000000"/>
                <w:sz w:val="18"/>
                <w:szCs w:val="18"/>
              </w:rPr>
              <w:t>270</w:t>
            </w:r>
          </w:p>
        </w:tc>
        <w:tc>
          <w:tcPr>
            <w:tcW w:w="729" w:type="pct"/>
            <w:gridSpan w:val="2"/>
            <w:tcBorders>
              <w:top w:val="nil"/>
              <w:left w:val="nil"/>
              <w:bottom w:val="nil"/>
              <w:right w:val="nil"/>
            </w:tcBorders>
            <w:shd w:val="clear" w:color="auto" w:fill="auto"/>
            <w:vAlign w:val="bottom"/>
            <w:hideMark/>
          </w:tcPr>
          <w:p w14:paraId="2C817540" w14:textId="289E4720" w:rsidR="006B1BD1" w:rsidRPr="00226892" w:rsidRDefault="006B1BD1" w:rsidP="008915C0">
            <w:pPr>
              <w:jc w:val="right"/>
              <w:rPr>
                <w:rFonts w:ascii="Arial" w:hAnsi="Arial" w:cs="Arial"/>
                <w:color w:val="000000"/>
                <w:sz w:val="18"/>
                <w:szCs w:val="18"/>
              </w:rPr>
            </w:pPr>
            <w:r w:rsidRPr="00226892">
              <w:rPr>
                <w:rFonts w:ascii="Arial" w:hAnsi="Arial" w:cs="Arial"/>
                <w:color w:val="000000"/>
                <w:sz w:val="18"/>
                <w:szCs w:val="18"/>
              </w:rPr>
              <w:t xml:space="preserve">370 </w:t>
            </w:r>
          </w:p>
        </w:tc>
      </w:tr>
      <w:tr w:rsidR="00E10876" w:rsidRPr="00226892" w14:paraId="3794E8CD" w14:textId="77777777" w:rsidTr="00756C6D">
        <w:trPr>
          <w:trHeight w:val="227"/>
        </w:trPr>
        <w:tc>
          <w:tcPr>
            <w:tcW w:w="1179" w:type="pct"/>
            <w:tcBorders>
              <w:top w:val="nil"/>
              <w:left w:val="nil"/>
              <w:bottom w:val="nil"/>
              <w:right w:val="nil"/>
            </w:tcBorders>
            <w:shd w:val="clear" w:color="auto" w:fill="auto"/>
            <w:vAlign w:val="bottom"/>
            <w:hideMark/>
          </w:tcPr>
          <w:p w14:paraId="0A93D5A6" w14:textId="675B6B9E" w:rsidR="00E10876" w:rsidRPr="00226892" w:rsidRDefault="00734402">
            <w:pPr>
              <w:rPr>
                <w:rFonts w:ascii="Arial" w:hAnsi="Arial" w:cs="Arial"/>
                <w:color w:val="000000"/>
                <w:sz w:val="18"/>
                <w:szCs w:val="18"/>
              </w:rPr>
            </w:pPr>
            <w:r w:rsidRPr="00226892">
              <w:rPr>
                <w:rFonts w:ascii="Arial" w:hAnsi="Arial" w:cs="Arial"/>
                <w:color w:val="000000"/>
                <w:sz w:val="18"/>
                <w:szCs w:val="18"/>
              </w:rPr>
              <w:t>MATADOR Automotive Rus</w:t>
            </w:r>
            <w:r w:rsidR="00E10876" w:rsidRPr="00226892">
              <w:rPr>
                <w:rFonts w:ascii="Arial" w:hAnsi="Arial" w:cs="Arial"/>
                <w:color w:val="000000"/>
                <w:sz w:val="18"/>
                <w:szCs w:val="18"/>
              </w:rPr>
              <w:t xml:space="preserve"> </w:t>
            </w:r>
            <w:r w:rsidRPr="00226892">
              <w:rPr>
                <w:rFonts w:ascii="Arial" w:hAnsi="Arial" w:cs="Arial"/>
                <w:color w:val="000000"/>
                <w:sz w:val="18"/>
                <w:szCs w:val="18"/>
              </w:rPr>
              <w:t>LLC</w:t>
            </w:r>
          </w:p>
        </w:tc>
        <w:tc>
          <w:tcPr>
            <w:tcW w:w="735" w:type="pct"/>
            <w:tcBorders>
              <w:top w:val="nil"/>
              <w:left w:val="nil"/>
              <w:bottom w:val="nil"/>
              <w:right w:val="nil"/>
            </w:tcBorders>
            <w:shd w:val="clear" w:color="auto" w:fill="auto"/>
            <w:vAlign w:val="bottom"/>
            <w:hideMark/>
          </w:tcPr>
          <w:p w14:paraId="647806B0" w14:textId="54797019" w:rsidR="00E10876" w:rsidRPr="00226892" w:rsidRDefault="00E10876">
            <w:pPr>
              <w:rPr>
                <w:rFonts w:ascii="Arial" w:hAnsi="Arial" w:cs="Arial"/>
                <w:color w:val="000000"/>
                <w:sz w:val="18"/>
                <w:szCs w:val="18"/>
              </w:rPr>
            </w:pPr>
            <w:r w:rsidRPr="00226892">
              <w:rPr>
                <w:rFonts w:ascii="Arial" w:hAnsi="Arial" w:cs="Arial"/>
                <w:color w:val="000000"/>
                <w:sz w:val="18"/>
                <w:szCs w:val="18"/>
              </w:rPr>
              <w:t xml:space="preserve"> </w:t>
            </w:r>
            <w:r w:rsidR="00552F98" w:rsidRPr="00226892">
              <w:rPr>
                <w:rFonts w:ascii="Arial" w:hAnsi="Arial" w:cs="Arial"/>
                <w:color w:val="000000"/>
                <w:sz w:val="18"/>
                <w:szCs w:val="18"/>
              </w:rPr>
              <w:t xml:space="preserve">      </w:t>
            </w:r>
            <w:r w:rsidRPr="00226892">
              <w:rPr>
                <w:rFonts w:ascii="Arial" w:hAnsi="Arial" w:cs="Arial"/>
                <w:color w:val="000000"/>
                <w:sz w:val="18"/>
                <w:szCs w:val="18"/>
              </w:rPr>
              <w:t xml:space="preserve">EUR </w:t>
            </w:r>
          </w:p>
        </w:tc>
        <w:tc>
          <w:tcPr>
            <w:tcW w:w="788" w:type="pct"/>
            <w:tcBorders>
              <w:top w:val="nil"/>
              <w:left w:val="nil"/>
              <w:bottom w:val="nil"/>
              <w:right w:val="nil"/>
            </w:tcBorders>
            <w:shd w:val="clear" w:color="auto" w:fill="auto"/>
            <w:vAlign w:val="bottom"/>
            <w:hideMark/>
          </w:tcPr>
          <w:p w14:paraId="6BA56F6B" w14:textId="2F3BC8E2" w:rsidR="00E10876" w:rsidRPr="00226892" w:rsidRDefault="00734402">
            <w:pPr>
              <w:rPr>
                <w:rFonts w:ascii="Arial" w:hAnsi="Arial" w:cs="Arial"/>
                <w:color w:val="000000"/>
                <w:sz w:val="18"/>
                <w:szCs w:val="18"/>
              </w:rPr>
            </w:pPr>
            <w:r w:rsidRPr="00226892">
              <w:rPr>
                <w:rFonts w:ascii="Arial" w:hAnsi="Arial" w:cs="Arial"/>
                <w:color w:val="000000"/>
                <w:sz w:val="18"/>
                <w:szCs w:val="18"/>
              </w:rPr>
              <w:t xml:space="preserve">  </w:t>
            </w:r>
            <w:r w:rsidR="005F26CD" w:rsidRPr="00226892">
              <w:rPr>
                <w:rFonts w:ascii="Arial" w:hAnsi="Arial" w:cs="Arial"/>
                <w:color w:val="000000"/>
                <w:sz w:val="18"/>
                <w:szCs w:val="18"/>
              </w:rPr>
              <w:t>1%</w:t>
            </w:r>
          </w:p>
        </w:tc>
        <w:tc>
          <w:tcPr>
            <w:tcW w:w="827" w:type="pct"/>
            <w:tcBorders>
              <w:top w:val="nil"/>
              <w:left w:val="nil"/>
              <w:bottom w:val="nil"/>
              <w:right w:val="nil"/>
            </w:tcBorders>
            <w:shd w:val="clear" w:color="auto" w:fill="auto"/>
            <w:vAlign w:val="bottom"/>
            <w:hideMark/>
          </w:tcPr>
          <w:p w14:paraId="44B041C6" w14:textId="522991BF" w:rsidR="00E10876" w:rsidRPr="00226892" w:rsidRDefault="006B1BD1">
            <w:pPr>
              <w:jc w:val="right"/>
              <w:rPr>
                <w:rFonts w:ascii="Arial" w:hAnsi="Arial" w:cs="Arial"/>
                <w:color w:val="000000"/>
                <w:sz w:val="18"/>
                <w:szCs w:val="18"/>
              </w:rPr>
            </w:pPr>
            <w:r w:rsidRPr="00226892">
              <w:rPr>
                <w:rFonts w:ascii="Arial" w:hAnsi="Arial" w:cs="Arial"/>
                <w:color w:val="000000"/>
                <w:sz w:val="18"/>
                <w:szCs w:val="18"/>
              </w:rPr>
              <w:t xml:space="preserve">31. </w:t>
            </w:r>
            <w:proofErr w:type="spellStart"/>
            <w:r w:rsidRPr="00226892">
              <w:rPr>
                <w:rFonts w:ascii="Arial" w:hAnsi="Arial" w:cs="Arial"/>
                <w:color w:val="000000"/>
                <w:sz w:val="18"/>
                <w:szCs w:val="18"/>
              </w:rPr>
              <w:t>decembra</w:t>
            </w:r>
            <w:proofErr w:type="spellEnd"/>
            <w:r w:rsidRPr="00226892">
              <w:rPr>
                <w:rFonts w:ascii="Arial" w:hAnsi="Arial" w:cs="Arial"/>
                <w:color w:val="000000"/>
                <w:sz w:val="18"/>
                <w:szCs w:val="18"/>
              </w:rPr>
              <w:t xml:space="preserve"> 2019</w:t>
            </w:r>
            <w:r w:rsidR="00E10876" w:rsidRPr="00226892">
              <w:rPr>
                <w:rFonts w:ascii="Arial" w:hAnsi="Arial" w:cs="Arial"/>
                <w:color w:val="000000"/>
                <w:sz w:val="18"/>
                <w:szCs w:val="18"/>
              </w:rPr>
              <w:t xml:space="preserve"> </w:t>
            </w:r>
          </w:p>
        </w:tc>
        <w:tc>
          <w:tcPr>
            <w:tcW w:w="741" w:type="pct"/>
            <w:tcBorders>
              <w:top w:val="nil"/>
              <w:left w:val="nil"/>
              <w:bottom w:val="nil"/>
              <w:right w:val="nil"/>
            </w:tcBorders>
            <w:shd w:val="clear" w:color="auto" w:fill="auto"/>
            <w:vAlign w:val="bottom"/>
            <w:hideMark/>
          </w:tcPr>
          <w:p w14:paraId="38D823F8" w14:textId="1FC93D4E" w:rsidR="00E10876" w:rsidRPr="00226892" w:rsidRDefault="006B1BD1" w:rsidP="00D14B23">
            <w:pPr>
              <w:jc w:val="right"/>
              <w:rPr>
                <w:rFonts w:ascii="Arial" w:hAnsi="Arial" w:cs="Arial"/>
                <w:color w:val="000000"/>
                <w:sz w:val="18"/>
                <w:szCs w:val="18"/>
              </w:rPr>
            </w:pPr>
            <w:r w:rsidRPr="00226892">
              <w:rPr>
                <w:rFonts w:ascii="Arial" w:hAnsi="Arial" w:cs="Arial"/>
                <w:color w:val="000000"/>
                <w:sz w:val="18"/>
                <w:szCs w:val="18"/>
              </w:rPr>
              <w:t>200</w:t>
            </w:r>
          </w:p>
        </w:tc>
        <w:tc>
          <w:tcPr>
            <w:tcW w:w="729" w:type="pct"/>
            <w:gridSpan w:val="2"/>
            <w:tcBorders>
              <w:top w:val="nil"/>
              <w:left w:val="nil"/>
              <w:bottom w:val="nil"/>
              <w:right w:val="nil"/>
            </w:tcBorders>
            <w:shd w:val="clear" w:color="auto" w:fill="auto"/>
            <w:vAlign w:val="bottom"/>
            <w:hideMark/>
          </w:tcPr>
          <w:p w14:paraId="56E8AF2B" w14:textId="0641A8EA" w:rsidR="00E10876" w:rsidRPr="00226892" w:rsidRDefault="006B1BD1" w:rsidP="003F31F6">
            <w:pPr>
              <w:jc w:val="right"/>
              <w:rPr>
                <w:rFonts w:ascii="Arial" w:hAnsi="Arial" w:cs="Arial"/>
                <w:color w:val="000000"/>
                <w:sz w:val="18"/>
                <w:szCs w:val="18"/>
              </w:rPr>
            </w:pPr>
            <w:r w:rsidRPr="00226892">
              <w:rPr>
                <w:rFonts w:ascii="Arial" w:hAnsi="Arial" w:cs="Arial"/>
                <w:color w:val="000000"/>
                <w:sz w:val="18"/>
                <w:szCs w:val="18"/>
              </w:rPr>
              <w:t>-</w:t>
            </w:r>
            <w:r w:rsidR="002A1004" w:rsidRPr="00226892">
              <w:rPr>
                <w:rFonts w:ascii="Arial" w:hAnsi="Arial" w:cs="Arial"/>
                <w:color w:val="000000"/>
                <w:sz w:val="18"/>
                <w:szCs w:val="18"/>
              </w:rPr>
              <w:t xml:space="preserve"> </w:t>
            </w:r>
          </w:p>
        </w:tc>
      </w:tr>
      <w:tr w:rsidR="00552F98" w:rsidRPr="00226892" w14:paraId="6967AA3A" w14:textId="77777777" w:rsidTr="00756C6D">
        <w:trPr>
          <w:trHeight w:val="227"/>
        </w:trPr>
        <w:tc>
          <w:tcPr>
            <w:tcW w:w="1179" w:type="pct"/>
            <w:tcBorders>
              <w:top w:val="nil"/>
              <w:left w:val="nil"/>
              <w:bottom w:val="nil"/>
              <w:right w:val="nil"/>
            </w:tcBorders>
            <w:shd w:val="clear" w:color="auto" w:fill="auto"/>
            <w:noWrap/>
            <w:vAlign w:val="bottom"/>
          </w:tcPr>
          <w:p w14:paraId="7F19ED71" w14:textId="16FA8072" w:rsidR="00552F98" w:rsidRPr="00226892" w:rsidRDefault="00552F98" w:rsidP="00EA37EA">
            <w:pPr>
              <w:rPr>
                <w:rFonts w:ascii="Arial" w:hAnsi="Arial" w:cs="Arial"/>
                <w:b/>
                <w:bCs/>
                <w:color w:val="000000"/>
                <w:sz w:val="18"/>
                <w:szCs w:val="18"/>
              </w:rPr>
            </w:pPr>
          </w:p>
        </w:tc>
        <w:tc>
          <w:tcPr>
            <w:tcW w:w="735" w:type="pct"/>
            <w:tcBorders>
              <w:top w:val="nil"/>
              <w:left w:val="nil"/>
              <w:bottom w:val="nil"/>
              <w:right w:val="nil"/>
            </w:tcBorders>
            <w:shd w:val="clear" w:color="auto" w:fill="auto"/>
            <w:vAlign w:val="bottom"/>
          </w:tcPr>
          <w:p w14:paraId="20B6FA65" w14:textId="77777777" w:rsidR="00552F98" w:rsidRPr="00226892" w:rsidRDefault="00552F98" w:rsidP="00EA37EA">
            <w:pPr>
              <w:rPr>
                <w:rFonts w:ascii="Arial" w:hAnsi="Arial" w:cs="Arial"/>
                <w:b/>
                <w:bCs/>
                <w:color w:val="000000"/>
                <w:sz w:val="18"/>
                <w:szCs w:val="18"/>
              </w:rPr>
            </w:pPr>
          </w:p>
        </w:tc>
        <w:tc>
          <w:tcPr>
            <w:tcW w:w="788" w:type="pct"/>
            <w:tcBorders>
              <w:top w:val="nil"/>
              <w:left w:val="nil"/>
              <w:bottom w:val="nil"/>
              <w:right w:val="nil"/>
            </w:tcBorders>
            <w:shd w:val="clear" w:color="auto" w:fill="auto"/>
            <w:vAlign w:val="bottom"/>
          </w:tcPr>
          <w:p w14:paraId="26B0AF5D" w14:textId="77777777" w:rsidR="00552F98" w:rsidRPr="00226892" w:rsidRDefault="00552F98" w:rsidP="00EA37EA">
            <w:pPr>
              <w:rPr>
                <w:rFonts w:ascii="Arial" w:hAnsi="Arial" w:cs="Arial"/>
                <w:sz w:val="18"/>
                <w:szCs w:val="18"/>
              </w:rPr>
            </w:pPr>
          </w:p>
        </w:tc>
        <w:tc>
          <w:tcPr>
            <w:tcW w:w="827" w:type="pct"/>
            <w:tcBorders>
              <w:top w:val="nil"/>
              <w:left w:val="nil"/>
              <w:bottom w:val="nil"/>
              <w:right w:val="nil"/>
            </w:tcBorders>
            <w:shd w:val="clear" w:color="auto" w:fill="auto"/>
            <w:vAlign w:val="bottom"/>
          </w:tcPr>
          <w:p w14:paraId="63443EE0" w14:textId="77777777" w:rsidR="00552F98" w:rsidRPr="00226892" w:rsidRDefault="00552F98" w:rsidP="00EA37EA">
            <w:pPr>
              <w:jc w:val="right"/>
              <w:rPr>
                <w:rFonts w:ascii="Arial" w:hAnsi="Arial" w:cs="Arial"/>
                <w:sz w:val="18"/>
                <w:szCs w:val="18"/>
              </w:rPr>
            </w:pPr>
          </w:p>
        </w:tc>
        <w:tc>
          <w:tcPr>
            <w:tcW w:w="741" w:type="pct"/>
            <w:tcBorders>
              <w:top w:val="nil"/>
              <w:left w:val="nil"/>
              <w:bottom w:val="single" w:sz="4" w:space="0" w:color="auto"/>
              <w:right w:val="nil"/>
            </w:tcBorders>
            <w:shd w:val="clear" w:color="auto" w:fill="auto"/>
            <w:vAlign w:val="bottom"/>
          </w:tcPr>
          <w:p w14:paraId="4C2D0B24" w14:textId="45D85325" w:rsidR="00552F98" w:rsidRPr="00226892" w:rsidRDefault="00552F98" w:rsidP="00EA37EA">
            <w:pPr>
              <w:jc w:val="right"/>
              <w:rPr>
                <w:rFonts w:ascii="Arial" w:hAnsi="Arial" w:cs="Arial"/>
                <w:b/>
                <w:bCs/>
                <w:color w:val="000000"/>
                <w:sz w:val="18"/>
                <w:szCs w:val="18"/>
              </w:rPr>
            </w:pPr>
          </w:p>
        </w:tc>
        <w:tc>
          <w:tcPr>
            <w:tcW w:w="729" w:type="pct"/>
            <w:gridSpan w:val="2"/>
            <w:tcBorders>
              <w:top w:val="nil"/>
              <w:left w:val="nil"/>
              <w:bottom w:val="single" w:sz="4" w:space="0" w:color="auto"/>
              <w:right w:val="nil"/>
            </w:tcBorders>
            <w:shd w:val="clear" w:color="auto" w:fill="auto"/>
            <w:vAlign w:val="bottom"/>
          </w:tcPr>
          <w:p w14:paraId="77112FE7" w14:textId="48FA4FE8" w:rsidR="00552F98" w:rsidRPr="00226892" w:rsidRDefault="00552F98" w:rsidP="00EA37EA">
            <w:pPr>
              <w:jc w:val="right"/>
              <w:rPr>
                <w:rFonts w:ascii="Arial" w:hAnsi="Arial" w:cs="Arial"/>
                <w:b/>
                <w:bCs/>
                <w:color w:val="000000"/>
                <w:sz w:val="18"/>
                <w:szCs w:val="18"/>
              </w:rPr>
            </w:pPr>
          </w:p>
        </w:tc>
      </w:tr>
      <w:tr w:rsidR="00E10876" w:rsidRPr="00226892" w14:paraId="7CA0F245" w14:textId="77777777" w:rsidTr="00756C6D">
        <w:trPr>
          <w:trHeight w:val="227"/>
        </w:trPr>
        <w:tc>
          <w:tcPr>
            <w:tcW w:w="1179" w:type="pct"/>
            <w:tcBorders>
              <w:top w:val="nil"/>
              <w:left w:val="nil"/>
              <w:bottom w:val="nil"/>
              <w:right w:val="nil"/>
            </w:tcBorders>
            <w:shd w:val="clear" w:color="auto" w:fill="auto"/>
            <w:noWrap/>
            <w:vAlign w:val="bottom"/>
            <w:hideMark/>
          </w:tcPr>
          <w:p w14:paraId="679FC7D5" w14:textId="55859B5E" w:rsidR="00E10876" w:rsidRPr="00226892" w:rsidRDefault="00E10876">
            <w:pPr>
              <w:rPr>
                <w:rFonts w:ascii="Arial" w:hAnsi="Arial" w:cs="Arial"/>
                <w:b/>
                <w:bCs/>
                <w:color w:val="000000"/>
                <w:sz w:val="18"/>
                <w:szCs w:val="18"/>
              </w:rPr>
            </w:pPr>
            <w:proofErr w:type="spellStart"/>
            <w:r w:rsidRPr="00226892">
              <w:rPr>
                <w:rFonts w:ascii="Arial" w:hAnsi="Arial" w:cs="Arial"/>
                <w:b/>
                <w:bCs/>
                <w:color w:val="000000"/>
                <w:sz w:val="18"/>
                <w:szCs w:val="18"/>
              </w:rPr>
              <w:t>Spolu</w:t>
            </w:r>
            <w:proofErr w:type="spellEnd"/>
          </w:p>
        </w:tc>
        <w:tc>
          <w:tcPr>
            <w:tcW w:w="735" w:type="pct"/>
            <w:tcBorders>
              <w:top w:val="nil"/>
              <w:left w:val="nil"/>
              <w:bottom w:val="nil"/>
              <w:right w:val="nil"/>
            </w:tcBorders>
            <w:shd w:val="clear" w:color="auto" w:fill="auto"/>
            <w:vAlign w:val="bottom"/>
            <w:hideMark/>
          </w:tcPr>
          <w:p w14:paraId="77C2232C" w14:textId="77777777" w:rsidR="00E10876" w:rsidRPr="00226892" w:rsidRDefault="00E10876">
            <w:pPr>
              <w:rPr>
                <w:rFonts w:ascii="Arial" w:hAnsi="Arial" w:cs="Arial"/>
                <w:b/>
                <w:bCs/>
                <w:color w:val="000000"/>
                <w:sz w:val="18"/>
                <w:szCs w:val="18"/>
              </w:rPr>
            </w:pPr>
          </w:p>
        </w:tc>
        <w:tc>
          <w:tcPr>
            <w:tcW w:w="788" w:type="pct"/>
            <w:tcBorders>
              <w:top w:val="nil"/>
              <w:left w:val="nil"/>
              <w:bottom w:val="nil"/>
              <w:right w:val="nil"/>
            </w:tcBorders>
            <w:shd w:val="clear" w:color="auto" w:fill="auto"/>
            <w:vAlign w:val="bottom"/>
            <w:hideMark/>
          </w:tcPr>
          <w:p w14:paraId="6DCC454B" w14:textId="77777777" w:rsidR="00E10876" w:rsidRPr="00226892" w:rsidRDefault="00E10876">
            <w:pPr>
              <w:rPr>
                <w:rFonts w:ascii="Arial" w:hAnsi="Arial" w:cs="Arial"/>
                <w:sz w:val="18"/>
                <w:szCs w:val="18"/>
              </w:rPr>
            </w:pPr>
          </w:p>
        </w:tc>
        <w:tc>
          <w:tcPr>
            <w:tcW w:w="827" w:type="pct"/>
            <w:tcBorders>
              <w:top w:val="nil"/>
              <w:left w:val="nil"/>
              <w:bottom w:val="nil"/>
              <w:right w:val="nil"/>
            </w:tcBorders>
            <w:shd w:val="clear" w:color="auto" w:fill="auto"/>
            <w:vAlign w:val="bottom"/>
            <w:hideMark/>
          </w:tcPr>
          <w:p w14:paraId="508B4741" w14:textId="77777777" w:rsidR="00E10876" w:rsidRPr="00226892" w:rsidRDefault="00E10876" w:rsidP="003F31F6">
            <w:pPr>
              <w:jc w:val="right"/>
              <w:rPr>
                <w:rFonts w:ascii="Arial" w:hAnsi="Arial" w:cs="Arial"/>
                <w:sz w:val="18"/>
                <w:szCs w:val="18"/>
              </w:rPr>
            </w:pPr>
          </w:p>
        </w:tc>
        <w:tc>
          <w:tcPr>
            <w:tcW w:w="741" w:type="pct"/>
            <w:tcBorders>
              <w:top w:val="single" w:sz="4" w:space="0" w:color="auto"/>
              <w:left w:val="nil"/>
              <w:bottom w:val="double" w:sz="4" w:space="0" w:color="auto"/>
              <w:right w:val="nil"/>
            </w:tcBorders>
            <w:shd w:val="clear" w:color="auto" w:fill="auto"/>
            <w:vAlign w:val="bottom"/>
            <w:hideMark/>
          </w:tcPr>
          <w:p w14:paraId="0A396FF1" w14:textId="1FF9C8BD" w:rsidR="00E10876" w:rsidRPr="00226892" w:rsidRDefault="006B1BD1" w:rsidP="003F31F6">
            <w:pPr>
              <w:jc w:val="right"/>
              <w:rPr>
                <w:rFonts w:ascii="Arial" w:hAnsi="Arial" w:cs="Arial"/>
                <w:b/>
                <w:bCs/>
                <w:color w:val="000000"/>
                <w:sz w:val="18"/>
                <w:szCs w:val="18"/>
              </w:rPr>
            </w:pPr>
            <w:r w:rsidRPr="00226892">
              <w:rPr>
                <w:rFonts w:ascii="Arial" w:hAnsi="Arial" w:cs="Arial"/>
                <w:b/>
                <w:bCs/>
                <w:color w:val="000000"/>
                <w:sz w:val="18"/>
                <w:szCs w:val="18"/>
              </w:rPr>
              <w:t>4</w:t>
            </w:r>
            <w:r w:rsidR="00734402" w:rsidRPr="00226892">
              <w:rPr>
                <w:rFonts w:ascii="Arial" w:hAnsi="Arial" w:cs="Arial"/>
                <w:b/>
                <w:bCs/>
                <w:color w:val="000000"/>
                <w:sz w:val="18"/>
                <w:szCs w:val="18"/>
              </w:rPr>
              <w:t>70</w:t>
            </w:r>
            <w:r w:rsidR="002A1004" w:rsidRPr="00226892">
              <w:rPr>
                <w:rFonts w:ascii="Arial" w:hAnsi="Arial" w:cs="Arial"/>
                <w:b/>
                <w:bCs/>
                <w:color w:val="000000"/>
                <w:sz w:val="18"/>
                <w:szCs w:val="18"/>
              </w:rPr>
              <w:t xml:space="preserve"> </w:t>
            </w:r>
          </w:p>
        </w:tc>
        <w:tc>
          <w:tcPr>
            <w:tcW w:w="729" w:type="pct"/>
            <w:gridSpan w:val="2"/>
            <w:tcBorders>
              <w:top w:val="single" w:sz="4" w:space="0" w:color="auto"/>
              <w:left w:val="nil"/>
              <w:bottom w:val="double" w:sz="4" w:space="0" w:color="auto"/>
              <w:right w:val="nil"/>
            </w:tcBorders>
            <w:shd w:val="clear" w:color="auto" w:fill="auto"/>
            <w:vAlign w:val="bottom"/>
            <w:hideMark/>
          </w:tcPr>
          <w:p w14:paraId="58883688" w14:textId="4C96C92F" w:rsidR="00E10876" w:rsidRPr="00226892" w:rsidRDefault="006B1BD1" w:rsidP="003F31F6">
            <w:pPr>
              <w:jc w:val="right"/>
              <w:rPr>
                <w:rFonts w:ascii="Arial" w:hAnsi="Arial" w:cs="Arial"/>
                <w:b/>
                <w:bCs/>
                <w:color w:val="000000"/>
                <w:sz w:val="18"/>
                <w:szCs w:val="18"/>
              </w:rPr>
            </w:pPr>
            <w:r w:rsidRPr="00226892">
              <w:rPr>
                <w:rFonts w:ascii="Arial" w:hAnsi="Arial" w:cs="Arial"/>
                <w:b/>
                <w:bCs/>
                <w:color w:val="000000"/>
                <w:sz w:val="18"/>
                <w:szCs w:val="18"/>
              </w:rPr>
              <w:t>370</w:t>
            </w:r>
          </w:p>
        </w:tc>
      </w:tr>
      <w:tr w:rsidR="00F47C39" w:rsidRPr="00226892" w14:paraId="6C02FC36" w14:textId="77777777" w:rsidTr="00756C6D">
        <w:trPr>
          <w:gridAfter w:val="1"/>
          <w:wAfter w:w="11" w:type="pct"/>
          <w:trHeight w:val="227"/>
        </w:trPr>
        <w:tc>
          <w:tcPr>
            <w:tcW w:w="1179" w:type="pct"/>
            <w:tcBorders>
              <w:top w:val="nil"/>
              <w:left w:val="nil"/>
              <w:right w:val="nil"/>
            </w:tcBorders>
            <w:shd w:val="clear" w:color="auto" w:fill="auto"/>
            <w:noWrap/>
            <w:vAlign w:val="bottom"/>
          </w:tcPr>
          <w:p w14:paraId="2287D251" w14:textId="468EBF7B" w:rsidR="00F47C39" w:rsidRPr="00226892" w:rsidRDefault="00F47C39">
            <w:pPr>
              <w:suppressAutoHyphens/>
              <w:jc w:val="center"/>
              <w:rPr>
                <w:rFonts w:ascii="Arial" w:eastAsia="Times New Roman" w:hAnsi="Arial" w:cs="Arial"/>
                <w:b/>
                <w:bCs/>
                <w:color w:val="000000"/>
                <w:sz w:val="18"/>
                <w:szCs w:val="18"/>
                <w:lang w:val="sk-SK" w:eastAsia="sk-SK"/>
              </w:rPr>
            </w:pPr>
          </w:p>
        </w:tc>
        <w:tc>
          <w:tcPr>
            <w:tcW w:w="735" w:type="pct"/>
            <w:tcBorders>
              <w:top w:val="nil"/>
              <w:left w:val="nil"/>
              <w:right w:val="nil"/>
            </w:tcBorders>
            <w:shd w:val="clear" w:color="auto" w:fill="auto"/>
            <w:vAlign w:val="bottom"/>
          </w:tcPr>
          <w:p w14:paraId="4F9C44B7" w14:textId="6D54BEDA" w:rsidR="00F47C39" w:rsidRPr="00226892" w:rsidRDefault="00F47C39">
            <w:pPr>
              <w:suppressAutoHyphens/>
              <w:jc w:val="center"/>
              <w:rPr>
                <w:rFonts w:ascii="Arial" w:eastAsia="Times New Roman" w:hAnsi="Arial" w:cs="Arial"/>
                <w:b/>
                <w:bCs/>
                <w:color w:val="000000"/>
                <w:sz w:val="18"/>
                <w:szCs w:val="18"/>
                <w:lang w:val="sk-SK" w:eastAsia="sk-SK"/>
              </w:rPr>
            </w:pPr>
          </w:p>
        </w:tc>
        <w:tc>
          <w:tcPr>
            <w:tcW w:w="788" w:type="pct"/>
            <w:tcBorders>
              <w:top w:val="nil"/>
              <w:left w:val="nil"/>
              <w:right w:val="nil"/>
            </w:tcBorders>
            <w:shd w:val="clear" w:color="auto" w:fill="auto"/>
            <w:vAlign w:val="bottom"/>
          </w:tcPr>
          <w:p w14:paraId="390511C6" w14:textId="672AA3FC" w:rsidR="00F47C39" w:rsidRPr="00226892" w:rsidRDefault="00F47C39">
            <w:pPr>
              <w:suppressAutoHyphens/>
              <w:jc w:val="center"/>
              <w:rPr>
                <w:rFonts w:ascii="Arial" w:eastAsia="Times New Roman" w:hAnsi="Arial" w:cs="Arial"/>
                <w:b/>
                <w:bCs/>
                <w:color w:val="000000"/>
                <w:sz w:val="18"/>
                <w:szCs w:val="18"/>
                <w:lang w:val="sk-SK" w:eastAsia="sk-SK"/>
              </w:rPr>
            </w:pPr>
          </w:p>
        </w:tc>
        <w:tc>
          <w:tcPr>
            <w:tcW w:w="827" w:type="pct"/>
            <w:tcBorders>
              <w:top w:val="nil"/>
              <w:left w:val="nil"/>
              <w:right w:val="nil"/>
            </w:tcBorders>
            <w:shd w:val="clear" w:color="auto" w:fill="auto"/>
            <w:vAlign w:val="bottom"/>
          </w:tcPr>
          <w:p w14:paraId="1287A4FC" w14:textId="69E1DEE0" w:rsidR="00F47C39" w:rsidRPr="00226892" w:rsidRDefault="00F47C39" w:rsidP="003F31F6">
            <w:pPr>
              <w:suppressAutoHyphens/>
              <w:jc w:val="right"/>
              <w:rPr>
                <w:rFonts w:ascii="Arial" w:eastAsia="Times New Roman" w:hAnsi="Arial" w:cs="Arial"/>
                <w:b/>
                <w:bCs/>
                <w:color w:val="000000"/>
                <w:sz w:val="18"/>
                <w:szCs w:val="18"/>
                <w:lang w:val="sk-SK" w:eastAsia="sk-SK"/>
              </w:rPr>
            </w:pPr>
          </w:p>
        </w:tc>
        <w:tc>
          <w:tcPr>
            <w:tcW w:w="741" w:type="pct"/>
            <w:tcBorders>
              <w:top w:val="nil"/>
              <w:left w:val="nil"/>
              <w:right w:val="nil"/>
            </w:tcBorders>
            <w:shd w:val="clear" w:color="auto" w:fill="auto"/>
            <w:vAlign w:val="bottom"/>
          </w:tcPr>
          <w:p w14:paraId="78D11908" w14:textId="54D895EC" w:rsidR="00F47C39" w:rsidRPr="00226892" w:rsidRDefault="00F47C39" w:rsidP="003F31F6">
            <w:pPr>
              <w:suppressAutoHyphens/>
              <w:jc w:val="right"/>
              <w:rPr>
                <w:rFonts w:ascii="Arial" w:eastAsia="Times New Roman" w:hAnsi="Arial" w:cs="Arial"/>
                <w:b/>
                <w:bCs/>
                <w:color w:val="000000"/>
                <w:sz w:val="18"/>
                <w:szCs w:val="18"/>
                <w:lang w:val="sk-SK" w:eastAsia="sk-SK"/>
              </w:rPr>
            </w:pPr>
          </w:p>
        </w:tc>
        <w:tc>
          <w:tcPr>
            <w:tcW w:w="717" w:type="pct"/>
            <w:tcBorders>
              <w:top w:val="nil"/>
              <w:left w:val="nil"/>
              <w:right w:val="nil"/>
            </w:tcBorders>
            <w:shd w:val="clear" w:color="auto" w:fill="auto"/>
            <w:vAlign w:val="bottom"/>
          </w:tcPr>
          <w:p w14:paraId="08BA3EAC" w14:textId="367D8A62" w:rsidR="00F47C39" w:rsidRPr="00226892" w:rsidRDefault="00F47C39" w:rsidP="003F31F6">
            <w:pPr>
              <w:suppressAutoHyphens/>
              <w:jc w:val="right"/>
              <w:rPr>
                <w:rFonts w:ascii="Arial" w:eastAsia="Times New Roman" w:hAnsi="Arial" w:cs="Arial"/>
                <w:b/>
                <w:bCs/>
                <w:color w:val="000000"/>
                <w:sz w:val="18"/>
                <w:szCs w:val="18"/>
                <w:lang w:val="sk-SK" w:eastAsia="sk-SK"/>
              </w:rPr>
            </w:pPr>
          </w:p>
        </w:tc>
      </w:tr>
      <w:bookmarkEnd w:id="650"/>
    </w:tbl>
    <w:p w14:paraId="1BE7672B" w14:textId="77777777" w:rsidR="00B4124A" w:rsidRPr="00226892" w:rsidRDefault="00B4124A" w:rsidP="00235CDF">
      <w:pPr>
        <w:suppressAutoHyphens/>
        <w:rPr>
          <w:rFonts w:ascii="Arial" w:hAnsi="Arial" w:cs="Arial"/>
          <w:lang w:val="sk-SK"/>
        </w:rPr>
      </w:pPr>
    </w:p>
    <w:p w14:paraId="63296AA3" w14:textId="77777777" w:rsidR="00B4124A" w:rsidRPr="00226892" w:rsidRDefault="00B4124A" w:rsidP="00235CDF">
      <w:pPr>
        <w:suppressAutoHyphens/>
        <w:rPr>
          <w:rFonts w:ascii="Arial" w:hAnsi="Arial" w:cs="Arial"/>
          <w:lang w:val="sk-SK"/>
        </w:rPr>
      </w:pPr>
    </w:p>
    <w:p w14:paraId="087926C4" w14:textId="77777777" w:rsidR="00B4124A" w:rsidRPr="00226892" w:rsidRDefault="00B4124A" w:rsidP="00235CDF">
      <w:pPr>
        <w:suppressAutoHyphens/>
        <w:rPr>
          <w:rFonts w:ascii="Arial" w:hAnsi="Arial" w:cs="Arial"/>
          <w:lang w:val="sk-SK"/>
        </w:rPr>
      </w:pPr>
    </w:p>
    <w:p w14:paraId="0338B280" w14:textId="2BDDA5DA" w:rsidR="00756C6D" w:rsidRPr="00226892" w:rsidRDefault="002D5876" w:rsidP="00235CDF">
      <w:pPr>
        <w:suppressAutoHyphens/>
        <w:rPr>
          <w:rFonts w:ascii="Arial" w:hAnsi="Arial" w:cs="Arial"/>
          <w:sz w:val="18"/>
          <w:szCs w:val="18"/>
          <w:lang w:val="sk-SK"/>
        </w:rPr>
      </w:pPr>
      <w:r w:rsidRPr="00226892">
        <w:rPr>
          <w:rFonts w:ascii="Arial" w:hAnsi="Arial" w:cs="Arial"/>
          <w:lang w:val="sk-SK"/>
        </w:rPr>
        <w:lastRenderedPageBreak/>
        <w:t xml:space="preserve">Prehľad pôžičiek poskytnutých od spriaznených strán v roku  </w:t>
      </w:r>
      <w:r w:rsidR="00FD3AC5" w:rsidRPr="00226892">
        <w:rPr>
          <w:rFonts w:ascii="Arial" w:hAnsi="Arial" w:cs="Arial"/>
          <w:lang w:val="sk-SK"/>
        </w:rPr>
        <w:t>2018</w:t>
      </w:r>
      <w:r w:rsidRPr="00226892">
        <w:rPr>
          <w:rFonts w:ascii="Arial" w:hAnsi="Arial" w:cs="Arial"/>
          <w:lang w:val="sk-SK"/>
        </w:rPr>
        <w:t xml:space="preserve"> a </w:t>
      </w:r>
      <w:r w:rsidR="00F63A77" w:rsidRPr="00226892">
        <w:rPr>
          <w:rFonts w:ascii="Arial" w:hAnsi="Arial" w:cs="Arial"/>
          <w:lang w:val="sk-SK"/>
        </w:rPr>
        <w:t>2017</w:t>
      </w:r>
      <w:r w:rsidRPr="00226892">
        <w:rPr>
          <w:rFonts w:ascii="Arial" w:hAnsi="Arial" w:cs="Arial"/>
          <w:lang w:val="sk-SK"/>
        </w:rPr>
        <w:t xml:space="preserve"> je uvedený v nasledujúcej tabuľke</w:t>
      </w:r>
      <w:r w:rsidRPr="00226892">
        <w:rPr>
          <w:rFonts w:ascii="Arial" w:hAnsi="Arial" w:cs="Arial"/>
          <w:sz w:val="18"/>
          <w:szCs w:val="18"/>
          <w:lang w:val="sk-SK"/>
        </w:rPr>
        <w:t>:</w:t>
      </w:r>
    </w:p>
    <w:p w14:paraId="2E8CD9BE" w14:textId="6C8A131B" w:rsidR="002D5876" w:rsidRPr="00226892" w:rsidRDefault="002D5876" w:rsidP="00756C6D">
      <w:pPr>
        <w:suppressAutoHyphens/>
        <w:jc w:val="both"/>
        <w:rPr>
          <w:rFonts w:ascii="Arial" w:hAnsi="Arial" w:cs="Arial"/>
          <w:sz w:val="18"/>
          <w:szCs w:val="18"/>
          <w:lang w:val="sk-SK"/>
        </w:rPr>
      </w:pPr>
    </w:p>
    <w:tbl>
      <w:tblPr>
        <w:tblW w:w="5005" w:type="pct"/>
        <w:tblCellMar>
          <w:left w:w="70" w:type="dxa"/>
          <w:right w:w="70" w:type="dxa"/>
        </w:tblCellMar>
        <w:tblLook w:val="04A0" w:firstRow="1" w:lastRow="0" w:firstColumn="1" w:lastColumn="0" w:noHBand="0" w:noVBand="1"/>
      </w:tblPr>
      <w:tblGrid>
        <w:gridCol w:w="5198"/>
        <w:gridCol w:w="182"/>
        <w:gridCol w:w="9"/>
        <w:gridCol w:w="2053"/>
        <w:gridCol w:w="191"/>
        <w:gridCol w:w="2016"/>
      </w:tblGrid>
      <w:tr w:rsidR="002D5876" w:rsidRPr="00226892" w14:paraId="4782CCBE" w14:textId="77777777" w:rsidTr="00DB5F75">
        <w:trPr>
          <w:trHeight w:val="227"/>
        </w:trPr>
        <w:tc>
          <w:tcPr>
            <w:tcW w:w="2699" w:type="pct"/>
            <w:tcBorders>
              <w:top w:val="nil"/>
              <w:left w:val="nil"/>
              <w:bottom w:val="single" w:sz="4" w:space="0" w:color="auto"/>
              <w:right w:val="nil"/>
            </w:tcBorders>
            <w:shd w:val="clear" w:color="auto" w:fill="auto"/>
            <w:vAlign w:val="bottom"/>
            <w:hideMark/>
          </w:tcPr>
          <w:p w14:paraId="4A6E6EC1" w14:textId="48362584" w:rsidR="002D5876" w:rsidRPr="00226892" w:rsidRDefault="002D5876" w:rsidP="00EA37EA">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Pôžičky prijaté od spriaznených strán</w:t>
            </w:r>
            <w:r w:rsidR="00182361" w:rsidRPr="00226892">
              <w:rPr>
                <w:rFonts w:ascii="Arial" w:eastAsia="Times New Roman" w:hAnsi="Arial" w:cs="Arial"/>
                <w:b/>
                <w:bCs/>
                <w:color w:val="000000"/>
                <w:sz w:val="18"/>
                <w:szCs w:val="18"/>
                <w:lang w:val="sk-SK" w:eastAsia="sk-SK"/>
              </w:rPr>
              <w:t xml:space="preserve"> (istina)</w:t>
            </w:r>
          </w:p>
        </w:tc>
        <w:tc>
          <w:tcPr>
            <w:tcW w:w="83" w:type="pct"/>
            <w:gridSpan w:val="2"/>
            <w:tcBorders>
              <w:top w:val="nil"/>
              <w:left w:val="nil"/>
              <w:bottom w:val="single" w:sz="4" w:space="0" w:color="auto"/>
              <w:right w:val="nil"/>
            </w:tcBorders>
            <w:shd w:val="clear" w:color="auto" w:fill="auto"/>
            <w:vAlign w:val="bottom"/>
            <w:hideMark/>
          </w:tcPr>
          <w:p w14:paraId="099BC2A0" w14:textId="77777777" w:rsidR="002D5876" w:rsidRPr="00226892" w:rsidRDefault="002D5876" w:rsidP="00EA37EA">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069" w:type="pct"/>
            <w:tcBorders>
              <w:top w:val="nil"/>
              <w:left w:val="nil"/>
              <w:bottom w:val="single" w:sz="4" w:space="0" w:color="auto"/>
              <w:right w:val="nil"/>
            </w:tcBorders>
            <w:shd w:val="clear" w:color="auto" w:fill="auto"/>
            <w:vAlign w:val="bottom"/>
            <w:hideMark/>
          </w:tcPr>
          <w:p w14:paraId="378625CE" w14:textId="5EA0137B" w:rsidR="002D5876" w:rsidRPr="00226892" w:rsidRDefault="00FD3AC5" w:rsidP="00EA37EA">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2018</w:t>
            </w:r>
          </w:p>
        </w:tc>
        <w:tc>
          <w:tcPr>
            <w:tcW w:w="99" w:type="pct"/>
            <w:tcBorders>
              <w:top w:val="nil"/>
              <w:left w:val="nil"/>
              <w:bottom w:val="single" w:sz="4" w:space="0" w:color="auto"/>
              <w:right w:val="nil"/>
            </w:tcBorders>
            <w:shd w:val="clear" w:color="auto" w:fill="auto"/>
            <w:vAlign w:val="bottom"/>
            <w:hideMark/>
          </w:tcPr>
          <w:p w14:paraId="306513B9" w14:textId="77777777" w:rsidR="002D5876" w:rsidRPr="00226892" w:rsidRDefault="002D5876" w:rsidP="00EA37EA">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w:t>
            </w:r>
          </w:p>
        </w:tc>
        <w:tc>
          <w:tcPr>
            <w:tcW w:w="1050" w:type="pct"/>
            <w:tcBorders>
              <w:top w:val="nil"/>
              <w:left w:val="nil"/>
              <w:bottom w:val="single" w:sz="4" w:space="0" w:color="auto"/>
              <w:right w:val="nil"/>
            </w:tcBorders>
            <w:shd w:val="clear" w:color="auto" w:fill="auto"/>
            <w:vAlign w:val="bottom"/>
            <w:hideMark/>
          </w:tcPr>
          <w:p w14:paraId="30B2696A" w14:textId="3E18427B" w:rsidR="002D5876" w:rsidRPr="00226892" w:rsidRDefault="00F63A77" w:rsidP="00EA37EA">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2017</w:t>
            </w:r>
          </w:p>
        </w:tc>
      </w:tr>
      <w:tr w:rsidR="002D5876" w:rsidRPr="00226892" w14:paraId="4D3E8FDE" w14:textId="77777777" w:rsidTr="00DB5F75">
        <w:trPr>
          <w:trHeight w:val="227"/>
        </w:trPr>
        <w:tc>
          <w:tcPr>
            <w:tcW w:w="2699" w:type="pct"/>
            <w:tcBorders>
              <w:top w:val="nil"/>
              <w:left w:val="nil"/>
              <w:bottom w:val="nil"/>
              <w:right w:val="nil"/>
            </w:tcBorders>
            <w:shd w:val="clear" w:color="auto" w:fill="auto"/>
            <w:vAlign w:val="bottom"/>
            <w:hideMark/>
          </w:tcPr>
          <w:p w14:paraId="7FF56891" w14:textId="77777777" w:rsidR="002D5876" w:rsidRPr="00226892" w:rsidRDefault="002D5876" w:rsidP="00EA37EA">
            <w:pPr>
              <w:jc w:val="center"/>
              <w:rPr>
                <w:rFonts w:ascii="Arial" w:eastAsia="Times New Roman" w:hAnsi="Arial" w:cs="Arial"/>
                <w:b/>
                <w:bCs/>
                <w:color w:val="000000"/>
                <w:sz w:val="18"/>
                <w:szCs w:val="18"/>
                <w:lang w:val="sk-SK" w:eastAsia="sk-SK"/>
              </w:rPr>
            </w:pPr>
          </w:p>
        </w:tc>
        <w:tc>
          <w:tcPr>
            <w:tcW w:w="79" w:type="pct"/>
            <w:tcBorders>
              <w:top w:val="nil"/>
              <w:left w:val="nil"/>
              <w:bottom w:val="nil"/>
              <w:right w:val="nil"/>
            </w:tcBorders>
            <w:shd w:val="clear" w:color="auto" w:fill="auto"/>
            <w:vAlign w:val="bottom"/>
            <w:hideMark/>
          </w:tcPr>
          <w:p w14:paraId="04B970D3" w14:textId="77777777" w:rsidR="002D5876" w:rsidRPr="00226892" w:rsidRDefault="002D5876" w:rsidP="00EA37EA">
            <w:pPr>
              <w:rPr>
                <w:rFonts w:ascii="Arial" w:eastAsia="Times New Roman" w:hAnsi="Arial" w:cs="Arial"/>
                <w:lang w:val="sk-SK" w:eastAsia="sk-SK"/>
              </w:rPr>
            </w:pPr>
          </w:p>
        </w:tc>
        <w:tc>
          <w:tcPr>
            <w:tcW w:w="1069" w:type="pct"/>
            <w:gridSpan w:val="2"/>
            <w:tcBorders>
              <w:top w:val="nil"/>
              <w:left w:val="nil"/>
              <w:bottom w:val="nil"/>
              <w:right w:val="nil"/>
            </w:tcBorders>
            <w:shd w:val="clear" w:color="auto" w:fill="auto"/>
            <w:vAlign w:val="bottom"/>
            <w:hideMark/>
          </w:tcPr>
          <w:p w14:paraId="592A02BA" w14:textId="77777777" w:rsidR="002D5876" w:rsidRPr="00226892" w:rsidRDefault="002D5876" w:rsidP="00EA37EA">
            <w:pPr>
              <w:rPr>
                <w:rFonts w:ascii="Arial" w:eastAsia="Times New Roman" w:hAnsi="Arial" w:cs="Arial"/>
                <w:lang w:val="sk-SK" w:eastAsia="sk-SK"/>
              </w:rPr>
            </w:pPr>
          </w:p>
        </w:tc>
        <w:tc>
          <w:tcPr>
            <w:tcW w:w="99" w:type="pct"/>
            <w:tcBorders>
              <w:top w:val="nil"/>
              <w:left w:val="nil"/>
              <w:bottom w:val="nil"/>
              <w:right w:val="nil"/>
            </w:tcBorders>
            <w:shd w:val="clear" w:color="auto" w:fill="auto"/>
            <w:vAlign w:val="bottom"/>
            <w:hideMark/>
          </w:tcPr>
          <w:p w14:paraId="3BB77CA0" w14:textId="77777777" w:rsidR="002D5876" w:rsidRPr="00226892" w:rsidRDefault="002D5876" w:rsidP="00EA37EA">
            <w:pPr>
              <w:jc w:val="center"/>
              <w:rPr>
                <w:rFonts w:ascii="Arial" w:eastAsia="Times New Roman" w:hAnsi="Arial" w:cs="Arial"/>
                <w:lang w:val="sk-SK" w:eastAsia="sk-SK"/>
              </w:rPr>
            </w:pPr>
          </w:p>
        </w:tc>
        <w:tc>
          <w:tcPr>
            <w:tcW w:w="1050" w:type="pct"/>
            <w:tcBorders>
              <w:top w:val="nil"/>
              <w:left w:val="nil"/>
              <w:bottom w:val="nil"/>
              <w:right w:val="nil"/>
            </w:tcBorders>
            <w:shd w:val="clear" w:color="auto" w:fill="auto"/>
            <w:vAlign w:val="bottom"/>
            <w:hideMark/>
          </w:tcPr>
          <w:p w14:paraId="0934E4EA" w14:textId="77777777" w:rsidR="002D5876" w:rsidRPr="00226892" w:rsidRDefault="002D5876" w:rsidP="00EA37EA">
            <w:pPr>
              <w:jc w:val="center"/>
              <w:rPr>
                <w:rFonts w:ascii="Arial" w:eastAsia="Times New Roman" w:hAnsi="Arial" w:cs="Arial"/>
                <w:lang w:val="sk-SK" w:eastAsia="sk-SK"/>
              </w:rPr>
            </w:pPr>
          </w:p>
        </w:tc>
      </w:tr>
      <w:tr w:rsidR="00D75F1D" w:rsidRPr="00226892" w14:paraId="5786FAFF" w14:textId="77777777" w:rsidTr="00DB5F75">
        <w:trPr>
          <w:trHeight w:val="227"/>
        </w:trPr>
        <w:tc>
          <w:tcPr>
            <w:tcW w:w="2699" w:type="pct"/>
            <w:tcBorders>
              <w:top w:val="nil"/>
              <w:left w:val="nil"/>
              <w:bottom w:val="nil"/>
              <w:right w:val="nil"/>
            </w:tcBorders>
            <w:shd w:val="clear" w:color="auto" w:fill="auto"/>
            <w:noWrap/>
            <w:vAlign w:val="bottom"/>
            <w:hideMark/>
          </w:tcPr>
          <w:p w14:paraId="74220D97" w14:textId="77777777" w:rsidR="00D75F1D" w:rsidRPr="00226892" w:rsidRDefault="00D75F1D" w:rsidP="00D75F1D">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Začiatočný stav</w:t>
            </w:r>
          </w:p>
        </w:tc>
        <w:tc>
          <w:tcPr>
            <w:tcW w:w="79" w:type="pct"/>
            <w:tcBorders>
              <w:top w:val="nil"/>
              <w:left w:val="nil"/>
              <w:bottom w:val="nil"/>
              <w:right w:val="nil"/>
            </w:tcBorders>
            <w:shd w:val="clear" w:color="auto" w:fill="auto"/>
            <w:vAlign w:val="bottom"/>
            <w:hideMark/>
          </w:tcPr>
          <w:p w14:paraId="597040CE" w14:textId="77777777" w:rsidR="00D75F1D" w:rsidRPr="00226892" w:rsidRDefault="00D75F1D" w:rsidP="00D75F1D">
            <w:pPr>
              <w:rPr>
                <w:rFonts w:ascii="Arial" w:eastAsia="Times New Roman" w:hAnsi="Arial" w:cs="Arial"/>
                <w:color w:val="000000"/>
                <w:sz w:val="18"/>
                <w:szCs w:val="18"/>
                <w:lang w:val="sk-SK" w:eastAsia="sk-SK"/>
              </w:rPr>
            </w:pPr>
          </w:p>
        </w:tc>
        <w:tc>
          <w:tcPr>
            <w:tcW w:w="1069" w:type="pct"/>
            <w:gridSpan w:val="2"/>
            <w:tcBorders>
              <w:top w:val="nil"/>
              <w:left w:val="nil"/>
              <w:bottom w:val="nil"/>
              <w:right w:val="nil"/>
            </w:tcBorders>
            <w:shd w:val="clear" w:color="auto" w:fill="auto"/>
            <w:vAlign w:val="bottom"/>
          </w:tcPr>
          <w:p w14:paraId="42730EDB" w14:textId="43BB38A2" w:rsidR="00D75F1D" w:rsidRPr="00226892" w:rsidRDefault="00D75F1D" w:rsidP="00D75F1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6 700</w:t>
            </w:r>
          </w:p>
        </w:tc>
        <w:tc>
          <w:tcPr>
            <w:tcW w:w="99" w:type="pct"/>
            <w:tcBorders>
              <w:top w:val="nil"/>
              <w:left w:val="nil"/>
              <w:bottom w:val="nil"/>
              <w:right w:val="nil"/>
            </w:tcBorders>
            <w:shd w:val="clear" w:color="auto" w:fill="auto"/>
            <w:vAlign w:val="bottom"/>
          </w:tcPr>
          <w:p w14:paraId="530DB03D" w14:textId="77777777" w:rsidR="00D75F1D" w:rsidRPr="00226892" w:rsidRDefault="00D75F1D" w:rsidP="00D75F1D">
            <w:pPr>
              <w:jc w:val="right"/>
              <w:rPr>
                <w:rFonts w:ascii="Arial" w:eastAsia="Times New Roman" w:hAnsi="Arial" w:cs="Arial"/>
                <w:color w:val="000000"/>
                <w:sz w:val="18"/>
                <w:szCs w:val="18"/>
                <w:lang w:val="sk-SK" w:eastAsia="sk-SK"/>
              </w:rPr>
            </w:pPr>
          </w:p>
        </w:tc>
        <w:tc>
          <w:tcPr>
            <w:tcW w:w="1050" w:type="pct"/>
            <w:tcBorders>
              <w:top w:val="nil"/>
              <w:left w:val="nil"/>
              <w:bottom w:val="nil"/>
              <w:right w:val="nil"/>
            </w:tcBorders>
            <w:shd w:val="clear" w:color="auto" w:fill="auto"/>
            <w:vAlign w:val="bottom"/>
          </w:tcPr>
          <w:p w14:paraId="4F2EF557" w14:textId="0078716D" w:rsidR="00D75F1D" w:rsidRPr="00226892" w:rsidRDefault="00D75F1D" w:rsidP="00D75F1D">
            <w:pPr>
              <w:jc w:val="right"/>
              <w:rPr>
                <w:rFonts w:ascii="Arial" w:eastAsia="Times New Roman" w:hAnsi="Arial" w:cs="Arial"/>
                <w:sz w:val="18"/>
                <w:szCs w:val="18"/>
                <w:lang w:val="sk-SK" w:eastAsia="sk-SK"/>
              </w:rPr>
            </w:pPr>
            <w:r w:rsidRPr="00226892">
              <w:rPr>
                <w:rFonts w:ascii="Arial" w:eastAsia="Times New Roman" w:hAnsi="Arial" w:cs="Arial"/>
                <w:color w:val="000000"/>
                <w:sz w:val="18"/>
                <w:szCs w:val="18"/>
                <w:lang w:val="sk-SK" w:eastAsia="sk-SK"/>
              </w:rPr>
              <w:t>1 700</w:t>
            </w:r>
          </w:p>
        </w:tc>
      </w:tr>
      <w:tr w:rsidR="0027153D" w:rsidRPr="00226892" w14:paraId="02862C5A" w14:textId="77777777" w:rsidTr="00DB5F75">
        <w:trPr>
          <w:trHeight w:val="227"/>
        </w:trPr>
        <w:tc>
          <w:tcPr>
            <w:tcW w:w="2699" w:type="pct"/>
            <w:tcBorders>
              <w:top w:val="nil"/>
              <w:left w:val="nil"/>
              <w:bottom w:val="nil"/>
              <w:right w:val="nil"/>
            </w:tcBorders>
            <w:shd w:val="clear" w:color="auto" w:fill="auto"/>
            <w:vAlign w:val="center"/>
            <w:hideMark/>
          </w:tcPr>
          <w:p w14:paraId="002A16D6" w14:textId="77777777" w:rsidR="0027153D" w:rsidRPr="00226892" w:rsidRDefault="0027153D" w:rsidP="008915C0">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Pôžičky poskytnuté počas roka</w:t>
            </w:r>
          </w:p>
        </w:tc>
        <w:tc>
          <w:tcPr>
            <w:tcW w:w="79" w:type="pct"/>
            <w:tcBorders>
              <w:top w:val="nil"/>
              <w:left w:val="nil"/>
              <w:bottom w:val="nil"/>
              <w:right w:val="nil"/>
            </w:tcBorders>
            <w:shd w:val="clear" w:color="auto" w:fill="auto"/>
            <w:vAlign w:val="bottom"/>
            <w:hideMark/>
          </w:tcPr>
          <w:p w14:paraId="69BABD4C" w14:textId="77777777" w:rsidR="0027153D" w:rsidRPr="00226892" w:rsidRDefault="0027153D" w:rsidP="008915C0">
            <w:pPr>
              <w:rPr>
                <w:rFonts w:ascii="Arial" w:eastAsia="Times New Roman" w:hAnsi="Arial" w:cs="Arial"/>
                <w:color w:val="000000"/>
                <w:sz w:val="18"/>
                <w:szCs w:val="18"/>
                <w:lang w:val="sk-SK" w:eastAsia="sk-SK"/>
              </w:rPr>
            </w:pPr>
          </w:p>
        </w:tc>
        <w:tc>
          <w:tcPr>
            <w:tcW w:w="1069" w:type="pct"/>
            <w:gridSpan w:val="2"/>
            <w:tcBorders>
              <w:top w:val="nil"/>
              <w:left w:val="nil"/>
              <w:bottom w:val="nil"/>
              <w:right w:val="nil"/>
            </w:tcBorders>
            <w:shd w:val="clear" w:color="auto" w:fill="auto"/>
            <w:vAlign w:val="bottom"/>
          </w:tcPr>
          <w:p w14:paraId="3BFCF73C" w14:textId="77777777" w:rsidR="0027153D" w:rsidRPr="00226892" w:rsidRDefault="0027153D" w:rsidP="008915C0">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5 000</w:t>
            </w:r>
          </w:p>
        </w:tc>
        <w:tc>
          <w:tcPr>
            <w:tcW w:w="99" w:type="pct"/>
            <w:tcBorders>
              <w:top w:val="nil"/>
              <w:left w:val="nil"/>
              <w:bottom w:val="nil"/>
              <w:right w:val="nil"/>
            </w:tcBorders>
            <w:shd w:val="clear" w:color="auto" w:fill="auto"/>
            <w:vAlign w:val="bottom"/>
          </w:tcPr>
          <w:p w14:paraId="72A58CDD" w14:textId="77777777" w:rsidR="0027153D" w:rsidRPr="00226892" w:rsidRDefault="0027153D" w:rsidP="008915C0">
            <w:pPr>
              <w:jc w:val="right"/>
              <w:rPr>
                <w:rFonts w:ascii="Arial" w:eastAsia="Times New Roman" w:hAnsi="Arial" w:cs="Arial"/>
                <w:color w:val="000000"/>
                <w:sz w:val="18"/>
                <w:szCs w:val="18"/>
                <w:lang w:val="sk-SK" w:eastAsia="sk-SK"/>
              </w:rPr>
            </w:pPr>
          </w:p>
        </w:tc>
        <w:tc>
          <w:tcPr>
            <w:tcW w:w="1050" w:type="pct"/>
            <w:tcBorders>
              <w:top w:val="nil"/>
              <w:left w:val="nil"/>
              <w:bottom w:val="nil"/>
              <w:right w:val="nil"/>
            </w:tcBorders>
            <w:shd w:val="clear" w:color="auto" w:fill="auto"/>
            <w:vAlign w:val="bottom"/>
          </w:tcPr>
          <w:p w14:paraId="5419F2D8" w14:textId="77777777" w:rsidR="0027153D" w:rsidRPr="00226892" w:rsidRDefault="0027153D" w:rsidP="008915C0">
            <w:pPr>
              <w:jc w:val="right"/>
              <w:rPr>
                <w:rFonts w:ascii="Arial" w:eastAsia="Times New Roman" w:hAnsi="Arial" w:cs="Arial"/>
                <w:sz w:val="18"/>
                <w:szCs w:val="18"/>
                <w:lang w:val="sk-SK" w:eastAsia="sk-SK"/>
              </w:rPr>
            </w:pPr>
            <w:r w:rsidRPr="00226892">
              <w:rPr>
                <w:rFonts w:ascii="Arial" w:eastAsia="Times New Roman" w:hAnsi="Arial" w:cs="Arial"/>
                <w:color w:val="000000"/>
                <w:sz w:val="18"/>
                <w:szCs w:val="18"/>
                <w:lang w:val="sk-SK" w:eastAsia="sk-SK"/>
              </w:rPr>
              <w:t>5 000</w:t>
            </w:r>
          </w:p>
        </w:tc>
      </w:tr>
      <w:tr w:rsidR="00D75F1D" w:rsidRPr="00226892" w14:paraId="2015DF46" w14:textId="77777777" w:rsidTr="00DB5F75">
        <w:trPr>
          <w:trHeight w:val="227"/>
        </w:trPr>
        <w:tc>
          <w:tcPr>
            <w:tcW w:w="2699" w:type="pct"/>
            <w:tcBorders>
              <w:top w:val="nil"/>
              <w:left w:val="nil"/>
              <w:bottom w:val="nil"/>
              <w:right w:val="nil"/>
            </w:tcBorders>
            <w:shd w:val="clear" w:color="auto" w:fill="auto"/>
            <w:vAlign w:val="center"/>
            <w:hideMark/>
          </w:tcPr>
          <w:p w14:paraId="63C2D371" w14:textId="77777777" w:rsidR="00D75F1D" w:rsidRPr="00226892" w:rsidRDefault="00D75F1D" w:rsidP="00D75F1D">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Pôžičky splatené počas roka</w:t>
            </w:r>
          </w:p>
        </w:tc>
        <w:tc>
          <w:tcPr>
            <w:tcW w:w="79" w:type="pct"/>
            <w:tcBorders>
              <w:top w:val="nil"/>
              <w:left w:val="nil"/>
              <w:bottom w:val="nil"/>
              <w:right w:val="nil"/>
            </w:tcBorders>
            <w:shd w:val="clear" w:color="auto" w:fill="auto"/>
            <w:vAlign w:val="bottom"/>
            <w:hideMark/>
          </w:tcPr>
          <w:p w14:paraId="44367EA7" w14:textId="77777777" w:rsidR="00D75F1D" w:rsidRPr="00226892" w:rsidRDefault="00D75F1D" w:rsidP="00D75F1D">
            <w:pPr>
              <w:rPr>
                <w:rFonts w:ascii="Arial" w:eastAsia="Times New Roman" w:hAnsi="Arial" w:cs="Arial"/>
                <w:color w:val="000000"/>
                <w:sz w:val="18"/>
                <w:szCs w:val="18"/>
                <w:lang w:val="sk-SK" w:eastAsia="sk-SK"/>
              </w:rPr>
            </w:pPr>
          </w:p>
        </w:tc>
        <w:tc>
          <w:tcPr>
            <w:tcW w:w="1069" w:type="pct"/>
            <w:gridSpan w:val="2"/>
            <w:tcBorders>
              <w:top w:val="nil"/>
              <w:left w:val="nil"/>
              <w:bottom w:val="nil"/>
              <w:right w:val="nil"/>
            </w:tcBorders>
            <w:shd w:val="clear" w:color="auto" w:fill="auto"/>
            <w:vAlign w:val="bottom"/>
          </w:tcPr>
          <w:p w14:paraId="79A59605" w14:textId="11FFC8E9" w:rsidR="00D75F1D" w:rsidRPr="00226892" w:rsidRDefault="00D75F1D" w:rsidP="00D75F1D">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w:t>
            </w:r>
          </w:p>
        </w:tc>
        <w:tc>
          <w:tcPr>
            <w:tcW w:w="99" w:type="pct"/>
            <w:tcBorders>
              <w:top w:val="nil"/>
              <w:left w:val="nil"/>
              <w:bottom w:val="nil"/>
              <w:right w:val="nil"/>
            </w:tcBorders>
            <w:shd w:val="clear" w:color="auto" w:fill="auto"/>
            <w:vAlign w:val="bottom"/>
          </w:tcPr>
          <w:p w14:paraId="60793759" w14:textId="77777777" w:rsidR="00D75F1D" w:rsidRPr="00226892" w:rsidRDefault="00D75F1D" w:rsidP="00D75F1D">
            <w:pPr>
              <w:jc w:val="right"/>
              <w:rPr>
                <w:rFonts w:ascii="Arial" w:eastAsia="Times New Roman" w:hAnsi="Arial" w:cs="Arial"/>
                <w:color w:val="000000"/>
                <w:sz w:val="18"/>
                <w:szCs w:val="18"/>
                <w:lang w:val="sk-SK" w:eastAsia="sk-SK"/>
              </w:rPr>
            </w:pPr>
          </w:p>
        </w:tc>
        <w:tc>
          <w:tcPr>
            <w:tcW w:w="1050" w:type="pct"/>
            <w:tcBorders>
              <w:top w:val="nil"/>
              <w:left w:val="nil"/>
              <w:bottom w:val="nil"/>
              <w:right w:val="nil"/>
            </w:tcBorders>
            <w:shd w:val="clear" w:color="auto" w:fill="auto"/>
            <w:vAlign w:val="bottom"/>
          </w:tcPr>
          <w:p w14:paraId="254D4326" w14:textId="00A5AF99" w:rsidR="00D75F1D" w:rsidRPr="00226892" w:rsidRDefault="00D75F1D" w:rsidP="00D75F1D">
            <w:pPr>
              <w:jc w:val="right"/>
              <w:rPr>
                <w:rFonts w:ascii="Arial" w:eastAsia="Times New Roman" w:hAnsi="Arial" w:cs="Arial"/>
                <w:sz w:val="18"/>
                <w:szCs w:val="18"/>
                <w:lang w:val="sk-SK" w:eastAsia="sk-SK"/>
              </w:rPr>
            </w:pPr>
            <w:r w:rsidRPr="00226892">
              <w:rPr>
                <w:rFonts w:ascii="Arial" w:eastAsia="Times New Roman" w:hAnsi="Arial" w:cs="Arial"/>
                <w:color w:val="000000"/>
                <w:sz w:val="18"/>
                <w:szCs w:val="18"/>
                <w:lang w:val="sk-SK" w:eastAsia="sk-SK"/>
              </w:rPr>
              <w:t>-</w:t>
            </w:r>
          </w:p>
        </w:tc>
      </w:tr>
      <w:tr w:rsidR="00D75F1D" w:rsidRPr="00226892" w14:paraId="6DA06FD7" w14:textId="77777777" w:rsidTr="00DB5F75">
        <w:trPr>
          <w:trHeight w:val="227"/>
        </w:trPr>
        <w:tc>
          <w:tcPr>
            <w:tcW w:w="2699" w:type="pct"/>
            <w:tcBorders>
              <w:top w:val="nil"/>
              <w:left w:val="nil"/>
              <w:bottom w:val="nil"/>
              <w:right w:val="nil"/>
            </w:tcBorders>
            <w:shd w:val="clear" w:color="auto" w:fill="auto"/>
            <w:noWrap/>
            <w:vAlign w:val="bottom"/>
            <w:hideMark/>
          </w:tcPr>
          <w:p w14:paraId="02234B70" w14:textId="77777777" w:rsidR="00D75F1D" w:rsidRPr="00226892" w:rsidRDefault="00D75F1D" w:rsidP="00D75F1D">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Konečný zostatok</w:t>
            </w:r>
          </w:p>
        </w:tc>
        <w:tc>
          <w:tcPr>
            <w:tcW w:w="79" w:type="pct"/>
            <w:tcBorders>
              <w:top w:val="nil"/>
              <w:left w:val="nil"/>
              <w:bottom w:val="nil"/>
              <w:right w:val="nil"/>
            </w:tcBorders>
            <w:shd w:val="clear" w:color="auto" w:fill="auto"/>
            <w:vAlign w:val="bottom"/>
            <w:hideMark/>
          </w:tcPr>
          <w:p w14:paraId="1F11B459" w14:textId="77777777" w:rsidR="00D75F1D" w:rsidRPr="00226892" w:rsidRDefault="00D75F1D" w:rsidP="00D75F1D">
            <w:pPr>
              <w:rPr>
                <w:rFonts w:ascii="Arial" w:eastAsia="Times New Roman" w:hAnsi="Arial" w:cs="Arial"/>
                <w:b/>
                <w:bCs/>
                <w:color w:val="000000"/>
                <w:sz w:val="18"/>
                <w:szCs w:val="18"/>
                <w:lang w:val="sk-SK" w:eastAsia="sk-SK"/>
              </w:rPr>
            </w:pPr>
          </w:p>
        </w:tc>
        <w:tc>
          <w:tcPr>
            <w:tcW w:w="1069" w:type="pct"/>
            <w:gridSpan w:val="2"/>
            <w:tcBorders>
              <w:top w:val="single" w:sz="4" w:space="0" w:color="auto"/>
              <w:left w:val="nil"/>
              <w:bottom w:val="double" w:sz="6" w:space="0" w:color="auto"/>
              <w:right w:val="nil"/>
            </w:tcBorders>
            <w:shd w:val="clear" w:color="auto" w:fill="auto"/>
            <w:vAlign w:val="bottom"/>
          </w:tcPr>
          <w:p w14:paraId="054077B4" w14:textId="5E69587B" w:rsidR="00D75F1D" w:rsidRPr="00226892" w:rsidRDefault="00613D52" w:rsidP="00D75F1D">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11 700</w:t>
            </w:r>
          </w:p>
        </w:tc>
        <w:tc>
          <w:tcPr>
            <w:tcW w:w="99" w:type="pct"/>
            <w:tcBorders>
              <w:top w:val="nil"/>
              <w:left w:val="nil"/>
              <w:bottom w:val="nil"/>
              <w:right w:val="nil"/>
            </w:tcBorders>
            <w:shd w:val="clear" w:color="auto" w:fill="auto"/>
            <w:vAlign w:val="bottom"/>
          </w:tcPr>
          <w:p w14:paraId="153CF5CE" w14:textId="77777777" w:rsidR="00D75F1D" w:rsidRPr="00226892" w:rsidRDefault="00D75F1D" w:rsidP="00D75F1D">
            <w:pPr>
              <w:jc w:val="right"/>
              <w:rPr>
                <w:rFonts w:ascii="Arial" w:eastAsia="Times New Roman" w:hAnsi="Arial" w:cs="Arial"/>
                <w:b/>
                <w:bCs/>
                <w:color w:val="000000"/>
                <w:sz w:val="18"/>
                <w:szCs w:val="18"/>
                <w:lang w:val="sk-SK" w:eastAsia="sk-SK"/>
              </w:rPr>
            </w:pPr>
          </w:p>
        </w:tc>
        <w:tc>
          <w:tcPr>
            <w:tcW w:w="1050" w:type="pct"/>
            <w:tcBorders>
              <w:top w:val="single" w:sz="4" w:space="0" w:color="auto"/>
              <w:left w:val="nil"/>
              <w:bottom w:val="double" w:sz="6" w:space="0" w:color="auto"/>
              <w:right w:val="nil"/>
            </w:tcBorders>
            <w:shd w:val="clear" w:color="auto" w:fill="auto"/>
            <w:vAlign w:val="bottom"/>
          </w:tcPr>
          <w:p w14:paraId="5EAEA944" w14:textId="694457F2" w:rsidR="00D75F1D" w:rsidRPr="00226892" w:rsidRDefault="00D75F1D" w:rsidP="00D75F1D">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6 700</w:t>
            </w:r>
          </w:p>
        </w:tc>
      </w:tr>
    </w:tbl>
    <w:p w14:paraId="080BDEC9" w14:textId="5E43C9D5" w:rsidR="002D5876" w:rsidRPr="00226892" w:rsidRDefault="002D5876" w:rsidP="002D5876">
      <w:pPr>
        <w:suppressAutoHyphens/>
        <w:ind w:left="426"/>
        <w:jc w:val="both"/>
        <w:rPr>
          <w:rFonts w:ascii="Arial" w:hAnsi="Arial" w:cs="Arial"/>
          <w:i/>
          <w:sz w:val="18"/>
          <w:szCs w:val="18"/>
        </w:rPr>
      </w:pPr>
    </w:p>
    <w:p w14:paraId="69A2E258" w14:textId="77777777" w:rsidR="00DB5F75" w:rsidRPr="00226892" w:rsidRDefault="00DB5F75" w:rsidP="002D5876">
      <w:pPr>
        <w:suppressAutoHyphens/>
        <w:ind w:left="426"/>
        <w:jc w:val="both"/>
        <w:rPr>
          <w:rFonts w:ascii="Arial" w:hAnsi="Arial" w:cs="Arial"/>
          <w:i/>
          <w:sz w:val="18"/>
          <w:szCs w:val="18"/>
        </w:rPr>
      </w:pPr>
    </w:p>
    <w:tbl>
      <w:tblPr>
        <w:tblW w:w="5000" w:type="pct"/>
        <w:tblCellMar>
          <w:left w:w="70" w:type="dxa"/>
          <w:right w:w="70" w:type="dxa"/>
        </w:tblCellMar>
        <w:tblLook w:val="04A0" w:firstRow="1" w:lastRow="0" w:firstColumn="1" w:lastColumn="0" w:noHBand="0" w:noVBand="1"/>
      </w:tblPr>
      <w:tblGrid>
        <w:gridCol w:w="2277"/>
        <w:gridCol w:w="1419"/>
        <w:gridCol w:w="1519"/>
        <w:gridCol w:w="1594"/>
        <w:gridCol w:w="1428"/>
        <w:gridCol w:w="1402"/>
      </w:tblGrid>
      <w:tr w:rsidR="000C1BF4" w:rsidRPr="00226892" w14:paraId="5B46F9BA" w14:textId="77777777" w:rsidTr="00235CDF">
        <w:trPr>
          <w:trHeight w:val="227"/>
        </w:trPr>
        <w:tc>
          <w:tcPr>
            <w:tcW w:w="1181" w:type="pct"/>
            <w:tcBorders>
              <w:top w:val="nil"/>
              <w:left w:val="nil"/>
              <w:bottom w:val="single" w:sz="4" w:space="0" w:color="auto"/>
              <w:right w:val="nil"/>
            </w:tcBorders>
            <w:shd w:val="clear" w:color="auto" w:fill="auto"/>
            <w:noWrap/>
            <w:vAlign w:val="bottom"/>
            <w:hideMark/>
          </w:tcPr>
          <w:p w14:paraId="02394241" w14:textId="77777777" w:rsidR="000C1BF4" w:rsidRPr="00226892" w:rsidRDefault="000C1BF4" w:rsidP="00EA37EA">
            <w:pPr>
              <w:rPr>
                <w:rFonts w:ascii="Arial" w:hAnsi="Arial" w:cs="Arial"/>
                <w:b/>
                <w:bCs/>
                <w:color w:val="000000"/>
                <w:sz w:val="18"/>
                <w:szCs w:val="18"/>
                <w:lang w:val="sk-SK" w:eastAsia="sk-SK"/>
              </w:rPr>
            </w:pPr>
            <w:proofErr w:type="spellStart"/>
            <w:r w:rsidRPr="00226892">
              <w:rPr>
                <w:rFonts w:ascii="Arial" w:hAnsi="Arial" w:cs="Arial"/>
                <w:b/>
                <w:bCs/>
                <w:color w:val="000000"/>
                <w:sz w:val="18"/>
                <w:szCs w:val="18"/>
              </w:rPr>
              <w:t>Typ</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pôžičky</w:t>
            </w:r>
            <w:proofErr w:type="spellEnd"/>
          </w:p>
        </w:tc>
        <w:tc>
          <w:tcPr>
            <w:tcW w:w="736" w:type="pct"/>
            <w:tcBorders>
              <w:top w:val="nil"/>
              <w:left w:val="nil"/>
              <w:bottom w:val="single" w:sz="4" w:space="0" w:color="auto"/>
              <w:right w:val="nil"/>
            </w:tcBorders>
            <w:shd w:val="clear" w:color="auto" w:fill="auto"/>
            <w:vAlign w:val="bottom"/>
            <w:hideMark/>
          </w:tcPr>
          <w:p w14:paraId="69AF755A" w14:textId="77777777" w:rsidR="000C1BF4" w:rsidRPr="00226892" w:rsidRDefault="000C1BF4" w:rsidP="00EA37EA">
            <w:pPr>
              <w:jc w:val="center"/>
              <w:rPr>
                <w:rFonts w:ascii="Arial" w:hAnsi="Arial" w:cs="Arial"/>
                <w:b/>
                <w:bCs/>
                <w:color w:val="000000"/>
                <w:sz w:val="18"/>
                <w:szCs w:val="18"/>
              </w:rPr>
            </w:pPr>
            <w:r w:rsidRPr="00226892">
              <w:rPr>
                <w:rFonts w:ascii="Arial" w:hAnsi="Arial" w:cs="Arial"/>
                <w:b/>
                <w:bCs/>
                <w:color w:val="000000"/>
                <w:sz w:val="18"/>
                <w:szCs w:val="18"/>
              </w:rPr>
              <w:t>Mena</w:t>
            </w:r>
          </w:p>
        </w:tc>
        <w:tc>
          <w:tcPr>
            <w:tcW w:w="788" w:type="pct"/>
            <w:tcBorders>
              <w:top w:val="nil"/>
              <w:left w:val="nil"/>
              <w:bottom w:val="single" w:sz="4" w:space="0" w:color="auto"/>
              <w:right w:val="nil"/>
            </w:tcBorders>
            <w:shd w:val="clear" w:color="auto" w:fill="auto"/>
            <w:vAlign w:val="bottom"/>
            <w:hideMark/>
          </w:tcPr>
          <w:p w14:paraId="0B35F151" w14:textId="77777777" w:rsidR="000C1BF4" w:rsidRPr="00226892" w:rsidRDefault="000C1BF4" w:rsidP="00EA37EA">
            <w:pPr>
              <w:jc w:val="center"/>
              <w:rPr>
                <w:rFonts w:ascii="Arial" w:hAnsi="Arial" w:cs="Arial"/>
                <w:b/>
                <w:bCs/>
                <w:color w:val="000000"/>
                <w:sz w:val="18"/>
                <w:szCs w:val="18"/>
              </w:rPr>
            </w:pPr>
            <w:proofErr w:type="spellStart"/>
            <w:r w:rsidRPr="00226892">
              <w:rPr>
                <w:rFonts w:ascii="Arial" w:hAnsi="Arial" w:cs="Arial"/>
                <w:b/>
                <w:bCs/>
                <w:color w:val="000000"/>
                <w:sz w:val="18"/>
                <w:szCs w:val="18"/>
              </w:rPr>
              <w:t>Ročný</w:t>
            </w:r>
            <w:proofErr w:type="spellEnd"/>
            <w:r w:rsidRPr="00226892">
              <w:rPr>
                <w:rFonts w:ascii="Arial" w:hAnsi="Arial" w:cs="Arial"/>
                <w:b/>
                <w:bCs/>
                <w:color w:val="000000"/>
                <w:sz w:val="18"/>
                <w:szCs w:val="18"/>
              </w:rPr>
              <w:t xml:space="preserve"> </w:t>
            </w:r>
            <w:proofErr w:type="spellStart"/>
            <w:r w:rsidRPr="00226892">
              <w:rPr>
                <w:rFonts w:ascii="Arial" w:hAnsi="Arial" w:cs="Arial"/>
                <w:b/>
                <w:bCs/>
                <w:color w:val="000000"/>
                <w:sz w:val="18"/>
                <w:szCs w:val="18"/>
              </w:rPr>
              <w:t>úrok</w:t>
            </w:r>
            <w:proofErr w:type="spellEnd"/>
            <w:r w:rsidRPr="00226892">
              <w:rPr>
                <w:rFonts w:ascii="Arial" w:hAnsi="Arial" w:cs="Arial"/>
                <w:b/>
                <w:bCs/>
                <w:color w:val="000000"/>
                <w:sz w:val="18"/>
                <w:szCs w:val="18"/>
              </w:rPr>
              <w:t xml:space="preserve"> %</w:t>
            </w:r>
          </w:p>
        </w:tc>
        <w:tc>
          <w:tcPr>
            <w:tcW w:w="827" w:type="pct"/>
            <w:tcBorders>
              <w:top w:val="nil"/>
              <w:left w:val="nil"/>
              <w:bottom w:val="single" w:sz="4" w:space="0" w:color="auto"/>
              <w:right w:val="nil"/>
            </w:tcBorders>
            <w:shd w:val="clear" w:color="auto" w:fill="auto"/>
            <w:vAlign w:val="bottom"/>
            <w:hideMark/>
          </w:tcPr>
          <w:p w14:paraId="2F775EF5" w14:textId="77777777" w:rsidR="000C1BF4" w:rsidRPr="00226892" w:rsidRDefault="000C1BF4" w:rsidP="00EA37EA">
            <w:pPr>
              <w:jc w:val="center"/>
              <w:rPr>
                <w:rFonts w:ascii="Arial" w:hAnsi="Arial" w:cs="Arial"/>
                <w:b/>
                <w:bCs/>
                <w:color w:val="000000"/>
                <w:sz w:val="18"/>
                <w:szCs w:val="18"/>
              </w:rPr>
            </w:pPr>
            <w:proofErr w:type="spellStart"/>
            <w:r w:rsidRPr="00226892">
              <w:rPr>
                <w:rFonts w:ascii="Arial" w:hAnsi="Arial" w:cs="Arial"/>
                <w:b/>
                <w:bCs/>
                <w:color w:val="000000"/>
                <w:sz w:val="18"/>
                <w:szCs w:val="18"/>
              </w:rPr>
              <w:t>Splatnosť</w:t>
            </w:r>
            <w:proofErr w:type="spellEnd"/>
          </w:p>
        </w:tc>
        <w:tc>
          <w:tcPr>
            <w:tcW w:w="741" w:type="pct"/>
            <w:tcBorders>
              <w:top w:val="nil"/>
              <w:left w:val="nil"/>
              <w:bottom w:val="single" w:sz="4" w:space="0" w:color="auto"/>
              <w:right w:val="nil"/>
            </w:tcBorders>
            <w:shd w:val="clear" w:color="auto" w:fill="auto"/>
            <w:vAlign w:val="bottom"/>
            <w:hideMark/>
          </w:tcPr>
          <w:p w14:paraId="1182AF21" w14:textId="7DEEC7A9" w:rsidR="000C1BF4" w:rsidRPr="00226892" w:rsidRDefault="000C1BF4" w:rsidP="00EA37EA">
            <w:pPr>
              <w:jc w:val="center"/>
              <w:rPr>
                <w:rFonts w:ascii="Arial" w:hAnsi="Arial" w:cs="Arial"/>
                <w:b/>
                <w:bCs/>
                <w:color w:val="000000"/>
                <w:sz w:val="18"/>
                <w:szCs w:val="18"/>
              </w:rPr>
            </w:pPr>
            <w:proofErr w:type="spellStart"/>
            <w:r w:rsidRPr="00226892">
              <w:rPr>
                <w:rFonts w:ascii="Arial" w:hAnsi="Arial" w:cs="Arial"/>
                <w:b/>
                <w:bCs/>
                <w:color w:val="000000"/>
                <w:sz w:val="18"/>
                <w:szCs w:val="18"/>
              </w:rPr>
              <w:t>Stav</w:t>
            </w:r>
            <w:proofErr w:type="spellEnd"/>
            <w:r w:rsidRPr="00226892">
              <w:rPr>
                <w:rFonts w:ascii="Arial" w:hAnsi="Arial" w:cs="Arial"/>
                <w:b/>
                <w:bCs/>
                <w:color w:val="000000"/>
                <w:sz w:val="18"/>
                <w:szCs w:val="18"/>
              </w:rPr>
              <w:t xml:space="preserve"> k 31. </w:t>
            </w:r>
            <w:proofErr w:type="spellStart"/>
            <w:r w:rsidRPr="00226892">
              <w:rPr>
                <w:rFonts w:ascii="Arial" w:hAnsi="Arial" w:cs="Arial"/>
                <w:b/>
                <w:bCs/>
                <w:color w:val="000000"/>
                <w:sz w:val="18"/>
                <w:szCs w:val="18"/>
              </w:rPr>
              <w:t>decembru</w:t>
            </w:r>
            <w:proofErr w:type="spellEnd"/>
            <w:r w:rsidRPr="00226892">
              <w:rPr>
                <w:rFonts w:ascii="Arial" w:hAnsi="Arial" w:cs="Arial"/>
                <w:b/>
                <w:bCs/>
                <w:color w:val="000000"/>
                <w:sz w:val="18"/>
                <w:szCs w:val="18"/>
              </w:rPr>
              <w:t xml:space="preserve"> </w:t>
            </w:r>
            <w:r w:rsidR="00FD3AC5" w:rsidRPr="00226892">
              <w:rPr>
                <w:rFonts w:ascii="Arial" w:hAnsi="Arial" w:cs="Arial"/>
                <w:b/>
                <w:bCs/>
                <w:color w:val="000000"/>
                <w:sz w:val="18"/>
                <w:szCs w:val="18"/>
              </w:rPr>
              <w:t>2018</w:t>
            </w:r>
          </w:p>
        </w:tc>
        <w:tc>
          <w:tcPr>
            <w:tcW w:w="728" w:type="pct"/>
            <w:tcBorders>
              <w:top w:val="nil"/>
              <w:left w:val="nil"/>
              <w:bottom w:val="single" w:sz="4" w:space="0" w:color="auto"/>
              <w:right w:val="nil"/>
            </w:tcBorders>
            <w:shd w:val="clear" w:color="auto" w:fill="auto"/>
            <w:vAlign w:val="bottom"/>
            <w:hideMark/>
          </w:tcPr>
          <w:p w14:paraId="5D853B76" w14:textId="4C6E9C0D" w:rsidR="000C1BF4" w:rsidRPr="00226892" w:rsidRDefault="000C1BF4" w:rsidP="00EA37EA">
            <w:pPr>
              <w:jc w:val="center"/>
              <w:rPr>
                <w:rFonts w:ascii="Arial" w:hAnsi="Arial" w:cs="Arial"/>
                <w:b/>
                <w:bCs/>
                <w:color w:val="000000"/>
                <w:sz w:val="18"/>
                <w:szCs w:val="18"/>
              </w:rPr>
            </w:pPr>
            <w:proofErr w:type="spellStart"/>
            <w:r w:rsidRPr="00226892">
              <w:rPr>
                <w:rFonts w:ascii="Arial" w:hAnsi="Arial" w:cs="Arial"/>
                <w:b/>
                <w:bCs/>
                <w:color w:val="000000"/>
                <w:sz w:val="18"/>
                <w:szCs w:val="18"/>
              </w:rPr>
              <w:t>Stav</w:t>
            </w:r>
            <w:proofErr w:type="spellEnd"/>
            <w:r w:rsidRPr="00226892">
              <w:rPr>
                <w:rFonts w:ascii="Arial" w:hAnsi="Arial" w:cs="Arial"/>
                <w:b/>
                <w:bCs/>
                <w:color w:val="000000"/>
                <w:sz w:val="18"/>
                <w:szCs w:val="18"/>
              </w:rPr>
              <w:t xml:space="preserve"> k 31. </w:t>
            </w:r>
            <w:proofErr w:type="spellStart"/>
            <w:r w:rsidRPr="00226892">
              <w:rPr>
                <w:rFonts w:ascii="Arial" w:hAnsi="Arial" w:cs="Arial"/>
                <w:b/>
                <w:bCs/>
                <w:color w:val="000000"/>
                <w:sz w:val="18"/>
                <w:szCs w:val="18"/>
              </w:rPr>
              <w:t>decembru</w:t>
            </w:r>
            <w:proofErr w:type="spellEnd"/>
            <w:r w:rsidRPr="00226892">
              <w:rPr>
                <w:rFonts w:ascii="Arial" w:hAnsi="Arial" w:cs="Arial"/>
                <w:b/>
                <w:bCs/>
                <w:color w:val="000000"/>
                <w:sz w:val="18"/>
                <w:szCs w:val="18"/>
              </w:rPr>
              <w:t xml:space="preserve"> </w:t>
            </w:r>
            <w:r w:rsidR="00F63A77" w:rsidRPr="00226892">
              <w:rPr>
                <w:rFonts w:ascii="Arial" w:hAnsi="Arial" w:cs="Arial"/>
                <w:b/>
                <w:bCs/>
                <w:color w:val="000000"/>
                <w:sz w:val="18"/>
                <w:szCs w:val="18"/>
              </w:rPr>
              <w:t>2017</w:t>
            </w:r>
          </w:p>
        </w:tc>
      </w:tr>
      <w:tr w:rsidR="00D75F1D" w:rsidRPr="00226892" w14:paraId="3454E892" w14:textId="77777777" w:rsidTr="00235CDF">
        <w:trPr>
          <w:trHeight w:val="227"/>
        </w:trPr>
        <w:tc>
          <w:tcPr>
            <w:tcW w:w="1181" w:type="pct"/>
            <w:tcBorders>
              <w:top w:val="nil"/>
              <w:left w:val="nil"/>
              <w:bottom w:val="nil"/>
              <w:right w:val="nil"/>
            </w:tcBorders>
            <w:shd w:val="clear" w:color="auto" w:fill="auto"/>
            <w:vAlign w:val="bottom"/>
            <w:hideMark/>
          </w:tcPr>
          <w:p w14:paraId="7F1D3DCB" w14:textId="0032E927" w:rsidR="00D75F1D" w:rsidRPr="00226892" w:rsidRDefault="00D75F1D" w:rsidP="00D75F1D">
            <w:pPr>
              <w:rPr>
                <w:rFonts w:ascii="Arial" w:hAnsi="Arial" w:cs="Arial"/>
                <w:color w:val="000000"/>
                <w:sz w:val="18"/>
                <w:szCs w:val="18"/>
              </w:rPr>
            </w:pPr>
            <w:r w:rsidRPr="00226892">
              <w:rPr>
                <w:rFonts w:ascii="Arial" w:hAnsi="Arial" w:cs="Arial"/>
                <w:color w:val="000000"/>
                <w:sz w:val="18"/>
                <w:szCs w:val="18"/>
              </w:rPr>
              <w:t>M.I.L. MATINVESTMENTS LIMITED</w:t>
            </w:r>
          </w:p>
        </w:tc>
        <w:tc>
          <w:tcPr>
            <w:tcW w:w="736" w:type="pct"/>
            <w:tcBorders>
              <w:top w:val="nil"/>
              <w:left w:val="nil"/>
              <w:bottom w:val="nil"/>
              <w:right w:val="nil"/>
            </w:tcBorders>
            <w:shd w:val="clear" w:color="auto" w:fill="auto"/>
            <w:vAlign w:val="bottom"/>
            <w:hideMark/>
          </w:tcPr>
          <w:p w14:paraId="1FD88A50" w14:textId="77777777" w:rsidR="00D75F1D" w:rsidRPr="00226892" w:rsidRDefault="00D75F1D" w:rsidP="00D75F1D">
            <w:pPr>
              <w:rPr>
                <w:rFonts w:ascii="Arial" w:hAnsi="Arial" w:cs="Arial"/>
                <w:color w:val="000000"/>
                <w:sz w:val="18"/>
                <w:szCs w:val="18"/>
              </w:rPr>
            </w:pPr>
            <w:r w:rsidRPr="00226892">
              <w:rPr>
                <w:rFonts w:ascii="Arial" w:hAnsi="Arial" w:cs="Arial"/>
                <w:color w:val="000000"/>
                <w:sz w:val="18"/>
                <w:szCs w:val="18"/>
              </w:rPr>
              <w:t xml:space="preserve">       EUR </w:t>
            </w:r>
          </w:p>
        </w:tc>
        <w:tc>
          <w:tcPr>
            <w:tcW w:w="788" w:type="pct"/>
            <w:tcBorders>
              <w:top w:val="nil"/>
              <w:left w:val="nil"/>
              <w:bottom w:val="nil"/>
              <w:right w:val="nil"/>
            </w:tcBorders>
            <w:shd w:val="clear" w:color="auto" w:fill="auto"/>
            <w:vAlign w:val="bottom"/>
            <w:hideMark/>
          </w:tcPr>
          <w:p w14:paraId="513ED263" w14:textId="0C449FFB" w:rsidR="00D75F1D" w:rsidRPr="00226892" w:rsidRDefault="00D75F1D" w:rsidP="00D75F1D">
            <w:pPr>
              <w:rPr>
                <w:rFonts w:ascii="Arial" w:hAnsi="Arial" w:cs="Arial"/>
                <w:color w:val="000000"/>
                <w:sz w:val="18"/>
                <w:szCs w:val="18"/>
              </w:rPr>
            </w:pPr>
            <w:r w:rsidRPr="00226892">
              <w:rPr>
                <w:rFonts w:ascii="Arial" w:hAnsi="Arial" w:cs="Arial"/>
                <w:color w:val="000000"/>
                <w:sz w:val="18"/>
                <w:szCs w:val="18"/>
              </w:rPr>
              <w:t xml:space="preserve">  </w:t>
            </w:r>
            <w:r w:rsidR="005F26CD" w:rsidRPr="00226892">
              <w:rPr>
                <w:rFonts w:ascii="Arial" w:hAnsi="Arial" w:cs="Arial"/>
                <w:color w:val="000000"/>
                <w:sz w:val="18"/>
                <w:szCs w:val="18"/>
              </w:rPr>
              <w:t>3%</w:t>
            </w:r>
          </w:p>
        </w:tc>
        <w:tc>
          <w:tcPr>
            <w:tcW w:w="827" w:type="pct"/>
            <w:tcBorders>
              <w:top w:val="nil"/>
              <w:left w:val="nil"/>
              <w:bottom w:val="nil"/>
              <w:right w:val="nil"/>
            </w:tcBorders>
            <w:shd w:val="clear" w:color="auto" w:fill="auto"/>
            <w:vAlign w:val="bottom"/>
            <w:hideMark/>
          </w:tcPr>
          <w:p w14:paraId="721A0A10" w14:textId="4A6569BA" w:rsidR="00D75F1D" w:rsidRPr="00226892" w:rsidRDefault="00D75F1D" w:rsidP="00D75F1D">
            <w:pPr>
              <w:jc w:val="right"/>
              <w:rPr>
                <w:rFonts w:ascii="Arial" w:hAnsi="Arial" w:cs="Arial"/>
                <w:color w:val="000000"/>
                <w:sz w:val="18"/>
                <w:szCs w:val="18"/>
              </w:rPr>
            </w:pPr>
            <w:r w:rsidRPr="00226892">
              <w:rPr>
                <w:rFonts w:ascii="Arial" w:hAnsi="Arial" w:cs="Arial"/>
                <w:color w:val="000000"/>
                <w:sz w:val="18"/>
                <w:szCs w:val="18"/>
              </w:rPr>
              <w:t xml:space="preserve">31. </w:t>
            </w:r>
            <w:proofErr w:type="spellStart"/>
            <w:r w:rsidRPr="00226892">
              <w:rPr>
                <w:rFonts w:ascii="Arial" w:hAnsi="Arial" w:cs="Arial"/>
                <w:color w:val="000000"/>
                <w:sz w:val="18"/>
                <w:szCs w:val="18"/>
              </w:rPr>
              <w:t>decembra</w:t>
            </w:r>
            <w:proofErr w:type="spellEnd"/>
            <w:r w:rsidRPr="00226892">
              <w:rPr>
                <w:rFonts w:ascii="Arial" w:hAnsi="Arial" w:cs="Arial"/>
                <w:color w:val="000000"/>
                <w:sz w:val="18"/>
                <w:szCs w:val="18"/>
              </w:rPr>
              <w:t xml:space="preserve"> 2019 </w:t>
            </w:r>
          </w:p>
        </w:tc>
        <w:tc>
          <w:tcPr>
            <w:tcW w:w="741" w:type="pct"/>
            <w:tcBorders>
              <w:top w:val="nil"/>
              <w:left w:val="nil"/>
              <w:bottom w:val="nil"/>
              <w:right w:val="nil"/>
            </w:tcBorders>
            <w:shd w:val="clear" w:color="auto" w:fill="auto"/>
            <w:vAlign w:val="bottom"/>
          </w:tcPr>
          <w:p w14:paraId="6C00E971" w14:textId="73B9F574" w:rsidR="00D75F1D" w:rsidRPr="00226892" w:rsidRDefault="00613D52" w:rsidP="00D75F1D">
            <w:pPr>
              <w:jc w:val="right"/>
              <w:rPr>
                <w:rFonts w:ascii="Arial" w:hAnsi="Arial" w:cs="Arial"/>
                <w:color w:val="000000"/>
                <w:sz w:val="18"/>
                <w:szCs w:val="18"/>
              </w:rPr>
            </w:pPr>
            <w:r w:rsidRPr="00226892">
              <w:rPr>
                <w:rFonts w:ascii="Arial" w:hAnsi="Arial" w:cs="Arial"/>
                <w:color w:val="000000"/>
                <w:sz w:val="18"/>
                <w:szCs w:val="18"/>
              </w:rPr>
              <w:t>1 700</w:t>
            </w:r>
          </w:p>
        </w:tc>
        <w:tc>
          <w:tcPr>
            <w:tcW w:w="728" w:type="pct"/>
            <w:tcBorders>
              <w:top w:val="nil"/>
              <w:left w:val="nil"/>
              <w:bottom w:val="nil"/>
              <w:right w:val="nil"/>
            </w:tcBorders>
            <w:shd w:val="clear" w:color="auto" w:fill="auto"/>
            <w:vAlign w:val="bottom"/>
          </w:tcPr>
          <w:p w14:paraId="7A0887F6" w14:textId="227C9F96" w:rsidR="00D75F1D" w:rsidRPr="00226892" w:rsidRDefault="00D75F1D" w:rsidP="00D75F1D">
            <w:pPr>
              <w:jc w:val="right"/>
              <w:rPr>
                <w:rFonts w:ascii="Arial" w:hAnsi="Arial" w:cs="Arial"/>
                <w:color w:val="000000"/>
                <w:sz w:val="18"/>
                <w:szCs w:val="18"/>
              </w:rPr>
            </w:pPr>
            <w:r w:rsidRPr="00226892">
              <w:rPr>
                <w:rFonts w:ascii="Arial" w:hAnsi="Arial" w:cs="Arial"/>
                <w:color w:val="000000"/>
                <w:sz w:val="18"/>
                <w:szCs w:val="18"/>
              </w:rPr>
              <w:t>1 700</w:t>
            </w:r>
          </w:p>
        </w:tc>
      </w:tr>
      <w:tr w:rsidR="00D75F1D" w:rsidRPr="00226892" w14:paraId="020D5FBE" w14:textId="77777777" w:rsidTr="00235CDF">
        <w:trPr>
          <w:trHeight w:val="227"/>
        </w:trPr>
        <w:tc>
          <w:tcPr>
            <w:tcW w:w="1181" w:type="pct"/>
            <w:tcBorders>
              <w:top w:val="nil"/>
              <w:left w:val="nil"/>
              <w:bottom w:val="nil"/>
              <w:right w:val="nil"/>
            </w:tcBorders>
            <w:shd w:val="clear" w:color="auto" w:fill="auto"/>
            <w:vAlign w:val="bottom"/>
            <w:hideMark/>
          </w:tcPr>
          <w:p w14:paraId="386AFAC9" w14:textId="68BD35D3" w:rsidR="00D75F1D" w:rsidRPr="00226892" w:rsidRDefault="00D75F1D" w:rsidP="00D75F1D">
            <w:pPr>
              <w:rPr>
                <w:rFonts w:ascii="Arial" w:hAnsi="Arial" w:cs="Arial"/>
                <w:color w:val="000000"/>
                <w:sz w:val="18"/>
                <w:szCs w:val="18"/>
              </w:rPr>
            </w:pPr>
            <w:proofErr w:type="spellStart"/>
            <w:r w:rsidRPr="00226892">
              <w:rPr>
                <w:rFonts w:ascii="Arial" w:hAnsi="Arial" w:cs="Arial"/>
                <w:color w:val="000000"/>
                <w:sz w:val="18"/>
                <w:szCs w:val="18"/>
              </w:rPr>
              <w:t>Sodecia</w:t>
            </w:r>
            <w:proofErr w:type="spellEnd"/>
          </w:p>
        </w:tc>
        <w:tc>
          <w:tcPr>
            <w:tcW w:w="736" w:type="pct"/>
            <w:tcBorders>
              <w:top w:val="nil"/>
              <w:left w:val="nil"/>
              <w:bottom w:val="nil"/>
              <w:right w:val="nil"/>
            </w:tcBorders>
            <w:shd w:val="clear" w:color="auto" w:fill="auto"/>
            <w:vAlign w:val="bottom"/>
            <w:hideMark/>
          </w:tcPr>
          <w:p w14:paraId="7B23D160" w14:textId="77777777" w:rsidR="00D75F1D" w:rsidRPr="00226892" w:rsidRDefault="00D75F1D" w:rsidP="00D75F1D">
            <w:pPr>
              <w:rPr>
                <w:rFonts w:ascii="Arial" w:hAnsi="Arial" w:cs="Arial"/>
                <w:color w:val="000000"/>
                <w:sz w:val="18"/>
                <w:szCs w:val="18"/>
              </w:rPr>
            </w:pPr>
            <w:r w:rsidRPr="00226892">
              <w:rPr>
                <w:rFonts w:ascii="Arial" w:hAnsi="Arial" w:cs="Arial"/>
                <w:color w:val="000000"/>
                <w:sz w:val="18"/>
                <w:szCs w:val="18"/>
              </w:rPr>
              <w:t xml:space="preserve">       EUR </w:t>
            </w:r>
          </w:p>
        </w:tc>
        <w:tc>
          <w:tcPr>
            <w:tcW w:w="788" w:type="pct"/>
            <w:tcBorders>
              <w:top w:val="nil"/>
              <w:left w:val="nil"/>
              <w:bottom w:val="nil"/>
              <w:right w:val="nil"/>
            </w:tcBorders>
            <w:shd w:val="clear" w:color="auto" w:fill="auto"/>
            <w:vAlign w:val="bottom"/>
            <w:hideMark/>
          </w:tcPr>
          <w:p w14:paraId="28244058" w14:textId="2819BCE1" w:rsidR="00D75F1D" w:rsidRPr="00226892" w:rsidRDefault="00D75F1D" w:rsidP="00D75F1D">
            <w:pPr>
              <w:rPr>
                <w:rFonts w:ascii="Arial" w:hAnsi="Arial" w:cs="Arial"/>
                <w:color w:val="000000"/>
                <w:sz w:val="18"/>
                <w:szCs w:val="18"/>
              </w:rPr>
            </w:pPr>
            <w:r w:rsidRPr="00226892">
              <w:rPr>
                <w:rFonts w:ascii="Arial" w:hAnsi="Arial" w:cs="Arial"/>
                <w:color w:val="000000"/>
                <w:sz w:val="18"/>
                <w:szCs w:val="18"/>
              </w:rPr>
              <w:t xml:space="preserve">  </w:t>
            </w:r>
            <w:r w:rsidR="005F26CD" w:rsidRPr="00226892">
              <w:rPr>
                <w:rFonts w:ascii="Arial" w:hAnsi="Arial" w:cs="Arial"/>
                <w:color w:val="000000"/>
                <w:sz w:val="18"/>
                <w:szCs w:val="18"/>
              </w:rPr>
              <w:t>1%</w:t>
            </w:r>
          </w:p>
        </w:tc>
        <w:tc>
          <w:tcPr>
            <w:tcW w:w="827" w:type="pct"/>
            <w:tcBorders>
              <w:top w:val="nil"/>
              <w:left w:val="nil"/>
              <w:bottom w:val="nil"/>
              <w:right w:val="nil"/>
            </w:tcBorders>
            <w:shd w:val="clear" w:color="auto" w:fill="auto"/>
            <w:vAlign w:val="bottom"/>
            <w:hideMark/>
          </w:tcPr>
          <w:p w14:paraId="11C53C2D" w14:textId="5ABB56B9" w:rsidR="00D75F1D" w:rsidRPr="00226892" w:rsidRDefault="00D75F1D" w:rsidP="00D75F1D">
            <w:pPr>
              <w:jc w:val="right"/>
              <w:rPr>
                <w:rFonts w:ascii="Arial" w:hAnsi="Arial" w:cs="Arial"/>
                <w:color w:val="000000"/>
                <w:sz w:val="18"/>
                <w:szCs w:val="18"/>
              </w:rPr>
            </w:pPr>
            <w:r w:rsidRPr="00226892">
              <w:rPr>
                <w:rFonts w:ascii="Arial" w:hAnsi="Arial" w:cs="Arial"/>
                <w:color w:val="000000"/>
                <w:sz w:val="18"/>
                <w:szCs w:val="18"/>
              </w:rPr>
              <w:t xml:space="preserve">30. </w:t>
            </w:r>
            <w:proofErr w:type="spellStart"/>
            <w:r w:rsidRPr="00226892">
              <w:rPr>
                <w:rFonts w:ascii="Arial" w:hAnsi="Arial" w:cs="Arial"/>
                <w:color w:val="000000"/>
                <w:sz w:val="18"/>
                <w:szCs w:val="18"/>
              </w:rPr>
              <w:t>júna</w:t>
            </w:r>
            <w:proofErr w:type="spellEnd"/>
            <w:r w:rsidRPr="00226892">
              <w:rPr>
                <w:rFonts w:ascii="Arial" w:hAnsi="Arial" w:cs="Arial"/>
                <w:color w:val="000000"/>
                <w:sz w:val="18"/>
                <w:szCs w:val="18"/>
              </w:rPr>
              <w:t xml:space="preserve"> 2025 </w:t>
            </w:r>
          </w:p>
        </w:tc>
        <w:tc>
          <w:tcPr>
            <w:tcW w:w="741" w:type="pct"/>
            <w:tcBorders>
              <w:top w:val="nil"/>
              <w:left w:val="nil"/>
              <w:bottom w:val="nil"/>
              <w:right w:val="nil"/>
            </w:tcBorders>
            <w:shd w:val="clear" w:color="auto" w:fill="auto"/>
            <w:vAlign w:val="bottom"/>
          </w:tcPr>
          <w:p w14:paraId="56A23368" w14:textId="59FB38E0" w:rsidR="00D75F1D" w:rsidRPr="00226892" w:rsidRDefault="005F26CD" w:rsidP="00D75F1D">
            <w:pPr>
              <w:jc w:val="right"/>
              <w:rPr>
                <w:rFonts w:ascii="Arial" w:hAnsi="Arial" w:cs="Arial"/>
                <w:color w:val="000000"/>
                <w:sz w:val="18"/>
                <w:szCs w:val="18"/>
              </w:rPr>
            </w:pPr>
            <w:r w:rsidRPr="00226892">
              <w:rPr>
                <w:rFonts w:ascii="Arial" w:hAnsi="Arial" w:cs="Arial"/>
                <w:color w:val="000000"/>
                <w:sz w:val="18"/>
                <w:szCs w:val="18"/>
              </w:rPr>
              <w:t>10 000</w:t>
            </w:r>
          </w:p>
        </w:tc>
        <w:tc>
          <w:tcPr>
            <w:tcW w:w="728" w:type="pct"/>
            <w:tcBorders>
              <w:top w:val="nil"/>
              <w:left w:val="nil"/>
              <w:bottom w:val="nil"/>
              <w:right w:val="nil"/>
            </w:tcBorders>
            <w:shd w:val="clear" w:color="auto" w:fill="auto"/>
            <w:vAlign w:val="bottom"/>
          </w:tcPr>
          <w:p w14:paraId="279B0B4D" w14:textId="6A471932" w:rsidR="00D75F1D" w:rsidRPr="00226892" w:rsidRDefault="00D75F1D" w:rsidP="00D75F1D">
            <w:pPr>
              <w:jc w:val="right"/>
              <w:rPr>
                <w:rFonts w:ascii="Arial" w:hAnsi="Arial" w:cs="Arial"/>
                <w:color w:val="000000"/>
                <w:sz w:val="18"/>
                <w:szCs w:val="18"/>
              </w:rPr>
            </w:pPr>
            <w:r w:rsidRPr="00226892">
              <w:rPr>
                <w:rFonts w:ascii="Arial" w:hAnsi="Arial" w:cs="Arial"/>
                <w:color w:val="000000"/>
                <w:sz w:val="18"/>
                <w:szCs w:val="18"/>
              </w:rPr>
              <w:t>5 000</w:t>
            </w:r>
          </w:p>
        </w:tc>
      </w:tr>
      <w:tr w:rsidR="00D75F1D" w:rsidRPr="00226892" w14:paraId="45F62BDD" w14:textId="77777777" w:rsidTr="00235CDF">
        <w:trPr>
          <w:trHeight w:val="227"/>
        </w:trPr>
        <w:tc>
          <w:tcPr>
            <w:tcW w:w="1181" w:type="pct"/>
            <w:tcBorders>
              <w:top w:val="nil"/>
              <w:left w:val="nil"/>
              <w:bottom w:val="nil"/>
              <w:right w:val="nil"/>
            </w:tcBorders>
            <w:shd w:val="clear" w:color="auto" w:fill="auto"/>
            <w:noWrap/>
            <w:vAlign w:val="bottom"/>
          </w:tcPr>
          <w:p w14:paraId="516681CC" w14:textId="77777777" w:rsidR="00D75F1D" w:rsidRPr="00226892" w:rsidRDefault="00D75F1D" w:rsidP="00D75F1D">
            <w:pPr>
              <w:rPr>
                <w:rFonts w:ascii="Arial" w:hAnsi="Arial" w:cs="Arial"/>
                <w:b/>
                <w:bCs/>
                <w:color w:val="000000"/>
                <w:sz w:val="18"/>
                <w:szCs w:val="18"/>
              </w:rPr>
            </w:pPr>
          </w:p>
        </w:tc>
        <w:tc>
          <w:tcPr>
            <w:tcW w:w="736" w:type="pct"/>
            <w:tcBorders>
              <w:top w:val="nil"/>
              <w:left w:val="nil"/>
              <w:bottom w:val="nil"/>
              <w:right w:val="nil"/>
            </w:tcBorders>
            <w:shd w:val="clear" w:color="auto" w:fill="auto"/>
            <w:vAlign w:val="bottom"/>
          </w:tcPr>
          <w:p w14:paraId="648E510A" w14:textId="77777777" w:rsidR="00D75F1D" w:rsidRPr="00226892" w:rsidRDefault="00D75F1D" w:rsidP="00D75F1D">
            <w:pPr>
              <w:rPr>
                <w:rFonts w:ascii="Arial" w:hAnsi="Arial" w:cs="Arial"/>
                <w:b/>
                <w:bCs/>
                <w:color w:val="000000"/>
                <w:sz w:val="18"/>
                <w:szCs w:val="18"/>
              </w:rPr>
            </w:pPr>
          </w:p>
        </w:tc>
        <w:tc>
          <w:tcPr>
            <w:tcW w:w="788" w:type="pct"/>
            <w:tcBorders>
              <w:top w:val="nil"/>
              <w:left w:val="nil"/>
              <w:bottom w:val="nil"/>
              <w:right w:val="nil"/>
            </w:tcBorders>
            <w:shd w:val="clear" w:color="auto" w:fill="auto"/>
            <w:vAlign w:val="bottom"/>
          </w:tcPr>
          <w:p w14:paraId="42C7D5FB" w14:textId="77777777" w:rsidR="00D75F1D" w:rsidRPr="00226892" w:rsidRDefault="00D75F1D" w:rsidP="00D75F1D">
            <w:pPr>
              <w:rPr>
                <w:rFonts w:ascii="Arial" w:hAnsi="Arial" w:cs="Arial"/>
                <w:sz w:val="18"/>
                <w:szCs w:val="18"/>
              </w:rPr>
            </w:pPr>
          </w:p>
        </w:tc>
        <w:tc>
          <w:tcPr>
            <w:tcW w:w="827" w:type="pct"/>
            <w:tcBorders>
              <w:top w:val="nil"/>
              <w:left w:val="nil"/>
              <w:bottom w:val="nil"/>
              <w:right w:val="nil"/>
            </w:tcBorders>
            <w:shd w:val="clear" w:color="auto" w:fill="auto"/>
            <w:vAlign w:val="bottom"/>
          </w:tcPr>
          <w:p w14:paraId="0768E6DD" w14:textId="77777777" w:rsidR="00D75F1D" w:rsidRPr="00226892" w:rsidRDefault="00D75F1D" w:rsidP="00D75F1D">
            <w:pPr>
              <w:jc w:val="right"/>
              <w:rPr>
                <w:rFonts w:ascii="Arial" w:hAnsi="Arial" w:cs="Arial"/>
                <w:sz w:val="18"/>
                <w:szCs w:val="18"/>
              </w:rPr>
            </w:pPr>
          </w:p>
        </w:tc>
        <w:tc>
          <w:tcPr>
            <w:tcW w:w="741" w:type="pct"/>
            <w:tcBorders>
              <w:top w:val="nil"/>
              <w:left w:val="nil"/>
              <w:bottom w:val="nil"/>
              <w:right w:val="nil"/>
            </w:tcBorders>
            <w:shd w:val="clear" w:color="auto" w:fill="auto"/>
            <w:vAlign w:val="bottom"/>
          </w:tcPr>
          <w:p w14:paraId="5E6D563E" w14:textId="77777777" w:rsidR="00D75F1D" w:rsidRPr="00226892" w:rsidRDefault="00D75F1D" w:rsidP="00D75F1D">
            <w:pPr>
              <w:jc w:val="right"/>
              <w:rPr>
                <w:rFonts w:ascii="Arial" w:hAnsi="Arial" w:cs="Arial"/>
                <w:b/>
                <w:bCs/>
                <w:color w:val="000000"/>
                <w:sz w:val="18"/>
                <w:szCs w:val="18"/>
              </w:rPr>
            </w:pPr>
          </w:p>
        </w:tc>
        <w:tc>
          <w:tcPr>
            <w:tcW w:w="728" w:type="pct"/>
            <w:tcBorders>
              <w:top w:val="nil"/>
              <w:left w:val="nil"/>
              <w:bottom w:val="nil"/>
              <w:right w:val="nil"/>
            </w:tcBorders>
            <w:shd w:val="clear" w:color="auto" w:fill="auto"/>
            <w:vAlign w:val="bottom"/>
          </w:tcPr>
          <w:p w14:paraId="23927DF0" w14:textId="77777777" w:rsidR="00D75F1D" w:rsidRPr="00226892" w:rsidRDefault="00D75F1D" w:rsidP="00D75F1D">
            <w:pPr>
              <w:jc w:val="right"/>
              <w:rPr>
                <w:rFonts w:ascii="Arial" w:hAnsi="Arial" w:cs="Arial"/>
                <w:b/>
                <w:bCs/>
                <w:color w:val="000000"/>
                <w:sz w:val="18"/>
                <w:szCs w:val="18"/>
              </w:rPr>
            </w:pPr>
          </w:p>
        </w:tc>
      </w:tr>
      <w:tr w:rsidR="00D75F1D" w:rsidRPr="00226892" w14:paraId="4AF86E83" w14:textId="77777777" w:rsidTr="00235CDF">
        <w:trPr>
          <w:trHeight w:val="227"/>
        </w:trPr>
        <w:tc>
          <w:tcPr>
            <w:tcW w:w="1181" w:type="pct"/>
            <w:tcBorders>
              <w:top w:val="nil"/>
              <w:left w:val="nil"/>
              <w:bottom w:val="nil"/>
              <w:right w:val="nil"/>
            </w:tcBorders>
            <w:shd w:val="clear" w:color="auto" w:fill="auto"/>
            <w:noWrap/>
            <w:vAlign w:val="bottom"/>
            <w:hideMark/>
          </w:tcPr>
          <w:p w14:paraId="0FFDA8A9" w14:textId="77777777" w:rsidR="00D75F1D" w:rsidRPr="00226892" w:rsidRDefault="00D75F1D" w:rsidP="00D75F1D">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Spolu</w:t>
            </w:r>
          </w:p>
        </w:tc>
        <w:tc>
          <w:tcPr>
            <w:tcW w:w="736" w:type="pct"/>
            <w:tcBorders>
              <w:top w:val="nil"/>
              <w:left w:val="nil"/>
              <w:bottom w:val="nil"/>
              <w:right w:val="nil"/>
            </w:tcBorders>
            <w:shd w:val="clear" w:color="auto" w:fill="auto"/>
            <w:vAlign w:val="bottom"/>
            <w:hideMark/>
          </w:tcPr>
          <w:p w14:paraId="113C1A0A" w14:textId="77777777" w:rsidR="00D75F1D" w:rsidRPr="00226892" w:rsidRDefault="00D75F1D" w:rsidP="00D75F1D">
            <w:pPr>
              <w:rPr>
                <w:rFonts w:ascii="Arial" w:eastAsia="Times New Roman" w:hAnsi="Arial" w:cs="Arial"/>
                <w:b/>
                <w:bCs/>
                <w:color w:val="000000"/>
                <w:sz w:val="18"/>
                <w:szCs w:val="18"/>
                <w:lang w:val="sk-SK" w:eastAsia="sk-SK"/>
              </w:rPr>
            </w:pPr>
          </w:p>
        </w:tc>
        <w:tc>
          <w:tcPr>
            <w:tcW w:w="788" w:type="pct"/>
            <w:tcBorders>
              <w:top w:val="nil"/>
              <w:left w:val="nil"/>
              <w:bottom w:val="nil"/>
              <w:right w:val="nil"/>
            </w:tcBorders>
            <w:shd w:val="clear" w:color="auto" w:fill="auto"/>
            <w:vAlign w:val="bottom"/>
            <w:hideMark/>
          </w:tcPr>
          <w:p w14:paraId="49BF9F6A" w14:textId="77777777" w:rsidR="00D75F1D" w:rsidRPr="00226892" w:rsidRDefault="00D75F1D" w:rsidP="00D75F1D">
            <w:pPr>
              <w:rPr>
                <w:rFonts w:ascii="Arial" w:eastAsia="Times New Roman" w:hAnsi="Arial" w:cs="Arial"/>
                <w:b/>
                <w:bCs/>
                <w:color w:val="000000"/>
                <w:sz w:val="18"/>
                <w:szCs w:val="18"/>
                <w:lang w:val="sk-SK" w:eastAsia="sk-SK"/>
              </w:rPr>
            </w:pPr>
          </w:p>
        </w:tc>
        <w:tc>
          <w:tcPr>
            <w:tcW w:w="827" w:type="pct"/>
            <w:tcBorders>
              <w:top w:val="nil"/>
              <w:left w:val="nil"/>
              <w:bottom w:val="nil"/>
              <w:right w:val="nil"/>
            </w:tcBorders>
            <w:shd w:val="clear" w:color="auto" w:fill="auto"/>
            <w:vAlign w:val="bottom"/>
            <w:hideMark/>
          </w:tcPr>
          <w:p w14:paraId="57537EAC" w14:textId="77777777" w:rsidR="00D75F1D" w:rsidRPr="00226892" w:rsidRDefault="00D75F1D" w:rsidP="00D75F1D">
            <w:pPr>
              <w:rPr>
                <w:rFonts w:ascii="Arial" w:eastAsia="Times New Roman" w:hAnsi="Arial" w:cs="Arial"/>
                <w:b/>
                <w:bCs/>
                <w:color w:val="000000"/>
                <w:sz w:val="18"/>
                <w:szCs w:val="18"/>
                <w:lang w:val="sk-SK" w:eastAsia="sk-SK"/>
              </w:rPr>
            </w:pPr>
          </w:p>
        </w:tc>
        <w:tc>
          <w:tcPr>
            <w:tcW w:w="741" w:type="pct"/>
            <w:tcBorders>
              <w:top w:val="nil"/>
              <w:left w:val="nil"/>
              <w:bottom w:val="nil"/>
              <w:right w:val="nil"/>
            </w:tcBorders>
            <w:shd w:val="clear" w:color="auto" w:fill="auto"/>
            <w:vAlign w:val="bottom"/>
          </w:tcPr>
          <w:p w14:paraId="392F6C2B" w14:textId="5A53FDD9" w:rsidR="00D75F1D" w:rsidRPr="00226892" w:rsidRDefault="00613D52" w:rsidP="00D75F1D">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11 700</w:t>
            </w:r>
          </w:p>
        </w:tc>
        <w:tc>
          <w:tcPr>
            <w:tcW w:w="728" w:type="pct"/>
            <w:tcBorders>
              <w:top w:val="nil"/>
              <w:left w:val="nil"/>
              <w:bottom w:val="nil"/>
              <w:right w:val="nil"/>
            </w:tcBorders>
            <w:shd w:val="clear" w:color="auto" w:fill="auto"/>
            <w:vAlign w:val="bottom"/>
          </w:tcPr>
          <w:p w14:paraId="6B5585BC" w14:textId="0E57C272" w:rsidR="00D75F1D" w:rsidRPr="00226892" w:rsidRDefault="00D75F1D" w:rsidP="00D75F1D">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6 700</w:t>
            </w:r>
          </w:p>
        </w:tc>
      </w:tr>
    </w:tbl>
    <w:p w14:paraId="2D391722" w14:textId="77777777" w:rsidR="000C1BF4" w:rsidRPr="00226892" w:rsidRDefault="000C1BF4" w:rsidP="008F7011">
      <w:pPr>
        <w:suppressAutoHyphens/>
        <w:ind w:left="426"/>
        <w:rPr>
          <w:rFonts w:ascii="Arial" w:hAnsi="Arial" w:cs="Arial"/>
          <w:i/>
          <w:lang w:val="sk-SK"/>
        </w:rPr>
      </w:pPr>
    </w:p>
    <w:p w14:paraId="4219EC92" w14:textId="275F7534" w:rsidR="0056068D" w:rsidRPr="00226892" w:rsidRDefault="0056068D" w:rsidP="00756C6D">
      <w:pPr>
        <w:suppressAutoHyphens/>
        <w:rPr>
          <w:rFonts w:ascii="Arial" w:hAnsi="Arial" w:cs="Arial"/>
          <w:i/>
          <w:lang w:val="sk-SK"/>
        </w:rPr>
      </w:pPr>
      <w:r w:rsidRPr="00226892">
        <w:rPr>
          <w:rFonts w:ascii="Arial" w:hAnsi="Arial" w:cs="Arial"/>
          <w:i/>
          <w:lang w:val="sk-SK"/>
        </w:rPr>
        <w:t>Kompenzácie riadiacich pracovníkov</w:t>
      </w:r>
    </w:p>
    <w:p w14:paraId="77958171" w14:textId="77777777" w:rsidR="0056068D" w:rsidRPr="00226892" w:rsidRDefault="0056068D" w:rsidP="00756C6D">
      <w:pPr>
        <w:suppressAutoHyphens/>
        <w:rPr>
          <w:rFonts w:ascii="Arial" w:hAnsi="Arial" w:cs="Arial"/>
          <w:i/>
          <w:lang w:val="sk-SK"/>
        </w:rPr>
      </w:pPr>
    </w:p>
    <w:p w14:paraId="3D93B52D" w14:textId="51508B58" w:rsidR="0056068D" w:rsidRPr="00226892" w:rsidRDefault="0056068D" w:rsidP="00756C6D">
      <w:pPr>
        <w:suppressAutoHyphens/>
        <w:jc w:val="both"/>
        <w:rPr>
          <w:rFonts w:ascii="Arial" w:hAnsi="Arial" w:cs="Arial"/>
          <w:lang w:val="sk-SK"/>
        </w:rPr>
      </w:pPr>
      <w:r w:rsidRPr="00226892">
        <w:rPr>
          <w:rFonts w:ascii="Arial" w:hAnsi="Arial" w:cs="Arial"/>
          <w:lang w:val="sk-SK"/>
        </w:rPr>
        <w:t xml:space="preserve">Štruktúra odmien prijatých členmi predstavenstva a ostatných štatutárnych orgánov Spoločnosti a jej dcérskych spoločností v roku </w:t>
      </w:r>
      <w:r w:rsidR="00FD3AC5" w:rsidRPr="00226892">
        <w:rPr>
          <w:rFonts w:ascii="Arial" w:hAnsi="Arial" w:cs="Arial"/>
          <w:lang w:val="sk-SK"/>
        </w:rPr>
        <w:t>2018</w:t>
      </w:r>
      <w:r w:rsidR="00CE3E6A" w:rsidRPr="00226892">
        <w:rPr>
          <w:rFonts w:ascii="Arial" w:hAnsi="Arial" w:cs="Arial"/>
          <w:lang w:val="sk-SK"/>
        </w:rPr>
        <w:t xml:space="preserve"> </w:t>
      </w:r>
      <w:r w:rsidRPr="00226892">
        <w:rPr>
          <w:rFonts w:ascii="Arial" w:hAnsi="Arial" w:cs="Arial"/>
          <w:lang w:val="sk-SK"/>
        </w:rPr>
        <w:t>a </w:t>
      </w:r>
      <w:r w:rsidR="00F63A77" w:rsidRPr="00226892">
        <w:rPr>
          <w:rFonts w:ascii="Arial" w:hAnsi="Arial" w:cs="Arial"/>
          <w:lang w:val="sk-SK"/>
        </w:rPr>
        <w:t>2017</w:t>
      </w:r>
      <w:r w:rsidRPr="00226892">
        <w:rPr>
          <w:rFonts w:ascii="Arial" w:hAnsi="Arial" w:cs="Arial"/>
          <w:lang w:val="sk-SK"/>
        </w:rPr>
        <w:t>:</w:t>
      </w:r>
    </w:p>
    <w:p w14:paraId="669A5331" w14:textId="77777777" w:rsidR="0056068D" w:rsidRPr="00226892" w:rsidRDefault="0056068D" w:rsidP="008F7011">
      <w:pPr>
        <w:suppressAutoHyphens/>
        <w:ind w:left="426"/>
        <w:rPr>
          <w:rFonts w:ascii="Arial" w:hAnsi="Arial" w:cs="Arial"/>
          <w:sz w:val="18"/>
          <w:szCs w:val="18"/>
          <w:highlight w:val="yellow"/>
          <w:lang w:val="sk-SK"/>
        </w:rPr>
      </w:pPr>
    </w:p>
    <w:p w14:paraId="49766275" w14:textId="64D6A15D" w:rsidR="00837450" w:rsidRPr="00226892" w:rsidRDefault="0056068D" w:rsidP="00756C6D">
      <w:pPr>
        <w:tabs>
          <w:tab w:val="left" w:pos="5073"/>
        </w:tabs>
        <w:suppressAutoHyphens/>
        <w:rPr>
          <w:rFonts w:ascii="Arial" w:hAnsi="Arial" w:cs="Arial"/>
          <w:b/>
          <w:bCs/>
          <w:sz w:val="18"/>
          <w:szCs w:val="18"/>
          <w:lang w:val="sk-SK"/>
        </w:rPr>
      </w:pPr>
      <w:r w:rsidRPr="00226892">
        <w:rPr>
          <w:rFonts w:ascii="Arial" w:hAnsi="Arial" w:cs="Arial"/>
          <w:b/>
          <w:szCs w:val="18"/>
          <w:lang w:val="sk-SK"/>
        </w:rPr>
        <w:t>Predstavenstvo</w:t>
      </w:r>
      <w:r w:rsidR="00595CAF" w:rsidRPr="00226892">
        <w:rPr>
          <w:rFonts w:ascii="Arial" w:hAnsi="Arial" w:cs="Arial"/>
          <w:b/>
          <w:bCs/>
          <w:sz w:val="18"/>
          <w:szCs w:val="18"/>
          <w:lang w:val="sk-SK"/>
        </w:rPr>
        <w:tab/>
      </w:r>
    </w:p>
    <w:p w14:paraId="30330A19" w14:textId="0CB13F2E" w:rsidR="008D5E62" w:rsidRPr="00226892" w:rsidRDefault="008D5E62" w:rsidP="00833CC0">
      <w:pPr>
        <w:suppressAutoHyphens/>
        <w:rPr>
          <w:rFonts w:ascii="Arial" w:hAnsi="Arial" w:cs="Arial"/>
          <w:sz w:val="18"/>
          <w:szCs w:val="18"/>
          <w:lang w:val="sk-SK"/>
        </w:rPr>
      </w:pPr>
      <w:bookmarkStart w:id="652" w:name="FWT_BoardOfDirectorsRemuner"/>
      <w:r w:rsidRPr="00226892">
        <w:rPr>
          <w:rFonts w:ascii="Arial" w:hAnsi="Arial" w:cs="Arial"/>
          <w:sz w:val="18"/>
          <w:szCs w:val="18"/>
          <w:lang w:val="sk-SK"/>
        </w:rPr>
        <w:t xml:space="preserve"> </w:t>
      </w:r>
    </w:p>
    <w:tbl>
      <w:tblPr>
        <w:tblW w:w="5000" w:type="pct"/>
        <w:tblLayout w:type="fixed"/>
        <w:tblCellMar>
          <w:left w:w="70" w:type="dxa"/>
          <w:right w:w="70" w:type="dxa"/>
        </w:tblCellMar>
        <w:tblLook w:val="04A0" w:firstRow="1" w:lastRow="0" w:firstColumn="1" w:lastColumn="0" w:noHBand="0" w:noVBand="1"/>
      </w:tblPr>
      <w:tblGrid>
        <w:gridCol w:w="5189"/>
        <w:gridCol w:w="191"/>
        <w:gridCol w:w="2030"/>
        <w:gridCol w:w="191"/>
        <w:gridCol w:w="2038"/>
      </w:tblGrid>
      <w:tr w:rsidR="008D5E62" w:rsidRPr="00226892" w14:paraId="5F93231A" w14:textId="77777777" w:rsidTr="00DB5F75">
        <w:trPr>
          <w:trHeight w:val="240"/>
        </w:trPr>
        <w:tc>
          <w:tcPr>
            <w:tcW w:w="2692" w:type="pct"/>
            <w:tcBorders>
              <w:top w:val="nil"/>
              <w:left w:val="nil"/>
              <w:bottom w:val="single" w:sz="4" w:space="0" w:color="auto"/>
              <w:right w:val="nil"/>
            </w:tcBorders>
            <w:shd w:val="clear" w:color="auto" w:fill="auto"/>
            <w:vAlign w:val="bottom"/>
            <w:hideMark/>
          </w:tcPr>
          <w:p w14:paraId="3117366D" w14:textId="77777777" w:rsidR="008D5E62" w:rsidRPr="00226892" w:rsidRDefault="008D5E62" w:rsidP="00833CC0">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99" w:type="pct"/>
            <w:tcBorders>
              <w:top w:val="nil"/>
              <w:left w:val="nil"/>
              <w:bottom w:val="single" w:sz="4" w:space="0" w:color="auto"/>
              <w:right w:val="nil"/>
            </w:tcBorders>
            <w:shd w:val="clear" w:color="auto" w:fill="auto"/>
            <w:vAlign w:val="bottom"/>
            <w:hideMark/>
          </w:tcPr>
          <w:p w14:paraId="628FC92A" w14:textId="77777777" w:rsidR="008D5E62" w:rsidRPr="00226892" w:rsidRDefault="008D5E62">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053" w:type="pct"/>
            <w:tcBorders>
              <w:top w:val="nil"/>
              <w:left w:val="nil"/>
              <w:bottom w:val="single" w:sz="4" w:space="0" w:color="auto"/>
              <w:right w:val="nil"/>
            </w:tcBorders>
            <w:shd w:val="clear" w:color="auto" w:fill="auto"/>
            <w:vAlign w:val="bottom"/>
            <w:hideMark/>
          </w:tcPr>
          <w:p w14:paraId="41253ABB" w14:textId="554079F5" w:rsidR="008D5E62" w:rsidRPr="00226892" w:rsidRDefault="00FD3AC5">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2018</w:t>
            </w:r>
          </w:p>
        </w:tc>
        <w:tc>
          <w:tcPr>
            <w:tcW w:w="99" w:type="pct"/>
            <w:tcBorders>
              <w:top w:val="nil"/>
              <w:left w:val="nil"/>
              <w:bottom w:val="single" w:sz="4" w:space="0" w:color="auto"/>
              <w:right w:val="nil"/>
            </w:tcBorders>
            <w:shd w:val="clear" w:color="auto" w:fill="auto"/>
            <w:vAlign w:val="bottom"/>
            <w:hideMark/>
          </w:tcPr>
          <w:p w14:paraId="4C4AF60B" w14:textId="77777777" w:rsidR="008D5E62" w:rsidRPr="00226892" w:rsidRDefault="008D5E62">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w:t>
            </w:r>
          </w:p>
        </w:tc>
        <w:tc>
          <w:tcPr>
            <w:tcW w:w="1057" w:type="pct"/>
            <w:tcBorders>
              <w:top w:val="nil"/>
              <w:left w:val="nil"/>
              <w:bottom w:val="single" w:sz="4" w:space="0" w:color="auto"/>
              <w:right w:val="nil"/>
            </w:tcBorders>
            <w:shd w:val="clear" w:color="auto" w:fill="auto"/>
            <w:vAlign w:val="bottom"/>
            <w:hideMark/>
          </w:tcPr>
          <w:p w14:paraId="72CDE33A" w14:textId="26F8875A" w:rsidR="008D5E62" w:rsidRPr="00226892" w:rsidRDefault="00F63A77">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2017</w:t>
            </w:r>
          </w:p>
        </w:tc>
      </w:tr>
      <w:tr w:rsidR="00D67484" w:rsidRPr="00226892" w14:paraId="2A7D923D" w14:textId="77777777" w:rsidTr="00DB5F75">
        <w:trPr>
          <w:trHeight w:val="240"/>
        </w:trPr>
        <w:tc>
          <w:tcPr>
            <w:tcW w:w="2692" w:type="pct"/>
            <w:tcBorders>
              <w:top w:val="nil"/>
              <w:left w:val="nil"/>
              <w:bottom w:val="nil"/>
              <w:right w:val="nil"/>
            </w:tcBorders>
            <w:shd w:val="clear" w:color="auto" w:fill="auto"/>
            <w:vAlign w:val="center"/>
            <w:hideMark/>
          </w:tcPr>
          <w:p w14:paraId="2AB6802D" w14:textId="50D1C1BE" w:rsidR="00D67484" w:rsidRPr="00226892" w:rsidRDefault="005F26CD" w:rsidP="00D67484">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Odmeny za výkon funkcie</w:t>
            </w:r>
          </w:p>
        </w:tc>
        <w:tc>
          <w:tcPr>
            <w:tcW w:w="99" w:type="pct"/>
            <w:tcBorders>
              <w:top w:val="nil"/>
              <w:left w:val="nil"/>
              <w:bottom w:val="nil"/>
              <w:right w:val="nil"/>
            </w:tcBorders>
            <w:shd w:val="clear" w:color="auto" w:fill="auto"/>
            <w:vAlign w:val="bottom"/>
            <w:hideMark/>
          </w:tcPr>
          <w:p w14:paraId="36600F1F" w14:textId="77777777" w:rsidR="00D67484" w:rsidRPr="00226892" w:rsidRDefault="00D67484" w:rsidP="00D67484">
            <w:pPr>
              <w:rPr>
                <w:rFonts w:ascii="Arial" w:eastAsia="Times New Roman" w:hAnsi="Arial" w:cs="Arial"/>
                <w:color w:val="000000"/>
                <w:sz w:val="18"/>
                <w:szCs w:val="18"/>
                <w:lang w:val="sk-SK" w:eastAsia="sk-SK"/>
              </w:rPr>
            </w:pPr>
          </w:p>
        </w:tc>
        <w:tc>
          <w:tcPr>
            <w:tcW w:w="1053" w:type="pct"/>
            <w:tcBorders>
              <w:top w:val="nil"/>
              <w:left w:val="nil"/>
              <w:bottom w:val="nil"/>
              <w:right w:val="nil"/>
            </w:tcBorders>
            <w:shd w:val="clear" w:color="auto" w:fill="auto"/>
            <w:vAlign w:val="bottom"/>
          </w:tcPr>
          <w:p w14:paraId="1E30EAC3" w14:textId="25588F17" w:rsidR="00D67484" w:rsidRPr="00226892" w:rsidRDefault="00D67484" w:rsidP="00D67484">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13</w:t>
            </w:r>
          </w:p>
        </w:tc>
        <w:tc>
          <w:tcPr>
            <w:tcW w:w="99" w:type="pct"/>
            <w:tcBorders>
              <w:top w:val="nil"/>
              <w:left w:val="nil"/>
              <w:bottom w:val="nil"/>
              <w:right w:val="nil"/>
            </w:tcBorders>
            <w:shd w:val="clear" w:color="auto" w:fill="auto"/>
            <w:vAlign w:val="bottom"/>
            <w:hideMark/>
          </w:tcPr>
          <w:p w14:paraId="55AAEDCA" w14:textId="77777777" w:rsidR="00D67484" w:rsidRPr="00226892" w:rsidRDefault="00D67484" w:rsidP="00D67484">
            <w:pPr>
              <w:jc w:val="right"/>
              <w:rPr>
                <w:rFonts w:ascii="Arial" w:eastAsia="Times New Roman" w:hAnsi="Arial" w:cs="Arial"/>
                <w:color w:val="000000"/>
                <w:sz w:val="18"/>
                <w:szCs w:val="18"/>
                <w:lang w:val="sk-SK" w:eastAsia="sk-SK"/>
              </w:rPr>
            </w:pPr>
          </w:p>
        </w:tc>
        <w:tc>
          <w:tcPr>
            <w:tcW w:w="1057" w:type="pct"/>
            <w:tcBorders>
              <w:top w:val="nil"/>
              <w:left w:val="nil"/>
              <w:bottom w:val="nil"/>
              <w:right w:val="nil"/>
            </w:tcBorders>
            <w:shd w:val="clear" w:color="auto" w:fill="auto"/>
            <w:vAlign w:val="bottom"/>
            <w:hideMark/>
          </w:tcPr>
          <w:p w14:paraId="19714C01" w14:textId="3ADCF277" w:rsidR="00D67484" w:rsidRPr="00226892" w:rsidRDefault="00D67484" w:rsidP="00D67484">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xml:space="preserve">19    </w:t>
            </w:r>
          </w:p>
        </w:tc>
      </w:tr>
      <w:tr w:rsidR="00D67484" w:rsidRPr="00226892" w14:paraId="063DB4C9" w14:textId="77777777" w:rsidTr="00DB5F75">
        <w:trPr>
          <w:trHeight w:val="240"/>
        </w:trPr>
        <w:tc>
          <w:tcPr>
            <w:tcW w:w="2692" w:type="pct"/>
            <w:tcBorders>
              <w:top w:val="nil"/>
              <w:left w:val="nil"/>
              <w:bottom w:val="nil"/>
              <w:right w:val="nil"/>
            </w:tcBorders>
            <w:shd w:val="clear" w:color="auto" w:fill="auto"/>
            <w:vAlign w:val="center"/>
            <w:hideMark/>
          </w:tcPr>
          <w:p w14:paraId="2E5FF9C4" w14:textId="77777777" w:rsidR="00D67484" w:rsidRPr="00226892" w:rsidRDefault="00D67484" w:rsidP="00D67484">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Spolu</w:t>
            </w:r>
          </w:p>
        </w:tc>
        <w:tc>
          <w:tcPr>
            <w:tcW w:w="99" w:type="pct"/>
            <w:tcBorders>
              <w:top w:val="nil"/>
              <w:left w:val="nil"/>
              <w:bottom w:val="nil"/>
              <w:right w:val="nil"/>
            </w:tcBorders>
            <w:shd w:val="clear" w:color="auto" w:fill="auto"/>
            <w:vAlign w:val="bottom"/>
            <w:hideMark/>
          </w:tcPr>
          <w:p w14:paraId="32FD923F" w14:textId="77777777" w:rsidR="00D67484" w:rsidRPr="00226892" w:rsidRDefault="00D67484" w:rsidP="00D67484">
            <w:pPr>
              <w:rPr>
                <w:rFonts w:ascii="Arial" w:eastAsia="Times New Roman" w:hAnsi="Arial" w:cs="Arial"/>
                <w:b/>
                <w:bCs/>
                <w:color w:val="000000"/>
                <w:sz w:val="18"/>
                <w:szCs w:val="18"/>
                <w:lang w:val="sk-SK" w:eastAsia="sk-SK"/>
              </w:rPr>
            </w:pPr>
          </w:p>
        </w:tc>
        <w:tc>
          <w:tcPr>
            <w:tcW w:w="1053" w:type="pct"/>
            <w:tcBorders>
              <w:top w:val="single" w:sz="4" w:space="0" w:color="auto"/>
              <w:left w:val="nil"/>
              <w:bottom w:val="double" w:sz="6" w:space="0" w:color="auto"/>
              <w:right w:val="nil"/>
            </w:tcBorders>
            <w:shd w:val="clear" w:color="auto" w:fill="auto"/>
            <w:vAlign w:val="bottom"/>
          </w:tcPr>
          <w:p w14:paraId="44E03DA6" w14:textId="666763D0" w:rsidR="00D67484" w:rsidRPr="00226892" w:rsidRDefault="00D67484" w:rsidP="00D67484">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13</w:t>
            </w:r>
          </w:p>
        </w:tc>
        <w:tc>
          <w:tcPr>
            <w:tcW w:w="99" w:type="pct"/>
            <w:tcBorders>
              <w:top w:val="nil"/>
              <w:left w:val="nil"/>
              <w:bottom w:val="nil"/>
              <w:right w:val="nil"/>
            </w:tcBorders>
            <w:shd w:val="clear" w:color="auto" w:fill="auto"/>
            <w:vAlign w:val="bottom"/>
            <w:hideMark/>
          </w:tcPr>
          <w:p w14:paraId="69A9DD13" w14:textId="77777777" w:rsidR="00D67484" w:rsidRPr="00226892" w:rsidRDefault="00D67484" w:rsidP="00D67484">
            <w:pPr>
              <w:jc w:val="right"/>
              <w:rPr>
                <w:rFonts w:ascii="Arial" w:eastAsia="Times New Roman" w:hAnsi="Arial" w:cs="Arial"/>
                <w:b/>
                <w:bCs/>
                <w:color w:val="000000"/>
                <w:sz w:val="18"/>
                <w:szCs w:val="18"/>
                <w:lang w:val="sk-SK" w:eastAsia="sk-SK"/>
              </w:rPr>
            </w:pPr>
          </w:p>
        </w:tc>
        <w:tc>
          <w:tcPr>
            <w:tcW w:w="1057" w:type="pct"/>
            <w:tcBorders>
              <w:top w:val="single" w:sz="4" w:space="0" w:color="auto"/>
              <w:left w:val="nil"/>
              <w:bottom w:val="double" w:sz="6" w:space="0" w:color="auto"/>
              <w:right w:val="nil"/>
            </w:tcBorders>
            <w:shd w:val="clear" w:color="auto" w:fill="auto"/>
            <w:vAlign w:val="bottom"/>
            <w:hideMark/>
          </w:tcPr>
          <w:p w14:paraId="3492FE97" w14:textId="1FB09854" w:rsidR="00D67484" w:rsidRPr="00226892" w:rsidRDefault="00D67484" w:rsidP="00D67484">
            <w:pPr>
              <w:jc w:val="right"/>
              <w:rPr>
                <w:rFonts w:ascii="Arial" w:eastAsia="Times New Roman" w:hAnsi="Arial" w:cs="Arial"/>
                <w:color w:val="000000"/>
                <w:sz w:val="18"/>
                <w:szCs w:val="18"/>
                <w:lang w:val="sk-SK" w:eastAsia="sk-SK"/>
              </w:rPr>
            </w:pPr>
            <w:r w:rsidRPr="00226892">
              <w:rPr>
                <w:rFonts w:ascii="Arial" w:eastAsia="Times New Roman" w:hAnsi="Arial" w:cs="Arial"/>
                <w:b/>
                <w:bCs/>
                <w:color w:val="000000"/>
                <w:sz w:val="18"/>
                <w:szCs w:val="18"/>
                <w:lang w:val="sk-SK" w:eastAsia="sk-SK"/>
              </w:rPr>
              <w:t xml:space="preserve">19    </w:t>
            </w:r>
          </w:p>
        </w:tc>
      </w:tr>
    </w:tbl>
    <w:p w14:paraId="1D9B6FAE" w14:textId="403E46E8" w:rsidR="004C34E3" w:rsidRPr="00226892" w:rsidRDefault="008D5E62" w:rsidP="00833CC0">
      <w:pPr>
        <w:suppressAutoHyphens/>
        <w:rPr>
          <w:rFonts w:ascii="Arial" w:hAnsi="Arial" w:cs="Arial"/>
          <w:sz w:val="18"/>
          <w:szCs w:val="18"/>
        </w:rPr>
      </w:pPr>
      <w:r w:rsidRPr="00226892">
        <w:rPr>
          <w:rFonts w:ascii="Arial" w:hAnsi="Arial" w:cs="Arial"/>
          <w:sz w:val="18"/>
          <w:szCs w:val="18"/>
        </w:rPr>
        <w:t xml:space="preserve"> </w:t>
      </w:r>
      <w:bookmarkEnd w:id="652"/>
      <w:r w:rsidRPr="00226892">
        <w:rPr>
          <w:rFonts w:ascii="Arial" w:hAnsi="Arial" w:cs="Arial"/>
          <w:sz w:val="18"/>
          <w:szCs w:val="18"/>
        </w:rPr>
        <w:t xml:space="preserve"> </w:t>
      </w:r>
      <w:r w:rsidR="00C473E3" w:rsidRPr="00226892">
        <w:rPr>
          <w:rFonts w:ascii="Arial" w:hAnsi="Arial" w:cs="Arial"/>
          <w:sz w:val="18"/>
          <w:szCs w:val="18"/>
        </w:rPr>
        <w:t xml:space="preserve"> </w:t>
      </w:r>
    </w:p>
    <w:p w14:paraId="0A92C721" w14:textId="77777777" w:rsidR="00837450" w:rsidRPr="00226892" w:rsidRDefault="0056068D" w:rsidP="00756C6D">
      <w:pPr>
        <w:suppressAutoHyphens/>
        <w:rPr>
          <w:rFonts w:ascii="Arial" w:hAnsi="Arial" w:cs="Arial"/>
          <w:b/>
        </w:rPr>
      </w:pPr>
      <w:r w:rsidRPr="00226892">
        <w:rPr>
          <w:rFonts w:ascii="Arial" w:hAnsi="Arial" w:cs="Arial"/>
          <w:b/>
          <w:lang w:val="sk-SK"/>
        </w:rPr>
        <w:t>Dozorná rada</w:t>
      </w:r>
    </w:p>
    <w:p w14:paraId="4B4F0D61" w14:textId="300D73FA" w:rsidR="008D5E62" w:rsidRPr="00226892" w:rsidRDefault="008D5E62" w:rsidP="00833CC0">
      <w:pPr>
        <w:suppressAutoHyphens/>
        <w:rPr>
          <w:rFonts w:ascii="Arial" w:hAnsi="Arial" w:cs="Arial"/>
          <w:i/>
        </w:rPr>
      </w:pPr>
      <w:bookmarkStart w:id="653" w:name="FWT_SupervisoryBoardRemuner"/>
      <w:r w:rsidRPr="00226892">
        <w:rPr>
          <w:rFonts w:ascii="Arial" w:hAnsi="Arial" w:cs="Arial"/>
          <w:i/>
        </w:rPr>
        <w:t xml:space="preserve"> </w:t>
      </w:r>
    </w:p>
    <w:tbl>
      <w:tblPr>
        <w:tblW w:w="5000" w:type="pct"/>
        <w:tblCellMar>
          <w:left w:w="70" w:type="dxa"/>
          <w:right w:w="70" w:type="dxa"/>
        </w:tblCellMar>
        <w:tblLook w:val="04A0" w:firstRow="1" w:lastRow="0" w:firstColumn="1" w:lastColumn="0" w:noHBand="0" w:noVBand="1"/>
      </w:tblPr>
      <w:tblGrid>
        <w:gridCol w:w="5187"/>
        <w:gridCol w:w="191"/>
        <w:gridCol w:w="2036"/>
        <w:gridCol w:w="191"/>
        <w:gridCol w:w="2034"/>
      </w:tblGrid>
      <w:tr w:rsidR="008D5E62" w:rsidRPr="00226892" w14:paraId="5515861B" w14:textId="77777777" w:rsidTr="00756C6D">
        <w:trPr>
          <w:trHeight w:val="240"/>
        </w:trPr>
        <w:tc>
          <w:tcPr>
            <w:tcW w:w="2699" w:type="pct"/>
            <w:tcBorders>
              <w:top w:val="nil"/>
              <w:left w:val="nil"/>
              <w:bottom w:val="single" w:sz="4" w:space="0" w:color="auto"/>
              <w:right w:val="nil"/>
            </w:tcBorders>
            <w:shd w:val="clear" w:color="auto" w:fill="auto"/>
            <w:vAlign w:val="bottom"/>
            <w:hideMark/>
          </w:tcPr>
          <w:p w14:paraId="32C12538" w14:textId="77777777" w:rsidR="008D5E62" w:rsidRPr="00226892" w:rsidRDefault="008D5E62" w:rsidP="00833CC0">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87" w:type="pct"/>
            <w:tcBorders>
              <w:top w:val="nil"/>
              <w:left w:val="nil"/>
              <w:bottom w:val="single" w:sz="4" w:space="0" w:color="auto"/>
              <w:right w:val="nil"/>
            </w:tcBorders>
            <w:shd w:val="clear" w:color="auto" w:fill="auto"/>
            <w:vAlign w:val="bottom"/>
            <w:hideMark/>
          </w:tcPr>
          <w:p w14:paraId="36BDAD29" w14:textId="77777777" w:rsidR="008D5E62" w:rsidRPr="00226892" w:rsidRDefault="008D5E62">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 </w:t>
            </w:r>
          </w:p>
        </w:tc>
        <w:tc>
          <w:tcPr>
            <w:tcW w:w="1064" w:type="pct"/>
            <w:tcBorders>
              <w:top w:val="nil"/>
              <w:left w:val="nil"/>
              <w:bottom w:val="single" w:sz="4" w:space="0" w:color="auto"/>
              <w:right w:val="nil"/>
            </w:tcBorders>
            <w:shd w:val="clear" w:color="auto" w:fill="auto"/>
            <w:vAlign w:val="bottom"/>
            <w:hideMark/>
          </w:tcPr>
          <w:p w14:paraId="25A8D33D" w14:textId="5F037457" w:rsidR="008D5E62" w:rsidRPr="00226892" w:rsidRDefault="00FD3AC5">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2018</w:t>
            </w:r>
          </w:p>
        </w:tc>
        <w:tc>
          <w:tcPr>
            <w:tcW w:w="87" w:type="pct"/>
            <w:tcBorders>
              <w:top w:val="nil"/>
              <w:left w:val="nil"/>
              <w:bottom w:val="single" w:sz="4" w:space="0" w:color="auto"/>
              <w:right w:val="nil"/>
            </w:tcBorders>
            <w:shd w:val="clear" w:color="auto" w:fill="auto"/>
            <w:vAlign w:val="bottom"/>
            <w:hideMark/>
          </w:tcPr>
          <w:p w14:paraId="58BCA0BA" w14:textId="77777777" w:rsidR="008D5E62" w:rsidRPr="00226892" w:rsidRDefault="008D5E62">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 </w:t>
            </w:r>
          </w:p>
        </w:tc>
        <w:tc>
          <w:tcPr>
            <w:tcW w:w="1064" w:type="pct"/>
            <w:tcBorders>
              <w:top w:val="nil"/>
              <w:left w:val="nil"/>
              <w:bottom w:val="single" w:sz="4" w:space="0" w:color="auto"/>
              <w:right w:val="nil"/>
            </w:tcBorders>
            <w:shd w:val="clear" w:color="auto" w:fill="auto"/>
            <w:vAlign w:val="bottom"/>
            <w:hideMark/>
          </w:tcPr>
          <w:p w14:paraId="576EEA0B" w14:textId="7E99E62F" w:rsidR="008D5E62" w:rsidRPr="00226892" w:rsidRDefault="00F63A77">
            <w:pPr>
              <w:jc w:val="cente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2017</w:t>
            </w:r>
          </w:p>
        </w:tc>
      </w:tr>
      <w:tr w:rsidR="00D67484" w:rsidRPr="00226892" w14:paraId="58375F06" w14:textId="77777777" w:rsidTr="00756C6D">
        <w:trPr>
          <w:trHeight w:val="240"/>
        </w:trPr>
        <w:tc>
          <w:tcPr>
            <w:tcW w:w="2699" w:type="pct"/>
            <w:tcBorders>
              <w:top w:val="nil"/>
              <w:left w:val="nil"/>
              <w:bottom w:val="nil"/>
              <w:right w:val="nil"/>
            </w:tcBorders>
            <w:shd w:val="clear" w:color="auto" w:fill="auto"/>
            <w:vAlign w:val="center"/>
            <w:hideMark/>
          </w:tcPr>
          <w:p w14:paraId="35C6990B" w14:textId="5B52541F" w:rsidR="00D67484" w:rsidRPr="00226892" w:rsidRDefault="005F26CD" w:rsidP="00D67484">
            <w:pPr>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Odmeny za výkon funkcie</w:t>
            </w:r>
          </w:p>
        </w:tc>
        <w:tc>
          <w:tcPr>
            <w:tcW w:w="87" w:type="pct"/>
            <w:tcBorders>
              <w:top w:val="nil"/>
              <w:left w:val="nil"/>
              <w:bottom w:val="nil"/>
              <w:right w:val="nil"/>
            </w:tcBorders>
            <w:shd w:val="clear" w:color="auto" w:fill="auto"/>
            <w:vAlign w:val="bottom"/>
            <w:hideMark/>
          </w:tcPr>
          <w:p w14:paraId="1EEA0FAB" w14:textId="77777777" w:rsidR="00D67484" w:rsidRPr="00226892" w:rsidRDefault="00D67484" w:rsidP="00D67484">
            <w:pPr>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tcPr>
          <w:p w14:paraId="1467D057" w14:textId="71209D52" w:rsidR="00D67484" w:rsidRPr="00226892" w:rsidRDefault="00D67484" w:rsidP="00D67484">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11</w:t>
            </w:r>
          </w:p>
        </w:tc>
        <w:tc>
          <w:tcPr>
            <w:tcW w:w="87" w:type="pct"/>
            <w:tcBorders>
              <w:top w:val="nil"/>
              <w:left w:val="nil"/>
              <w:bottom w:val="nil"/>
              <w:right w:val="nil"/>
            </w:tcBorders>
            <w:shd w:val="clear" w:color="auto" w:fill="auto"/>
            <w:vAlign w:val="bottom"/>
            <w:hideMark/>
          </w:tcPr>
          <w:p w14:paraId="6DB05C70" w14:textId="77777777" w:rsidR="00D67484" w:rsidRPr="00226892" w:rsidRDefault="00D67484" w:rsidP="00D67484">
            <w:pPr>
              <w:jc w:val="right"/>
              <w:rPr>
                <w:rFonts w:ascii="Arial" w:eastAsia="Times New Roman" w:hAnsi="Arial" w:cs="Arial"/>
                <w:color w:val="000000"/>
                <w:sz w:val="18"/>
                <w:szCs w:val="18"/>
                <w:lang w:val="sk-SK" w:eastAsia="sk-SK"/>
              </w:rPr>
            </w:pPr>
          </w:p>
        </w:tc>
        <w:tc>
          <w:tcPr>
            <w:tcW w:w="1064" w:type="pct"/>
            <w:tcBorders>
              <w:top w:val="nil"/>
              <w:left w:val="nil"/>
              <w:bottom w:val="nil"/>
              <w:right w:val="nil"/>
            </w:tcBorders>
            <w:shd w:val="clear" w:color="auto" w:fill="auto"/>
            <w:vAlign w:val="bottom"/>
            <w:hideMark/>
          </w:tcPr>
          <w:p w14:paraId="21D735CB" w14:textId="5E8FCA67" w:rsidR="00D67484" w:rsidRPr="00226892" w:rsidRDefault="005F26CD" w:rsidP="00D67484">
            <w:pPr>
              <w:jc w:val="right"/>
              <w:rPr>
                <w:rFonts w:ascii="Arial" w:eastAsia="Times New Roman" w:hAnsi="Arial" w:cs="Arial"/>
                <w:color w:val="000000"/>
                <w:sz w:val="18"/>
                <w:szCs w:val="18"/>
                <w:lang w:val="sk-SK" w:eastAsia="sk-SK"/>
              </w:rPr>
            </w:pPr>
            <w:r w:rsidRPr="00226892">
              <w:rPr>
                <w:rFonts w:ascii="Arial" w:eastAsia="Times New Roman" w:hAnsi="Arial" w:cs="Arial"/>
                <w:color w:val="000000"/>
                <w:sz w:val="18"/>
                <w:szCs w:val="18"/>
                <w:lang w:val="sk-SK" w:eastAsia="sk-SK"/>
              </w:rPr>
              <w:t>17</w:t>
            </w:r>
            <w:r w:rsidR="00D67484" w:rsidRPr="00226892">
              <w:rPr>
                <w:rFonts w:ascii="Arial" w:eastAsia="Times New Roman" w:hAnsi="Arial" w:cs="Arial"/>
                <w:color w:val="000000"/>
                <w:sz w:val="18"/>
                <w:szCs w:val="18"/>
                <w:lang w:val="sk-SK" w:eastAsia="sk-SK"/>
              </w:rPr>
              <w:t xml:space="preserve">    </w:t>
            </w:r>
          </w:p>
        </w:tc>
      </w:tr>
      <w:tr w:rsidR="00D67484" w:rsidRPr="00226892" w14:paraId="7FBABB7D" w14:textId="77777777" w:rsidTr="00756C6D">
        <w:trPr>
          <w:trHeight w:val="240"/>
        </w:trPr>
        <w:tc>
          <w:tcPr>
            <w:tcW w:w="2699" w:type="pct"/>
            <w:tcBorders>
              <w:top w:val="nil"/>
              <w:left w:val="nil"/>
              <w:bottom w:val="nil"/>
              <w:right w:val="nil"/>
            </w:tcBorders>
            <w:shd w:val="clear" w:color="auto" w:fill="auto"/>
            <w:vAlign w:val="center"/>
            <w:hideMark/>
          </w:tcPr>
          <w:p w14:paraId="5F453E72" w14:textId="77777777" w:rsidR="00D67484" w:rsidRPr="00226892" w:rsidRDefault="00D67484" w:rsidP="00D67484">
            <w:pPr>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Spolu</w:t>
            </w:r>
          </w:p>
        </w:tc>
        <w:tc>
          <w:tcPr>
            <w:tcW w:w="87" w:type="pct"/>
            <w:tcBorders>
              <w:top w:val="nil"/>
              <w:left w:val="nil"/>
              <w:bottom w:val="nil"/>
              <w:right w:val="nil"/>
            </w:tcBorders>
            <w:shd w:val="clear" w:color="auto" w:fill="auto"/>
            <w:vAlign w:val="bottom"/>
            <w:hideMark/>
          </w:tcPr>
          <w:p w14:paraId="7E799060" w14:textId="77777777" w:rsidR="00D67484" w:rsidRPr="00226892" w:rsidRDefault="00D67484" w:rsidP="00D67484">
            <w:pPr>
              <w:rPr>
                <w:rFonts w:ascii="Arial" w:eastAsia="Times New Roman" w:hAnsi="Arial" w:cs="Arial"/>
                <w:b/>
                <w:bCs/>
                <w:color w:val="000000"/>
                <w:sz w:val="18"/>
                <w:szCs w:val="18"/>
                <w:lang w:val="sk-SK" w:eastAsia="sk-SK"/>
              </w:rPr>
            </w:pPr>
          </w:p>
        </w:tc>
        <w:tc>
          <w:tcPr>
            <w:tcW w:w="1064" w:type="pct"/>
            <w:tcBorders>
              <w:top w:val="single" w:sz="4" w:space="0" w:color="auto"/>
              <w:left w:val="nil"/>
              <w:bottom w:val="double" w:sz="6" w:space="0" w:color="auto"/>
              <w:right w:val="nil"/>
            </w:tcBorders>
            <w:shd w:val="clear" w:color="auto" w:fill="auto"/>
            <w:vAlign w:val="bottom"/>
          </w:tcPr>
          <w:p w14:paraId="18A4A179" w14:textId="3B6C86A9" w:rsidR="00D67484" w:rsidRPr="00226892" w:rsidRDefault="00D67484" w:rsidP="00D67484">
            <w:pPr>
              <w:jc w:val="right"/>
              <w:rPr>
                <w:rFonts w:ascii="Arial" w:eastAsia="Times New Roman" w:hAnsi="Arial" w:cs="Arial"/>
                <w:b/>
                <w:bCs/>
                <w:color w:val="000000"/>
                <w:sz w:val="18"/>
                <w:szCs w:val="18"/>
                <w:lang w:val="sk-SK" w:eastAsia="sk-SK"/>
              </w:rPr>
            </w:pPr>
            <w:r w:rsidRPr="00226892">
              <w:rPr>
                <w:rFonts w:ascii="Arial" w:eastAsia="Times New Roman" w:hAnsi="Arial" w:cs="Arial"/>
                <w:b/>
                <w:bCs/>
                <w:color w:val="000000"/>
                <w:sz w:val="18"/>
                <w:szCs w:val="18"/>
                <w:lang w:val="sk-SK" w:eastAsia="sk-SK"/>
              </w:rPr>
              <w:t>11</w:t>
            </w:r>
          </w:p>
        </w:tc>
        <w:tc>
          <w:tcPr>
            <w:tcW w:w="87" w:type="pct"/>
            <w:tcBorders>
              <w:top w:val="nil"/>
              <w:left w:val="nil"/>
              <w:bottom w:val="nil"/>
              <w:right w:val="nil"/>
            </w:tcBorders>
            <w:shd w:val="clear" w:color="auto" w:fill="auto"/>
            <w:vAlign w:val="bottom"/>
            <w:hideMark/>
          </w:tcPr>
          <w:p w14:paraId="7ED35653" w14:textId="77777777" w:rsidR="00D67484" w:rsidRPr="00226892" w:rsidRDefault="00D67484" w:rsidP="00D67484">
            <w:pPr>
              <w:jc w:val="right"/>
              <w:rPr>
                <w:rFonts w:ascii="Arial" w:eastAsia="Times New Roman" w:hAnsi="Arial" w:cs="Arial"/>
                <w:b/>
                <w:bCs/>
                <w:color w:val="000000"/>
                <w:sz w:val="18"/>
                <w:szCs w:val="18"/>
                <w:lang w:val="sk-SK" w:eastAsia="sk-SK"/>
              </w:rPr>
            </w:pPr>
          </w:p>
        </w:tc>
        <w:tc>
          <w:tcPr>
            <w:tcW w:w="1064" w:type="pct"/>
            <w:tcBorders>
              <w:top w:val="single" w:sz="4" w:space="0" w:color="auto"/>
              <w:left w:val="nil"/>
              <w:bottom w:val="double" w:sz="6" w:space="0" w:color="auto"/>
              <w:right w:val="nil"/>
            </w:tcBorders>
            <w:shd w:val="clear" w:color="auto" w:fill="auto"/>
            <w:vAlign w:val="bottom"/>
            <w:hideMark/>
          </w:tcPr>
          <w:p w14:paraId="0CA3B746" w14:textId="2A3C42AD" w:rsidR="00D67484" w:rsidRPr="00226892" w:rsidRDefault="005F26CD" w:rsidP="00D67484">
            <w:pPr>
              <w:jc w:val="right"/>
              <w:rPr>
                <w:rFonts w:ascii="Arial" w:eastAsia="Times New Roman" w:hAnsi="Arial" w:cs="Arial"/>
                <w:color w:val="000000"/>
                <w:sz w:val="18"/>
                <w:szCs w:val="18"/>
                <w:lang w:val="sk-SK" w:eastAsia="sk-SK"/>
              </w:rPr>
            </w:pPr>
            <w:r w:rsidRPr="00226892">
              <w:rPr>
                <w:rFonts w:ascii="Arial" w:eastAsia="Times New Roman" w:hAnsi="Arial" w:cs="Arial"/>
                <w:b/>
                <w:bCs/>
                <w:color w:val="000000"/>
                <w:sz w:val="18"/>
                <w:szCs w:val="18"/>
                <w:lang w:val="sk-SK" w:eastAsia="sk-SK"/>
              </w:rPr>
              <w:t>17</w:t>
            </w:r>
            <w:r w:rsidR="00D67484" w:rsidRPr="00226892">
              <w:rPr>
                <w:rFonts w:ascii="Arial" w:eastAsia="Times New Roman" w:hAnsi="Arial" w:cs="Arial"/>
                <w:b/>
                <w:bCs/>
                <w:color w:val="000000"/>
                <w:sz w:val="18"/>
                <w:szCs w:val="18"/>
                <w:lang w:val="sk-SK" w:eastAsia="sk-SK"/>
              </w:rPr>
              <w:t xml:space="preserve">    </w:t>
            </w:r>
          </w:p>
        </w:tc>
      </w:tr>
    </w:tbl>
    <w:p w14:paraId="5B130745" w14:textId="430F4783" w:rsidR="00FB69A1" w:rsidRPr="00226892" w:rsidRDefault="00FB69A1" w:rsidP="007F58AE">
      <w:pPr>
        <w:suppressAutoHyphens/>
        <w:rPr>
          <w:rFonts w:ascii="Arial" w:hAnsi="Arial" w:cs="Arial"/>
          <w:sz w:val="18"/>
          <w:szCs w:val="18"/>
        </w:rPr>
      </w:pPr>
      <w:bookmarkStart w:id="654" w:name="_Toc516654970"/>
      <w:bookmarkStart w:id="655" w:name="_Toc516654971"/>
      <w:bookmarkStart w:id="656" w:name="_Toc516654972"/>
      <w:bookmarkStart w:id="657" w:name="_Toc516654973"/>
      <w:bookmarkStart w:id="658" w:name="_Toc516654974"/>
      <w:bookmarkStart w:id="659" w:name="_Toc516654975"/>
      <w:bookmarkStart w:id="660" w:name="_Toc516654976"/>
      <w:bookmarkStart w:id="661" w:name="_Toc516654977"/>
      <w:bookmarkStart w:id="662" w:name="_Toc516654978"/>
      <w:bookmarkStart w:id="663" w:name="_Toc516654979"/>
      <w:bookmarkStart w:id="664" w:name="_Toc516654987"/>
      <w:bookmarkEnd w:id="63"/>
      <w:bookmarkEnd w:id="653"/>
      <w:bookmarkEnd w:id="654"/>
      <w:bookmarkEnd w:id="655"/>
      <w:bookmarkEnd w:id="656"/>
      <w:bookmarkEnd w:id="657"/>
      <w:bookmarkEnd w:id="658"/>
      <w:bookmarkEnd w:id="659"/>
      <w:bookmarkEnd w:id="660"/>
      <w:bookmarkEnd w:id="661"/>
      <w:bookmarkEnd w:id="662"/>
      <w:bookmarkEnd w:id="663"/>
      <w:bookmarkEnd w:id="664"/>
    </w:p>
    <w:p w14:paraId="3C3756D7" w14:textId="77777777" w:rsidR="00DB5F75" w:rsidRPr="00226892" w:rsidRDefault="00DB5F75" w:rsidP="007F58AE">
      <w:pPr>
        <w:suppressAutoHyphens/>
        <w:rPr>
          <w:rFonts w:ascii="Arial" w:hAnsi="Arial" w:cs="Arial"/>
          <w:sz w:val="18"/>
          <w:szCs w:val="18"/>
        </w:rPr>
      </w:pPr>
    </w:p>
    <w:p w14:paraId="293DB6CD" w14:textId="77777777" w:rsidR="00834AD3" w:rsidRPr="00226892" w:rsidRDefault="00834AD3" w:rsidP="00834AD3">
      <w:pPr>
        <w:pStyle w:val="Nadpis3"/>
        <w:keepNext w:val="0"/>
        <w:widowControl/>
        <w:numPr>
          <w:ilvl w:val="0"/>
          <w:numId w:val="34"/>
        </w:numPr>
        <w:tabs>
          <w:tab w:val="clear" w:pos="1069"/>
          <w:tab w:val="num" w:pos="392"/>
        </w:tabs>
        <w:suppressAutoHyphens/>
        <w:ind w:left="1077" w:hanging="1077"/>
        <w:jc w:val="both"/>
        <w:rPr>
          <w:rFonts w:ascii="Arial" w:hAnsi="Arial" w:cs="Arial"/>
          <w:sz w:val="20"/>
        </w:rPr>
      </w:pPr>
      <w:bookmarkStart w:id="665" w:name="_Toc516655001"/>
      <w:bookmarkStart w:id="666" w:name="_Toc516655002"/>
      <w:bookmarkStart w:id="667" w:name="_Toc516655003"/>
      <w:bookmarkStart w:id="668" w:name="_Toc516655004"/>
      <w:bookmarkStart w:id="669" w:name="_Toc516655005"/>
      <w:bookmarkStart w:id="670" w:name="_Toc516655006"/>
      <w:bookmarkStart w:id="671" w:name="_Toc516655007"/>
      <w:bookmarkStart w:id="672" w:name="_Toc516655008"/>
      <w:bookmarkStart w:id="673" w:name="_Toc516655009"/>
      <w:bookmarkStart w:id="674" w:name="_Toc27410022"/>
      <w:bookmarkEnd w:id="665"/>
      <w:bookmarkEnd w:id="666"/>
      <w:bookmarkEnd w:id="667"/>
      <w:bookmarkEnd w:id="668"/>
      <w:bookmarkEnd w:id="669"/>
      <w:bookmarkEnd w:id="670"/>
      <w:bookmarkEnd w:id="671"/>
      <w:bookmarkEnd w:id="672"/>
      <w:bookmarkEnd w:id="673"/>
      <w:proofErr w:type="spellStart"/>
      <w:r w:rsidRPr="00226892">
        <w:rPr>
          <w:rFonts w:ascii="Arial" w:hAnsi="Arial" w:cs="Arial"/>
          <w:sz w:val="20"/>
        </w:rPr>
        <w:t>Udalosti</w:t>
      </w:r>
      <w:proofErr w:type="spellEnd"/>
      <w:r w:rsidRPr="00226892">
        <w:rPr>
          <w:rFonts w:ascii="Arial" w:hAnsi="Arial" w:cs="Arial"/>
          <w:sz w:val="20"/>
        </w:rPr>
        <w:t xml:space="preserve"> po </w:t>
      </w:r>
      <w:proofErr w:type="spellStart"/>
      <w:r w:rsidRPr="00226892">
        <w:rPr>
          <w:rFonts w:ascii="Arial" w:hAnsi="Arial" w:cs="Arial"/>
          <w:sz w:val="20"/>
        </w:rPr>
        <w:t>súvahovom</w:t>
      </w:r>
      <w:proofErr w:type="spellEnd"/>
      <w:r w:rsidRPr="00226892">
        <w:rPr>
          <w:rFonts w:ascii="Arial" w:hAnsi="Arial" w:cs="Arial"/>
          <w:sz w:val="20"/>
        </w:rPr>
        <w:t xml:space="preserve"> </w:t>
      </w:r>
      <w:proofErr w:type="spellStart"/>
      <w:r w:rsidRPr="00226892">
        <w:rPr>
          <w:rFonts w:ascii="Arial" w:hAnsi="Arial" w:cs="Arial"/>
          <w:sz w:val="20"/>
        </w:rPr>
        <w:t>dni</w:t>
      </w:r>
      <w:bookmarkEnd w:id="674"/>
      <w:proofErr w:type="spellEnd"/>
    </w:p>
    <w:p w14:paraId="3F9AA6DF" w14:textId="77777777" w:rsidR="00834AD3" w:rsidRPr="00226892" w:rsidRDefault="00834AD3" w:rsidP="009B79FC">
      <w:pPr>
        <w:pStyle w:val="odstavec"/>
      </w:pPr>
    </w:p>
    <w:p w14:paraId="2B008F08" w14:textId="45B91C25" w:rsidR="00834AD3" w:rsidRPr="00226892" w:rsidRDefault="00834AD3" w:rsidP="009B79FC">
      <w:pPr>
        <w:pStyle w:val="odstavec"/>
      </w:pPr>
      <w:r w:rsidRPr="00226892">
        <w:t xml:space="preserve">Po </w:t>
      </w:r>
      <w:proofErr w:type="spellStart"/>
      <w:r w:rsidRPr="00226892">
        <w:t>súvahom</w:t>
      </w:r>
      <w:proofErr w:type="spellEnd"/>
      <w:r w:rsidRPr="00226892">
        <w:t xml:space="preserve"> dni nastali </w:t>
      </w:r>
      <w:r w:rsidR="00834BFD" w:rsidRPr="00226892">
        <w:t>nasledovné</w:t>
      </w:r>
      <w:r w:rsidRPr="00226892">
        <w:t xml:space="preserve"> udalosti</w:t>
      </w:r>
      <w:r w:rsidR="005B7760" w:rsidRPr="00226892">
        <w:t>:</w:t>
      </w:r>
    </w:p>
    <w:p w14:paraId="5D1CD6A6" w14:textId="77777777" w:rsidR="00E94117" w:rsidRPr="00226892" w:rsidRDefault="00E94117" w:rsidP="00756C6D">
      <w:pPr>
        <w:pStyle w:val="odstavec"/>
      </w:pPr>
    </w:p>
    <w:p w14:paraId="5343C6C8" w14:textId="77777777" w:rsidR="00535AA4" w:rsidRPr="00226892" w:rsidRDefault="00535AA4" w:rsidP="008D29D7">
      <w:pPr>
        <w:pStyle w:val="odstavec"/>
        <w:numPr>
          <w:ilvl w:val="0"/>
          <w:numId w:val="38"/>
        </w:numPr>
        <w:ind w:left="426" w:hanging="426"/>
      </w:pPr>
      <w:r w:rsidRPr="00226892">
        <w:t>dňa 1. januára 2019 z funkcie predsedu predstavenstva bol odvolaný doc. Ing. Štefan Rosina, PhD. MBA</w:t>
      </w:r>
    </w:p>
    <w:p w14:paraId="6A2DD7DF" w14:textId="77777777" w:rsidR="00535AA4" w:rsidRPr="00226892" w:rsidRDefault="00535AA4" w:rsidP="008D29D7">
      <w:pPr>
        <w:pStyle w:val="odstavec"/>
        <w:numPr>
          <w:ilvl w:val="0"/>
          <w:numId w:val="38"/>
        </w:numPr>
        <w:ind w:left="426" w:hanging="426"/>
      </w:pPr>
      <w:r w:rsidRPr="00226892">
        <w:t xml:space="preserve">dňa 1. januára 2019 bol menovaný do funkcie podpredsedu predstavenstva doc. Ing. Štefan </w:t>
      </w:r>
      <w:proofErr w:type="spellStart"/>
      <w:r w:rsidRPr="00226892">
        <w:t>Roina</w:t>
      </w:r>
      <w:proofErr w:type="spellEnd"/>
      <w:r w:rsidRPr="00226892">
        <w:t>, PhD., MBA</w:t>
      </w:r>
    </w:p>
    <w:p w14:paraId="7BBF7175" w14:textId="77777777" w:rsidR="00535AA4" w:rsidRPr="00226892" w:rsidRDefault="00535AA4" w:rsidP="008D29D7">
      <w:pPr>
        <w:pStyle w:val="odstavec"/>
        <w:numPr>
          <w:ilvl w:val="0"/>
          <w:numId w:val="38"/>
        </w:numPr>
        <w:ind w:left="426" w:hanging="426"/>
      </w:pPr>
      <w:r w:rsidRPr="00226892">
        <w:t xml:space="preserve">dňa 1. januára 2019 bol menovaný do funkcie predsedu predstavenstva </w:t>
      </w:r>
      <w:proofErr w:type="spellStart"/>
      <w:r w:rsidRPr="00226892">
        <w:t>Rui</w:t>
      </w:r>
      <w:proofErr w:type="spellEnd"/>
      <w:r w:rsidRPr="00226892">
        <w:t xml:space="preserve"> de </w:t>
      </w:r>
      <w:proofErr w:type="spellStart"/>
      <w:r w:rsidRPr="00226892">
        <w:t>Lemos</w:t>
      </w:r>
      <w:proofErr w:type="spellEnd"/>
      <w:r w:rsidRPr="00226892">
        <w:t xml:space="preserve"> </w:t>
      </w:r>
      <w:proofErr w:type="spellStart"/>
      <w:r w:rsidRPr="00226892">
        <w:t>Monteiro</w:t>
      </w:r>
      <w:proofErr w:type="spellEnd"/>
    </w:p>
    <w:p w14:paraId="7A708179" w14:textId="77777777" w:rsidR="00535AA4" w:rsidRPr="00226892" w:rsidRDefault="00535AA4" w:rsidP="008D29D7">
      <w:pPr>
        <w:pStyle w:val="odstavec"/>
        <w:numPr>
          <w:ilvl w:val="0"/>
          <w:numId w:val="38"/>
        </w:numPr>
        <w:ind w:left="426" w:hanging="426"/>
      </w:pPr>
      <w:r w:rsidRPr="00226892">
        <w:t xml:space="preserve">dňa 1. januára 2019 boli menovaní za členov predstavenstva Filipe José </w:t>
      </w:r>
      <w:proofErr w:type="spellStart"/>
      <w:r w:rsidRPr="00226892">
        <w:t>Mesquita</w:t>
      </w:r>
      <w:proofErr w:type="spellEnd"/>
      <w:r w:rsidRPr="00226892">
        <w:t xml:space="preserve"> </w:t>
      </w:r>
      <w:proofErr w:type="spellStart"/>
      <w:r w:rsidRPr="00226892">
        <w:t>Soares</w:t>
      </w:r>
      <w:proofErr w:type="spellEnd"/>
      <w:r w:rsidRPr="00226892">
        <w:t xml:space="preserve"> </w:t>
      </w:r>
      <w:proofErr w:type="spellStart"/>
      <w:r w:rsidRPr="00226892">
        <w:t>Moutinho</w:t>
      </w:r>
      <w:proofErr w:type="spellEnd"/>
      <w:r w:rsidRPr="00226892">
        <w:t xml:space="preserve"> a Ing. Rastislav </w:t>
      </w:r>
      <w:proofErr w:type="spellStart"/>
      <w:r w:rsidRPr="00226892">
        <w:t>Fuller</w:t>
      </w:r>
      <w:proofErr w:type="spellEnd"/>
    </w:p>
    <w:p w14:paraId="4B1C34A0" w14:textId="659CC626" w:rsidR="00834BFD" w:rsidRPr="00226892" w:rsidRDefault="00D61E2D" w:rsidP="008D29D7">
      <w:pPr>
        <w:pStyle w:val="odstavec"/>
        <w:numPr>
          <w:ilvl w:val="0"/>
          <w:numId w:val="38"/>
        </w:numPr>
        <w:ind w:left="426" w:hanging="426"/>
      </w:pPr>
      <w:r w:rsidRPr="00226892">
        <w:t xml:space="preserve">dňa 29. mája 2019 bol z funkcie podpredsedu predstavenstva odvolaný Doc. Ing. Štefan Rosina, </w:t>
      </w:r>
      <w:proofErr w:type="spellStart"/>
      <w:r w:rsidRPr="00226892">
        <w:t>Phd.</w:t>
      </w:r>
      <w:proofErr w:type="spellEnd"/>
      <w:r w:rsidRPr="00226892">
        <w:t xml:space="preserve"> MBA</w:t>
      </w:r>
    </w:p>
    <w:p w14:paraId="28EDA7AD" w14:textId="49A01068" w:rsidR="00D61E2D" w:rsidRPr="00226892" w:rsidRDefault="00D61E2D" w:rsidP="008D29D7">
      <w:pPr>
        <w:pStyle w:val="odstavec"/>
        <w:numPr>
          <w:ilvl w:val="0"/>
          <w:numId w:val="38"/>
        </w:numPr>
        <w:ind w:left="426" w:hanging="426"/>
      </w:pPr>
      <w:r w:rsidRPr="00226892">
        <w:t>dňa 30. mája 2019 bol do funkcie podpredsedu predstavenstva menovaný Štefan Rosina (ml.)</w:t>
      </w:r>
    </w:p>
    <w:p w14:paraId="17446A60" w14:textId="77777777" w:rsidR="00535AA4" w:rsidRPr="00226892" w:rsidRDefault="00535AA4" w:rsidP="008D29D7">
      <w:pPr>
        <w:pStyle w:val="odstavec"/>
        <w:numPr>
          <w:ilvl w:val="0"/>
          <w:numId w:val="38"/>
        </w:numPr>
        <w:ind w:left="426" w:hanging="426"/>
      </w:pPr>
      <w:r w:rsidRPr="00226892">
        <w:t>došlo k zmene stanov Spoločnosti</w:t>
      </w:r>
    </w:p>
    <w:p w14:paraId="1CA23E80" w14:textId="56C02C74" w:rsidR="00535AA4" w:rsidRPr="00226892" w:rsidRDefault="00535AA4" w:rsidP="009B79FC">
      <w:pPr>
        <w:pStyle w:val="odstavec"/>
      </w:pPr>
    </w:p>
    <w:p w14:paraId="6051B39D" w14:textId="5F6746EB" w:rsidR="00834AD3" w:rsidRPr="00226892" w:rsidRDefault="00535AA4" w:rsidP="00756C6D">
      <w:pPr>
        <w:pStyle w:val="odstavec"/>
      </w:pPr>
      <w:r w:rsidRPr="00226892">
        <w:t xml:space="preserve">Časť pôžičky poskytnutej spriaznenej spoločnosti MATADOR </w:t>
      </w:r>
      <w:proofErr w:type="spellStart"/>
      <w:r w:rsidRPr="00226892">
        <w:t>Automotive</w:t>
      </w:r>
      <w:proofErr w:type="spellEnd"/>
      <w:r w:rsidRPr="00226892">
        <w:t xml:space="preserve"> Rus LLC vo výške 100 tis. EUR bola splatená a splatnosť zvyšnej nesplatenej časti bola dodatkom ku zmluve o pôžičke predĺžená do 31. decembra 2019. Zároveň bola poskytnutá ďalšia pôžička tejto spoločnosti vo výške 200 tis. EUR so splatnosťou 31. decembra 2019.</w:t>
      </w:r>
    </w:p>
    <w:p w14:paraId="18188428" w14:textId="7F92C3C0" w:rsidR="00B4124A" w:rsidRPr="00226892" w:rsidRDefault="00B4124A" w:rsidP="00756C6D">
      <w:pPr>
        <w:pStyle w:val="odstavec"/>
      </w:pPr>
    </w:p>
    <w:p w14:paraId="3C6C990E" w14:textId="2D38951D" w:rsidR="00B4124A" w:rsidRPr="00226892" w:rsidRDefault="00B4124A" w:rsidP="00756C6D">
      <w:pPr>
        <w:pStyle w:val="odstavec"/>
      </w:pPr>
    </w:p>
    <w:p w14:paraId="6EBD4A01" w14:textId="6ECD0BB6" w:rsidR="00B4124A" w:rsidRPr="00226892" w:rsidRDefault="00B4124A" w:rsidP="00756C6D">
      <w:pPr>
        <w:pStyle w:val="odstavec"/>
      </w:pPr>
    </w:p>
    <w:p w14:paraId="4B472EFE" w14:textId="04E29314" w:rsidR="00B4124A" w:rsidRPr="00226892" w:rsidRDefault="00B4124A" w:rsidP="00756C6D">
      <w:pPr>
        <w:pStyle w:val="odstavec"/>
      </w:pPr>
    </w:p>
    <w:p w14:paraId="033120B7" w14:textId="0EC0B3AC" w:rsidR="00B4124A" w:rsidRPr="00226892" w:rsidRDefault="00B4124A" w:rsidP="00756C6D">
      <w:pPr>
        <w:pStyle w:val="odstavec"/>
      </w:pPr>
    </w:p>
    <w:p w14:paraId="11B980E4" w14:textId="1492662D" w:rsidR="00B4124A" w:rsidRPr="00226892" w:rsidRDefault="00B4124A" w:rsidP="00756C6D">
      <w:pPr>
        <w:pStyle w:val="odstavec"/>
      </w:pPr>
    </w:p>
    <w:p w14:paraId="4F667A6E" w14:textId="29739CA3" w:rsidR="00B4124A" w:rsidRPr="00226892" w:rsidRDefault="00B4124A" w:rsidP="00756C6D">
      <w:pPr>
        <w:pStyle w:val="odstavec"/>
      </w:pPr>
    </w:p>
    <w:p w14:paraId="7A1BA7AC" w14:textId="77777777" w:rsidR="00B4124A" w:rsidRPr="00226892" w:rsidRDefault="00B4124A" w:rsidP="00756C6D">
      <w:pPr>
        <w:pStyle w:val="odstavec"/>
        <w:rPr>
          <w:sz w:val="18"/>
          <w:szCs w:val="18"/>
        </w:rPr>
      </w:pPr>
    </w:p>
    <w:tbl>
      <w:tblPr>
        <w:tblW w:w="5000" w:type="pct"/>
        <w:tblCellMar>
          <w:left w:w="0" w:type="dxa"/>
          <w:right w:w="0" w:type="dxa"/>
        </w:tblCellMar>
        <w:tblLook w:val="0000" w:firstRow="0" w:lastRow="0" w:firstColumn="0" w:lastColumn="0" w:noHBand="0" w:noVBand="0"/>
      </w:tblPr>
      <w:tblGrid>
        <w:gridCol w:w="1898"/>
        <w:gridCol w:w="2628"/>
        <w:gridCol w:w="2630"/>
        <w:gridCol w:w="2483"/>
      </w:tblGrid>
      <w:tr w:rsidR="00834AD3" w:rsidRPr="00226892" w14:paraId="4379B8F0" w14:textId="77777777" w:rsidTr="0097165A">
        <w:trPr>
          <w:cantSplit/>
          <w:trHeight w:val="227"/>
        </w:trPr>
        <w:tc>
          <w:tcPr>
            <w:tcW w:w="985" w:type="pct"/>
            <w:tcBorders>
              <w:bottom w:val="single" w:sz="4" w:space="0" w:color="auto"/>
            </w:tcBorders>
            <w:shd w:val="clear" w:color="auto" w:fill="auto"/>
            <w:vAlign w:val="bottom"/>
          </w:tcPr>
          <w:p w14:paraId="39646F85" w14:textId="77777777" w:rsidR="00834AD3" w:rsidRPr="00226892" w:rsidRDefault="00834AD3" w:rsidP="0097165A">
            <w:pPr>
              <w:pStyle w:val="dotabulky"/>
              <w:suppressAutoHyphens/>
              <w:spacing w:before="0"/>
              <w:jc w:val="center"/>
              <w:rPr>
                <w:rFonts w:ascii="Arial" w:hAnsi="Arial" w:cs="Arial"/>
                <w:sz w:val="18"/>
                <w:szCs w:val="18"/>
              </w:rPr>
            </w:pPr>
          </w:p>
          <w:p w14:paraId="5D1700DB" w14:textId="77777777" w:rsidR="00834AD3" w:rsidRPr="00226892" w:rsidRDefault="00834AD3" w:rsidP="0097165A">
            <w:pPr>
              <w:pStyle w:val="dotabulky"/>
              <w:suppressAutoHyphens/>
              <w:spacing w:before="0"/>
              <w:jc w:val="center"/>
              <w:rPr>
                <w:rFonts w:ascii="Arial" w:hAnsi="Arial" w:cs="Arial"/>
                <w:sz w:val="18"/>
                <w:szCs w:val="18"/>
              </w:rPr>
            </w:pPr>
          </w:p>
          <w:p w14:paraId="5688AC98" w14:textId="77777777" w:rsidR="00834AD3" w:rsidRPr="00226892" w:rsidRDefault="00834AD3" w:rsidP="0097165A">
            <w:pPr>
              <w:pStyle w:val="dotabulky"/>
              <w:suppressAutoHyphens/>
              <w:spacing w:before="0"/>
              <w:jc w:val="center"/>
              <w:rPr>
                <w:rFonts w:ascii="Arial" w:hAnsi="Arial" w:cs="Arial"/>
                <w:sz w:val="18"/>
                <w:szCs w:val="18"/>
                <w:lang w:val="en-GB"/>
              </w:rPr>
            </w:pPr>
            <w:proofErr w:type="spellStart"/>
            <w:r w:rsidRPr="00226892">
              <w:rPr>
                <w:rFonts w:ascii="Arial" w:hAnsi="Arial" w:cs="Arial"/>
                <w:sz w:val="18"/>
                <w:szCs w:val="18"/>
                <w:lang w:val="en-GB"/>
              </w:rPr>
              <w:t>Pripraven</w:t>
            </w:r>
            <w:proofErr w:type="spellEnd"/>
            <w:r w:rsidRPr="00226892">
              <w:rPr>
                <w:rFonts w:ascii="Arial" w:hAnsi="Arial" w:cs="Arial"/>
                <w:sz w:val="18"/>
                <w:szCs w:val="18"/>
              </w:rPr>
              <w:t>é dňa</w:t>
            </w:r>
            <w:r w:rsidRPr="00226892">
              <w:rPr>
                <w:rFonts w:ascii="Arial" w:hAnsi="Arial" w:cs="Arial"/>
                <w:sz w:val="18"/>
                <w:szCs w:val="18"/>
                <w:lang w:val="en-GB"/>
              </w:rPr>
              <w:t>:</w:t>
            </w:r>
          </w:p>
        </w:tc>
        <w:tc>
          <w:tcPr>
            <w:tcW w:w="1363" w:type="pct"/>
            <w:tcBorders>
              <w:bottom w:val="single" w:sz="4" w:space="0" w:color="auto"/>
            </w:tcBorders>
            <w:shd w:val="clear" w:color="auto" w:fill="auto"/>
            <w:vAlign w:val="bottom"/>
          </w:tcPr>
          <w:p w14:paraId="545237A8" w14:textId="77777777" w:rsidR="00834AD3" w:rsidRPr="00226892" w:rsidRDefault="00834AD3" w:rsidP="0097165A">
            <w:pPr>
              <w:pStyle w:val="dotabulky"/>
              <w:suppressAutoHyphens/>
              <w:spacing w:before="0"/>
              <w:jc w:val="center"/>
              <w:rPr>
                <w:rFonts w:ascii="Arial" w:hAnsi="Arial" w:cs="Arial"/>
                <w:sz w:val="18"/>
                <w:szCs w:val="18"/>
                <w:lang w:val="en-GB"/>
              </w:rPr>
            </w:pPr>
          </w:p>
          <w:p w14:paraId="712E0C35" w14:textId="77777777" w:rsidR="00834AD3" w:rsidRPr="00226892" w:rsidRDefault="00834AD3" w:rsidP="0097165A">
            <w:pPr>
              <w:pStyle w:val="dotabulky"/>
              <w:suppressAutoHyphens/>
              <w:spacing w:before="0"/>
              <w:jc w:val="center"/>
              <w:rPr>
                <w:rFonts w:ascii="Arial" w:hAnsi="Arial" w:cs="Arial"/>
                <w:sz w:val="18"/>
                <w:szCs w:val="18"/>
              </w:rPr>
            </w:pPr>
            <w:proofErr w:type="spellStart"/>
            <w:r w:rsidRPr="00226892">
              <w:rPr>
                <w:rFonts w:ascii="Arial" w:hAnsi="Arial" w:cs="Arial"/>
                <w:sz w:val="18"/>
                <w:szCs w:val="18"/>
                <w:lang w:val="en-GB"/>
              </w:rPr>
              <w:t>Podpis</w:t>
            </w:r>
            <w:proofErr w:type="spellEnd"/>
            <w:r w:rsidRPr="00226892">
              <w:rPr>
                <w:rFonts w:ascii="Arial" w:hAnsi="Arial" w:cs="Arial"/>
                <w:sz w:val="18"/>
                <w:szCs w:val="18"/>
                <w:lang w:val="en-GB"/>
              </w:rPr>
              <w:t xml:space="preserve"> </w:t>
            </w:r>
            <w:r w:rsidRPr="00226892">
              <w:rPr>
                <w:rFonts w:ascii="Arial" w:hAnsi="Arial" w:cs="Arial"/>
                <w:sz w:val="18"/>
                <w:szCs w:val="18"/>
              </w:rPr>
              <w:t>štatutárneho orgánu alebo fyzickej osoby, ktorá účtovnou jednotkou</w:t>
            </w:r>
            <w:r w:rsidRPr="00226892">
              <w:rPr>
                <w:rFonts w:ascii="Arial" w:hAnsi="Arial" w:cs="Arial"/>
                <w:sz w:val="18"/>
                <w:szCs w:val="18"/>
                <w:lang w:val="en-US"/>
              </w:rPr>
              <w:t>:</w:t>
            </w:r>
          </w:p>
        </w:tc>
        <w:tc>
          <w:tcPr>
            <w:tcW w:w="1364" w:type="pct"/>
            <w:tcBorders>
              <w:bottom w:val="single" w:sz="4" w:space="0" w:color="auto"/>
            </w:tcBorders>
            <w:shd w:val="clear" w:color="auto" w:fill="auto"/>
            <w:vAlign w:val="bottom"/>
          </w:tcPr>
          <w:p w14:paraId="0E9747D7" w14:textId="77777777" w:rsidR="00834AD3" w:rsidRPr="00226892" w:rsidRDefault="00834AD3" w:rsidP="0097165A">
            <w:pPr>
              <w:pStyle w:val="dotabulky"/>
              <w:suppressAutoHyphens/>
              <w:spacing w:before="0"/>
              <w:jc w:val="center"/>
              <w:rPr>
                <w:rFonts w:ascii="Arial" w:hAnsi="Arial" w:cs="Arial"/>
                <w:b/>
                <w:bCs/>
                <w:sz w:val="18"/>
                <w:szCs w:val="18"/>
              </w:rPr>
            </w:pPr>
            <w:r w:rsidRPr="00226892">
              <w:rPr>
                <w:rFonts w:ascii="Arial" w:hAnsi="Arial" w:cs="Arial"/>
                <w:sz w:val="18"/>
                <w:szCs w:val="18"/>
              </w:rPr>
              <w:t>Podpisový záznam osoby zodpovednej za zostavenie účtovnej závierky</w:t>
            </w:r>
          </w:p>
        </w:tc>
        <w:tc>
          <w:tcPr>
            <w:tcW w:w="1288" w:type="pct"/>
            <w:tcBorders>
              <w:bottom w:val="single" w:sz="4" w:space="0" w:color="auto"/>
            </w:tcBorders>
            <w:shd w:val="clear" w:color="auto" w:fill="auto"/>
            <w:vAlign w:val="bottom"/>
          </w:tcPr>
          <w:p w14:paraId="5CABBCE0" w14:textId="77777777" w:rsidR="00834AD3" w:rsidRPr="00226892" w:rsidRDefault="00834AD3" w:rsidP="0097165A">
            <w:pPr>
              <w:pStyle w:val="dotabulky"/>
              <w:suppressAutoHyphens/>
              <w:spacing w:before="0"/>
              <w:jc w:val="center"/>
              <w:rPr>
                <w:rFonts w:ascii="Arial" w:hAnsi="Arial" w:cs="Arial"/>
                <w:sz w:val="18"/>
                <w:szCs w:val="18"/>
              </w:rPr>
            </w:pPr>
            <w:r w:rsidRPr="00226892">
              <w:rPr>
                <w:rFonts w:ascii="Arial" w:hAnsi="Arial" w:cs="Arial"/>
                <w:sz w:val="18"/>
                <w:szCs w:val="18"/>
              </w:rPr>
              <w:t>Podpisový záznam osoby zodpovednej za vedenie účtovníctva</w:t>
            </w:r>
          </w:p>
        </w:tc>
      </w:tr>
      <w:tr w:rsidR="00834AD3" w:rsidRPr="00226892" w14:paraId="1A8C4E2E" w14:textId="77777777" w:rsidTr="00756C6D">
        <w:trPr>
          <w:cantSplit/>
          <w:trHeight w:val="227"/>
        </w:trPr>
        <w:tc>
          <w:tcPr>
            <w:tcW w:w="985" w:type="pct"/>
            <w:tcBorders>
              <w:top w:val="single" w:sz="4" w:space="0" w:color="auto"/>
            </w:tcBorders>
          </w:tcPr>
          <w:p w14:paraId="2FB8A7AE" w14:textId="77777777" w:rsidR="00834AD3" w:rsidRPr="00226892" w:rsidRDefault="00834AD3" w:rsidP="00C224AF">
            <w:pPr>
              <w:pStyle w:val="dotabulky"/>
              <w:suppressAutoHyphens/>
              <w:spacing w:before="0"/>
              <w:jc w:val="center"/>
              <w:rPr>
                <w:rFonts w:ascii="Arial" w:hAnsi="Arial" w:cs="Arial"/>
                <w:sz w:val="18"/>
                <w:szCs w:val="18"/>
              </w:rPr>
            </w:pPr>
          </w:p>
          <w:p w14:paraId="5A05858B" w14:textId="3C314B33" w:rsidR="00834AD3" w:rsidRPr="00226892" w:rsidRDefault="007E61AE" w:rsidP="00C224AF">
            <w:pPr>
              <w:pStyle w:val="dotabulky"/>
              <w:suppressAutoHyphens/>
              <w:spacing w:before="0"/>
              <w:jc w:val="center"/>
              <w:rPr>
                <w:rFonts w:ascii="Arial" w:hAnsi="Arial" w:cs="Arial"/>
                <w:sz w:val="18"/>
                <w:szCs w:val="18"/>
                <w:lang w:val="en-GB"/>
              </w:rPr>
            </w:pPr>
            <w:r>
              <w:rPr>
                <w:rFonts w:ascii="Arial" w:hAnsi="Arial" w:cs="Arial"/>
                <w:sz w:val="18"/>
                <w:szCs w:val="18"/>
                <w:lang w:val="en-GB"/>
              </w:rPr>
              <w:t>17.12.2019</w:t>
            </w:r>
          </w:p>
          <w:p w14:paraId="20E0FC57" w14:textId="77777777" w:rsidR="00834AD3" w:rsidRPr="00226892" w:rsidRDefault="00834AD3" w:rsidP="00C224AF">
            <w:pPr>
              <w:pStyle w:val="dotabulky"/>
              <w:suppressAutoHyphens/>
              <w:spacing w:before="0"/>
              <w:rPr>
                <w:rFonts w:ascii="Arial" w:hAnsi="Arial" w:cs="Arial"/>
                <w:sz w:val="18"/>
                <w:szCs w:val="18"/>
                <w:lang w:val="en-GB"/>
              </w:rPr>
            </w:pPr>
          </w:p>
          <w:p w14:paraId="723D5D16" w14:textId="77777777" w:rsidR="00834AD3" w:rsidRPr="00226892" w:rsidRDefault="00834AD3" w:rsidP="00C224AF">
            <w:pPr>
              <w:pStyle w:val="dotabulky"/>
              <w:suppressAutoHyphens/>
              <w:spacing w:before="0"/>
              <w:rPr>
                <w:rFonts w:ascii="Arial" w:hAnsi="Arial" w:cs="Arial"/>
                <w:sz w:val="18"/>
                <w:szCs w:val="18"/>
                <w:lang w:val="en-GB"/>
              </w:rPr>
            </w:pPr>
          </w:p>
          <w:p w14:paraId="3728F9C6" w14:textId="77777777" w:rsidR="00834AD3" w:rsidRPr="00226892" w:rsidRDefault="00834AD3" w:rsidP="00C224AF">
            <w:pPr>
              <w:pStyle w:val="dotabulky"/>
              <w:suppressAutoHyphens/>
              <w:spacing w:before="0"/>
              <w:rPr>
                <w:rFonts w:ascii="Arial" w:hAnsi="Arial" w:cs="Arial"/>
                <w:sz w:val="18"/>
                <w:szCs w:val="18"/>
                <w:lang w:val="en-GB"/>
              </w:rPr>
            </w:pPr>
          </w:p>
          <w:p w14:paraId="3A02E03F" w14:textId="77777777" w:rsidR="00834AD3" w:rsidRPr="00226892" w:rsidRDefault="00834AD3" w:rsidP="00C224AF">
            <w:pPr>
              <w:pStyle w:val="dotabulky"/>
              <w:suppressAutoHyphens/>
              <w:spacing w:before="0"/>
              <w:rPr>
                <w:rFonts w:ascii="Arial" w:hAnsi="Arial" w:cs="Arial"/>
                <w:sz w:val="18"/>
                <w:szCs w:val="18"/>
                <w:lang w:val="en-GB"/>
              </w:rPr>
            </w:pPr>
          </w:p>
          <w:p w14:paraId="1B619706" w14:textId="77777777" w:rsidR="00834AD3" w:rsidRPr="00226892" w:rsidRDefault="00834AD3" w:rsidP="00C224AF">
            <w:pPr>
              <w:pStyle w:val="dotabulky"/>
              <w:suppressAutoHyphens/>
              <w:spacing w:before="0"/>
              <w:rPr>
                <w:rFonts w:ascii="Arial" w:hAnsi="Arial" w:cs="Arial"/>
                <w:sz w:val="18"/>
                <w:szCs w:val="18"/>
                <w:lang w:val="en-GB"/>
              </w:rPr>
            </w:pPr>
          </w:p>
          <w:p w14:paraId="09EB7542" w14:textId="77777777" w:rsidR="00834AD3" w:rsidRPr="00226892" w:rsidRDefault="00834AD3" w:rsidP="00C224AF">
            <w:pPr>
              <w:pStyle w:val="dotabulky"/>
              <w:suppressAutoHyphens/>
              <w:spacing w:before="0"/>
              <w:rPr>
                <w:rFonts w:ascii="Arial" w:hAnsi="Arial" w:cs="Arial"/>
                <w:sz w:val="18"/>
                <w:szCs w:val="18"/>
                <w:lang w:val="en-GB"/>
              </w:rPr>
            </w:pPr>
          </w:p>
          <w:p w14:paraId="28FE21AC" w14:textId="77777777" w:rsidR="00834AD3" w:rsidRPr="00226892" w:rsidRDefault="00834AD3" w:rsidP="00C224AF">
            <w:pPr>
              <w:pStyle w:val="dotabulky"/>
              <w:suppressAutoHyphens/>
              <w:spacing w:before="0"/>
              <w:rPr>
                <w:rFonts w:ascii="Arial" w:hAnsi="Arial" w:cs="Arial"/>
                <w:sz w:val="18"/>
                <w:szCs w:val="18"/>
                <w:lang w:val="en-GB"/>
              </w:rPr>
            </w:pPr>
            <w:bookmarkStart w:id="675" w:name="_GoBack"/>
            <w:bookmarkEnd w:id="675"/>
          </w:p>
          <w:p w14:paraId="385E7BE8" w14:textId="77777777" w:rsidR="00834AD3" w:rsidRPr="00226892" w:rsidRDefault="00834AD3" w:rsidP="00C224AF">
            <w:pPr>
              <w:pStyle w:val="dotabulky"/>
              <w:suppressAutoHyphens/>
              <w:spacing w:before="0"/>
              <w:rPr>
                <w:rFonts w:ascii="Arial" w:hAnsi="Arial" w:cs="Arial"/>
                <w:sz w:val="18"/>
                <w:szCs w:val="18"/>
                <w:lang w:val="en-GB"/>
              </w:rPr>
            </w:pPr>
          </w:p>
          <w:p w14:paraId="1BC44482" w14:textId="77777777" w:rsidR="00834AD3" w:rsidRPr="00226892" w:rsidRDefault="00834AD3" w:rsidP="00C224AF">
            <w:pPr>
              <w:pStyle w:val="dotabulky"/>
              <w:suppressAutoHyphens/>
              <w:spacing w:before="0"/>
              <w:rPr>
                <w:rFonts w:ascii="Arial" w:hAnsi="Arial" w:cs="Arial"/>
                <w:sz w:val="18"/>
                <w:szCs w:val="18"/>
                <w:lang w:val="en-GB"/>
              </w:rPr>
            </w:pPr>
          </w:p>
          <w:p w14:paraId="5384DECE" w14:textId="77777777" w:rsidR="00834AD3" w:rsidRPr="00226892" w:rsidRDefault="00834AD3" w:rsidP="00C224AF">
            <w:pPr>
              <w:pStyle w:val="dotabulky"/>
              <w:suppressAutoHyphens/>
              <w:spacing w:before="0"/>
              <w:rPr>
                <w:rFonts w:ascii="Arial" w:hAnsi="Arial" w:cs="Arial"/>
                <w:sz w:val="18"/>
                <w:szCs w:val="18"/>
                <w:lang w:val="en-GB"/>
              </w:rPr>
            </w:pPr>
          </w:p>
          <w:p w14:paraId="2B646BCA" w14:textId="77777777" w:rsidR="00834AD3" w:rsidRPr="00226892" w:rsidRDefault="00834AD3" w:rsidP="00C224AF">
            <w:pPr>
              <w:pStyle w:val="dotabulky"/>
              <w:suppressAutoHyphens/>
              <w:spacing w:before="0"/>
              <w:rPr>
                <w:rFonts w:ascii="Arial" w:hAnsi="Arial" w:cs="Arial"/>
                <w:sz w:val="18"/>
                <w:szCs w:val="18"/>
                <w:lang w:val="en-GB"/>
              </w:rPr>
            </w:pPr>
          </w:p>
          <w:p w14:paraId="4687EDE3" w14:textId="77777777" w:rsidR="00834AD3" w:rsidRPr="00226892" w:rsidRDefault="00834AD3" w:rsidP="00C224AF">
            <w:pPr>
              <w:pStyle w:val="dotabulky"/>
              <w:suppressAutoHyphens/>
              <w:spacing w:before="0"/>
              <w:rPr>
                <w:rFonts w:ascii="Arial" w:hAnsi="Arial" w:cs="Arial"/>
                <w:sz w:val="18"/>
                <w:szCs w:val="18"/>
                <w:lang w:val="en-GB"/>
              </w:rPr>
            </w:pPr>
          </w:p>
        </w:tc>
        <w:tc>
          <w:tcPr>
            <w:tcW w:w="1363" w:type="pct"/>
            <w:tcBorders>
              <w:top w:val="single" w:sz="4" w:space="0" w:color="auto"/>
            </w:tcBorders>
          </w:tcPr>
          <w:p w14:paraId="67BDFE92" w14:textId="77777777" w:rsidR="00834AD3" w:rsidRPr="00226892" w:rsidRDefault="00834AD3" w:rsidP="00C224AF">
            <w:pPr>
              <w:pStyle w:val="dotabulky"/>
              <w:suppressAutoHyphens/>
              <w:spacing w:before="0"/>
              <w:jc w:val="center"/>
              <w:rPr>
                <w:rFonts w:ascii="Arial" w:hAnsi="Arial" w:cs="Arial"/>
                <w:sz w:val="18"/>
                <w:szCs w:val="18"/>
                <w:lang w:val="en-GB"/>
              </w:rPr>
            </w:pPr>
          </w:p>
          <w:p w14:paraId="7EDC1076" w14:textId="77777777" w:rsidR="00834AD3" w:rsidRPr="00226892" w:rsidRDefault="00834AD3" w:rsidP="00C224AF">
            <w:pPr>
              <w:pStyle w:val="dotabulky"/>
              <w:suppressAutoHyphens/>
              <w:spacing w:before="0"/>
              <w:jc w:val="center"/>
              <w:rPr>
                <w:rFonts w:ascii="Arial" w:hAnsi="Arial" w:cs="Arial"/>
                <w:sz w:val="18"/>
                <w:szCs w:val="18"/>
                <w:lang w:val="en-GB"/>
              </w:rPr>
            </w:pPr>
          </w:p>
          <w:p w14:paraId="5B706E82" w14:textId="77777777" w:rsidR="00834AD3" w:rsidRPr="00226892" w:rsidRDefault="00834AD3" w:rsidP="00C224AF">
            <w:pPr>
              <w:pStyle w:val="dotabulky"/>
              <w:suppressAutoHyphens/>
              <w:spacing w:before="0"/>
              <w:jc w:val="center"/>
              <w:rPr>
                <w:rFonts w:ascii="Arial" w:hAnsi="Arial" w:cs="Arial"/>
                <w:sz w:val="18"/>
                <w:szCs w:val="18"/>
                <w:lang w:val="en-GB"/>
              </w:rPr>
            </w:pPr>
          </w:p>
          <w:p w14:paraId="034C63F2" w14:textId="77777777" w:rsidR="00834AD3" w:rsidRPr="00226892" w:rsidRDefault="00834AD3" w:rsidP="00C224AF">
            <w:pPr>
              <w:pStyle w:val="dotabulky"/>
              <w:suppressAutoHyphens/>
              <w:spacing w:before="0"/>
              <w:jc w:val="center"/>
              <w:rPr>
                <w:rFonts w:ascii="Arial" w:hAnsi="Arial" w:cs="Arial"/>
                <w:sz w:val="18"/>
                <w:szCs w:val="18"/>
                <w:lang w:val="en-GB"/>
              </w:rPr>
            </w:pPr>
          </w:p>
          <w:p w14:paraId="24A2F1EA" w14:textId="77777777" w:rsidR="00834AD3" w:rsidRPr="00226892" w:rsidRDefault="00834AD3" w:rsidP="00C224AF">
            <w:pPr>
              <w:pStyle w:val="dotabulky"/>
              <w:suppressAutoHyphens/>
              <w:spacing w:before="0"/>
              <w:jc w:val="center"/>
              <w:rPr>
                <w:rFonts w:ascii="Arial" w:hAnsi="Arial" w:cs="Arial"/>
                <w:sz w:val="18"/>
                <w:szCs w:val="18"/>
                <w:lang w:val="en-GB"/>
              </w:rPr>
            </w:pPr>
          </w:p>
          <w:p w14:paraId="1A275DED" w14:textId="77777777" w:rsidR="00834AD3" w:rsidRPr="00226892" w:rsidRDefault="00834AD3" w:rsidP="00C224AF">
            <w:pPr>
              <w:pStyle w:val="dotabulky"/>
              <w:suppressAutoHyphens/>
              <w:spacing w:before="0"/>
              <w:jc w:val="center"/>
              <w:rPr>
                <w:rFonts w:ascii="Arial" w:hAnsi="Arial" w:cs="Arial"/>
                <w:sz w:val="18"/>
                <w:szCs w:val="18"/>
                <w:lang w:val="en-GB"/>
              </w:rPr>
            </w:pPr>
          </w:p>
          <w:p w14:paraId="734B1540" w14:textId="77777777" w:rsidR="00834AD3" w:rsidRPr="00226892" w:rsidRDefault="00834AD3" w:rsidP="00C224AF">
            <w:pPr>
              <w:pStyle w:val="dotabulky"/>
              <w:suppressAutoHyphens/>
              <w:spacing w:before="0"/>
              <w:jc w:val="center"/>
              <w:rPr>
                <w:rFonts w:ascii="Arial" w:hAnsi="Arial" w:cs="Arial"/>
                <w:sz w:val="18"/>
                <w:szCs w:val="18"/>
                <w:lang w:val="en-GB"/>
              </w:rPr>
            </w:pPr>
          </w:p>
        </w:tc>
        <w:tc>
          <w:tcPr>
            <w:tcW w:w="1364" w:type="pct"/>
            <w:tcBorders>
              <w:top w:val="single" w:sz="4" w:space="0" w:color="auto"/>
            </w:tcBorders>
          </w:tcPr>
          <w:p w14:paraId="227B3562" w14:textId="77777777" w:rsidR="00834AD3" w:rsidRPr="00226892" w:rsidRDefault="00834AD3" w:rsidP="00C224AF">
            <w:pPr>
              <w:pStyle w:val="dotabulky"/>
              <w:suppressAutoHyphens/>
              <w:spacing w:before="0"/>
              <w:jc w:val="center"/>
              <w:rPr>
                <w:rFonts w:ascii="Arial" w:hAnsi="Arial" w:cs="Arial"/>
                <w:sz w:val="18"/>
                <w:szCs w:val="18"/>
                <w:lang w:val="en-GB"/>
              </w:rPr>
            </w:pPr>
          </w:p>
        </w:tc>
        <w:tc>
          <w:tcPr>
            <w:tcW w:w="1288" w:type="pct"/>
            <w:tcBorders>
              <w:top w:val="single" w:sz="4" w:space="0" w:color="auto"/>
            </w:tcBorders>
          </w:tcPr>
          <w:p w14:paraId="6BBBB143" w14:textId="77777777" w:rsidR="00834AD3" w:rsidRPr="00226892" w:rsidRDefault="00834AD3" w:rsidP="00C224AF">
            <w:pPr>
              <w:pStyle w:val="dotabulky"/>
              <w:suppressAutoHyphens/>
              <w:spacing w:before="0"/>
              <w:jc w:val="center"/>
              <w:rPr>
                <w:rFonts w:ascii="Arial" w:hAnsi="Arial" w:cs="Arial"/>
                <w:sz w:val="18"/>
                <w:szCs w:val="18"/>
                <w:lang w:val="en-GB"/>
              </w:rPr>
            </w:pPr>
          </w:p>
        </w:tc>
      </w:tr>
    </w:tbl>
    <w:p w14:paraId="2927DAB2" w14:textId="77777777" w:rsidR="00834AD3" w:rsidRPr="00226892" w:rsidRDefault="00834AD3">
      <w:pPr>
        <w:suppressAutoHyphens/>
        <w:jc w:val="both"/>
        <w:rPr>
          <w:rFonts w:ascii="Arial" w:hAnsi="Arial" w:cs="Arial"/>
          <w:sz w:val="18"/>
          <w:szCs w:val="18"/>
        </w:rPr>
      </w:pPr>
    </w:p>
    <w:sectPr w:rsidR="00834AD3" w:rsidRPr="00226892" w:rsidSect="00DF6E8D">
      <w:pgSz w:w="11907" w:h="16840" w:code="9"/>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BE41F" w14:textId="77777777" w:rsidR="00B83132" w:rsidRDefault="00B83132">
      <w:r>
        <w:separator/>
      </w:r>
    </w:p>
  </w:endnote>
  <w:endnote w:type="continuationSeparator" w:id="0">
    <w:p w14:paraId="22A6DC58" w14:textId="77777777" w:rsidR="00B83132" w:rsidRDefault="00B8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swiss"/>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635C3" w14:textId="603E3EAC" w:rsidR="003A59DD" w:rsidRDefault="003A59DD">
    <w:pPr>
      <w:pStyle w:val="Pta"/>
      <w:jc w:val="right"/>
    </w:pPr>
  </w:p>
  <w:p w14:paraId="46B967E9" w14:textId="30FC0EE7" w:rsidR="003A59DD" w:rsidRPr="002A402A" w:rsidRDefault="003A59DD" w:rsidP="000D75E7">
    <w:pPr>
      <w:pStyle w:val="Pt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C0577" w14:textId="77777777" w:rsidR="003A59DD" w:rsidRDefault="003A59DD" w:rsidP="00367DD1">
    <w:pPr>
      <w:pStyle w:val="Pta"/>
      <w:tabs>
        <w:tab w:val="clear" w:pos="4703"/>
        <w:tab w:val="clear" w:pos="9406"/>
      </w:tabs>
      <w:jc w:val="right"/>
      <w:rPr>
        <w:rStyle w:val="slostrany"/>
        <w:rFonts w:ascii="Arial" w:hAnsi="Arial" w:cs="Arial"/>
        <w:sz w:val="18"/>
        <w:szCs w:val="18"/>
      </w:rPr>
    </w:pPr>
  </w:p>
  <w:p w14:paraId="492AAEAD" w14:textId="77777777" w:rsidR="003A59DD" w:rsidRDefault="003A59DD" w:rsidP="00367DD1">
    <w:pPr>
      <w:pStyle w:val="Pta"/>
      <w:tabs>
        <w:tab w:val="clear" w:pos="4703"/>
        <w:tab w:val="clear" w:pos="9406"/>
      </w:tabs>
      <w:jc w:val="right"/>
      <w:rPr>
        <w:rStyle w:val="slostrany"/>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272469605"/>
      <w:docPartObj>
        <w:docPartGallery w:val="Page Numbers (Bottom of Page)"/>
        <w:docPartUnique/>
      </w:docPartObj>
    </w:sdtPr>
    <w:sdtEndPr>
      <w:rPr>
        <w:noProof/>
      </w:rPr>
    </w:sdtEndPr>
    <w:sdtContent>
      <w:p w14:paraId="1F55B321" w14:textId="77777777" w:rsidR="003A59DD" w:rsidRPr="00692FD8" w:rsidRDefault="003A59DD">
        <w:pPr>
          <w:pStyle w:val="Pta"/>
          <w:jc w:val="right"/>
          <w:rPr>
            <w:rFonts w:ascii="Arial" w:hAnsi="Arial" w:cs="Arial"/>
          </w:rPr>
        </w:pPr>
        <w:r w:rsidRPr="00692FD8">
          <w:rPr>
            <w:rFonts w:ascii="Arial" w:hAnsi="Arial" w:cs="Arial"/>
          </w:rPr>
          <w:fldChar w:fldCharType="begin"/>
        </w:r>
        <w:r w:rsidRPr="00692FD8">
          <w:rPr>
            <w:rFonts w:ascii="Arial" w:hAnsi="Arial" w:cs="Arial"/>
          </w:rPr>
          <w:instrText xml:space="preserve"> PAGE   \* MERGEFORMAT </w:instrText>
        </w:r>
        <w:r w:rsidRPr="00692FD8">
          <w:rPr>
            <w:rFonts w:ascii="Arial" w:hAnsi="Arial" w:cs="Arial"/>
          </w:rPr>
          <w:fldChar w:fldCharType="separate"/>
        </w:r>
        <w:r w:rsidRPr="00692FD8">
          <w:rPr>
            <w:rFonts w:ascii="Arial" w:hAnsi="Arial" w:cs="Arial"/>
            <w:noProof/>
          </w:rPr>
          <w:t>57</w:t>
        </w:r>
        <w:r w:rsidRPr="00692FD8">
          <w:rPr>
            <w:rFonts w:ascii="Arial" w:hAnsi="Arial" w:cs="Arial"/>
            <w:noProof/>
          </w:rPr>
          <w:fldChar w:fldCharType="end"/>
        </w:r>
      </w:p>
    </w:sdtContent>
  </w:sdt>
  <w:p w14:paraId="35C5B9F4" w14:textId="77777777" w:rsidR="003A59DD" w:rsidRPr="002A402A" w:rsidRDefault="003A59DD" w:rsidP="000D75E7">
    <w:pPr>
      <w:pStyle w:val="Pt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4DFA2" w14:textId="77777777" w:rsidR="00B83132" w:rsidRDefault="00B83132">
      <w:r>
        <w:separator/>
      </w:r>
    </w:p>
  </w:footnote>
  <w:footnote w:type="continuationSeparator" w:id="0">
    <w:p w14:paraId="02DDAD71" w14:textId="77777777" w:rsidR="00B83132" w:rsidRDefault="00B8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78BE0" w14:textId="51EC04EC" w:rsidR="003A59DD" w:rsidRDefault="003A59DD">
    <w:pPr>
      <w:pStyle w:val="Hlavika"/>
      <w:jc w:val="right"/>
    </w:pPr>
  </w:p>
  <w:p w14:paraId="452DF095" w14:textId="77777777" w:rsidR="003A59DD" w:rsidRPr="002A402A" w:rsidRDefault="003A59DD" w:rsidP="002A402A">
    <w:pPr>
      <w:pStyle w:val="Hlavik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0263C" w14:textId="77777777" w:rsidR="003A59DD" w:rsidRDefault="003A59DD">
    <w:pPr>
      <w:pStyle w:val="Hlavik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D8C0" w14:textId="0415F2C3" w:rsidR="003A59DD" w:rsidRPr="009909F2" w:rsidRDefault="003A59DD" w:rsidP="00976D83">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rFonts w:cs="Arial"/>
        <w:smallCaps w:val="0"/>
        <w:sz w:val="18"/>
        <w:szCs w:val="18"/>
        <w:lang w:val="pt-BR"/>
      </w:rPr>
    </w:pPr>
    <w:r w:rsidRPr="009909F2">
      <w:rPr>
        <w:rFonts w:cs="Arial"/>
        <w:smallCaps w:val="0"/>
        <w:sz w:val="18"/>
        <w:szCs w:val="18"/>
        <w:lang w:val="pt-BR"/>
      </w:rPr>
      <w:t xml:space="preserve">MATADOR </w:t>
    </w:r>
    <w:r>
      <w:rPr>
        <w:rFonts w:cs="Arial"/>
        <w:smallCaps w:val="0"/>
        <w:sz w:val="18"/>
        <w:szCs w:val="18"/>
        <w:lang w:val="pt-BR"/>
      </w:rPr>
      <w:t>Automotive Vráble</w:t>
    </w:r>
    <w:r w:rsidRPr="009909F2">
      <w:rPr>
        <w:rFonts w:cs="Arial"/>
        <w:smallCaps w:val="0"/>
        <w:sz w:val="18"/>
        <w:szCs w:val="18"/>
        <w:lang w:val="pt-BR"/>
      </w:rPr>
      <w:t>, a.s.</w:t>
    </w:r>
  </w:p>
  <w:p w14:paraId="74813B8D" w14:textId="54A62669" w:rsidR="003A59DD" w:rsidRPr="00C4348A" w:rsidRDefault="003A59DD" w:rsidP="00E12D67">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rFonts w:cs="Arial"/>
        <w:smallCaps w:val="0"/>
        <w:sz w:val="18"/>
        <w:szCs w:val="18"/>
        <w:lang w:val="pt-BR"/>
      </w:rPr>
    </w:pPr>
    <w:r w:rsidRPr="00C4348A">
      <w:rPr>
        <w:rFonts w:cs="Arial"/>
        <w:smallCaps w:val="0"/>
        <w:sz w:val="18"/>
        <w:szCs w:val="18"/>
        <w:lang w:val="pt-BR"/>
      </w:rPr>
      <w:t xml:space="preserve">Poznámky </w:t>
    </w:r>
    <w:r w:rsidRPr="00C4348A">
      <w:rPr>
        <w:rFonts w:cs="Arial"/>
        <w:smallCaps w:val="0"/>
        <w:sz w:val="18"/>
        <w:szCs w:val="18"/>
        <w:lang w:val="pt-BR"/>
      </w:rPr>
      <w:t>ku konsolidovanej účtovnej z</w:t>
    </w:r>
    <w:proofErr w:type="spellStart"/>
    <w:r>
      <w:rPr>
        <w:rFonts w:cs="Arial"/>
        <w:smallCaps w:val="0"/>
        <w:sz w:val="18"/>
        <w:szCs w:val="18"/>
        <w:lang w:val="sk-SK"/>
      </w:rPr>
      <w:t>ávierke</w:t>
    </w:r>
    <w:proofErr w:type="spellEnd"/>
    <w:r>
      <w:rPr>
        <w:rFonts w:cs="Arial"/>
        <w:smallCaps w:val="0"/>
        <w:sz w:val="18"/>
        <w:szCs w:val="18"/>
        <w:lang w:val="sk-SK"/>
      </w:rPr>
      <w:t xml:space="preserve"> k 31. decembru </w:t>
    </w:r>
    <w:r w:rsidRPr="00C4348A">
      <w:rPr>
        <w:rFonts w:cs="Arial"/>
        <w:smallCaps w:val="0"/>
        <w:sz w:val="18"/>
        <w:szCs w:val="18"/>
        <w:lang w:val="pt-BR"/>
      </w:rPr>
      <w:t>201</w:t>
    </w:r>
    <w:r>
      <w:rPr>
        <w:rFonts w:cs="Arial"/>
        <w:smallCaps w:val="0"/>
        <w:sz w:val="18"/>
        <w:szCs w:val="18"/>
        <w:lang w:val="pt-BR"/>
      </w:rPr>
      <w:t>8</w:t>
    </w:r>
  </w:p>
  <w:p w14:paraId="1CD68F87" w14:textId="77777777" w:rsidR="003A59DD" w:rsidRDefault="003A59DD" w:rsidP="00F33855">
    <w:pPr>
      <w:pStyle w:val="Name"/>
      <w:pBdr>
        <w:bottom w:val="single" w:sz="4" w:space="0" w:color="auto"/>
      </w:pBdr>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rFonts w:cs="Arial"/>
        <w:b w:val="0"/>
        <w:smallCaps w:val="0"/>
        <w:sz w:val="18"/>
        <w:szCs w:val="18"/>
        <w:lang w:val="sk-SK"/>
      </w:rPr>
    </w:pPr>
    <w:r w:rsidRPr="009909F2">
      <w:rPr>
        <w:rFonts w:cs="Arial"/>
        <w:b w:val="0"/>
        <w:smallCaps w:val="0"/>
        <w:sz w:val="18"/>
        <w:szCs w:val="18"/>
        <w:lang w:val="sk-SK"/>
      </w:rPr>
      <w:t>(Všetky hodnoty sú uvedené v</w:t>
    </w:r>
    <w:r>
      <w:rPr>
        <w:rFonts w:cs="Arial"/>
        <w:b w:val="0"/>
        <w:smallCaps w:val="0"/>
        <w:sz w:val="18"/>
        <w:szCs w:val="18"/>
        <w:lang w:val="sk-SK"/>
      </w:rPr>
      <w:t> tisícoch EUR</w:t>
    </w:r>
    <w:r w:rsidRPr="009909F2">
      <w:rPr>
        <w:rFonts w:cs="Arial"/>
        <w:b w:val="0"/>
        <w:smallCaps w:val="0"/>
        <w:sz w:val="18"/>
        <w:szCs w:val="18"/>
        <w:lang w:val="sk-SK"/>
      </w:rPr>
      <w:t>, pokiaľ nie je uvedené inak)</w:t>
    </w:r>
  </w:p>
  <w:p w14:paraId="2F840A34" w14:textId="7F59F4E3" w:rsidR="003A59DD" w:rsidRPr="006B01B0" w:rsidRDefault="003A59DD" w:rsidP="000D75E7">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 w:val="left" w:pos="8377"/>
      </w:tabs>
      <w:spacing w:line="224" w:lineRule="auto"/>
      <w:jc w:val="left"/>
      <w:rPr>
        <w:rFonts w:cs="Arial"/>
        <w:b w:val="0"/>
        <w:smallCaps w:val="0"/>
        <w:lang w:val="pt-BR"/>
      </w:rPr>
    </w:pPr>
    <w:r w:rsidRPr="00C4348A">
      <w:rPr>
        <w:rFonts w:cs="Arial"/>
        <w:b w:val="0"/>
        <w:smallCaps w:val="0"/>
        <w:sz w:val="18"/>
        <w:szCs w:val="18"/>
        <w:lang w:val="pt-BR"/>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5417" w14:textId="77777777" w:rsidR="003A59DD" w:rsidRDefault="003A59D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4F216" w14:textId="2679D98B" w:rsidR="003A59DD" w:rsidRPr="009909F2" w:rsidRDefault="003A59DD" w:rsidP="00CB1AB1">
    <w:pPr>
      <w:widowControl w:val="0"/>
      <w:tabs>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ind w:right="-21"/>
      <w:rPr>
        <w:rFonts w:ascii="Arial" w:hAnsi="Arial" w:cs="Arial"/>
        <w:b/>
        <w:snapToGrid w:val="0"/>
        <w:color w:val="000000"/>
        <w:sz w:val="18"/>
        <w:szCs w:val="18"/>
        <w:lang w:val="sk-SK"/>
      </w:rPr>
    </w:pPr>
    <w:r w:rsidRPr="009909F2">
      <w:rPr>
        <w:rFonts w:ascii="Arial" w:hAnsi="Arial" w:cs="Arial"/>
        <w:b/>
        <w:spacing w:val="-2"/>
        <w:sz w:val="18"/>
        <w:szCs w:val="18"/>
      </w:rPr>
      <w:t xml:space="preserve">MATADOR </w:t>
    </w:r>
    <w:r>
      <w:rPr>
        <w:rFonts w:ascii="Arial" w:hAnsi="Arial" w:cs="Arial"/>
        <w:b/>
        <w:spacing w:val="-2"/>
        <w:sz w:val="18"/>
        <w:szCs w:val="18"/>
      </w:rPr>
      <w:t xml:space="preserve">Automotive </w:t>
    </w:r>
    <w:proofErr w:type="spellStart"/>
    <w:r>
      <w:rPr>
        <w:rFonts w:ascii="Arial" w:hAnsi="Arial" w:cs="Arial"/>
        <w:b/>
        <w:spacing w:val="-2"/>
        <w:sz w:val="18"/>
        <w:szCs w:val="18"/>
      </w:rPr>
      <w:t>Vráble</w:t>
    </w:r>
    <w:proofErr w:type="spellEnd"/>
    <w:r w:rsidRPr="009909F2">
      <w:rPr>
        <w:rFonts w:ascii="Arial" w:hAnsi="Arial" w:cs="Arial"/>
        <w:b/>
        <w:spacing w:val="-2"/>
        <w:sz w:val="18"/>
        <w:szCs w:val="18"/>
      </w:rPr>
      <w:t xml:space="preserve">, </w:t>
    </w:r>
    <w:proofErr w:type="spellStart"/>
    <w:r w:rsidRPr="009909F2">
      <w:rPr>
        <w:rFonts w:ascii="Arial" w:hAnsi="Arial" w:cs="Arial"/>
        <w:b/>
        <w:spacing w:val="-2"/>
        <w:sz w:val="18"/>
        <w:szCs w:val="18"/>
      </w:rPr>
      <w:t>a.s.</w:t>
    </w:r>
    <w:proofErr w:type="spellEnd"/>
    <w:r w:rsidRPr="009909F2">
      <w:rPr>
        <w:rFonts w:ascii="Arial" w:hAnsi="Arial" w:cs="Arial"/>
        <w:b/>
        <w:snapToGrid w:val="0"/>
        <w:color w:val="000000"/>
        <w:sz w:val="18"/>
        <w:szCs w:val="18"/>
        <w:lang w:val="sk-SK"/>
      </w:rPr>
      <w:t xml:space="preserve"> </w:t>
    </w:r>
  </w:p>
  <w:p w14:paraId="3D2832F9" w14:textId="08CAE1F9" w:rsidR="003A59DD" w:rsidRDefault="003A59DD" w:rsidP="00302C89">
    <w:pPr>
      <w:pStyle w:val="Name"/>
      <w:pBdr>
        <w:bottom w:val="single" w:sz="4" w:space="0" w:color="auto"/>
      </w:pBdr>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rFonts w:cs="Arial"/>
        <w:smallCaps w:val="0"/>
        <w:sz w:val="18"/>
        <w:szCs w:val="18"/>
        <w:lang w:val="sk-SK"/>
      </w:rPr>
    </w:pPr>
    <w:r w:rsidRPr="00141C97">
      <w:rPr>
        <w:rFonts w:cs="Arial"/>
        <w:smallCaps w:val="0"/>
        <w:sz w:val="18"/>
        <w:szCs w:val="18"/>
        <w:lang w:val="sk-SK"/>
      </w:rPr>
      <w:t xml:space="preserve">Konsolidovaný </w:t>
    </w:r>
    <w:r w:rsidRPr="001F5F61">
      <w:rPr>
        <w:rFonts w:cs="Arial"/>
        <w:smallCaps w:val="0"/>
        <w:sz w:val="18"/>
        <w:szCs w:val="18"/>
        <w:lang w:val="sk-SK"/>
      </w:rPr>
      <w:t>výkaz</w:t>
    </w:r>
    <w:r>
      <w:rPr>
        <w:rFonts w:cs="Arial"/>
        <w:smallCaps w:val="0"/>
        <w:sz w:val="18"/>
        <w:szCs w:val="18"/>
        <w:lang w:val="sk-SK"/>
      </w:rPr>
      <w:t xml:space="preserve"> finančnej pozície</w:t>
    </w:r>
  </w:p>
  <w:p w14:paraId="6DE43AD5" w14:textId="77777777" w:rsidR="003A59DD" w:rsidRDefault="003A59DD" w:rsidP="00302C89">
    <w:pPr>
      <w:pStyle w:val="Name"/>
      <w:pBdr>
        <w:bottom w:val="single" w:sz="4" w:space="0" w:color="auto"/>
      </w:pBdr>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rFonts w:cs="Arial"/>
        <w:b w:val="0"/>
        <w:smallCaps w:val="0"/>
        <w:sz w:val="18"/>
        <w:szCs w:val="18"/>
        <w:lang w:val="sk-SK"/>
      </w:rPr>
    </w:pPr>
    <w:r w:rsidRPr="009909F2">
      <w:rPr>
        <w:rFonts w:cs="Arial"/>
        <w:b w:val="0"/>
        <w:smallCaps w:val="0"/>
        <w:sz w:val="18"/>
        <w:szCs w:val="18"/>
        <w:lang w:val="sk-SK"/>
      </w:rPr>
      <w:t>(Všetky hodnoty sú uvedené v</w:t>
    </w:r>
    <w:r>
      <w:rPr>
        <w:rFonts w:cs="Arial"/>
        <w:b w:val="0"/>
        <w:smallCaps w:val="0"/>
        <w:sz w:val="18"/>
        <w:szCs w:val="18"/>
        <w:lang w:val="sk-SK"/>
      </w:rPr>
      <w:t> tisícoch EUR</w:t>
    </w:r>
    <w:r w:rsidRPr="009909F2">
      <w:rPr>
        <w:rFonts w:cs="Arial"/>
        <w:b w:val="0"/>
        <w:smallCaps w:val="0"/>
        <w:sz w:val="18"/>
        <w:szCs w:val="18"/>
        <w:lang w:val="sk-SK"/>
      </w:rPr>
      <w:t>, pokiaľ nie je uvedené inak)</w:t>
    </w:r>
  </w:p>
  <w:p w14:paraId="2E327EBA" w14:textId="77777777" w:rsidR="003A59DD" w:rsidRPr="00925742" w:rsidRDefault="003A59DD" w:rsidP="00925742">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rFonts w:cs="Arial"/>
        <w:b w:val="0"/>
        <w:smallCaps w:val="0"/>
        <w:lang w:val="sk-S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6463" w14:textId="478A52E9" w:rsidR="003A59DD" w:rsidRPr="009909F2" w:rsidRDefault="003A59DD" w:rsidP="00CB1AB1">
    <w:pPr>
      <w:widowControl w:val="0"/>
      <w:tabs>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ind w:right="-21"/>
      <w:rPr>
        <w:rFonts w:ascii="Arial" w:hAnsi="Arial" w:cs="Arial"/>
        <w:b/>
        <w:snapToGrid w:val="0"/>
        <w:color w:val="000000"/>
        <w:sz w:val="18"/>
        <w:szCs w:val="18"/>
        <w:lang w:val="sk-SK"/>
      </w:rPr>
    </w:pPr>
    <w:r w:rsidRPr="009909F2">
      <w:rPr>
        <w:rFonts w:ascii="Arial" w:hAnsi="Arial" w:cs="Arial"/>
        <w:b/>
        <w:spacing w:val="-2"/>
        <w:sz w:val="18"/>
        <w:szCs w:val="18"/>
      </w:rPr>
      <w:t xml:space="preserve">MATADOR </w:t>
    </w:r>
    <w:proofErr w:type="spellStart"/>
    <w:r>
      <w:rPr>
        <w:rFonts w:ascii="Arial" w:hAnsi="Arial" w:cs="Arial"/>
        <w:b/>
        <w:spacing w:val="-2"/>
        <w:sz w:val="18"/>
        <w:szCs w:val="18"/>
      </w:rPr>
      <w:t>Autotmotive</w:t>
    </w:r>
    <w:proofErr w:type="spellEnd"/>
    <w:r>
      <w:rPr>
        <w:rFonts w:ascii="Arial" w:hAnsi="Arial" w:cs="Arial"/>
        <w:b/>
        <w:spacing w:val="-2"/>
        <w:sz w:val="18"/>
        <w:szCs w:val="18"/>
      </w:rPr>
      <w:t xml:space="preserve"> </w:t>
    </w:r>
    <w:proofErr w:type="spellStart"/>
    <w:r>
      <w:rPr>
        <w:rFonts w:ascii="Arial" w:hAnsi="Arial" w:cs="Arial"/>
        <w:b/>
        <w:spacing w:val="-2"/>
        <w:sz w:val="18"/>
        <w:szCs w:val="18"/>
      </w:rPr>
      <w:t>Vráble</w:t>
    </w:r>
    <w:proofErr w:type="spellEnd"/>
    <w:r>
      <w:rPr>
        <w:rFonts w:ascii="Arial" w:hAnsi="Arial" w:cs="Arial"/>
        <w:b/>
        <w:spacing w:val="-2"/>
        <w:sz w:val="18"/>
        <w:szCs w:val="18"/>
      </w:rPr>
      <w:t xml:space="preserve">, </w:t>
    </w:r>
    <w:proofErr w:type="spellStart"/>
    <w:r>
      <w:rPr>
        <w:rFonts w:ascii="Arial" w:hAnsi="Arial" w:cs="Arial"/>
        <w:b/>
        <w:spacing w:val="-2"/>
        <w:sz w:val="18"/>
        <w:szCs w:val="18"/>
      </w:rPr>
      <w:t>a.s.</w:t>
    </w:r>
    <w:proofErr w:type="spellEnd"/>
    <w:r w:rsidRPr="009909F2">
      <w:rPr>
        <w:rFonts w:ascii="Arial" w:hAnsi="Arial" w:cs="Arial"/>
        <w:b/>
        <w:snapToGrid w:val="0"/>
        <w:color w:val="000000"/>
        <w:sz w:val="18"/>
        <w:szCs w:val="18"/>
        <w:lang w:val="sk-SK"/>
      </w:rPr>
      <w:t xml:space="preserve"> </w:t>
    </w:r>
  </w:p>
  <w:p w14:paraId="4E671197" w14:textId="77777777" w:rsidR="003A59DD" w:rsidRDefault="003A59DD" w:rsidP="00302C89">
    <w:pPr>
      <w:pStyle w:val="Name"/>
      <w:pBdr>
        <w:bottom w:val="single" w:sz="4" w:space="0" w:color="auto"/>
      </w:pBdr>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rFonts w:cs="Arial"/>
        <w:smallCaps w:val="0"/>
        <w:sz w:val="18"/>
        <w:szCs w:val="18"/>
        <w:lang w:val="sk-SK"/>
      </w:rPr>
    </w:pPr>
    <w:r w:rsidRPr="00141C97">
      <w:rPr>
        <w:rFonts w:cs="Arial"/>
        <w:smallCaps w:val="0"/>
        <w:sz w:val="18"/>
        <w:szCs w:val="18"/>
        <w:lang w:val="sk-SK"/>
      </w:rPr>
      <w:t xml:space="preserve">Konsolidovaný </w:t>
    </w:r>
    <w:r w:rsidRPr="001F5F61">
      <w:rPr>
        <w:rFonts w:cs="Arial"/>
        <w:smallCaps w:val="0"/>
        <w:sz w:val="18"/>
        <w:szCs w:val="18"/>
        <w:lang w:val="sk-SK"/>
      </w:rPr>
      <w:t xml:space="preserve">výkaz </w:t>
    </w:r>
    <w:r>
      <w:rPr>
        <w:rFonts w:cs="Arial"/>
        <w:smallCaps w:val="0"/>
        <w:sz w:val="18"/>
        <w:szCs w:val="18"/>
        <w:lang w:val="sk-SK"/>
      </w:rPr>
      <w:t>ziskov a strát a ostatného súhrnného zisku alebo strát</w:t>
    </w:r>
    <w:r w:rsidRPr="001F5F61" w:rsidDel="001F5F61">
      <w:rPr>
        <w:rFonts w:cs="Arial"/>
        <w:smallCaps w:val="0"/>
        <w:sz w:val="18"/>
        <w:szCs w:val="18"/>
        <w:lang w:val="sk-SK"/>
      </w:rPr>
      <w:t xml:space="preserve"> </w:t>
    </w:r>
    <w:r w:rsidRPr="00141C97" w:rsidDel="00141C97">
      <w:rPr>
        <w:rFonts w:cs="Arial"/>
        <w:smallCaps w:val="0"/>
        <w:sz w:val="18"/>
        <w:szCs w:val="18"/>
        <w:lang w:val="sk-SK"/>
      </w:rPr>
      <w:t xml:space="preserve"> </w:t>
    </w:r>
  </w:p>
  <w:p w14:paraId="631AAFC9" w14:textId="77777777" w:rsidR="003A59DD" w:rsidRDefault="003A59DD" w:rsidP="00302C89">
    <w:pPr>
      <w:pStyle w:val="Name"/>
      <w:pBdr>
        <w:bottom w:val="single" w:sz="4" w:space="0" w:color="auto"/>
      </w:pBdr>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rFonts w:cs="Arial"/>
        <w:b w:val="0"/>
        <w:smallCaps w:val="0"/>
        <w:sz w:val="18"/>
        <w:szCs w:val="18"/>
        <w:lang w:val="sk-SK"/>
      </w:rPr>
    </w:pPr>
    <w:r w:rsidRPr="009909F2">
      <w:rPr>
        <w:rFonts w:cs="Arial"/>
        <w:b w:val="0"/>
        <w:smallCaps w:val="0"/>
        <w:sz w:val="18"/>
        <w:szCs w:val="18"/>
        <w:lang w:val="sk-SK"/>
      </w:rPr>
      <w:t>(Všetky hodnoty sú uvedené v</w:t>
    </w:r>
    <w:r>
      <w:rPr>
        <w:rFonts w:cs="Arial"/>
        <w:b w:val="0"/>
        <w:smallCaps w:val="0"/>
        <w:sz w:val="18"/>
        <w:szCs w:val="18"/>
        <w:lang w:val="sk-SK"/>
      </w:rPr>
      <w:t> tisícoch EUR</w:t>
    </w:r>
    <w:r w:rsidRPr="009909F2">
      <w:rPr>
        <w:rFonts w:cs="Arial"/>
        <w:b w:val="0"/>
        <w:smallCaps w:val="0"/>
        <w:sz w:val="18"/>
        <w:szCs w:val="18"/>
        <w:lang w:val="sk-SK"/>
      </w:rPr>
      <w:t>, pokiaľ nie je uvedené inak)</w:t>
    </w:r>
  </w:p>
  <w:p w14:paraId="11D69B5F" w14:textId="77777777" w:rsidR="003A59DD" w:rsidRPr="00925742" w:rsidRDefault="003A59DD" w:rsidP="00925742">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rFonts w:cs="Arial"/>
        <w:b w:val="0"/>
        <w:smallCaps w:val="0"/>
        <w:lang w:val="sk-SK"/>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1661" w14:textId="77777777" w:rsidR="003A59DD" w:rsidRDefault="003A59DD">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747EF" w14:textId="0D0462D1" w:rsidR="003A59DD" w:rsidRPr="009909F2" w:rsidRDefault="003A59DD" w:rsidP="00CB1AB1">
    <w:pPr>
      <w:widowControl w:val="0"/>
      <w:tabs>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ind w:right="-21"/>
      <w:rPr>
        <w:rFonts w:ascii="Arial" w:hAnsi="Arial" w:cs="Arial"/>
        <w:b/>
        <w:snapToGrid w:val="0"/>
        <w:color w:val="000000"/>
        <w:sz w:val="18"/>
        <w:szCs w:val="18"/>
        <w:lang w:val="sk-SK"/>
      </w:rPr>
    </w:pPr>
    <w:r w:rsidRPr="009909F2">
      <w:rPr>
        <w:rFonts w:ascii="Arial" w:hAnsi="Arial" w:cs="Arial"/>
        <w:b/>
        <w:spacing w:val="-2"/>
        <w:sz w:val="18"/>
        <w:szCs w:val="18"/>
      </w:rPr>
      <w:t xml:space="preserve">MATADOR </w:t>
    </w:r>
    <w:r>
      <w:rPr>
        <w:rFonts w:ascii="Arial" w:hAnsi="Arial" w:cs="Arial"/>
        <w:b/>
        <w:spacing w:val="-2"/>
        <w:sz w:val="18"/>
        <w:szCs w:val="18"/>
      </w:rPr>
      <w:t xml:space="preserve">Automotive </w:t>
    </w:r>
    <w:proofErr w:type="spellStart"/>
    <w:r>
      <w:rPr>
        <w:rFonts w:ascii="Arial" w:hAnsi="Arial" w:cs="Arial"/>
        <w:b/>
        <w:spacing w:val="-2"/>
        <w:sz w:val="18"/>
        <w:szCs w:val="18"/>
      </w:rPr>
      <w:t>Vráble</w:t>
    </w:r>
    <w:proofErr w:type="spellEnd"/>
    <w:r w:rsidRPr="009909F2">
      <w:rPr>
        <w:rFonts w:ascii="Arial" w:hAnsi="Arial" w:cs="Arial"/>
        <w:b/>
        <w:spacing w:val="-2"/>
        <w:sz w:val="18"/>
        <w:szCs w:val="18"/>
      </w:rPr>
      <w:t xml:space="preserve">, </w:t>
    </w:r>
    <w:proofErr w:type="spellStart"/>
    <w:r w:rsidRPr="009909F2">
      <w:rPr>
        <w:rFonts w:ascii="Arial" w:hAnsi="Arial" w:cs="Arial"/>
        <w:b/>
        <w:spacing w:val="-2"/>
        <w:sz w:val="18"/>
        <w:szCs w:val="18"/>
      </w:rPr>
      <w:t>a.s.</w:t>
    </w:r>
    <w:proofErr w:type="spellEnd"/>
    <w:r w:rsidRPr="009909F2">
      <w:rPr>
        <w:rFonts w:ascii="Arial" w:hAnsi="Arial" w:cs="Arial"/>
        <w:b/>
        <w:snapToGrid w:val="0"/>
        <w:color w:val="000000"/>
        <w:sz w:val="18"/>
        <w:szCs w:val="18"/>
        <w:lang w:val="sk-SK"/>
      </w:rPr>
      <w:t xml:space="preserve"> </w:t>
    </w:r>
  </w:p>
  <w:p w14:paraId="490F658E" w14:textId="77777777" w:rsidR="003A59DD" w:rsidRDefault="003A59DD" w:rsidP="00302C89">
    <w:pPr>
      <w:pStyle w:val="Name"/>
      <w:pBdr>
        <w:bottom w:val="single" w:sz="4" w:space="0" w:color="auto"/>
      </w:pBdr>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rFonts w:cs="Arial"/>
        <w:smallCaps w:val="0"/>
        <w:sz w:val="18"/>
        <w:szCs w:val="18"/>
        <w:lang w:val="sk-SK"/>
      </w:rPr>
    </w:pPr>
    <w:r w:rsidRPr="00C00098">
      <w:rPr>
        <w:rFonts w:cs="Arial"/>
        <w:smallCaps w:val="0"/>
        <w:sz w:val="18"/>
        <w:szCs w:val="18"/>
        <w:lang w:val="sk-SK"/>
      </w:rPr>
      <w:t>Konsolidovaný výkaz zmien vlastného imania</w:t>
    </w:r>
    <w:r w:rsidRPr="00C00098" w:rsidDel="00C00098">
      <w:rPr>
        <w:rFonts w:cs="Arial"/>
        <w:smallCaps w:val="0"/>
        <w:sz w:val="18"/>
        <w:szCs w:val="18"/>
        <w:lang w:val="sk-SK"/>
      </w:rPr>
      <w:t xml:space="preserve"> </w:t>
    </w:r>
  </w:p>
  <w:p w14:paraId="1B8982DC" w14:textId="77777777" w:rsidR="003A59DD" w:rsidRDefault="003A59DD" w:rsidP="00302C89">
    <w:pPr>
      <w:pStyle w:val="Name"/>
      <w:pBdr>
        <w:bottom w:val="single" w:sz="4" w:space="0" w:color="auto"/>
      </w:pBdr>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rFonts w:cs="Arial"/>
        <w:b w:val="0"/>
        <w:smallCaps w:val="0"/>
        <w:sz w:val="18"/>
        <w:szCs w:val="18"/>
        <w:lang w:val="sk-SK"/>
      </w:rPr>
    </w:pPr>
    <w:r w:rsidRPr="009909F2">
      <w:rPr>
        <w:rFonts w:cs="Arial"/>
        <w:b w:val="0"/>
        <w:smallCaps w:val="0"/>
        <w:sz w:val="18"/>
        <w:szCs w:val="18"/>
        <w:lang w:val="sk-SK"/>
      </w:rPr>
      <w:t>(Všetky hodnoty sú uvedené v</w:t>
    </w:r>
    <w:r>
      <w:rPr>
        <w:rFonts w:cs="Arial"/>
        <w:b w:val="0"/>
        <w:smallCaps w:val="0"/>
        <w:sz w:val="18"/>
        <w:szCs w:val="18"/>
        <w:lang w:val="sk-SK"/>
      </w:rPr>
      <w:t> tisícoch EUR</w:t>
    </w:r>
    <w:r w:rsidRPr="009909F2">
      <w:rPr>
        <w:rFonts w:cs="Arial"/>
        <w:b w:val="0"/>
        <w:smallCaps w:val="0"/>
        <w:sz w:val="18"/>
        <w:szCs w:val="18"/>
        <w:lang w:val="sk-SK"/>
      </w:rPr>
      <w:t>, pokiaľ nie je uvedené inak)</w:t>
    </w:r>
  </w:p>
  <w:p w14:paraId="056DFC7B" w14:textId="77777777" w:rsidR="003A59DD" w:rsidRPr="006E0D39" w:rsidRDefault="003A59DD" w:rsidP="00E12D67">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rFonts w:cs="Arial"/>
        <w:b w:val="0"/>
        <w:smallCaps w:val="0"/>
        <w:sz w:val="18"/>
        <w:szCs w:val="18"/>
        <w:lang w:val="sk-SK"/>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5E4A" w14:textId="77777777" w:rsidR="003A59DD" w:rsidRDefault="003A59DD">
    <w:pPr>
      <w:pStyle w:val="Hlavik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BBEA0" w14:textId="77777777" w:rsidR="003A59DD" w:rsidRDefault="003A59DD">
    <w:pPr>
      <w:pStyle w:val="Hlavik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67EC8" w14:textId="160AC4DB" w:rsidR="003A59DD" w:rsidRPr="009909F2" w:rsidRDefault="003A59DD" w:rsidP="00976D83">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rFonts w:cs="Arial"/>
        <w:smallCaps w:val="0"/>
        <w:sz w:val="18"/>
        <w:szCs w:val="18"/>
        <w:lang w:val="pt-BR"/>
      </w:rPr>
    </w:pPr>
    <w:r w:rsidRPr="009909F2">
      <w:rPr>
        <w:rFonts w:cs="Arial"/>
        <w:smallCaps w:val="0"/>
        <w:sz w:val="18"/>
        <w:szCs w:val="18"/>
        <w:lang w:val="pt-BR"/>
      </w:rPr>
      <w:t xml:space="preserve">MATADOR </w:t>
    </w:r>
    <w:r>
      <w:rPr>
        <w:rFonts w:cs="Arial"/>
        <w:smallCaps w:val="0"/>
        <w:sz w:val="18"/>
        <w:szCs w:val="18"/>
        <w:lang w:val="pt-BR"/>
      </w:rPr>
      <w:t>Automotive Vráble, a.s.</w:t>
    </w:r>
  </w:p>
  <w:p w14:paraId="0D9A8518" w14:textId="670DB7DF" w:rsidR="003A59DD" w:rsidRPr="00042801" w:rsidRDefault="003A59DD" w:rsidP="00E12D67">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rFonts w:cs="Arial"/>
        <w:smallCaps w:val="0"/>
        <w:sz w:val="18"/>
        <w:szCs w:val="18"/>
      </w:rPr>
    </w:pPr>
    <w:proofErr w:type="spellStart"/>
    <w:r w:rsidRPr="00591242">
      <w:rPr>
        <w:rFonts w:cs="Arial"/>
        <w:smallCaps w:val="0"/>
        <w:sz w:val="18"/>
        <w:szCs w:val="18"/>
      </w:rPr>
      <w:t>Konsolidovaný</w:t>
    </w:r>
    <w:proofErr w:type="spellEnd"/>
    <w:r w:rsidRPr="00591242">
      <w:rPr>
        <w:rFonts w:cs="Arial"/>
        <w:smallCaps w:val="0"/>
        <w:sz w:val="18"/>
        <w:szCs w:val="18"/>
      </w:rPr>
      <w:t xml:space="preserve"> </w:t>
    </w:r>
    <w:proofErr w:type="spellStart"/>
    <w:r w:rsidRPr="00591242">
      <w:rPr>
        <w:rFonts w:cs="Arial"/>
        <w:smallCaps w:val="0"/>
        <w:sz w:val="18"/>
        <w:szCs w:val="18"/>
      </w:rPr>
      <w:t>výkaz</w:t>
    </w:r>
    <w:proofErr w:type="spellEnd"/>
    <w:r w:rsidRPr="00591242">
      <w:rPr>
        <w:rFonts w:cs="Arial"/>
        <w:smallCaps w:val="0"/>
        <w:sz w:val="18"/>
        <w:szCs w:val="18"/>
      </w:rPr>
      <w:t xml:space="preserve"> </w:t>
    </w:r>
    <w:proofErr w:type="spellStart"/>
    <w:r w:rsidRPr="00591242">
      <w:rPr>
        <w:rFonts w:cs="Arial"/>
        <w:smallCaps w:val="0"/>
        <w:sz w:val="18"/>
        <w:szCs w:val="18"/>
      </w:rPr>
      <w:t>peňažných</w:t>
    </w:r>
    <w:proofErr w:type="spellEnd"/>
    <w:r w:rsidRPr="00591242">
      <w:rPr>
        <w:rFonts w:cs="Arial"/>
        <w:smallCaps w:val="0"/>
        <w:sz w:val="18"/>
        <w:szCs w:val="18"/>
      </w:rPr>
      <w:t xml:space="preserve"> </w:t>
    </w:r>
    <w:proofErr w:type="spellStart"/>
    <w:r w:rsidRPr="00591242">
      <w:rPr>
        <w:rFonts w:cs="Arial"/>
        <w:smallCaps w:val="0"/>
        <w:sz w:val="18"/>
        <w:szCs w:val="18"/>
      </w:rPr>
      <w:t>tokov</w:t>
    </w:r>
    <w:proofErr w:type="spellEnd"/>
    <w:r w:rsidRPr="00591242">
      <w:rPr>
        <w:rFonts w:cs="Arial"/>
        <w:smallCaps w:val="0"/>
        <w:sz w:val="18"/>
        <w:szCs w:val="18"/>
      </w:rPr>
      <w:t xml:space="preserve"> </w:t>
    </w:r>
  </w:p>
  <w:p w14:paraId="7BF0934D" w14:textId="77777777" w:rsidR="003A59DD" w:rsidRDefault="003A59DD" w:rsidP="00F33855">
    <w:pPr>
      <w:pStyle w:val="Name"/>
      <w:pBdr>
        <w:bottom w:val="single" w:sz="4" w:space="0" w:color="auto"/>
      </w:pBdr>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rFonts w:cs="Arial"/>
        <w:b w:val="0"/>
        <w:smallCaps w:val="0"/>
        <w:sz w:val="18"/>
        <w:szCs w:val="18"/>
        <w:lang w:val="sk-SK"/>
      </w:rPr>
    </w:pPr>
    <w:r w:rsidRPr="009909F2">
      <w:rPr>
        <w:rFonts w:cs="Arial"/>
        <w:b w:val="0"/>
        <w:smallCaps w:val="0"/>
        <w:sz w:val="18"/>
        <w:szCs w:val="18"/>
        <w:lang w:val="sk-SK"/>
      </w:rPr>
      <w:t>(Všetky hodnoty sú uvedené v</w:t>
    </w:r>
    <w:r>
      <w:rPr>
        <w:rFonts w:cs="Arial"/>
        <w:b w:val="0"/>
        <w:smallCaps w:val="0"/>
        <w:sz w:val="18"/>
        <w:szCs w:val="18"/>
        <w:lang w:val="sk-SK"/>
      </w:rPr>
      <w:t> tisícoch EUR</w:t>
    </w:r>
    <w:r w:rsidRPr="009909F2">
      <w:rPr>
        <w:rFonts w:cs="Arial"/>
        <w:b w:val="0"/>
        <w:smallCaps w:val="0"/>
        <w:sz w:val="18"/>
        <w:szCs w:val="18"/>
        <w:lang w:val="sk-SK"/>
      </w:rPr>
      <w:t>, pokiaľ nie je uvedené inak)</w:t>
    </w:r>
  </w:p>
  <w:p w14:paraId="7191C28D" w14:textId="490ABB21" w:rsidR="003A59DD" w:rsidRPr="001732B4" w:rsidRDefault="003A59DD" w:rsidP="000D75E7">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 w:val="left" w:pos="8377"/>
      </w:tabs>
      <w:spacing w:line="224" w:lineRule="auto"/>
      <w:jc w:val="left"/>
      <w:rPr>
        <w:rFonts w:cs="Arial"/>
        <w:b w:val="0"/>
        <w:smallCaps w:val="0"/>
        <w:lang w:val="pt-BR"/>
      </w:rPr>
    </w:pPr>
    <w:r w:rsidRPr="00042801">
      <w:rPr>
        <w:rFonts w:cs="Arial"/>
        <w:b w:val="0"/>
        <w:smallCaps w:val="0"/>
        <w:sz w:val="18"/>
        <w:szCs w:val="18"/>
      </w:rPr>
      <w:t xml:space="preserve"> </w:t>
    </w:r>
    <w:r>
      <w:rPr>
        <w:rFonts w:cs="Arial"/>
        <w:b w:val="0"/>
        <w:smallCaps w:val="0"/>
        <w:lang w:val="pt-B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5521" w14:textId="77777777" w:rsidR="003A59DD" w:rsidRDefault="003A59D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761976"/>
    <w:lvl w:ilvl="0">
      <w:start w:val="1"/>
      <w:numFmt w:val="decimal"/>
      <w:pStyle w:val="slovanzoznam5"/>
      <w:lvlText w:val="%1."/>
      <w:lvlJc w:val="left"/>
      <w:pPr>
        <w:tabs>
          <w:tab w:val="num" w:pos="1800"/>
        </w:tabs>
        <w:ind w:left="1800" w:hanging="360"/>
      </w:pPr>
    </w:lvl>
  </w:abstractNum>
  <w:abstractNum w:abstractNumId="1" w15:restartNumberingAfterBreak="0">
    <w:nsid w:val="FFFFFF7D"/>
    <w:multiLevelType w:val="singleLevel"/>
    <w:tmpl w:val="AE2AECDE"/>
    <w:lvl w:ilvl="0">
      <w:start w:val="1"/>
      <w:numFmt w:val="decimal"/>
      <w:pStyle w:val="slovanzoznam4"/>
      <w:lvlText w:val="%1."/>
      <w:lvlJc w:val="left"/>
      <w:pPr>
        <w:tabs>
          <w:tab w:val="num" w:pos="1440"/>
        </w:tabs>
        <w:ind w:left="1440" w:hanging="360"/>
      </w:pPr>
    </w:lvl>
  </w:abstractNum>
  <w:abstractNum w:abstractNumId="2" w15:restartNumberingAfterBreak="0">
    <w:nsid w:val="FFFFFF7E"/>
    <w:multiLevelType w:val="singleLevel"/>
    <w:tmpl w:val="92A429F8"/>
    <w:lvl w:ilvl="0">
      <w:start w:val="1"/>
      <w:numFmt w:val="decimal"/>
      <w:pStyle w:val="slovanzoznam3"/>
      <w:lvlText w:val="%1."/>
      <w:lvlJc w:val="left"/>
      <w:pPr>
        <w:tabs>
          <w:tab w:val="num" w:pos="1080"/>
        </w:tabs>
        <w:ind w:left="1080" w:hanging="360"/>
      </w:pPr>
    </w:lvl>
  </w:abstractNum>
  <w:abstractNum w:abstractNumId="3" w15:restartNumberingAfterBreak="0">
    <w:nsid w:val="FFFFFF7F"/>
    <w:multiLevelType w:val="singleLevel"/>
    <w:tmpl w:val="C9240FF6"/>
    <w:lvl w:ilvl="0">
      <w:start w:val="1"/>
      <w:numFmt w:val="decimal"/>
      <w:pStyle w:val="slovanzoznam2"/>
      <w:lvlText w:val="%1."/>
      <w:lvlJc w:val="left"/>
      <w:pPr>
        <w:tabs>
          <w:tab w:val="num" w:pos="720"/>
        </w:tabs>
        <w:ind w:left="720" w:hanging="360"/>
      </w:pPr>
    </w:lvl>
  </w:abstractNum>
  <w:abstractNum w:abstractNumId="4" w15:restartNumberingAfterBreak="0">
    <w:nsid w:val="FFFFFF80"/>
    <w:multiLevelType w:val="singleLevel"/>
    <w:tmpl w:val="8D50C964"/>
    <w:lvl w:ilvl="0">
      <w:start w:val="1"/>
      <w:numFmt w:val="bullet"/>
      <w:pStyle w:val="Zo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88D30A"/>
    <w:lvl w:ilvl="0">
      <w:start w:val="1"/>
      <w:numFmt w:val="bullet"/>
      <w:pStyle w:val="Zo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944410"/>
    <w:lvl w:ilvl="0">
      <w:start w:val="1"/>
      <w:numFmt w:val="bullet"/>
      <w:pStyle w:val="Zo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68FCE4"/>
    <w:lvl w:ilvl="0">
      <w:start w:val="1"/>
      <w:numFmt w:val="bullet"/>
      <w:pStyle w:val="Zo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F21DAC"/>
    <w:lvl w:ilvl="0">
      <w:start w:val="1"/>
      <w:numFmt w:val="decimal"/>
      <w:pStyle w:val="slovanzoznam"/>
      <w:lvlText w:val="%1."/>
      <w:lvlJc w:val="left"/>
      <w:pPr>
        <w:tabs>
          <w:tab w:val="num" w:pos="360"/>
        </w:tabs>
        <w:ind w:left="360" w:hanging="360"/>
      </w:pPr>
    </w:lvl>
  </w:abstractNum>
  <w:abstractNum w:abstractNumId="9" w15:restartNumberingAfterBreak="0">
    <w:nsid w:val="FFFFFF89"/>
    <w:multiLevelType w:val="singleLevel"/>
    <w:tmpl w:val="4D0AD18E"/>
    <w:lvl w:ilvl="0">
      <w:start w:val="1"/>
      <w:numFmt w:val="bullet"/>
      <w:pStyle w:val="Zoznamsodrkami"/>
      <w:lvlText w:val=""/>
      <w:lvlJc w:val="left"/>
      <w:pPr>
        <w:tabs>
          <w:tab w:val="num" w:pos="360"/>
        </w:tabs>
        <w:ind w:left="360" w:hanging="360"/>
      </w:pPr>
      <w:rPr>
        <w:rFonts w:ascii="Symbol" w:hAnsi="Symbol" w:hint="default"/>
      </w:rPr>
    </w:lvl>
  </w:abstractNum>
  <w:abstractNum w:abstractNumId="10" w15:restartNumberingAfterBreak="0">
    <w:nsid w:val="02180C08"/>
    <w:multiLevelType w:val="hybridMultilevel"/>
    <w:tmpl w:val="4BCC69AA"/>
    <w:lvl w:ilvl="0" w:tplc="BF4EB6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CA006F2"/>
    <w:multiLevelType w:val="hybridMultilevel"/>
    <w:tmpl w:val="7BC6CC84"/>
    <w:lvl w:ilvl="0" w:tplc="244CF3C6">
      <w:start w:val="1"/>
      <w:numFmt w:val="lowerLetter"/>
      <w:lvlText w:val="(%1)"/>
      <w:lvlJc w:val="left"/>
      <w:pPr>
        <w:tabs>
          <w:tab w:val="num" w:pos="502"/>
        </w:tabs>
        <w:ind w:left="502"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0D9822ED"/>
    <w:multiLevelType w:val="singleLevel"/>
    <w:tmpl w:val="0B785D24"/>
    <w:lvl w:ilvl="0">
      <w:start w:val="6"/>
      <w:numFmt w:val="decimal"/>
      <w:pStyle w:val="Nadpis9"/>
      <w:lvlText w:val="%1"/>
      <w:lvlJc w:val="left"/>
      <w:pPr>
        <w:tabs>
          <w:tab w:val="num" w:pos="720"/>
        </w:tabs>
        <w:ind w:left="720" w:hanging="720"/>
      </w:pPr>
      <w:rPr>
        <w:rFonts w:hint="default"/>
      </w:rPr>
    </w:lvl>
  </w:abstractNum>
  <w:abstractNum w:abstractNumId="13" w15:restartNumberingAfterBreak="0">
    <w:nsid w:val="0E83740E"/>
    <w:multiLevelType w:val="hybridMultilevel"/>
    <w:tmpl w:val="40103910"/>
    <w:name w:val="PwCNumberListTemplate4"/>
    <w:lvl w:ilvl="0" w:tplc="71F4FBA4">
      <w:start w:val="3"/>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13CE70A7"/>
    <w:multiLevelType w:val="singleLevel"/>
    <w:tmpl w:val="24AAFB1A"/>
    <w:lvl w:ilvl="0">
      <w:start w:val="19"/>
      <w:numFmt w:val="decimal"/>
      <w:pStyle w:val="Popis"/>
      <w:lvlText w:val="%1"/>
      <w:lvlJc w:val="left"/>
      <w:pPr>
        <w:tabs>
          <w:tab w:val="num" w:pos="720"/>
        </w:tabs>
        <w:ind w:left="720" w:hanging="720"/>
      </w:pPr>
      <w:rPr>
        <w:rFonts w:hint="default"/>
      </w:rPr>
    </w:lvl>
  </w:abstractNum>
  <w:abstractNum w:abstractNumId="15" w15:restartNumberingAfterBreak="0">
    <w:nsid w:val="13DD2672"/>
    <w:multiLevelType w:val="hybridMultilevel"/>
    <w:tmpl w:val="2A72A096"/>
    <w:lvl w:ilvl="0" w:tplc="BBFAF212">
      <w:start w:val="1"/>
      <w:numFmt w:val="lowerLetter"/>
      <w:pStyle w:val="odstavecabc"/>
      <w:lvlText w:val="%1)"/>
      <w:lvlJc w:val="left"/>
      <w:pPr>
        <w:tabs>
          <w:tab w:val="num" w:pos="737"/>
        </w:tabs>
        <w:ind w:left="737" w:hanging="737"/>
      </w:pPr>
      <w:rPr>
        <w:rFonts w:hint="default"/>
      </w:rPr>
    </w:lvl>
    <w:lvl w:ilvl="1" w:tplc="2AA2120A" w:tentative="1">
      <w:start w:val="1"/>
      <w:numFmt w:val="lowerLetter"/>
      <w:lvlText w:val="%2."/>
      <w:lvlJc w:val="left"/>
      <w:pPr>
        <w:tabs>
          <w:tab w:val="num" w:pos="1440"/>
        </w:tabs>
        <w:ind w:left="1440" w:hanging="360"/>
      </w:pPr>
    </w:lvl>
    <w:lvl w:ilvl="2" w:tplc="64DE33CE" w:tentative="1">
      <w:start w:val="1"/>
      <w:numFmt w:val="lowerRoman"/>
      <w:lvlText w:val="%3."/>
      <w:lvlJc w:val="right"/>
      <w:pPr>
        <w:tabs>
          <w:tab w:val="num" w:pos="2160"/>
        </w:tabs>
        <w:ind w:left="2160" w:hanging="180"/>
      </w:pPr>
    </w:lvl>
    <w:lvl w:ilvl="3" w:tplc="D9FA05B4" w:tentative="1">
      <w:start w:val="1"/>
      <w:numFmt w:val="decimal"/>
      <w:lvlText w:val="%4."/>
      <w:lvlJc w:val="left"/>
      <w:pPr>
        <w:tabs>
          <w:tab w:val="num" w:pos="2880"/>
        </w:tabs>
        <w:ind w:left="2880" w:hanging="360"/>
      </w:pPr>
    </w:lvl>
    <w:lvl w:ilvl="4" w:tplc="1EC26F44" w:tentative="1">
      <w:start w:val="1"/>
      <w:numFmt w:val="lowerLetter"/>
      <w:lvlText w:val="%5."/>
      <w:lvlJc w:val="left"/>
      <w:pPr>
        <w:tabs>
          <w:tab w:val="num" w:pos="3600"/>
        </w:tabs>
        <w:ind w:left="3600" w:hanging="360"/>
      </w:pPr>
    </w:lvl>
    <w:lvl w:ilvl="5" w:tplc="122A394C" w:tentative="1">
      <w:start w:val="1"/>
      <w:numFmt w:val="lowerRoman"/>
      <w:lvlText w:val="%6."/>
      <w:lvlJc w:val="right"/>
      <w:pPr>
        <w:tabs>
          <w:tab w:val="num" w:pos="4320"/>
        </w:tabs>
        <w:ind w:left="4320" w:hanging="180"/>
      </w:pPr>
    </w:lvl>
    <w:lvl w:ilvl="6" w:tplc="7108C1D2" w:tentative="1">
      <w:start w:val="1"/>
      <w:numFmt w:val="decimal"/>
      <w:lvlText w:val="%7."/>
      <w:lvlJc w:val="left"/>
      <w:pPr>
        <w:tabs>
          <w:tab w:val="num" w:pos="5040"/>
        </w:tabs>
        <w:ind w:left="5040" w:hanging="360"/>
      </w:pPr>
    </w:lvl>
    <w:lvl w:ilvl="7" w:tplc="2A229DB8" w:tentative="1">
      <w:start w:val="1"/>
      <w:numFmt w:val="lowerLetter"/>
      <w:lvlText w:val="%8."/>
      <w:lvlJc w:val="left"/>
      <w:pPr>
        <w:tabs>
          <w:tab w:val="num" w:pos="5760"/>
        </w:tabs>
        <w:ind w:left="5760" w:hanging="360"/>
      </w:pPr>
    </w:lvl>
    <w:lvl w:ilvl="8" w:tplc="48682A32" w:tentative="1">
      <w:start w:val="1"/>
      <w:numFmt w:val="lowerRoman"/>
      <w:lvlText w:val="%9."/>
      <w:lvlJc w:val="right"/>
      <w:pPr>
        <w:tabs>
          <w:tab w:val="num" w:pos="6480"/>
        </w:tabs>
        <w:ind w:left="6480" w:hanging="180"/>
      </w:pPr>
    </w:lvl>
  </w:abstractNum>
  <w:abstractNum w:abstractNumId="16" w15:restartNumberingAfterBreak="0">
    <w:nsid w:val="13DE6389"/>
    <w:multiLevelType w:val="hybridMultilevel"/>
    <w:tmpl w:val="AE4C1F96"/>
    <w:lvl w:ilvl="0" w:tplc="D3723EBA">
      <w:start w:val="1"/>
      <w:numFmt w:val="decimal"/>
      <w:pStyle w:val="ABCNumbered"/>
      <w:lvlText w:val="%1"/>
      <w:lvlJc w:val="left"/>
      <w:pPr>
        <w:tabs>
          <w:tab w:val="num" w:pos="567"/>
        </w:tabs>
        <w:ind w:left="567" w:hanging="567"/>
      </w:pPr>
      <w:rPr>
        <w:rFonts w:hint="default"/>
        <w:b w:val="0"/>
        <w:i w:val="0"/>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D464BCE0" w:tentative="1">
      <w:start w:val="1"/>
      <w:numFmt w:val="lowerLetter"/>
      <w:lvlText w:val="%2."/>
      <w:lvlJc w:val="left"/>
      <w:pPr>
        <w:tabs>
          <w:tab w:val="num" w:pos="1440"/>
        </w:tabs>
        <w:ind w:left="1440" w:hanging="360"/>
      </w:pPr>
    </w:lvl>
    <w:lvl w:ilvl="2" w:tplc="5F3A90F0" w:tentative="1">
      <w:start w:val="1"/>
      <w:numFmt w:val="lowerRoman"/>
      <w:lvlText w:val="%3."/>
      <w:lvlJc w:val="right"/>
      <w:pPr>
        <w:tabs>
          <w:tab w:val="num" w:pos="2160"/>
        </w:tabs>
        <w:ind w:left="2160" w:hanging="180"/>
      </w:pPr>
    </w:lvl>
    <w:lvl w:ilvl="3" w:tplc="E602A028" w:tentative="1">
      <w:start w:val="1"/>
      <w:numFmt w:val="decimal"/>
      <w:lvlText w:val="%4."/>
      <w:lvlJc w:val="left"/>
      <w:pPr>
        <w:tabs>
          <w:tab w:val="num" w:pos="2880"/>
        </w:tabs>
        <w:ind w:left="2880" w:hanging="360"/>
      </w:pPr>
    </w:lvl>
    <w:lvl w:ilvl="4" w:tplc="8FE24DCC" w:tentative="1">
      <w:start w:val="1"/>
      <w:numFmt w:val="lowerLetter"/>
      <w:lvlText w:val="%5."/>
      <w:lvlJc w:val="left"/>
      <w:pPr>
        <w:tabs>
          <w:tab w:val="num" w:pos="3600"/>
        </w:tabs>
        <w:ind w:left="3600" w:hanging="360"/>
      </w:pPr>
    </w:lvl>
    <w:lvl w:ilvl="5" w:tplc="DA3CF260" w:tentative="1">
      <w:start w:val="1"/>
      <w:numFmt w:val="lowerRoman"/>
      <w:lvlText w:val="%6."/>
      <w:lvlJc w:val="right"/>
      <w:pPr>
        <w:tabs>
          <w:tab w:val="num" w:pos="4320"/>
        </w:tabs>
        <w:ind w:left="4320" w:hanging="180"/>
      </w:pPr>
    </w:lvl>
    <w:lvl w:ilvl="6" w:tplc="D69233F8" w:tentative="1">
      <w:start w:val="1"/>
      <w:numFmt w:val="decimal"/>
      <w:lvlText w:val="%7."/>
      <w:lvlJc w:val="left"/>
      <w:pPr>
        <w:tabs>
          <w:tab w:val="num" w:pos="5040"/>
        </w:tabs>
        <w:ind w:left="5040" w:hanging="360"/>
      </w:pPr>
    </w:lvl>
    <w:lvl w:ilvl="7" w:tplc="26DE9944" w:tentative="1">
      <w:start w:val="1"/>
      <w:numFmt w:val="lowerLetter"/>
      <w:lvlText w:val="%8."/>
      <w:lvlJc w:val="left"/>
      <w:pPr>
        <w:tabs>
          <w:tab w:val="num" w:pos="5760"/>
        </w:tabs>
        <w:ind w:left="5760" w:hanging="360"/>
      </w:pPr>
    </w:lvl>
    <w:lvl w:ilvl="8" w:tplc="6A40A73A" w:tentative="1">
      <w:start w:val="1"/>
      <w:numFmt w:val="lowerRoman"/>
      <w:lvlText w:val="%9."/>
      <w:lvlJc w:val="right"/>
      <w:pPr>
        <w:tabs>
          <w:tab w:val="num" w:pos="6480"/>
        </w:tabs>
        <w:ind w:left="6480" w:hanging="180"/>
      </w:pPr>
    </w:lvl>
  </w:abstractNum>
  <w:abstractNum w:abstractNumId="17" w15:restartNumberingAfterBreak="0">
    <w:nsid w:val="14233D8F"/>
    <w:multiLevelType w:val="hybridMultilevel"/>
    <w:tmpl w:val="A4F82E36"/>
    <w:lvl w:ilvl="0" w:tplc="710A0530">
      <w:start w:val="3"/>
      <w:numFmt w:val="decimal"/>
      <w:pStyle w:val="livianadpis"/>
      <w:lvlText w:val="%1"/>
      <w:lvlJc w:val="left"/>
      <w:pPr>
        <w:tabs>
          <w:tab w:val="num" w:pos="360"/>
        </w:tabs>
        <w:ind w:left="360" w:hanging="360"/>
      </w:pPr>
      <w:rPr>
        <w:rFonts w:hint="default"/>
        <w:sz w:val="18"/>
        <w:szCs w:val="18"/>
      </w:rPr>
    </w:lvl>
    <w:lvl w:ilvl="1" w:tplc="562E8922">
      <w:start w:val="1"/>
      <w:numFmt w:val="decimal"/>
      <w:lvlText w:val="%2"/>
      <w:lvlJc w:val="left"/>
      <w:pPr>
        <w:tabs>
          <w:tab w:val="num" w:pos="1440"/>
        </w:tabs>
        <w:ind w:left="1440" w:hanging="360"/>
      </w:pPr>
      <w:rPr>
        <w:rFonts w:hint="default"/>
        <w:b/>
      </w:rPr>
    </w:lvl>
    <w:lvl w:ilvl="2" w:tplc="4B0A3B68" w:tentative="1">
      <w:start w:val="1"/>
      <w:numFmt w:val="lowerRoman"/>
      <w:lvlText w:val="%3."/>
      <w:lvlJc w:val="right"/>
      <w:pPr>
        <w:tabs>
          <w:tab w:val="num" w:pos="2160"/>
        </w:tabs>
        <w:ind w:left="2160" w:hanging="180"/>
      </w:pPr>
    </w:lvl>
    <w:lvl w:ilvl="3" w:tplc="66542030" w:tentative="1">
      <w:start w:val="1"/>
      <w:numFmt w:val="decimal"/>
      <w:lvlText w:val="%4."/>
      <w:lvlJc w:val="left"/>
      <w:pPr>
        <w:tabs>
          <w:tab w:val="num" w:pos="2880"/>
        </w:tabs>
        <w:ind w:left="2880" w:hanging="360"/>
      </w:pPr>
    </w:lvl>
    <w:lvl w:ilvl="4" w:tplc="30CC8A66" w:tentative="1">
      <w:start w:val="1"/>
      <w:numFmt w:val="lowerLetter"/>
      <w:lvlText w:val="%5."/>
      <w:lvlJc w:val="left"/>
      <w:pPr>
        <w:tabs>
          <w:tab w:val="num" w:pos="3600"/>
        </w:tabs>
        <w:ind w:left="3600" w:hanging="360"/>
      </w:pPr>
    </w:lvl>
    <w:lvl w:ilvl="5" w:tplc="0390E582" w:tentative="1">
      <w:start w:val="1"/>
      <w:numFmt w:val="lowerRoman"/>
      <w:lvlText w:val="%6."/>
      <w:lvlJc w:val="right"/>
      <w:pPr>
        <w:tabs>
          <w:tab w:val="num" w:pos="4320"/>
        </w:tabs>
        <w:ind w:left="4320" w:hanging="180"/>
      </w:pPr>
    </w:lvl>
    <w:lvl w:ilvl="6" w:tplc="394CA3DA" w:tentative="1">
      <w:start w:val="1"/>
      <w:numFmt w:val="decimal"/>
      <w:lvlText w:val="%7."/>
      <w:lvlJc w:val="left"/>
      <w:pPr>
        <w:tabs>
          <w:tab w:val="num" w:pos="5040"/>
        </w:tabs>
        <w:ind w:left="5040" w:hanging="360"/>
      </w:pPr>
    </w:lvl>
    <w:lvl w:ilvl="7" w:tplc="6596BFBC" w:tentative="1">
      <w:start w:val="1"/>
      <w:numFmt w:val="lowerLetter"/>
      <w:lvlText w:val="%8."/>
      <w:lvlJc w:val="left"/>
      <w:pPr>
        <w:tabs>
          <w:tab w:val="num" w:pos="5760"/>
        </w:tabs>
        <w:ind w:left="5760" w:hanging="360"/>
      </w:pPr>
    </w:lvl>
    <w:lvl w:ilvl="8" w:tplc="19AAE930" w:tentative="1">
      <w:start w:val="1"/>
      <w:numFmt w:val="lowerRoman"/>
      <w:lvlText w:val="%9."/>
      <w:lvlJc w:val="right"/>
      <w:pPr>
        <w:tabs>
          <w:tab w:val="num" w:pos="6480"/>
        </w:tabs>
        <w:ind w:left="6480" w:hanging="180"/>
      </w:pPr>
    </w:lvl>
  </w:abstractNum>
  <w:abstractNum w:abstractNumId="18" w15:restartNumberingAfterBreak="0">
    <w:nsid w:val="15E52D9C"/>
    <w:multiLevelType w:val="singleLevel"/>
    <w:tmpl w:val="0A2A4A76"/>
    <w:lvl w:ilvl="0">
      <w:start w:val="1"/>
      <w:numFmt w:val="decimal"/>
      <w:pStyle w:val="Report"/>
      <w:lvlText w:val="%1"/>
      <w:lvlJc w:val="left"/>
      <w:pPr>
        <w:tabs>
          <w:tab w:val="num" w:pos="-4"/>
        </w:tabs>
        <w:ind w:left="-4" w:hanging="705"/>
      </w:pPr>
      <w:rPr>
        <w:b w:val="0"/>
        <w:i w:val="0"/>
      </w:rPr>
    </w:lvl>
  </w:abstractNum>
  <w:abstractNum w:abstractNumId="19" w15:restartNumberingAfterBreak="0">
    <w:nsid w:val="1A804B0A"/>
    <w:multiLevelType w:val="multilevel"/>
    <w:tmpl w:val="3788B718"/>
    <w:lvl w:ilvl="0">
      <w:start w:val="4"/>
      <w:numFmt w:val="bullet"/>
      <w:pStyle w:val="ABC-BulletsinNotes"/>
      <w:lvlText w:val=""/>
      <w:lvlJc w:val="left"/>
      <w:pPr>
        <w:tabs>
          <w:tab w:val="num" w:pos="567"/>
        </w:tabs>
        <w:ind w:left="567" w:hanging="567"/>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27"/>
        </w:tabs>
        <w:ind w:left="851" w:hanging="284"/>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440"/>
        </w:tabs>
        <w:ind w:left="1440" w:hanging="1440"/>
      </w:pPr>
      <w:rPr>
        <w:rFonts w:ascii="Arial" w:hAnsi="Arial" w:hint="default"/>
      </w:rPr>
    </w:lvl>
  </w:abstractNum>
  <w:abstractNum w:abstractNumId="20" w15:restartNumberingAfterBreak="0">
    <w:nsid w:val="1E9F710E"/>
    <w:multiLevelType w:val="hybridMultilevel"/>
    <w:tmpl w:val="AB30E42E"/>
    <w:lvl w:ilvl="0" w:tplc="FFFFFFFF">
      <w:start w:val="1"/>
      <w:numFmt w:val="bullet"/>
      <w:pStyle w:val="bullet"/>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274368E8"/>
    <w:multiLevelType w:val="hybridMultilevel"/>
    <w:tmpl w:val="A5BCBB2A"/>
    <w:lvl w:ilvl="0" w:tplc="B3EACF92">
      <w:start w:val="1"/>
      <w:numFmt w:val="decimal"/>
      <w:pStyle w:val="Heading7"/>
      <w:lvlText w:val="%1."/>
      <w:lvlJc w:val="left"/>
      <w:pPr>
        <w:tabs>
          <w:tab w:val="num" w:pos="720"/>
        </w:tabs>
        <w:ind w:left="720" w:hanging="360"/>
      </w:pPr>
      <w:rPr>
        <w:rFonts w:hint="default"/>
      </w:rPr>
    </w:lvl>
    <w:lvl w:ilvl="1" w:tplc="C3AC52F8" w:tentative="1">
      <w:start w:val="1"/>
      <w:numFmt w:val="lowerLetter"/>
      <w:lvlText w:val="%2."/>
      <w:lvlJc w:val="left"/>
      <w:pPr>
        <w:tabs>
          <w:tab w:val="num" w:pos="1440"/>
        </w:tabs>
        <w:ind w:left="1440" w:hanging="360"/>
      </w:pPr>
    </w:lvl>
    <w:lvl w:ilvl="2" w:tplc="79E85FDA" w:tentative="1">
      <w:start w:val="1"/>
      <w:numFmt w:val="lowerRoman"/>
      <w:lvlText w:val="%3."/>
      <w:lvlJc w:val="right"/>
      <w:pPr>
        <w:tabs>
          <w:tab w:val="num" w:pos="2160"/>
        </w:tabs>
        <w:ind w:left="2160" w:hanging="180"/>
      </w:pPr>
    </w:lvl>
    <w:lvl w:ilvl="3" w:tplc="8142597C" w:tentative="1">
      <w:start w:val="1"/>
      <w:numFmt w:val="decimal"/>
      <w:lvlText w:val="%4."/>
      <w:lvlJc w:val="left"/>
      <w:pPr>
        <w:tabs>
          <w:tab w:val="num" w:pos="2880"/>
        </w:tabs>
        <w:ind w:left="2880" w:hanging="360"/>
      </w:pPr>
    </w:lvl>
    <w:lvl w:ilvl="4" w:tplc="473C2CAA" w:tentative="1">
      <w:start w:val="1"/>
      <w:numFmt w:val="lowerLetter"/>
      <w:lvlText w:val="%5."/>
      <w:lvlJc w:val="left"/>
      <w:pPr>
        <w:tabs>
          <w:tab w:val="num" w:pos="3600"/>
        </w:tabs>
        <w:ind w:left="3600" w:hanging="360"/>
      </w:pPr>
    </w:lvl>
    <w:lvl w:ilvl="5" w:tplc="D656261C" w:tentative="1">
      <w:start w:val="1"/>
      <w:numFmt w:val="lowerRoman"/>
      <w:lvlText w:val="%6."/>
      <w:lvlJc w:val="right"/>
      <w:pPr>
        <w:tabs>
          <w:tab w:val="num" w:pos="4320"/>
        </w:tabs>
        <w:ind w:left="4320" w:hanging="180"/>
      </w:pPr>
    </w:lvl>
    <w:lvl w:ilvl="6" w:tplc="5B0C7546" w:tentative="1">
      <w:start w:val="1"/>
      <w:numFmt w:val="decimal"/>
      <w:lvlText w:val="%7."/>
      <w:lvlJc w:val="left"/>
      <w:pPr>
        <w:tabs>
          <w:tab w:val="num" w:pos="5040"/>
        </w:tabs>
        <w:ind w:left="5040" w:hanging="360"/>
      </w:pPr>
    </w:lvl>
    <w:lvl w:ilvl="7" w:tplc="6322AECE" w:tentative="1">
      <w:start w:val="1"/>
      <w:numFmt w:val="lowerLetter"/>
      <w:lvlText w:val="%8."/>
      <w:lvlJc w:val="left"/>
      <w:pPr>
        <w:tabs>
          <w:tab w:val="num" w:pos="5760"/>
        </w:tabs>
        <w:ind w:left="5760" w:hanging="360"/>
      </w:pPr>
    </w:lvl>
    <w:lvl w:ilvl="8" w:tplc="9258B018" w:tentative="1">
      <w:start w:val="1"/>
      <w:numFmt w:val="lowerRoman"/>
      <w:lvlText w:val="%9."/>
      <w:lvlJc w:val="right"/>
      <w:pPr>
        <w:tabs>
          <w:tab w:val="num" w:pos="6480"/>
        </w:tabs>
        <w:ind w:left="6480" w:hanging="180"/>
      </w:pPr>
    </w:lvl>
  </w:abstractNum>
  <w:abstractNum w:abstractNumId="22" w15:restartNumberingAfterBreak="0">
    <w:nsid w:val="2F602942"/>
    <w:multiLevelType w:val="hybridMultilevel"/>
    <w:tmpl w:val="21784F64"/>
    <w:lvl w:ilvl="0" w:tplc="1C567BFC">
      <w:start w:val="5"/>
      <w:numFmt w:val="bullet"/>
      <w:lvlText w:val="-"/>
      <w:lvlJc w:val="left"/>
      <w:pPr>
        <w:ind w:left="1056" w:hanging="360"/>
      </w:pPr>
      <w:rPr>
        <w:rFonts w:ascii="Arial" w:eastAsia="Times New Roman" w:hAnsi="Arial" w:cs="Arial" w:hint="default"/>
      </w:rPr>
    </w:lvl>
    <w:lvl w:ilvl="1" w:tplc="04050003" w:tentative="1">
      <w:start w:val="1"/>
      <w:numFmt w:val="bullet"/>
      <w:lvlText w:val="o"/>
      <w:lvlJc w:val="left"/>
      <w:pPr>
        <w:ind w:left="1776" w:hanging="360"/>
      </w:pPr>
      <w:rPr>
        <w:rFonts w:ascii="Courier New" w:hAnsi="Courier New" w:cs="Courier New" w:hint="default"/>
      </w:rPr>
    </w:lvl>
    <w:lvl w:ilvl="2" w:tplc="04050005" w:tentative="1">
      <w:start w:val="1"/>
      <w:numFmt w:val="bullet"/>
      <w:lvlText w:val=""/>
      <w:lvlJc w:val="left"/>
      <w:pPr>
        <w:ind w:left="2496" w:hanging="360"/>
      </w:pPr>
      <w:rPr>
        <w:rFonts w:ascii="Wingdings" w:hAnsi="Wingdings" w:hint="default"/>
      </w:rPr>
    </w:lvl>
    <w:lvl w:ilvl="3" w:tplc="04050001" w:tentative="1">
      <w:start w:val="1"/>
      <w:numFmt w:val="bullet"/>
      <w:lvlText w:val=""/>
      <w:lvlJc w:val="left"/>
      <w:pPr>
        <w:ind w:left="3216" w:hanging="360"/>
      </w:pPr>
      <w:rPr>
        <w:rFonts w:ascii="Symbol" w:hAnsi="Symbol" w:hint="default"/>
      </w:rPr>
    </w:lvl>
    <w:lvl w:ilvl="4" w:tplc="04050003" w:tentative="1">
      <w:start w:val="1"/>
      <w:numFmt w:val="bullet"/>
      <w:lvlText w:val="o"/>
      <w:lvlJc w:val="left"/>
      <w:pPr>
        <w:ind w:left="3936" w:hanging="360"/>
      </w:pPr>
      <w:rPr>
        <w:rFonts w:ascii="Courier New" w:hAnsi="Courier New" w:cs="Courier New" w:hint="default"/>
      </w:rPr>
    </w:lvl>
    <w:lvl w:ilvl="5" w:tplc="04050005" w:tentative="1">
      <w:start w:val="1"/>
      <w:numFmt w:val="bullet"/>
      <w:lvlText w:val=""/>
      <w:lvlJc w:val="left"/>
      <w:pPr>
        <w:ind w:left="4656" w:hanging="360"/>
      </w:pPr>
      <w:rPr>
        <w:rFonts w:ascii="Wingdings" w:hAnsi="Wingdings" w:hint="default"/>
      </w:rPr>
    </w:lvl>
    <w:lvl w:ilvl="6" w:tplc="04050001" w:tentative="1">
      <w:start w:val="1"/>
      <w:numFmt w:val="bullet"/>
      <w:lvlText w:val=""/>
      <w:lvlJc w:val="left"/>
      <w:pPr>
        <w:ind w:left="5376" w:hanging="360"/>
      </w:pPr>
      <w:rPr>
        <w:rFonts w:ascii="Symbol" w:hAnsi="Symbol" w:hint="default"/>
      </w:rPr>
    </w:lvl>
    <w:lvl w:ilvl="7" w:tplc="04050003" w:tentative="1">
      <w:start w:val="1"/>
      <w:numFmt w:val="bullet"/>
      <w:lvlText w:val="o"/>
      <w:lvlJc w:val="left"/>
      <w:pPr>
        <w:ind w:left="6096" w:hanging="360"/>
      </w:pPr>
      <w:rPr>
        <w:rFonts w:ascii="Courier New" w:hAnsi="Courier New" w:cs="Courier New" w:hint="default"/>
      </w:rPr>
    </w:lvl>
    <w:lvl w:ilvl="8" w:tplc="04050005" w:tentative="1">
      <w:start w:val="1"/>
      <w:numFmt w:val="bullet"/>
      <w:lvlText w:val=""/>
      <w:lvlJc w:val="left"/>
      <w:pPr>
        <w:ind w:left="6816" w:hanging="360"/>
      </w:pPr>
      <w:rPr>
        <w:rFonts w:ascii="Wingdings" w:hAnsi="Wingdings" w:hint="default"/>
      </w:rPr>
    </w:lvl>
  </w:abstractNum>
  <w:abstractNum w:abstractNumId="23" w15:restartNumberingAfterBreak="0">
    <w:nsid w:val="362979F7"/>
    <w:multiLevelType w:val="hybridMultilevel"/>
    <w:tmpl w:val="72E41FF2"/>
    <w:lvl w:ilvl="0" w:tplc="C9369AF6">
      <w:start w:val="1"/>
      <w:numFmt w:val="decimal"/>
      <w:pStyle w:val="Heading10"/>
      <w:lvlText w:val="%1."/>
      <w:lvlJc w:val="left"/>
      <w:pPr>
        <w:tabs>
          <w:tab w:val="num" w:pos="697"/>
        </w:tabs>
        <w:ind w:left="697" w:hanging="697"/>
      </w:pPr>
      <w:rPr>
        <w:rFonts w:hint="default"/>
      </w:rPr>
    </w:lvl>
    <w:lvl w:ilvl="1" w:tplc="6B94926E">
      <w:start w:val="1"/>
      <w:numFmt w:val="lowerLetter"/>
      <w:lvlText w:val="%2)"/>
      <w:lvlJc w:val="left"/>
      <w:pPr>
        <w:tabs>
          <w:tab w:val="num" w:pos="1800"/>
        </w:tabs>
        <w:ind w:left="1800" w:hanging="720"/>
      </w:pPr>
      <w:rPr>
        <w:rFonts w:hint="default"/>
      </w:rPr>
    </w:lvl>
    <w:lvl w:ilvl="2" w:tplc="F0EE8E28" w:tentative="1">
      <w:start w:val="1"/>
      <w:numFmt w:val="lowerRoman"/>
      <w:lvlText w:val="%3."/>
      <w:lvlJc w:val="right"/>
      <w:pPr>
        <w:tabs>
          <w:tab w:val="num" w:pos="2160"/>
        </w:tabs>
        <w:ind w:left="2160" w:hanging="180"/>
      </w:pPr>
    </w:lvl>
    <w:lvl w:ilvl="3" w:tplc="325EAA54" w:tentative="1">
      <w:start w:val="1"/>
      <w:numFmt w:val="decimal"/>
      <w:lvlText w:val="%4."/>
      <w:lvlJc w:val="left"/>
      <w:pPr>
        <w:tabs>
          <w:tab w:val="num" w:pos="2880"/>
        </w:tabs>
        <w:ind w:left="2880" w:hanging="360"/>
      </w:pPr>
    </w:lvl>
    <w:lvl w:ilvl="4" w:tplc="C26EA5D8" w:tentative="1">
      <w:start w:val="1"/>
      <w:numFmt w:val="lowerLetter"/>
      <w:lvlText w:val="%5."/>
      <w:lvlJc w:val="left"/>
      <w:pPr>
        <w:tabs>
          <w:tab w:val="num" w:pos="3600"/>
        </w:tabs>
        <w:ind w:left="3600" w:hanging="360"/>
      </w:pPr>
    </w:lvl>
    <w:lvl w:ilvl="5" w:tplc="C4A6D0F2" w:tentative="1">
      <w:start w:val="1"/>
      <w:numFmt w:val="lowerRoman"/>
      <w:lvlText w:val="%6."/>
      <w:lvlJc w:val="right"/>
      <w:pPr>
        <w:tabs>
          <w:tab w:val="num" w:pos="4320"/>
        </w:tabs>
        <w:ind w:left="4320" w:hanging="180"/>
      </w:pPr>
    </w:lvl>
    <w:lvl w:ilvl="6" w:tplc="756C2FB4" w:tentative="1">
      <w:start w:val="1"/>
      <w:numFmt w:val="decimal"/>
      <w:lvlText w:val="%7."/>
      <w:lvlJc w:val="left"/>
      <w:pPr>
        <w:tabs>
          <w:tab w:val="num" w:pos="5040"/>
        </w:tabs>
        <w:ind w:left="5040" w:hanging="360"/>
      </w:pPr>
    </w:lvl>
    <w:lvl w:ilvl="7" w:tplc="540A9B3E" w:tentative="1">
      <w:start w:val="1"/>
      <w:numFmt w:val="lowerLetter"/>
      <w:lvlText w:val="%8."/>
      <w:lvlJc w:val="left"/>
      <w:pPr>
        <w:tabs>
          <w:tab w:val="num" w:pos="5760"/>
        </w:tabs>
        <w:ind w:left="5760" w:hanging="360"/>
      </w:pPr>
    </w:lvl>
    <w:lvl w:ilvl="8" w:tplc="0F98A248" w:tentative="1">
      <w:start w:val="1"/>
      <w:numFmt w:val="lowerRoman"/>
      <w:lvlText w:val="%9."/>
      <w:lvlJc w:val="right"/>
      <w:pPr>
        <w:tabs>
          <w:tab w:val="num" w:pos="6480"/>
        </w:tabs>
        <w:ind w:left="6480" w:hanging="180"/>
      </w:pPr>
    </w:lvl>
  </w:abstractNum>
  <w:abstractNum w:abstractNumId="24" w15:restartNumberingAfterBreak="0">
    <w:nsid w:val="3C0A0FF2"/>
    <w:multiLevelType w:val="hybridMultilevel"/>
    <w:tmpl w:val="F33E28AE"/>
    <w:lvl w:ilvl="0" w:tplc="041B0001">
      <w:start w:val="1"/>
      <w:numFmt w:val="bullet"/>
      <w:pStyle w:val="Bullet1"/>
      <w:lvlText w:val=""/>
      <w:lvlJc w:val="left"/>
      <w:pPr>
        <w:tabs>
          <w:tab w:val="num" w:pos="1033"/>
        </w:tabs>
        <w:ind w:left="1033" w:hanging="992"/>
      </w:pPr>
      <w:rPr>
        <w:rFonts w:ascii="Symbol" w:hAnsi="Symbol" w:hint="default"/>
      </w:rPr>
    </w:lvl>
    <w:lvl w:ilvl="1" w:tplc="041B0003" w:tentative="1">
      <w:start w:val="1"/>
      <w:numFmt w:val="bullet"/>
      <w:lvlText w:val="o"/>
      <w:lvlJc w:val="left"/>
      <w:pPr>
        <w:tabs>
          <w:tab w:val="num" w:pos="1481"/>
        </w:tabs>
        <w:ind w:left="1481" w:hanging="360"/>
      </w:pPr>
      <w:rPr>
        <w:rFonts w:ascii="Courier New" w:hAnsi="Courier New" w:hint="default"/>
      </w:rPr>
    </w:lvl>
    <w:lvl w:ilvl="2" w:tplc="041B0005" w:tentative="1">
      <w:start w:val="1"/>
      <w:numFmt w:val="bullet"/>
      <w:lvlText w:val=""/>
      <w:lvlJc w:val="left"/>
      <w:pPr>
        <w:tabs>
          <w:tab w:val="num" w:pos="2201"/>
        </w:tabs>
        <w:ind w:left="2201" w:hanging="360"/>
      </w:pPr>
      <w:rPr>
        <w:rFonts w:ascii="Wingdings" w:hAnsi="Wingdings" w:hint="default"/>
      </w:rPr>
    </w:lvl>
    <w:lvl w:ilvl="3" w:tplc="041B0001" w:tentative="1">
      <w:start w:val="1"/>
      <w:numFmt w:val="bullet"/>
      <w:lvlText w:val=""/>
      <w:lvlJc w:val="left"/>
      <w:pPr>
        <w:tabs>
          <w:tab w:val="num" w:pos="2921"/>
        </w:tabs>
        <w:ind w:left="2921" w:hanging="360"/>
      </w:pPr>
      <w:rPr>
        <w:rFonts w:ascii="Symbol" w:hAnsi="Symbol" w:hint="default"/>
      </w:rPr>
    </w:lvl>
    <w:lvl w:ilvl="4" w:tplc="041B0003" w:tentative="1">
      <w:start w:val="1"/>
      <w:numFmt w:val="bullet"/>
      <w:lvlText w:val="o"/>
      <w:lvlJc w:val="left"/>
      <w:pPr>
        <w:tabs>
          <w:tab w:val="num" w:pos="3641"/>
        </w:tabs>
        <w:ind w:left="3641" w:hanging="360"/>
      </w:pPr>
      <w:rPr>
        <w:rFonts w:ascii="Courier New" w:hAnsi="Courier New" w:hint="default"/>
      </w:rPr>
    </w:lvl>
    <w:lvl w:ilvl="5" w:tplc="041B0005" w:tentative="1">
      <w:start w:val="1"/>
      <w:numFmt w:val="bullet"/>
      <w:lvlText w:val=""/>
      <w:lvlJc w:val="left"/>
      <w:pPr>
        <w:tabs>
          <w:tab w:val="num" w:pos="4361"/>
        </w:tabs>
        <w:ind w:left="4361" w:hanging="360"/>
      </w:pPr>
      <w:rPr>
        <w:rFonts w:ascii="Wingdings" w:hAnsi="Wingdings" w:hint="default"/>
      </w:rPr>
    </w:lvl>
    <w:lvl w:ilvl="6" w:tplc="041B0001" w:tentative="1">
      <w:start w:val="1"/>
      <w:numFmt w:val="bullet"/>
      <w:lvlText w:val=""/>
      <w:lvlJc w:val="left"/>
      <w:pPr>
        <w:tabs>
          <w:tab w:val="num" w:pos="5081"/>
        </w:tabs>
        <w:ind w:left="5081" w:hanging="360"/>
      </w:pPr>
      <w:rPr>
        <w:rFonts w:ascii="Symbol" w:hAnsi="Symbol" w:hint="default"/>
      </w:rPr>
    </w:lvl>
    <w:lvl w:ilvl="7" w:tplc="041B0003" w:tentative="1">
      <w:start w:val="1"/>
      <w:numFmt w:val="bullet"/>
      <w:lvlText w:val="o"/>
      <w:lvlJc w:val="left"/>
      <w:pPr>
        <w:tabs>
          <w:tab w:val="num" w:pos="5801"/>
        </w:tabs>
        <w:ind w:left="5801" w:hanging="360"/>
      </w:pPr>
      <w:rPr>
        <w:rFonts w:ascii="Courier New" w:hAnsi="Courier New" w:hint="default"/>
      </w:rPr>
    </w:lvl>
    <w:lvl w:ilvl="8" w:tplc="041B0005" w:tentative="1">
      <w:start w:val="1"/>
      <w:numFmt w:val="bullet"/>
      <w:lvlText w:val=""/>
      <w:lvlJc w:val="left"/>
      <w:pPr>
        <w:tabs>
          <w:tab w:val="num" w:pos="6521"/>
        </w:tabs>
        <w:ind w:left="6521" w:hanging="360"/>
      </w:pPr>
      <w:rPr>
        <w:rFonts w:ascii="Wingdings" w:hAnsi="Wingdings" w:hint="default"/>
      </w:rPr>
    </w:lvl>
  </w:abstractNum>
  <w:abstractNum w:abstractNumId="25" w15:restartNumberingAfterBreak="0">
    <w:nsid w:val="3D896F4E"/>
    <w:multiLevelType w:val="multilevel"/>
    <w:tmpl w:val="0419001F"/>
    <w:styleLink w:val="111111"/>
    <w:lvl w:ilvl="0">
      <w:start w:val="2"/>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456D3BDB"/>
    <w:multiLevelType w:val="hybridMultilevel"/>
    <w:tmpl w:val="389C21FA"/>
    <w:lvl w:ilvl="0" w:tplc="CB061F4C">
      <w:start w:val="1"/>
      <w:numFmt w:val="decimal"/>
      <w:pStyle w:val="Head2"/>
      <w:lvlText w:val="3.%1"/>
      <w:lvlJc w:val="left"/>
      <w:pPr>
        <w:tabs>
          <w:tab w:val="num" w:pos="737"/>
        </w:tabs>
        <w:ind w:left="737" w:hanging="737"/>
      </w:pPr>
      <w:rPr>
        <w:rFonts w:hint="default"/>
      </w:rPr>
    </w:lvl>
    <w:lvl w:ilvl="1" w:tplc="16CE32D4">
      <w:start w:val="1"/>
      <w:numFmt w:val="lowerLetter"/>
      <w:lvlText w:val="%2."/>
      <w:lvlJc w:val="left"/>
      <w:pPr>
        <w:tabs>
          <w:tab w:val="num" w:pos="1440"/>
        </w:tabs>
        <w:ind w:left="1440" w:hanging="360"/>
      </w:pPr>
    </w:lvl>
    <w:lvl w:ilvl="2" w:tplc="7CE6E008" w:tentative="1">
      <w:start w:val="1"/>
      <w:numFmt w:val="lowerRoman"/>
      <w:lvlText w:val="%3."/>
      <w:lvlJc w:val="right"/>
      <w:pPr>
        <w:tabs>
          <w:tab w:val="num" w:pos="2160"/>
        </w:tabs>
        <w:ind w:left="2160" w:hanging="180"/>
      </w:pPr>
    </w:lvl>
    <w:lvl w:ilvl="3" w:tplc="13203406" w:tentative="1">
      <w:start w:val="1"/>
      <w:numFmt w:val="decimal"/>
      <w:lvlText w:val="%4."/>
      <w:lvlJc w:val="left"/>
      <w:pPr>
        <w:tabs>
          <w:tab w:val="num" w:pos="2880"/>
        </w:tabs>
        <w:ind w:left="2880" w:hanging="360"/>
      </w:pPr>
    </w:lvl>
    <w:lvl w:ilvl="4" w:tplc="32463190" w:tentative="1">
      <w:start w:val="1"/>
      <w:numFmt w:val="lowerLetter"/>
      <w:lvlText w:val="%5."/>
      <w:lvlJc w:val="left"/>
      <w:pPr>
        <w:tabs>
          <w:tab w:val="num" w:pos="3600"/>
        </w:tabs>
        <w:ind w:left="3600" w:hanging="360"/>
      </w:pPr>
    </w:lvl>
    <w:lvl w:ilvl="5" w:tplc="BA32BB3C" w:tentative="1">
      <w:start w:val="1"/>
      <w:numFmt w:val="lowerRoman"/>
      <w:lvlText w:val="%6."/>
      <w:lvlJc w:val="right"/>
      <w:pPr>
        <w:tabs>
          <w:tab w:val="num" w:pos="4320"/>
        </w:tabs>
        <w:ind w:left="4320" w:hanging="180"/>
      </w:pPr>
    </w:lvl>
    <w:lvl w:ilvl="6" w:tplc="6DBADAFC" w:tentative="1">
      <w:start w:val="1"/>
      <w:numFmt w:val="decimal"/>
      <w:lvlText w:val="%7."/>
      <w:lvlJc w:val="left"/>
      <w:pPr>
        <w:tabs>
          <w:tab w:val="num" w:pos="5040"/>
        </w:tabs>
        <w:ind w:left="5040" w:hanging="360"/>
      </w:pPr>
    </w:lvl>
    <w:lvl w:ilvl="7" w:tplc="714AB618" w:tentative="1">
      <w:start w:val="1"/>
      <w:numFmt w:val="lowerLetter"/>
      <w:lvlText w:val="%8."/>
      <w:lvlJc w:val="left"/>
      <w:pPr>
        <w:tabs>
          <w:tab w:val="num" w:pos="5760"/>
        </w:tabs>
        <w:ind w:left="5760" w:hanging="360"/>
      </w:pPr>
    </w:lvl>
    <w:lvl w:ilvl="8" w:tplc="6AF238AE" w:tentative="1">
      <w:start w:val="1"/>
      <w:numFmt w:val="lowerRoman"/>
      <w:lvlText w:val="%9."/>
      <w:lvlJc w:val="right"/>
      <w:pPr>
        <w:tabs>
          <w:tab w:val="num" w:pos="6480"/>
        </w:tabs>
        <w:ind w:left="6480" w:hanging="180"/>
      </w:pPr>
    </w:lvl>
  </w:abstractNum>
  <w:abstractNum w:abstractNumId="27" w15:restartNumberingAfterBreak="0">
    <w:nsid w:val="4E37499C"/>
    <w:multiLevelType w:val="hybridMultilevel"/>
    <w:tmpl w:val="61F08898"/>
    <w:lvl w:ilvl="0" w:tplc="30AC96EE">
      <w:start w:val="1"/>
      <w:numFmt w:val="decimal"/>
      <w:pStyle w:val="Heading2"/>
      <w:lvlText w:val="3.%1."/>
      <w:lvlJc w:val="left"/>
      <w:pPr>
        <w:tabs>
          <w:tab w:val="num" w:pos="737"/>
        </w:tabs>
        <w:ind w:left="737" w:hanging="737"/>
      </w:pPr>
      <w:rPr>
        <w:rFonts w:hint="default"/>
      </w:rPr>
    </w:lvl>
    <w:lvl w:ilvl="1" w:tplc="B570FA62" w:tentative="1">
      <w:start w:val="1"/>
      <w:numFmt w:val="lowerLetter"/>
      <w:lvlText w:val="%2."/>
      <w:lvlJc w:val="left"/>
      <w:pPr>
        <w:tabs>
          <w:tab w:val="num" w:pos="1440"/>
        </w:tabs>
        <w:ind w:left="1440" w:hanging="360"/>
      </w:pPr>
    </w:lvl>
    <w:lvl w:ilvl="2" w:tplc="45C2B5D0" w:tentative="1">
      <w:start w:val="1"/>
      <w:numFmt w:val="lowerRoman"/>
      <w:lvlText w:val="%3."/>
      <w:lvlJc w:val="right"/>
      <w:pPr>
        <w:tabs>
          <w:tab w:val="num" w:pos="2160"/>
        </w:tabs>
        <w:ind w:left="2160" w:hanging="180"/>
      </w:pPr>
    </w:lvl>
    <w:lvl w:ilvl="3" w:tplc="7A20A3DC" w:tentative="1">
      <w:start w:val="1"/>
      <w:numFmt w:val="decimal"/>
      <w:lvlText w:val="%4."/>
      <w:lvlJc w:val="left"/>
      <w:pPr>
        <w:tabs>
          <w:tab w:val="num" w:pos="2880"/>
        </w:tabs>
        <w:ind w:left="2880" w:hanging="360"/>
      </w:pPr>
    </w:lvl>
    <w:lvl w:ilvl="4" w:tplc="D1C612BC" w:tentative="1">
      <w:start w:val="1"/>
      <w:numFmt w:val="lowerLetter"/>
      <w:lvlText w:val="%5."/>
      <w:lvlJc w:val="left"/>
      <w:pPr>
        <w:tabs>
          <w:tab w:val="num" w:pos="3600"/>
        </w:tabs>
        <w:ind w:left="3600" w:hanging="360"/>
      </w:pPr>
    </w:lvl>
    <w:lvl w:ilvl="5" w:tplc="F4D4348A" w:tentative="1">
      <w:start w:val="1"/>
      <w:numFmt w:val="lowerRoman"/>
      <w:lvlText w:val="%6."/>
      <w:lvlJc w:val="right"/>
      <w:pPr>
        <w:tabs>
          <w:tab w:val="num" w:pos="4320"/>
        </w:tabs>
        <w:ind w:left="4320" w:hanging="180"/>
      </w:pPr>
    </w:lvl>
    <w:lvl w:ilvl="6" w:tplc="F0B4B14A" w:tentative="1">
      <w:start w:val="1"/>
      <w:numFmt w:val="decimal"/>
      <w:lvlText w:val="%7."/>
      <w:lvlJc w:val="left"/>
      <w:pPr>
        <w:tabs>
          <w:tab w:val="num" w:pos="5040"/>
        </w:tabs>
        <w:ind w:left="5040" w:hanging="360"/>
      </w:pPr>
    </w:lvl>
    <w:lvl w:ilvl="7" w:tplc="02DAE4C6" w:tentative="1">
      <w:start w:val="1"/>
      <w:numFmt w:val="lowerLetter"/>
      <w:lvlText w:val="%8."/>
      <w:lvlJc w:val="left"/>
      <w:pPr>
        <w:tabs>
          <w:tab w:val="num" w:pos="5760"/>
        </w:tabs>
        <w:ind w:left="5760" w:hanging="360"/>
      </w:pPr>
    </w:lvl>
    <w:lvl w:ilvl="8" w:tplc="FCF86B3E" w:tentative="1">
      <w:start w:val="1"/>
      <w:numFmt w:val="lowerRoman"/>
      <w:lvlText w:val="%9."/>
      <w:lvlJc w:val="right"/>
      <w:pPr>
        <w:tabs>
          <w:tab w:val="num" w:pos="6480"/>
        </w:tabs>
        <w:ind w:left="6480" w:hanging="180"/>
      </w:pPr>
    </w:lvl>
  </w:abstractNum>
  <w:abstractNum w:abstractNumId="28" w15:restartNumberingAfterBreak="0">
    <w:nsid w:val="53E96B9B"/>
    <w:multiLevelType w:val="hybridMultilevel"/>
    <w:tmpl w:val="26B2E01E"/>
    <w:lvl w:ilvl="0" w:tplc="D18201B0">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4F8673A"/>
    <w:multiLevelType w:val="hybridMultilevel"/>
    <w:tmpl w:val="1B8AC68E"/>
    <w:lvl w:ilvl="0" w:tplc="12EC2D3E">
      <w:start w:val="1"/>
      <w:numFmt w:val="lowerRoman"/>
      <w:lvlText w:val="(%1)"/>
      <w:lvlJc w:val="left"/>
      <w:pPr>
        <w:tabs>
          <w:tab w:val="num" w:pos="1080"/>
        </w:tabs>
        <w:ind w:left="1080" w:hanging="720"/>
      </w:pPr>
      <w:rPr>
        <w:rFonts w:hint="default"/>
      </w:rPr>
    </w:lvl>
    <w:lvl w:ilvl="1" w:tplc="041B0003" w:tentative="1">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30" w15:restartNumberingAfterBreak="0">
    <w:nsid w:val="573B428F"/>
    <w:multiLevelType w:val="hybridMultilevel"/>
    <w:tmpl w:val="39CCB4C4"/>
    <w:lvl w:ilvl="0" w:tplc="F5C89F92">
      <w:start w:val="5"/>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577D10FE"/>
    <w:multiLevelType w:val="hybridMultilevel"/>
    <w:tmpl w:val="1E120166"/>
    <w:name w:val="PwCNumberListTemplate"/>
    <w:lvl w:ilvl="0" w:tplc="39668AB4">
      <w:start w:val="1"/>
      <w:numFmt w:val="decimal"/>
      <w:pStyle w:val="Style1"/>
      <w:lvlText w:val="%1"/>
      <w:lvlJc w:val="left"/>
      <w:pPr>
        <w:tabs>
          <w:tab w:val="num" w:pos="360"/>
        </w:tabs>
        <w:ind w:left="360" w:hanging="360"/>
      </w:pPr>
      <w:rPr>
        <w:rFonts w:hint="default"/>
        <w:sz w:val="20"/>
        <w:szCs w:val="20"/>
      </w:rPr>
    </w:lvl>
    <w:lvl w:ilvl="1" w:tplc="7EA60DF4" w:tentative="1">
      <w:start w:val="1"/>
      <w:numFmt w:val="lowerLetter"/>
      <w:pStyle w:val="Style1"/>
      <w:lvlText w:val="%2."/>
      <w:lvlJc w:val="left"/>
      <w:pPr>
        <w:tabs>
          <w:tab w:val="num" w:pos="1440"/>
        </w:tabs>
        <w:ind w:left="1440" w:hanging="360"/>
      </w:pPr>
    </w:lvl>
    <w:lvl w:ilvl="2" w:tplc="CC183826" w:tentative="1">
      <w:start w:val="1"/>
      <w:numFmt w:val="lowerRoman"/>
      <w:lvlText w:val="%3."/>
      <w:lvlJc w:val="right"/>
      <w:pPr>
        <w:tabs>
          <w:tab w:val="num" w:pos="2160"/>
        </w:tabs>
        <w:ind w:left="2160" w:hanging="180"/>
      </w:pPr>
    </w:lvl>
    <w:lvl w:ilvl="3" w:tplc="50DEADA0" w:tentative="1">
      <w:start w:val="1"/>
      <w:numFmt w:val="decimal"/>
      <w:lvlText w:val="%4."/>
      <w:lvlJc w:val="left"/>
      <w:pPr>
        <w:tabs>
          <w:tab w:val="num" w:pos="2880"/>
        </w:tabs>
        <w:ind w:left="2880" w:hanging="360"/>
      </w:pPr>
    </w:lvl>
    <w:lvl w:ilvl="4" w:tplc="518605E8" w:tentative="1">
      <w:start w:val="1"/>
      <w:numFmt w:val="lowerLetter"/>
      <w:lvlText w:val="%5."/>
      <w:lvlJc w:val="left"/>
      <w:pPr>
        <w:tabs>
          <w:tab w:val="num" w:pos="3600"/>
        </w:tabs>
        <w:ind w:left="3600" w:hanging="360"/>
      </w:pPr>
    </w:lvl>
    <w:lvl w:ilvl="5" w:tplc="F154C764" w:tentative="1">
      <w:start w:val="1"/>
      <w:numFmt w:val="lowerRoman"/>
      <w:lvlText w:val="%6."/>
      <w:lvlJc w:val="right"/>
      <w:pPr>
        <w:tabs>
          <w:tab w:val="num" w:pos="4320"/>
        </w:tabs>
        <w:ind w:left="4320" w:hanging="180"/>
      </w:pPr>
    </w:lvl>
    <w:lvl w:ilvl="6" w:tplc="0278F548" w:tentative="1">
      <w:start w:val="1"/>
      <w:numFmt w:val="decimal"/>
      <w:lvlText w:val="%7."/>
      <w:lvlJc w:val="left"/>
      <w:pPr>
        <w:tabs>
          <w:tab w:val="num" w:pos="5040"/>
        </w:tabs>
        <w:ind w:left="5040" w:hanging="360"/>
      </w:pPr>
    </w:lvl>
    <w:lvl w:ilvl="7" w:tplc="6E6A5A40" w:tentative="1">
      <w:start w:val="1"/>
      <w:numFmt w:val="lowerLetter"/>
      <w:lvlText w:val="%8."/>
      <w:lvlJc w:val="left"/>
      <w:pPr>
        <w:tabs>
          <w:tab w:val="num" w:pos="5760"/>
        </w:tabs>
        <w:ind w:left="5760" w:hanging="360"/>
      </w:pPr>
    </w:lvl>
    <w:lvl w:ilvl="8" w:tplc="D3BC8648" w:tentative="1">
      <w:start w:val="1"/>
      <w:numFmt w:val="lowerRoman"/>
      <w:lvlText w:val="%9."/>
      <w:lvlJc w:val="right"/>
      <w:pPr>
        <w:tabs>
          <w:tab w:val="num" w:pos="6480"/>
        </w:tabs>
        <w:ind w:left="6480" w:hanging="180"/>
      </w:pPr>
    </w:lvl>
  </w:abstractNum>
  <w:abstractNum w:abstractNumId="32" w15:restartNumberingAfterBreak="0">
    <w:nsid w:val="5960086D"/>
    <w:multiLevelType w:val="hybridMultilevel"/>
    <w:tmpl w:val="FFF61552"/>
    <w:lvl w:ilvl="0" w:tplc="F4A4F048">
      <w:start w:val="1"/>
      <w:numFmt w:val="decimal"/>
      <w:pStyle w:val="numodst"/>
      <w:lvlText w:val="(%1)"/>
      <w:lvlJc w:val="left"/>
      <w:pPr>
        <w:tabs>
          <w:tab w:val="num" w:pos="0"/>
        </w:tabs>
        <w:ind w:left="0" w:hanging="697"/>
      </w:pPr>
      <w:rPr>
        <w:rFonts w:hint="default"/>
      </w:rPr>
    </w:lvl>
    <w:lvl w:ilvl="1" w:tplc="58D2C83A"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00024EB"/>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02E7EE0"/>
    <w:multiLevelType w:val="hybridMultilevel"/>
    <w:tmpl w:val="E22A1B1A"/>
    <w:lvl w:ilvl="0" w:tplc="1DA6B218">
      <w:start w:val="1"/>
      <w:numFmt w:val="decimal"/>
      <w:pStyle w:val="Heading8"/>
      <w:lvlText w:val="%1."/>
      <w:lvlJc w:val="left"/>
      <w:pPr>
        <w:tabs>
          <w:tab w:val="num" w:pos="697"/>
        </w:tabs>
        <w:ind w:left="697" w:hanging="697"/>
      </w:pPr>
      <w:rPr>
        <w:rFonts w:hint="default"/>
      </w:rPr>
    </w:lvl>
    <w:lvl w:ilvl="1" w:tplc="C07611F0" w:tentative="1">
      <w:start w:val="1"/>
      <w:numFmt w:val="lowerLetter"/>
      <w:lvlText w:val="%2."/>
      <w:lvlJc w:val="left"/>
      <w:pPr>
        <w:tabs>
          <w:tab w:val="num" w:pos="1440"/>
        </w:tabs>
        <w:ind w:left="1440" w:hanging="360"/>
      </w:pPr>
    </w:lvl>
    <w:lvl w:ilvl="2" w:tplc="79B248D0" w:tentative="1">
      <w:start w:val="1"/>
      <w:numFmt w:val="lowerRoman"/>
      <w:lvlText w:val="%3."/>
      <w:lvlJc w:val="right"/>
      <w:pPr>
        <w:tabs>
          <w:tab w:val="num" w:pos="2160"/>
        </w:tabs>
        <w:ind w:left="2160" w:hanging="180"/>
      </w:pPr>
    </w:lvl>
    <w:lvl w:ilvl="3" w:tplc="D20CB2AA" w:tentative="1">
      <w:start w:val="1"/>
      <w:numFmt w:val="decimal"/>
      <w:lvlText w:val="%4."/>
      <w:lvlJc w:val="left"/>
      <w:pPr>
        <w:tabs>
          <w:tab w:val="num" w:pos="2880"/>
        </w:tabs>
        <w:ind w:left="2880" w:hanging="360"/>
      </w:pPr>
    </w:lvl>
    <w:lvl w:ilvl="4" w:tplc="ADA2C99A" w:tentative="1">
      <w:start w:val="1"/>
      <w:numFmt w:val="lowerLetter"/>
      <w:lvlText w:val="%5."/>
      <w:lvlJc w:val="left"/>
      <w:pPr>
        <w:tabs>
          <w:tab w:val="num" w:pos="3600"/>
        </w:tabs>
        <w:ind w:left="3600" w:hanging="360"/>
      </w:pPr>
    </w:lvl>
    <w:lvl w:ilvl="5" w:tplc="9EB62830" w:tentative="1">
      <w:start w:val="1"/>
      <w:numFmt w:val="lowerRoman"/>
      <w:lvlText w:val="%6."/>
      <w:lvlJc w:val="right"/>
      <w:pPr>
        <w:tabs>
          <w:tab w:val="num" w:pos="4320"/>
        </w:tabs>
        <w:ind w:left="4320" w:hanging="180"/>
      </w:pPr>
    </w:lvl>
    <w:lvl w:ilvl="6" w:tplc="24726BAE" w:tentative="1">
      <w:start w:val="1"/>
      <w:numFmt w:val="decimal"/>
      <w:lvlText w:val="%7."/>
      <w:lvlJc w:val="left"/>
      <w:pPr>
        <w:tabs>
          <w:tab w:val="num" w:pos="5040"/>
        </w:tabs>
        <w:ind w:left="5040" w:hanging="360"/>
      </w:pPr>
    </w:lvl>
    <w:lvl w:ilvl="7" w:tplc="8A0A0124" w:tentative="1">
      <w:start w:val="1"/>
      <w:numFmt w:val="lowerLetter"/>
      <w:lvlText w:val="%8."/>
      <w:lvlJc w:val="left"/>
      <w:pPr>
        <w:tabs>
          <w:tab w:val="num" w:pos="5760"/>
        </w:tabs>
        <w:ind w:left="5760" w:hanging="360"/>
      </w:pPr>
    </w:lvl>
    <w:lvl w:ilvl="8" w:tplc="11926BC2" w:tentative="1">
      <w:start w:val="1"/>
      <w:numFmt w:val="lowerRoman"/>
      <w:lvlText w:val="%9."/>
      <w:lvlJc w:val="right"/>
      <w:pPr>
        <w:tabs>
          <w:tab w:val="num" w:pos="6480"/>
        </w:tabs>
        <w:ind w:left="6480" w:hanging="180"/>
      </w:pPr>
    </w:lvl>
  </w:abstractNum>
  <w:abstractNum w:abstractNumId="35" w15:restartNumberingAfterBreak="0">
    <w:nsid w:val="687940AB"/>
    <w:multiLevelType w:val="hybridMultilevel"/>
    <w:tmpl w:val="67885438"/>
    <w:lvl w:ilvl="0" w:tplc="A1FE026A">
      <w:start w:val="1"/>
      <w:numFmt w:val="decimal"/>
      <w:pStyle w:val="91"/>
      <w:lvlText w:val="9.%1"/>
      <w:lvlJc w:val="left"/>
      <w:pPr>
        <w:tabs>
          <w:tab w:val="num" w:pos="567"/>
        </w:tabs>
        <w:ind w:left="567" w:hanging="567"/>
      </w:pPr>
      <w:rPr>
        <w:rFonts w:hint="default"/>
      </w:rPr>
    </w:lvl>
    <w:lvl w:ilvl="1" w:tplc="041B0003" w:tentative="1">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36" w15:restartNumberingAfterBreak="0">
    <w:nsid w:val="711347EC"/>
    <w:multiLevelType w:val="multilevel"/>
    <w:tmpl w:val="CA361C7A"/>
    <w:lvl w:ilvl="0">
      <w:start w:val="25"/>
      <w:numFmt w:val="decimal"/>
      <w:lvlText w:val="%1"/>
      <w:lvlJc w:val="left"/>
      <w:pPr>
        <w:tabs>
          <w:tab w:val="num" w:pos="1069"/>
        </w:tabs>
        <w:ind w:left="1069" w:hanging="360"/>
      </w:pPr>
      <w:rPr>
        <w:rFonts w:ascii="Arial" w:hAnsi="Arial" w:cs="Arial" w:hint="default"/>
        <w:b/>
        <w:sz w:val="20"/>
        <w:szCs w:val="20"/>
      </w:rPr>
    </w:lvl>
    <w:lvl w:ilvl="1">
      <w:start w:val="1"/>
      <w:numFmt w:val="decimal"/>
      <w:pStyle w:val="Nadpis1"/>
      <w:isLgl/>
      <w:lvlText w:val="%1.%2"/>
      <w:lvlJc w:val="left"/>
      <w:pPr>
        <w:ind w:left="644"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15:restartNumberingAfterBreak="0">
    <w:nsid w:val="754C37C8"/>
    <w:multiLevelType w:val="singleLevel"/>
    <w:tmpl w:val="AA4A80A4"/>
    <w:lvl w:ilvl="0">
      <w:start w:val="1"/>
      <w:numFmt w:val="decimal"/>
      <w:pStyle w:val="ABCNotes"/>
      <w:lvlText w:val="%1"/>
      <w:lvlJc w:val="left"/>
      <w:pPr>
        <w:tabs>
          <w:tab w:val="num" w:pos="360"/>
        </w:tabs>
        <w:ind w:left="360" w:hanging="360"/>
      </w:pPr>
    </w:lvl>
  </w:abstractNum>
  <w:abstractNum w:abstractNumId="38" w15:restartNumberingAfterBreak="0">
    <w:nsid w:val="760326C7"/>
    <w:multiLevelType w:val="hybridMultilevel"/>
    <w:tmpl w:val="A3C42076"/>
    <w:lvl w:ilvl="0" w:tplc="4968882E">
      <w:start w:val="1"/>
      <w:numFmt w:val="decimal"/>
      <w:pStyle w:val="1Heading"/>
      <w:lvlText w:val="%1"/>
      <w:lvlJc w:val="left"/>
      <w:pPr>
        <w:tabs>
          <w:tab w:val="num" w:pos="567"/>
        </w:tabs>
        <w:ind w:left="567" w:hanging="567"/>
      </w:pPr>
      <w:rPr>
        <w:rFonts w:hint="default"/>
      </w:rPr>
    </w:lvl>
    <w:lvl w:ilvl="1" w:tplc="AEF6B4DA" w:tentative="1">
      <w:start w:val="1"/>
      <w:numFmt w:val="lowerLetter"/>
      <w:lvlText w:val="%2."/>
      <w:lvlJc w:val="left"/>
      <w:pPr>
        <w:tabs>
          <w:tab w:val="num" w:pos="1440"/>
        </w:tabs>
        <w:ind w:left="1440" w:hanging="360"/>
      </w:pPr>
    </w:lvl>
    <w:lvl w:ilvl="2" w:tplc="9980493C" w:tentative="1">
      <w:start w:val="1"/>
      <w:numFmt w:val="lowerRoman"/>
      <w:lvlText w:val="%3."/>
      <w:lvlJc w:val="right"/>
      <w:pPr>
        <w:tabs>
          <w:tab w:val="num" w:pos="2160"/>
        </w:tabs>
        <w:ind w:left="2160" w:hanging="180"/>
      </w:pPr>
    </w:lvl>
    <w:lvl w:ilvl="3" w:tplc="CF72C45A" w:tentative="1">
      <w:start w:val="1"/>
      <w:numFmt w:val="decimal"/>
      <w:lvlText w:val="%4."/>
      <w:lvlJc w:val="left"/>
      <w:pPr>
        <w:tabs>
          <w:tab w:val="num" w:pos="2880"/>
        </w:tabs>
        <w:ind w:left="2880" w:hanging="360"/>
      </w:pPr>
    </w:lvl>
    <w:lvl w:ilvl="4" w:tplc="25A8DFC2" w:tentative="1">
      <w:start w:val="1"/>
      <w:numFmt w:val="lowerLetter"/>
      <w:lvlText w:val="%5."/>
      <w:lvlJc w:val="left"/>
      <w:pPr>
        <w:tabs>
          <w:tab w:val="num" w:pos="3600"/>
        </w:tabs>
        <w:ind w:left="3600" w:hanging="360"/>
      </w:pPr>
    </w:lvl>
    <w:lvl w:ilvl="5" w:tplc="D1486F9A" w:tentative="1">
      <w:start w:val="1"/>
      <w:numFmt w:val="lowerRoman"/>
      <w:lvlText w:val="%6."/>
      <w:lvlJc w:val="right"/>
      <w:pPr>
        <w:tabs>
          <w:tab w:val="num" w:pos="4320"/>
        </w:tabs>
        <w:ind w:left="4320" w:hanging="180"/>
      </w:pPr>
    </w:lvl>
    <w:lvl w:ilvl="6" w:tplc="C32E51A4" w:tentative="1">
      <w:start w:val="1"/>
      <w:numFmt w:val="decimal"/>
      <w:lvlText w:val="%7."/>
      <w:lvlJc w:val="left"/>
      <w:pPr>
        <w:tabs>
          <w:tab w:val="num" w:pos="5040"/>
        </w:tabs>
        <w:ind w:left="5040" w:hanging="360"/>
      </w:pPr>
    </w:lvl>
    <w:lvl w:ilvl="7" w:tplc="5CF6A176" w:tentative="1">
      <w:start w:val="1"/>
      <w:numFmt w:val="lowerLetter"/>
      <w:lvlText w:val="%8."/>
      <w:lvlJc w:val="left"/>
      <w:pPr>
        <w:tabs>
          <w:tab w:val="num" w:pos="5760"/>
        </w:tabs>
        <w:ind w:left="5760" w:hanging="360"/>
      </w:pPr>
    </w:lvl>
    <w:lvl w:ilvl="8" w:tplc="A2E0E274" w:tentative="1">
      <w:start w:val="1"/>
      <w:numFmt w:val="lowerRoman"/>
      <w:lvlText w:val="%9."/>
      <w:lvlJc w:val="right"/>
      <w:pPr>
        <w:tabs>
          <w:tab w:val="num" w:pos="6480"/>
        </w:tabs>
        <w:ind w:left="6480" w:hanging="180"/>
      </w:pPr>
    </w:lvl>
  </w:abstractNum>
  <w:abstractNum w:abstractNumId="39" w15:restartNumberingAfterBreak="0">
    <w:nsid w:val="777D4E79"/>
    <w:multiLevelType w:val="multilevel"/>
    <w:tmpl w:val="FE905D3C"/>
    <w:styleLink w:val="Style2"/>
    <w:lvl w:ilvl="0">
      <w:start w:val="2"/>
      <w:numFmt w:val="decimal"/>
      <w:lvlText w:val="%1.1"/>
      <w:lvlJc w:val="left"/>
      <w:pPr>
        <w:tabs>
          <w:tab w:val="num" w:pos="360"/>
        </w:tabs>
        <w:ind w:left="360" w:hanging="360"/>
      </w:pPr>
      <w:rPr>
        <w:rFonts w:hint="default"/>
        <w:sz w:val="18"/>
        <w:szCs w:val="18"/>
      </w:rPr>
    </w:lvl>
    <w:lvl w:ilvl="1">
      <w:start w:val="1"/>
      <w:numFmt w:val="decimal"/>
      <w:lvlText w:val="%2"/>
      <w:lvlJc w:val="left"/>
      <w:pPr>
        <w:tabs>
          <w:tab w:val="num" w:pos="1440"/>
        </w:tabs>
        <w:ind w:left="1440" w:hanging="360"/>
      </w:pPr>
      <w:rPr>
        <w:rFonts w:hint="default"/>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23"/>
  </w:num>
  <w:num w:numId="15">
    <w:abstractNumId w:val="32"/>
  </w:num>
  <w:num w:numId="16">
    <w:abstractNumId w:val="21"/>
  </w:num>
  <w:num w:numId="17">
    <w:abstractNumId w:val="18"/>
  </w:num>
  <w:num w:numId="18">
    <w:abstractNumId w:val="16"/>
  </w:num>
  <w:num w:numId="19">
    <w:abstractNumId w:val="25"/>
  </w:num>
  <w:num w:numId="20">
    <w:abstractNumId w:val="33"/>
  </w:num>
  <w:num w:numId="21">
    <w:abstractNumId w:val="37"/>
  </w:num>
  <w:num w:numId="22">
    <w:abstractNumId w:val="31"/>
  </w:num>
  <w:num w:numId="23">
    <w:abstractNumId w:val="35"/>
  </w:num>
  <w:num w:numId="24">
    <w:abstractNumId w:val="15"/>
  </w:num>
  <w:num w:numId="25">
    <w:abstractNumId w:val="39"/>
  </w:num>
  <w:num w:numId="26">
    <w:abstractNumId w:val="26"/>
  </w:num>
  <w:num w:numId="27">
    <w:abstractNumId w:val="27"/>
  </w:num>
  <w:num w:numId="28">
    <w:abstractNumId w:val="24"/>
  </w:num>
  <w:num w:numId="29">
    <w:abstractNumId w:val="29"/>
  </w:num>
  <w:num w:numId="30">
    <w:abstractNumId w:val="19"/>
  </w:num>
  <w:num w:numId="31">
    <w:abstractNumId w:val="17"/>
  </w:num>
  <w:num w:numId="32">
    <w:abstractNumId w:val="38"/>
  </w:num>
  <w:num w:numId="33">
    <w:abstractNumId w:val="11"/>
  </w:num>
  <w:num w:numId="34">
    <w:abstractNumId w:val="36"/>
  </w:num>
  <w:num w:numId="35">
    <w:abstractNumId w:val="10"/>
  </w:num>
  <w:num w:numId="36">
    <w:abstractNumId w:val="20"/>
  </w:num>
  <w:num w:numId="37">
    <w:abstractNumId w:val="36"/>
    <w:lvlOverride w:ilvl="0">
      <w:startOverride w:val="1"/>
    </w:lvlOverride>
  </w:num>
  <w:num w:numId="38">
    <w:abstractNumId w:val="22"/>
  </w:num>
  <w:num w:numId="39">
    <w:abstractNumId w:val="30"/>
  </w:num>
  <w:num w:numId="40">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cs-C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WC_00b98382_42dc_4c31_abc5_6a1f7f5de612" w:val=" 670    "/>
    <w:docVar w:name="FWC_02c1cd3f_2883_45cc_aa72_b7d132f6d03d" w:val=" "/>
    <w:docVar w:name="FWC_07c9734e_a5bf_4200_b55e_a4957c857d12" w:val=" "/>
    <w:docVar w:name="FWC_0834a919_bfd2_4a27_a7a1_74c4c482f03f" w:val=" "/>
    <w:docVar w:name="FWC_0e6deb90_5ba2_4502_bc6d_4c372aa6c7db" w:val=" "/>
    <w:docVar w:name="FWC_106ae317_30dd_49ce_9941_7450641831b0" w:val=" "/>
    <w:docVar w:name="FWC_10c05cfb_cc18_43e2_b046_8e8dbee9e6ac" w:val=" "/>
    <w:docVar w:name="FWC_11c29a33_11f4_4a23_9fdb_9a258419846e" w:val=" "/>
    <w:docVar w:name="FWC_11d4b0cd_1721_404a_90a1_c7b16c7ca515" w:val=" "/>
    <w:docVar w:name="FWC_178a2da3_816d_423b_bf07_5cea6e49cf62" w:val=" "/>
    <w:docVar w:name="FWC_1b2ec0f0_7aed_4087_a46c_eb25f051d43c" w:val=" "/>
    <w:docVar w:name="FWC_1d07d3b7_98be_4ae4_b911_f39963566284" w:val="Stav k 31-12-2015"/>
    <w:docVar w:name="FWC_1dcf4588_bf46_4d8f_b9c2_f32474441bcb" w:val=" "/>
    <w:docVar w:name="FWC_210ba962_2b7b_4933_b789_15d352857c59" w:val=" "/>
    <w:docVar w:name="FWC_21c7ba85_75fb_4294_b5ec_c9e3341e9a00" w:val=" "/>
    <w:docVar w:name="FWC_27504057_e463_4f1c_be17_6269e75f8ed2" w:val=" "/>
    <w:docVar w:name="FWC_294405bf_376b_43b0_b6ce_69c1f5a165e0" w:val="-13    "/>
    <w:docVar w:name="FWC_2cb82e3e_a87d_427c_9ebb_2d25d84bb079" w:val="-24    "/>
    <w:docVar w:name="FWC_31f411d8_40e5_4754_9403_022fe065feff" w:val=" "/>
    <w:docVar w:name="FWC_3266bbee_e019_4887_ae85_8d679a2a01be" w:val=" "/>
    <w:docVar w:name="FWC_3377c8c8_1bf1_48c0_ac0f_6aa22b40b337" w:val=" 1 565    "/>
    <w:docVar w:name="FWC_352824cd_6746_4f15_832c_7919a6a65639" w:val=" "/>
    <w:docVar w:name="FWC_3a4299d3_6b14_4a49_a1df_3adc06c04615" w:val=" "/>
    <w:docVar w:name="FWC_40f0bcd2_4dd8_48b3_a794_791bc79f05f4" w:val=" "/>
    <w:docVar w:name="FWC_42d8b595_6f9e_4fa7_b7e5_0fe1f0c88e58" w:val=" "/>
    <w:docVar w:name="FWC_460626ce_8a4a_42d9_a97b_f9dfcebe5c4c" w:val="Mínus budúce finančné náklady z finančného prenájmu"/>
    <w:docVar w:name="FWC_46765ea7_19ed_4855_8875_35e74415369d" w:val=" "/>
    <w:docVar w:name="FWC_46e9b61a_f55b_4c0a_87a9_76a8a6363cb4" w:val=" -      "/>
    <w:docVar w:name="FWC_4b60dbfe_f999_4095_aff3_a4168e9551e8" w:val=" "/>
    <w:docVar w:name="FWC_4e4e1242_60cb_4a88_8d30_8574dd391bff" w:val=" "/>
    <w:docVar w:name="FWC_4f019f33_d22a_4b09_abbc_7db73612b795" w:val=" "/>
    <w:docVar w:name="FWC_518cd04a_de9f_45b4_8d04_0b8e28a75dc5" w:val=" -      "/>
    <w:docVar w:name="FWC_552e0d41_3c0f_436e_a47b_b8d6acec4508" w:val=" "/>
    <w:docVar w:name="FWC_59b301f3_398b_4396_9cdc_0c8de97748ca" w:val=" "/>
    <w:docVar w:name="FWC_5ba75837_46c6_4f1d_a951_52bb626c4cb7" w:val="Súčasná hodnota záväzkov z finančného prenájmu"/>
    <w:docVar w:name="FWC_5bf630c3_435e_42fe_95c4_87fd01b0125b" w:val=" "/>
    <w:docVar w:name="FWC_5d57b6fc_6cc7_4d6c_9b4f_924893842d51" w:val="-43    "/>
    <w:docVar w:name="FWC_5ec04ca5_870e_4432_935e_39e2c4f1e9d5" w:val=" 1 až 5 rokov "/>
    <w:docVar w:name="FWC_61477f0c_6f12_4ec9_8dc9_e7aa5bea56e4" w:val=" 707    "/>
    <w:docVar w:name="FWC_634a0b4f_2aee_4f54_acb4_039b65a25eb7" w:val=" "/>
    <w:docVar w:name="FWC_64eb804d_96ee_4cf7_b000_734fcdc4c277" w:val=" "/>
    <w:docVar w:name="FWC_69fca3c8_e991_4a24_a5ea_fc47a840252d" w:val=" "/>
    <w:docVar w:name="FWC_6ab44af0_5256_4472_b371_3ede34fe3668" w:val="Súčasná hodnota záväzkov z finančného prenájmu"/>
    <w:docVar w:name="FWC_6abf7316_237a_4c6a_847d_34a1dbceeba1" w:val="-30    "/>
    <w:docVar w:name="FWC_6b02b18e_943a_42ca_ae59_5dd8af506b00" w:val=" "/>
    <w:docVar w:name="FWC_6eee9304_f8ff_44ed_a8aa_06cda597ca26" w:val=" "/>
    <w:docVar w:name="FWC_74ad5a9a_0856_4c66_ba6e_8f52ae4a0109" w:val=" "/>
    <w:docVar w:name="FWC_750fdef0_3a28_4750_8d75_370f33f56fe8" w:val=" 500    "/>
    <w:docVar w:name="FWC_7c546deb_38a3_43e7_86dd_c0c5d89c0e7f" w:val=" "/>
    <w:docVar w:name="FWC_8011a653_2940_493b_bd1f_1a46f33be84b" w:val="Mínus budúce finančné náklady z finančného prenájmu"/>
    <w:docVar w:name="FWC_814515cc_9636_488b_a1da_30912762ee47" w:val="-25    "/>
    <w:docVar w:name="FWC_8358a239_f11c_4586_838d_53d4b0db74e4" w:val="Stav k 31-12-2016"/>
    <w:docVar w:name="FWC_843a51ab_063b_4f37_8339_e6c8fd279333" w:val=" "/>
    <w:docVar w:name="FWC_856db5b0_b113_4683_9ad9_6af15dce824c" w:val=" 657    "/>
    <w:docVar w:name="FWC_859d1338_b1fe_4224_9064_ebb7c6f194b4" w:val=" "/>
    <w:docVar w:name="FWC_87eeb09c_39b2_4834_9cb0_f246daf44d6f" w:val=" 858    "/>
    <w:docVar w:name="FWC_8a3b990c_4d2d_4783_bfb0_78a66088fa26" w:val=" 1 516    "/>
    <w:docVar w:name="FWC_9a4a54a7_a1b4_49ed_b91e_5e90dd2e36e4" w:val=" 1 200    "/>
    <w:docVar w:name="FWC_9c5faed6_05e6_495a_8f4e_3ae69f618bce" w:val=" 1 157    "/>
    <w:docVar w:name="FWC_a2d7c363_1639_4b67_82c9_b5ee2b2b6738" w:val=" "/>
    <w:docVar w:name="FWC_a58950a7_3fde_40a4_9e86_c4082c140552" w:val=" "/>
    <w:docVar w:name="FWC_a5f67b28_e0e0_4f9f_aa49_701733c97764" w:val=" "/>
    <w:docVar w:name="FWC_a75d95d3_c997_4066_8c7f_419f29a4b937" w:val=" "/>
    <w:docVar w:name="FWC_a99cde4f_d126_42f6_b832_b5d139a9b4cb" w:val=" 682    "/>
    <w:docVar w:name="FWC_ab4b7bbe_dfea_478c_96a6_5aaaf3bc15a7" w:val=" "/>
    <w:docVar w:name="FWC_b018d9ec_5b25_41fb_8add_7376640b68f9" w:val=" Viac ako 5 rokov "/>
    <w:docVar w:name="FWC_b38b0c2b_b6d0_4c4e_8b4c_064f9489e432" w:val=" "/>
    <w:docVar w:name="FWC_b431591f_3fce_4cc6_8e60_6a9228afb49a" w:val=" "/>
    <w:docVar w:name="FWC_b461df31_0883_4d49_966f_e3354cadbc00" w:val=" "/>
    <w:docVar w:name="FWC_b95b04e8_f618_4f2e_8522_43d49337928c" w:val=" "/>
    <w:docVar w:name="FWC_be0c9897_47b9_4ed3_be2c_0e898db4bfe8" w:val=" "/>
    <w:docVar w:name="FWC_bf17f8ea_e352_4df2_8207_99a7377aaf5e" w:val=" "/>
    <w:docVar w:name="FWC_c0c1af68_29f2_45d2_bfd4_4f963efe2720" w:val=" "/>
    <w:docVar w:name="FWC_c6086348_2ff1_4d85_a11a_358f520cb7c9" w:val=" -      "/>
    <w:docVar w:name="FWC_c6ebe23b_20ff_458a_bd55_92dc20649f44" w:val="-49    "/>
    <w:docVar w:name="FWC_c77dc538_a14e_417a_8c62_7e7a06eafb6d" w:val=" -      "/>
    <w:docVar w:name="FWC_c87981ec_7539_418a_8172_17938b374bbe" w:val=" "/>
    <w:docVar w:name="FWC_cf0cd175_a094_40b6_b995_0b196a071e8b" w:val=" "/>
    <w:docVar w:name="FWC_cf8efaf2_0263_4f18_8e89_11d6492805e4" w:val=" -      "/>
    <w:docVar w:name="FWC_d1a9a015_8cbd_4993_8f74_5fb732292bd3" w:val=" Spolu "/>
    <w:docVar w:name="FWC_d36a9978_1bfd_4ef2_9bcb_18153f531bfb" w:val=" "/>
    <w:docVar w:name="FWC_d8e5d9f2_3cbd_4429_88de_81459dd7fcb0" w:val=" 530    "/>
    <w:docVar w:name="FWC_da2e23c3_946a_4c94_b3e3_cb79a8282f02" w:val="Minimálne leasingové splátky (Pozn. 3.1.v) "/>
    <w:docVar w:name="FWC_db0ddf59_02b9_45e0_a884_2890ae89c40e" w:val=" "/>
    <w:docVar w:name="FWC_df2a70f7_0bd0_4f57_a496_7ec045fba943" w:val=" Do 1 roka "/>
    <w:docVar w:name="FWC_e1f76e3e_f478_4b95_ba07_32a0e3162f38" w:val=" "/>
    <w:docVar w:name="FWC_e653637f_6d05_4d7a_b6cc_a8aae0759c5f" w:val=" "/>
    <w:docVar w:name="FWC_e9bc4198_9998_49c0_a117_efe523e95460" w:val=" "/>
    <w:docVar w:name="FWC_e9cf3db3_7bc5_438a_91d7_34cd63b0eaec" w:val=" 834    "/>
    <w:docVar w:name="FWC_ec13e771_66c6_4a65_bdcc_26b8269746fa" w:val=" "/>
    <w:docVar w:name="FWC_ed8e84ae_626f_48e2_99b4_080a86147277" w:val=" "/>
    <w:docVar w:name="FWC_efc5789d_ec69_4075_bdcd_db059c9e391c" w:val=" "/>
    <w:docVar w:name="FWC_f0d95450_d907_41da_8a21_a3f122220866" w:val=" "/>
    <w:docVar w:name="FWC_f35ee1f9_56e0_4517_994e_989b7b71bd84" w:val=" "/>
    <w:docVar w:name="FWC_f9943b06_ad5d_49ab_9153_fe4961c4f92b" w:val="Minimálne leasingové splátky (Pozn. 3.1.v) "/>
    <w:docVar w:name="FWC_faf6089f_f934_4cd8_b1f4_9c9ed13cefaa" w:val=" "/>
    <w:docVar w:name="FWC_fb2dc41a_a04c_46ec_a58a_4ae486dfe16f" w:val=" "/>
    <w:docVar w:name="FWC_fcf55bb9_f82e_4f99_b38d_7afc17080ca3" w:val=" -      "/>
    <w:docVar w:name="myReportingTablesConfiguration" w:val="&lt;?xml version=&quot;1.0&quot; encoding=&quot;utf-8&quot;?&gt;_x000d__x000a_&lt;ArrayOfTableFormatConfiguration xmlns:xsd=&quot;http://www.w3.org/2001/XMLSchema&quot; xmlns:xsi=&quot;http://www.w3.org/2001/XMLSchema-instance&quot;&gt;_x000d__x000a_  &lt;TableFormatConfiguration&gt;_x000d__x000a_    &lt;TableName&gt;FWT_BS&lt;/TableName&gt;_x000d__x000a_    &lt;Configuration&gt;_x000d__x000a_      &lt;PasteType&gt;PasteAndFormat&lt;/PasteType&gt;_x000d__x000a_      &lt;Formating&gt;OriginalFormating&lt;/Formating&gt;_x000d__x000a_      &lt;AutoFitBehaviour&gt;FitToContent&lt;/AutoFitBehaviour&gt;_x000d__x000a_      &lt;ExcelTableConfiguration&gt;Word&lt;/ExcelTableConfiguration&gt;_x000d__x000a_      &lt;SpecialConfiguration&gt;Picture&lt;/SpecialConfiguration&gt;_x000d__x000a_    &lt;/Configuration&gt;_x000d__x000a_  &lt;/TableFormatConfiguration&gt;_x000d__x000a_  &lt;TableFormatConfiguration&gt;_x000d__x000a_    &lt;TableName&gt;FWT_PL&lt;/TableName&gt;_x000d__x000a_    &lt;Configuration&gt;_x000d__x000a_      &lt;PasteType&gt;PasteAndFormat&lt;/PasteType&gt;_x000d__x000a_      &lt;Formating&gt;OriginalFormating&lt;/Formating&gt;_x000d__x000a_      &lt;AutoFitBehaviour&gt;FitToContent&lt;/AutoFitBehaviour&gt;_x000d__x000a_      &lt;ExcelTableConfiguration&gt;Word&lt;/ExcelTableConfiguration&gt;_x000d__x000a_      &lt;SpecialConfiguration&gt;Picture&lt;/SpecialConfiguration&gt;_x000d__x000a_    &lt;/Configuration&gt;_x000d__x000a_  &lt;/TableFormatConfiguration&gt;_x000d__x000a_  &lt;TableFormatConfiguration&gt;_x000d__x000a_    &lt;TableName&gt;FWT_AnalysisOfFinAssCY&lt;/TableName&gt;_x000d__x000a_    &lt;Configuration&gt;_x000d__x000a_      &lt;PasteType&gt;PasteAndFormat&lt;/PasteType&gt;_x000d__x000a_      &lt;Formating&gt;OriginalFormating&lt;/Formating&gt;_x000d__x000a_      &lt;AutoFitBehaviour&gt;FitToContent&lt;/AutoFitBehaviour&gt;_x000d__x000a_      &lt;ExcelTableConfiguration&gt;Word&lt;/ExcelTableConfiguration&gt;_x000d__x000a_      &lt;SpecialConfiguration&gt;Picture&lt;/SpecialConfiguration&gt;_x000d__x000a_    &lt;/Configuration&gt;_x000d__x000a_  &lt;/TableFormatConfiguration&gt;_x000d__x000a_  &lt;TableFormatConfiguration&gt;_x000d__x000a_    &lt;TableName&gt;FWT_AnalysisOfFinAssPY&lt;/TableName&gt;_x000d__x000a_    &lt;Configuration&gt;_x000d__x000a_      &lt;PasteType&gt;PasteAndFormat&lt;/PasteType&gt;_x000d__x000a_      &lt;Formating&gt;OriginalFormating&lt;/Formating&gt;_x000d__x000a_      &lt;AutoFitBehaviour&gt;FitToContent&lt;/AutoFitBehaviour&gt;_x000d__x000a_      &lt;ExcelTableConfiguration&gt;Word&lt;/ExcelTableConfiguration&gt;_x000d__x000a_      &lt;SpecialConfiguration&gt;Picture&lt;/SpecialConfiguration&gt;_x000d__x000a_    &lt;/Configuration&gt;_x000d__x000a_  &lt;/TableFormatConfiguration&gt;_x000d__x000a_&lt;/ArrayOfTableFormatConfiguration&gt;"/>
    <w:docVar w:name="PwC_ExcelHistory" w:val="&lt;?xml version=&quot;1.0&quot; encoding=&quot;utf-8&quot;?&gt;_x000d__x000a_&lt;ArrayOfHistoryRecord xmlns:xsd=&quot;http://www.w3.org/2001/XMLSchema&quot; xmlns:xsi=&quot;http://www.w3.org/2001/XMLSchema-instance&quot;&gt;_x000d__x000a_  &lt;HistoryRecord&gt;_x000d__x000a_    &lt;Name&gt;eConso_MSR_v4&lt;/Name&gt;_x000d__x000a_    &lt;FullPath&gt;C:\Users\pjachowicz002\Documents\Jobs\150209Matador\150209Matador - dane od Leszka\Praca\150312\eConso_MSR_v4.xlsm&lt;/FullPath&gt;_x000d__x000a_    &lt;LastOpenDate&gt;2015-03-16T00:18:11.6278978+01:00&lt;/LastOpenDate&gt;_x000d__x000a_    &lt;ID&gt;0&lt;/ID&gt;_x000d__x000a_  &lt;/HistoryRecord&gt;_x000d__x000a_  &lt;HistoryRecord&gt;_x000d__x000a_    &lt;Name&gt;eConso_MSR_v4&lt;/Name&gt;_x000d__x000a_    &lt;FullPath&gt;C:\Users\pjachowicz002\Documents\Jobs\150209Matador\150209Matador - dane od Leszka\Praca\150315\eConso_MSR_v4.xlsm&lt;/FullPath&gt;_x000d__x000a_    &lt;LastOpenDate&gt;2015-03-16T15:00:28.3792283+01:00&lt;/LastOpenDate&gt;_x000d__x000a_    &lt;ID&gt;1&lt;/ID&gt;_x000d__x000a_  &lt;/HistoryRecord&gt;_x000d__x000a_  &lt;HistoryRecord&gt;_x000d__x000a_    &lt;Name&gt;eConso_MSR_v4&lt;/Name&gt;_x000d__x000a_    &lt;FullPath&gt;C:\Users\pjachowicz002\Documents\Jobs\150209Matador\150209Matador - dane od Leszka\Praca\150317\eConso_MSR_v4.xlsm&lt;/FullPath&gt;_x000d__x000a_    &lt;LastOpenDate&gt;2015-03-19T11:33:16.153423+01:00&lt;/LastOpenDate&gt;_x000d__x000a_    &lt;ID&gt;2&lt;/ID&gt;_x000d__x000a_  &lt;/HistoryRecord&gt;_x000d__x000a_  &lt;HistoryRecord&gt;_x000d__x000a_    &lt;Name&gt;eConso&lt;/Name&gt;_x000d__x000a_    &lt;FullPath&gt;C:\Users\pjachowicz002\Documents\Jobs\150209Matador\150209Matador - dane od Leszka\Praca\150401\eConso.xlsm&lt;/FullPath&gt;_x000d__x000a_    &lt;LastOpenDate&gt;2015-04-02T14:45:41.4668916+02:00&lt;/LastOpenDate&gt;_x000d__x000a_    &lt;ID&gt;3&lt;/ID&gt;_x000d__x000a_  &lt;/HistoryRecord&gt;_x000d__x000a_  &lt;HistoryRecord&gt;_x000d__x000a_    &lt;Name&gt;eConso 13062015_merged&lt;/Name&gt;_x000d__x000a_    &lt;FullPath&gt;C:\Users\jgresko001\Documents\clients\Matador\MH Consolidation\eConso\myRep transfer\eConso 13062015_merged.xlsm&lt;/FullPath&gt;_x000d__x000a_    &lt;LastOpenDate&gt;2015-06-13T23:59:08.0112922+02:00&lt;/LastOpenDate&gt;_x000d__x000a_    &lt;ID&gt;4&lt;/ID&gt;_x000d__x000a_  &lt;/HistoryRecord&gt;_x000d__x000a_  &lt;HistoryRecord&gt;_x000d__x000a_    &lt;Name&gt;eConso 10062016 fin 1&lt;/Name&gt;_x000d__x000a_    &lt;FullPath&gt;D:\Darina\konsol\konsol15\eConso Packages\eConso 10062016 fin 1.xlsm&lt;/FullPath&gt;_x000d__x000a_    &lt;LastOpenDate&gt;2016-06-15T12:30:32.6120503+02:00&lt;/LastOpenDate&gt;_x000d__x000a_    &lt;ID&gt;5&lt;/ID&gt;_x000d__x000a_  &lt;/HistoryRecord&gt;_x000d__x000a_  &lt;HistoryRecord&gt;_x000d__x000a_    &lt;Name&gt;eConso 09062017 myreport&lt;/Name&gt;_x000d__x000a_    &lt;FullPath&gt;C:\DATAzD\Darina\konsol\konsol16\eConso Packages\eConso 09062017 myreport.xlsm&lt;/FullPath&gt;_x000d__x000a_    &lt;LastOpenDate&gt;2017-06-12T11:33:37.989027+02:00&lt;/LastOpenDate&gt;_x000d__x000a_    &lt;ID&gt;6&lt;/ID&gt;_x000d__x000a_  &lt;/HistoryRecord&gt;_x000d__x000a_  &lt;HistoryRecord&gt;_x000d__x000a_    &lt;Name&gt;eConso 2017 08062018&lt;/Name&gt;_x000d__x000a_    &lt;FullPath&gt;C:\DATAzD\Darina\konsol\konsol17\eConso Packages\eConso 2017 08062018.xlsm&lt;/FullPath&gt;_x000d__x000a_    &lt;LastOpenDate&gt;2018-06-08T16:57:25.5264774+02:00&lt;/LastOpenDate&gt;_x000d__x000a_    &lt;ID&gt;7&lt;/ID&gt;_x000d__x000a_  &lt;/HistoryRecord&gt;_x000d__x000a_&lt;/ArrayOfHistoryRecord&gt;"/>
  </w:docVars>
  <w:rsids>
    <w:rsidRoot w:val="00FB1F27"/>
    <w:rsid w:val="00000931"/>
    <w:rsid w:val="00000A56"/>
    <w:rsid w:val="00000E04"/>
    <w:rsid w:val="00000FA7"/>
    <w:rsid w:val="0000104B"/>
    <w:rsid w:val="00001673"/>
    <w:rsid w:val="000017B3"/>
    <w:rsid w:val="00001924"/>
    <w:rsid w:val="000023C7"/>
    <w:rsid w:val="000023F7"/>
    <w:rsid w:val="00002497"/>
    <w:rsid w:val="000026A3"/>
    <w:rsid w:val="0000282B"/>
    <w:rsid w:val="0000285B"/>
    <w:rsid w:val="000028DD"/>
    <w:rsid w:val="00002913"/>
    <w:rsid w:val="00002C84"/>
    <w:rsid w:val="00002FD8"/>
    <w:rsid w:val="000031A0"/>
    <w:rsid w:val="000031DE"/>
    <w:rsid w:val="00003364"/>
    <w:rsid w:val="000034B9"/>
    <w:rsid w:val="00003A13"/>
    <w:rsid w:val="00003C7F"/>
    <w:rsid w:val="00003F8B"/>
    <w:rsid w:val="00004336"/>
    <w:rsid w:val="00004715"/>
    <w:rsid w:val="00004B95"/>
    <w:rsid w:val="00005319"/>
    <w:rsid w:val="00005510"/>
    <w:rsid w:val="0000559B"/>
    <w:rsid w:val="00005A22"/>
    <w:rsid w:val="00005E52"/>
    <w:rsid w:val="00005FF3"/>
    <w:rsid w:val="000066E9"/>
    <w:rsid w:val="0000671A"/>
    <w:rsid w:val="0000691C"/>
    <w:rsid w:val="00006A96"/>
    <w:rsid w:val="00006AD0"/>
    <w:rsid w:val="00006B38"/>
    <w:rsid w:val="00006BC3"/>
    <w:rsid w:val="00006CAE"/>
    <w:rsid w:val="00007189"/>
    <w:rsid w:val="000073FA"/>
    <w:rsid w:val="00007473"/>
    <w:rsid w:val="000075D6"/>
    <w:rsid w:val="00007900"/>
    <w:rsid w:val="00007A15"/>
    <w:rsid w:val="00007ADA"/>
    <w:rsid w:val="00007C19"/>
    <w:rsid w:val="00010541"/>
    <w:rsid w:val="0001091D"/>
    <w:rsid w:val="00011055"/>
    <w:rsid w:val="00011256"/>
    <w:rsid w:val="000116E8"/>
    <w:rsid w:val="00011827"/>
    <w:rsid w:val="000118AC"/>
    <w:rsid w:val="00011F6F"/>
    <w:rsid w:val="000128E5"/>
    <w:rsid w:val="00012922"/>
    <w:rsid w:val="00012E1E"/>
    <w:rsid w:val="000132CB"/>
    <w:rsid w:val="000132E7"/>
    <w:rsid w:val="000136D6"/>
    <w:rsid w:val="000140DE"/>
    <w:rsid w:val="0001470C"/>
    <w:rsid w:val="00014728"/>
    <w:rsid w:val="00014B43"/>
    <w:rsid w:val="00014BB5"/>
    <w:rsid w:val="00014CDC"/>
    <w:rsid w:val="00014D89"/>
    <w:rsid w:val="00015A52"/>
    <w:rsid w:val="00015E6D"/>
    <w:rsid w:val="00016052"/>
    <w:rsid w:val="000166B4"/>
    <w:rsid w:val="0001687E"/>
    <w:rsid w:val="00016FB7"/>
    <w:rsid w:val="0001713F"/>
    <w:rsid w:val="00017A4A"/>
    <w:rsid w:val="00017A6C"/>
    <w:rsid w:val="00020068"/>
    <w:rsid w:val="0002034F"/>
    <w:rsid w:val="00020824"/>
    <w:rsid w:val="00020C10"/>
    <w:rsid w:val="00021153"/>
    <w:rsid w:val="000214C0"/>
    <w:rsid w:val="000217AC"/>
    <w:rsid w:val="00021896"/>
    <w:rsid w:val="0002191A"/>
    <w:rsid w:val="00021D14"/>
    <w:rsid w:val="00021F95"/>
    <w:rsid w:val="0002246F"/>
    <w:rsid w:val="00022629"/>
    <w:rsid w:val="0002262A"/>
    <w:rsid w:val="000226F3"/>
    <w:rsid w:val="0002274C"/>
    <w:rsid w:val="000229B6"/>
    <w:rsid w:val="00022BAC"/>
    <w:rsid w:val="00022BAE"/>
    <w:rsid w:val="00022E69"/>
    <w:rsid w:val="00023627"/>
    <w:rsid w:val="0002372F"/>
    <w:rsid w:val="00023A05"/>
    <w:rsid w:val="00023A96"/>
    <w:rsid w:val="00023A98"/>
    <w:rsid w:val="00023E55"/>
    <w:rsid w:val="00023FD3"/>
    <w:rsid w:val="00023FE8"/>
    <w:rsid w:val="000242EA"/>
    <w:rsid w:val="000244D4"/>
    <w:rsid w:val="0002499D"/>
    <w:rsid w:val="00024CD9"/>
    <w:rsid w:val="00024E4E"/>
    <w:rsid w:val="00024F44"/>
    <w:rsid w:val="000253E6"/>
    <w:rsid w:val="00025515"/>
    <w:rsid w:val="00025527"/>
    <w:rsid w:val="00025778"/>
    <w:rsid w:val="00025B05"/>
    <w:rsid w:val="00025B2A"/>
    <w:rsid w:val="0002696D"/>
    <w:rsid w:val="00026A4E"/>
    <w:rsid w:val="00030027"/>
    <w:rsid w:val="000306DE"/>
    <w:rsid w:val="000307CC"/>
    <w:rsid w:val="00030A43"/>
    <w:rsid w:val="00030B68"/>
    <w:rsid w:val="00030DA1"/>
    <w:rsid w:val="0003147D"/>
    <w:rsid w:val="00031708"/>
    <w:rsid w:val="00031DF8"/>
    <w:rsid w:val="00032203"/>
    <w:rsid w:val="000327DE"/>
    <w:rsid w:val="0003299D"/>
    <w:rsid w:val="000330BD"/>
    <w:rsid w:val="000332CF"/>
    <w:rsid w:val="00033476"/>
    <w:rsid w:val="00033628"/>
    <w:rsid w:val="000336F1"/>
    <w:rsid w:val="000337C4"/>
    <w:rsid w:val="00033AF1"/>
    <w:rsid w:val="00033F74"/>
    <w:rsid w:val="000342BC"/>
    <w:rsid w:val="0003461B"/>
    <w:rsid w:val="0003494C"/>
    <w:rsid w:val="00034AAB"/>
    <w:rsid w:val="00034AD4"/>
    <w:rsid w:val="000352B4"/>
    <w:rsid w:val="000356E5"/>
    <w:rsid w:val="0003575B"/>
    <w:rsid w:val="000358DA"/>
    <w:rsid w:val="00035C3F"/>
    <w:rsid w:val="00035EC2"/>
    <w:rsid w:val="0003632D"/>
    <w:rsid w:val="00036782"/>
    <w:rsid w:val="00036AD7"/>
    <w:rsid w:val="00036F0E"/>
    <w:rsid w:val="00036F14"/>
    <w:rsid w:val="0003705D"/>
    <w:rsid w:val="00037321"/>
    <w:rsid w:val="000375CA"/>
    <w:rsid w:val="000379C9"/>
    <w:rsid w:val="00037A23"/>
    <w:rsid w:val="00037E56"/>
    <w:rsid w:val="000405EF"/>
    <w:rsid w:val="00040871"/>
    <w:rsid w:val="00040A97"/>
    <w:rsid w:val="00040BD9"/>
    <w:rsid w:val="00040DA8"/>
    <w:rsid w:val="00041600"/>
    <w:rsid w:val="00041641"/>
    <w:rsid w:val="00041AD1"/>
    <w:rsid w:val="00041CF7"/>
    <w:rsid w:val="00041FD5"/>
    <w:rsid w:val="00042767"/>
    <w:rsid w:val="00042E58"/>
    <w:rsid w:val="00043458"/>
    <w:rsid w:val="000436DA"/>
    <w:rsid w:val="000436EB"/>
    <w:rsid w:val="000438CF"/>
    <w:rsid w:val="00043908"/>
    <w:rsid w:val="00043FF8"/>
    <w:rsid w:val="000440A0"/>
    <w:rsid w:val="0004432F"/>
    <w:rsid w:val="00044361"/>
    <w:rsid w:val="000444E3"/>
    <w:rsid w:val="0004461C"/>
    <w:rsid w:val="00044652"/>
    <w:rsid w:val="00044A67"/>
    <w:rsid w:val="00044F53"/>
    <w:rsid w:val="0004508D"/>
    <w:rsid w:val="0004509A"/>
    <w:rsid w:val="0004552F"/>
    <w:rsid w:val="00045606"/>
    <w:rsid w:val="00045918"/>
    <w:rsid w:val="00045B7D"/>
    <w:rsid w:val="000464C3"/>
    <w:rsid w:val="000465B1"/>
    <w:rsid w:val="0004687C"/>
    <w:rsid w:val="00046BEF"/>
    <w:rsid w:val="000470AD"/>
    <w:rsid w:val="0004749E"/>
    <w:rsid w:val="0004779E"/>
    <w:rsid w:val="00047E18"/>
    <w:rsid w:val="000503EE"/>
    <w:rsid w:val="000503FE"/>
    <w:rsid w:val="0005060F"/>
    <w:rsid w:val="00050851"/>
    <w:rsid w:val="0005087E"/>
    <w:rsid w:val="00050929"/>
    <w:rsid w:val="0005099C"/>
    <w:rsid w:val="0005124A"/>
    <w:rsid w:val="00051465"/>
    <w:rsid w:val="0005151B"/>
    <w:rsid w:val="00051860"/>
    <w:rsid w:val="00051B17"/>
    <w:rsid w:val="000520F7"/>
    <w:rsid w:val="000524F1"/>
    <w:rsid w:val="00052801"/>
    <w:rsid w:val="00053084"/>
    <w:rsid w:val="000532AA"/>
    <w:rsid w:val="000536F6"/>
    <w:rsid w:val="000537C1"/>
    <w:rsid w:val="00053FB6"/>
    <w:rsid w:val="00054009"/>
    <w:rsid w:val="0005426C"/>
    <w:rsid w:val="000542F7"/>
    <w:rsid w:val="000548B3"/>
    <w:rsid w:val="000550AA"/>
    <w:rsid w:val="0005512D"/>
    <w:rsid w:val="00055953"/>
    <w:rsid w:val="00055EB6"/>
    <w:rsid w:val="00056115"/>
    <w:rsid w:val="00057026"/>
    <w:rsid w:val="00057059"/>
    <w:rsid w:val="00057216"/>
    <w:rsid w:val="00057372"/>
    <w:rsid w:val="00057730"/>
    <w:rsid w:val="00057837"/>
    <w:rsid w:val="000578D4"/>
    <w:rsid w:val="00057910"/>
    <w:rsid w:val="00057AB7"/>
    <w:rsid w:val="00057D8F"/>
    <w:rsid w:val="000603B7"/>
    <w:rsid w:val="00060B11"/>
    <w:rsid w:val="00060EF2"/>
    <w:rsid w:val="0006106D"/>
    <w:rsid w:val="00061829"/>
    <w:rsid w:val="00061978"/>
    <w:rsid w:val="000619AF"/>
    <w:rsid w:val="00061D70"/>
    <w:rsid w:val="00061E5B"/>
    <w:rsid w:val="00062A8D"/>
    <w:rsid w:val="00062D35"/>
    <w:rsid w:val="000633DE"/>
    <w:rsid w:val="00063C3C"/>
    <w:rsid w:val="0006413D"/>
    <w:rsid w:val="000641C9"/>
    <w:rsid w:val="00064709"/>
    <w:rsid w:val="00064BB2"/>
    <w:rsid w:val="00064CEA"/>
    <w:rsid w:val="00064E50"/>
    <w:rsid w:val="00064F6B"/>
    <w:rsid w:val="00065204"/>
    <w:rsid w:val="000653B5"/>
    <w:rsid w:val="00065506"/>
    <w:rsid w:val="000655DA"/>
    <w:rsid w:val="00065613"/>
    <w:rsid w:val="0006566A"/>
    <w:rsid w:val="00065792"/>
    <w:rsid w:val="00065885"/>
    <w:rsid w:val="0006594E"/>
    <w:rsid w:val="00065A90"/>
    <w:rsid w:val="00065CE2"/>
    <w:rsid w:val="00065D47"/>
    <w:rsid w:val="00065E53"/>
    <w:rsid w:val="00065EB8"/>
    <w:rsid w:val="000662A1"/>
    <w:rsid w:val="0006669F"/>
    <w:rsid w:val="0006671D"/>
    <w:rsid w:val="00066910"/>
    <w:rsid w:val="0006693A"/>
    <w:rsid w:val="00066A58"/>
    <w:rsid w:val="00066C26"/>
    <w:rsid w:val="0006707C"/>
    <w:rsid w:val="00067160"/>
    <w:rsid w:val="000678C1"/>
    <w:rsid w:val="00067A24"/>
    <w:rsid w:val="00067A2F"/>
    <w:rsid w:val="00067B53"/>
    <w:rsid w:val="00067CE7"/>
    <w:rsid w:val="00067D29"/>
    <w:rsid w:val="000705B4"/>
    <w:rsid w:val="000708BD"/>
    <w:rsid w:val="00070DD5"/>
    <w:rsid w:val="00070F2F"/>
    <w:rsid w:val="00071074"/>
    <w:rsid w:val="000710BF"/>
    <w:rsid w:val="0007123E"/>
    <w:rsid w:val="000712FE"/>
    <w:rsid w:val="000715D1"/>
    <w:rsid w:val="000717B8"/>
    <w:rsid w:val="000718A8"/>
    <w:rsid w:val="000719BD"/>
    <w:rsid w:val="00071A71"/>
    <w:rsid w:val="00071DB9"/>
    <w:rsid w:val="00072104"/>
    <w:rsid w:val="0007240C"/>
    <w:rsid w:val="00072D4E"/>
    <w:rsid w:val="000730C1"/>
    <w:rsid w:val="000731A2"/>
    <w:rsid w:val="0007326F"/>
    <w:rsid w:val="00073597"/>
    <w:rsid w:val="000735DC"/>
    <w:rsid w:val="000737CD"/>
    <w:rsid w:val="00073A04"/>
    <w:rsid w:val="000740A3"/>
    <w:rsid w:val="000743AD"/>
    <w:rsid w:val="00074931"/>
    <w:rsid w:val="00074BA5"/>
    <w:rsid w:val="00075133"/>
    <w:rsid w:val="00075140"/>
    <w:rsid w:val="00075797"/>
    <w:rsid w:val="0007591F"/>
    <w:rsid w:val="000759FF"/>
    <w:rsid w:val="00075D9A"/>
    <w:rsid w:val="00075E6E"/>
    <w:rsid w:val="00075EFD"/>
    <w:rsid w:val="000760DE"/>
    <w:rsid w:val="00076679"/>
    <w:rsid w:val="00076687"/>
    <w:rsid w:val="00076881"/>
    <w:rsid w:val="00076D87"/>
    <w:rsid w:val="00077296"/>
    <w:rsid w:val="00077DCA"/>
    <w:rsid w:val="00080463"/>
    <w:rsid w:val="0008097C"/>
    <w:rsid w:val="00080A71"/>
    <w:rsid w:val="00080C1D"/>
    <w:rsid w:val="00080E51"/>
    <w:rsid w:val="00081258"/>
    <w:rsid w:val="0008131E"/>
    <w:rsid w:val="00081344"/>
    <w:rsid w:val="000815E1"/>
    <w:rsid w:val="000817EE"/>
    <w:rsid w:val="00081CD5"/>
    <w:rsid w:val="0008207A"/>
    <w:rsid w:val="0008240C"/>
    <w:rsid w:val="00082AB4"/>
    <w:rsid w:val="00082D4A"/>
    <w:rsid w:val="000832C5"/>
    <w:rsid w:val="0008330F"/>
    <w:rsid w:val="00083748"/>
    <w:rsid w:val="0008396F"/>
    <w:rsid w:val="00083B2C"/>
    <w:rsid w:val="00083C95"/>
    <w:rsid w:val="00083CF5"/>
    <w:rsid w:val="00083D40"/>
    <w:rsid w:val="00084336"/>
    <w:rsid w:val="00084655"/>
    <w:rsid w:val="00084A01"/>
    <w:rsid w:val="00084C04"/>
    <w:rsid w:val="00084CB4"/>
    <w:rsid w:val="000858ED"/>
    <w:rsid w:val="00085F1B"/>
    <w:rsid w:val="00086376"/>
    <w:rsid w:val="000865F9"/>
    <w:rsid w:val="0008695D"/>
    <w:rsid w:val="00086CB9"/>
    <w:rsid w:val="00086F4E"/>
    <w:rsid w:val="00087348"/>
    <w:rsid w:val="00087629"/>
    <w:rsid w:val="00087B3F"/>
    <w:rsid w:val="00087D1C"/>
    <w:rsid w:val="00090820"/>
    <w:rsid w:val="00090A1C"/>
    <w:rsid w:val="00090D3D"/>
    <w:rsid w:val="0009107F"/>
    <w:rsid w:val="000914A5"/>
    <w:rsid w:val="000916DA"/>
    <w:rsid w:val="00091A8B"/>
    <w:rsid w:val="00091CCB"/>
    <w:rsid w:val="00092119"/>
    <w:rsid w:val="000923DE"/>
    <w:rsid w:val="00092C38"/>
    <w:rsid w:val="00092CCB"/>
    <w:rsid w:val="000935D2"/>
    <w:rsid w:val="000935DB"/>
    <w:rsid w:val="00093688"/>
    <w:rsid w:val="000937FE"/>
    <w:rsid w:val="00093C90"/>
    <w:rsid w:val="00094481"/>
    <w:rsid w:val="00094637"/>
    <w:rsid w:val="0009477E"/>
    <w:rsid w:val="00094917"/>
    <w:rsid w:val="0009499B"/>
    <w:rsid w:val="00094B6C"/>
    <w:rsid w:val="00094C0C"/>
    <w:rsid w:val="000950FD"/>
    <w:rsid w:val="000952E3"/>
    <w:rsid w:val="00095493"/>
    <w:rsid w:val="00095A4C"/>
    <w:rsid w:val="00095C0F"/>
    <w:rsid w:val="00095DE6"/>
    <w:rsid w:val="000960D3"/>
    <w:rsid w:val="00096439"/>
    <w:rsid w:val="00096486"/>
    <w:rsid w:val="00096799"/>
    <w:rsid w:val="000969BC"/>
    <w:rsid w:val="0009721D"/>
    <w:rsid w:val="000977F1"/>
    <w:rsid w:val="00097932"/>
    <w:rsid w:val="00097A90"/>
    <w:rsid w:val="00097C53"/>
    <w:rsid w:val="000A0816"/>
    <w:rsid w:val="000A08F5"/>
    <w:rsid w:val="000A0AAC"/>
    <w:rsid w:val="000A0DE2"/>
    <w:rsid w:val="000A0FDC"/>
    <w:rsid w:val="000A151C"/>
    <w:rsid w:val="000A15DE"/>
    <w:rsid w:val="000A166A"/>
    <w:rsid w:val="000A1761"/>
    <w:rsid w:val="000A1BCF"/>
    <w:rsid w:val="000A1E4B"/>
    <w:rsid w:val="000A201D"/>
    <w:rsid w:val="000A2265"/>
    <w:rsid w:val="000A2374"/>
    <w:rsid w:val="000A27A9"/>
    <w:rsid w:val="000A2B76"/>
    <w:rsid w:val="000A2DFD"/>
    <w:rsid w:val="000A2E0D"/>
    <w:rsid w:val="000A2F7D"/>
    <w:rsid w:val="000A30FF"/>
    <w:rsid w:val="000A3302"/>
    <w:rsid w:val="000A3366"/>
    <w:rsid w:val="000A3A8B"/>
    <w:rsid w:val="000A3B43"/>
    <w:rsid w:val="000A3D97"/>
    <w:rsid w:val="000A3FCE"/>
    <w:rsid w:val="000A40A5"/>
    <w:rsid w:val="000A41E8"/>
    <w:rsid w:val="000A428F"/>
    <w:rsid w:val="000A42E6"/>
    <w:rsid w:val="000A43AB"/>
    <w:rsid w:val="000A4460"/>
    <w:rsid w:val="000A454F"/>
    <w:rsid w:val="000A4CC9"/>
    <w:rsid w:val="000A51D1"/>
    <w:rsid w:val="000A5217"/>
    <w:rsid w:val="000A5367"/>
    <w:rsid w:val="000A5431"/>
    <w:rsid w:val="000A557E"/>
    <w:rsid w:val="000A5A8A"/>
    <w:rsid w:val="000A5C68"/>
    <w:rsid w:val="000A5E47"/>
    <w:rsid w:val="000A6124"/>
    <w:rsid w:val="000A6D28"/>
    <w:rsid w:val="000A712D"/>
    <w:rsid w:val="000A79A6"/>
    <w:rsid w:val="000A7AFA"/>
    <w:rsid w:val="000A7B13"/>
    <w:rsid w:val="000A7B22"/>
    <w:rsid w:val="000A7CC0"/>
    <w:rsid w:val="000B01A6"/>
    <w:rsid w:val="000B0220"/>
    <w:rsid w:val="000B0345"/>
    <w:rsid w:val="000B04D7"/>
    <w:rsid w:val="000B05BC"/>
    <w:rsid w:val="000B064F"/>
    <w:rsid w:val="000B0672"/>
    <w:rsid w:val="000B0CFE"/>
    <w:rsid w:val="000B0EA3"/>
    <w:rsid w:val="000B0EFE"/>
    <w:rsid w:val="000B10D9"/>
    <w:rsid w:val="000B1642"/>
    <w:rsid w:val="000B1783"/>
    <w:rsid w:val="000B227C"/>
    <w:rsid w:val="000B22A6"/>
    <w:rsid w:val="000B2632"/>
    <w:rsid w:val="000B278A"/>
    <w:rsid w:val="000B28F5"/>
    <w:rsid w:val="000B29C0"/>
    <w:rsid w:val="000B2D0C"/>
    <w:rsid w:val="000B36A9"/>
    <w:rsid w:val="000B3A1F"/>
    <w:rsid w:val="000B3E3A"/>
    <w:rsid w:val="000B4868"/>
    <w:rsid w:val="000B5005"/>
    <w:rsid w:val="000B5044"/>
    <w:rsid w:val="000B530A"/>
    <w:rsid w:val="000B5404"/>
    <w:rsid w:val="000B5592"/>
    <w:rsid w:val="000B563E"/>
    <w:rsid w:val="000B5B22"/>
    <w:rsid w:val="000B60A3"/>
    <w:rsid w:val="000B62D6"/>
    <w:rsid w:val="000B6C9C"/>
    <w:rsid w:val="000B6ED6"/>
    <w:rsid w:val="000B6F1A"/>
    <w:rsid w:val="000B72E9"/>
    <w:rsid w:val="000B7BF1"/>
    <w:rsid w:val="000B7BFD"/>
    <w:rsid w:val="000B7EA8"/>
    <w:rsid w:val="000C077A"/>
    <w:rsid w:val="000C0AEB"/>
    <w:rsid w:val="000C0CB7"/>
    <w:rsid w:val="000C0D79"/>
    <w:rsid w:val="000C1037"/>
    <w:rsid w:val="000C1382"/>
    <w:rsid w:val="000C1419"/>
    <w:rsid w:val="000C1668"/>
    <w:rsid w:val="000C1BF4"/>
    <w:rsid w:val="000C20D9"/>
    <w:rsid w:val="000C20DA"/>
    <w:rsid w:val="000C21CF"/>
    <w:rsid w:val="000C22C5"/>
    <w:rsid w:val="000C279C"/>
    <w:rsid w:val="000C3076"/>
    <w:rsid w:val="000C3085"/>
    <w:rsid w:val="000C3C89"/>
    <w:rsid w:val="000C3DA3"/>
    <w:rsid w:val="000C3FEF"/>
    <w:rsid w:val="000C4123"/>
    <w:rsid w:val="000C458C"/>
    <w:rsid w:val="000C4590"/>
    <w:rsid w:val="000C45AB"/>
    <w:rsid w:val="000C487E"/>
    <w:rsid w:val="000C4901"/>
    <w:rsid w:val="000C5230"/>
    <w:rsid w:val="000C5CC8"/>
    <w:rsid w:val="000C5F0F"/>
    <w:rsid w:val="000C6149"/>
    <w:rsid w:val="000C6536"/>
    <w:rsid w:val="000C6792"/>
    <w:rsid w:val="000C6B77"/>
    <w:rsid w:val="000C6C94"/>
    <w:rsid w:val="000C6CB5"/>
    <w:rsid w:val="000C728E"/>
    <w:rsid w:val="000C7386"/>
    <w:rsid w:val="000C7B21"/>
    <w:rsid w:val="000C7B2E"/>
    <w:rsid w:val="000C7E24"/>
    <w:rsid w:val="000C7F22"/>
    <w:rsid w:val="000C7FDC"/>
    <w:rsid w:val="000D01B8"/>
    <w:rsid w:val="000D0380"/>
    <w:rsid w:val="000D047E"/>
    <w:rsid w:val="000D05DD"/>
    <w:rsid w:val="000D0720"/>
    <w:rsid w:val="000D074A"/>
    <w:rsid w:val="000D088A"/>
    <w:rsid w:val="000D0A64"/>
    <w:rsid w:val="000D0E36"/>
    <w:rsid w:val="000D117E"/>
    <w:rsid w:val="000D120E"/>
    <w:rsid w:val="000D199C"/>
    <w:rsid w:val="000D1BBD"/>
    <w:rsid w:val="000D1C36"/>
    <w:rsid w:val="000D1F3A"/>
    <w:rsid w:val="000D2746"/>
    <w:rsid w:val="000D2C7D"/>
    <w:rsid w:val="000D2DD6"/>
    <w:rsid w:val="000D313A"/>
    <w:rsid w:val="000D357D"/>
    <w:rsid w:val="000D3B42"/>
    <w:rsid w:val="000D3B96"/>
    <w:rsid w:val="000D3C5B"/>
    <w:rsid w:val="000D3F36"/>
    <w:rsid w:val="000D41C4"/>
    <w:rsid w:val="000D4599"/>
    <w:rsid w:val="000D4C29"/>
    <w:rsid w:val="000D4DEC"/>
    <w:rsid w:val="000D4FED"/>
    <w:rsid w:val="000D574C"/>
    <w:rsid w:val="000D5FB8"/>
    <w:rsid w:val="000D5FDA"/>
    <w:rsid w:val="000D6322"/>
    <w:rsid w:val="000D6501"/>
    <w:rsid w:val="000D6806"/>
    <w:rsid w:val="000D6BC9"/>
    <w:rsid w:val="000D6CB3"/>
    <w:rsid w:val="000D6CB6"/>
    <w:rsid w:val="000D6DDB"/>
    <w:rsid w:val="000D6E27"/>
    <w:rsid w:val="000D7138"/>
    <w:rsid w:val="000D71DC"/>
    <w:rsid w:val="000D735F"/>
    <w:rsid w:val="000D75E7"/>
    <w:rsid w:val="000D75EB"/>
    <w:rsid w:val="000D766E"/>
    <w:rsid w:val="000D7675"/>
    <w:rsid w:val="000D7B8A"/>
    <w:rsid w:val="000D7E8F"/>
    <w:rsid w:val="000D7F8B"/>
    <w:rsid w:val="000D7FDD"/>
    <w:rsid w:val="000E013E"/>
    <w:rsid w:val="000E065E"/>
    <w:rsid w:val="000E086E"/>
    <w:rsid w:val="000E0F52"/>
    <w:rsid w:val="000E0FE2"/>
    <w:rsid w:val="000E144C"/>
    <w:rsid w:val="000E1854"/>
    <w:rsid w:val="000E1C0D"/>
    <w:rsid w:val="000E1CFF"/>
    <w:rsid w:val="000E1E15"/>
    <w:rsid w:val="000E2044"/>
    <w:rsid w:val="000E2354"/>
    <w:rsid w:val="000E24DB"/>
    <w:rsid w:val="000E296D"/>
    <w:rsid w:val="000E2BF2"/>
    <w:rsid w:val="000E3075"/>
    <w:rsid w:val="000E320E"/>
    <w:rsid w:val="000E332A"/>
    <w:rsid w:val="000E3686"/>
    <w:rsid w:val="000E42EE"/>
    <w:rsid w:val="000E4671"/>
    <w:rsid w:val="000E4744"/>
    <w:rsid w:val="000E485D"/>
    <w:rsid w:val="000E4B01"/>
    <w:rsid w:val="000E4F75"/>
    <w:rsid w:val="000E508D"/>
    <w:rsid w:val="000E5246"/>
    <w:rsid w:val="000E5463"/>
    <w:rsid w:val="000E577F"/>
    <w:rsid w:val="000E5C4A"/>
    <w:rsid w:val="000E607D"/>
    <w:rsid w:val="000E60F9"/>
    <w:rsid w:val="000E6262"/>
    <w:rsid w:val="000E629B"/>
    <w:rsid w:val="000E6829"/>
    <w:rsid w:val="000E72B2"/>
    <w:rsid w:val="000E7511"/>
    <w:rsid w:val="000E753E"/>
    <w:rsid w:val="000E7FE6"/>
    <w:rsid w:val="000F01FC"/>
    <w:rsid w:val="000F0337"/>
    <w:rsid w:val="000F03AC"/>
    <w:rsid w:val="000F0A12"/>
    <w:rsid w:val="000F0A7F"/>
    <w:rsid w:val="000F113F"/>
    <w:rsid w:val="000F12B7"/>
    <w:rsid w:val="000F1817"/>
    <w:rsid w:val="000F1B7B"/>
    <w:rsid w:val="000F1BC2"/>
    <w:rsid w:val="000F1D17"/>
    <w:rsid w:val="000F1E8E"/>
    <w:rsid w:val="000F2268"/>
    <w:rsid w:val="000F2346"/>
    <w:rsid w:val="000F2493"/>
    <w:rsid w:val="000F2F27"/>
    <w:rsid w:val="000F2FCD"/>
    <w:rsid w:val="000F35BA"/>
    <w:rsid w:val="000F37D8"/>
    <w:rsid w:val="000F37EB"/>
    <w:rsid w:val="000F3B37"/>
    <w:rsid w:val="000F3C2E"/>
    <w:rsid w:val="000F3F5B"/>
    <w:rsid w:val="000F4375"/>
    <w:rsid w:val="000F4584"/>
    <w:rsid w:val="000F478C"/>
    <w:rsid w:val="000F48CF"/>
    <w:rsid w:val="000F49A1"/>
    <w:rsid w:val="000F4BEE"/>
    <w:rsid w:val="000F4C03"/>
    <w:rsid w:val="000F4E63"/>
    <w:rsid w:val="000F4EAF"/>
    <w:rsid w:val="000F5030"/>
    <w:rsid w:val="000F50DE"/>
    <w:rsid w:val="000F5212"/>
    <w:rsid w:val="000F554D"/>
    <w:rsid w:val="000F5718"/>
    <w:rsid w:val="000F572A"/>
    <w:rsid w:val="000F57E1"/>
    <w:rsid w:val="000F585C"/>
    <w:rsid w:val="000F5E1C"/>
    <w:rsid w:val="000F6423"/>
    <w:rsid w:val="000F6852"/>
    <w:rsid w:val="000F6B08"/>
    <w:rsid w:val="000F6C99"/>
    <w:rsid w:val="000F6DE0"/>
    <w:rsid w:val="000F714A"/>
    <w:rsid w:val="000F740A"/>
    <w:rsid w:val="000F7515"/>
    <w:rsid w:val="000F7574"/>
    <w:rsid w:val="000F7581"/>
    <w:rsid w:val="000F777C"/>
    <w:rsid w:val="000F7BC8"/>
    <w:rsid w:val="000F7BE7"/>
    <w:rsid w:val="000F7C15"/>
    <w:rsid w:val="00100146"/>
    <w:rsid w:val="0010015A"/>
    <w:rsid w:val="00101143"/>
    <w:rsid w:val="0010138F"/>
    <w:rsid w:val="0010144A"/>
    <w:rsid w:val="00101555"/>
    <w:rsid w:val="0010181C"/>
    <w:rsid w:val="00101828"/>
    <w:rsid w:val="00101AA2"/>
    <w:rsid w:val="00101AF5"/>
    <w:rsid w:val="00101C69"/>
    <w:rsid w:val="00101DE0"/>
    <w:rsid w:val="00101E1B"/>
    <w:rsid w:val="00101E91"/>
    <w:rsid w:val="0010202B"/>
    <w:rsid w:val="001021A7"/>
    <w:rsid w:val="001027F6"/>
    <w:rsid w:val="001029E0"/>
    <w:rsid w:val="00102E82"/>
    <w:rsid w:val="00102E8F"/>
    <w:rsid w:val="00102EE3"/>
    <w:rsid w:val="00102FC3"/>
    <w:rsid w:val="00103490"/>
    <w:rsid w:val="001039C8"/>
    <w:rsid w:val="00103A07"/>
    <w:rsid w:val="00103FE0"/>
    <w:rsid w:val="00104253"/>
    <w:rsid w:val="001047A9"/>
    <w:rsid w:val="001049AE"/>
    <w:rsid w:val="00104A05"/>
    <w:rsid w:val="00104F51"/>
    <w:rsid w:val="00105177"/>
    <w:rsid w:val="00105188"/>
    <w:rsid w:val="001053B8"/>
    <w:rsid w:val="0010592A"/>
    <w:rsid w:val="001059CE"/>
    <w:rsid w:val="00105A7D"/>
    <w:rsid w:val="00105D47"/>
    <w:rsid w:val="0010615A"/>
    <w:rsid w:val="00106424"/>
    <w:rsid w:val="00106BE3"/>
    <w:rsid w:val="00106D09"/>
    <w:rsid w:val="00106F51"/>
    <w:rsid w:val="00107AAD"/>
    <w:rsid w:val="00107AFE"/>
    <w:rsid w:val="00110621"/>
    <w:rsid w:val="00110A3A"/>
    <w:rsid w:val="00110B7E"/>
    <w:rsid w:val="00110E82"/>
    <w:rsid w:val="00111AFB"/>
    <w:rsid w:val="00111C2E"/>
    <w:rsid w:val="00112014"/>
    <w:rsid w:val="001120A9"/>
    <w:rsid w:val="00112458"/>
    <w:rsid w:val="00112B9D"/>
    <w:rsid w:val="00112F43"/>
    <w:rsid w:val="001130A5"/>
    <w:rsid w:val="00113418"/>
    <w:rsid w:val="0011356F"/>
    <w:rsid w:val="00113C88"/>
    <w:rsid w:val="00113D54"/>
    <w:rsid w:val="00113DF8"/>
    <w:rsid w:val="00113E2D"/>
    <w:rsid w:val="0011436D"/>
    <w:rsid w:val="001145EA"/>
    <w:rsid w:val="00114AAA"/>
    <w:rsid w:val="0011515E"/>
    <w:rsid w:val="00115384"/>
    <w:rsid w:val="00115536"/>
    <w:rsid w:val="00115BCC"/>
    <w:rsid w:val="00115C17"/>
    <w:rsid w:val="00115F80"/>
    <w:rsid w:val="00116257"/>
    <w:rsid w:val="0011651E"/>
    <w:rsid w:val="0011730A"/>
    <w:rsid w:val="00117627"/>
    <w:rsid w:val="00117802"/>
    <w:rsid w:val="00117D75"/>
    <w:rsid w:val="00120454"/>
    <w:rsid w:val="001208D2"/>
    <w:rsid w:val="001208EF"/>
    <w:rsid w:val="00120B0B"/>
    <w:rsid w:val="00120B34"/>
    <w:rsid w:val="00120BCB"/>
    <w:rsid w:val="00120C82"/>
    <w:rsid w:val="00120C9D"/>
    <w:rsid w:val="00121004"/>
    <w:rsid w:val="001210FC"/>
    <w:rsid w:val="00121583"/>
    <w:rsid w:val="00121591"/>
    <w:rsid w:val="00121699"/>
    <w:rsid w:val="001217BE"/>
    <w:rsid w:val="00121B90"/>
    <w:rsid w:val="00122058"/>
    <w:rsid w:val="001222C6"/>
    <w:rsid w:val="00122BD0"/>
    <w:rsid w:val="00122CD2"/>
    <w:rsid w:val="00122D8B"/>
    <w:rsid w:val="001234FD"/>
    <w:rsid w:val="00123806"/>
    <w:rsid w:val="00123BF5"/>
    <w:rsid w:val="00123CF1"/>
    <w:rsid w:val="00124325"/>
    <w:rsid w:val="001249A0"/>
    <w:rsid w:val="00124A95"/>
    <w:rsid w:val="00124B5B"/>
    <w:rsid w:val="00124D9F"/>
    <w:rsid w:val="00124DEA"/>
    <w:rsid w:val="00124EDD"/>
    <w:rsid w:val="00125081"/>
    <w:rsid w:val="00125206"/>
    <w:rsid w:val="0012548A"/>
    <w:rsid w:val="0012554B"/>
    <w:rsid w:val="001256EC"/>
    <w:rsid w:val="00125782"/>
    <w:rsid w:val="001259E4"/>
    <w:rsid w:val="00125C74"/>
    <w:rsid w:val="00126083"/>
    <w:rsid w:val="001260A0"/>
    <w:rsid w:val="00126189"/>
    <w:rsid w:val="001271E7"/>
    <w:rsid w:val="001278E3"/>
    <w:rsid w:val="00127A40"/>
    <w:rsid w:val="00127C4A"/>
    <w:rsid w:val="00127F2A"/>
    <w:rsid w:val="001309E3"/>
    <w:rsid w:val="00130C8C"/>
    <w:rsid w:val="00130EA4"/>
    <w:rsid w:val="00131110"/>
    <w:rsid w:val="001312AC"/>
    <w:rsid w:val="00131397"/>
    <w:rsid w:val="00131451"/>
    <w:rsid w:val="001315A9"/>
    <w:rsid w:val="00131A24"/>
    <w:rsid w:val="00131C9C"/>
    <w:rsid w:val="00131F89"/>
    <w:rsid w:val="0013233E"/>
    <w:rsid w:val="0013242A"/>
    <w:rsid w:val="0013242F"/>
    <w:rsid w:val="001324CA"/>
    <w:rsid w:val="00132562"/>
    <w:rsid w:val="001325C6"/>
    <w:rsid w:val="001326CB"/>
    <w:rsid w:val="00132749"/>
    <w:rsid w:val="0013397F"/>
    <w:rsid w:val="00133E85"/>
    <w:rsid w:val="0013449E"/>
    <w:rsid w:val="00134868"/>
    <w:rsid w:val="0013496B"/>
    <w:rsid w:val="00134A0B"/>
    <w:rsid w:val="00134B1A"/>
    <w:rsid w:val="00134CC3"/>
    <w:rsid w:val="00134D42"/>
    <w:rsid w:val="001359F7"/>
    <w:rsid w:val="00135B59"/>
    <w:rsid w:val="00136290"/>
    <w:rsid w:val="001362B8"/>
    <w:rsid w:val="00136315"/>
    <w:rsid w:val="0013657E"/>
    <w:rsid w:val="00136852"/>
    <w:rsid w:val="0013693B"/>
    <w:rsid w:val="00136C23"/>
    <w:rsid w:val="00136F94"/>
    <w:rsid w:val="0013708F"/>
    <w:rsid w:val="0013774B"/>
    <w:rsid w:val="001379FC"/>
    <w:rsid w:val="00137A04"/>
    <w:rsid w:val="00140C50"/>
    <w:rsid w:val="0014126C"/>
    <w:rsid w:val="00141584"/>
    <w:rsid w:val="001415E1"/>
    <w:rsid w:val="00141803"/>
    <w:rsid w:val="00141896"/>
    <w:rsid w:val="00141C5E"/>
    <w:rsid w:val="00141C97"/>
    <w:rsid w:val="00141D5C"/>
    <w:rsid w:val="00141E73"/>
    <w:rsid w:val="00141F65"/>
    <w:rsid w:val="00142748"/>
    <w:rsid w:val="00142C08"/>
    <w:rsid w:val="0014303A"/>
    <w:rsid w:val="001439F0"/>
    <w:rsid w:val="00143C6F"/>
    <w:rsid w:val="00143C76"/>
    <w:rsid w:val="00143F2D"/>
    <w:rsid w:val="00144167"/>
    <w:rsid w:val="00144E87"/>
    <w:rsid w:val="00145410"/>
    <w:rsid w:val="001457F0"/>
    <w:rsid w:val="0014594B"/>
    <w:rsid w:val="00145D25"/>
    <w:rsid w:val="00145D89"/>
    <w:rsid w:val="00145DBA"/>
    <w:rsid w:val="001463A6"/>
    <w:rsid w:val="00146A38"/>
    <w:rsid w:val="00146CA6"/>
    <w:rsid w:val="00146D45"/>
    <w:rsid w:val="00147446"/>
    <w:rsid w:val="001477A9"/>
    <w:rsid w:val="00147809"/>
    <w:rsid w:val="0015035E"/>
    <w:rsid w:val="00150725"/>
    <w:rsid w:val="00150BF4"/>
    <w:rsid w:val="00150DB3"/>
    <w:rsid w:val="00150F33"/>
    <w:rsid w:val="00151832"/>
    <w:rsid w:val="001519C3"/>
    <w:rsid w:val="00151CF9"/>
    <w:rsid w:val="001522A8"/>
    <w:rsid w:val="00152678"/>
    <w:rsid w:val="00152A40"/>
    <w:rsid w:val="00152C75"/>
    <w:rsid w:val="00152D5C"/>
    <w:rsid w:val="0015355F"/>
    <w:rsid w:val="0015393A"/>
    <w:rsid w:val="00154622"/>
    <w:rsid w:val="001547F7"/>
    <w:rsid w:val="001549F4"/>
    <w:rsid w:val="00154DA7"/>
    <w:rsid w:val="00155139"/>
    <w:rsid w:val="00155274"/>
    <w:rsid w:val="00155A0D"/>
    <w:rsid w:val="00155E2F"/>
    <w:rsid w:val="00155E5D"/>
    <w:rsid w:val="001563A8"/>
    <w:rsid w:val="001565D1"/>
    <w:rsid w:val="00156812"/>
    <w:rsid w:val="00156B3A"/>
    <w:rsid w:val="00156C5B"/>
    <w:rsid w:val="00156E94"/>
    <w:rsid w:val="00156EB7"/>
    <w:rsid w:val="00157457"/>
    <w:rsid w:val="001575AD"/>
    <w:rsid w:val="001575D9"/>
    <w:rsid w:val="00157A14"/>
    <w:rsid w:val="00157AC5"/>
    <w:rsid w:val="00157C2B"/>
    <w:rsid w:val="00157FE3"/>
    <w:rsid w:val="00160053"/>
    <w:rsid w:val="001600F2"/>
    <w:rsid w:val="00160131"/>
    <w:rsid w:val="00160BC0"/>
    <w:rsid w:val="00160F7E"/>
    <w:rsid w:val="001610E3"/>
    <w:rsid w:val="0016164B"/>
    <w:rsid w:val="00161A4F"/>
    <w:rsid w:val="0016206D"/>
    <w:rsid w:val="001621F0"/>
    <w:rsid w:val="001623CD"/>
    <w:rsid w:val="0016276E"/>
    <w:rsid w:val="00162C41"/>
    <w:rsid w:val="00162D71"/>
    <w:rsid w:val="00162EF5"/>
    <w:rsid w:val="0016333B"/>
    <w:rsid w:val="001634F7"/>
    <w:rsid w:val="00163613"/>
    <w:rsid w:val="00163826"/>
    <w:rsid w:val="00163896"/>
    <w:rsid w:val="00163902"/>
    <w:rsid w:val="00163E37"/>
    <w:rsid w:val="00164518"/>
    <w:rsid w:val="00164558"/>
    <w:rsid w:val="0016463D"/>
    <w:rsid w:val="00164A49"/>
    <w:rsid w:val="00164A6F"/>
    <w:rsid w:val="00164CAC"/>
    <w:rsid w:val="00164E25"/>
    <w:rsid w:val="00165685"/>
    <w:rsid w:val="00165687"/>
    <w:rsid w:val="00165B14"/>
    <w:rsid w:val="00165B40"/>
    <w:rsid w:val="00165E21"/>
    <w:rsid w:val="0016687D"/>
    <w:rsid w:val="00166BCA"/>
    <w:rsid w:val="00166C9B"/>
    <w:rsid w:val="00166E70"/>
    <w:rsid w:val="001671D3"/>
    <w:rsid w:val="0016772A"/>
    <w:rsid w:val="00170983"/>
    <w:rsid w:val="00170EC5"/>
    <w:rsid w:val="0017102D"/>
    <w:rsid w:val="00171550"/>
    <w:rsid w:val="00171B72"/>
    <w:rsid w:val="00172659"/>
    <w:rsid w:val="0017279E"/>
    <w:rsid w:val="00172839"/>
    <w:rsid w:val="001729E2"/>
    <w:rsid w:val="00172DA5"/>
    <w:rsid w:val="00172ED4"/>
    <w:rsid w:val="001732B4"/>
    <w:rsid w:val="0017346A"/>
    <w:rsid w:val="00173EF8"/>
    <w:rsid w:val="00174006"/>
    <w:rsid w:val="0017440D"/>
    <w:rsid w:val="00174682"/>
    <w:rsid w:val="001746A2"/>
    <w:rsid w:val="00174C69"/>
    <w:rsid w:val="00174D82"/>
    <w:rsid w:val="00174EC9"/>
    <w:rsid w:val="00175787"/>
    <w:rsid w:val="0017582E"/>
    <w:rsid w:val="00175DB8"/>
    <w:rsid w:val="00175F47"/>
    <w:rsid w:val="00175F6E"/>
    <w:rsid w:val="00175FA0"/>
    <w:rsid w:val="0017639D"/>
    <w:rsid w:val="001764C7"/>
    <w:rsid w:val="00176822"/>
    <w:rsid w:val="00176938"/>
    <w:rsid w:val="00176CD2"/>
    <w:rsid w:val="00176F00"/>
    <w:rsid w:val="00177CD8"/>
    <w:rsid w:val="00177DE7"/>
    <w:rsid w:val="00177E2D"/>
    <w:rsid w:val="00180588"/>
    <w:rsid w:val="001805F6"/>
    <w:rsid w:val="00180A9C"/>
    <w:rsid w:val="00180EAB"/>
    <w:rsid w:val="001811B2"/>
    <w:rsid w:val="00181316"/>
    <w:rsid w:val="00181779"/>
    <w:rsid w:val="00181BF2"/>
    <w:rsid w:val="00181CDC"/>
    <w:rsid w:val="00182361"/>
    <w:rsid w:val="0018259B"/>
    <w:rsid w:val="00182786"/>
    <w:rsid w:val="001829F1"/>
    <w:rsid w:val="00182A23"/>
    <w:rsid w:val="00182CEC"/>
    <w:rsid w:val="001831A5"/>
    <w:rsid w:val="00183A52"/>
    <w:rsid w:val="00183B5E"/>
    <w:rsid w:val="0018412C"/>
    <w:rsid w:val="001842B2"/>
    <w:rsid w:val="001843E5"/>
    <w:rsid w:val="001843F4"/>
    <w:rsid w:val="0018475D"/>
    <w:rsid w:val="00184845"/>
    <w:rsid w:val="00184929"/>
    <w:rsid w:val="00184AE3"/>
    <w:rsid w:val="00184B8D"/>
    <w:rsid w:val="00184DA7"/>
    <w:rsid w:val="00185284"/>
    <w:rsid w:val="001856AC"/>
    <w:rsid w:val="00185920"/>
    <w:rsid w:val="00185A16"/>
    <w:rsid w:val="00185C6B"/>
    <w:rsid w:val="00185C8B"/>
    <w:rsid w:val="001864D7"/>
    <w:rsid w:val="00186633"/>
    <w:rsid w:val="001867A1"/>
    <w:rsid w:val="00186DA7"/>
    <w:rsid w:val="001870CA"/>
    <w:rsid w:val="00187173"/>
    <w:rsid w:val="00187588"/>
    <w:rsid w:val="00187CDF"/>
    <w:rsid w:val="00187DA7"/>
    <w:rsid w:val="00187E9C"/>
    <w:rsid w:val="00187F65"/>
    <w:rsid w:val="00190775"/>
    <w:rsid w:val="00190921"/>
    <w:rsid w:val="00190CB5"/>
    <w:rsid w:val="0019177F"/>
    <w:rsid w:val="00191DC4"/>
    <w:rsid w:val="00192155"/>
    <w:rsid w:val="001924C3"/>
    <w:rsid w:val="001927DA"/>
    <w:rsid w:val="0019282C"/>
    <w:rsid w:val="00192DA7"/>
    <w:rsid w:val="00192EF9"/>
    <w:rsid w:val="001934F1"/>
    <w:rsid w:val="001938AC"/>
    <w:rsid w:val="00194162"/>
    <w:rsid w:val="00194BAE"/>
    <w:rsid w:val="00194C95"/>
    <w:rsid w:val="00195030"/>
    <w:rsid w:val="001950AD"/>
    <w:rsid w:val="001950D3"/>
    <w:rsid w:val="00195209"/>
    <w:rsid w:val="00195796"/>
    <w:rsid w:val="00195806"/>
    <w:rsid w:val="00195F0C"/>
    <w:rsid w:val="001960AB"/>
    <w:rsid w:val="0019635B"/>
    <w:rsid w:val="00196640"/>
    <w:rsid w:val="00196E4D"/>
    <w:rsid w:val="00196FEC"/>
    <w:rsid w:val="0019731F"/>
    <w:rsid w:val="0019794D"/>
    <w:rsid w:val="00197E5B"/>
    <w:rsid w:val="001A016B"/>
    <w:rsid w:val="001A079C"/>
    <w:rsid w:val="001A0A10"/>
    <w:rsid w:val="001A0AE2"/>
    <w:rsid w:val="001A0D12"/>
    <w:rsid w:val="001A10ED"/>
    <w:rsid w:val="001A1101"/>
    <w:rsid w:val="001A19B9"/>
    <w:rsid w:val="001A1A4B"/>
    <w:rsid w:val="001A1BF5"/>
    <w:rsid w:val="001A22B9"/>
    <w:rsid w:val="001A2343"/>
    <w:rsid w:val="001A2553"/>
    <w:rsid w:val="001A280C"/>
    <w:rsid w:val="001A28F5"/>
    <w:rsid w:val="001A2A65"/>
    <w:rsid w:val="001A2AA7"/>
    <w:rsid w:val="001A2E53"/>
    <w:rsid w:val="001A30EA"/>
    <w:rsid w:val="001A3842"/>
    <w:rsid w:val="001A39E3"/>
    <w:rsid w:val="001A419B"/>
    <w:rsid w:val="001A44BE"/>
    <w:rsid w:val="001A5071"/>
    <w:rsid w:val="001A509B"/>
    <w:rsid w:val="001A645E"/>
    <w:rsid w:val="001A67EB"/>
    <w:rsid w:val="001A6D65"/>
    <w:rsid w:val="001A705F"/>
    <w:rsid w:val="001A7102"/>
    <w:rsid w:val="001A72CB"/>
    <w:rsid w:val="001A7349"/>
    <w:rsid w:val="001A7AEE"/>
    <w:rsid w:val="001A7AF5"/>
    <w:rsid w:val="001A7BF7"/>
    <w:rsid w:val="001B00C7"/>
    <w:rsid w:val="001B0B5D"/>
    <w:rsid w:val="001B1351"/>
    <w:rsid w:val="001B13EE"/>
    <w:rsid w:val="001B1723"/>
    <w:rsid w:val="001B19BF"/>
    <w:rsid w:val="001B2836"/>
    <w:rsid w:val="001B28BE"/>
    <w:rsid w:val="001B2916"/>
    <w:rsid w:val="001B31F0"/>
    <w:rsid w:val="001B3302"/>
    <w:rsid w:val="001B3C70"/>
    <w:rsid w:val="001B3E87"/>
    <w:rsid w:val="001B406F"/>
    <w:rsid w:val="001B47A5"/>
    <w:rsid w:val="001B4A42"/>
    <w:rsid w:val="001B4A44"/>
    <w:rsid w:val="001B50D9"/>
    <w:rsid w:val="001B58C6"/>
    <w:rsid w:val="001B5ACA"/>
    <w:rsid w:val="001B5B53"/>
    <w:rsid w:val="001B5D94"/>
    <w:rsid w:val="001B5F0C"/>
    <w:rsid w:val="001B62AC"/>
    <w:rsid w:val="001B63B8"/>
    <w:rsid w:val="001B6BE8"/>
    <w:rsid w:val="001B6D06"/>
    <w:rsid w:val="001B70B3"/>
    <w:rsid w:val="001B7239"/>
    <w:rsid w:val="001B7383"/>
    <w:rsid w:val="001B7467"/>
    <w:rsid w:val="001B74F8"/>
    <w:rsid w:val="001B78AB"/>
    <w:rsid w:val="001B7945"/>
    <w:rsid w:val="001B7979"/>
    <w:rsid w:val="001B79C3"/>
    <w:rsid w:val="001B7DF4"/>
    <w:rsid w:val="001B7EAB"/>
    <w:rsid w:val="001B7FBB"/>
    <w:rsid w:val="001C0096"/>
    <w:rsid w:val="001C01B7"/>
    <w:rsid w:val="001C073C"/>
    <w:rsid w:val="001C0A76"/>
    <w:rsid w:val="001C0A8F"/>
    <w:rsid w:val="001C0FC1"/>
    <w:rsid w:val="001C0FCD"/>
    <w:rsid w:val="001C1033"/>
    <w:rsid w:val="001C1111"/>
    <w:rsid w:val="001C11F6"/>
    <w:rsid w:val="001C1CC5"/>
    <w:rsid w:val="001C22DB"/>
    <w:rsid w:val="001C26B9"/>
    <w:rsid w:val="001C2A26"/>
    <w:rsid w:val="001C3024"/>
    <w:rsid w:val="001C343D"/>
    <w:rsid w:val="001C36B7"/>
    <w:rsid w:val="001C374F"/>
    <w:rsid w:val="001C3832"/>
    <w:rsid w:val="001C3994"/>
    <w:rsid w:val="001C39C7"/>
    <w:rsid w:val="001C3BF7"/>
    <w:rsid w:val="001C3E4B"/>
    <w:rsid w:val="001C4059"/>
    <w:rsid w:val="001C4091"/>
    <w:rsid w:val="001C4258"/>
    <w:rsid w:val="001C4354"/>
    <w:rsid w:val="001C437A"/>
    <w:rsid w:val="001C49B4"/>
    <w:rsid w:val="001C4AFB"/>
    <w:rsid w:val="001C4B60"/>
    <w:rsid w:val="001C4B9E"/>
    <w:rsid w:val="001C4C24"/>
    <w:rsid w:val="001C50B9"/>
    <w:rsid w:val="001C51BB"/>
    <w:rsid w:val="001C5777"/>
    <w:rsid w:val="001C57F2"/>
    <w:rsid w:val="001C5862"/>
    <w:rsid w:val="001C5911"/>
    <w:rsid w:val="001C5A68"/>
    <w:rsid w:val="001C5A8C"/>
    <w:rsid w:val="001C5BD2"/>
    <w:rsid w:val="001C5CA3"/>
    <w:rsid w:val="001C5DFE"/>
    <w:rsid w:val="001C6025"/>
    <w:rsid w:val="001C635A"/>
    <w:rsid w:val="001C6A48"/>
    <w:rsid w:val="001C6B89"/>
    <w:rsid w:val="001C6BB0"/>
    <w:rsid w:val="001C6C15"/>
    <w:rsid w:val="001C7220"/>
    <w:rsid w:val="001C7674"/>
    <w:rsid w:val="001C77CF"/>
    <w:rsid w:val="001C799E"/>
    <w:rsid w:val="001C7CA3"/>
    <w:rsid w:val="001D0341"/>
    <w:rsid w:val="001D0C6F"/>
    <w:rsid w:val="001D0C92"/>
    <w:rsid w:val="001D10B1"/>
    <w:rsid w:val="001D16E9"/>
    <w:rsid w:val="001D1729"/>
    <w:rsid w:val="001D1CFF"/>
    <w:rsid w:val="001D1D11"/>
    <w:rsid w:val="001D1D26"/>
    <w:rsid w:val="001D1D45"/>
    <w:rsid w:val="001D25DB"/>
    <w:rsid w:val="001D26DE"/>
    <w:rsid w:val="001D2713"/>
    <w:rsid w:val="001D302D"/>
    <w:rsid w:val="001D318E"/>
    <w:rsid w:val="001D32F2"/>
    <w:rsid w:val="001D396D"/>
    <w:rsid w:val="001D3CC5"/>
    <w:rsid w:val="001D4021"/>
    <w:rsid w:val="001D42A0"/>
    <w:rsid w:val="001D4497"/>
    <w:rsid w:val="001D4CE8"/>
    <w:rsid w:val="001D4F65"/>
    <w:rsid w:val="001D4FA8"/>
    <w:rsid w:val="001D511C"/>
    <w:rsid w:val="001D5B04"/>
    <w:rsid w:val="001D61A8"/>
    <w:rsid w:val="001D64CE"/>
    <w:rsid w:val="001D654F"/>
    <w:rsid w:val="001D669A"/>
    <w:rsid w:val="001D6996"/>
    <w:rsid w:val="001D69E4"/>
    <w:rsid w:val="001D6EDB"/>
    <w:rsid w:val="001D6F91"/>
    <w:rsid w:val="001E0A60"/>
    <w:rsid w:val="001E0A8C"/>
    <w:rsid w:val="001E0AC6"/>
    <w:rsid w:val="001E0E72"/>
    <w:rsid w:val="001E104C"/>
    <w:rsid w:val="001E15C9"/>
    <w:rsid w:val="001E17AF"/>
    <w:rsid w:val="001E1963"/>
    <w:rsid w:val="001E1988"/>
    <w:rsid w:val="001E1DAC"/>
    <w:rsid w:val="001E247A"/>
    <w:rsid w:val="001E2AF9"/>
    <w:rsid w:val="001E2FC3"/>
    <w:rsid w:val="001E3364"/>
    <w:rsid w:val="001E3967"/>
    <w:rsid w:val="001E3A5D"/>
    <w:rsid w:val="001E3A6D"/>
    <w:rsid w:val="001E3C38"/>
    <w:rsid w:val="001E3E09"/>
    <w:rsid w:val="001E3FCC"/>
    <w:rsid w:val="001E439A"/>
    <w:rsid w:val="001E47D1"/>
    <w:rsid w:val="001E4B8B"/>
    <w:rsid w:val="001E4F67"/>
    <w:rsid w:val="001E57AA"/>
    <w:rsid w:val="001E57AE"/>
    <w:rsid w:val="001E596D"/>
    <w:rsid w:val="001E5B6C"/>
    <w:rsid w:val="001E5F9B"/>
    <w:rsid w:val="001E64B0"/>
    <w:rsid w:val="001E66EC"/>
    <w:rsid w:val="001E6A3D"/>
    <w:rsid w:val="001E701C"/>
    <w:rsid w:val="001E709F"/>
    <w:rsid w:val="001E788D"/>
    <w:rsid w:val="001E7AE8"/>
    <w:rsid w:val="001F00A1"/>
    <w:rsid w:val="001F08C6"/>
    <w:rsid w:val="001F0C56"/>
    <w:rsid w:val="001F0EC5"/>
    <w:rsid w:val="001F0EFD"/>
    <w:rsid w:val="001F1461"/>
    <w:rsid w:val="001F149D"/>
    <w:rsid w:val="001F2418"/>
    <w:rsid w:val="001F27CF"/>
    <w:rsid w:val="001F287A"/>
    <w:rsid w:val="001F2D14"/>
    <w:rsid w:val="001F2DD8"/>
    <w:rsid w:val="001F2F07"/>
    <w:rsid w:val="001F33FC"/>
    <w:rsid w:val="001F3430"/>
    <w:rsid w:val="001F3436"/>
    <w:rsid w:val="001F3DA4"/>
    <w:rsid w:val="001F41EF"/>
    <w:rsid w:val="001F43DE"/>
    <w:rsid w:val="001F4A20"/>
    <w:rsid w:val="001F4C03"/>
    <w:rsid w:val="001F5356"/>
    <w:rsid w:val="001F554E"/>
    <w:rsid w:val="001F5711"/>
    <w:rsid w:val="001F5C63"/>
    <w:rsid w:val="001F5CBE"/>
    <w:rsid w:val="001F5F61"/>
    <w:rsid w:val="001F63CC"/>
    <w:rsid w:val="001F6440"/>
    <w:rsid w:val="001F6E81"/>
    <w:rsid w:val="001F731E"/>
    <w:rsid w:val="001F73B5"/>
    <w:rsid w:val="001F741C"/>
    <w:rsid w:val="001F7452"/>
    <w:rsid w:val="001F7778"/>
    <w:rsid w:val="001F7FC3"/>
    <w:rsid w:val="002000CE"/>
    <w:rsid w:val="002005A6"/>
    <w:rsid w:val="002006C7"/>
    <w:rsid w:val="00200882"/>
    <w:rsid w:val="002019CE"/>
    <w:rsid w:val="002025BD"/>
    <w:rsid w:val="0020376E"/>
    <w:rsid w:val="002039D9"/>
    <w:rsid w:val="00203E2F"/>
    <w:rsid w:val="00203FAB"/>
    <w:rsid w:val="002048C0"/>
    <w:rsid w:val="00204C73"/>
    <w:rsid w:val="0020522C"/>
    <w:rsid w:val="00205545"/>
    <w:rsid w:val="00205A15"/>
    <w:rsid w:val="00205D40"/>
    <w:rsid w:val="00205D71"/>
    <w:rsid w:val="00205E16"/>
    <w:rsid w:val="0020654E"/>
    <w:rsid w:val="002066D8"/>
    <w:rsid w:val="00206A46"/>
    <w:rsid w:val="00206A70"/>
    <w:rsid w:val="00206B3D"/>
    <w:rsid w:val="00206D7F"/>
    <w:rsid w:val="00206DBB"/>
    <w:rsid w:val="00206FA1"/>
    <w:rsid w:val="0020753F"/>
    <w:rsid w:val="00210316"/>
    <w:rsid w:val="00210713"/>
    <w:rsid w:val="00210ACF"/>
    <w:rsid w:val="00210B56"/>
    <w:rsid w:val="00210B7C"/>
    <w:rsid w:val="00210B7F"/>
    <w:rsid w:val="00211001"/>
    <w:rsid w:val="00211110"/>
    <w:rsid w:val="00211B7B"/>
    <w:rsid w:val="00212596"/>
    <w:rsid w:val="002129C7"/>
    <w:rsid w:val="00213306"/>
    <w:rsid w:val="0021330E"/>
    <w:rsid w:val="002134B8"/>
    <w:rsid w:val="00213553"/>
    <w:rsid w:val="002135B5"/>
    <w:rsid w:val="002137E9"/>
    <w:rsid w:val="00213A62"/>
    <w:rsid w:val="00213BD1"/>
    <w:rsid w:val="00213F80"/>
    <w:rsid w:val="00213F89"/>
    <w:rsid w:val="002144E3"/>
    <w:rsid w:val="002147D6"/>
    <w:rsid w:val="002148FE"/>
    <w:rsid w:val="0021492C"/>
    <w:rsid w:val="00214A14"/>
    <w:rsid w:val="0021511B"/>
    <w:rsid w:val="002151CF"/>
    <w:rsid w:val="002152FC"/>
    <w:rsid w:val="00215DA2"/>
    <w:rsid w:val="00216093"/>
    <w:rsid w:val="0021611E"/>
    <w:rsid w:val="00216196"/>
    <w:rsid w:val="002162C8"/>
    <w:rsid w:val="002162CB"/>
    <w:rsid w:val="00216A79"/>
    <w:rsid w:val="00216E88"/>
    <w:rsid w:val="002172F8"/>
    <w:rsid w:val="00217851"/>
    <w:rsid w:val="00217CB6"/>
    <w:rsid w:val="00217FE3"/>
    <w:rsid w:val="002200A4"/>
    <w:rsid w:val="00220709"/>
    <w:rsid w:val="00220D3B"/>
    <w:rsid w:val="00220D4F"/>
    <w:rsid w:val="00220DE3"/>
    <w:rsid w:val="0022112C"/>
    <w:rsid w:val="00221621"/>
    <w:rsid w:val="00221A0E"/>
    <w:rsid w:val="00222066"/>
    <w:rsid w:val="00222413"/>
    <w:rsid w:val="00222B38"/>
    <w:rsid w:val="00222B73"/>
    <w:rsid w:val="00222C8F"/>
    <w:rsid w:val="00222E1C"/>
    <w:rsid w:val="00222FD2"/>
    <w:rsid w:val="002230E2"/>
    <w:rsid w:val="0022325D"/>
    <w:rsid w:val="002236D2"/>
    <w:rsid w:val="0022389B"/>
    <w:rsid w:val="00224002"/>
    <w:rsid w:val="002245EC"/>
    <w:rsid w:val="002247C8"/>
    <w:rsid w:val="002248BE"/>
    <w:rsid w:val="00224D65"/>
    <w:rsid w:val="002252EB"/>
    <w:rsid w:val="00225740"/>
    <w:rsid w:val="00225AC2"/>
    <w:rsid w:val="00225BAC"/>
    <w:rsid w:val="00225BD5"/>
    <w:rsid w:val="00225C96"/>
    <w:rsid w:val="00226059"/>
    <w:rsid w:val="0022625B"/>
    <w:rsid w:val="00226892"/>
    <w:rsid w:val="0022707A"/>
    <w:rsid w:val="002271D5"/>
    <w:rsid w:val="0022746D"/>
    <w:rsid w:val="00227471"/>
    <w:rsid w:val="00227841"/>
    <w:rsid w:val="00227B60"/>
    <w:rsid w:val="00227C6D"/>
    <w:rsid w:val="0023004B"/>
    <w:rsid w:val="002301AF"/>
    <w:rsid w:val="002301D3"/>
    <w:rsid w:val="00230D2E"/>
    <w:rsid w:val="00231102"/>
    <w:rsid w:val="00231357"/>
    <w:rsid w:val="00231500"/>
    <w:rsid w:val="0023172C"/>
    <w:rsid w:val="00231895"/>
    <w:rsid w:val="00231899"/>
    <w:rsid w:val="00231B4A"/>
    <w:rsid w:val="00231BFB"/>
    <w:rsid w:val="00232277"/>
    <w:rsid w:val="00232C01"/>
    <w:rsid w:val="002333E6"/>
    <w:rsid w:val="002335A6"/>
    <w:rsid w:val="002335B5"/>
    <w:rsid w:val="00233614"/>
    <w:rsid w:val="002337D7"/>
    <w:rsid w:val="00233B55"/>
    <w:rsid w:val="00233D9B"/>
    <w:rsid w:val="00233F19"/>
    <w:rsid w:val="0023450F"/>
    <w:rsid w:val="00234E4A"/>
    <w:rsid w:val="002351D1"/>
    <w:rsid w:val="00235252"/>
    <w:rsid w:val="0023580C"/>
    <w:rsid w:val="00235CDF"/>
    <w:rsid w:val="00236174"/>
    <w:rsid w:val="002364F2"/>
    <w:rsid w:val="0023685A"/>
    <w:rsid w:val="0023688E"/>
    <w:rsid w:val="00236F72"/>
    <w:rsid w:val="00236FA4"/>
    <w:rsid w:val="002370AA"/>
    <w:rsid w:val="0023719D"/>
    <w:rsid w:val="00237250"/>
    <w:rsid w:val="002372CA"/>
    <w:rsid w:val="002372D6"/>
    <w:rsid w:val="00237CA4"/>
    <w:rsid w:val="00237F86"/>
    <w:rsid w:val="002402B6"/>
    <w:rsid w:val="0024080A"/>
    <w:rsid w:val="0024237F"/>
    <w:rsid w:val="002424EF"/>
    <w:rsid w:val="002427AB"/>
    <w:rsid w:val="00243065"/>
    <w:rsid w:val="002433FE"/>
    <w:rsid w:val="00243540"/>
    <w:rsid w:val="002435AE"/>
    <w:rsid w:val="0024369C"/>
    <w:rsid w:val="0024387A"/>
    <w:rsid w:val="00243C40"/>
    <w:rsid w:val="00243F22"/>
    <w:rsid w:val="002447D8"/>
    <w:rsid w:val="00244AB7"/>
    <w:rsid w:val="00244B53"/>
    <w:rsid w:val="00244F2E"/>
    <w:rsid w:val="00244F6E"/>
    <w:rsid w:val="00245589"/>
    <w:rsid w:val="0024562A"/>
    <w:rsid w:val="00245B2B"/>
    <w:rsid w:val="00245BFF"/>
    <w:rsid w:val="00245C52"/>
    <w:rsid w:val="00245CC4"/>
    <w:rsid w:val="00245D3C"/>
    <w:rsid w:val="0024671F"/>
    <w:rsid w:val="00246952"/>
    <w:rsid w:val="00246A4D"/>
    <w:rsid w:val="00246D00"/>
    <w:rsid w:val="00246D71"/>
    <w:rsid w:val="002471F0"/>
    <w:rsid w:val="002475B1"/>
    <w:rsid w:val="00247873"/>
    <w:rsid w:val="00247AC4"/>
    <w:rsid w:val="00250104"/>
    <w:rsid w:val="00250730"/>
    <w:rsid w:val="002507A9"/>
    <w:rsid w:val="002509EC"/>
    <w:rsid w:val="00250CCB"/>
    <w:rsid w:val="00250E25"/>
    <w:rsid w:val="00250E5B"/>
    <w:rsid w:val="00250F1F"/>
    <w:rsid w:val="00251407"/>
    <w:rsid w:val="002517E2"/>
    <w:rsid w:val="002518E3"/>
    <w:rsid w:val="00251F22"/>
    <w:rsid w:val="00252B4A"/>
    <w:rsid w:val="00252D8D"/>
    <w:rsid w:val="00252E18"/>
    <w:rsid w:val="00252EEC"/>
    <w:rsid w:val="00252F9F"/>
    <w:rsid w:val="00253000"/>
    <w:rsid w:val="0025355D"/>
    <w:rsid w:val="0025373A"/>
    <w:rsid w:val="00253939"/>
    <w:rsid w:val="0025424E"/>
    <w:rsid w:val="002546C3"/>
    <w:rsid w:val="0025497D"/>
    <w:rsid w:val="00254ABA"/>
    <w:rsid w:val="00254F91"/>
    <w:rsid w:val="00255182"/>
    <w:rsid w:val="002553BF"/>
    <w:rsid w:val="00255633"/>
    <w:rsid w:val="00255D38"/>
    <w:rsid w:val="00256120"/>
    <w:rsid w:val="00256577"/>
    <w:rsid w:val="002569C3"/>
    <w:rsid w:val="00256ADC"/>
    <w:rsid w:val="00256C5D"/>
    <w:rsid w:val="00256C6B"/>
    <w:rsid w:val="00256CE9"/>
    <w:rsid w:val="00257012"/>
    <w:rsid w:val="002570A6"/>
    <w:rsid w:val="00257A57"/>
    <w:rsid w:val="00257CF7"/>
    <w:rsid w:val="00257EEC"/>
    <w:rsid w:val="00260222"/>
    <w:rsid w:val="00260770"/>
    <w:rsid w:val="00261101"/>
    <w:rsid w:val="0026122A"/>
    <w:rsid w:val="00261A1E"/>
    <w:rsid w:val="00261C4B"/>
    <w:rsid w:val="00261D99"/>
    <w:rsid w:val="00261EA3"/>
    <w:rsid w:val="002621BF"/>
    <w:rsid w:val="002622E3"/>
    <w:rsid w:val="002624C0"/>
    <w:rsid w:val="00262B4A"/>
    <w:rsid w:val="00262B70"/>
    <w:rsid w:val="00262EA4"/>
    <w:rsid w:val="00263136"/>
    <w:rsid w:val="0026329B"/>
    <w:rsid w:val="0026352E"/>
    <w:rsid w:val="00263533"/>
    <w:rsid w:val="0026383D"/>
    <w:rsid w:val="0026391C"/>
    <w:rsid w:val="0026395E"/>
    <w:rsid w:val="00263C46"/>
    <w:rsid w:val="00263D08"/>
    <w:rsid w:val="00264153"/>
    <w:rsid w:val="00264631"/>
    <w:rsid w:val="00264A6A"/>
    <w:rsid w:val="00264E49"/>
    <w:rsid w:val="00264EA7"/>
    <w:rsid w:val="00265134"/>
    <w:rsid w:val="002656D1"/>
    <w:rsid w:val="002657A0"/>
    <w:rsid w:val="002657F4"/>
    <w:rsid w:val="00265BD4"/>
    <w:rsid w:val="00266DB3"/>
    <w:rsid w:val="00267412"/>
    <w:rsid w:val="00267510"/>
    <w:rsid w:val="00267A55"/>
    <w:rsid w:val="00267C4C"/>
    <w:rsid w:val="00267CBB"/>
    <w:rsid w:val="00267DD9"/>
    <w:rsid w:val="002701ED"/>
    <w:rsid w:val="00270292"/>
    <w:rsid w:val="0027033D"/>
    <w:rsid w:val="002704CB"/>
    <w:rsid w:val="0027078C"/>
    <w:rsid w:val="0027090E"/>
    <w:rsid w:val="00270980"/>
    <w:rsid w:val="00270BFE"/>
    <w:rsid w:val="00270C79"/>
    <w:rsid w:val="00270E4C"/>
    <w:rsid w:val="00271008"/>
    <w:rsid w:val="00271052"/>
    <w:rsid w:val="00271185"/>
    <w:rsid w:val="002711F8"/>
    <w:rsid w:val="0027153D"/>
    <w:rsid w:val="002723EB"/>
    <w:rsid w:val="0027272F"/>
    <w:rsid w:val="002728E2"/>
    <w:rsid w:val="002728E7"/>
    <w:rsid w:val="00273496"/>
    <w:rsid w:val="00273869"/>
    <w:rsid w:val="00273AEA"/>
    <w:rsid w:val="00274019"/>
    <w:rsid w:val="00274164"/>
    <w:rsid w:val="002748AF"/>
    <w:rsid w:val="00274B12"/>
    <w:rsid w:val="002752B4"/>
    <w:rsid w:val="00275395"/>
    <w:rsid w:val="00275422"/>
    <w:rsid w:val="00275585"/>
    <w:rsid w:val="002758CF"/>
    <w:rsid w:val="00275A7F"/>
    <w:rsid w:val="00275F49"/>
    <w:rsid w:val="00275FD1"/>
    <w:rsid w:val="00276019"/>
    <w:rsid w:val="00276161"/>
    <w:rsid w:val="00276247"/>
    <w:rsid w:val="00276369"/>
    <w:rsid w:val="002763AA"/>
    <w:rsid w:val="002765BA"/>
    <w:rsid w:val="00276A2B"/>
    <w:rsid w:val="00276DFB"/>
    <w:rsid w:val="002771DE"/>
    <w:rsid w:val="0027783F"/>
    <w:rsid w:val="00277885"/>
    <w:rsid w:val="00277C49"/>
    <w:rsid w:val="00277CAD"/>
    <w:rsid w:val="002801B7"/>
    <w:rsid w:val="002819A9"/>
    <w:rsid w:val="0028210E"/>
    <w:rsid w:val="002821F1"/>
    <w:rsid w:val="00282866"/>
    <w:rsid w:val="00282A1D"/>
    <w:rsid w:val="00282C5F"/>
    <w:rsid w:val="00282E5F"/>
    <w:rsid w:val="00283372"/>
    <w:rsid w:val="00283572"/>
    <w:rsid w:val="002836AD"/>
    <w:rsid w:val="00283AE8"/>
    <w:rsid w:val="00283B2A"/>
    <w:rsid w:val="00283F20"/>
    <w:rsid w:val="00284E31"/>
    <w:rsid w:val="00284E80"/>
    <w:rsid w:val="00284F6E"/>
    <w:rsid w:val="00285880"/>
    <w:rsid w:val="00285BC5"/>
    <w:rsid w:val="00285D19"/>
    <w:rsid w:val="00285D8C"/>
    <w:rsid w:val="0028654A"/>
    <w:rsid w:val="002866C0"/>
    <w:rsid w:val="002868FF"/>
    <w:rsid w:val="00286B7D"/>
    <w:rsid w:val="00286F98"/>
    <w:rsid w:val="00287006"/>
    <w:rsid w:val="00287410"/>
    <w:rsid w:val="002900D4"/>
    <w:rsid w:val="00290465"/>
    <w:rsid w:val="00290500"/>
    <w:rsid w:val="00290806"/>
    <w:rsid w:val="0029086E"/>
    <w:rsid w:val="00290A2A"/>
    <w:rsid w:val="00290BFB"/>
    <w:rsid w:val="00290D7A"/>
    <w:rsid w:val="00290DEB"/>
    <w:rsid w:val="00291751"/>
    <w:rsid w:val="00291877"/>
    <w:rsid w:val="00291C17"/>
    <w:rsid w:val="00291D12"/>
    <w:rsid w:val="00291D1C"/>
    <w:rsid w:val="00291DF1"/>
    <w:rsid w:val="00291E77"/>
    <w:rsid w:val="00292400"/>
    <w:rsid w:val="00292584"/>
    <w:rsid w:val="00292A1C"/>
    <w:rsid w:val="00292AE3"/>
    <w:rsid w:val="00292DAD"/>
    <w:rsid w:val="00292EBC"/>
    <w:rsid w:val="00293308"/>
    <w:rsid w:val="00293312"/>
    <w:rsid w:val="002936E5"/>
    <w:rsid w:val="00293D89"/>
    <w:rsid w:val="00294145"/>
    <w:rsid w:val="002943AE"/>
    <w:rsid w:val="00294694"/>
    <w:rsid w:val="002948A7"/>
    <w:rsid w:val="00294AAB"/>
    <w:rsid w:val="00294D6D"/>
    <w:rsid w:val="00294D77"/>
    <w:rsid w:val="00294E49"/>
    <w:rsid w:val="00294EF0"/>
    <w:rsid w:val="00294F92"/>
    <w:rsid w:val="00295A0C"/>
    <w:rsid w:val="00296075"/>
    <w:rsid w:val="00296736"/>
    <w:rsid w:val="002968ED"/>
    <w:rsid w:val="00296E68"/>
    <w:rsid w:val="00297134"/>
    <w:rsid w:val="00297319"/>
    <w:rsid w:val="002973A3"/>
    <w:rsid w:val="00297523"/>
    <w:rsid w:val="002976A0"/>
    <w:rsid w:val="0029798D"/>
    <w:rsid w:val="00297A07"/>
    <w:rsid w:val="00297DBE"/>
    <w:rsid w:val="002A0124"/>
    <w:rsid w:val="002A03E9"/>
    <w:rsid w:val="002A0712"/>
    <w:rsid w:val="002A07A7"/>
    <w:rsid w:val="002A0AF7"/>
    <w:rsid w:val="002A0D46"/>
    <w:rsid w:val="002A1004"/>
    <w:rsid w:val="002A14BF"/>
    <w:rsid w:val="002A1978"/>
    <w:rsid w:val="002A21B9"/>
    <w:rsid w:val="002A2418"/>
    <w:rsid w:val="002A247F"/>
    <w:rsid w:val="002A275F"/>
    <w:rsid w:val="002A286A"/>
    <w:rsid w:val="002A2EA6"/>
    <w:rsid w:val="002A3303"/>
    <w:rsid w:val="002A39C2"/>
    <w:rsid w:val="002A3AB7"/>
    <w:rsid w:val="002A3B52"/>
    <w:rsid w:val="002A3F72"/>
    <w:rsid w:val="002A402A"/>
    <w:rsid w:val="002A46CF"/>
    <w:rsid w:val="002A4AF0"/>
    <w:rsid w:val="002A511C"/>
    <w:rsid w:val="002A5EA7"/>
    <w:rsid w:val="002A621A"/>
    <w:rsid w:val="002A64F9"/>
    <w:rsid w:val="002A6BC0"/>
    <w:rsid w:val="002A719E"/>
    <w:rsid w:val="002A71C6"/>
    <w:rsid w:val="002A72A3"/>
    <w:rsid w:val="002A7A5F"/>
    <w:rsid w:val="002A7CBF"/>
    <w:rsid w:val="002B08A9"/>
    <w:rsid w:val="002B0D52"/>
    <w:rsid w:val="002B10B6"/>
    <w:rsid w:val="002B11CC"/>
    <w:rsid w:val="002B15D8"/>
    <w:rsid w:val="002B16EB"/>
    <w:rsid w:val="002B1965"/>
    <w:rsid w:val="002B1DA2"/>
    <w:rsid w:val="002B249F"/>
    <w:rsid w:val="002B25C6"/>
    <w:rsid w:val="002B26A8"/>
    <w:rsid w:val="002B2711"/>
    <w:rsid w:val="002B2731"/>
    <w:rsid w:val="002B289E"/>
    <w:rsid w:val="002B2938"/>
    <w:rsid w:val="002B2B5B"/>
    <w:rsid w:val="002B2BED"/>
    <w:rsid w:val="002B3D25"/>
    <w:rsid w:val="002B3E2D"/>
    <w:rsid w:val="002B41D5"/>
    <w:rsid w:val="002B451D"/>
    <w:rsid w:val="002B4880"/>
    <w:rsid w:val="002B495C"/>
    <w:rsid w:val="002B4CD0"/>
    <w:rsid w:val="002B4FF3"/>
    <w:rsid w:val="002B5185"/>
    <w:rsid w:val="002B52BE"/>
    <w:rsid w:val="002B54CA"/>
    <w:rsid w:val="002B5AFC"/>
    <w:rsid w:val="002B617A"/>
    <w:rsid w:val="002B6307"/>
    <w:rsid w:val="002B6322"/>
    <w:rsid w:val="002B65A1"/>
    <w:rsid w:val="002B6888"/>
    <w:rsid w:val="002B6A84"/>
    <w:rsid w:val="002B766F"/>
    <w:rsid w:val="002B7772"/>
    <w:rsid w:val="002B793B"/>
    <w:rsid w:val="002B7ADC"/>
    <w:rsid w:val="002B7D00"/>
    <w:rsid w:val="002B7D29"/>
    <w:rsid w:val="002C01BD"/>
    <w:rsid w:val="002C03E9"/>
    <w:rsid w:val="002C0E56"/>
    <w:rsid w:val="002C12A4"/>
    <w:rsid w:val="002C17E5"/>
    <w:rsid w:val="002C1BE3"/>
    <w:rsid w:val="002C20C4"/>
    <w:rsid w:val="002C2560"/>
    <w:rsid w:val="002C2E74"/>
    <w:rsid w:val="002C31C2"/>
    <w:rsid w:val="002C3AE2"/>
    <w:rsid w:val="002C47B1"/>
    <w:rsid w:val="002C4AAF"/>
    <w:rsid w:val="002C4C47"/>
    <w:rsid w:val="002C4CFD"/>
    <w:rsid w:val="002C50E0"/>
    <w:rsid w:val="002C5AD2"/>
    <w:rsid w:val="002C5B1B"/>
    <w:rsid w:val="002C5BA0"/>
    <w:rsid w:val="002C66B3"/>
    <w:rsid w:val="002C67A6"/>
    <w:rsid w:val="002C68FB"/>
    <w:rsid w:val="002C6998"/>
    <w:rsid w:val="002C6AAC"/>
    <w:rsid w:val="002C6E86"/>
    <w:rsid w:val="002C70DD"/>
    <w:rsid w:val="002C7288"/>
    <w:rsid w:val="002C72E7"/>
    <w:rsid w:val="002C73D6"/>
    <w:rsid w:val="002C7540"/>
    <w:rsid w:val="002C7622"/>
    <w:rsid w:val="002C7723"/>
    <w:rsid w:val="002C781F"/>
    <w:rsid w:val="002C7DAF"/>
    <w:rsid w:val="002C7DB8"/>
    <w:rsid w:val="002C7F70"/>
    <w:rsid w:val="002D091E"/>
    <w:rsid w:val="002D0A4B"/>
    <w:rsid w:val="002D0B87"/>
    <w:rsid w:val="002D0DDB"/>
    <w:rsid w:val="002D10E7"/>
    <w:rsid w:val="002D16D2"/>
    <w:rsid w:val="002D1853"/>
    <w:rsid w:val="002D18A2"/>
    <w:rsid w:val="002D1DE9"/>
    <w:rsid w:val="002D213C"/>
    <w:rsid w:val="002D2223"/>
    <w:rsid w:val="002D2395"/>
    <w:rsid w:val="002D2472"/>
    <w:rsid w:val="002D2603"/>
    <w:rsid w:val="002D2940"/>
    <w:rsid w:val="002D2A24"/>
    <w:rsid w:val="002D2BA7"/>
    <w:rsid w:val="002D2D4B"/>
    <w:rsid w:val="002D2E6E"/>
    <w:rsid w:val="002D316F"/>
    <w:rsid w:val="002D3977"/>
    <w:rsid w:val="002D3A3C"/>
    <w:rsid w:val="002D3D03"/>
    <w:rsid w:val="002D400B"/>
    <w:rsid w:val="002D44F9"/>
    <w:rsid w:val="002D4B6E"/>
    <w:rsid w:val="002D4C20"/>
    <w:rsid w:val="002D5063"/>
    <w:rsid w:val="002D55B4"/>
    <w:rsid w:val="002D5737"/>
    <w:rsid w:val="002D5852"/>
    <w:rsid w:val="002D5876"/>
    <w:rsid w:val="002D5B7A"/>
    <w:rsid w:val="002D5C81"/>
    <w:rsid w:val="002D5D24"/>
    <w:rsid w:val="002D6515"/>
    <w:rsid w:val="002D6AF2"/>
    <w:rsid w:val="002D6CF2"/>
    <w:rsid w:val="002D7091"/>
    <w:rsid w:val="002D72AA"/>
    <w:rsid w:val="002D7443"/>
    <w:rsid w:val="002D7893"/>
    <w:rsid w:val="002D7A8E"/>
    <w:rsid w:val="002E0788"/>
    <w:rsid w:val="002E0BDD"/>
    <w:rsid w:val="002E0D4F"/>
    <w:rsid w:val="002E0FB8"/>
    <w:rsid w:val="002E1601"/>
    <w:rsid w:val="002E17DD"/>
    <w:rsid w:val="002E17F6"/>
    <w:rsid w:val="002E1981"/>
    <w:rsid w:val="002E2284"/>
    <w:rsid w:val="002E2299"/>
    <w:rsid w:val="002E2901"/>
    <w:rsid w:val="002E2D6D"/>
    <w:rsid w:val="002E3047"/>
    <w:rsid w:val="002E39EF"/>
    <w:rsid w:val="002E3BFB"/>
    <w:rsid w:val="002E3C78"/>
    <w:rsid w:val="002E3FBD"/>
    <w:rsid w:val="002E4094"/>
    <w:rsid w:val="002E40ED"/>
    <w:rsid w:val="002E4231"/>
    <w:rsid w:val="002E43C6"/>
    <w:rsid w:val="002E4A18"/>
    <w:rsid w:val="002E4CEA"/>
    <w:rsid w:val="002E4FAF"/>
    <w:rsid w:val="002E508B"/>
    <w:rsid w:val="002E53E9"/>
    <w:rsid w:val="002E58C0"/>
    <w:rsid w:val="002E5A60"/>
    <w:rsid w:val="002E5DAC"/>
    <w:rsid w:val="002E5E40"/>
    <w:rsid w:val="002E6AB4"/>
    <w:rsid w:val="002E6FCE"/>
    <w:rsid w:val="002E7456"/>
    <w:rsid w:val="002E76CE"/>
    <w:rsid w:val="002E76D3"/>
    <w:rsid w:val="002E7B31"/>
    <w:rsid w:val="002E7ED8"/>
    <w:rsid w:val="002F0249"/>
    <w:rsid w:val="002F031B"/>
    <w:rsid w:val="002F03CA"/>
    <w:rsid w:val="002F08CD"/>
    <w:rsid w:val="002F0AC5"/>
    <w:rsid w:val="002F0AD7"/>
    <w:rsid w:val="002F1828"/>
    <w:rsid w:val="002F1DE1"/>
    <w:rsid w:val="002F1FDA"/>
    <w:rsid w:val="002F24B5"/>
    <w:rsid w:val="002F2833"/>
    <w:rsid w:val="002F2A00"/>
    <w:rsid w:val="002F31E6"/>
    <w:rsid w:val="002F31F5"/>
    <w:rsid w:val="002F35CB"/>
    <w:rsid w:val="002F3BB7"/>
    <w:rsid w:val="002F416C"/>
    <w:rsid w:val="002F4175"/>
    <w:rsid w:val="002F4837"/>
    <w:rsid w:val="002F4A02"/>
    <w:rsid w:val="002F4AEF"/>
    <w:rsid w:val="002F4CA0"/>
    <w:rsid w:val="002F4CA5"/>
    <w:rsid w:val="002F5102"/>
    <w:rsid w:val="002F56AF"/>
    <w:rsid w:val="002F5914"/>
    <w:rsid w:val="002F5A33"/>
    <w:rsid w:val="002F5A3A"/>
    <w:rsid w:val="002F5E75"/>
    <w:rsid w:val="002F5F5D"/>
    <w:rsid w:val="002F61B3"/>
    <w:rsid w:val="002F6C28"/>
    <w:rsid w:val="002F7383"/>
    <w:rsid w:val="002F7994"/>
    <w:rsid w:val="002F7AB6"/>
    <w:rsid w:val="002F7C4D"/>
    <w:rsid w:val="002F7FEB"/>
    <w:rsid w:val="0030068F"/>
    <w:rsid w:val="003007FC"/>
    <w:rsid w:val="00300A40"/>
    <w:rsid w:val="00300BEA"/>
    <w:rsid w:val="00300C58"/>
    <w:rsid w:val="00301005"/>
    <w:rsid w:val="003017AC"/>
    <w:rsid w:val="00301AAE"/>
    <w:rsid w:val="00301B06"/>
    <w:rsid w:val="00302134"/>
    <w:rsid w:val="003022FB"/>
    <w:rsid w:val="00302663"/>
    <w:rsid w:val="003027F3"/>
    <w:rsid w:val="003029F8"/>
    <w:rsid w:val="00302A6B"/>
    <w:rsid w:val="00302C89"/>
    <w:rsid w:val="00302EC2"/>
    <w:rsid w:val="00303340"/>
    <w:rsid w:val="00303401"/>
    <w:rsid w:val="0030386B"/>
    <w:rsid w:val="00303B57"/>
    <w:rsid w:val="00303C08"/>
    <w:rsid w:val="00303F0E"/>
    <w:rsid w:val="003040E1"/>
    <w:rsid w:val="0030419F"/>
    <w:rsid w:val="0030449E"/>
    <w:rsid w:val="00305735"/>
    <w:rsid w:val="00305A82"/>
    <w:rsid w:val="00305C47"/>
    <w:rsid w:val="00305CBD"/>
    <w:rsid w:val="00305F1C"/>
    <w:rsid w:val="00306130"/>
    <w:rsid w:val="003066B7"/>
    <w:rsid w:val="00306F00"/>
    <w:rsid w:val="00306F24"/>
    <w:rsid w:val="0030722E"/>
    <w:rsid w:val="003072FF"/>
    <w:rsid w:val="00307371"/>
    <w:rsid w:val="00307416"/>
    <w:rsid w:val="003075C2"/>
    <w:rsid w:val="003077EF"/>
    <w:rsid w:val="00307B3C"/>
    <w:rsid w:val="00307B91"/>
    <w:rsid w:val="00307D95"/>
    <w:rsid w:val="003105C7"/>
    <w:rsid w:val="003106B2"/>
    <w:rsid w:val="00310C00"/>
    <w:rsid w:val="00310FA5"/>
    <w:rsid w:val="00311112"/>
    <w:rsid w:val="00311480"/>
    <w:rsid w:val="00311494"/>
    <w:rsid w:val="00311601"/>
    <w:rsid w:val="003116B8"/>
    <w:rsid w:val="003119FE"/>
    <w:rsid w:val="00311E52"/>
    <w:rsid w:val="003121D0"/>
    <w:rsid w:val="00312207"/>
    <w:rsid w:val="0031233F"/>
    <w:rsid w:val="00312922"/>
    <w:rsid w:val="00312DC2"/>
    <w:rsid w:val="0031329C"/>
    <w:rsid w:val="003137BA"/>
    <w:rsid w:val="00313C84"/>
    <w:rsid w:val="00313CE9"/>
    <w:rsid w:val="003140CA"/>
    <w:rsid w:val="003146CD"/>
    <w:rsid w:val="00314A29"/>
    <w:rsid w:val="00314A87"/>
    <w:rsid w:val="00314B54"/>
    <w:rsid w:val="0031590B"/>
    <w:rsid w:val="00315EAA"/>
    <w:rsid w:val="00315F1D"/>
    <w:rsid w:val="00315FA3"/>
    <w:rsid w:val="0031610F"/>
    <w:rsid w:val="003165D6"/>
    <w:rsid w:val="003167A8"/>
    <w:rsid w:val="00316D5B"/>
    <w:rsid w:val="00316D84"/>
    <w:rsid w:val="003175BE"/>
    <w:rsid w:val="003175DB"/>
    <w:rsid w:val="00317B9F"/>
    <w:rsid w:val="00317FBD"/>
    <w:rsid w:val="00317FDB"/>
    <w:rsid w:val="003200BF"/>
    <w:rsid w:val="0032018F"/>
    <w:rsid w:val="0032025C"/>
    <w:rsid w:val="003203A4"/>
    <w:rsid w:val="0032044A"/>
    <w:rsid w:val="003205D5"/>
    <w:rsid w:val="00320896"/>
    <w:rsid w:val="0032091B"/>
    <w:rsid w:val="00320FFA"/>
    <w:rsid w:val="00321539"/>
    <w:rsid w:val="0032162F"/>
    <w:rsid w:val="0032176C"/>
    <w:rsid w:val="003219E7"/>
    <w:rsid w:val="00321D84"/>
    <w:rsid w:val="00321FB4"/>
    <w:rsid w:val="003224B1"/>
    <w:rsid w:val="003227F6"/>
    <w:rsid w:val="00322A28"/>
    <w:rsid w:val="00322E5D"/>
    <w:rsid w:val="003231BD"/>
    <w:rsid w:val="003232B9"/>
    <w:rsid w:val="00323774"/>
    <w:rsid w:val="00323A58"/>
    <w:rsid w:val="00323B52"/>
    <w:rsid w:val="00323E6B"/>
    <w:rsid w:val="00323EBC"/>
    <w:rsid w:val="00323FA0"/>
    <w:rsid w:val="00324113"/>
    <w:rsid w:val="003244EA"/>
    <w:rsid w:val="00324756"/>
    <w:rsid w:val="00324AA6"/>
    <w:rsid w:val="00324E5F"/>
    <w:rsid w:val="0032513D"/>
    <w:rsid w:val="00325408"/>
    <w:rsid w:val="00325469"/>
    <w:rsid w:val="003259EB"/>
    <w:rsid w:val="00325F73"/>
    <w:rsid w:val="003269F3"/>
    <w:rsid w:val="00326B5B"/>
    <w:rsid w:val="00326DB8"/>
    <w:rsid w:val="00326FA6"/>
    <w:rsid w:val="003272F3"/>
    <w:rsid w:val="00327996"/>
    <w:rsid w:val="00327A7F"/>
    <w:rsid w:val="00327D5D"/>
    <w:rsid w:val="00327F4B"/>
    <w:rsid w:val="00327F60"/>
    <w:rsid w:val="003307BB"/>
    <w:rsid w:val="00330EB3"/>
    <w:rsid w:val="00331309"/>
    <w:rsid w:val="00331559"/>
    <w:rsid w:val="00331644"/>
    <w:rsid w:val="003318EB"/>
    <w:rsid w:val="00331A23"/>
    <w:rsid w:val="00331ADB"/>
    <w:rsid w:val="00331D16"/>
    <w:rsid w:val="00332550"/>
    <w:rsid w:val="003325EB"/>
    <w:rsid w:val="00332797"/>
    <w:rsid w:val="00332902"/>
    <w:rsid w:val="00332A8A"/>
    <w:rsid w:val="00332BC3"/>
    <w:rsid w:val="00332D0B"/>
    <w:rsid w:val="00332D7B"/>
    <w:rsid w:val="00332E62"/>
    <w:rsid w:val="0033342E"/>
    <w:rsid w:val="0033362F"/>
    <w:rsid w:val="00333686"/>
    <w:rsid w:val="003336CE"/>
    <w:rsid w:val="0033372E"/>
    <w:rsid w:val="00333CC6"/>
    <w:rsid w:val="00334092"/>
    <w:rsid w:val="0033415E"/>
    <w:rsid w:val="00334214"/>
    <w:rsid w:val="00334636"/>
    <w:rsid w:val="00334C2A"/>
    <w:rsid w:val="00334E08"/>
    <w:rsid w:val="00335143"/>
    <w:rsid w:val="00335E4C"/>
    <w:rsid w:val="00335E76"/>
    <w:rsid w:val="00335F37"/>
    <w:rsid w:val="00336150"/>
    <w:rsid w:val="003368CE"/>
    <w:rsid w:val="00336C4A"/>
    <w:rsid w:val="00336E1E"/>
    <w:rsid w:val="00336F3B"/>
    <w:rsid w:val="003372EC"/>
    <w:rsid w:val="00337499"/>
    <w:rsid w:val="003375F5"/>
    <w:rsid w:val="00337FCE"/>
    <w:rsid w:val="00340611"/>
    <w:rsid w:val="00340677"/>
    <w:rsid w:val="00340854"/>
    <w:rsid w:val="00340881"/>
    <w:rsid w:val="00340DA6"/>
    <w:rsid w:val="00340E0F"/>
    <w:rsid w:val="003410DE"/>
    <w:rsid w:val="003411A9"/>
    <w:rsid w:val="00341291"/>
    <w:rsid w:val="00341477"/>
    <w:rsid w:val="00341696"/>
    <w:rsid w:val="00341A0D"/>
    <w:rsid w:val="00341B4E"/>
    <w:rsid w:val="00341CBB"/>
    <w:rsid w:val="00341E98"/>
    <w:rsid w:val="00342040"/>
    <w:rsid w:val="003424A1"/>
    <w:rsid w:val="0034276C"/>
    <w:rsid w:val="00342FB0"/>
    <w:rsid w:val="003432CB"/>
    <w:rsid w:val="00343816"/>
    <w:rsid w:val="00343D74"/>
    <w:rsid w:val="00343E8F"/>
    <w:rsid w:val="00343F70"/>
    <w:rsid w:val="00344148"/>
    <w:rsid w:val="003443B4"/>
    <w:rsid w:val="0034447A"/>
    <w:rsid w:val="003447CE"/>
    <w:rsid w:val="003448F0"/>
    <w:rsid w:val="00344924"/>
    <w:rsid w:val="00344A4A"/>
    <w:rsid w:val="00344DD0"/>
    <w:rsid w:val="00345150"/>
    <w:rsid w:val="003453E3"/>
    <w:rsid w:val="00345414"/>
    <w:rsid w:val="003455AD"/>
    <w:rsid w:val="00345E05"/>
    <w:rsid w:val="00345E79"/>
    <w:rsid w:val="00346044"/>
    <w:rsid w:val="00346107"/>
    <w:rsid w:val="003463B7"/>
    <w:rsid w:val="00346507"/>
    <w:rsid w:val="00346E3E"/>
    <w:rsid w:val="00346EF9"/>
    <w:rsid w:val="00347174"/>
    <w:rsid w:val="003473BD"/>
    <w:rsid w:val="00347650"/>
    <w:rsid w:val="0034773C"/>
    <w:rsid w:val="00347B31"/>
    <w:rsid w:val="00347E43"/>
    <w:rsid w:val="00347F5B"/>
    <w:rsid w:val="003500C3"/>
    <w:rsid w:val="00350347"/>
    <w:rsid w:val="0035039C"/>
    <w:rsid w:val="00350DEC"/>
    <w:rsid w:val="003512D5"/>
    <w:rsid w:val="003514FE"/>
    <w:rsid w:val="00351854"/>
    <w:rsid w:val="003518C7"/>
    <w:rsid w:val="00351BF0"/>
    <w:rsid w:val="00351DE5"/>
    <w:rsid w:val="003524A6"/>
    <w:rsid w:val="00352750"/>
    <w:rsid w:val="00352AC7"/>
    <w:rsid w:val="00352AD9"/>
    <w:rsid w:val="00352B72"/>
    <w:rsid w:val="00352ECD"/>
    <w:rsid w:val="00353FB5"/>
    <w:rsid w:val="003541B1"/>
    <w:rsid w:val="0035428B"/>
    <w:rsid w:val="00354713"/>
    <w:rsid w:val="00354C8F"/>
    <w:rsid w:val="00354CAF"/>
    <w:rsid w:val="0035545C"/>
    <w:rsid w:val="00356586"/>
    <w:rsid w:val="00356A90"/>
    <w:rsid w:val="00356AB2"/>
    <w:rsid w:val="00356FEF"/>
    <w:rsid w:val="00357028"/>
    <w:rsid w:val="00357248"/>
    <w:rsid w:val="003578C0"/>
    <w:rsid w:val="00357EB5"/>
    <w:rsid w:val="0036031E"/>
    <w:rsid w:val="00360374"/>
    <w:rsid w:val="0036072C"/>
    <w:rsid w:val="00360947"/>
    <w:rsid w:val="00360960"/>
    <w:rsid w:val="00360995"/>
    <w:rsid w:val="00360A26"/>
    <w:rsid w:val="00360F17"/>
    <w:rsid w:val="003612EF"/>
    <w:rsid w:val="00361647"/>
    <w:rsid w:val="00361916"/>
    <w:rsid w:val="00361AF5"/>
    <w:rsid w:val="00361DDB"/>
    <w:rsid w:val="00361E68"/>
    <w:rsid w:val="00361F83"/>
    <w:rsid w:val="00361FEE"/>
    <w:rsid w:val="00362605"/>
    <w:rsid w:val="003626F5"/>
    <w:rsid w:val="003628B3"/>
    <w:rsid w:val="0036297D"/>
    <w:rsid w:val="00362BFD"/>
    <w:rsid w:val="003632B5"/>
    <w:rsid w:val="00363390"/>
    <w:rsid w:val="003636C2"/>
    <w:rsid w:val="003636E2"/>
    <w:rsid w:val="0036374F"/>
    <w:rsid w:val="0036378B"/>
    <w:rsid w:val="00363921"/>
    <w:rsid w:val="003639A5"/>
    <w:rsid w:val="00364213"/>
    <w:rsid w:val="00364545"/>
    <w:rsid w:val="00364771"/>
    <w:rsid w:val="00364A0E"/>
    <w:rsid w:val="00364A16"/>
    <w:rsid w:val="00364ACF"/>
    <w:rsid w:val="0036519B"/>
    <w:rsid w:val="0036524C"/>
    <w:rsid w:val="00365458"/>
    <w:rsid w:val="00365D5E"/>
    <w:rsid w:val="00365F8D"/>
    <w:rsid w:val="0036684F"/>
    <w:rsid w:val="003669B8"/>
    <w:rsid w:val="00366A03"/>
    <w:rsid w:val="00366B33"/>
    <w:rsid w:val="00366EC7"/>
    <w:rsid w:val="00366FAA"/>
    <w:rsid w:val="00367115"/>
    <w:rsid w:val="003677F5"/>
    <w:rsid w:val="003679AA"/>
    <w:rsid w:val="00367DD1"/>
    <w:rsid w:val="003702F6"/>
    <w:rsid w:val="00370746"/>
    <w:rsid w:val="00370997"/>
    <w:rsid w:val="0037107F"/>
    <w:rsid w:val="0037180B"/>
    <w:rsid w:val="00371A54"/>
    <w:rsid w:val="00371EB9"/>
    <w:rsid w:val="00372038"/>
    <w:rsid w:val="0037242D"/>
    <w:rsid w:val="003725C3"/>
    <w:rsid w:val="00372986"/>
    <w:rsid w:val="00372AD6"/>
    <w:rsid w:val="00373040"/>
    <w:rsid w:val="00373A2F"/>
    <w:rsid w:val="00373D91"/>
    <w:rsid w:val="003742E3"/>
    <w:rsid w:val="0037455F"/>
    <w:rsid w:val="0037499D"/>
    <w:rsid w:val="00374B2F"/>
    <w:rsid w:val="00374E98"/>
    <w:rsid w:val="00374F14"/>
    <w:rsid w:val="00374F34"/>
    <w:rsid w:val="00375087"/>
    <w:rsid w:val="003751BC"/>
    <w:rsid w:val="0037559B"/>
    <w:rsid w:val="0037597B"/>
    <w:rsid w:val="00375B0B"/>
    <w:rsid w:val="00375F26"/>
    <w:rsid w:val="003762FE"/>
    <w:rsid w:val="00376DFB"/>
    <w:rsid w:val="003772C2"/>
    <w:rsid w:val="00377701"/>
    <w:rsid w:val="003778B1"/>
    <w:rsid w:val="00380341"/>
    <w:rsid w:val="00380745"/>
    <w:rsid w:val="0038077E"/>
    <w:rsid w:val="003807A0"/>
    <w:rsid w:val="00380A6E"/>
    <w:rsid w:val="00380E3D"/>
    <w:rsid w:val="003819F0"/>
    <w:rsid w:val="00381B01"/>
    <w:rsid w:val="00381F4A"/>
    <w:rsid w:val="003821CA"/>
    <w:rsid w:val="0038239D"/>
    <w:rsid w:val="00382696"/>
    <w:rsid w:val="0038275E"/>
    <w:rsid w:val="003829ED"/>
    <w:rsid w:val="00382BAC"/>
    <w:rsid w:val="00382DEB"/>
    <w:rsid w:val="00383104"/>
    <w:rsid w:val="00383216"/>
    <w:rsid w:val="0038337C"/>
    <w:rsid w:val="0038345C"/>
    <w:rsid w:val="00383AD6"/>
    <w:rsid w:val="00383EA8"/>
    <w:rsid w:val="00383EB3"/>
    <w:rsid w:val="00383EC5"/>
    <w:rsid w:val="0038402B"/>
    <w:rsid w:val="0038413C"/>
    <w:rsid w:val="003842D1"/>
    <w:rsid w:val="003842F2"/>
    <w:rsid w:val="00384490"/>
    <w:rsid w:val="00384567"/>
    <w:rsid w:val="00384E1E"/>
    <w:rsid w:val="00384E44"/>
    <w:rsid w:val="003850F9"/>
    <w:rsid w:val="003851A2"/>
    <w:rsid w:val="003853C4"/>
    <w:rsid w:val="00385964"/>
    <w:rsid w:val="00385A68"/>
    <w:rsid w:val="00385C33"/>
    <w:rsid w:val="0038681E"/>
    <w:rsid w:val="00386836"/>
    <w:rsid w:val="00386B7D"/>
    <w:rsid w:val="00386F88"/>
    <w:rsid w:val="0038701F"/>
    <w:rsid w:val="003874AA"/>
    <w:rsid w:val="00390112"/>
    <w:rsid w:val="00390289"/>
    <w:rsid w:val="00390663"/>
    <w:rsid w:val="00390783"/>
    <w:rsid w:val="00390CD4"/>
    <w:rsid w:val="00390E8F"/>
    <w:rsid w:val="00390F04"/>
    <w:rsid w:val="00391058"/>
    <w:rsid w:val="0039118D"/>
    <w:rsid w:val="00391322"/>
    <w:rsid w:val="00391D5B"/>
    <w:rsid w:val="00392381"/>
    <w:rsid w:val="00392479"/>
    <w:rsid w:val="00392623"/>
    <w:rsid w:val="00392653"/>
    <w:rsid w:val="00392AA7"/>
    <w:rsid w:val="00392BB3"/>
    <w:rsid w:val="003933DE"/>
    <w:rsid w:val="0039380F"/>
    <w:rsid w:val="003939E5"/>
    <w:rsid w:val="003940D6"/>
    <w:rsid w:val="003940FD"/>
    <w:rsid w:val="003941FE"/>
    <w:rsid w:val="00394265"/>
    <w:rsid w:val="00394318"/>
    <w:rsid w:val="0039460F"/>
    <w:rsid w:val="003948DA"/>
    <w:rsid w:val="00394905"/>
    <w:rsid w:val="00394CB8"/>
    <w:rsid w:val="0039512A"/>
    <w:rsid w:val="0039538E"/>
    <w:rsid w:val="00395718"/>
    <w:rsid w:val="00395839"/>
    <w:rsid w:val="003958F5"/>
    <w:rsid w:val="00395BD5"/>
    <w:rsid w:val="0039614F"/>
    <w:rsid w:val="003961E4"/>
    <w:rsid w:val="00396550"/>
    <w:rsid w:val="003965BB"/>
    <w:rsid w:val="0039695F"/>
    <w:rsid w:val="00396973"/>
    <w:rsid w:val="00396F53"/>
    <w:rsid w:val="00397123"/>
    <w:rsid w:val="0039715D"/>
    <w:rsid w:val="003971D3"/>
    <w:rsid w:val="00397213"/>
    <w:rsid w:val="003977DD"/>
    <w:rsid w:val="0039794C"/>
    <w:rsid w:val="00397FDB"/>
    <w:rsid w:val="003A0066"/>
    <w:rsid w:val="003A0177"/>
    <w:rsid w:val="003A06E9"/>
    <w:rsid w:val="003A07DC"/>
    <w:rsid w:val="003A0882"/>
    <w:rsid w:val="003A14BF"/>
    <w:rsid w:val="003A189D"/>
    <w:rsid w:val="003A1B02"/>
    <w:rsid w:val="003A1D9C"/>
    <w:rsid w:val="003A1E62"/>
    <w:rsid w:val="003A23F6"/>
    <w:rsid w:val="003A2631"/>
    <w:rsid w:val="003A27DA"/>
    <w:rsid w:val="003A291A"/>
    <w:rsid w:val="003A2C32"/>
    <w:rsid w:val="003A2C5F"/>
    <w:rsid w:val="003A2CD5"/>
    <w:rsid w:val="003A2E95"/>
    <w:rsid w:val="003A2FAB"/>
    <w:rsid w:val="003A30BA"/>
    <w:rsid w:val="003A3538"/>
    <w:rsid w:val="003A3630"/>
    <w:rsid w:val="003A3A3E"/>
    <w:rsid w:val="003A3E64"/>
    <w:rsid w:val="003A3EC7"/>
    <w:rsid w:val="003A46BB"/>
    <w:rsid w:val="003A4A4A"/>
    <w:rsid w:val="003A4AE8"/>
    <w:rsid w:val="003A4C20"/>
    <w:rsid w:val="003A4FB0"/>
    <w:rsid w:val="003A51C1"/>
    <w:rsid w:val="003A5662"/>
    <w:rsid w:val="003A59DD"/>
    <w:rsid w:val="003A5BAC"/>
    <w:rsid w:val="003A65C8"/>
    <w:rsid w:val="003A69DA"/>
    <w:rsid w:val="003A6F25"/>
    <w:rsid w:val="003A6FAE"/>
    <w:rsid w:val="003A7093"/>
    <w:rsid w:val="003A7381"/>
    <w:rsid w:val="003A7759"/>
    <w:rsid w:val="003A7782"/>
    <w:rsid w:val="003A7D0D"/>
    <w:rsid w:val="003A7E2F"/>
    <w:rsid w:val="003B0090"/>
    <w:rsid w:val="003B02E6"/>
    <w:rsid w:val="003B0587"/>
    <w:rsid w:val="003B0C99"/>
    <w:rsid w:val="003B0FD5"/>
    <w:rsid w:val="003B14C8"/>
    <w:rsid w:val="003B1686"/>
    <w:rsid w:val="003B193D"/>
    <w:rsid w:val="003B1D8D"/>
    <w:rsid w:val="003B2629"/>
    <w:rsid w:val="003B27AD"/>
    <w:rsid w:val="003B2974"/>
    <w:rsid w:val="003B2E5B"/>
    <w:rsid w:val="003B3574"/>
    <w:rsid w:val="003B3577"/>
    <w:rsid w:val="003B42C4"/>
    <w:rsid w:val="003B42F5"/>
    <w:rsid w:val="003B46B6"/>
    <w:rsid w:val="003B49FD"/>
    <w:rsid w:val="003B4A6C"/>
    <w:rsid w:val="003B4CA9"/>
    <w:rsid w:val="003B4FE2"/>
    <w:rsid w:val="003B5350"/>
    <w:rsid w:val="003B54A4"/>
    <w:rsid w:val="003B54C4"/>
    <w:rsid w:val="003B5F29"/>
    <w:rsid w:val="003B664E"/>
    <w:rsid w:val="003B6A9D"/>
    <w:rsid w:val="003B6FFB"/>
    <w:rsid w:val="003B74EC"/>
    <w:rsid w:val="003B759C"/>
    <w:rsid w:val="003B760D"/>
    <w:rsid w:val="003B7BFE"/>
    <w:rsid w:val="003C017F"/>
    <w:rsid w:val="003C022B"/>
    <w:rsid w:val="003C05C5"/>
    <w:rsid w:val="003C0842"/>
    <w:rsid w:val="003C0A7D"/>
    <w:rsid w:val="003C0C40"/>
    <w:rsid w:val="003C0F95"/>
    <w:rsid w:val="003C11AD"/>
    <w:rsid w:val="003C125A"/>
    <w:rsid w:val="003C14D9"/>
    <w:rsid w:val="003C162D"/>
    <w:rsid w:val="003C16DB"/>
    <w:rsid w:val="003C1B22"/>
    <w:rsid w:val="003C1B42"/>
    <w:rsid w:val="003C1D13"/>
    <w:rsid w:val="003C1DDE"/>
    <w:rsid w:val="003C23E5"/>
    <w:rsid w:val="003C2AA5"/>
    <w:rsid w:val="003C2D18"/>
    <w:rsid w:val="003C2F5A"/>
    <w:rsid w:val="003C2FBF"/>
    <w:rsid w:val="003C3366"/>
    <w:rsid w:val="003C34A3"/>
    <w:rsid w:val="003C373E"/>
    <w:rsid w:val="003C3D38"/>
    <w:rsid w:val="003C3D7A"/>
    <w:rsid w:val="003C3E08"/>
    <w:rsid w:val="003C4337"/>
    <w:rsid w:val="003C447B"/>
    <w:rsid w:val="003C45E5"/>
    <w:rsid w:val="003C48C8"/>
    <w:rsid w:val="003C4D78"/>
    <w:rsid w:val="003C54AB"/>
    <w:rsid w:val="003C56A6"/>
    <w:rsid w:val="003C5743"/>
    <w:rsid w:val="003C5806"/>
    <w:rsid w:val="003C6B01"/>
    <w:rsid w:val="003C7070"/>
    <w:rsid w:val="003C715E"/>
    <w:rsid w:val="003C7239"/>
    <w:rsid w:val="003C7271"/>
    <w:rsid w:val="003C78C0"/>
    <w:rsid w:val="003C78F5"/>
    <w:rsid w:val="003C7936"/>
    <w:rsid w:val="003C7EF1"/>
    <w:rsid w:val="003C7F33"/>
    <w:rsid w:val="003D093A"/>
    <w:rsid w:val="003D09DA"/>
    <w:rsid w:val="003D0AD5"/>
    <w:rsid w:val="003D11BD"/>
    <w:rsid w:val="003D1279"/>
    <w:rsid w:val="003D13A4"/>
    <w:rsid w:val="003D1765"/>
    <w:rsid w:val="003D1BDB"/>
    <w:rsid w:val="003D1F18"/>
    <w:rsid w:val="003D2121"/>
    <w:rsid w:val="003D2271"/>
    <w:rsid w:val="003D278B"/>
    <w:rsid w:val="003D2FCE"/>
    <w:rsid w:val="003D314D"/>
    <w:rsid w:val="003D3445"/>
    <w:rsid w:val="003D38D4"/>
    <w:rsid w:val="003D39C1"/>
    <w:rsid w:val="003D3DE2"/>
    <w:rsid w:val="003D3E89"/>
    <w:rsid w:val="003D3E92"/>
    <w:rsid w:val="003D427C"/>
    <w:rsid w:val="003D44D6"/>
    <w:rsid w:val="003D45EC"/>
    <w:rsid w:val="003D488C"/>
    <w:rsid w:val="003D49CB"/>
    <w:rsid w:val="003D4A9A"/>
    <w:rsid w:val="003D4C17"/>
    <w:rsid w:val="003D4FE3"/>
    <w:rsid w:val="003D5002"/>
    <w:rsid w:val="003D503E"/>
    <w:rsid w:val="003D511A"/>
    <w:rsid w:val="003D554C"/>
    <w:rsid w:val="003D581E"/>
    <w:rsid w:val="003D65BD"/>
    <w:rsid w:val="003D65C4"/>
    <w:rsid w:val="003D666D"/>
    <w:rsid w:val="003D6985"/>
    <w:rsid w:val="003D6AE0"/>
    <w:rsid w:val="003D6BBD"/>
    <w:rsid w:val="003D6DB7"/>
    <w:rsid w:val="003D77BA"/>
    <w:rsid w:val="003D78C9"/>
    <w:rsid w:val="003D797C"/>
    <w:rsid w:val="003D7DE6"/>
    <w:rsid w:val="003E04D4"/>
    <w:rsid w:val="003E0AFC"/>
    <w:rsid w:val="003E0E61"/>
    <w:rsid w:val="003E0F38"/>
    <w:rsid w:val="003E0F9E"/>
    <w:rsid w:val="003E1020"/>
    <w:rsid w:val="003E1627"/>
    <w:rsid w:val="003E1ACB"/>
    <w:rsid w:val="003E1C45"/>
    <w:rsid w:val="003E1DC8"/>
    <w:rsid w:val="003E1E74"/>
    <w:rsid w:val="003E2145"/>
    <w:rsid w:val="003E2386"/>
    <w:rsid w:val="003E264E"/>
    <w:rsid w:val="003E2A47"/>
    <w:rsid w:val="003E2BA4"/>
    <w:rsid w:val="003E2C8E"/>
    <w:rsid w:val="003E2CAC"/>
    <w:rsid w:val="003E3222"/>
    <w:rsid w:val="003E3431"/>
    <w:rsid w:val="003E3999"/>
    <w:rsid w:val="003E3A23"/>
    <w:rsid w:val="003E3DDE"/>
    <w:rsid w:val="003E409A"/>
    <w:rsid w:val="003E40AD"/>
    <w:rsid w:val="003E4286"/>
    <w:rsid w:val="003E4418"/>
    <w:rsid w:val="003E467A"/>
    <w:rsid w:val="003E4742"/>
    <w:rsid w:val="003E4B9A"/>
    <w:rsid w:val="003E4E36"/>
    <w:rsid w:val="003E4F65"/>
    <w:rsid w:val="003E6388"/>
    <w:rsid w:val="003E6489"/>
    <w:rsid w:val="003E64F2"/>
    <w:rsid w:val="003E655E"/>
    <w:rsid w:val="003E7082"/>
    <w:rsid w:val="003E7296"/>
    <w:rsid w:val="003E7AE8"/>
    <w:rsid w:val="003E7C50"/>
    <w:rsid w:val="003E7EAA"/>
    <w:rsid w:val="003F00E7"/>
    <w:rsid w:val="003F016C"/>
    <w:rsid w:val="003F09B2"/>
    <w:rsid w:val="003F0D36"/>
    <w:rsid w:val="003F0D48"/>
    <w:rsid w:val="003F1466"/>
    <w:rsid w:val="003F162F"/>
    <w:rsid w:val="003F17DC"/>
    <w:rsid w:val="003F1811"/>
    <w:rsid w:val="003F18FA"/>
    <w:rsid w:val="003F1A1A"/>
    <w:rsid w:val="003F1A1E"/>
    <w:rsid w:val="003F1B2E"/>
    <w:rsid w:val="003F1C96"/>
    <w:rsid w:val="003F1E6C"/>
    <w:rsid w:val="003F25E7"/>
    <w:rsid w:val="003F267A"/>
    <w:rsid w:val="003F3194"/>
    <w:rsid w:val="003F31F6"/>
    <w:rsid w:val="003F3AFA"/>
    <w:rsid w:val="003F3B17"/>
    <w:rsid w:val="003F3D09"/>
    <w:rsid w:val="003F3DF3"/>
    <w:rsid w:val="003F3EE3"/>
    <w:rsid w:val="003F406F"/>
    <w:rsid w:val="003F41D8"/>
    <w:rsid w:val="003F4526"/>
    <w:rsid w:val="003F4617"/>
    <w:rsid w:val="003F49C1"/>
    <w:rsid w:val="003F4BAC"/>
    <w:rsid w:val="003F4CA4"/>
    <w:rsid w:val="003F4E0B"/>
    <w:rsid w:val="003F51B1"/>
    <w:rsid w:val="003F52DF"/>
    <w:rsid w:val="003F5B17"/>
    <w:rsid w:val="003F5D29"/>
    <w:rsid w:val="003F65FC"/>
    <w:rsid w:val="003F691C"/>
    <w:rsid w:val="003F6E52"/>
    <w:rsid w:val="003F6FC1"/>
    <w:rsid w:val="003F7004"/>
    <w:rsid w:val="003F727D"/>
    <w:rsid w:val="003F7293"/>
    <w:rsid w:val="003F736D"/>
    <w:rsid w:val="003F745A"/>
    <w:rsid w:val="003F7884"/>
    <w:rsid w:val="003F78A9"/>
    <w:rsid w:val="003F7B95"/>
    <w:rsid w:val="003F7DB6"/>
    <w:rsid w:val="003F7E7E"/>
    <w:rsid w:val="003F7EC2"/>
    <w:rsid w:val="00400217"/>
    <w:rsid w:val="00400271"/>
    <w:rsid w:val="00400352"/>
    <w:rsid w:val="0040095B"/>
    <w:rsid w:val="00400AA7"/>
    <w:rsid w:val="00400F11"/>
    <w:rsid w:val="00400FB1"/>
    <w:rsid w:val="00401ED0"/>
    <w:rsid w:val="004021B4"/>
    <w:rsid w:val="00402283"/>
    <w:rsid w:val="0040240A"/>
    <w:rsid w:val="004028E5"/>
    <w:rsid w:val="0040296E"/>
    <w:rsid w:val="00402A58"/>
    <w:rsid w:val="00402A88"/>
    <w:rsid w:val="00402D12"/>
    <w:rsid w:val="00402EDA"/>
    <w:rsid w:val="00403203"/>
    <w:rsid w:val="004032D0"/>
    <w:rsid w:val="004033C2"/>
    <w:rsid w:val="00403D17"/>
    <w:rsid w:val="00404013"/>
    <w:rsid w:val="00404729"/>
    <w:rsid w:val="00404A2F"/>
    <w:rsid w:val="00404D64"/>
    <w:rsid w:val="00404DC6"/>
    <w:rsid w:val="00404DF4"/>
    <w:rsid w:val="004053D5"/>
    <w:rsid w:val="004053D9"/>
    <w:rsid w:val="00405B21"/>
    <w:rsid w:val="00405C24"/>
    <w:rsid w:val="00405C82"/>
    <w:rsid w:val="00406034"/>
    <w:rsid w:val="00406094"/>
    <w:rsid w:val="00406ADA"/>
    <w:rsid w:val="00406BD2"/>
    <w:rsid w:val="00406C18"/>
    <w:rsid w:val="00406F08"/>
    <w:rsid w:val="004070DD"/>
    <w:rsid w:val="0040727D"/>
    <w:rsid w:val="00407587"/>
    <w:rsid w:val="00407812"/>
    <w:rsid w:val="0040787C"/>
    <w:rsid w:val="00407A1C"/>
    <w:rsid w:val="00407CF3"/>
    <w:rsid w:val="00407DAE"/>
    <w:rsid w:val="00407E9F"/>
    <w:rsid w:val="004104F2"/>
    <w:rsid w:val="00410829"/>
    <w:rsid w:val="004108C3"/>
    <w:rsid w:val="00410B84"/>
    <w:rsid w:val="00410BE5"/>
    <w:rsid w:val="00410D2D"/>
    <w:rsid w:val="00410DE4"/>
    <w:rsid w:val="00410E92"/>
    <w:rsid w:val="00410EEA"/>
    <w:rsid w:val="00411039"/>
    <w:rsid w:val="00411360"/>
    <w:rsid w:val="00411707"/>
    <w:rsid w:val="00411C90"/>
    <w:rsid w:val="004121E1"/>
    <w:rsid w:val="00412328"/>
    <w:rsid w:val="0041235B"/>
    <w:rsid w:val="00412C67"/>
    <w:rsid w:val="00413915"/>
    <w:rsid w:val="00413E04"/>
    <w:rsid w:val="00413F1B"/>
    <w:rsid w:val="00413FD7"/>
    <w:rsid w:val="004144D6"/>
    <w:rsid w:val="00414CFC"/>
    <w:rsid w:val="00414EBD"/>
    <w:rsid w:val="004150B5"/>
    <w:rsid w:val="004151DB"/>
    <w:rsid w:val="00415580"/>
    <w:rsid w:val="00415606"/>
    <w:rsid w:val="00415C82"/>
    <w:rsid w:val="00415E46"/>
    <w:rsid w:val="00415F2E"/>
    <w:rsid w:val="00416077"/>
    <w:rsid w:val="004161E7"/>
    <w:rsid w:val="0041637B"/>
    <w:rsid w:val="0041640D"/>
    <w:rsid w:val="004164BB"/>
    <w:rsid w:val="004167DD"/>
    <w:rsid w:val="00416C21"/>
    <w:rsid w:val="00417015"/>
    <w:rsid w:val="004170B1"/>
    <w:rsid w:val="00417170"/>
    <w:rsid w:val="004174BA"/>
    <w:rsid w:val="0041762C"/>
    <w:rsid w:val="00417748"/>
    <w:rsid w:val="00417EEC"/>
    <w:rsid w:val="0042030A"/>
    <w:rsid w:val="004207DC"/>
    <w:rsid w:val="00420A9C"/>
    <w:rsid w:val="00420ADC"/>
    <w:rsid w:val="00420B19"/>
    <w:rsid w:val="00420FA7"/>
    <w:rsid w:val="004212B7"/>
    <w:rsid w:val="00421488"/>
    <w:rsid w:val="00421C13"/>
    <w:rsid w:val="00421F1C"/>
    <w:rsid w:val="00421F98"/>
    <w:rsid w:val="00422145"/>
    <w:rsid w:val="004221DF"/>
    <w:rsid w:val="004222DD"/>
    <w:rsid w:val="00422610"/>
    <w:rsid w:val="00422628"/>
    <w:rsid w:val="004233B7"/>
    <w:rsid w:val="0042392E"/>
    <w:rsid w:val="00423B7B"/>
    <w:rsid w:val="00423BE2"/>
    <w:rsid w:val="00424280"/>
    <w:rsid w:val="0042442B"/>
    <w:rsid w:val="00424841"/>
    <w:rsid w:val="00424911"/>
    <w:rsid w:val="0042517F"/>
    <w:rsid w:val="0042539C"/>
    <w:rsid w:val="00425529"/>
    <w:rsid w:val="004257B1"/>
    <w:rsid w:val="00425AA3"/>
    <w:rsid w:val="004266CC"/>
    <w:rsid w:val="004269FF"/>
    <w:rsid w:val="00426ADB"/>
    <w:rsid w:val="00426D9B"/>
    <w:rsid w:val="004270AC"/>
    <w:rsid w:val="00427707"/>
    <w:rsid w:val="00427990"/>
    <w:rsid w:val="00427B07"/>
    <w:rsid w:val="00427CB8"/>
    <w:rsid w:val="00427D40"/>
    <w:rsid w:val="00427EA1"/>
    <w:rsid w:val="0043043E"/>
    <w:rsid w:val="00430D8B"/>
    <w:rsid w:val="00430F96"/>
    <w:rsid w:val="0043111A"/>
    <w:rsid w:val="0043123A"/>
    <w:rsid w:val="0043146B"/>
    <w:rsid w:val="00431B48"/>
    <w:rsid w:val="00431C0A"/>
    <w:rsid w:val="00431E91"/>
    <w:rsid w:val="004322CA"/>
    <w:rsid w:val="00432442"/>
    <w:rsid w:val="00432954"/>
    <w:rsid w:val="004329AA"/>
    <w:rsid w:val="00432C11"/>
    <w:rsid w:val="00433A99"/>
    <w:rsid w:val="004341B3"/>
    <w:rsid w:val="00434236"/>
    <w:rsid w:val="00434245"/>
    <w:rsid w:val="004347CA"/>
    <w:rsid w:val="00434C9E"/>
    <w:rsid w:val="00435838"/>
    <w:rsid w:val="004359B7"/>
    <w:rsid w:val="00435DA0"/>
    <w:rsid w:val="00435E45"/>
    <w:rsid w:val="00435F78"/>
    <w:rsid w:val="00435F94"/>
    <w:rsid w:val="00436115"/>
    <w:rsid w:val="00436A8A"/>
    <w:rsid w:val="00436D53"/>
    <w:rsid w:val="00436D5C"/>
    <w:rsid w:val="00436DAF"/>
    <w:rsid w:val="00436F82"/>
    <w:rsid w:val="004376E7"/>
    <w:rsid w:val="00437735"/>
    <w:rsid w:val="00437807"/>
    <w:rsid w:val="00437967"/>
    <w:rsid w:val="00437CEA"/>
    <w:rsid w:val="0044006A"/>
    <w:rsid w:val="004400F1"/>
    <w:rsid w:val="0044048A"/>
    <w:rsid w:val="0044068B"/>
    <w:rsid w:val="00440D48"/>
    <w:rsid w:val="004412A1"/>
    <w:rsid w:val="00441538"/>
    <w:rsid w:val="00441552"/>
    <w:rsid w:val="004416B6"/>
    <w:rsid w:val="00441A6B"/>
    <w:rsid w:val="00441DC7"/>
    <w:rsid w:val="004420EE"/>
    <w:rsid w:val="00442792"/>
    <w:rsid w:val="00442B7E"/>
    <w:rsid w:val="00442FDE"/>
    <w:rsid w:val="00443489"/>
    <w:rsid w:val="00443F03"/>
    <w:rsid w:val="00444084"/>
    <w:rsid w:val="00444CF9"/>
    <w:rsid w:val="00444D6B"/>
    <w:rsid w:val="00444FFE"/>
    <w:rsid w:val="004456C1"/>
    <w:rsid w:val="0044577D"/>
    <w:rsid w:val="004457EA"/>
    <w:rsid w:val="00445AA2"/>
    <w:rsid w:val="00446039"/>
    <w:rsid w:val="00446FA3"/>
    <w:rsid w:val="0044774E"/>
    <w:rsid w:val="00447D80"/>
    <w:rsid w:val="004502B7"/>
    <w:rsid w:val="0045051F"/>
    <w:rsid w:val="00450ABA"/>
    <w:rsid w:val="00450D7E"/>
    <w:rsid w:val="00450D84"/>
    <w:rsid w:val="00450F49"/>
    <w:rsid w:val="00450FFC"/>
    <w:rsid w:val="00451073"/>
    <w:rsid w:val="004511E6"/>
    <w:rsid w:val="004514A4"/>
    <w:rsid w:val="0045169E"/>
    <w:rsid w:val="00451B71"/>
    <w:rsid w:val="00451EFB"/>
    <w:rsid w:val="0045209A"/>
    <w:rsid w:val="004520C1"/>
    <w:rsid w:val="0045213E"/>
    <w:rsid w:val="004521C6"/>
    <w:rsid w:val="0045222E"/>
    <w:rsid w:val="004522F5"/>
    <w:rsid w:val="00452618"/>
    <w:rsid w:val="00452869"/>
    <w:rsid w:val="00452B63"/>
    <w:rsid w:val="00452CE9"/>
    <w:rsid w:val="00452D06"/>
    <w:rsid w:val="00452D9A"/>
    <w:rsid w:val="00452DB3"/>
    <w:rsid w:val="004531DF"/>
    <w:rsid w:val="004532D4"/>
    <w:rsid w:val="00453AB3"/>
    <w:rsid w:val="00453ABE"/>
    <w:rsid w:val="00453DE9"/>
    <w:rsid w:val="004541CE"/>
    <w:rsid w:val="004544AD"/>
    <w:rsid w:val="00454CC1"/>
    <w:rsid w:val="00455026"/>
    <w:rsid w:val="004553A3"/>
    <w:rsid w:val="00455649"/>
    <w:rsid w:val="00455CBF"/>
    <w:rsid w:val="00455D85"/>
    <w:rsid w:val="004565EB"/>
    <w:rsid w:val="00456A3F"/>
    <w:rsid w:val="00456BE9"/>
    <w:rsid w:val="00457F06"/>
    <w:rsid w:val="00457FC9"/>
    <w:rsid w:val="004601D3"/>
    <w:rsid w:val="00460273"/>
    <w:rsid w:val="00460524"/>
    <w:rsid w:val="00460841"/>
    <w:rsid w:val="00460902"/>
    <w:rsid w:val="00460B12"/>
    <w:rsid w:val="00460D06"/>
    <w:rsid w:val="00460DF6"/>
    <w:rsid w:val="00460FEB"/>
    <w:rsid w:val="00461238"/>
    <w:rsid w:val="00461CE3"/>
    <w:rsid w:val="00462095"/>
    <w:rsid w:val="004620C7"/>
    <w:rsid w:val="004622E3"/>
    <w:rsid w:val="004623AC"/>
    <w:rsid w:val="00462584"/>
    <w:rsid w:val="00462831"/>
    <w:rsid w:val="004628C3"/>
    <w:rsid w:val="00462A01"/>
    <w:rsid w:val="00462D52"/>
    <w:rsid w:val="00462EF2"/>
    <w:rsid w:val="00463065"/>
    <w:rsid w:val="0046363B"/>
    <w:rsid w:val="0046373A"/>
    <w:rsid w:val="004637A9"/>
    <w:rsid w:val="00463845"/>
    <w:rsid w:val="00463B50"/>
    <w:rsid w:val="0046496F"/>
    <w:rsid w:val="004653A4"/>
    <w:rsid w:val="00465A40"/>
    <w:rsid w:val="00465AA4"/>
    <w:rsid w:val="00465C4C"/>
    <w:rsid w:val="00465D89"/>
    <w:rsid w:val="004663B4"/>
    <w:rsid w:val="00466607"/>
    <w:rsid w:val="00466818"/>
    <w:rsid w:val="00466A38"/>
    <w:rsid w:val="00466C95"/>
    <w:rsid w:val="00466DB7"/>
    <w:rsid w:val="00466E5D"/>
    <w:rsid w:val="00466FBD"/>
    <w:rsid w:val="004673CA"/>
    <w:rsid w:val="00467496"/>
    <w:rsid w:val="00467854"/>
    <w:rsid w:val="004679CC"/>
    <w:rsid w:val="00467B39"/>
    <w:rsid w:val="00467C48"/>
    <w:rsid w:val="00467C96"/>
    <w:rsid w:val="00467F24"/>
    <w:rsid w:val="00470135"/>
    <w:rsid w:val="00470283"/>
    <w:rsid w:val="00470547"/>
    <w:rsid w:val="004706B1"/>
    <w:rsid w:val="0047089D"/>
    <w:rsid w:val="00470C3C"/>
    <w:rsid w:val="00471F55"/>
    <w:rsid w:val="00472481"/>
    <w:rsid w:val="00472E05"/>
    <w:rsid w:val="004735DC"/>
    <w:rsid w:val="004737B7"/>
    <w:rsid w:val="00473F25"/>
    <w:rsid w:val="004744D4"/>
    <w:rsid w:val="0047494B"/>
    <w:rsid w:val="004754F1"/>
    <w:rsid w:val="0047552E"/>
    <w:rsid w:val="00475579"/>
    <w:rsid w:val="004757A6"/>
    <w:rsid w:val="00475A4F"/>
    <w:rsid w:val="00475B78"/>
    <w:rsid w:val="0047617B"/>
    <w:rsid w:val="00476181"/>
    <w:rsid w:val="00476323"/>
    <w:rsid w:val="00476482"/>
    <w:rsid w:val="0047648C"/>
    <w:rsid w:val="004765D2"/>
    <w:rsid w:val="00476741"/>
    <w:rsid w:val="00476758"/>
    <w:rsid w:val="0047678B"/>
    <w:rsid w:val="00476A66"/>
    <w:rsid w:val="00476D66"/>
    <w:rsid w:val="0047713D"/>
    <w:rsid w:val="00477152"/>
    <w:rsid w:val="004771F4"/>
    <w:rsid w:val="00477280"/>
    <w:rsid w:val="0047799C"/>
    <w:rsid w:val="00477D71"/>
    <w:rsid w:val="0048047F"/>
    <w:rsid w:val="00480508"/>
    <w:rsid w:val="00480A0F"/>
    <w:rsid w:val="00480B75"/>
    <w:rsid w:val="00480C05"/>
    <w:rsid w:val="00481256"/>
    <w:rsid w:val="0048163D"/>
    <w:rsid w:val="0048194A"/>
    <w:rsid w:val="00482061"/>
    <w:rsid w:val="004821E1"/>
    <w:rsid w:val="00482440"/>
    <w:rsid w:val="004828D1"/>
    <w:rsid w:val="00482926"/>
    <w:rsid w:val="00482A13"/>
    <w:rsid w:val="004831AB"/>
    <w:rsid w:val="00483AD9"/>
    <w:rsid w:val="004844A0"/>
    <w:rsid w:val="0048472C"/>
    <w:rsid w:val="004848FF"/>
    <w:rsid w:val="0048504C"/>
    <w:rsid w:val="004852E4"/>
    <w:rsid w:val="00485AE2"/>
    <w:rsid w:val="004863DF"/>
    <w:rsid w:val="004866C9"/>
    <w:rsid w:val="004867CA"/>
    <w:rsid w:val="004868AD"/>
    <w:rsid w:val="00486939"/>
    <w:rsid w:val="00486A38"/>
    <w:rsid w:val="00486D08"/>
    <w:rsid w:val="004872F3"/>
    <w:rsid w:val="004873B6"/>
    <w:rsid w:val="004878C1"/>
    <w:rsid w:val="00487C3E"/>
    <w:rsid w:val="0049047A"/>
    <w:rsid w:val="004904D1"/>
    <w:rsid w:val="0049059A"/>
    <w:rsid w:val="00490F84"/>
    <w:rsid w:val="0049116E"/>
    <w:rsid w:val="00491340"/>
    <w:rsid w:val="004918D0"/>
    <w:rsid w:val="00491B28"/>
    <w:rsid w:val="00491E12"/>
    <w:rsid w:val="00492539"/>
    <w:rsid w:val="004928AE"/>
    <w:rsid w:val="004928FB"/>
    <w:rsid w:val="00492BB2"/>
    <w:rsid w:val="00493183"/>
    <w:rsid w:val="00493246"/>
    <w:rsid w:val="0049344F"/>
    <w:rsid w:val="004934BC"/>
    <w:rsid w:val="00493719"/>
    <w:rsid w:val="00493937"/>
    <w:rsid w:val="00493E1F"/>
    <w:rsid w:val="00493F36"/>
    <w:rsid w:val="004942C1"/>
    <w:rsid w:val="00494491"/>
    <w:rsid w:val="0049469D"/>
    <w:rsid w:val="00494761"/>
    <w:rsid w:val="004947A7"/>
    <w:rsid w:val="0049491B"/>
    <w:rsid w:val="00494B15"/>
    <w:rsid w:val="00494D05"/>
    <w:rsid w:val="00494D26"/>
    <w:rsid w:val="00495980"/>
    <w:rsid w:val="00495A98"/>
    <w:rsid w:val="004961AB"/>
    <w:rsid w:val="004961D1"/>
    <w:rsid w:val="00496241"/>
    <w:rsid w:val="00496773"/>
    <w:rsid w:val="004967A4"/>
    <w:rsid w:val="00496B06"/>
    <w:rsid w:val="004972F6"/>
    <w:rsid w:val="004A0272"/>
    <w:rsid w:val="004A0312"/>
    <w:rsid w:val="004A064F"/>
    <w:rsid w:val="004A07E5"/>
    <w:rsid w:val="004A091B"/>
    <w:rsid w:val="004A0E59"/>
    <w:rsid w:val="004A103E"/>
    <w:rsid w:val="004A151D"/>
    <w:rsid w:val="004A17F3"/>
    <w:rsid w:val="004A1849"/>
    <w:rsid w:val="004A1C43"/>
    <w:rsid w:val="004A1E9C"/>
    <w:rsid w:val="004A21B6"/>
    <w:rsid w:val="004A2393"/>
    <w:rsid w:val="004A23A4"/>
    <w:rsid w:val="004A257C"/>
    <w:rsid w:val="004A277B"/>
    <w:rsid w:val="004A2CB5"/>
    <w:rsid w:val="004A3173"/>
    <w:rsid w:val="004A371D"/>
    <w:rsid w:val="004A3749"/>
    <w:rsid w:val="004A38A4"/>
    <w:rsid w:val="004A3E5A"/>
    <w:rsid w:val="004A4193"/>
    <w:rsid w:val="004A424E"/>
    <w:rsid w:val="004A4620"/>
    <w:rsid w:val="004A4829"/>
    <w:rsid w:val="004A4C87"/>
    <w:rsid w:val="004A4CFE"/>
    <w:rsid w:val="004A4EEE"/>
    <w:rsid w:val="004A51AF"/>
    <w:rsid w:val="004A61DC"/>
    <w:rsid w:val="004A63B6"/>
    <w:rsid w:val="004A63CC"/>
    <w:rsid w:val="004A648B"/>
    <w:rsid w:val="004A665F"/>
    <w:rsid w:val="004A67F6"/>
    <w:rsid w:val="004A6A4C"/>
    <w:rsid w:val="004A6D54"/>
    <w:rsid w:val="004A6D74"/>
    <w:rsid w:val="004A6E07"/>
    <w:rsid w:val="004A7441"/>
    <w:rsid w:val="004A75AD"/>
    <w:rsid w:val="004A7823"/>
    <w:rsid w:val="004A78EE"/>
    <w:rsid w:val="004A7B49"/>
    <w:rsid w:val="004B02F4"/>
    <w:rsid w:val="004B03A6"/>
    <w:rsid w:val="004B04FF"/>
    <w:rsid w:val="004B066D"/>
    <w:rsid w:val="004B06A1"/>
    <w:rsid w:val="004B0996"/>
    <w:rsid w:val="004B0F90"/>
    <w:rsid w:val="004B12E6"/>
    <w:rsid w:val="004B13A4"/>
    <w:rsid w:val="004B1428"/>
    <w:rsid w:val="004B1643"/>
    <w:rsid w:val="004B1859"/>
    <w:rsid w:val="004B1946"/>
    <w:rsid w:val="004B1B72"/>
    <w:rsid w:val="004B1DD1"/>
    <w:rsid w:val="004B1DF0"/>
    <w:rsid w:val="004B240F"/>
    <w:rsid w:val="004B2804"/>
    <w:rsid w:val="004B2897"/>
    <w:rsid w:val="004B299B"/>
    <w:rsid w:val="004B29DE"/>
    <w:rsid w:val="004B2AEA"/>
    <w:rsid w:val="004B3197"/>
    <w:rsid w:val="004B351C"/>
    <w:rsid w:val="004B36FC"/>
    <w:rsid w:val="004B4146"/>
    <w:rsid w:val="004B4BE5"/>
    <w:rsid w:val="004B4E50"/>
    <w:rsid w:val="004B5316"/>
    <w:rsid w:val="004B5701"/>
    <w:rsid w:val="004B581B"/>
    <w:rsid w:val="004B5854"/>
    <w:rsid w:val="004B58EB"/>
    <w:rsid w:val="004B619C"/>
    <w:rsid w:val="004B64FF"/>
    <w:rsid w:val="004B6617"/>
    <w:rsid w:val="004B68BE"/>
    <w:rsid w:val="004B7256"/>
    <w:rsid w:val="004B77DE"/>
    <w:rsid w:val="004B7A40"/>
    <w:rsid w:val="004C0039"/>
    <w:rsid w:val="004C011C"/>
    <w:rsid w:val="004C01AE"/>
    <w:rsid w:val="004C0742"/>
    <w:rsid w:val="004C08AB"/>
    <w:rsid w:val="004C0AD6"/>
    <w:rsid w:val="004C0BAE"/>
    <w:rsid w:val="004C0D1A"/>
    <w:rsid w:val="004C0E4B"/>
    <w:rsid w:val="004C0E5E"/>
    <w:rsid w:val="004C0FE4"/>
    <w:rsid w:val="004C1009"/>
    <w:rsid w:val="004C13BF"/>
    <w:rsid w:val="004C18C2"/>
    <w:rsid w:val="004C1A07"/>
    <w:rsid w:val="004C1B89"/>
    <w:rsid w:val="004C20A3"/>
    <w:rsid w:val="004C20C4"/>
    <w:rsid w:val="004C220E"/>
    <w:rsid w:val="004C2612"/>
    <w:rsid w:val="004C2783"/>
    <w:rsid w:val="004C31DF"/>
    <w:rsid w:val="004C336D"/>
    <w:rsid w:val="004C34E3"/>
    <w:rsid w:val="004C37E7"/>
    <w:rsid w:val="004C384B"/>
    <w:rsid w:val="004C398C"/>
    <w:rsid w:val="004C3B57"/>
    <w:rsid w:val="004C3EE1"/>
    <w:rsid w:val="004C41B0"/>
    <w:rsid w:val="004C41D5"/>
    <w:rsid w:val="004C42A0"/>
    <w:rsid w:val="004C43A6"/>
    <w:rsid w:val="004C494F"/>
    <w:rsid w:val="004C4BD5"/>
    <w:rsid w:val="004C4C8D"/>
    <w:rsid w:val="004C4D47"/>
    <w:rsid w:val="004C4E13"/>
    <w:rsid w:val="004C4FD3"/>
    <w:rsid w:val="004C4FF3"/>
    <w:rsid w:val="004C509C"/>
    <w:rsid w:val="004C5633"/>
    <w:rsid w:val="004C56BB"/>
    <w:rsid w:val="004C5B32"/>
    <w:rsid w:val="004C5DF1"/>
    <w:rsid w:val="004C5E21"/>
    <w:rsid w:val="004C5F25"/>
    <w:rsid w:val="004C6226"/>
    <w:rsid w:val="004C6870"/>
    <w:rsid w:val="004C731D"/>
    <w:rsid w:val="004C7619"/>
    <w:rsid w:val="004C78CF"/>
    <w:rsid w:val="004C79B8"/>
    <w:rsid w:val="004C7BDB"/>
    <w:rsid w:val="004C7C3C"/>
    <w:rsid w:val="004C7D7F"/>
    <w:rsid w:val="004C7F8E"/>
    <w:rsid w:val="004D016F"/>
    <w:rsid w:val="004D09A5"/>
    <w:rsid w:val="004D0C33"/>
    <w:rsid w:val="004D0DF3"/>
    <w:rsid w:val="004D0E80"/>
    <w:rsid w:val="004D168B"/>
    <w:rsid w:val="004D173D"/>
    <w:rsid w:val="004D1EBD"/>
    <w:rsid w:val="004D1FE6"/>
    <w:rsid w:val="004D20D0"/>
    <w:rsid w:val="004D20EC"/>
    <w:rsid w:val="004D22AC"/>
    <w:rsid w:val="004D23F5"/>
    <w:rsid w:val="004D258A"/>
    <w:rsid w:val="004D2935"/>
    <w:rsid w:val="004D2AEE"/>
    <w:rsid w:val="004D2CF9"/>
    <w:rsid w:val="004D2DE9"/>
    <w:rsid w:val="004D2EA0"/>
    <w:rsid w:val="004D3005"/>
    <w:rsid w:val="004D3568"/>
    <w:rsid w:val="004D36C2"/>
    <w:rsid w:val="004D3711"/>
    <w:rsid w:val="004D3A2C"/>
    <w:rsid w:val="004D3BAE"/>
    <w:rsid w:val="004D3C41"/>
    <w:rsid w:val="004D3F25"/>
    <w:rsid w:val="004D3F37"/>
    <w:rsid w:val="004D3FA4"/>
    <w:rsid w:val="004D48B5"/>
    <w:rsid w:val="004D4CAD"/>
    <w:rsid w:val="004D4D38"/>
    <w:rsid w:val="004D521B"/>
    <w:rsid w:val="004D5B92"/>
    <w:rsid w:val="004D6053"/>
    <w:rsid w:val="004D6939"/>
    <w:rsid w:val="004D760E"/>
    <w:rsid w:val="004D76B2"/>
    <w:rsid w:val="004D774D"/>
    <w:rsid w:val="004D796C"/>
    <w:rsid w:val="004D7D77"/>
    <w:rsid w:val="004D7FC9"/>
    <w:rsid w:val="004E02FE"/>
    <w:rsid w:val="004E033C"/>
    <w:rsid w:val="004E0B0B"/>
    <w:rsid w:val="004E0CFE"/>
    <w:rsid w:val="004E0D1E"/>
    <w:rsid w:val="004E0EBA"/>
    <w:rsid w:val="004E11D4"/>
    <w:rsid w:val="004E130E"/>
    <w:rsid w:val="004E14BA"/>
    <w:rsid w:val="004E1520"/>
    <w:rsid w:val="004E15A7"/>
    <w:rsid w:val="004E17B0"/>
    <w:rsid w:val="004E18CE"/>
    <w:rsid w:val="004E18FE"/>
    <w:rsid w:val="004E1DC5"/>
    <w:rsid w:val="004E20EF"/>
    <w:rsid w:val="004E2928"/>
    <w:rsid w:val="004E2D99"/>
    <w:rsid w:val="004E3258"/>
    <w:rsid w:val="004E3584"/>
    <w:rsid w:val="004E364A"/>
    <w:rsid w:val="004E37AC"/>
    <w:rsid w:val="004E3B7D"/>
    <w:rsid w:val="004E3C28"/>
    <w:rsid w:val="004E4319"/>
    <w:rsid w:val="004E43C2"/>
    <w:rsid w:val="004E4786"/>
    <w:rsid w:val="004E4D98"/>
    <w:rsid w:val="004E4E67"/>
    <w:rsid w:val="004E4E8F"/>
    <w:rsid w:val="004E538D"/>
    <w:rsid w:val="004E5742"/>
    <w:rsid w:val="004E58A1"/>
    <w:rsid w:val="004E5D12"/>
    <w:rsid w:val="004E5E14"/>
    <w:rsid w:val="004E6211"/>
    <w:rsid w:val="004E62A7"/>
    <w:rsid w:val="004E632F"/>
    <w:rsid w:val="004E6B5E"/>
    <w:rsid w:val="004E6C7C"/>
    <w:rsid w:val="004E6E7B"/>
    <w:rsid w:val="004E71D7"/>
    <w:rsid w:val="004E7326"/>
    <w:rsid w:val="004E733F"/>
    <w:rsid w:val="004E7572"/>
    <w:rsid w:val="004E76E2"/>
    <w:rsid w:val="004E787E"/>
    <w:rsid w:val="004E78B6"/>
    <w:rsid w:val="004E7BD0"/>
    <w:rsid w:val="004E7D04"/>
    <w:rsid w:val="004F0130"/>
    <w:rsid w:val="004F0260"/>
    <w:rsid w:val="004F032B"/>
    <w:rsid w:val="004F043F"/>
    <w:rsid w:val="004F13CF"/>
    <w:rsid w:val="004F209E"/>
    <w:rsid w:val="004F22C4"/>
    <w:rsid w:val="004F2355"/>
    <w:rsid w:val="004F2483"/>
    <w:rsid w:val="004F2497"/>
    <w:rsid w:val="004F2778"/>
    <w:rsid w:val="004F2F06"/>
    <w:rsid w:val="004F3566"/>
    <w:rsid w:val="004F3947"/>
    <w:rsid w:val="004F39B1"/>
    <w:rsid w:val="004F3B99"/>
    <w:rsid w:val="004F3C8B"/>
    <w:rsid w:val="004F3E64"/>
    <w:rsid w:val="004F3F1D"/>
    <w:rsid w:val="004F41CD"/>
    <w:rsid w:val="004F4388"/>
    <w:rsid w:val="004F43DA"/>
    <w:rsid w:val="004F481F"/>
    <w:rsid w:val="004F49B6"/>
    <w:rsid w:val="004F4D14"/>
    <w:rsid w:val="004F53C8"/>
    <w:rsid w:val="004F57D2"/>
    <w:rsid w:val="004F5851"/>
    <w:rsid w:val="004F5A51"/>
    <w:rsid w:val="004F5BD7"/>
    <w:rsid w:val="004F64A3"/>
    <w:rsid w:val="004F67B9"/>
    <w:rsid w:val="004F6881"/>
    <w:rsid w:val="004F6C67"/>
    <w:rsid w:val="004F6CAE"/>
    <w:rsid w:val="004F71DD"/>
    <w:rsid w:val="004F725D"/>
    <w:rsid w:val="004F794F"/>
    <w:rsid w:val="004F7C30"/>
    <w:rsid w:val="00500271"/>
    <w:rsid w:val="005004A7"/>
    <w:rsid w:val="005008A9"/>
    <w:rsid w:val="0050090D"/>
    <w:rsid w:val="00501091"/>
    <w:rsid w:val="0050125E"/>
    <w:rsid w:val="00501640"/>
    <w:rsid w:val="0050186A"/>
    <w:rsid w:val="00501B85"/>
    <w:rsid w:val="00501C01"/>
    <w:rsid w:val="00501D2C"/>
    <w:rsid w:val="00501F43"/>
    <w:rsid w:val="005020AA"/>
    <w:rsid w:val="0050299E"/>
    <w:rsid w:val="005029FA"/>
    <w:rsid w:val="00502C6E"/>
    <w:rsid w:val="005030AB"/>
    <w:rsid w:val="0050330F"/>
    <w:rsid w:val="0050339E"/>
    <w:rsid w:val="0050387C"/>
    <w:rsid w:val="0050435C"/>
    <w:rsid w:val="005043D8"/>
    <w:rsid w:val="0050466D"/>
    <w:rsid w:val="0050473B"/>
    <w:rsid w:val="005047E1"/>
    <w:rsid w:val="00504969"/>
    <w:rsid w:val="00504A78"/>
    <w:rsid w:val="00504B9C"/>
    <w:rsid w:val="00504FD2"/>
    <w:rsid w:val="0050532B"/>
    <w:rsid w:val="0050547B"/>
    <w:rsid w:val="005054F9"/>
    <w:rsid w:val="005055C6"/>
    <w:rsid w:val="0050575F"/>
    <w:rsid w:val="005059C7"/>
    <w:rsid w:val="00505A99"/>
    <w:rsid w:val="005062CD"/>
    <w:rsid w:val="0050655B"/>
    <w:rsid w:val="00506811"/>
    <w:rsid w:val="00506889"/>
    <w:rsid w:val="00506E51"/>
    <w:rsid w:val="005075A1"/>
    <w:rsid w:val="00507A4F"/>
    <w:rsid w:val="00507BA0"/>
    <w:rsid w:val="005105F1"/>
    <w:rsid w:val="00510976"/>
    <w:rsid w:val="00510C96"/>
    <w:rsid w:val="00510CB7"/>
    <w:rsid w:val="00510FCF"/>
    <w:rsid w:val="00511599"/>
    <w:rsid w:val="00511949"/>
    <w:rsid w:val="005119FC"/>
    <w:rsid w:val="00511E41"/>
    <w:rsid w:val="00511EE2"/>
    <w:rsid w:val="00511F8A"/>
    <w:rsid w:val="005120D4"/>
    <w:rsid w:val="00512208"/>
    <w:rsid w:val="005126E9"/>
    <w:rsid w:val="0051287A"/>
    <w:rsid w:val="00512880"/>
    <w:rsid w:val="00512DE2"/>
    <w:rsid w:val="00513187"/>
    <w:rsid w:val="00513448"/>
    <w:rsid w:val="005138F3"/>
    <w:rsid w:val="00513937"/>
    <w:rsid w:val="00513EE3"/>
    <w:rsid w:val="005140FF"/>
    <w:rsid w:val="0051451F"/>
    <w:rsid w:val="0051452F"/>
    <w:rsid w:val="00514C27"/>
    <w:rsid w:val="00514D52"/>
    <w:rsid w:val="005150E0"/>
    <w:rsid w:val="00515485"/>
    <w:rsid w:val="005154BC"/>
    <w:rsid w:val="0051571D"/>
    <w:rsid w:val="00515C97"/>
    <w:rsid w:val="00515EC2"/>
    <w:rsid w:val="005161F2"/>
    <w:rsid w:val="00516AA5"/>
    <w:rsid w:val="00516E79"/>
    <w:rsid w:val="00516F2B"/>
    <w:rsid w:val="00516F88"/>
    <w:rsid w:val="00517DA5"/>
    <w:rsid w:val="00520941"/>
    <w:rsid w:val="00520AED"/>
    <w:rsid w:val="00520DFC"/>
    <w:rsid w:val="00521308"/>
    <w:rsid w:val="0052136B"/>
    <w:rsid w:val="005215FB"/>
    <w:rsid w:val="00521603"/>
    <w:rsid w:val="005218E6"/>
    <w:rsid w:val="0052208E"/>
    <w:rsid w:val="00522218"/>
    <w:rsid w:val="00522285"/>
    <w:rsid w:val="00522B1E"/>
    <w:rsid w:val="00522B7D"/>
    <w:rsid w:val="00522BE4"/>
    <w:rsid w:val="00522DB4"/>
    <w:rsid w:val="00522E46"/>
    <w:rsid w:val="0052455D"/>
    <w:rsid w:val="00524BB8"/>
    <w:rsid w:val="00524D1E"/>
    <w:rsid w:val="00524EC0"/>
    <w:rsid w:val="00525293"/>
    <w:rsid w:val="005252F6"/>
    <w:rsid w:val="00525666"/>
    <w:rsid w:val="00525BBC"/>
    <w:rsid w:val="00525ED6"/>
    <w:rsid w:val="005260FB"/>
    <w:rsid w:val="00526127"/>
    <w:rsid w:val="005261AC"/>
    <w:rsid w:val="00526427"/>
    <w:rsid w:val="005268D2"/>
    <w:rsid w:val="00526B92"/>
    <w:rsid w:val="00526EF7"/>
    <w:rsid w:val="00527411"/>
    <w:rsid w:val="0052748A"/>
    <w:rsid w:val="0052772D"/>
    <w:rsid w:val="00527814"/>
    <w:rsid w:val="00527ECA"/>
    <w:rsid w:val="00530348"/>
    <w:rsid w:val="0053036D"/>
    <w:rsid w:val="0053043F"/>
    <w:rsid w:val="0053054E"/>
    <w:rsid w:val="0053069F"/>
    <w:rsid w:val="00530CA2"/>
    <w:rsid w:val="0053186A"/>
    <w:rsid w:val="005319AF"/>
    <w:rsid w:val="00531B95"/>
    <w:rsid w:val="005320EE"/>
    <w:rsid w:val="0053259E"/>
    <w:rsid w:val="00532AA5"/>
    <w:rsid w:val="005331B3"/>
    <w:rsid w:val="0053339D"/>
    <w:rsid w:val="0053350F"/>
    <w:rsid w:val="0053379C"/>
    <w:rsid w:val="005337DE"/>
    <w:rsid w:val="00533A2D"/>
    <w:rsid w:val="00533D49"/>
    <w:rsid w:val="00533DF1"/>
    <w:rsid w:val="00533E0E"/>
    <w:rsid w:val="0053432E"/>
    <w:rsid w:val="0053474F"/>
    <w:rsid w:val="0053479E"/>
    <w:rsid w:val="005349C9"/>
    <w:rsid w:val="00534AEE"/>
    <w:rsid w:val="00534B52"/>
    <w:rsid w:val="00534DA3"/>
    <w:rsid w:val="00535186"/>
    <w:rsid w:val="00535AA4"/>
    <w:rsid w:val="00535D2D"/>
    <w:rsid w:val="0053614D"/>
    <w:rsid w:val="0053617D"/>
    <w:rsid w:val="005361EF"/>
    <w:rsid w:val="005363CC"/>
    <w:rsid w:val="00536A3D"/>
    <w:rsid w:val="00536A56"/>
    <w:rsid w:val="00536B09"/>
    <w:rsid w:val="00536D7E"/>
    <w:rsid w:val="00536FC4"/>
    <w:rsid w:val="00537757"/>
    <w:rsid w:val="005377E2"/>
    <w:rsid w:val="00537885"/>
    <w:rsid w:val="00537C41"/>
    <w:rsid w:val="00537E2D"/>
    <w:rsid w:val="005404B7"/>
    <w:rsid w:val="005405FC"/>
    <w:rsid w:val="005407D9"/>
    <w:rsid w:val="00540E87"/>
    <w:rsid w:val="0054176C"/>
    <w:rsid w:val="00541981"/>
    <w:rsid w:val="0054199F"/>
    <w:rsid w:val="00541CE6"/>
    <w:rsid w:val="00542C0A"/>
    <w:rsid w:val="00542E34"/>
    <w:rsid w:val="00542F21"/>
    <w:rsid w:val="00543679"/>
    <w:rsid w:val="005437F5"/>
    <w:rsid w:val="00543B3D"/>
    <w:rsid w:val="00543CAF"/>
    <w:rsid w:val="005443B2"/>
    <w:rsid w:val="005447B4"/>
    <w:rsid w:val="00544E7C"/>
    <w:rsid w:val="005455C1"/>
    <w:rsid w:val="00545704"/>
    <w:rsid w:val="00545708"/>
    <w:rsid w:val="00545E25"/>
    <w:rsid w:val="00546026"/>
    <w:rsid w:val="00546261"/>
    <w:rsid w:val="00546929"/>
    <w:rsid w:val="00546956"/>
    <w:rsid w:val="00546C7C"/>
    <w:rsid w:val="00546CCC"/>
    <w:rsid w:val="00546F6E"/>
    <w:rsid w:val="005471D5"/>
    <w:rsid w:val="00547E89"/>
    <w:rsid w:val="00550536"/>
    <w:rsid w:val="00550685"/>
    <w:rsid w:val="00550FBE"/>
    <w:rsid w:val="00551259"/>
    <w:rsid w:val="005512BA"/>
    <w:rsid w:val="0055132A"/>
    <w:rsid w:val="00551537"/>
    <w:rsid w:val="0055166E"/>
    <w:rsid w:val="0055168C"/>
    <w:rsid w:val="005517C3"/>
    <w:rsid w:val="0055185D"/>
    <w:rsid w:val="00552334"/>
    <w:rsid w:val="0055239C"/>
    <w:rsid w:val="005523E0"/>
    <w:rsid w:val="00552DD7"/>
    <w:rsid w:val="00552F98"/>
    <w:rsid w:val="005532AA"/>
    <w:rsid w:val="00553879"/>
    <w:rsid w:val="005540E4"/>
    <w:rsid w:val="00554267"/>
    <w:rsid w:val="0055475A"/>
    <w:rsid w:val="00554C3D"/>
    <w:rsid w:val="00554EDA"/>
    <w:rsid w:val="00554EF0"/>
    <w:rsid w:val="0055506E"/>
    <w:rsid w:val="005550CE"/>
    <w:rsid w:val="00555603"/>
    <w:rsid w:val="00555778"/>
    <w:rsid w:val="00555BEC"/>
    <w:rsid w:val="00555C27"/>
    <w:rsid w:val="005560A4"/>
    <w:rsid w:val="005560E8"/>
    <w:rsid w:val="0055614B"/>
    <w:rsid w:val="00556191"/>
    <w:rsid w:val="00556990"/>
    <w:rsid w:val="00556AA0"/>
    <w:rsid w:val="00556C80"/>
    <w:rsid w:val="00556E69"/>
    <w:rsid w:val="00556F51"/>
    <w:rsid w:val="00557015"/>
    <w:rsid w:val="0055710E"/>
    <w:rsid w:val="00557629"/>
    <w:rsid w:val="0055784B"/>
    <w:rsid w:val="00557AE9"/>
    <w:rsid w:val="00557DD5"/>
    <w:rsid w:val="00557FB5"/>
    <w:rsid w:val="00560201"/>
    <w:rsid w:val="005603B7"/>
    <w:rsid w:val="005604C9"/>
    <w:rsid w:val="0056068D"/>
    <w:rsid w:val="00560EEC"/>
    <w:rsid w:val="00561BFE"/>
    <w:rsid w:val="00561ECA"/>
    <w:rsid w:val="00562070"/>
    <w:rsid w:val="005620BD"/>
    <w:rsid w:val="00562425"/>
    <w:rsid w:val="00562586"/>
    <w:rsid w:val="005626EB"/>
    <w:rsid w:val="00562C8F"/>
    <w:rsid w:val="00563062"/>
    <w:rsid w:val="005632CD"/>
    <w:rsid w:val="00563C06"/>
    <w:rsid w:val="0056478C"/>
    <w:rsid w:val="00564832"/>
    <w:rsid w:val="0056521A"/>
    <w:rsid w:val="0056525B"/>
    <w:rsid w:val="0056565D"/>
    <w:rsid w:val="0056595A"/>
    <w:rsid w:val="00565ACF"/>
    <w:rsid w:val="00565B6D"/>
    <w:rsid w:val="00565FF5"/>
    <w:rsid w:val="005660A0"/>
    <w:rsid w:val="005661D7"/>
    <w:rsid w:val="005664EB"/>
    <w:rsid w:val="005666B7"/>
    <w:rsid w:val="005669D5"/>
    <w:rsid w:val="00567053"/>
    <w:rsid w:val="005676CA"/>
    <w:rsid w:val="00567C22"/>
    <w:rsid w:val="00570008"/>
    <w:rsid w:val="00570106"/>
    <w:rsid w:val="0057028D"/>
    <w:rsid w:val="00570472"/>
    <w:rsid w:val="00570656"/>
    <w:rsid w:val="00570658"/>
    <w:rsid w:val="00570AFE"/>
    <w:rsid w:val="00570C9C"/>
    <w:rsid w:val="005710DB"/>
    <w:rsid w:val="00571169"/>
    <w:rsid w:val="005719DA"/>
    <w:rsid w:val="00571B3B"/>
    <w:rsid w:val="00571C0E"/>
    <w:rsid w:val="00571D20"/>
    <w:rsid w:val="00572453"/>
    <w:rsid w:val="0057259A"/>
    <w:rsid w:val="00572647"/>
    <w:rsid w:val="00573280"/>
    <w:rsid w:val="0057347F"/>
    <w:rsid w:val="00573772"/>
    <w:rsid w:val="00573ACE"/>
    <w:rsid w:val="00573DC2"/>
    <w:rsid w:val="0057410E"/>
    <w:rsid w:val="005744EE"/>
    <w:rsid w:val="005746AE"/>
    <w:rsid w:val="0057487A"/>
    <w:rsid w:val="005749CC"/>
    <w:rsid w:val="00574BF7"/>
    <w:rsid w:val="00574D3A"/>
    <w:rsid w:val="0057508F"/>
    <w:rsid w:val="00575502"/>
    <w:rsid w:val="00575691"/>
    <w:rsid w:val="00575E11"/>
    <w:rsid w:val="00575FA1"/>
    <w:rsid w:val="0057672D"/>
    <w:rsid w:val="0057679A"/>
    <w:rsid w:val="0057699A"/>
    <w:rsid w:val="00577044"/>
    <w:rsid w:val="00577591"/>
    <w:rsid w:val="005777B8"/>
    <w:rsid w:val="0057788C"/>
    <w:rsid w:val="005778A3"/>
    <w:rsid w:val="00577A07"/>
    <w:rsid w:val="00577C67"/>
    <w:rsid w:val="00577FD5"/>
    <w:rsid w:val="00577FEF"/>
    <w:rsid w:val="005800B8"/>
    <w:rsid w:val="00580264"/>
    <w:rsid w:val="0058031D"/>
    <w:rsid w:val="00580375"/>
    <w:rsid w:val="005805D4"/>
    <w:rsid w:val="0058064D"/>
    <w:rsid w:val="005806C5"/>
    <w:rsid w:val="00580999"/>
    <w:rsid w:val="00580A36"/>
    <w:rsid w:val="00580AFA"/>
    <w:rsid w:val="00580B8C"/>
    <w:rsid w:val="00580D10"/>
    <w:rsid w:val="00581242"/>
    <w:rsid w:val="00581669"/>
    <w:rsid w:val="00581CAD"/>
    <w:rsid w:val="00581E28"/>
    <w:rsid w:val="00581EAA"/>
    <w:rsid w:val="00581FB9"/>
    <w:rsid w:val="00582688"/>
    <w:rsid w:val="00582755"/>
    <w:rsid w:val="00582757"/>
    <w:rsid w:val="00582C9C"/>
    <w:rsid w:val="00583040"/>
    <w:rsid w:val="00583648"/>
    <w:rsid w:val="00583709"/>
    <w:rsid w:val="005837B6"/>
    <w:rsid w:val="0058381F"/>
    <w:rsid w:val="005839F6"/>
    <w:rsid w:val="00583C42"/>
    <w:rsid w:val="00583C77"/>
    <w:rsid w:val="00584224"/>
    <w:rsid w:val="005843A6"/>
    <w:rsid w:val="005844A3"/>
    <w:rsid w:val="00584607"/>
    <w:rsid w:val="0058465D"/>
    <w:rsid w:val="00584B41"/>
    <w:rsid w:val="00584BD0"/>
    <w:rsid w:val="00584D70"/>
    <w:rsid w:val="00584D96"/>
    <w:rsid w:val="00585047"/>
    <w:rsid w:val="00585082"/>
    <w:rsid w:val="00585171"/>
    <w:rsid w:val="00585749"/>
    <w:rsid w:val="00585A17"/>
    <w:rsid w:val="00585C52"/>
    <w:rsid w:val="00585D4C"/>
    <w:rsid w:val="00586B11"/>
    <w:rsid w:val="00586B6E"/>
    <w:rsid w:val="00586BD5"/>
    <w:rsid w:val="00587DE0"/>
    <w:rsid w:val="0059052C"/>
    <w:rsid w:val="00590B66"/>
    <w:rsid w:val="00590B9B"/>
    <w:rsid w:val="00591242"/>
    <w:rsid w:val="00591AC9"/>
    <w:rsid w:val="00591C2E"/>
    <w:rsid w:val="005920B0"/>
    <w:rsid w:val="0059215F"/>
    <w:rsid w:val="0059280B"/>
    <w:rsid w:val="00592D1A"/>
    <w:rsid w:val="005931E5"/>
    <w:rsid w:val="0059399F"/>
    <w:rsid w:val="00593B15"/>
    <w:rsid w:val="00593FFB"/>
    <w:rsid w:val="005943CE"/>
    <w:rsid w:val="005943D4"/>
    <w:rsid w:val="0059449D"/>
    <w:rsid w:val="005947DE"/>
    <w:rsid w:val="0059505D"/>
    <w:rsid w:val="0059529F"/>
    <w:rsid w:val="005956EC"/>
    <w:rsid w:val="00595AF4"/>
    <w:rsid w:val="00595CAF"/>
    <w:rsid w:val="00595D0F"/>
    <w:rsid w:val="00595ED8"/>
    <w:rsid w:val="005967C7"/>
    <w:rsid w:val="00596AC1"/>
    <w:rsid w:val="00596C86"/>
    <w:rsid w:val="00596CBD"/>
    <w:rsid w:val="00596FD7"/>
    <w:rsid w:val="00597236"/>
    <w:rsid w:val="0059741C"/>
    <w:rsid w:val="00597457"/>
    <w:rsid w:val="00597506"/>
    <w:rsid w:val="00597589"/>
    <w:rsid w:val="00597EF3"/>
    <w:rsid w:val="00597FB9"/>
    <w:rsid w:val="005A00E6"/>
    <w:rsid w:val="005A021D"/>
    <w:rsid w:val="005A164A"/>
    <w:rsid w:val="005A168F"/>
    <w:rsid w:val="005A16C3"/>
    <w:rsid w:val="005A185B"/>
    <w:rsid w:val="005A1BBD"/>
    <w:rsid w:val="005A21CB"/>
    <w:rsid w:val="005A22AB"/>
    <w:rsid w:val="005A2B3D"/>
    <w:rsid w:val="005A2BE6"/>
    <w:rsid w:val="005A2E53"/>
    <w:rsid w:val="005A3463"/>
    <w:rsid w:val="005A3CBC"/>
    <w:rsid w:val="005A3D2F"/>
    <w:rsid w:val="005A4963"/>
    <w:rsid w:val="005A4994"/>
    <w:rsid w:val="005A4A9E"/>
    <w:rsid w:val="005A4FFB"/>
    <w:rsid w:val="005A5272"/>
    <w:rsid w:val="005A5335"/>
    <w:rsid w:val="005A5CE9"/>
    <w:rsid w:val="005A5DC8"/>
    <w:rsid w:val="005A6563"/>
    <w:rsid w:val="005A6637"/>
    <w:rsid w:val="005A6B32"/>
    <w:rsid w:val="005A6D18"/>
    <w:rsid w:val="005A75E3"/>
    <w:rsid w:val="005A7680"/>
    <w:rsid w:val="005A7A0D"/>
    <w:rsid w:val="005A7A71"/>
    <w:rsid w:val="005A7D75"/>
    <w:rsid w:val="005A7F7E"/>
    <w:rsid w:val="005B0234"/>
    <w:rsid w:val="005B081D"/>
    <w:rsid w:val="005B0AB7"/>
    <w:rsid w:val="005B0AD7"/>
    <w:rsid w:val="005B0C6B"/>
    <w:rsid w:val="005B0D34"/>
    <w:rsid w:val="005B0F55"/>
    <w:rsid w:val="005B14A8"/>
    <w:rsid w:val="005B1910"/>
    <w:rsid w:val="005B1BEC"/>
    <w:rsid w:val="005B1F35"/>
    <w:rsid w:val="005B2179"/>
    <w:rsid w:val="005B256C"/>
    <w:rsid w:val="005B2A45"/>
    <w:rsid w:val="005B30FD"/>
    <w:rsid w:val="005B3CE2"/>
    <w:rsid w:val="005B42D8"/>
    <w:rsid w:val="005B447B"/>
    <w:rsid w:val="005B44BB"/>
    <w:rsid w:val="005B4C7C"/>
    <w:rsid w:val="005B4CF7"/>
    <w:rsid w:val="005B4FA1"/>
    <w:rsid w:val="005B5ADC"/>
    <w:rsid w:val="005B625B"/>
    <w:rsid w:val="005B64B4"/>
    <w:rsid w:val="005B68EC"/>
    <w:rsid w:val="005B6A69"/>
    <w:rsid w:val="005B6ACE"/>
    <w:rsid w:val="005B6AD5"/>
    <w:rsid w:val="005B6B2C"/>
    <w:rsid w:val="005B7490"/>
    <w:rsid w:val="005B7760"/>
    <w:rsid w:val="005B79E5"/>
    <w:rsid w:val="005B7A76"/>
    <w:rsid w:val="005B7B2B"/>
    <w:rsid w:val="005B7DA0"/>
    <w:rsid w:val="005B7F01"/>
    <w:rsid w:val="005B7F67"/>
    <w:rsid w:val="005C08B2"/>
    <w:rsid w:val="005C0C72"/>
    <w:rsid w:val="005C0DB5"/>
    <w:rsid w:val="005C0EEC"/>
    <w:rsid w:val="005C16CB"/>
    <w:rsid w:val="005C1AB9"/>
    <w:rsid w:val="005C253E"/>
    <w:rsid w:val="005C27C6"/>
    <w:rsid w:val="005C3778"/>
    <w:rsid w:val="005C38A0"/>
    <w:rsid w:val="005C3CCB"/>
    <w:rsid w:val="005C3F21"/>
    <w:rsid w:val="005C4309"/>
    <w:rsid w:val="005C43BA"/>
    <w:rsid w:val="005C447D"/>
    <w:rsid w:val="005C4DEC"/>
    <w:rsid w:val="005C52F7"/>
    <w:rsid w:val="005C5B92"/>
    <w:rsid w:val="005C5BB6"/>
    <w:rsid w:val="005C5C1C"/>
    <w:rsid w:val="005C5CD9"/>
    <w:rsid w:val="005C5D04"/>
    <w:rsid w:val="005C5F83"/>
    <w:rsid w:val="005C6A02"/>
    <w:rsid w:val="005C6E30"/>
    <w:rsid w:val="005C6F2D"/>
    <w:rsid w:val="005C6FE2"/>
    <w:rsid w:val="005C7069"/>
    <w:rsid w:val="005C7147"/>
    <w:rsid w:val="005C74D3"/>
    <w:rsid w:val="005C7E13"/>
    <w:rsid w:val="005D052C"/>
    <w:rsid w:val="005D0DDD"/>
    <w:rsid w:val="005D12D4"/>
    <w:rsid w:val="005D132B"/>
    <w:rsid w:val="005D15B2"/>
    <w:rsid w:val="005D1C48"/>
    <w:rsid w:val="005D28D3"/>
    <w:rsid w:val="005D2A4D"/>
    <w:rsid w:val="005D3296"/>
    <w:rsid w:val="005D36BA"/>
    <w:rsid w:val="005D380B"/>
    <w:rsid w:val="005D3A80"/>
    <w:rsid w:val="005D3AD4"/>
    <w:rsid w:val="005D3B91"/>
    <w:rsid w:val="005D3C97"/>
    <w:rsid w:val="005D410B"/>
    <w:rsid w:val="005D4172"/>
    <w:rsid w:val="005D4E22"/>
    <w:rsid w:val="005D58B0"/>
    <w:rsid w:val="005D598A"/>
    <w:rsid w:val="005D5BFB"/>
    <w:rsid w:val="005D6042"/>
    <w:rsid w:val="005D61A6"/>
    <w:rsid w:val="005D6396"/>
    <w:rsid w:val="005D65EE"/>
    <w:rsid w:val="005D69B5"/>
    <w:rsid w:val="005D6BDA"/>
    <w:rsid w:val="005D6FE5"/>
    <w:rsid w:val="005D7032"/>
    <w:rsid w:val="005D7640"/>
    <w:rsid w:val="005D7BA6"/>
    <w:rsid w:val="005D7C9A"/>
    <w:rsid w:val="005D7DF8"/>
    <w:rsid w:val="005D7E0C"/>
    <w:rsid w:val="005D7E2F"/>
    <w:rsid w:val="005E006C"/>
    <w:rsid w:val="005E06ED"/>
    <w:rsid w:val="005E0769"/>
    <w:rsid w:val="005E0A2A"/>
    <w:rsid w:val="005E0C48"/>
    <w:rsid w:val="005E17A0"/>
    <w:rsid w:val="005E1E2B"/>
    <w:rsid w:val="005E2011"/>
    <w:rsid w:val="005E221F"/>
    <w:rsid w:val="005E25E3"/>
    <w:rsid w:val="005E2D5E"/>
    <w:rsid w:val="005E2D6B"/>
    <w:rsid w:val="005E2F42"/>
    <w:rsid w:val="005E2FBF"/>
    <w:rsid w:val="005E309D"/>
    <w:rsid w:val="005E32A4"/>
    <w:rsid w:val="005E32F8"/>
    <w:rsid w:val="005E3315"/>
    <w:rsid w:val="005E3967"/>
    <w:rsid w:val="005E3AAF"/>
    <w:rsid w:val="005E3CDF"/>
    <w:rsid w:val="005E3D8C"/>
    <w:rsid w:val="005E4237"/>
    <w:rsid w:val="005E44CC"/>
    <w:rsid w:val="005E46C9"/>
    <w:rsid w:val="005E4953"/>
    <w:rsid w:val="005E50F8"/>
    <w:rsid w:val="005E52DA"/>
    <w:rsid w:val="005E5508"/>
    <w:rsid w:val="005E5731"/>
    <w:rsid w:val="005E60D6"/>
    <w:rsid w:val="005E62E1"/>
    <w:rsid w:val="005E654A"/>
    <w:rsid w:val="005E77A3"/>
    <w:rsid w:val="005E7D41"/>
    <w:rsid w:val="005E7E3C"/>
    <w:rsid w:val="005F00CF"/>
    <w:rsid w:val="005F0348"/>
    <w:rsid w:val="005F08DF"/>
    <w:rsid w:val="005F0B57"/>
    <w:rsid w:val="005F0D80"/>
    <w:rsid w:val="005F0DF6"/>
    <w:rsid w:val="005F1201"/>
    <w:rsid w:val="005F14F0"/>
    <w:rsid w:val="005F15D8"/>
    <w:rsid w:val="005F1CFA"/>
    <w:rsid w:val="005F237C"/>
    <w:rsid w:val="005F26CD"/>
    <w:rsid w:val="005F292E"/>
    <w:rsid w:val="005F2AD5"/>
    <w:rsid w:val="005F2CC5"/>
    <w:rsid w:val="005F2D16"/>
    <w:rsid w:val="005F2FFA"/>
    <w:rsid w:val="005F3407"/>
    <w:rsid w:val="005F377A"/>
    <w:rsid w:val="005F37A5"/>
    <w:rsid w:val="005F3983"/>
    <w:rsid w:val="005F3D76"/>
    <w:rsid w:val="005F450B"/>
    <w:rsid w:val="005F455F"/>
    <w:rsid w:val="005F506C"/>
    <w:rsid w:val="005F5082"/>
    <w:rsid w:val="005F569F"/>
    <w:rsid w:val="005F5871"/>
    <w:rsid w:val="005F5950"/>
    <w:rsid w:val="005F5C14"/>
    <w:rsid w:val="005F5D70"/>
    <w:rsid w:val="005F608C"/>
    <w:rsid w:val="005F632C"/>
    <w:rsid w:val="005F6339"/>
    <w:rsid w:val="005F665B"/>
    <w:rsid w:val="005F66BA"/>
    <w:rsid w:val="005F67FF"/>
    <w:rsid w:val="005F6A50"/>
    <w:rsid w:val="005F6D67"/>
    <w:rsid w:val="005F6E35"/>
    <w:rsid w:val="005F741E"/>
    <w:rsid w:val="005F7515"/>
    <w:rsid w:val="005F7523"/>
    <w:rsid w:val="005F767A"/>
    <w:rsid w:val="005F7842"/>
    <w:rsid w:val="006002C8"/>
    <w:rsid w:val="0060052D"/>
    <w:rsid w:val="0060056E"/>
    <w:rsid w:val="0060070D"/>
    <w:rsid w:val="006008FE"/>
    <w:rsid w:val="0060092E"/>
    <w:rsid w:val="006009E3"/>
    <w:rsid w:val="00600AAE"/>
    <w:rsid w:val="00600BCE"/>
    <w:rsid w:val="00600CBC"/>
    <w:rsid w:val="00600EF2"/>
    <w:rsid w:val="006015B2"/>
    <w:rsid w:val="00601661"/>
    <w:rsid w:val="00601905"/>
    <w:rsid w:val="00601A30"/>
    <w:rsid w:val="00601A72"/>
    <w:rsid w:val="0060211C"/>
    <w:rsid w:val="00602228"/>
    <w:rsid w:val="00602366"/>
    <w:rsid w:val="00602531"/>
    <w:rsid w:val="00602EEA"/>
    <w:rsid w:val="0060310C"/>
    <w:rsid w:val="006035F0"/>
    <w:rsid w:val="00603A6B"/>
    <w:rsid w:val="00603C34"/>
    <w:rsid w:val="00603EF2"/>
    <w:rsid w:val="0060418E"/>
    <w:rsid w:val="00604759"/>
    <w:rsid w:val="00604CBC"/>
    <w:rsid w:val="00605329"/>
    <w:rsid w:val="00605573"/>
    <w:rsid w:val="006055F1"/>
    <w:rsid w:val="00605658"/>
    <w:rsid w:val="006057CC"/>
    <w:rsid w:val="00605A65"/>
    <w:rsid w:val="00605DAC"/>
    <w:rsid w:val="00605F7A"/>
    <w:rsid w:val="00606002"/>
    <w:rsid w:val="00606198"/>
    <w:rsid w:val="00607380"/>
    <w:rsid w:val="006075B2"/>
    <w:rsid w:val="00607F51"/>
    <w:rsid w:val="006102BF"/>
    <w:rsid w:val="0061042E"/>
    <w:rsid w:val="0061043F"/>
    <w:rsid w:val="00610603"/>
    <w:rsid w:val="006112CB"/>
    <w:rsid w:val="00611597"/>
    <w:rsid w:val="006115DF"/>
    <w:rsid w:val="00611A2B"/>
    <w:rsid w:val="00611D89"/>
    <w:rsid w:val="0061209A"/>
    <w:rsid w:val="00612D64"/>
    <w:rsid w:val="00612E3B"/>
    <w:rsid w:val="00613420"/>
    <w:rsid w:val="006136D9"/>
    <w:rsid w:val="0061380B"/>
    <w:rsid w:val="006138A2"/>
    <w:rsid w:val="00613AD5"/>
    <w:rsid w:val="00613BB2"/>
    <w:rsid w:val="00613D10"/>
    <w:rsid w:val="00613D52"/>
    <w:rsid w:val="00613DF1"/>
    <w:rsid w:val="006140F0"/>
    <w:rsid w:val="006141FE"/>
    <w:rsid w:val="006144AE"/>
    <w:rsid w:val="00614886"/>
    <w:rsid w:val="0061514C"/>
    <w:rsid w:val="00615278"/>
    <w:rsid w:val="00615657"/>
    <w:rsid w:val="0061591D"/>
    <w:rsid w:val="00615CC1"/>
    <w:rsid w:val="006164C9"/>
    <w:rsid w:val="00616ACD"/>
    <w:rsid w:val="00616B4A"/>
    <w:rsid w:val="00617286"/>
    <w:rsid w:val="0061757F"/>
    <w:rsid w:val="00617D47"/>
    <w:rsid w:val="00620097"/>
    <w:rsid w:val="006204AF"/>
    <w:rsid w:val="006204EB"/>
    <w:rsid w:val="00620568"/>
    <w:rsid w:val="00620727"/>
    <w:rsid w:val="006208EF"/>
    <w:rsid w:val="0062093F"/>
    <w:rsid w:val="00620B4F"/>
    <w:rsid w:val="00621130"/>
    <w:rsid w:val="00621A54"/>
    <w:rsid w:val="00621EF0"/>
    <w:rsid w:val="006229F9"/>
    <w:rsid w:val="00622A6A"/>
    <w:rsid w:val="00622DB0"/>
    <w:rsid w:val="00622E0E"/>
    <w:rsid w:val="00623647"/>
    <w:rsid w:val="00623E7E"/>
    <w:rsid w:val="0062462E"/>
    <w:rsid w:val="006247CE"/>
    <w:rsid w:val="00624B62"/>
    <w:rsid w:val="00625020"/>
    <w:rsid w:val="006251D4"/>
    <w:rsid w:val="0062537C"/>
    <w:rsid w:val="006256F1"/>
    <w:rsid w:val="006257A5"/>
    <w:rsid w:val="00625BF1"/>
    <w:rsid w:val="00625C37"/>
    <w:rsid w:val="00625EB6"/>
    <w:rsid w:val="0062668D"/>
    <w:rsid w:val="0062675D"/>
    <w:rsid w:val="0062675F"/>
    <w:rsid w:val="006267A2"/>
    <w:rsid w:val="00626CB6"/>
    <w:rsid w:val="006274C6"/>
    <w:rsid w:val="00627716"/>
    <w:rsid w:val="00627CC7"/>
    <w:rsid w:val="00630123"/>
    <w:rsid w:val="0063023E"/>
    <w:rsid w:val="0063035B"/>
    <w:rsid w:val="00630CF2"/>
    <w:rsid w:val="00630EC3"/>
    <w:rsid w:val="006312CE"/>
    <w:rsid w:val="00632375"/>
    <w:rsid w:val="00632EE4"/>
    <w:rsid w:val="0063350E"/>
    <w:rsid w:val="00633F09"/>
    <w:rsid w:val="00634391"/>
    <w:rsid w:val="006343DD"/>
    <w:rsid w:val="006346EB"/>
    <w:rsid w:val="006347C8"/>
    <w:rsid w:val="00634D38"/>
    <w:rsid w:val="00634D7A"/>
    <w:rsid w:val="00634EF2"/>
    <w:rsid w:val="006359B3"/>
    <w:rsid w:val="00635CBE"/>
    <w:rsid w:val="00635EC8"/>
    <w:rsid w:val="00635F00"/>
    <w:rsid w:val="00636A0C"/>
    <w:rsid w:val="00636EBD"/>
    <w:rsid w:val="00637178"/>
    <w:rsid w:val="0063724D"/>
    <w:rsid w:val="006376C2"/>
    <w:rsid w:val="006376F9"/>
    <w:rsid w:val="00637A7C"/>
    <w:rsid w:val="00637AB8"/>
    <w:rsid w:val="00637C4E"/>
    <w:rsid w:val="00637E3A"/>
    <w:rsid w:val="00640043"/>
    <w:rsid w:val="00640373"/>
    <w:rsid w:val="00640403"/>
    <w:rsid w:val="00640A06"/>
    <w:rsid w:val="00640A35"/>
    <w:rsid w:val="00640A92"/>
    <w:rsid w:val="00640DC8"/>
    <w:rsid w:val="00641272"/>
    <w:rsid w:val="00641348"/>
    <w:rsid w:val="00641452"/>
    <w:rsid w:val="0064163E"/>
    <w:rsid w:val="006417D3"/>
    <w:rsid w:val="0064185C"/>
    <w:rsid w:val="00641CB0"/>
    <w:rsid w:val="0064278A"/>
    <w:rsid w:val="006427AA"/>
    <w:rsid w:val="00643743"/>
    <w:rsid w:val="00643B3A"/>
    <w:rsid w:val="00643B50"/>
    <w:rsid w:val="00643B6B"/>
    <w:rsid w:val="00643CBE"/>
    <w:rsid w:val="00644336"/>
    <w:rsid w:val="0064484F"/>
    <w:rsid w:val="00644BAA"/>
    <w:rsid w:val="00644C7E"/>
    <w:rsid w:val="00645113"/>
    <w:rsid w:val="0064530E"/>
    <w:rsid w:val="006455B9"/>
    <w:rsid w:val="006457F8"/>
    <w:rsid w:val="00645B73"/>
    <w:rsid w:val="006462F8"/>
    <w:rsid w:val="006467DA"/>
    <w:rsid w:val="00646B63"/>
    <w:rsid w:val="00646DCE"/>
    <w:rsid w:val="00646DF7"/>
    <w:rsid w:val="00646E4E"/>
    <w:rsid w:val="00646EEF"/>
    <w:rsid w:val="00646F83"/>
    <w:rsid w:val="00646FB4"/>
    <w:rsid w:val="0064711A"/>
    <w:rsid w:val="0064753E"/>
    <w:rsid w:val="0064795A"/>
    <w:rsid w:val="00647D9A"/>
    <w:rsid w:val="0065037A"/>
    <w:rsid w:val="00650443"/>
    <w:rsid w:val="00650507"/>
    <w:rsid w:val="006506B7"/>
    <w:rsid w:val="00650ABC"/>
    <w:rsid w:val="00651045"/>
    <w:rsid w:val="0065162A"/>
    <w:rsid w:val="006518F6"/>
    <w:rsid w:val="00651987"/>
    <w:rsid w:val="00651A52"/>
    <w:rsid w:val="00651F68"/>
    <w:rsid w:val="00652353"/>
    <w:rsid w:val="00653836"/>
    <w:rsid w:val="00653A98"/>
    <w:rsid w:val="00653F91"/>
    <w:rsid w:val="00654361"/>
    <w:rsid w:val="006549CC"/>
    <w:rsid w:val="00654B61"/>
    <w:rsid w:val="00654C48"/>
    <w:rsid w:val="00655467"/>
    <w:rsid w:val="00655A10"/>
    <w:rsid w:val="00655B50"/>
    <w:rsid w:val="006567FA"/>
    <w:rsid w:val="00656ACA"/>
    <w:rsid w:val="00656BE0"/>
    <w:rsid w:val="00656E3E"/>
    <w:rsid w:val="00657103"/>
    <w:rsid w:val="0065762D"/>
    <w:rsid w:val="00657812"/>
    <w:rsid w:val="00657947"/>
    <w:rsid w:val="00657DDE"/>
    <w:rsid w:val="00660599"/>
    <w:rsid w:val="00660C1C"/>
    <w:rsid w:val="00660C34"/>
    <w:rsid w:val="00660E2D"/>
    <w:rsid w:val="00661461"/>
    <w:rsid w:val="00661BF9"/>
    <w:rsid w:val="00661C17"/>
    <w:rsid w:val="00661CAA"/>
    <w:rsid w:val="00661E84"/>
    <w:rsid w:val="00661FC3"/>
    <w:rsid w:val="00662007"/>
    <w:rsid w:val="006628D6"/>
    <w:rsid w:val="00662CA9"/>
    <w:rsid w:val="00662F52"/>
    <w:rsid w:val="006630F2"/>
    <w:rsid w:val="006631F5"/>
    <w:rsid w:val="0066331F"/>
    <w:rsid w:val="0066346F"/>
    <w:rsid w:val="006634A4"/>
    <w:rsid w:val="006636DB"/>
    <w:rsid w:val="00664074"/>
    <w:rsid w:val="0066408E"/>
    <w:rsid w:val="006641E4"/>
    <w:rsid w:val="00664206"/>
    <w:rsid w:val="006646B8"/>
    <w:rsid w:val="006648DB"/>
    <w:rsid w:val="00664944"/>
    <w:rsid w:val="00664956"/>
    <w:rsid w:val="00665347"/>
    <w:rsid w:val="0066538D"/>
    <w:rsid w:val="006653F6"/>
    <w:rsid w:val="00665659"/>
    <w:rsid w:val="00665B2E"/>
    <w:rsid w:val="00665E83"/>
    <w:rsid w:val="006661CC"/>
    <w:rsid w:val="006665DF"/>
    <w:rsid w:val="00666CEF"/>
    <w:rsid w:val="00667206"/>
    <w:rsid w:val="00667208"/>
    <w:rsid w:val="0066798C"/>
    <w:rsid w:val="00667B49"/>
    <w:rsid w:val="00667B7D"/>
    <w:rsid w:val="00667D46"/>
    <w:rsid w:val="00670035"/>
    <w:rsid w:val="00670D6A"/>
    <w:rsid w:val="00670EAB"/>
    <w:rsid w:val="0067104A"/>
    <w:rsid w:val="006711FC"/>
    <w:rsid w:val="00671201"/>
    <w:rsid w:val="0067166F"/>
    <w:rsid w:val="00671B36"/>
    <w:rsid w:val="00671F57"/>
    <w:rsid w:val="00671F7A"/>
    <w:rsid w:val="00672108"/>
    <w:rsid w:val="0067215A"/>
    <w:rsid w:val="0067240E"/>
    <w:rsid w:val="00672446"/>
    <w:rsid w:val="00672617"/>
    <w:rsid w:val="00672C8D"/>
    <w:rsid w:val="00672CFE"/>
    <w:rsid w:val="006733D2"/>
    <w:rsid w:val="006737DD"/>
    <w:rsid w:val="00673894"/>
    <w:rsid w:val="006738BA"/>
    <w:rsid w:val="00673D6F"/>
    <w:rsid w:val="00674511"/>
    <w:rsid w:val="00674640"/>
    <w:rsid w:val="00674644"/>
    <w:rsid w:val="00674725"/>
    <w:rsid w:val="00674788"/>
    <w:rsid w:val="00674B62"/>
    <w:rsid w:val="00674D95"/>
    <w:rsid w:val="00674F73"/>
    <w:rsid w:val="0067507D"/>
    <w:rsid w:val="006757BE"/>
    <w:rsid w:val="0067606B"/>
    <w:rsid w:val="0067607A"/>
    <w:rsid w:val="006760B8"/>
    <w:rsid w:val="006764DF"/>
    <w:rsid w:val="006766F2"/>
    <w:rsid w:val="00676710"/>
    <w:rsid w:val="006767E5"/>
    <w:rsid w:val="00676833"/>
    <w:rsid w:val="00676F90"/>
    <w:rsid w:val="00677194"/>
    <w:rsid w:val="00677260"/>
    <w:rsid w:val="0067736A"/>
    <w:rsid w:val="00677539"/>
    <w:rsid w:val="00677D62"/>
    <w:rsid w:val="0068015E"/>
    <w:rsid w:val="0068065C"/>
    <w:rsid w:val="0068092A"/>
    <w:rsid w:val="00680B67"/>
    <w:rsid w:val="0068173B"/>
    <w:rsid w:val="00681A12"/>
    <w:rsid w:val="00681BFE"/>
    <w:rsid w:val="00681CC2"/>
    <w:rsid w:val="00681E28"/>
    <w:rsid w:val="0068244D"/>
    <w:rsid w:val="006824A8"/>
    <w:rsid w:val="00682689"/>
    <w:rsid w:val="00682B05"/>
    <w:rsid w:val="00682B59"/>
    <w:rsid w:val="00682C48"/>
    <w:rsid w:val="00682D3C"/>
    <w:rsid w:val="00682D9B"/>
    <w:rsid w:val="00683445"/>
    <w:rsid w:val="0068364F"/>
    <w:rsid w:val="0068365C"/>
    <w:rsid w:val="006836EB"/>
    <w:rsid w:val="00683723"/>
    <w:rsid w:val="00683807"/>
    <w:rsid w:val="006839ED"/>
    <w:rsid w:val="0068418B"/>
    <w:rsid w:val="0068460A"/>
    <w:rsid w:val="00684633"/>
    <w:rsid w:val="006846B3"/>
    <w:rsid w:val="0068488F"/>
    <w:rsid w:val="0068494C"/>
    <w:rsid w:val="006849A0"/>
    <w:rsid w:val="00684A89"/>
    <w:rsid w:val="00684CB9"/>
    <w:rsid w:val="0068510F"/>
    <w:rsid w:val="00685343"/>
    <w:rsid w:val="00685679"/>
    <w:rsid w:val="00686030"/>
    <w:rsid w:val="00686050"/>
    <w:rsid w:val="00686156"/>
    <w:rsid w:val="00686223"/>
    <w:rsid w:val="006862A1"/>
    <w:rsid w:val="0068658F"/>
    <w:rsid w:val="00686A0A"/>
    <w:rsid w:val="00686A32"/>
    <w:rsid w:val="00686DB3"/>
    <w:rsid w:val="00687231"/>
    <w:rsid w:val="00687329"/>
    <w:rsid w:val="00687453"/>
    <w:rsid w:val="00687D4B"/>
    <w:rsid w:val="00687FE9"/>
    <w:rsid w:val="0069023B"/>
    <w:rsid w:val="0069033B"/>
    <w:rsid w:val="00690C39"/>
    <w:rsid w:val="00690FBB"/>
    <w:rsid w:val="0069162F"/>
    <w:rsid w:val="006916BC"/>
    <w:rsid w:val="0069176C"/>
    <w:rsid w:val="00691874"/>
    <w:rsid w:val="006918AF"/>
    <w:rsid w:val="006919D2"/>
    <w:rsid w:val="00691C4A"/>
    <w:rsid w:val="00691D23"/>
    <w:rsid w:val="00691F13"/>
    <w:rsid w:val="00692064"/>
    <w:rsid w:val="006923E7"/>
    <w:rsid w:val="0069259F"/>
    <w:rsid w:val="00692991"/>
    <w:rsid w:val="00692DE7"/>
    <w:rsid w:val="00692FD8"/>
    <w:rsid w:val="00692FF2"/>
    <w:rsid w:val="00693023"/>
    <w:rsid w:val="00693467"/>
    <w:rsid w:val="006936EB"/>
    <w:rsid w:val="0069377C"/>
    <w:rsid w:val="006938DB"/>
    <w:rsid w:val="0069391C"/>
    <w:rsid w:val="00693AB6"/>
    <w:rsid w:val="00693F96"/>
    <w:rsid w:val="00694598"/>
    <w:rsid w:val="00694844"/>
    <w:rsid w:val="0069499B"/>
    <w:rsid w:val="00694A00"/>
    <w:rsid w:val="00694D14"/>
    <w:rsid w:val="00694EBE"/>
    <w:rsid w:val="00695098"/>
    <w:rsid w:val="00695254"/>
    <w:rsid w:val="00695762"/>
    <w:rsid w:val="006958FC"/>
    <w:rsid w:val="00695D89"/>
    <w:rsid w:val="00696877"/>
    <w:rsid w:val="00696AC4"/>
    <w:rsid w:val="00696B28"/>
    <w:rsid w:val="006972A0"/>
    <w:rsid w:val="00697498"/>
    <w:rsid w:val="00697878"/>
    <w:rsid w:val="006978B7"/>
    <w:rsid w:val="00697AF4"/>
    <w:rsid w:val="00697B71"/>
    <w:rsid w:val="006A0485"/>
    <w:rsid w:val="006A0840"/>
    <w:rsid w:val="006A08C0"/>
    <w:rsid w:val="006A0907"/>
    <w:rsid w:val="006A0930"/>
    <w:rsid w:val="006A0A44"/>
    <w:rsid w:val="006A0BF2"/>
    <w:rsid w:val="006A0C1B"/>
    <w:rsid w:val="006A18A1"/>
    <w:rsid w:val="006A1D2C"/>
    <w:rsid w:val="006A1D96"/>
    <w:rsid w:val="006A1F2A"/>
    <w:rsid w:val="006A20C9"/>
    <w:rsid w:val="006A2338"/>
    <w:rsid w:val="006A25C3"/>
    <w:rsid w:val="006A27AC"/>
    <w:rsid w:val="006A28EC"/>
    <w:rsid w:val="006A2916"/>
    <w:rsid w:val="006A2AD2"/>
    <w:rsid w:val="006A2CF4"/>
    <w:rsid w:val="006A2F48"/>
    <w:rsid w:val="006A32BE"/>
    <w:rsid w:val="006A3442"/>
    <w:rsid w:val="006A3AC9"/>
    <w:rsid w:val="006A3ADD"/>
    <w:rsid w:val="006A3B72"/>
    <w:rsid w:val="006A4089"/>
    <w:rsid w:val="006A41A2"/>
    <w:rsid w:val="006A450E"/>
    <w:rsid w:val="006A456F"/>
    <w:rsid w:val="006A46B5"/>
    <w:rsid w:val="006A4C44"/>
    <w:rsid w:val="006A54B5"/>
    <w:rsid w:val="006A5781"/>
    <w:rsid w:val="006A5BCC"/>
    <w:rsid w:val="006A617B"/>
    <w:rsid w:val="006A68A9"/>
    <w:rsid w:val="006A692A"/>
    <w:rsid w:val="006A71BF"/>
    <w:rsid w:val="006A7310"/>
    <w:rsid w:val="006A78A2"/>
    <w:rsid w:val="006A7B52"/>
    <w:rsid w:val="006B01B0"/>
    <w:rsid w:val="006B0353"/>
    <w:rsid w:val="006B054C"/>
    <w:rsid w:val="006B0551"/>
    <w:rsid w:val="006B0926"/>
    <w:rsid w:val="006B0A07"/>
    <w:rsid w:val="006B0FF0"/>
    <w:rsid w:val="006B1414"/>
    <w:rsid w:val="006B1486"/>
    <w:rsid w:val="006B1B3C"/>
    <w:rsid w:val="006B1BD1"/>
    <w:rsid w:val="006B1CCC"/>
    <w:rsid w:val="006B25A7"/>
    <w:rsid w:val="006B278C"/>
    <w:rsid w:val="006B28A1"/>
    <w:rsid w:val="006B29DA"/>
    <w:rsid w:val="006B2AAB"/>
    <w:rsid w:val="006B2BD2"/>
    <w:rsid w:val="006B2C3F"/>
    <w:rsid w:val="006B2D50"/>
    <w:rsid w:val="006B2EE4"/>
    <w:rsid w:val="006B32E9"/>
    <w:rsid w:val="006B3325"/>
    <w:rsid w:val="006B3591"/>
    <w:rsid w:val="006B3EBD"/>
    <w:rsid w:val="006B442B"/>
    <w:rsid w:val="006B49FF"/>
    <w:rsid w:val="006B4C96"/>
    <w:rsid w:val="006B4D21"/>
    <w:rsid w:val="006B5127"/>
    <w:rsid w:val="006B529C"/>
    <w:rsid w:val="006B5821"/>
    <w:rsid w:val="006B5AE9"/>
    <w:rsid w:val="006B61F0"/>
    <w:rsid w:val="006B6240"/>
    <w:rsid w:val="006B635C"/>
    <w:rsid w:val="006B65C5"/>
    <w:rsid w:val="006B6720"/>
    <w:rsid w:val="006B69DD"/>
    <w:rsid w:val="006B6CBD"/>
    <w:rsid w:val="006B6EC1"/>
    <w:rsid w:val="006B71EE"/>
    <w:rsid w:val="006B7576"/>
    <w:rsid w:val="006B7935"/>
    <w:rsid w:val="006B7944"/>
    <w:rsid w:val="006C0386"/>
    <w:rsid w:val="006C0567"/>
    <w:rsid w:val="006C1367"/>
    <w:rsid w:val="006C1419"/>
    <w:rsid w:val="006C15C9"/>
    <w:rsid w:val="006C186F"/>
    <w:rsid w:val="006C1923"/>
    <w:rsid w:val="006C1AD6"/>
    <w:rsid w:val="006C1F3D"/>
    <w:rsid w:val="006C212E"/>
    <w:rsid w:val="006C243E"/>
    <w:rsid w:val="006C2492"/>
    <w:rsid w:val="006C2926"/>
    <w:rsid w:val="006C31D4"/>
    <w:rsid w:val="006C34DC"/>
    <w:rsid w:val="006C38F0"/>
    <w:rsid w:val="006C40D5"/>
    <w:rsid w:val="006C414C"/>
    <w:rsid w:val="006C4365"/>
    <w:rsid w:val="006C473B"/>
    <w:rsid w:val="006C482D"/>
    <w:rsid w:val="006C4ADA"/>
    <w:rsid w:val="006C4DB9"/>
    <w:rsid w:val="006C4EF5"/>
    <w:rsid w:val="006C529A"/>
    <w:rsid w:val="006C5424"/>
    <w:rsid w:val="006C5909"/>
    <w:rsid w:val="006C6927"/>
    <w:rsid w:val="006C6D26"/>
    <w:rsid w:val="006C6D2F"/>
    <w:rsid w:val="006C6EF1"/>
    <w:rsid w:val="006C6FB1"/>
    <w:rsid w:val="006C7A87"/>
    <w:rsid w:val="006D0102"/>
    <w:rsid w:val="006D01A7"/>
    <w:rsid w:val="006D051D"/>
    <w:rsid w:val="006D0563"/>
    <w:rsid w:val="006D08DF"/>
    <w:rsid w:val="006D0B7A"/>
    <w:rsid w:val="006D0BB9"/>
    <w:rsid w:val="006D0FA4"/>
    <w:rsid w:val="006D148A"/>
    <w:rsid w:val="006D1513"/>
    <w:rsid w:val="006D190D"/>
    <w:rsid w:val="006D1D3D"/>
    <w:rsid w:val="006D1F60"/>
    <w:rsid w:val="006D202F"/>
    <w:rsid w:val="006D211D"/>
    <w:rsid w:val="006D2306"/>
    <w:rsid w:val="006D3304"/>
    <w:rsid w:val="006D36DB"/>
    <w:rsid w:val="006D36DF"/>
    <w:rsid w:val="006D390A"/>
    <w:rsid w:val="006D43E3"/>
    <w:rsid w:val="006D4611"/>
    <w:rsid w:val="006D4907"/>
    <w:rsid w:val="006D4CCF"/>
    <w:rsid w:val="006D4D88"/>
    <w:rsid w:val="006D538B"/>
    <w:rsid w:val="006D5516"/>
    <w:rsid w:val="006D58F7"/>
    <w:rsid w:val="006D5D3A"/>
    <w:rsid w:val="006D5E90"/>
    <w:rsid w:val="006D6292"/>
    <w:rsid w:val="006D6808"/>
    <w:rsid w:val="006D6D84"/>
    <w:rsid w:val="006D6DDD"/>
    <w:rsid w:val="006D6ED6"/>
    <w:rsid w:val="006D6F50"/>
    <w:rsid w:val="006D6F76"/>
    <w:rsid w:val="006D7421"/>
    <w:rsid w:val="006E034C"/>
    <w:rsid w:val="006E08CD"/>
    <w:rsid w:val="006E0B9D"/>
    <w:rsid w:val="006E0D39"/>
    <w:rsid w:val="006E0DBD"/>
    <w:rsid w:val="006E0EA4"/>
    <w:rsid w:val="006E1188"/>
    <w:rsid w:val="006E11C0"/>
    <w:rsid w:val="006E1302"/>
    <w:rsid w:val="006E1647"/>
    <w:rsid w:val="006E257A"/>
    <w:rsid w:val="006E26D0"/>
    <w:rsid w:val="006E2A54"/>
    <w:rsid w:val="006E34BF"/>
    <w:rsid w:val="006E34E4"/>
    <w:rsid w:val="006E3D0F"/>
    <w:rsid w:val="006E3DFB"/>
    <w:rsid w:val="006E3F0B"/>
    <w:rsid w:val="006E3FA2"/>
    <w:rsid w:val="006E4041"/>
    <w:rsid w:val="006E42CE"/>
    <w:rsid w:val="006E4349"/>
    <w:rsid w:val="006E43D5"/>
    <w:rsid w:val="006E4414"/>
    <w:rsid w:val="006E47C8"/>
    <w:rsid w:val="006E4BF7"/>
    <w:rsid w:val="006E5007"/>
    <w:rsid w:val="006E545B"/>
    <w:rsid w:val="006E5667"/>
    <w:rsid w:val="006E56FB"/>
    <w:rsid w:val="006E5A2B"/>
    <w:rsid w:val="006E5C12"/>
    <w:rsid w:val="006E6052"/>
    <w:rsid w:val="006E68B4"/>
    <w:rsid w:val="006E6B7D"/>
    <w:rsid w:val="006E6CF6"/>
    <w:rsid w:val="006E776E"/>
    <w:rsid w:val="006E7A10"/>
    <w:rsid w:val="006E7AD8"/>
    <w:rsid w:val="006E7D9B"/>
    <w:rsid w:val="006E7E25"/>
    <w:rsid w:val="006E7FD4"/>
    <w:rsid w:val="006F0229"/>
    <w:rsid w:val="006F0427"/>
    <w:rsid w:val="006F0493"/>
    <w:rsid w:val="006F0552"/>
    <w:rsid w:val="006F064D"/>
    <w:rsid w:val="006F06B5"/>
    <w:rsid w:val="006F06D7"/>
    <w:rsid w:val="006F07BC"/>
    <w:rsid w:val="006F084B"/>
    <w:rsid w:val="006F0C7B"/>
    <w:rsid w:val="006F0F0F"/>
    <w:rsid w:val="006F0FB7"/>
    <w:rsid w:val="006F115E"/>
    <w:rsid w:val="006F16B8"/>
    <w:rsid w:val="006F1775"/>
    <w:rsid w:val="006F17C2"/>
    <w:rsid w:val="006F2BBD"/>
    <w:rsid w:val="006F2E68"/>
    <w:rsid w:val="006F3318"/>
    <w:rsid w:val="006F337C"/>
    <w:rsid w:val="006F368C"/>
    <w:rsid w:val="006F3CF2"/>
    <w:rsid w:val="006F3DE3"/>
    <w:rsid w:val="006F3E15"/>
    <w:rsid w:val="006F476D"/>
    <w:rsid w:val="006F49A1"/>
    <w:rsid w:val="006F49C1"/>
    <w:rsid w:val="006F4C0E"/>
    <w:rsid w:val="006F4D64"/>
    <w:rsid w:val="006F4E1E"/>
    <w:rsid w:val="006F57BB"/>
    <w:rsid w:val="006F5C56"/>
    <w:rsid w:val="006F606A"/>
    <w:rsid w:val="006F6086"/>
    <w:rsid w:val="006F63B3"/>
    <w:rsid w:val="006F64A9"/>
    <w:rsid w:val="006F65BC"/>
    <w:rsid w:val="006F6C1D"/>
    <w:rsid w:val="006F6EDB"/>
    <w:rsid w:val="006F7083"/>
    <w:rsid w:val="006F7085"/>
    <w:rsid w:val="006F716E"/>
    <w:rsid w:val="006F772B"/>
    <w:rsid w:val="006F773D"/>
    <w:rsid w:val="006F7DB6"/>
    <w:rsid w:val="006F7FA6"/>
    <w:rsid w:val="0070082F"/>
    <w:rsid w:val="00700CD9"/>
    <w:rsid w:val="007014F4"/>
    <w:rsid w:val="0070161C"/>
    <w:rsid w:val="007018B9"/>
    <w:rsid w:val="007021D1"/>
    <w:rsid w:val="007025C7"/>
    <w:rsid w:val="00702605"/>
    <w:rsid w:val="007027AF"/>
    <w:rsid w:val="00702AC3"/>
    <w:rsid w:val="00702EA1"/>
    <w:rsid w:val="00703A62"/>
    <w:rsid w:val="00703D35"/>
    <w:rsid w:val="0070450A"/>
    <w:rsid w:val="007046C1"/>
    <w:rsid w:val="00704AF6"/>
    <w:rsid w:val="00704BCC"/>
    <w:rsid w:val="007052D3"/>
    <w:rsid w:val="007055AE"/>
    <w:rsid w:val="00705A53"/>
    <w:rsid w:val="00705E04"/>
    <w:rsid w:val="0070622C"/>
    <w:rsid w:val="007062FD"/>
    <w:rsid w:val="00706706"/>
    <w:rsid w:val="0070681C"/>
    <w:rsid w:val="00706922"/>
    <w:rsid w:val="00706970"/>
    <w:rsid w:val="00706A1A"/>
    <w:rsid w:val="00706AC5"/>
    <w:rsid w:val="00706B9A"/>
    <w:rsid w:val="00706BF5"/>
    <w:rsid w:val="00707416"/>
    <w:rsid w:val="00707A5E"/>
    <w:rsid w:val="00707A93"/>
    <w:rsid w:val="00707C14"/>
    <w:rsid w:val="00710764"/>
    <w:rsid w:val="00710849"/>
    <w:rsid w:val="007109DB"/>
    <w:rsid w:val="00710B6E"/>
    <w:rsid w:val="00710E92"/>
    <w:rsid w:val="0071178D"/>
    <w:rsid w:val="00712139"/>
    <w:rsid w:val="00712521"/>
    <w:rsid w:val="00712550"/>
    <w:rsid w:val="00712600"/>
    <w:rsid w:val="00712961"/>
    <w:rsid w:val="00712D5E"/>
    <w:rsid w:val="00712E60"/>
    <w:rsid w:val="00713120"/>
    <w:rsid w:val="00713430"/>
    <w:rsid w:val="0071358B"/>
    <w:rsid w:val="007139AB"/>
    <w:rsid w:val="00713D99"/>
    <w:rsid w:val="007141C0"/>
    <w:rsid w:val="00714319"/>
    <w:rsid w:val="007154EF"/>
    <w:rsid w:val="0071598D"/>
    <w:rsid w:val="00715C7E"/>
    <w:rsid w:val="007160C7"/>
    <w:rsid w:val="0071623B"/>
    <w:rsid w:val="00716362"/>
    <w:rsid w:val="00716441"/>
    <w:rsid w:val="0071671A"/>
    <w:rsid w:val="007168C4"/>
    <w:rsid w:val="00716D1F"/>
    <w:rsid w:val="007172D7"/>
    <w:rsid w:val="00717505"/>
    <w:rsid w:val="007175FD"/>
    <w:rsid w:val="00717AD8"/>
    <w:rsid w:val="00717C9E"/>
    <w:rsid w:val="00717D48"/>
    <w:rsid w:val="0072043E"/>
    <w:rsid w:val="00721865"/>
    <w:rsid w:val="007219B5"/>
    <w:rsid w:val="00721A42"/>
    <w:rsid w:val="00721B1B"/>
    <w:rsid w:val="00721F5B"/>
    <w:rsid w:val="0072205B"/>
    <w:rsid w:val="0072221C"/>
    <w:rsid w:val="00722589"/>
    <w:rsid w:val="00722C61"/>
    <w:rsid w:val="00722FC7"/>
    <w:rsid w:val="0072319B"/>
    <w:rsid w:val="0072324C"/>
    <w:rsid w:val="007232E6"/>
    <w:rsid w:val="00723BE0"/>
    <w:rsid w:val="007241E4"/>
    <w:rsid w:val="00724240"/>
    <w:rsid w:val="0072460F"/>
    <w:rsid w:val="00724749"/>
    <w:rsid w:val="00724769"/>
    <w:rsid w:val="00724DC7"/>
    <w:rsid w:val="0072534D"/>
    <w:rsid w:val="00725822"/>
    <w:rsid w:val="00725986"/>
    <w:rsid w:val="00725B63"/>
    <w:rsid w:val="007264A9"/>
    <w:rsid w:val="00726931"/>
    <w:rsid w:val="00726A3C"/>
    <w:rsid w:val="00726CB5"/>
    <w:rsid w:val="0072737C"/>
    <w:rsid w:val="00727897"/>
    <w:rsid w:val="00727C4C"/>
    <w:rsid w:val="00727FC5"/>
    <w:rsid w:val="007302EB"/>
    <w:rsid w:val="0073047C"/>
    <w:rsid w:val="00730649"/>
    <w:rsid w:val="0073099F"/>
    <w:rsid w:val="007309CB"/>
    <w:rsid w:val="00730A20"/>
    <w:rsid w:val="00730E03"/>
    <w:rsid w:val="00731C33"/>
    <w:rsid w:val="00731E99"/>
    <w:rsid w:val="00731EB3"/>
    <w:rsid w:val="00731F83"/>
    <w:rsid w:val="00732064"/>
    <w:rsid w:val="007321AD"/>
    <w:rsid w:val="00732381"/>
    <w:rsid w:val="007324B2"/>
    <w:rsid w:val="00732EC1"/>
    <w:rsid w:val="007331B3"/>
    <w:rsid w:val="0073330F"/>
    <w:rsid w:val="007335A4"/>
    <w:rsid w:val="0073370E"/>
    <w:rsid w:val="00733B52"/>
    <w:rsid w:val="00733FD5"/>
    <w:rsid w:val="007340F4"/>
    <w:rsid w:val="0073411F"/>
    <w:rsid w:val="00734135"/>
    <w:rsid w:val="00734402"/>
    <w:rsid w:val="007346A7"/>
    <w:rsid w:val="00734700"/>
    <w:rsid w:val="00734A97"/>
    <w:rsid w:val="00734EB8"/>
    <w:rsid w:val="007356E5"/>
    <w:rsid w:val="00735703"/>
    <w:rsid w:val="0073617D"/>
    <w:rsid w:val="00736343"/>
    <w:rsid w:val="00736956"/>
    <w:rsid w:val="00736C32"/>
    <w:rsid w:val="00737493"/>
    <w:rsid w:val="007375D5"/>
    <w:rsid w:val="00737647"/>
    <w:rsid w:val="00737D20"/>
    <w:rsid w:val="00737EC0"/>
    <w:rsid w:val="0074097A"/>
    <w:rsid w:val="00740ACF"/>
    <w:rsid w:val="00740D5C"/>
    <w:rsid w:val="00740F66"/>
    <w:rsid w:val="0074120B"/>
    <w:rsid w:val="0074133B"/>
    <w:rsid w:val="007414FF"/>
    <w:rsid w:val="00741985"/>
    <w:rsid w:val="00742289"/>
    <w:rsid w:val="007422F5"/>
    <w:rsid w:val="00742494"/>
    <w:rsid w:val="007425BC"/>
    <w:rsid w:val="00742667"/>
    <w:rsid w:val="00742F2B"/>
    <w:rsid w:val="00742FA4"/>
    <w:rsid w:val="00743047"/>
    <w:rsid w:val="007430CC"/>
    <w:rsid w:val="0074335C"/>
    <w:rsid w:val="00743A27"/>
    <w:rsid w:val="00743C2F"/>
    <w:rsid w:val="00743E58"/>
    <w:rsid w:val="007441A3"/>
    <w:rsid w:val="0074429A"/>
    <w:rsid w:val="007442FF"/>
    <w:rsid w:val="007448B8"/>
    <w:rsid w:val="00744D0C"/>
    <w:rsid w:val="00744EE6"/>
    <w:rsid w:val="007450AF"/>
    <w:rsid w:val="007450E8"/>
    <w:rsid w:val="007450FE"/>
    <w:rsid w:val="00745557"/>
    <w:rsid w:val="007459DB"/>
    <w:rsid w:val="00745DF9"/>
    <w:rsid w:val="00745FC3"/>
    <w:rsid w:val="00746150"/>
    <w:rsid w:val="007464A3"/>
    <w:rsid w:val="00746B06"/>
    <w:rsid w:val="00746CFA"/>
    <w:rsid w:val="00746F8C"/>
    <w:rsid w:val="007471E9"/>
    <w:rsid w:val="007472CD"/>
    <w:rsid w:val="007475CD"/>
    <w:rsid w:val="007477F3"/>
    <w:rsid w:val="00747853"/>
    <w:rsid w:val="00747B44"/>
    <w:rsid w:val="00747B75"/>
    <w:rsid w:val="00747F42"/>
    <w:rsid w:val="00750172"/>
    <w:rsid w:val="00750476"/>
    <w:rsid w:val="00750616"/>
    <w:rsid w:val="00750A23"/>
    <w:rsid w:val="00750ED2"/>
    <w:rsid w:val="00750EF5"/>
    <w:rsid w:val="00751223"/>
    <w:rsid w:val="00751708"/>
    <w:rsid w:val="00751711"/>
    <w:rsid w:val="007517B4"/>
    <w:rsid w:val="00751B69"/>
    <w:rsid w:val="00752188"/>
    <w:rsid w:val="00752315"/>
    <w:rsid w:val="00752721"/>
    <w:rsid w:val="007529F0"/>
    <w:rsid w:val="00752E10"/>
    <w:rsid w:val="007532F7"/>
    <w:rsid w:val="00753563"/>
    <w:rsid w:val="00753936"/>
    <w:rsid w:val="00753AC9"/>
    <w:rsid w:val="00753C22"/>
    <w:rsid w:val="00754341"/>
    <w:rsid w:val="007543E7"/>
    <w:rsid w:val="00754764"/>
    <w:rsid w:val="00754784"/>
    <w:rsid w:val="00754ECE"/>
    <w:rsid w:val="007556B6"/>
    <w:rsid w:val="007557A4"/>
    <w:rsid w:val="00755C3D"/>
    <w:rsid w:val="00755C82"/>
    <w:rsid w:val="00756337"/>
    <w:rsid w:val="00756378"/>
    <w:rsid w:val="00756561"/>
    <w:rsid w:val="00756679"/>
    <w:rsid w:val="00756C6D"/>
    <w:rsid w:val="00756DA1"/>
    <w:rsid w:val="00756E6F"/>
    <w:rsid w:val="00757408"/>
    <w:rsid w:val="0075752E"/>
    <w:rsid w:val="00757C61"/>
    <w:rsid w:val="00757CA2"/>
    <w:rsid w:val="00760195"/>
    <w:rsid w:val="0076020F"/>
    <w:rsid w:val="0076072A"/>
    <w:rsid w:val="007607C8"/>
    <w:rsid w:val="00760A7C"/>
    <w:rsid w:val="00761096"/>
    <w:rsid w:val="0076118D"/>
    <w:rsid w:val="00761F16"/>
    <w:rsid w:val="00761FA6"/>
    <w:rsid w:val="007622A4"/>
    <w:rsid w:val="0076260B"/>
    <w:rsid w:val="00762A63"/>
    <w:rsid w:val="00762B88"/>
    <w:rsid w:val="00762D24"/>
    <w:rsid w:val="007630DE"/>
    <w:rsid w:val="0076310F"/>
    <w:rsid w:val="007632C1"/>
    <w:rsid w:val="00763760"/>
    <w:rsid w:val="00763928"/>
    <w:rsid w:val="00763E58"/>
    <w:rsid w:val="00763EB2"/>
    <w:rsid w:val="00764123"/>
    <w:rsid w:val="007648A1"/>
    <w:rsid w:val="007648B0"/>
    <w:rsid w:val="007648FE"/>
    <w:rsid w:val="007649C3"/>
    <w:rsid w:val="00764B15"/>
    <w:rsid w:val="00764DD4"/>
    <w:rsid w:val="00764FAA"/>
    <w:rsid w:val="00765A02"/>
    <w:rsid w:val="00765CC1"/>
    <w:rsid w:val="00765D8D"/>
    <w:rsid w:val="00765F5E"/>
    <w:rsid w:val="00766097"/>
    <w:rsid w:val="007662A6"/>
    <w:rsid w:val="007662F0"/>
    <w:rsid w:val="00766983"/>
    <w:rsid w:val="00767583"/>
    <w:rsid w:val="007675D6"/>
    <w:rsid w:val="007678AD"/>
    <w:rsid w:val="00767D47"/>
    <w:rsid w:val="00767F63"/>
    <w:rsid w:val="00770348"/>
    <w:rsid w:val="00770A0D"/>
    <w:rsid w:val="00770B06"/>
    <w:rsid w:val="00770DA7"/>
    <w:rsid w:val="00770FAA"/>
    <w:rsid w:val="0077132B"/>
    <w:rsid w:val="00771870"/>
    <w:rsid w:val="0077232B"/>
    <w:rsid w:val="007724A3"/>
    <w:rsid w:val="00772510"/>
    <w:rsid w:val="007725D7"/>
    <w:rsid w:val="00772661"/>
    <w:rsid w:val="00772BA4"/>
    <w:rsid w:val="00772C17"/>
    <w:rsid w:val="00772D80"/>
    <w:rsid w:val="00772E5A"/>
    <w:rsid w:val="00773049"/>
    <w:rsid w:val="00773399"/>
    <w:rsid w:val="007737DD"/>
    <w:rsid w:val="007737DE"/>
    <w:rsid w:val="0077397C"/>
    <w:rsid w:val="00773B61"/>
    <w:rsid w:val="00773C37"/>
    <w:rsid w:val="007740E7"/>
    <w:rsid w:val="00774130"/>
    <w:rsid w:val="0077428A"/>
    <w:rsid w:val="00774767"/>
    <w:rsid w:val="00774B6C"/>
    <w:rsid w:val="00775561"/>
    <w:rsid w:val="007755D7"/>
    <w:rsid w:val="00775AAB"/>
    <w:rsid w:val="00776172"/>
    <w:rsid w:val="00776717"/>
    <w:rsid w:val="00776C73"/>
    <w:rsid w:val="00776CB5"/>
    <w:rsid w:val="00777B9F"/>
    <w:rsid w:val="00777CC6"/>
    <w:rsid w:val="007801E0"/>
    <w:rsid w:val="0078035E"/>
    <w:rsid w:val="0078036E"/>
    <w:rsid w:val="007803EC"/>
    <w:rsid w:val="0078052F"/>
    <w:rsid w:val="0078073C"/>
    <w:rsid w:val="00780811"/>
    <w:rsid w:val="00780987"/>
    <w:rsid w:val="00780B8D"/>
    <w:rsid w:val="0078104F"/>
    <w:rsid w:val="0078109F"/>
    <w:rsid w:val="00781A5F"/>
    <w:rsid w:val="00781F4F"/>
    <w:rsid w:val="007821AB"/>
    <w:rsid w:val="007826E8"/>
    <w:rsid w:val="00782781"/>
    <w:rsid w:val="00782AD0"/>
    <w:rsid w:val="00782F11"/>
    <w:rsid w:val="007831DF"/>
    <w:rsid w:val="00783277"/>
    <w:rsid w:val="007832C8"/>
    <w:rsid w:val="00783326"/>
    <w:rsid w:val="00783724"/>
    <w:rsid w:val="00783C03"/>
    <w:rsid w:val="00783C63"/>
    <w:rsid w:val="00783D7D"/>
    <w:rsid w:val="00783FB8"/>
    <w:rsid w:val="00784012"/>
    <w:rsid w:val="0078472E"/>
    <w:rsid w:val="00784C47"/>
    <w:rsid w:val="00784DD4"/>
    <w:rsid w:val="00784F0C"/>
    <w:rsid w:val="00784F2F"/>
    <w:rsid w:val="00785330"/>
    <w:rsid w:val="00785A15"/>
    <w:rsid w:val="00785ACF"/>
    <w:rsid w:val="00785EC5"/>
    <w:rsid w:val="00785EE1"/>
    <w:rsid w:val="00785FDD"/>
    <w:rsid w:val="0078682D"/>
    <w:rsid w:val="00786CE8"/>
    <w:rsid w:val="00786F7E"/>
    <w:rsid w:val="00787086"/>
    <w:rsid w:val="0078727D"/>
    <w:rsid w:val="00787358"/>
    <w:rsid w:val="00787D92"/>
    <w:rsid w:val="00790266"/>
    <w:rsid w:val="00790272"/>
    <w:rsid w:val="007902A5"/>
    <w:rsid w:val="007902FD"/>
    <w:rsid w:val="0079043C"/>
    <w:rsid w:val="00790BAB"/>
    <w:rsid w:val="00790C36"/>
    <w:rsid w:val="007914F1"/>
    <w:rsid w:val="00791608"/>
    <w:rsid w:val="007917F8"/>
    <w:rsid w:val="00791CE1"/>
    <w:rsid w:val="00792E2A"/>
    <w:rsid w:val="00792F08"/>
    <w:rsid w:val="00793806"/>
    <w:rsid w:val="00793F73"/>
    <w:rsid w:val="00794225"/>
    <w:rsid w:val="00794773"/>
    <w:rsid w:val="00794A3E"/>
    <w:rsid w:val="00794C33"/>
    <w:rsid w:val="00794DF0"/>
    <w:rsid w:val="00794E62"/>
    <w:rsid w:val="007950C0"/>
    <w:rsid w:val="007950F6"/>
    <w:rsid w:val="00795140"/>
    <w:rsid w:val="007954D4"/>
    <w:rsid w:val="007957E8"/>
    <w:rsid w:val="00795894"/>
    <w:rsid w:val="00795965"/>
    <w:rsid w:val="00795B82"/>
    <w:rsid w:val="00795CE2"/>
    <w:rsid w:val="00795ECC"/>
    <w:rsid w:val="00795F03"/>
    <w:rsid w:val="00795FCF"/>
    <w:rsid w:val="00795FD1"/>
    <w:rsid w:val="007967F9"/>
    <w:rsid w:val="00796DC0"/>
    <w:rsid w:val="0079702C"/>
    <w:rsid w:val="00797165"/>
    <w:rsid w:val="007976CE"/>
    <w:rsid w:val="007976DC"/>
    <w:rsid w:val="00797775"/>
    <w:rsid w:val="00797839"/>
    <w:rsid w:val="007A0280"/>
    <w:rsid w:val="007A0540"/>
    <w:rsid w:val="007A0723"/>
    <w:rsid w:val="007A09CD"/>
    <w:rsid w:val="007A0A3E"/>
    <w:rsid w:val="007A0ACC"/>
    <w:rsid w:val="007A0B3C"/>
    <w:rsid w:val="007A0BFA"/>
    <w:rsid w:val="007A0E01"/>
    <w:rsid w:val="007A0E49"/>
    <w:rsid w:val="007A15CD"/>
    <w:rsid w:val="007A16C5"/>
    <w:rsid w:val="007A2B43"/>
    <w:rsid w:val="007A2CE4"/>
    <w:rsid w:val="007A2EC4"/>
    <w:rsid w:val="007A36B5"/>
    <w:rsid w:val="007A378A"/>
    <w:rsid w:val="007A3895"/>
    <w:rsid w:val="007A3A33"/>
    <w:rsid w:val="007A3EEA"/>
    <w:rsid w:val="007A4ED7"/>
    <w:rsid w:val="007A505D"/>
    <w:rsid w:val="007A51C4"/>
    <w:rsid w:val="007A535C"/>
    <w:rsid w:val="007A5389"/>
    <w:rsid w:val="007A56F8"/>
    <w:rsid w:val="007A5BEB"/>
    <w:rsid w:val="007A62B9"/>
    <w:rsid w:val="007A68EA"/>
    <w:rsid w:val="007A6B9B"/>
    <w:rsid w:val="007A6CF5"/>
    <w:rsid w:val="007A6DFD"/>
    <w:rsid w:val="007A6EE3"/>
    <w:rsid w:val="007A7022"/>
    <w:rsid w:val="007A7205"/>
    <w:rsid w:val="007A7366"/>
    <w:rsid w:val="007A7450"/>
    <w:rsid w:val="007A78BA"/>
    <w:rsid w:val="007A7B59"/>
    <w:rsid w:val="007A7CCB"/>
    <w:rsid w:val="007A7CFE"/>
    <w:rsid w:val="007B030D"/>
    <w:rsid w:val="007B0AE4"/>
    <w:rsid w:val="007B0C74"/>
    <w:rsid w:val="007B0FFB"/>
    <w:rsid w:val="007B1107"/>
    <w:rsid w:val="007B19D3"/>
    <w:rsid w:val="007B1BB9"/>
    <w:rsid w:val="007B1CEA"/>
    <w:rsid w:val="007B1D78"/>
    <w:rsid w:val="007B2263"/>
    <w:rsid w:val="007B22A9"/>
    <w:rsid w:val="007B245D"/>
    <w:rsid w:val="007B25BA"/>
    <w:rsid w:val="007B265A"/>
    <w:rsid w:val="007B2704"/>
    <w:rsid w:val="007B29E6"/>
    <w:rsid w:val="007B2D1B"/>
    <w:rsid w:val="007B2D90"/>
    <w:rsid w:val="007B2DDE"/>
    <w:rsid w:val="007B2F9D"/>
    <w:rsid w:val="007B35B0"/>
    <w:rsid w:val="007B36CD"/>
    <w:rsid w:val="007B3986"/>
    <w:rsid w:val="007B3A8A"/>
    <w:rsid w:val="007B3D30"/>
    <w:rsid w:val="007B3F76"/>
    <w:rsid w:val="007B3FF5"/>
    <w:rsid w:val="007B487F"/>
    <w:rsid w:val="007B48E1"/>
    <w:rsid w:val="007B491B"/>
    <w:rsid w:val="007B5020"/>
    <w:rsid w:val="007B52F5"/>
    <w:rsid w:val="007B5372"/>
    <w:rsid w:val="007B5CF7"/>
    <w:rsid w:val="007B60F2"/>
    <w:rsid w:val="007B6107"/>
    <w:rsid w:val="007B66EE"/>
    <w:rsid w:val="007B6AEB"/>
    <w:rsid w:val="007B6D4F"/>
    <w:rsid w:val="007B6E00"/>
    <w:rsid w:val="007B7DAC"/>
    <w:rsid w:val="007C009F"/>
    <w:rsid w:val="007C093B"/>
    <w:rsid w:val="007C0CAE"/>
    <w:rsid w:val="007C13DD"/>
    <w:rsid w:val="007C1A6C"/>
    <w:rsid w:val="007C21E2"/>
    <w:rsid w:val="007C27F7"/>
    <w:rsid w:val="007C27FA"/>
    <w:rsid w:val="007C2FB1"/>
    <w:rsid w:val="007C3410"/>
    <w:rsid w:val="007C3908"/>
    <w:rsid w:val="007C3F38"/>
    <w:rsid w:val="007C43E7"/>
    <w:rsid w:val="007C4649"/>
    <w:rsid w:val="007C46F5"/>
    <w:rsid w:val="007C47DA"/>
    <w:rsid w:val="007C4C78"/>
    <w:rsid w:val="007C4CD3"/>
    <w:rsid w:val="007C59FA"/>
    <w:rsid w:val="007C5C45"/>
    <w:rsid w:val="007C600D"/>
    <w:rsid w:val="007C6289"/>
    <w:rsid w:val="007C681A"/>
    <w:rsid w:val="007C6851"/>
    <w:rsid w:val="007C698C"/>
    <w:rsid w:val="007C6BC4"/>
    <w:rsid w:val="007C6C1E"/>
    <w:rsid w:val="007C6C92"/>
    <w:rsid w:val="007C6E16"/>
    <w:rsid w:val="007C6EBE"/>
    <w:rsid w:val="007C7332"/>
    <w:rsid w:val="007C73FF"/>
    <w:rsid w:val="007C746B"/>
    <w:rsid w:val="007C7645"/>
    <w:rsid w:val="007C7ACB"/>
    <w:rsid w:val="007C7C89"/>
    <w:rsid w:val="007C7D90"/>
    <w:rsid w:val="007D01AC"/>
    <w:rsid w:val="007D08EF"/>
    <w:rsid w:val="007D0B3C"/>
    <w:rsid w:val="007D17EA"/>
    <w:rsid w:val="007D18A7"/>
    <w:rsid w:val="007D1D13"/>
    <w:rsid w:val="007D1E77"/>
    <w:rsid w:val="007D1F2D"/>
    <w:rsid w:val="007D2693"/>
    <w:rsid w:val="007D2D53"/>
    <w:rsid w:val="007D2E27"/>
    <w:rsid w:val="007D3394"/>
    <w:rsid w:val="007D3433"/>
    <w:rsid w:val="007D3733"/>
    <w:rsid w:val="007D3937"/>
    <w:rsid w:val="007D3AF0"/>
    <w:rsid w:val="007D3E42"/>
    <w:rsid w:val="007D3EB3"/>
    <w:rsid w:val="007D4172"/>
    <w:rsid w:val="007D4323"/>
    <w:rsid w:val="007D4828"/>
    <w:rsid w:val="007D498D"/>
    <w:rsid w:val="007D4AB1"/>
    <w:rsid w:val="007D4AEE"/>
    <w:rsid w:val="007D4FED"/>
    <w:rsid w:val="007D5392"/>
    <w:rsid w:val="007D5C54"/>
    <w:rsid w:val="007D5F39"/>
    <w:rsid w:val="007D6403"/>
    <w:rsid w:val="007D65AD"/>
    <w:rsid w:val="007D6614"/>
    <w:rsid w:val="007D692B"/>
    <w:rsid w:val="007D6CBE"/>
    <w:rsid w:val="007D6F44"/>
    <w:rsid w:val="007D70E1"/>
    <w:rsid w:val="007D76CE"/>
    <w:rsid w:val="007D7798"/>
    <w:rsid w:val="007D7B0A"/>
    <w:rsid w:val="007E0113"/>
    <w:rsid w:val="007E038D"/>
    <w:rsid w:val="007E0789"/>
    <w:rsid w:val="007E092C"/>
    <w:rsid w:val="007E0B6F"/>
    <w:rsid w:val="007E114C"/>
    <w:rsid w:val="007E11B8"/>
    <w:rsid w:val="007E11DC"/>
    <w:rsid w:val="007E126C"/>
    <w:rsid w:val="007E1413"/>
    <w:rsid w:val="007E14D2"/>
    <w:rsid w:val="007E1642"/>
    <w:rsid w:val="007E1EEC"/>
    <w:rsid w:val="007E22DB"/>
    <w:rsid w:val="007E316C"/>
    <w:rsid w:val="007E3C52"/>
    <w:rsid w:val="007E4091"/>
    <w:rsid w:val="007E40DD"/>
    <w:rsid w:val="007E462E"/>
    <w:rsid w:val="007E47B8"/>
    <w:rsid w:val="007E4A24"/>
    <w:rsid w:val="007E4D9B"/>
    <w:rsid w:val="007E4F1F"/>
    <w:rsid w:val="007E55C1"/>
    <w:rsid w:val="007E5AEB"/>
    <w:rsid w:val="007E5F6E"/>
    <w:rsid w:val="007E61AE"/>
    <w:rsid w:val="007E6383"/>
    <w:rsid w:val="007E6E4D"/>
    <w:rsid w:val="007E755C"/>
    <w:rsid w:val="007E7A8A"/>
    <w:rsid w:val="007E7FAD"/>
    <w:rsid w:val="007F0255"/>
    <w:rsid w:val="007F045C"/>
    <w:rsid w:val="007F0E12"/>
    <w:rsid w:val="007F178F"/>
    <w:rsid w:val="007F1853"/>
    <w:rsid w:val="007F1962"/>
    <w:rsid w:val="007F1BA1"/>
    <w:rsid w:val="007F1BCA"/>
    <w:rsid w:val="007F208D"/>
    <w:rsid w:val="007F2391"/>
    <w:rsid w:val="007F2684"/>
    <w:rsid w:val="007F2D38"/>
    <w:rsid w:val="007F2E41"/>
    <w:rsid w:val="007F3339"/>
    <w:rsid w:val="007F38D8"/>
    <w:rsid w:val="007F38FC"/>
    <w:rsid w:val="007F4645"/>
    <w:rsid w:val="007F4ADD"/>
    <w:rsid w:val="007F51FB"/>
    <w:rsid w:val="007F5441"/>
    <w:rsid w:val="007F58AE"/>
    <w:rsid w:val="007F5908"/>
    <w:rsid w:val="007F5C33"/>
    <w:rsid w:val="007F6B6F"/>
    <w:rsid w:val="007F6CC0"/>
    <w:rsid w:val="007F703C"/>
    <w:rsid w:val="007F71EB"/>
    <w:rsid w:val="007F74C8"/>
    <w:rsid w:val="007F7810"/>
    <w:rsid w:val="007F78E0"/>
    <w:rsid w:val="007F7972"/>
    <w:rsid w:val="007F7D91"/>
    <w:rsid w:val="0080033B"/>
    <w:rsid w:val="00800A2E"/>
    <w:rsid w:val="00800E41"/>
    <w:rsid w:val="00800E6D"/>
    <w:rsid w:val="008011C5"/>
    <w:rsid w:val="0080129B"/>
    <w:rsid w:val="00801399"/>
    <w:rsid w:val="0080143F"/>
    <w:rsid w:val="008017FD"/>
    <w:rsid w:val="00801D5C"/>
    <w:rsid w:val="00801F54"/>
    <w:rsid w:val="0080205A"/>
    <w:rsid w:val="0080232C"/>
    <w:rsid w:val="008025B2"/>
    <w:rsid w:val="0080298D"/>
    <w:rsid w:val="008029FB"/>
    <w:rsid w:val="00802ACD"/>
    <w:rsid w:val="00802DFB"/>
    <w:rsid w:val="00802EE7"/>
    <w:rsid w:val="0080366D"/>
    <w:rsid w:val="008038AF"/>
    <w:rsid w:val="008039FC"/>
    <w:rsid w:val="00803ADD"/>
    <w:rsid w:val="00803D0A"/>
    <w:rsid w:val="008040D3"/>
    <w:rsid w:val="0080433D"/>
    <w:rsid w:val="008048EE"/>
    <w:rsid w:val="00804CAC"/>
    <w:rsid w:val="00804D04"/>
    <w:rsid w:val="00804DE7"/>
    <w:rsid w:val="00805018"/>
    <w:rsid w:val="0080529E"/>
    <w:rsid w:val="008052CC"/>
    <w:rsid w:val="00805311"/>
    <w:rsid w:val="0080561D"/>
    <w:rsid w:val="00805E8E"/>
    <w:rsid w:val="0080654F"/>
    <w:rsid w:val="0080662D"/>
    <w:rsid w:val="00806958"/>
    <w:rsid w:val="00806B52"/>
    <w:rsid w:val="00806E18"/>
    <w:rsid w:val="0080701B"/>
    <w:rsid w:val="0080757F"/>
    <w:rsid w:val="0080776F"/>
    <w:rsid w:val="00807B00"/>
    <w:rsid w:val="00807CBC"/>
    <w:rsid w:val="00807E4A"/>
    <w:rsid w:val="008100A9"/>
    <w:rsid w:val="00810900"/>
    <w:rsid w:val="0081144C"/>
    <w:rsid w:val="00811CE9"/>
    <w:rsid w:val="00811E07"/>
    <w:rsid w:val="0081222E"/>
    <w:rsid w:val="008127C4"/>
    <w:rsid w:val="00812867"/>
    <w:rsid w:val="0081290A"/>
    <w:rsid w:val="00812AB3"/>
    <w:rsid w:val="00812B7A"/>
    <w:rsid w:val="00812E94"/>
    <w:rsid w:val="00813BFF"/>
    <w:rsid w:val="00813DB3"/>
    <w:rsid w:val="00813E5C"/>
    <w:rsid w:val="00813FBC"/>
    <w:rsid w:val="0081404F"/>
    <w:rsid w:val="00814242"/>
    <w:rsid w:val="008147CB"/>
    <w:rsid w:val="00814BCF"/>
    <w:rsid w:val="00814E9F"/>
    <w:rsid w:val="00814EBB"/>
    <w:rsid w:val="00815D9D"/>
    <w:rsid w:val="00815F54"/>
    <w:rsid w:val="0081626A"/>
    <w:rsid w:val="00816664"/>
    <w:rsid w:val="0081684F"/>
    <w:rsid w:val="008168C8"/>
    <w:rsid w:val="00816E5B"/>
    <w:rsid w:val="0081704C"/>
    <w:rsid w:val="00817116"/>
    <w:rsid w:val="0081736D"/>
    <w:rsid w:val="008174C7"/>
    <w:rsid w:val="00817A43"/>
    <w:rsid w:val="00820443"/>
    <w:rsid w:val="00820F6B"/>
    <w:rsid w:val="00820FB6"/>
    <w:rsid w:val="00821466"/>
    <w:rsid w:val="00821918"/>
    <w:rsid w:val="00821930"/>
    <w:rsid w:val="00821B92"/>
    <w:rsid w:val="00821C8E"/>
    <w:rsid w:val="00821CCB"/>
    <w:rsid w:val="00821E83"/>
    <w:rsid w:val="0082286F"/>
    <w:rsid w:val="00822982"/>
    <w:rsid w:val="00823223"/>
    <w:rsid w:val="008234F7"/>
    <w:rsid w:val="008235A2"/>
    <w:rsid w:val="00823869"/>
    <w:rsid w:val="008238B7"/>
    <w:rsid w:val="00823C40"/>
    <w:rsid w:val="00824039"/>
    <w:rsid w:val="00824322"/>
    <w:rsid w:val="008248DB"/>
    <w:rsid w:val="00824A49"/>
    <w:rsid w:val="00824CE2"/>
    <w:rsid w:val="00824D8A"/>
    <w:rsid w:val="00824F21"/>
    <w:rsid w:val="0082582B"/>
    <w:rsid w:val="0082592C"/>
    <w:rsid w:val="00825CE8"/>
    <w:rsid w:val="008261EA"/>
    <w:rsid w:val="00826467"/>
    <w:rsid w:val="0082651F"/>
    <w:rsid w:val="008266B5"/>
    <w:rsid w:val="00826A62"/>
    <w:rsid w:val="00826BF8"/>
    <w:rsid w:val="00826C62"/>
    <w:rsid w:val="00826EC2"/>
    <w:rsid w:val="008271FE"/>
    <w:rsid w:val="0082762B"/>
    <w:rsid w:val="008276FD"/>
    <w:rsid w:val="00827F58"/>
    <w:rsid w:val="00830889"/>
    <w:rsid w:val="00830954"/>
    <w:rsid w:val="00830AFC"/>
    <w:rsid w:val="00830BEA"/>
    <w:rsid w:val="008312FE"/>
    <w:rsid w:val="00831632"/>
    <w:rsid w:val="008316CD"/>
    <w:rsid w:val="008319E1"/>
    <w:rsid w:val="00831A25"/>
    <w:rsid w:val="00831BAB"/>
    <w:rsid w:val="0083212C"/>
    <w:rsid w:val="0083283D"/>
    <w:rsid w:val="008328BA"/>
    <w:rsid w:val="00832A8A"/>
    <w:rsid w:val="00832EE9"/>
    <w:rsid w:val="00832F64"/>
    <w:rsid w:val="008330A5"/>
    <w:rsid w:val="008330B1"/>
    <w:rsid w:val="00833383"/>
    <w:rsid w:val="0083360F"/>
    <w:rsid w:val="0083384D"/>
    <w:rsid w:val="008338DA"/>
    <w:rsid w:val="00833B2E"/>
    <w:rsid w:val="00833CC0"/>
    <w:rsid w:val="00833F2F"/>
    <w:rsid w:val="0083409F"/>
    <w:rsid w:val="00834A74"/>
    <w:rsid w:val="00834AD3"/>
    <w:rsid w:val="00834BE6"/>
    <w:rsid w:val="00834BFD"/>
    <w:rsid w:val="00834DAD"/>
    <w:rsid w:val="00834EA8"/>
    <w:rsid w:val="00835141"/>
    <w:rsid w:val="008358CB"/>
    <w:rsid w:val="00835A1D"/>
    <w:rsid w:val="00835A39"/>
    <w:rsid w:val="00835FBE"/>
    <w:rsid w:val="0083603D"/>
    <w:rsid w:val="00836255"/>
    <w:rsid w:val="008366D6"/>
    <w:rsid w:val="008369B6"/>
    <w:rsid w:val="00836C4C"/>
    <w:rsid w:val="00837450"/>
    <w:rsid w:val="008375E1"/>
    <w:rsid w:val="0083779A"/>
    <w:rsid w:val="008377C0"/>
    <w:rsid w:val="00837BB7"/>
    <w:rsid w:val="0084018D"/>
    <w:rsid w:val="00840997"/>
    <w:rsid w:val="00840C40"/>
    <w:rsid w:val="00840CEF"/>
    <w:rsid w:val="008412B7"/>
    <w:rsid w:val="008413F2"/>
    <w:rsid w:val="008416F7"/>
    <w:rsid w:val="0084179D"/>
    <w:rsid w:val="008418C4"/>
    <w:rsid w:val="00841B8D"/>
    <w:rsid w:val="00841FC0"/>
    <w:rsid w:val="008421DB"/>
    <w:rsid w:val="0084256A"/>
    <w:rsid w:val="008426C8"/>
    <w:rsid w:val="00842F82"/>
    <w:rsid w:val="00843389"/>
    <w:rsid w:val="008434EE"/>
    <w:rsid w:val="00843854"/>
    <w:rsid w:val="00843BF0"/>
    <w:rsid w:val="00843D3D"/>
    <w:rsid w:val="008440E1"/>
    <w:rsid w:val="00844248"/>
    <w:rsid w:val="008445B7"/>
    <w:rsid w:val="00844B88"/>
    <w:rsid w:val="00844F2E"/>
    <w:rsid w:val="00844FF0"/>
    <w:rsid w:val="0084533C"/>
    <w:rsid w:val="0084551C"/>
    <w:rsid w:val="00845665"/>
    <w:rsid w:val="00845B43"/>
    <w:rsid w:val="00845BC9"/>
    <w:rsid w:val="00845D50"/>
    <w:rsid w:val="00845F75"/>
    <w:rsid w:val="008465D3"/>
    <w:rsid w:val="0084671A"/>
    <w:rsid w:val="0084710E"/>
    <w:rsid w:val="00847167"/>
    <w:rsid w:val="00847170"/>
    <w:rsid w:val="008471B3"/>
    <w:rsid w:val="008474CB"/>
    <w:rsid w:val="0084766D"/>
    <w:rsid w:val="00847A91"/>
    <w:rsid w:val="00847ACD"/>
    <w:rsid w:val="0085005F"/>
    <w:rsid w:val="008506F0"/>
    <w:rsid w:val="00850701"/>
    <w:rsid w:val="00850A99"/>
    <w:rsid w:val="008510AE"/>
    <w:rsid w:val="008514D6"/>
    <w:rsid w:val="008517FD"/>
    <w:rsid w:val="00852561"/>
    <w:rsid w:val="00852580"/>
    <w:rsid w:val="0085286A"/>
    <w:rsid w:val="00852E9A"/>
    <w:rsid w:val="00853048"/>
    <w:rsid w:val="00853052"/>
    <w:rsid w:val="00853319"/>
    <w:rsid w:val="00853A26"/>
    <w:rsid w:val="00853F99"/>
    <w:rsid w:val="00854056"/>
    <w:rsid w:val="008540A6"/>
    <w:rsid w:val="008542A3"/>
    <w:rsid w:val="008546AF"/>
    <w:rsid w:val="00854895"/>
    <w:rsid w:val="00854FA3"/>
    <w:rsid w:val="00855065"/>
    <w:rsid w:val="008550C2"/>
    <w:rsid w:val="008555B1"/>
    <w:rsid w:val="008556AB"/>
    <w:rsid w:val="008557F4"/>
    <w:rsid w:val="00855818"/>
    <w:rsid w:val="008559BB"/>
    <w:rsid w:val="00855D62"/>
    <w:rsid w:val="00855F2D"/>
    <w:rsid w:val="0085620A"/>
    <w:rsid w:val="008564E0"/>
    <w:rsid w:val="00857610"/>
    <w:rsid w:val="00857723"/>
    <w:rsid w:val="00857C32"/>
    <w:rsid w:val="00860250"/>
    <w:rsid w:val="00860256"/>
    <w:rsid w:val="00860470"/>
    <w:rsid w:val="00860500"/>
    <w:rsid w:val="0086157C"/>
    <w:rsid w:val="008615DD"/>
    <w:rsid w:val="0086243C"/>
    <w:rsid w:val="00862655"/>
    <w:rsid w:val="00862916"/>
    <w:rsid w:val="00862917"/>
    <w:rsid w:val="00862931"/>
    <w:rsid w:val="00862D04"/>
    <w:rsid w:val="00862DDD"/>
    <w:rsid w:val="00862F34"/>
    <w:rsid w:val="0086335E"/>
    <w:rsid w:val="008633A7"/>
    <w:rsid w:val="0086364C"/>
    <w:rsid w:val="00863822"/>
    <w:rsid w:val="008639C4"/>
    <w:rsid w:val="00863B48"/>
    <w:rsid w:val="00863BD8"/>
    <w:rsid w:val="00863D68"/>
    <w:rsid w:val="00863DCF"/>
    <w:rsid w:val="008644FB"/>
    <w:rsid w:val="0086451E"/>
    <w:rsid w:val="008649A6"/>
    <w:rsid w:val="008649D4"/>
    <w:rsid w:val="0086534C"/>
    <w:rsid w:val="00865AE5"/>
    <w:rsid w:val="008661FE"/>
    <w:rsid w:val="008664E4"/>
    <w:rsid w:val="008665E1"/>
    <w:rsid w:val="00866F39"/>
    <w:rsid w:val="0086756A"/>
    <w:rsid w:val="00867CA4"/>
    <w:rsid w:val="00870179"/>
    <w:rsid w:val="00870671"/>
    <w:rsid w:val="00870A66"/>
    <w:rsid w:val="00870F04"/>
    <w:rsid w:val="00871046"/>
    <w:rsid w:val="008714D9"/>
    <w:rsid w:val="00871599"/>
    <w:rsid w:val="0087163B"/>
    <w:rsid w:val="0087168D"/>
    <w:rsid w:val="00871A33"/>
    <w:rsid w:val="00871EB9"/>
    <w:rsid w:val="00872263"/>
    <w:rsid w:val="0087237D"/>
    <w:rsid w:val="00872484"/>
    <w:rsid w:val="00872569"/>
    <w:rsid w:val="008725B8"/>
    <w:rsid w:val="00872D63"/>
    <w:rsid w:val="0087316B"/>
    <w:rsid w:val="00873A2E"/>
    <w:rsid w:val="0087401E"/>
    <w:rsid w:val="00874166"/>
    <w:rsid w:val="008742D2"/>
    <w:rsid w:val="008743FC"/>
    <w:rsid w:val="00874841"/>
    <w:rsid w:val="00875060"/>
    <w:rsid w:val="008751B5"/>
    <w:rsid w:val="0087562D"/>
    <w:rsid w:val="00875697"/>
    <w:rsid w:val="00875A15"/>
    <w:rsid w:val="00875BD4"/>
    <w:rsid w:val="00875CE7"/>
    <w:rsid w:val="00875E88"/>
    <w:rsid w:val="0087607F"/>
    <w:rsid w:val="008761C1"/>
    <w:rsid w:val="00876D9A"/>
    <w:rsid w:val="00877782"/>
    <w:rsid w:val="00877B06"/>
    <w:rsid w:val="00877E3A"/>
    <w:rsid w:val="00877F19"/>
    <w:rsid w:val="00877F56"/>
    <w:rsid w:val="00877FCE"/>
    <w:rsid w:val="00880120"/>
    <w:rsid w:val="008802DD"/>
    <w:rsid w:val="0088059C"/>
    <w:rsid w:val="00880911"/>
    <w:rsid w:val="00880A01"/>
    <w:rsid w:val="00880A6C"/>
    <w:rsid w:val="0088110D"/>
    <w:rsid w:val="00881200"/>
    <w:rsid w:val="0088127E"/>
    <w:rsid w:val="00881584"/>
    <w:rsid w:val="0088173B"/>
    <w:rsid w:val="008817FD"/>
    <w:rsid w:val="00881869"/>
    <w:rsid w:val="00881E51"/>
    <w:rsid w:val="00881E73"/>
    <w:rsid w:val="00881F6E"/>
    <w:rsid w:val="00882AF5"/>
    <w:rsid w:val="00882BB5"/>
    <w:rsid w:val="00882BFE"/>
    <w:rsid w:val="00882E64"/>
    <w:rsid w:val="00883330"/>
    <w:rsid w:val="0088391C"/>
    <w:rsid w:val="00883CD2"/>
    <w:rsid w:val="00883DA5"/>
    <w:rsid w:val="00883E26"/>
    <w:rsid w:val="008843F0"/>
    <w:rsid w:val="0088476F"/>
    <w:rsid w:val="00884C84"/>
    <w:rsid w:val="00884E26"/>
    <w:rsid w:val="008853C5"/>
    <w:rsid w:val="00885460"/>
    <w:rsid w:val="00885707"/>
    <w:rsid w:val="00885C90"/>
    <w:rsid w:val="00885D7D"/>
    <w:rsid w:val="00885EAB"/>
    <w:rsid w:val="008861E1"/>
    <w:rsid w:val="00886347"/>
    <w:rsid w:val="0088643B"/>
    <w:rsid w:val="00886651"/>
    <w:rsid w:val="00886FC8"/>
    <w:rsid w:val="00887293"/>
    <w:rsid w:val="008875FE"/>
    <w:rsid w:val="00887B1A"/>
    <w:rsid w:val="00887EC1"/>
    <w:rsid w:val="00890029"/>
    <w:rsid w:val="008902D6"/>
    <w:rsid w:val="008906DF"/>
    <w:rsid w:val="00890712"/>
    <w:rsid w:val="008908C6"/>
    <w:rsid w:val="00890A7F"/>
    <w:rsid w:val="00890FD3"/>
    <w:rsid w:val="008912D3"/>
    <w:rsid w:val="00891555"/>
    <w:rsid w:val="008915C0"/>
    <w:rsid w:val="00891F83"/>
    <w:rsid w:val="008922D5"/>
    <w:rsid w:val="008924A4"/>
    <w:rsid w:val="0089294F"/>
    <w:rsid w:val="00892EE7"/>
    <w:rsid w:val="00893086"/>
    <w:rsid w:val="0089373B"/>
    <w:rsid w:val="00894036"/>
    <w:rsid w:val="008943AE"/>
    <w:rsid w:val="0089497C"/>
    <w:rsid w:val="00894E03"/>
    <w:rsid w:val="00895338"/>
    <w:rsid w:val="00895701"/>
    <w:rsid w:val="008957E8"/>
    <w:rsid w:val="0089608A"/>
    <w:rsid w:val="00896AFC"/>
    <w:rsid w:val="00896E4A"/>
    <w:rsid w:val="008971C2"/>
    <w:rsid w:val="008972C4"/>
    <w:rsid w:val="008972C8"/>
    <w:rsid w:val="008973EC"/>
    <w:rsid w:val="008A076E"/>
    <w:rsid w:val="008A08CF"/>
    <w:rsid w:val="008A0C83"/>
    <w:rsid w:val="008A0DE5"/>
    <w:rsid w:val="008A1480"/>
    <w:rsid w:val="008A17F0"/>
    <w:rsid w:val="008A23FF"/>
    <w:rsid w:val="008A2632"/>
    <w:rsid w:val="008A264C"/>
    <w:rsid w:val="008A26F2"/>
    <w:rsid w:val="008A2D92"/>
    <w:rsid w:val="008A2F2E"/>
    <w:rsid w:val="008A32CB"/>
    <w:rsid w:val="008A3938"/>
    <w:rsid w:val="008A3B17"/>
    <w:rsid w:val="008A3C9A"/>
    <w:rsid w:val="008A3DF1"/>
    <w:rsid w:val="008A3F7A"/>
    <w:rsid w:val="008A405D"/>
    <w:rsid w:val="008A4B10"/>
    <w:rsid w:val="008A4C0C"/>
    <w:rsid w:val="008A4CD4"/>
    <w:rsid w:val="008A4E3F"/>
    <w:rsid w:val="008A64F5"/>
    <w:rsid w:val="008A6687"/>
    <w:rsid w:val="008A6924"/>
    <w:rsid w:val="008A6EE9"/>
    <w:rsid w:val="008A70A1"/>
    <w:rsid w:val="008A74FF"/>
    <w:rsid w:val="008A76EA"/>
    <w:rsid w:val="008A78A3"/>
    <w:rsid w:val="008A7B9A"/>
    <w:rsid w:val="008B00F2"/>
    <w:rsid w:val="008B01AD"/>
    <w:rsid w:val="008B0218"/>
    <w:rsid w:val="008B0661"/>
    <w:rsid w:val="008B0B0D"/>
    <w:rsid w:val="008B0C8E"/>
    <w:rsid w:val="008B1077"/>
    <w:rsid w:val="008B1308"/>
    <w:rsid w:val="008B15C1"/>
    <w:rsid w:val="008B188C"/>
    <w:rsid w:val="008B1BFF"/>
    <w:rsid w:val="008B1C48"/>
    <w:rsid w:val="008B22E8"/>
    <w:rsid w:val="008B274A"/>
    <w:rsid w:val="008B2DD2"/>
    <w:rsid w:val="008B31E0"/>
    <w:rsid w:val="008B3206"/>
    <w:rsid w:val="008B3770"/>
    <w:rsid w:val="008B3B12"/>
    <w:rsid w:val="008B3D31"/>
    <w:rsid w:val="008B41C0"/>
    <w:rsid w:val="008B4513"/>
    <w:rsid w:val="008B4935"/>
    <w:rsid w:val="008B4EE2"/>
    <w:rsid w:val="008B5349"/>
    <w:rsid w:val="008B55C0"/>
    <w:rsid w:val="008B5795"/>
    <w:rsid w:val="008B624C"/>
    <w:rsid w:val="008B6320"/>
    <w:rsid w:val="008B6B4B"/>
    <w:rsid w:val="008B6C7D"/>
    <w:rsid w:val="008B715F"/>
    <w:rsid w:val="008B71AD"/>
    <w:rsid w:val="008B74FE"/>
    <w:rsid w:val="008B781E"/>
    <w:rsid w:val="008B79BE"/>
    <w:rsid w:val="008B7A3C"/>
    <w:rsid w:val="008B7A9E"/>
    <w:rsid w:val="008B7E95"/>
    <w:rsid w:val="008B7F0A"/>
    <w:rsid w:val="008C01A8"/>
    <w:rsid w:val="008C0228"/>
    <w:rsid w:val="008C03E7"/>
    <w:rsid w:val="008C0442"/>
    <w:rsid w:val="008C0721"/>
    <w:rsid w:val="008C07BD"/>
    <w:rsid w:val="008C07C9"/>
    <w:rsid w:val="008C1076"/>
    <w:rsid w:val="008C180E"/>
    <w:rsid w:val="008C1EF3"/>
    <w:rsid w:val="008C2262"/>
    <w:rsid w:val="008C235E"/>
    <w:rsid w:val="008C2504"/>
    <w:rsid w:val="008C29CF"/>
    <w:rsid w:val="008C2FD2"/>
    <w:rsid w:val="008C3111"/>
    <w:rsid w:val="008C36BD"/>
    <w:rsid w:val="008C3947"/>
    <w:rsid w:val="008C40B4"/>
    <w:rsid w:val="008C4276"/>
    <w:rsid w:val="008C4D4D"/>
    <w:rsid w:val="008C52FF"/>
    <w:rsid w:val="008C56D2"/>
    <w:rsid w:val="008C590C"/>
    <w:rsid w:val="008C5994"/>
    <w:rsid w:val="008C5ACC"/>
    <w:rsid w:val="008C60AD"/>
    <w:rsid w:val="008C6625"/>
    <w:rsid w:val="008C7061"/>
    <w:rsid w:val="008C7A8E"/>
    <w:rsid w:val="008D00BF"/>
    <w:rsid w:val="008D02C0"/>
    <w:rsid w:val="008D05D5"/>
    <w:rsid w:val="008D063C"/>
    <w:rsid w:val="008D095A"/>
    <w:rsid w:val="008D0CD5"/>
    <w:rsid w:val="008D0F8F"/>
    <w:rsid w:val="008D1622"/>
    <w:rsid w:val="008D176E"/>
    <w:rsid w:val="008D1C4A"/>
    <w:rsid w:val="008D1D4E"/>
    <w:rsid w:val="008D1DD2"/>
    <w:rsid w:val="008D1FE6"/>
    <w:rsid w:val="008D22F9"/>
    <w:rsid w:val="008D25AA"/>
    <w:rsid w:val="008D2723"/>
    <w:rsid w:val="008D29D7"/>
    <w:rsid w:val="008D2A28"/>
    <w:rsid w:val="008D2D6F"/>
    <w:rsid w:val="008D2FAB"/>
    <w:rsid w:val="008D325C"/>
    <w:rsid w:val="008D360F"/>
    <w:rsid w:val="008D3A6F"/>
    <w:rsid w:val="008D4120"/>
    <w:rsid w:val="008D451A"/>
    <w:rsid w:val="008D46F4"/>
    <w:rsid w:val="008D4C81"/>
    <w:rsid w:val="008D4FFA"/>
    <w:rsid w:val="008D5E4B"/>
    <w:rsid w:val="008D5E62"/>
    <w:rsid w:val="008D5F4F"/>
    <w:rsid w:val="008D60C0"/>
    <w:rsid w:val="008D617D"/>
    <w:rsid w:val="008D61EC"/>
    <w:rsid w:val="008D642F"/>
    <w:rsid w:val="008D655B"/>
    <w:rsid w:val="008D6892"/>
    <w:rsid w:val="008D6ABF"/>
    <w:rsid w:val="008D6CAE"/>
    <w:rsid w:val="008D6CB5"/>
    <w:rsid w:val="008D6CDD"/>
    <w:rsid w:val="008D6F5C"/>
    <w:rsid w:val="008D731C"/>
    <w:rsid w:val="008D776A"/>
    <w:rsid w:val="008D794D"/>
    <w:rsid w:val="008D7AE1"/>
    <w:rsid w:val="008D7E91"/>
    <w:rsid w:val="008E011B"/>
    <w:rsid w:val="008E0218"/>
    <w:rsid w:val="008E07AD"/>
    <w:rsid w:val="008E093F"/>
    <w:rsid w:val="008E0B7E"/>
    <w:rsid w:val="008E11DF"/>
    <w:rsid w:val="008E15E4"/>
    <w:rsid w:val="008E20A7"/>
    <w:rsid w:val="008E2950"/>
    <w:rsid w:val="008E2CAB"/>
    <w:rsid w:val="008E3932"/>
    <w:rsid w:val="008E3E7C"/>
    <w:rsid w:val="008E3E97"/>
    <w:rsid w:val="008E404F"/>
    <w:rsid w:val="008E46DB"/>
    <w:rsid w:val="008E47A0"/>
    <w:rsid w:val="008E4F4E"/>
    <w:rsid w:val="008E540F"/>
    <w:rsid w:val="008E545C"/>
    <w:rsid w:val="008E58D3"/>
    <w:rsid w:val="008E5B23"/>
    <w:rsid w:val="008E5BE3"/>
    <w:rsid w:val="008E5CF4"/>
    <w:rsid w:val="008E5E26"/>
    <w:rsid w:val="008E6AFC"/>
    <w:rsid w:val="008E6B03"/>
    <w:rsid w:val="008E6BC2"/>
    <w:rsid w:val="008E6D35"/>
    <w:rsid w:val="008E6E28"/>
    <w:rsid w:val="008E6E98"/>
    <w:rsid w:val="008E74B4"/>
    <w:rsid w:val="008E750D"/>
    <w:rsid w:val="008E76A0"/>
    <w:rsid w:val="008E7ACB"/>
    <w:rsid w:val="008E7BD5"/>
    <w:rsid w:val="008F01DC"/>
    <w:rsid w:val="008F02C4"/>
    <w:rsid w:val="008F04BB"/>
    <w:rsid w:val="008F0676"/>
    <w:rsid w:val="008F0862"/>
    <w:rsid w:val="008F0D4F"/>
    <w:rsid w:val="008F1200"/>
    <w:rsid w:val="008F120E"/>
    <w:rsid w:val="008F12FE"/>
    <w:rsid w:val="008F16A7"/>
    <w:rsid w:val="008F184D"/>
    <w:rsid w:val="008F1EF3"/>
    <w:rsid w:val="008F2164"/>
    <w:rsid w:val="008F21C4"/>
    <w:rsid w:val="008F2249"/>
    <w:rsid w:val="008F23F8"/>
    <w:rsid w:val="008F29A2"/>
    <w:rsid w:val="008F29DE"/>
    <w:rsid w:val="008F2DAF"/>
    <w:rsid w:val="008F2DFC"/>
    <w:rsid w:val="008F3120"/>
    <w:rsid w:val="008F33EF"/>
    <w:rsid w:val="008F34DA"/>
    <w:rsid w:val="008F3826"/>
    <w:rsid w:val="008F38F0"/>
    <w:rsid w:val="008F39B8"/>
    <w:rsid w:val="008F3D9C"/>
    <w:rsid w:val="008F4088"/>
    <w:rsid w:val="008F43F9"/>
    <w:rsid w:val="008F47AB"/>
    <w:rsid w:val="008F47EF"/>
    <w:rsid w:val="008F4D26"/>
    <w:rsid w:val="008F4F1C"/>
    <w:rsid w:val="008F4F68"/>
    <w:rsid w:val="008F517F"/>
    <w:rsid w:val="008F52AD"/>
    <w:rsid w:val="008F543F"/>
    <w:rsid w:val="008F5665"/>
    <w:rsid w:val="008F576A"/>
    <w:rsid w:val="008F5914"/>
    <w:rsid w:val="008F5A42"/>
    <w:rsid w:val="008F5E5D"/>
    <w:rsid w:val="008F6273"/>
    <w:rsid w:val="008F658F"/>
    <w:rsid w:val="008F683A"/>
    <w:rsid w:val="008F7011"/>
    <w:rsid w:val="008F72C0"/>
    <w:rsid w:val="008F73A1"/>
    <w:rsid w:val="008F74BF"/>
    <w:rsid w:val="008F7C57"/>
    <w:rsid w:val="008F7EF0"/>
    <w:rsid w:val="009002A8"/>
    <w:rsid w:val="009006B9"/>
    <w:rsid w:val="00900825"/>
    <w:rsid w:val="00900D5E"/>
    <w:rsid w:val="00900D64"/>
    <w:rsid w:val="00901077"/>
    <w:rsid w:val="0090186D"/>
    <w:rsid w:val="00901A72"/>
    <w:rsid w:val="00901B86"/>
    <w:rsid w:val="00901BEE"/>
    <w:rsid w:val="00901F40"/>
    <w:rsid w:val="00902463"/>
    <w:rsid w:val="00902CFD"/>
    <w:rsid w:val="009030AB"/>
    <w:rsid w:val="0090336C"/>
    <w:rsid w:val="009037E6"/>
    <w:rsid w:val="00903B99"/>
    <w:rsid w:val="00903D82"/>
    <w:rsid w:val="00903E3E"/>
    <w:rsid w:val="00903E74"/>
    <w:rsid w:val="00903F79"/>
    <w:rsid w:val="00904077"/>
    <w:rsid w:val="0090431D"/>
    <w:rsid w:val="00904929"/>
    <w:rsid w:val="00904BDF"/>
    <w:rsid w:val="00905065"/>
    <w:rsid w:val="0090520D"/>
    <w:rsid w:val="00905446"/>
    <w:rsid w:val="00905C7C"/>
    <w:rsid w:val="009066C1"/>
    <w:rsid w:val="009066DC"/>
    <w:rsid w:val="00906C27"/>
    <w:rsid w:val="00906D25"/>
    <w:rsid w:val="009071B4"/>
    <w:rsid w:val="009072D6"/>
    <w:rsid w:val="00907891"/>
    <w:rsid w:val="00907C0C"/>
    <w:rsid w:val="00907C72"/>
    <w:rsid w:val="00907E0B"/>
    <w:rsid w:val="00907EA7"/>
    <w:rsid w:val="00910156"/>
    <w:rsid w:val="009101D7"/>
    <w:rsid w:val="00910CF0"/>
    <w:rsid w:val="009114A7"/>
    <w:rsid w:val="009117F8"/>
    <w:rsid w:val="00911FFB"/>
    <w:rsid w:val="0091243F"/>
    <w:rsid w:val="009124DE"/>
    <w:rsid w:val="00912602"/>
    <w:rsid w:val="00912B1A"/>
    <w:rsid w:val="00912F53"/>
    <w:rsid w:val="0091349E"/>
    <w:rsid w:val="00914225"/>
    <w:rsid w:val="0091438A"/>
    <w:rsid w:val="009147D2"/>
    <w:rsid w:val="0091481D"/>
    <w:rsid w:val="00914830"/>
    <w:rsid w:val="00914A07"/>
    <w:rsid w:val="00914D45"/>
    <w:rsid w:val="009152A4"/>
    <w:rsid w:val="009152E6"/>
    <w:rsid w:val="0091547A"/>
    <w:rsid w:val="00915627"/>
    <w:rsid w:val="009158BA"/>
    <w:rsid w:val="009159C7"/>
    <w:rsid w:val="00915D4D"/>
    <w:rsid w:val="009161C9"/>
    <w:rsid w:val="00916702"/>
    <w:rsid w:val="0091672A"/>
    <w:rsid w:val="00916CE4"/>
    <w:rsid w:val="00916DEC"/>
    <w:rsid w:val="00916FB3"/>
    <w:rsid w:val="0091729D"/>
    <w:rsid w:val="0091740E"/>
    <w:rsid w:val="009177ED"/>
    <w:rsid w:val="00920227"/>
    <w:rsid w:val="00920438"/>
    <w:rsid w:val="009207C1"/>
    <w:rsid w:val="009214FF"/>
    <w:rsid w:val="00921576"/>
    <w:rsid w:val="00921AE9"/>
    <w:rsid w:val="00921B48"/>
    <w:rsid w:val="0092200C"/>
    <w:rsid w:val="009221B3"/>
    <w:rsid w:val="009224A0"/>
    <w:rsid w:val="00922B65"/>
    <w:rsid w:val="00922B7B"/>
    <w:rsid w:val="00922C75"/>
    <w:rsid w:val="00922DB9"/>
    <w:rsid w:val="00922FA9"/>
    <w:rsid w:val="00922FD0"/>
    <w:rsid w:val="00923425"/>
    <w:rsid w:val="009236E6"/>
    <w:rsid w:val="009243D5"/>
    <w:rsid w:val="009247DB"/>
    <w:rsid w:val="00924B4E"/>
    <w:rsid w:val="00924C00"/>
    <w:rsid w:val="009251D6"/>
    <w:rsid w:val="009253F1"/>
    <w:rsid w:val="00925742"/>
    <w:rsid w:val="00925A70"/>
    <w:rsid w:val="00925B28"/>
    <w:rsid w:val="00925BDD"/>
    <w:rsid w:val="00926252"/>
    <w:rsid w:val="0092689C"/>
    <w:rsid w:val="009268EE"/>
    <w:rsid w:val="00926946"/>
    <w:rsid w:val="009269CF"/>
    <w:rsid w:val="00926BD4"/>
    <w:rsid w:val="00927749"/>
    <w:rsid w:val="00927E4A"/>
    <w:rsid w:val="00927E54"/>
    <w:rsid w:val="00930138"/>
    <w:rsid w:val="009301E1"/>
    <w:rsid w:val="0093037D"/>
    <w:rsid w:val="009303FB"/>
    <w:rsid w:val="0093047F"/>
    <w:rsid w:val="009308AC"/>
    <w:rsid w:val="0093091B"/>
    <w:rsid w:val="00930987"/>
    <w:rsid w:val="00930DC4"/>
    <w:rsid w:val="00930FDA"/>
    <w:rsid w:val="00931B35"/>
    <w:rsid w:val="00931B68"/>
    <w:rsid w:val="00931B92"/>
    <w:rsid w:val="00931C60"/>
    <w:rsid w:val="00931E18"/>
    <w:rsid w:val="00932061"/>
    <w:rsid w:val="009322D6"/>
    <w:rsid w:val="009324CA"/>
    <w:rsid w:val="00932501"/>
    <w:rsid w:val="0093264B"/>
    <w:rsid w:val="009326FA"/>
    <w:rsid w:val="00933187"/>
    <w:rsid w:val="00933201"/>
    <w:rsid w:val="0093361D"/>
    <w:rsid w:val="00933ABF"/>
    <w:rsid w:val="00934323"/>
    <w:rsid w:val="009344FB"/>
    <w:rsid w:val="009346EB"/>
    <w:rsid w:val="00934972"/>
    <w:rsid w:val="009350AF"/>
    <w:rsid w:val="009355F7"/>
    <w:rsid w:val="00935943"/>
    <w:rsid w:val="00935C66"/>
    <w:rsid w:val="009363DF"/>
    <w:rsid w:val="00936505"/>
    <w:rsid w:val="009366AB"/>
    <w:rsid w:val="00936886"/>
    <w:rsid w:val="00936CA5"/>
    <w:rsid w:val="00937296"/>
    <w:rsid w:val="00937B2F"/>
    <w:rsid w:val="00937F19"/>
    <w:rsid w:val="009400B1"/>
    <w:rsid w:val="00940187"/>
    <w:rsid w:val="0094026E"/>
    <w:rsid w:val="009404DC"/>
    <w:rsid w:val="009405A6"/>
    <w:rsid w:val="00940755"/>
    <w:rsid w:val="00940987"/>
    <w:rsid w:val="00940AF2"/>
    <w:rsid w:val="0094137E"/>
    <w:rsid w:val="009417EB"/>
    <w:rsid w:val="009418C8"/>
    <w:rsid w:val="009418F5"/>
    <w:rsid w:val="00941D07"/>
    <w:rsid w:val="00941F25"/>
    <w:rsid w:val="009424DE"/>
    <w:rsid w:val="00942A15"/>
    <w:rsid w:val="00942BC3"/>
    <w:rsid w:val="009430F5"/>
    <w:rsid w:val="0094353D"/>
    <w:rsid w:val="009435AF"/>
    <w:rsid w:val="00943636"/>
    <w:rsid w:val="0094372A"/>
    <w:rsid w:val="0094393B"/>
    <w:rsid w:val="00943D59"/>
    <w:rsid w:val="00943F84"/>
    <w:rsid w:val="0094435B"/>
    <w:rsid w:val="0094449A"/>
    <w:rsid w:val="00944609"/>
    <w:rsid w:val="00944B39"/>
    <w:rsid w:val="00945211"/>
    <w:rsid w:val="0094565D"/>
    <w:rsid w:val="00945C9A"/>
    <w:rsid w:val="009461A8"/>
    <w:rsid w:val="009464B6"/>
    <w:rsid w:val="00946729"/>
    <w:rsid w:val="00946DE9"/>
    <w:rsid w:val="009472DF"/>
    <w:rsid w:val="009473CE"/>
    <w:rsid w:val="00947556"/>
    <w:rsid w:val="009502A9"/>
    <w:rsid w:val="0095054B"/>
    <w:rsid w:val="00950A3A"/>
    <w:rsid w:val="00950AAD"/>
    <w:rsid w:val="00950AB0"/>
    <w:rsid w:val="00951481"/>
    <w:rsid w:val="00951AF4"/>
    <w:rsid w:val="00951B3A"/>
    <w:rsid w:val="00952A2C"/>
    <w:rsid w:val="00952EF6"/>
    <w:rsid w:val="00952F6A"/>
    <w:rsid w:val="009532A6"/>
    <w:rsid w:val="00953547"/>
    <w:rsid w:val="0095366E"/>
    <w:rsid w:val="00953745"/>
    <w:rsid w:val="0095374C"/>
    <w:rsid w:val="00953950"/>
    <w:rsid w:val="00953B25"/>
    <w:rsid w:val="00953BC0"/>
    <w:rsid w:val="00953C4D"/>
    <w:rsid w:val="00953F9C"/>
    <w:rsid w:val="0095406F"/>
    <w:rsid w:val="00954270"/>
    <w:rsid w:val="009542A5"/>
    <w:rsid w:val="009555E3"/>
    <w:rsid w:val="00955713"/>
    <w:rsid w:val="00955730"/>
    <w:rsid w:val="0095587E"/>
    <w:rsid w:val="00955D95"/>
    <w:rsid w:val="00955EDB"/>
    <w:rsid w:val="00955F7B"/>
    <w:rsid w:val="009562A3"/>
    <w:rsid w:val="009568AD"/>
    <w:rsid w:val="009569AE"/>
    <w:rsid w:val="00956A4D"/>
    <w:rsid w:val="00956A89"/>
    <w:rsid w:val="00957152"/>
    <w:rsid w:val="00957310"/>
    <w:rsid w:val="00957373"/>
    <w:rsid w:val="009579E8"/>
    <w:rsid w:val="00957DF7"/>
    <w:rsid w:val="009601CC"/>
    <w:rsid w:val="009602B2"/>
    <w:rsid w:val="00960327"/>
    <w:rsid w:val="0096064D"/>
    <w:rsid w:val="00960934"/>
    <w:rsid w:val="00960C55"/>
    <w:rsid w:val="00960FB6"/>
    <w:rsid w:val="00961383"/>
    <w:rsid w:val="00961550"/>
    <w:rsid w:val="00961B77"/>
    <w:rsid w:val="00961DF9"/>
    <w:rsid w:val="00961E8F"/>
    <w:rsid w:val="009622E2"/>
    <w:rsid w:val="0096235F"/>
    <w:rsid w:val="009627FD"/>
    <w:rsid w:val="00962B32"/>
    <w:rsid w:val="00962D56"/>
    <w:rsid w:val="00963506"/>
    <w:rsid w:val="0096362F"/>
    <w:rsid w:val="0096384D"/>
    <w:rsid w:val="009639BD"/>
    <w:rsid w:val="00963F83"/>
    <w:rsid w:val="0096407F"/>
    <w:rsid w:val="009640CB"/>
    <w:rsid w:val="0096433E"/>
    <w:rsid w:val="00965420"/>
    <w:rsid w:val="009656A6"/>
    <w:rsid w:val="009656F2"/>
    <w:rsid w:val="00965B4F"/>
    <w:rsid w:val="00965C78"/>
    <w:rsid w:val="00965C7B"/>
    <w:rsid w:val="00965E5E"/>
    <w:rsid w:val="00966355"/>
    <w:rsid w:val="0096686F"/>
    <w:rsid w:val="0096696E"/>
    <w:rsid w:val="00966B2E"/>
    <w:rsid w:val="00966B5C"/>
    <w:rsid w:val="00967474"/>
    <w:rsid w:val="0096752E"/>
    <w:rsid w:val="009677C1"/>
    <w:rsid w:val="009704A7"/>
    <w:rsid w:val="0097065C"/>
    <w:rsid w:val="00970790"/>
    <w:rsid w:val="009708A7"/>
    <w:rsid w:val="0097099D"/>
    <w:rsid w:val="009710D2"/>
    <w:rsid w:val="00971218"/>
    <w:rsid w:val="0097165A"/>
    <w:rsid w:val="009717E3"/>
    <w:rsid w:val="00971AE9"/>
    <w:rsid w:val="00972051"/>
    <w:rsid w:val="0097231E"/>
    <w:rsid w:val="009725CE"/>
    <w:rsid w:val="00972D59"/>
    <w:rsid w:val="00972E76"/>
    <w:rsid w:val="00973210"/>
    <w:rsid w:val="0097352B"/>
    <w:rsid w:val="0097440E"/>
    <w:rsid w:val="009745E9"/>
    <w:rsid w:val="00974889"/>
    <w:rsid w:val="009749CD"/>
    <w:rsid w:val="00974ADB"/>
    <w:rsid w:val="00974BC3"/>
    <w:rsid w:val="00974E88"/>
    <w:rsid w:val="00975089"/>
    <w:rsid w:val="00975544"/>
    <w:rsid w:val="00975558"/>
    <w:rsid w:val="00975929"/>
    <w:rsid w:val="00975A52"/>
    <w:rsid w:val="00975A9F"/>
    <w:rsid w:val="00976117"/>
    <w:rsid w:val="009762AD"/>
    <w:rsid w:val="009769D6"/>
    <w:rsid w:val="00976D83"/>
    <w:rsid w:val="00976FF1"/>
    <w:rsid w:val="00977286"/>
    <w:rsid w:val="00977364"/>
    <w:rsid w:val="009774F3"/>
    <w:rsid w:val="00977601"/>
    <w:rsid w:val="009779D8"/>
    <w:rsid w:val="00977CCB"/>
    <w:rsid w:val="00977F70"/>
    <w:rsid w:val="009804BC"/>
    <w:rsid w:val="00980500"/>
    <w:rsid w:val="009809CA"/>
    <w:rsid w:val="00980AE7"/>
    <w:rsid w:val="00980B72"/>
    <w:rsid w:val="00980D71"/>
    <w:rsid w:val="00980F7B"/>
    <w:rsid w:val="00981030"/>
    <w:rsid w:val="00981703"/>
    <w:rsid w:val="0098192D"/>
    <w:rsid w:val="00981AF1"/>
    <w:rsid w:val="00981C81"/>
    <w:rsid w:val="00981EB6"/>
    <w:rsid w:val="009826B1"/>
    <w:rsid w:val="00982AA6"/>
    <w:rsid w:val="00982AF2"/>
    <w:rsid w:val="00982CCB"/>
    <w:rsid w:val="00982D43"/>
    <w:rsid w:val="0098313E"/>
    <w:rsid w:val="009831E7"/>
    <w:rsid w:val="009831ED"/>
    <w:rsid w:val="00983788"/>
    <w:rsid w:val="0098425F"/>
    <w:rsid w:val="00984B78"/>
    <w:rsid w:val="00985040"/>
    <w:rsid w:val="009850F1"/>
    <w:rsid w:val="0098577A"/>
    <w:rsid w:val="00985880"/>
    <w:rsid w:val="0098589C"/>
    <w:rsid w:val="00985A41"/>
    <w:rsid w:val="00985B0C"/>
    <w:rsid w:val="0098608C"/>
    <w:rsid w:val="0098658B"/>
    <w:rsid w:val="00986730"/>
    <w:rsid w:val="00986746"/>
    <w:rsid w:val="00986CCE"/>
    <w:rsid w:val="00987328"/>
    <w:rsid w:val="00987927"/>
    <w:rsid w:val="0098793A"/>
    <w:rsid w:val="00987FDB"/>
    <w:rsid w:val="00990247"/>
    <w:rsid w:val="00990592"/>
    <w:rsid w:val="009908A2"/>
    <w:rsid w:val="009909B0"/>
    <w:rsid w:val="009909F2"/>
    <w:rsid w:val="0099104B"/>
    <w:rsid w:val="0099113C"/>
    <w:rsid w:val="0099153B"/>
    <w:rsid w:val="00991C4B"/>
    <w:rsid w:val="00991C86"/>
    <w:rsid w:val="009920D0"/>
    <w:rsid w:val="00992705"/>
    <w:rsid w:val="009929D4"/>
    <w:rsid w:val="00992C01"/>
    <w:rsid w:val="00992C23"/>
    <w:rsid w:val="00992D5A"/>
    <w:rsid w:val="00992FFB"/>
    <w:rsid w:val="009937E1"/>
    <w:rsid w:val="009938D0"/>
    <w:rsid w:val="0099407B"/>
    <w:rsid w:val="009943AF"/>
    <w:rsid w:val="009947F9"/>
    <w:rsid w:val="00994B2B"/>
    <w:rsid w:val="0099551C"/>
    <w:rsid w:val="0099554A"/>
    <w:rsid w:val="0099562E"/>
    <w:rsid w:val="00995B00"/>
    <w:rsid w:val="00995BE2"/>
    <w:rsid w:val="00995C70"/>
    <w:rsid w:val="00995CC2"/>
    <w:rsid w:val="00995F3F"/>
    <w:rsid w:val="00996000"/>
    <w:rsid w:val="00996172"/>
    <w:rsid w:val="009962E3"/>
    <w:rsid w:val="0099694D"/>
    <w:rsid w:val="0099695F"/>
    <w:rsid w:val="00996B70"/>
    <w:rsid w:val="00996C40"/>
    <w:rsid w:val="00996C43"/>
    <w:rsid w:val="00996C7B"/>
    <w:rsid w:val="00996F78"/>
    <w:rsid w:val="00997396"/>
    <w:rsid w:val="00997BE4"/>
    <w:rsid w:val="00997C95"/>
    <w:rsid w:val="00997CBB"/>
    <w:rsid w:val="009A005F"/>
    <w:rsid w:val="009A04EA"/>
    <w:rsid w:val="009A0770"/>
    <w:rsid w:val="009A08F0"/>
    <w:rsid w:val="009A0D22"/>
    <w:rsid w:val="009A0D4A"/>
    <w:rsid w:val="009A13F0"/>
    <w:rsid w:val="009A1510"/>
    <w:rsid w:val="009A16DB"/>
    <w:rsid w:val="009A1A25"/>
    <w:rsid w:val="009A1BDB"/>
    <w:rsid w:val="009A2265"/>
    <w:rsid w:val="009A28FC"/>
    <w:rsid w:val="009A2AF0"/>
    <w:rsid w:val="009A2CF3"/>
    <w:rsid w:val="009A2DB2"/>
    <w:rsid w:val="009A2EE6"/>
    <w:rsid w:val="009A3210"/>
    <w:rsid w:val="009A34B3"/>
    <w:rsid w:val="009A3987"/>
    <w:rsid w:val="009A3CC2"/>
    <w:rsid w:val="009A4024"/>
    <w:rsid w:val="009A4933"/>
    <w:rsid w:val="009A4B02"/>
    <w:rsid w:val="009A4C83"/>
    <w:rsid w:val="009A4E38"/>
    <w:rsid w:val="009A4EAD"/>
    <w:rsid w:val="009A53B9"/>
    <w:rsid w:val="009A5670"/>
    <w:rsid w:val="009A59AB"/>
    <w:rsid w:val="009A5CDF"/>
    <w:rsid w:val="009A5D0C"/>
    <w:rsid w:val="009A6458"/>
    <w:rsid w:val="009A6703"/>
    <w:rsid w:val="009A6BA1"/>
    <w:rsid w:val="009A735D"/>
    <w:rsid w:val="009A76C6"/>
    <w:rsid w:val="009B002F"/>
    <w:rsid w:val="009B030E"/>
    <w:rsid w:val="009B059A"/>
    <w:rsid w:val="009B097E"/>
    <w:rsid w:val="009B0BAB"/>
    <w:rsid w:val="009B0DD8"/>
    <w:rsid w:val="009B1616"/>
    <w:rsid w:val="009B1C5F"/>
    <w:rsid w:val="009B1E80"/>
    <w:rsid w:val="009B2545"/>
    <w:rsid w:val="009B288C"/>
    <w:rsid w:val="009B2E54"/>
    <w:rsid w:val="009B31C5"/>
    <w:rsid w:val="009B35B5"/>
    <w:rsid w:val="009B3768"/>
    <w:rsid w:val="009B3965"/>
    <w:rsid w:val="009B48BC"/>
    <w:rsid w:val="009B4AAE"/>
    <w:rsid w:val="009B4D8D"/>
    <w:rsid w:val="009B4F60"/>
    <w:rsid w:val="009B4F9F"/>
    <w:rsid w:val="009B50F9"/>
    <w:rsid w:val="009B55F0"/>
    <w:rsid w:val="009B6042"/>
    <w:rsid w:val="009B61CA"/>
    <w:rsid w:val="009B61FE"/>
    <w:rsid w:val="009B69A9"/>
    <w:rsid w:val="009B7015"/>
    <w:rsid w:val="009B7627"/>
    <w:rsid w:val="009B7895"/>
    <w:rsid w:val="009B78B5"/>
    <w:rsid w:val="009B78D8"/>
    <w:rsid w:val="009B79FC"/>
    <w:rsid w:val="009C0116"/>
    <w:rsid w:val="009C1597"/>
    <w:rsid w:val="009C166D"/>
    <w:rsid w:val="009C16CE"/>
    <w:rsid w:val="009C19CA"/>
    <w:rsid w:val="009C1A1D"/>
    <w:rsid w:val="009C1DFD"/>
    <w:rsid w:val="009C1F78"/>
    <w:rsid w:val="009C2118"/>
    <w:rsid w:val="009C23A5"/>
    <w:rsid w:val="009C27B5"/>
    <w:rsid w:val="009C2A64"/>
    <w:rsid w:val="009C2AB9"/>
    <w:rsid w:val="009C2CD7"/>
    <w:rsid w:val="009C2E2B"/>
    <w:rsid w:val="009C3AE0"/>
    <w:rsid w:val="009C3B96"/>
    <w:rsid w:val="009C3BBC"/>
    <w:rsid w:val="009C427B"/>
    <w:rsid w:val="009C435D"/>
    <w:rsid w:val="009C43A8"/>
    <w:rsid w:val="009C4466"/>
    <w:rsid w:val="009C44AB"/>
    <w:rsid w:val="009C46D7"/>
    <w:rsid w:val="009C4E19"/>
    <w:rsid w:val="009C4FBE"/>
    <w:rsid w:val="009C5203"/>
    <w:rsid w:val="009C5928"/>
    <w:rsid w:val="009C5C42"/>
    <w:rsid w:val="009C67AB"/>
    <w:rsid w:val="009C6993"/>
    <w:rsid w:val="009C6DE7"/>
    <w:rsid w:val="009C7190"/>
    <w:rsid w:val="009C7273"/>
    <w:rsid w:val="009C79A7"/>
    <w:rsid w:val="009C79F8"/>
    <w:rsid w:val="009C7B35"/>
    <w:rsid w:val="009C7BCF"/>
    <w:rsid w:val="009C7E24"/>
    <w:rsid w:val="009D1AFC"/>
    <w:rsid w:val="009D1F8E"/>
    <w:rsid w:val="009D2169"/>
    <w:rsid w:val="009D29E9"/>
    <w:rsid w:val="009D2C62"/>
    <w:rsid w:val="009D31C1"/>
    <w:rsid w:val="009D357F"/>
    <w:rsid w:val="009D388E"/>
    <w:rsid w:val="009D3A4D"/>
    <w:rsid w:val="009D3AC0"/>
    <w:rsid w:val="009D4714"/>
    <w:rsid w:val="009D4C08"/>
    <w:rsid w:val="009D4C88"/>
    <w:rsid w:val="009D4ECE"/>
    <w:rsid w:val="009D5754"/>
    <w:rsid w:val="009D5A03"/>
    <w:rsid w:val="009D6073"/>
    <w:rsid w:val="009D62AB"/>
    <w:rsid w:val="009D63BD"/>
    <w:rsid w:val="009D65DB"/>
    <w:rsid w:val="009D6B5C"/>
    <w:rsid w:val="009D6D1A"/>
    <w:rsid w:val="009D745E"/>
    <w:rsid w:val="009D749C"/>
    <w:rsid w:val="009D7952"/>
    <w:rsid w:val="009D7B53"/>
    <w:rsid w:val="009E0095"/>
    <w:rsid w:val="009E0684"/>
    <w:rsid w:val="009E0CE9"/>
    <w:rsid w:val="009E0D97"/>
    <w:rsid w:val="009E0E5D"/>
    <w:rsid w:val="009E10AB"/>
    <w:rsid w:val="009E1509"/>
    <w:rsid w:val="009E15CB"/>
    <w:rsid w:val="009E22C7"/>
    <w:rsid w:val="009E3067"/>
    <w:rsid w:val="009E35B5"/>
    <w:rsid w:val="009E368B"/>
    <w:rsid w:val="009E3B34"/>
    <w:rsid w:val="009E3D1F"/>
    <w:rsid w:val="009E3D5D"/>
    <w:rsid w:val="009E3F3A"/>
    <w:rsid w:val="009E4288"/>
    <w:rsid w:val="009E44D2"/>
    <w:rsid w:val="009E47D7"/>
    <w:rsid w:val="009E4BEA"/>
    <w:rsid w:val="009E4E44"/>
    <w:rsid w:val="009E4EA8"/>
    <w:rsid w:val="009E52BA"/>
    <w:rsid w:val="009E5EDC"/>
    <w:rsid w:val="009E5FE6"/>
    <w:rsid w:val="009E66D1"/>
    <w:rsid w:val="009E6ABC"/>
    <w:rsid w:val="009E6AC1"/>
    <w:rsid w:val="009E6BE6"/>
    <w:rsid w:val="009E6DCC"/>
    <w:rsid w:val="009E71F4"/>
    <w:rsid w:val="009E7366"/>
    <w:rsid w:val="009E74D0"/>
    <w:rsid w:val="009E7925"/>
    <w:rsid w:val="009E7A48"/>
    <w:rsid w:val="009E7E1D"/>
    <w:rsid w:val="009E7EC5"/>
    <w:rsid w:val="009F01D4"/>
    <w:rsid w:val="009F05F8"/>
    <w:rsid w:val="009F0CF4"/>
    <w:rsid w:val="009F131A"/>
    <w:rsid w:val="009F1321"/>
    <w:rsid w:val="009F161F"/>
    <w:rsid w:val="009F17F2"/>
    <w:rsid w:val="009F1CF9"/>
    <w:rsid w:val="009F1E1A"/>
    <w:rsid w:val="009F2032"/>
    <w:rsid w:val="009F20BF"/>
    <w:rsid w:val="009F2456"/>
    <w:rsid w:val="009F269C"/>
    <w:rsid w:val="009F27AD"/>
    <w:rsid w:val="009F27E9"/>
    <w:rsid w:val="009F2B1F"/>
    <w:rsid w:val="009F3D18"/>
    <w:rsid w:val="009F3EEA"/>
    <w:rsid w:val="009F4239"/>
    <w:rsid w:val="009F47F8"/>
    <w:rsid w:val="009F4B0C"/>
    <w:rsid w:val="009F4F11"/>
    <w:rsid w:val="009F57F0"/>
    <w:rsid w:val="009F5917"/>
    <w:rsid w:val="009F5AE4"/>
    <w:rsid w:val="009F5CBB"/>
    <w:rsid w:val="009F5E5E"/>
    <w:rsid w:val="009F61ED"/>
    <w:rsid w:val="009F6415"/>
    <w:rsid w:val="009F6937"/>
    <w:rsid w:val="009F6BC5"/>
    <w:rsid w:val="009F6BCF"/>
    <w:rsid w:val="009F6FD2"/>
    <w:rsid w:val="009F76AF"/>
    <w:rsid w:val="009F7C81"/>
    <w:rsid w:val="009F7C97"/>
    <w:rsid w:val="009F7CA4"/>
    <w:rsid w:val="009F7CC0"/>
    <w:rsid w:val="009F7D94"/>
    <w:rsid w:val="009F7DA1"/>
    <w:rsid w:val="009F7DC5"/>
    <w:rsid w:val="009F7EF0"/>
    <w:rsid w:val="00A0006B"/>
    <w:rsid w:val="00A0017D"/>
    <w:rsid w:val="00A009A8"/>
    <w:rsid w:val="00A00AB8"/>
    <w:rsid w:val="00A00BA4"/>
    <w:rsid w:val="00A00CA6"/>
    <w:rsid w:val="00A0129F"/>
    <w:rsid w:val="00A01306"/>
    <w:rsid w:val="00A01555"/>
    <w:rsid w:val="00A0170E"/>
    <w:rsid w:val="00A01A65"/>
    <w:rsid w:val="00A01C27"/>
    <w:rsid w:val="00A02242"/>
    <w:rsid w:val="00A022DD"/>
    <w:rsid w:val="00A023B0"/>
    <w:rsid w:val="00A02AFD"/>
    <w:rsid w:val="00A02DAD"/>
    <w:rsid w:val="00A035CA"/>
    <w:rsid w:val="00A038E8"/>
    <w:rsid w:val="00A03A9D"/>
    <w:rsid w:val="00A03C9F"/>
    <w:rsid w:val="00A042C9"/>
    <w:rsid w:val="00A044DF"/>
    <w:rsid w:val="00A0464F"/>
    <w:rsid w:val="00A049E9"/>
    <w:rsid w:val="00A04BFC"/>
    <w:rsid w:val="00A05125"/>
    <w:rsid w:val="00A05F5F"/>
    <w:rsid w:val="00A06198"/>
    <w:rsid w:val="00A064F9"/>
    <w:rsid w:val="00A06A38"/>
    <w:rsid w:val="00A071CF"/>
    <w:rsid w:val="00A078B4"/>
    <w:rsid w:val="00A07B6C"/>
    <w:rsid w:val="00A07FC1"/>
    <w:rsid w:val="00A105AA"/>
    <w:rsid w:val="00A11142"/>
    <w:rsid w:val="00A11410"/>
    <w:rsid w:val="00A116EA"/>
    <w:rsid w:val="00A11903"/>
    <w:rsid w:val="00A12094"/>
    <w:rsid w:val="00A120E5"/>
    <w:rsid w:val="00A1236B"/>
    <w:rsid w:val="00A123C1"/>
    <w:rsid w:val="00A1245F"/>
    <w:rsid w:val="00A126C5"/>
    <w:rsid w:val="00A12944"/>
    <w:rsid w:val="00A12947"/>
    <w:rsid w:val="00A12981"/>
    <w:rsid w:val="00A12A41"/>
    <w:rsid w:val="00A12D30"/>
    <w:rsid w:val="00A1326A"/>
    <w:rsid w:val="00A13F27"/>
    <w:rsid w:val="00A13FBD"/>
    <w:rsid w:val="00A1424F"/>
    <w:rsid w:val="00A14299"/>
    <w:rsid w:val="00A1431C"/>
    <w:rsid w:val="00A14383"/>
    <w:rsid w:val="00A14B93"/>
    <w:rsid w:val="00A14CBE"/>
    <w:rsid w:val="00A15A7F"/>
    <w:rsid w:val="00A1614C"/>
    <w:rsid w:val="00A16C6B"/>
    <w:rsid w:val="00A16E64"/>
    <w:rsid w:val="00A17694"/>
    <w:rsid w:val="00A17923"/>
    <w:rsid w:val="00A17A3F"/>
    <w:rsid w:val="00A20217"/>
    <w:rsid w:val="00A20451"/>
    <w:rsid w:val="00A209DE"/>
    <w:rsid w:val="00A20B4A"/>
    <w:rsid w:val="00A20B74"/>
    <w:rsid w:val="00A20C56"/>
    <w:rsid w:val="00A20DA4"/>
    <w:rsid w:val="00A2107D"/>
    <w:rsid w:val="00A21431"/>
    <w:rsid w:val="00A21503"/>
    <w:rsid w:val="00A2158B"/>
    <w:rsid w:val="00A21B14"/>
    <w:rsid w:val="00A21C56"/>
    <w:rsid w:val="00A21EA7"/>
    <w:rsid w:val="00A21EC8"/>
    <w:rsid w:val="00A21F9F"/>
    <w:rsid w:val="00A21FE7"/>
    <w:rsid w:val="00A2218F"/>
    <w:rsid w:val="00A22339"/>
    <w:rsid w:val="00A223AA"/>
    <w:rsid w:val="00A2256E"/>
    <w:rsid w:val="00A2278B"/>
    <w:rsid w:val="00A227B6"/>
    <w:rsid w:val="00A2313F"/>
    <w:rsid w:val="00A236E8"/>
    <w:rsid w:val="00A23ABA"/>
    <w:rsid w:val="00A2408A"/>
    <w:rsid w:val="00A2420A"/>
    <w:rsid w:val="00A24614"/>
    <w:rsid w:val="00A2544A"/>
    <w:rsid w:val="00A25607"/>
    <w:rsid w:val="00A25791"/>
    <w:rsid w:val="00A25E22"/>
    <w:rsid w:val="00A25FB4"/>
    <w:rsid w:val="00A262B1"/>
    <w:rsid w:val="00A26796"/>
    <w:rsid w:val="00A268EA"/>
    <w:rsid w:val="00A2739A"/>
    <w:rsid w:val="00A27564"/>
    <w:rsid w:val="00A2772E"/>
    <w:rsid w:val="00A27AAE"/>
    <w:rsid w:val="00A27BD1"/>
    <w:rsid w:val="00A3038F"/>
    <w:rsid w:val="00A30442"/>
    <w:rsid w:val="00A30920"/>
    <w:rsid w:val="00A3092E"/>
    <w:rsid w:val="00A31671"/>
    <w:rsid w:val="00A31707"/>
    <w:rsid w:val="00A318E9"/>
    <w:rsid w:val="00A31CEC"/>
    <w:rsid w:val="00A31E21"/>
    <w:rsid w:val="00A31F2C"/>
    <w:rsid w:val="00A32100"/>
    <w:rsid w:val="00A32FA7"/>
    <w:rsid w:val="00A32FBC"/>
    <w:rsid w:val="00A33013"/>
    <w:rsid w:val="00A3304B"/>
    <w:rsid w:val="00A333E9"/>
    <w:rsid w:val="00A3376C"/>
    <w:rsid w:val="00A34431"/>
    <w:rsid w:val="00A345B1"/>
    <w:rsid w:val="00A34632"/>
    <w:rsid w:val="00A34E18"/>
    <w:rsid w:val="00A34F7A"/>
    <w:rsid w:val="00A352AF"/>
    <w:rsid w:val="00A35B4A"/>
    <w:rsid w:val="00A35F1C"/>
    <w:rsid w:val="00A35F8C"/>
    <w:rsid w:val="00A36BFF"/>
    <w:rsid w:val="00A36C14"/>
    <w:rsid w:val="00A36CF1"/>
    <w:rsid w:val="00A36E42"/>
    <w:rsid w:val="00A36F42"/>
    <w:rsid w:val="00A370BA"/>
    <w:rsid w:val="00A37130"/>
    <w:rsid w:val="00A371DC"/>
    <w:rsid w:val="00A3749C"/>
    <w:rsid w:val="00A375E7"/>
    <w:rsid w:val="00A378A3"/>
    <w:rsid w:val="00A37E40"/>
    <w:rsid w:val="00A4031E"/>
    <w:rsid w:val="00A40D48"/>
    <w:rsid w:val="00A40D69"/>
    <w:rsid w:val="00A4169A"/>
    <w:rsid w:val="00A41AA5"/>
    <w:rsid w:val="00A41B3A"/>
    <w:rsid w:val="00A42077"/>
    <w:rsid w:val="00A42225"/>
    <w:rsid w:val="00A4222F"/>
    <w:rsid w:val="00A42748"/>
    <w:rsid w:val="00A4356A"/>
    <w:rsid w:val="00A4369E"/>
    <w:rsid w:val="00A438D1"/>
    <w:rsid w:val="00A43B1F"/>
    <w:rsid w:val="00A443A4"/>
    <w:rsid w:val="00A443CC"/>
    <w:rsid w:val="00A446E1"/>
    <w:rsid w:val="00A44955"/>
    <w:rsid w:val="00A4508B"/>
    <w:rsid w:val="00A452BB"/>
    <w:rsid w:val="00A45481"/>
    <w:rsid w:val="00A45B78"/>
    <w:rsid w:val="00A4602F"/>
    <w:rsid w:val="00A4669E"/>
    <w:rsid w:val="00A4670F"/>
    <w:rsid w:val="00A46B87"/>
    <w:rsid w:val="00A46BCA"/>
    <w:rsid w:val="00A47483"/>
    <w:rsid w:val="00A474BE"/>
    <w:rsid w:val="00A476A5"/>
    <w:rsid w:val="00A47B4B"/>
    <w:rsid w:val="00A47BD1"/>
    <w:rsid w:val="00A501A2"/>
    <w:rsid w:val="00A50356"/>
    <w:rsid w:val="00A50520"/>
    <w:rsid w:val="00A50D3A"/>
    <w:rsid w:val="00A50E23"/>
    <w:rsid w:val="00A50FDF"/>
    <w:rsid w:val="00A51B98"/>
    <w:rsid w:val="00A51FF8"/>
    <w:rsid w:val="00A520CD"/>
    <w:rsid w:val="00A52370"/>
    <w:rsid w:val="00A52E69"/>
    <w:rsid w:val="00A5320C"/>
    <w:rsid w:val="00A53A87"/>
    <w:rsid w:val="00A53DFD"/>
    <w:rsid w:val="00A54273"/>
    <w:rsid w:val="00A5458A"/>
    <w:rsid w:val="00A54A6A"/>
    <w:rsid w:val="00A54AD0"/>
    <w:rsid w:val="00A54CF6"/>
    <w:rsid w:val="00A553B2"/>
    <w:rsid w:val="00A55D85"/>
    <w:rsid w:val="00A560B6"/>
    <w:rsid w:val="00A56459"/>
    <w:rsid w:val="00A565FA"/>
    <w:rsid w:val="00A56610"/>
    <w:rsid w:val="00A56B18"/>
    <w:rsid w:val="00A56E62"/>
    <w:rsid w:val="00A571D8"/>
    <w:rsid w:val="00A5735E"/>
    <w:rsid w:val="00A5751A"/>
    <w:rsid w:val="00A575F5"/>
    <w:rsid w:val="00A57763"/>
    <w:rsid w:val="00A60250"/>
    <w:rsid w:val="00A6067C"/>
    <w:rsid w:val="00A609CB"/>
    <w:rsid w:val="00A60AC3"/>
    <w:rsid w:val="00A60AF5"/>
    <w:rsid w:val="00A60B91"/>
    <w:rsid w:val="00A60E2F"/>
    <w:rsid w:val="00A610BE"/>
    <w:rsid w:val="00A61295"/>
    <w:rsid w:val="00A6144A"/>
    <w:rsid w:val="00A615F1"/>
    <w:rsid w:val="00A61B05"/>
    <w:rsid w:val="00A61EA0"/>
    <w:rsid w:val="00A61EFC"/>
    <w:rsid w:val="00A62054"/>
    <w:rsid w:val="00A63345"/>
    <w:rsid w:val="00A63FBC"/>
    <w:rsid w:val="00A6421B"/>
    <w:rsid w:val="00A64401"/>
    <w:rsid w:val="00A64A34"/>
    <w:rsid w:val="00A64C68"/>
    <w:rsid w:val="00A64D22"/>
    <w:rsid w:val="00A64E29"/>
    <w:rsid w:val="00A64EBF"/>
    <w:rsid w:val="00A654C3"/>
    <w:rsid w:val="00A6556A"/>
    <w:rsid w:val="00A655DB"/>
    <w:rsid w:val="00A657B4"/>
    <w:rsid w:val="00A658DD"/>
    <w:rsid w:val="00A65F9B"/>
    <w:rsid w:val="00A663E1"/>
    <w:rsid w:val="00A667CF"/>
    <w:rsid w:val="00A66DF6"/>
    <w:rsid w:val="00A66E3F"/>
    <w:rsid w:val="00A67285"/>
    <w:rsid w:val="00A676F1"/>
    <w:rsid w:val="00A67AD6"/>
    <w:rsid w:val="00A67C26"/>
    <w:rsid w:val="00A67FBF"/>
    <w:rsid w:val="00A70240"/>
    <w:rsid w:val="00A70483"/>
    <w:rsid w:val="00A704EE"/>
    <w:rsid w:val="00A7085B"/>
    <w:rsid w:val="00A7099B"/>
    <w:rsid w:val="00A70C57"/>
    <w:rsid w:val="00A70C72"/>
    <w:rsid w:val="00A70D35"/>
    <w:rsid w:val="00A70E08"/>
    <w:rsid w:val="00A70F79"/>
    <w:rsid w:val="00A70FB1"/>
    <w:rsid w:val="00A71482"/>
    <w:rsid w:val="00A71712"/>
    <w:rsid w:val="00A7175A"/>
    <w:rsid w:val="00A71AC0"/>
    <w:rsid w:val="00A72054"/>
    <w:rsid w:val="00A72340"/>
    <w:rsid w:val="00A72585"/>
    <w:rsid w:val="00A72594"/>
    <w:rsid w:val="00A72B15"/>
    <w:rsid w:val="00A72C06"/>
    <w:rsid w:val="00A72C1D"/>
    <w:rsid w:val="00A72F41"/>
    <w:rsid w:val="00A7311D"/>
    <w:rsid w:val="00A7329A"/>
    <w:rsid w:val="00A73775"/>
    <w:rsid w:val="00A73BCA"/>
    <w:rsid w:val="00A73CD7"/>
    <w:rsid w:val="00A73DA0"/>
    <w:rsid w:val="00A7409F"/>
    <w:rsid w:val="00A74514"/>
    <w:rsid w:val="00A7507D"/>
    <w:rsid w:val="00A75422"/>
    <w:rsid w:val="00A754EB"/>
    <w:rsid w:val="00A7639C"/>
    <w:rsid w:val="00A76B3B"/>
    <w:rsid w:val="00A76D09"/>
    <w:rsid w:val="00A7702A"/>
    <w:rsid w:val="00A77166"/>
    <w:rsid w:val="00A7752C"/>
    <w:rsid w:val="00A776AE"/>
    <w:rsid w:val="00A77DBC"/>
    <w:rsid w:val="00A80071"/>
    <w:rsid w:val="00A8010F"/>
    <w:rsid w:val="00A80649"/>
    <w:rsid w:val="00A80780"/>
    <w:rsid w:val="00A80846"/>
    <w:rsid w:val="00A80BEB"/>
    <w:rsid w:val="00A80DE6"/>
    <w:rsid w:val="00A810E7"/>
    <w:rsid w:val="00A811A9"/>
    <w:rsid w:val="00A813EE"/>
    <w:rsid w:val="00A8144D"/>
    <w:rsid w:val="00A815AD"/>
    <w:rsid w:val="00A8167B"/>
    <w:rsid w:val="00A816B8"/>
    <w:rsid w:val="00A81A06"/>
    <w:rsid w:val="00A825A8"/>
    <w:rsid w:val="00A825B7"/>
    <w:rsid w:val="00A827A4"/>
    <w:rsid w:val="00A82D8F"/>
    <w:rsid w:val="00A82DF5"/>
    <w:rsid w:val="00A8347A"/>
    <w:rsid w:val="00A836B3"/>
    <w:rsid w:val="00A83732"/>
    <w:rsid w:val="00A83ACE"/>
    <w:rsid w:val="00A83D7F"/>
    <w:rsid w:val="00A83ED0"/>
    <w:rsid w:val="00A84765"/>
    <w:rsid w:val="00A84B4D"/>
    <w:rsid w:val="00A85191"/>
    <w:rsid w:val="00A851C6"/>
    <w:rsid w:val="00A852B2"/>
    <w:rsid w:val="00A85312"/>
    <w:rsid w:val="00A8568E"/>
    <w:rsid w:val="00A85977"/>
    <w:rsid w:val="00A85F59"/>
    <w:rsid w:val="00A86006"/>
    <w:rsid w:val="00A86837"/>
    <w:rsid w:val="00A86889"/>
    <w:rsid w:val="00A86AFF"/>
    <w:rsid w:val="00A8712E"/>
    <w:rsid w:val="00A8717D"/>
    <w:rsid w:val="00A874E7"/>
    <w:rsid w:val="00A87543"/>
    <w:rsid w:val="00A87692"/>
    <w:rsid w:val="00A87879"/>
    <w:rsid w:val="00A87A2E"/>
    <w:rsid w:val="00A9071C"/>
    <w:rsid w:val="00A90863"/>
    <w:rsid w:val="00A908B4"/>
    <w:rsid w:val="00A90F10"/>
    <w:rsid w:val="00A91767"/>
    <w:rsid w:val="00A91987"/>
    <w:rsid w:val="00A91A52"/>
    <w:rsid w:val="00A91B22"/>
    <w:rsid w:val="00A91C39"/>
    <w:rsid w:val="00A91D73"/>
    <w:rsid w:val="00A926D8"/>
    <w:rsid w:val="00A92908"/>
    <w:rsid w:val="00A932D4"/>
    <w:rsid w:val="00A9360E"/>
    <w:rsid w:val="00A93788"/>
    <w:rsid w:val="00A94045"/>
    <w:rsid w:val="00A946CF"/>
    <w:rsid w:val="00A94DA0"/>
    <w:rsid w:val="00A95343"/>
    <w:rsid w:val="00A95673"/>
    <w:rsid w:val="00A95841"/>
    <w:rsid w:val="00A958FE"/>
    <w:rsid w:val="00A95A21"/>
    <w:rsid w:val="00A96B71"/>
    <w:rsid w:val="00A96CE6"/>
    <w:rsid w:val="00A96DF5"/>
    <w:rsid w:val="00A97821"/>
    <w:rsid w:val="00A978EC"/>
    <w:rsid w:val="00A97C18"/>
    <w:rsid w:val="00A97EC4"/>
    <w:rsid w:val="00AA03D1"/>
    <w:rsid w:val="00AA05A6"/>
    <w:rsid w:val="00AA0A20"/>
    <w:rsid w:val="00AA157F"/>
    <w:rsid w:val="00AA167C"/>
    <w:rsid w:val="00AA2032"/>
    <w:rsid w:val="00AA20F5"/>
    <w:rsid w:val="00AA2ADF"/>
    <w:rsid w:val="00AA2F56"/>
    <w:rsid w:val="00AA2F95"/>
    <w:rsid w:val="00AA3140"/>
    <w:rsid w:val="00AA32CB"/>
    <w:rsid w:val="00AA3453"/>
    <w:rsid w:val="00AA36FA"/>
    <w:rsid w:val="00AA381C"/>
    <w:rsid w:val="00AA3BDE"/>
    <w:rsid w:val="00AA457C"/>
    <w:rsid w:val="00AA46CB"/>
    <w:rsid w:val="00AA4B16"/>
    <w:rsid w:val="00AA4DB9"/>
    <w:rsid w:val="00AA544C"/>
    <w:rsid w:val="00AA56CB"/>
    <w:rsid w:val="00AA579A"/>
    <w:rsid w:val="00AA58EB"/>
    <w:rsid w:val="00AA5B22"/>
    <w:rsid w:val="00AA632A"/>
    <w:rsid w:val="00AA6742"/>
    <w:rsid w:val="00AA6850"/>
    <w:rsid w:val="00AA68EC"/>
    <w:rsid w:val="00AA6A22"/>
    <w:rsid w:val="00AA6B9B"/>
    <w:rsid w:val="00AA6C2D"/>
    <w:rsid w:val="00AA6D01"/>
    <w:rsid w:val="00AA6F32"/>
    <w:rsid w:val="00AA6F5A"/>
    <w:rsid w:val="00AA7736"/>
    <w:rsid w:val="00AA795B"/>
    <w:rsid w:val="00AA7BE6"/>
    <w:rsid w:val="00AA7FE3"/>
    <w:rsid w:val="00AB00EE"/>
    <w:rsid w:val="00AB063E"/>
    <w:rsid w:val="00AB0BBD"/>
    <w:rsid w:val="00AB0CA2"/>
    <w:rsid w:val="00AB0F77"/>
    <w:rsid w:val="00AB1226"/>
    <w:rsid w:val="00AB1B16"/>
    <w:rsid w:val="00AB1B4F"/>
    <w:rsid w:val="00AB1C71"/>
    <w:rsid w:val="00AB1E70"/>
    <w:rsid w:val="00AB2201"/>
    <w:rsid w:val="00AB2CBC"/>
    <w:rsid w:val="00AB2D98"/>
    <w:rsid w:val="00AB2FA8"/>
    <w:rsid w:val="00AB3A64"/>
    <w:rsid w:val="00AB3BE3"/>
    <w:rsid w:val="00AB40B3"/>
    <w:rsid w:val="00AB40D3"/>
    <w:rsid w:val="00AB42B8"/>
    <w:rsid w:val="00AB437C"/>
    <w:rsid w:val="00AB46D7"/>
    <w:rsid w:val="00AB48AD"/>
    <w:rsid w:val="00AB48FB"/>
    <w:rsid w:val="00AB49FE"/>
    <w:rsid w:val="00AB5578"/>
    <w:rsid w:val="00AB56E7"/>
    <w:rsid w:val="00AB5E76"/>
    <w:rsid w:val="00AB5E7A"/>
    <w:rsid w:val="00AB644F"/>
    <w:rsid w:val="00AB6674"/>
    <w:rsid w:val="00AB6707"/>
    <w:rsid w:val="00AB6980"/>
    <w:rsid w:val="00AB6F15"/>
    <w:rsid w:val="00AB7137"/>
    <w:rsid w:val="00AB71A2"/>
    <w:rsid w:val="00AB736A"/>
    <w:rsid w:val="00AB77C0"/>
    <w:rsid w:val="00AB7871"/>
    <w:rsid w:val="00AB799B"/>
    <w:rsid w:val="00AB7EB3"/>
    <w:rsid w:val="00AC006C"/>
    <w:rsid w:val="00AC075F"/>
    <w:rsid w:val="00AC07A9"/>
    <w:rsid w:val="00AC0ABD"/>
    <w:rsid w:val="00AC14E3"/>
    <w:rsid w:val="00AC1551"/>
    <w:rsid w:val="00AC164B"/>
    <w:rsid w:val="00AC186E"/>
    <w:rsid w:val="00AC1947"/>
    <w:rsid w:val="00AC1B9A"/>
    <w:rsid w:val="00AC1F24"/>
    <w:rsid w:val="00AC22F8"/>
    <w:rsid w:val="00AC2584"/>
    <w:rsid w:val="00AC2A59"/>
    <w:rsid w:val="00AC2AD0"/>
    <w:rsid w:val="00AC2AEB"/>
    <w:rsid w:val="00AC3395"/>
    <w:rsid w:val="00AC3C34"/>
    <w:rsid w:val="00AC3DAA"/>
    <w:rsid w:val="00AC40DC"/>
    <w:rsid w:val="00AC4209"/>
    <w:rsid w:val="00AC423C"/>
    <w:rsid w:val="00AC432B"/>
    <w:rsid w:val="00AC4843"/>
    <w:rsid w:val="00AC4B55"/>
    <w:rsid w:val="00AC4BDF"/>
    <w:rsid w:val="00AC4CA6"/>
    <w:rsid w:val="00AC4D33"/>
    <w:rsid w:val="00AC4E01"/>
    <w:rsid w:val="00AC557C"/>
    <w:rsid w:val="00AC57DA"/>
    <w:rsid w:val="00AC5DAB"/>
    <w:rsid w:val="00AC6036"/>
    <w:rsid w:val="00AC61A6"/>
    <w:rsid w:val="00AC64AD"/>
    <w:rsid w:val="00AC66D9"/>
    <w:rsid w:val="00AC69BB"/>
    <w:rsid w:val="00AC6FD9"/>
    <w:rsid w:val="00AC7006"/>
    <w:rsid w:val="00AC7531"/>
    <w:rsid w:val="00AC7624"/>
    <w:rsid w:val="00AC7D55"/>
    <w:rsid w:val="00AD02D3"/>
    <w:rsid w:val="00AD02E7"/>
    <w:rsid w:val="00AD064A"/>
    <w:rsid w:val="00AD0775"/>
    <w:rsid w:val="00AD0F2D"/>
    <w:rsid w:val="00AD10A6"/>
    <w:rsid w:val="00AD13B6"/>
    <w:rsid w:val="00AD1498"/>
    <w:rsid w:val="00AD1766"/>
    <w:rsid w:val="00AD18C3"/>
    <w:rsid w:val="00AD1DDC"/>
    <w:rsid w:val="00AD1F90"/>
    <w:rsid w:val="00AD2251"/>
    <w:rsid w:val="00AD22F6"/>
    <w:rsid w:val="00AD2A06"/>
    <w:rsid w:val="00AD2A81"/>
    <w:rsid w:val="00AD2E87"/>
    <w:rsid w:val="00AD3193"/>
    <w:rsid w:val="00AD36D8"/>
    <w:rsid w:val="00AD3901"/>
    <w:rsid w:val="00AD3CC3"/>
    <w:rsid w:val="00AD3DA0"/>
    <w:rsid w:val="00AD4206"/>
    <w:rsid w:val="00AD4420"/>
    <w:rsid w:val="00AD44CE"/>
    <w:rsid w:val="00AD4947"/>
    <w:rsid w:val="00AD4E06"/>
    <w:rsid w:val="00AD5043"/>
    <w:rsid w:val="00AD50CE"/>
    <w:rsid w:val="00AD5542"/>
    <w:rsid w:val="00AD5579"/>
    <w:rsid w:val="00AD5585"/>
    <w:rsid w:val="00AD567E"/>
    <w:rsid w:val="00AD5787"/>
    <w:rsid w:val="00AD5919"/>
    <w:rsid w:val="00AD592C"/>
    <w:rsid w:val="00AD59C7"/>
    <w:rsid w:val="00AD5EAD"/>
    <w:rsid w:val="00AD5EC9"/>
    <w:rsid w:val="00AD5F89"/>
    <w:rsid w:val="00AD5FF8"/>
    <w:rsid w:val="00AD62C7"/>
    <w:rsid w:val="00AD6311"/>
    <w:rsid w:val="00AD650F"/>
    <w:rsid w:val="00AD6521"/>
    <w:rsid w:val="00AD661E"/>
    <w:rsid w:val="00AD69D3"/>
    <w:rsid w:val="00AD6A0F"/>
    <w:rsid w:val="00AD6BB6"/>
    <w:rsid w:val="00AD6C27"/>
    <w:rsid w:val="00AD6CCA"/>
    <w:rsid w:val="00AD6DA0"/>
    <w:rsid w:val="00AD7305"/>
    <w:rsid w:val="00AD7322"/>
    <w:rsid w:val="00AD759D"/>
    <w:rsid w:val="00AD7726"/>
    <w:rsid w:val="00AD7A58"/>
    <w:rsid w:val="00AD7FE9"/>
    <w:rsid w:val="00AE0189"/>
    <w:rsid w:val="00AE04FE"/>
    <w:rsid w:val="00AE05FE"/>
    <w:rsid w:val="00AE0D29"/>
    <w:rsid w:val="00AE1363"/>
    <w:rsid w:val="00AE148C"/>
    <w:rsid w:val="00AE1DE7"/>
    <w:rsid w:val="00AE20D2"/>
    <w:rsid w:val="00AE23C3"/>
    <w:rsid w:val="00AE26E8"/>
    <w:rsid w:val="00AE29E8"/>
    <w:rsid w:val="00AE2E0E"/>
    <w:rsid w:val="00AE3954"/>
    <w:rsid w:val="00AE441E"/>
    <w:rsid w:val="00AE46A8"/>
    <w:rsid w:val="00AE4822"/>
    <w:rsid w:val="00AE4C91"/>
    <w:rsid w:val="00AE4E97"/>
    <w:rsid w:val="00AE4F1E"/>
    <w:rsid w:val="00AE5309"/>
    <w:rsid w:val="00AE5B07"/>
    <w:rsid w:val="00AE6087"/>
    <w:rsid w:val="00AE60F6"/>
    <w:rsid w:val="00AE6723"/>
    <w:rsid w:val="00AE6B44"/>
    <w:rsid w:val="00AE6DBC"/>
    <w:rsid w:val="00AE72BB"/>
    <w:rsid w:val="00AE734A"/>
    <w:rsid w:val="00AE74AF"/>
    <w:rsid w:val="00AE75F8"/>
    <w:rsid w:val="00AE7AC7"/>
    <w:rsid w:val="00AE7CA1"/>
    <w:rsid w:val="00AE7D1E"/>
    <w:rsid w:val="00AE7F6A"/>
    <w:rsid w:val="00AE7FE9"/>
    <w:rsid w:val="00AF056C"/>
    <w:rsid w:val="00AF056D"/>
    <w:rsid w:val="00AF0E6D"/>
    <w:rsid w:val="00AF14D4"/>
    <w:rsid w:val="00AF1649"/>
    <w:rsid w:val="00AF19D4"/>
    <w:rsid w:val="00AF1C0A"/>
    <w:rsid w:val="00AF1C89"/>
    <w:rsid w:val="00AF1F31"/>
    <w:rsid w:val="00AF2139"/>
    <w:rsid w:val="00AF229B"/>
    <w:rsid w:val="00AF265F"/>
    <w:rsid w:val="00AF268B"/>
    <w:rsid w:val="00AF29F8"/>
    <w:rsid w:val="00AF2B34"/>
    <w:rsid w:val="00AF2D3B"/>
    <w:rsid w:val="00AF2E7E"/>
    <w:rsid w:val="00AF2FB0"/>
    <w:rsid w:val="00AF3311"/>
    <w:rsid w:val="00AF3B5B"/>
    <w:rsid w:val="00AF3CED"/>
    <w:rsid w:val="00AF3ECB"/>
    <w:rsid w:val="00AF3EE5"/>
    <w:rsid w:val="00AF4226"/>
    <w:rsid w:val="00AF441F"/>
    <w:rsid w:val="00AF4512"/>
    <w:rsid w:val="00AF4784"/>
    <w:rsid w:val="00AF47B8"/>
    <w:rsid w:val="00AF4E50"/>
    <w:rsid w:val="00AF4FCF"/>
    <w:rsid w:val="00AF5409"/>
    <w:rsid w:val="00AF544C"/>
    <w:rsid w:val="00AF5D38"/>
    <w:rsid w:val="00AF6065"/>
    <w:rsid w:val="00AF61C5"/>
    <w:rsid w:val="00AF6BEA"/>
    <w:rsid w:val="00AF6CC4"/>
    <w:rsid w:val="00AF6DAE"/>
    <w:rsid w:val="00AF6F58"/>
    <w:rsid w:val="00AF7581"/>
    <w:rsid w:val="00AF7A98"/>
    <w:rsid w:val="00AF7AC6"/>
    <w:rsid w:val="00AF7C25"/>
    <w:rsid w:val="00AF7DD4"/>
    <w:rsid w:val="00AF7EC0"/>
    <w:rsid w:val="00B009D5"/>
    <w:rsid w:val="00B00E83"/>
    <w:rsid w:val="00B00EAD"/>
    <w:rsid w:val="00B00F1A"/>
    <w:rsid w:val="00B0144E"/>
    <w:rsid w:val="00B01551"/>
    <w:rsid w:val="00B01900"/>
    <w:rsid w:val="00B01B4A"/>
    <w:rsid w:val="00B02007"/>
    <w:rsid w:val="00B02016"/>
    <w:rsid w:val="00B02306"/>
    <w:rsid w:val="00B02352"/>
    <w:rsid w:val="00B023F4"/>
    <w:rsid w:val="00B0244B"/>
    <w:rsid w:val="00B025EA"/>
    <w:rsid w:val="00B0297F"/>
    <w:rsid w:val="00B02F23"/>
    <w:rsid w:val="00B02F91"/>
    <w:rsid w:val="00B031DA"/>
    <w:rsid w:val="00B038C5"/>
    <w:rsid w:val="00B03C2C"/>
    <w:rsid w:val="00B046E7"/>
    <w:rsid w:val="00B047F9"/>
    <w:rsid w:val="00B054FC"/>
    <w:rsid w:val="00B05A87"/>
    <w:rsid w:val="00B05B61"/>
    <w:rsid w:val="00B06181"/>
    <w:rsid w:val="00B063CC"/>
    <w:rsid w:val="00B071CC"/>
    <w:rsid w:val="00B07248"/>
    <w:rsid w:val="00B072E3"/>
    <w:rsid w:val="00B074E7"/>
    <w:rsid w:val="00B0772D"/>
    <w:rsid w:val="00B07A0B"/>
    <w:rsid w:val="00B07D04"/>
    <w:rsid w:val="00B07D65"/>
    <w:rsid w:val="00B07F7F"/>
    <w:rsid w:val="00B07F8D"/>
    <w:rsid w:val="00B1013F"/>
    <w:rsid w:val="00B10319"/>
    <w:rsid w:val="00B103A5"/>
    <w:rsid w:val="00B10824"/>
    <w:rsid w:val="00B108FA"/>
    <w:rsid w:val="00B10954"/>
    <w:rsid w:val="00B109E1"/>
    <w:rsid w:val="00B12289"/>
    <w:rsid w:val="00B1229C"/>
    <w:rsid w:val="00B123DD"/>
    <w:rsid w:val="00B12CA3"/>
    <w:rsid w:val="00B1305B"/>
    <w:rsid w:val="00B13177"/>
    <w:rsid w:val="00B13255"/>
    <w:rsid w:val="00B135B4"/>
    <w:rsid w:val="00B13834"/>
    <w:rsid w:val="00B13A69"/>
    <w:rsid w:val="00B13D62"/>
    <w:rsid w:val="00B14132"/>
    <w:rsid w:val="00B14177"/>
    <w:rsid w:val="00B141D9"/>
    <w:rsid w:val="00B1433B"/>
    <w:rsid w:val="00B144C1"/>
    <w:rsid w:val="00B149E0"/>
    <w:rsid w:val="00B15025"/>
    <w:rsid w:val="00B151B3"/>
    <w:rsid w:val="00B1534C"/>
    <w:rsid w:val="00B155F8"/>
    <w:rsid w:val="00B15C46"/>
    <w:rsid w:val="00B15D47"/>
    <w:rsid w:val="00B16207"/>
    <w:rsid w:val="00B16256"/>
    <w:rsid w:val="00B16AB5"/>
    <w:rsid w:val="00B174D4"/>
    <w:rsid w:val="00B17BBB"/>
    <w:rsid w:val="00B17D22"/>
    <w:rsid w:val="00B20909"/>
    <w:rsid w:val="00B21716"/>
    <w:rsid w:val="00B2178C"/>
    <w:rsid w:val="00B2243E"/>
    <w:rsid w:val="00B22693"/>
    <w:rsid w:val="00B22BD6"/>
    <w:rsid w:val="00B2301B"/>
    <w:rsid w:val="00B232ED"/>
    <w:rsid w:val="00B235C2"/>
    <w:rsid w:val="00B23B89"/>
    <w:rsid w:val="00B2480E"/>
    <w:rsid w:val="00B249C5"/>
    <w:rsid w:val="00B24B3D"/>
    <w:rsid w:val="00B24C7D"/>
    <w:rsid w:val="00B24E73"/>
    <w:rsid w:val="00B24FA3"/>
    <w:rsid w:val="00B250C9"/>
    <w:rsid w:val="00B251DC"/>
    <w:rsid w:val="00B254E8"/>
    <w:rsid w:val="00B25586"/>
    <w:rsid w:val="00B25DC5"/>
    <w:rsid w:val="00B25EB9"/>
    <w:rsid w:val="00B2614A"/>
    <w:rsid w:val="00B261B6"/>
    <w:rsid w:val="00B2638E"/>
    <w:rsid w:val="00B26733"/>
    <w:rsid w:val="00B26B97"/>
    <w:rsid w:val="00B26F5C"/>
    <w:rsid w:val="00B26FE0"/>
    <w:rsid w:val="00B270A2"/>
    <w:rsid w:val="00B2724D"/>
    <w:rsid w:val="00B2726A"/>
    <w:rsid w:val="00B27465"/>
    <w:rsid w:val="00B2748B"/>
    <w:rsid w:val="00B274AE"/>
    <w:rsid w:val="00B277B8"/>
    <w:rsid w:val="00B27DE7"/>
    <w:rsid w:val="00B27EEB"/>
    <w:rsid w:val="00B27FCA"/>
    <w:rsid w:val="00B30043"/>
    <w:rsid w:val="00B3007D"/>
    <w:rsid w:val="00B309B3"/>
    <w:rsid w:val="00B309C1"/>
    <w:rsid w:val="00B312CE"/>
    <w:rsid w:val="00B318F8"/>
    <w:rsid w:val="00B31FE0"/>
    <w:rsid w:val="00B32739"/>
    <w:rsid w:val="00B334E8"/>
    <w:rsid w:val="00B335F4"/>
    <w:rsid w:val="00B336F7"/>
    <w:rsid w:val="00B33AD1"/>
    <w:rsid w:val="00B33C3A"/>
    <w:rsid w:val="00B342C3"/>
    <w:rsid w:val="00B34304"/>
    <w:rsid w:val="00B344A2"/>
    <w:rsid w:val="00B346D8"/>
    <w:rsid w:val="00B34848"/>
    <w:rsid w:val="00B34C66"/>
    <w:rsid w:val="00B34E86"/>
    <w:rsid w:val="00B3515D"/>
    <w:rsid w:val="00B3536B"/>
    <w:rsid w:val="00B35A83"/>
    <w:rsid w:val="00B35E10"/>
    <w:rsid w:val="00B35EFE"/>
    <w:rsid w:val="00B36534"/>
    <w:rsid w:val="00B365B5"/>
    <w:rsid w:val="00B370ED"/>
    <w:rsid w:val="00B372D2"/>
    <w:rsid w:val="00B376C4"/>
    <w:rsid w:val="00B37798"/>
    <w:rsid w:val="00B37BAE"/>
    <w:rsid w:val="00B37C88"/>
    <w:rsid w:val="00B37F6A"/>
    <w:rsid w:val="00B40247"/>
    <w:rsid w:val="00B41138"/>
    <w:rsid w:val="00B411E8"/>
    <w:rsid w:val="00B4124A"/>
    <w:rsid w:val="00B41B3E"/>
    <w:rsid w:val="00B41F6C"/>
    <w:rsid w:val="00B42090"/>
    <w:rsid w:val="00B42AEF"/>
    <w:rsid w:val="00B42B3F"/>
    <w:rsid w:val="00B430FD"/>
    <w:rsid w:val="00B4386B"/>
    <w:rsid w:val="00B43C1E"/>
    <w:rsid w:val="00B43C4D"/>
    <w:rsid w:val="00B43CDA"/>
    <w:rsid w:val="00B4415E"/>
    <w:rsid w:val="00B44220"/>
    <w:rsid w:val="00B44287"/>
    <w:rsid w:val="00B44C00"/>
    <w:rsid w:val="00B44D79"/>
    <w:rsid w:val="00B44E7A"/>
    <w:rsid w:val="00B451F2"/>
    <w:rsid w:val="00B45E97"/>
    <w:rsid w:val="00B4615F"/>
    <w:rsid w:val="00B46355"/>
    <w:rsid w:val="00B4657D"/>
    <w:rsid w:val="00B465F3"/>
    <w:rsid w:val="00B46A6F"/>
    <w:rsid w:val="00B46B52"/>
    <w:rsid w:val="00B46B6C"/>
    <w:rsid w:val="00B46DA7"/>
    <w:rsid w:val="00B46F0B"/>
    <w:rsid w:val="00B4702E"/>
    <w:rsid w:val="00B47031"/>
    <w:rsid w:val="00B4726B"/>
    <w:rsid w:val="00B47371"/>
    <w:rsid w:val="00B474E8"/>
    <w:rsid w:val="00B47C1D"/>
    <w:rsid w:val="00B47C21"/>
    <w:rsid w:val="00B47CD5"/>
    <w:rsid w:val="00B47DC0"/>
    <w:rsid w:val="00B47F20"/>
    <w:rsid w:val="00B50524"/>
    <w:rsid w:val="00B5058C"/>
    <w:rsid w:val="00B5097E"/>
    <w:rsid w:val="00B509F8"/>
    <w:rsid w:val="00B50B8D"/>
    <w:rsid w:val="00B50C07"/>
    <w:rsid w:val="00B50E31"/>
    <w:rsid w:val="00B50E34"/>
    <w:rsid w:val="00B50F2D"/>
    <w:rsid w:val="00B511A0"/>
    <w:rsid w:val="00B5160B"/>
    <w:rsid w:val="00B5167A"/>
    <w:rsid w:val="00B519F5"/>
    <w:rsid w:val="00B51BB5"/>
    <w:rsid w:val="00B52386"/>
    <w:rsid w:val="00B524E6"/>
    <w:rsid w:val="00B52976"/>
    <w:rsid w:val="00B537BE"/>
    <w:rsid w:val="00B53B96"/>
    <w:rsid w:val="00B53D86"/>
    <w:rsid w:val="00B53DFB"/>
    <w:rsid w:val="00B53EA9"/>
    <w:rsid w:val="00B54311"/>
    <w:rsid w:val="00B543AC"/>
    <w:rsid w:val="00B54CF9"/>
    <w:rsid w:val="00B54E70"/>
    <w:rsid w:val="00B5512E"/>
    <w:rsid w:val="00B55881"/>
    <w:rsid w:val="00B55F9F"/>
    <w:rsid w:val="00B564AC"/>
    <w:rsid w:val="00B565AB"/>
    <w:rsid w:val="00B56C53"/>
    <w:rsid w:val="00B57141"/>
    <w:rsid w:val="00B57B1F"/>
    <w:rsid w:val="00B57C0A"/>
    <w:rsid w:val="00B57DDF"/>
    <w:rsid w:val="00B57EBA"/>
    <w:rsid w:val="00B600E7"/>
    <w:rsid w:val="00B60440"/>
    <w:rsid w:val="00B60805"/>
    <w:rsid w:val="00B6101F"/>
    <w:rsid w:val="00B6111C"/>
    <w:rsid w:val="00B6111D"/>
    <w:rsid w:val="00B617B4"/>
    <w:rsid w:val="00B61C97"/>
    <w:rsid w:val="00B61C9C"/>
    <w:rsid w:val="00B61DC7"/>
    <w:rsid w:val="00B61EB4"/>
    <w:rsid w:val="00B61F83"/>
    <w:rsid w:val="00B621C7"/>
    <w:rsid w:val="00B6241A"/>
    <w:rsid w:val="00B62947"/>
    <w:rsid w:val="00B631DC"/>
    <w:rsid w:val="00B6350C"/>
    <w:rsid w:val="00B6366D"/>
    <w:rsid w:val="00B637F6"/>
    <w:rsid w:val="00B642DF"/>
    <w:rsid w:val="00B64303"/>
    <w:rsid w:val="00B64C22"/>
    <w:rsid w:val="00B652F0"/>
    <w:rsid w:val="00B66693"/>
    <w:rsid w:val="00B66B39"/>
    <w:rsid w:val="00B66D2C"/>
    <w:rsid w:val="00B66D84"/>
    <w:rsid w:val="00B673C4"/>
    <w:rsid w:val="00B674F8"/>
    <w:rsid w:val="00B6771F"/>
    <w:rsid w:val="00B67C11"/>
    <w:rsid w:val="00B67CA1"/>
    <w:rsid w:val="00B700AF"/>
    <w:rsid w:val="00B70429"/>
    <w:rsid w:val="00B70518"/>
    <w:rsid w:val="00B70E68"/>
    <w:rsid w:val="00B716A4"/>
    <w:rsid w:val="00B716B3"/>
    <w:rsid w:val="00B718D8"/>
    <w:rsid w:val="00B71CF0"/>
    <w:rsid w:val="00B71DAB"/>
    <w:rsid w:val="00B72951"/>
    <w:rsid w:val="00B729E3"/>
    <w:rsid w:val="00B73364"/>
    <w:rsid w:val="00B73896"/>
    <w:rsid w:val="00B73B72"/>
    <w:rsid w:val="00B73E03"/>
    <w:rsid w:val="00B74026"/>
    <w:rsid w:val="00B740D1"/>
    <w:rsid w:val="00B743AA"/>
    <w:rsid w:val="00B743AE"/>
    <w:rsid w:val="00B74510"/>
    <w:rsid w:val="00B74691"/>
    <w:rsid w:val="00B747B7"/>
    <w:rsid w:val="00B74F8E"/>
    <w:rsid w:val="00B7528C"/>
    <w:rsid w:val="00B75603"/>
    <w:rsid w:val="00B75D66"/>
    <w:rsid w:val="00B765E4"/>
    <w:rsid w:val="00B76828"/>
    <w:rsid w:val="00B76B19"/>
    <w:rsid w:val="00B76BC2"/>
    <w:rsid w:val="00B77B47"/>
    <w:rsid w:val="00B805AE"/>
    <w:rsid w:val="00B805BE"/>
    <w:rsid w:val="00B8094A"/>
    <w:rsid w:val="00B80BA6"/>
    <w:rsid w:val="00B80E9B"/>
    <w:rsid w:val="00B81761"/>
    <w:rsid w:val="00B81DAA"/>
    <w:rsid w:val="00B8230C"/>
    <w:rsid w:val="00B824C0"/>
    <w:rsid w:val="00B8251E"/>
    <w:rsid w:val="00B82845"/>
    <w:rsid w:val="00B829DE"/>
    <w:rsid w:val="00B82DC0"/>
    <w:rsid w:val="00B82DF7"/>
    <w:rsid w:val="00B82FC2"/>
    <w:rsid w:val="00B83132"/>
    <w:rsid w:val="00B83820"/>
    <w:rsid w:val="00B83C13"/>
    <w:rsid w:val="00B83D78"/>
    <w:rsid w:val="00B83E7C"/>
    <w:rsid w:val="00B84185"/>
    <w:rsid w:val="00B842FF"/>
    <w:rsid w:val="00B848CF"/>
    <w:rsid w:val="00B84FF3"/>
    <w:rsid w:val="00B852A2"/>
    <w:rsid w:val="00B854E4"/>
    <w:rsid w:val="00B8587E"/>
    <w:rsid w:val="00B85AD5"/>
    <w:rsid w:val="00B85EAA"/>
    <w:rsid w:val="00B862B3"/>
    <w:rsid w:val="00B866EF"/>
    <w:rsid w:val="00B86778"/>
    <w:rsid w:val="00B8698B"/>
    <w:rsid w:val="00B86B03"/>
    <w:rsid w:val="00B86B07"/>
    <w:rsid w:val="00B86F5D"/>
    <w:rsid w:val="00B87449"/>
    <w:rsid w:val="00B875F5"/>
    <w:rsid w:val="00B87F95"/>
    <w:rsid w:val="00B90130"/>
    <w:rsid w:val="00B90584"/>
    <w:rsid w:val="00B9063E"/>
    <w:rsid w:val="00B91092"/>
    <w:rsid w:val="00B910C5"/>
    <w:rsid w:val="00B91284"/>
    <w:rsid w:val="00B91642"/>
    <w:rsid w:val="00B91B19"/>
    <w:rsid w:val="00B91BB9"/>
    <w:rsid w:val="00B91BF3"/>
    <w:rsid w:val="00B92153"/>
    <w:rsid w:val="00B9263D"/>
    <w:rsid w:val="00B92E1B"/>
    <w:rsid w:val="00B92FBB"/>
    <w:rsid w:val="00B939E4"/>
    <w:rsid w:val="00B94710"/>
    <w:rsid w:val="00B94917"/>
    <w:rsid w:val="00B94931"/>
    <w:rsid w:val="00B9506C"/>
    <w:rsid w:val="00B9544B"/>
    <w:rsid w:val="00B9579B"/>
    <w:rsid w:val="00B958D6"/>
    <w:rsid w:val="00B959AE"/>
    <w:rsid w:val="00B95CDB"/>
    <w:rsid w:val="00B95E84"/>
    <w:rsid w:val="00B95F86"/>
    <w:rsid w:val="00B9625E"/>
    <w:rsid w:val="00B96508"/>
    <w:rsid w:val="00B9656A"/>
    <w:rsid w:val="00B96682"/>
    <w:rsid w:val="00B976D6"/>
    <w:rsid w:val="00BA0392"/>
    <w:rsid w:val="00BA047A"/>
    <w:rsid w:val="00BA04DB"/>
    <w:rsid w:val="00BA07F4"/>
    <w:rsid w:val="00BA0C8E"/>
    <w:rsid w:val="00BA0D00"/>
    <w:rsid w:val="00BA1290"/>
    <w:rsid w:val="00BA14DC"/>
    <w:rsid w:val="00BA19E8"/>
    <w:rsid w:val="00BA1D93"/>
    <w:rsid w:val="00BA1E59"/>
    <w:rsid w:val="00BA278E"/>
    <w:rsid w:val="00BA2EAC"/>
    <w:rsid w:val="00BA33CF"/>
    <w:rsid w:val="00BA35F8"/>
    <w:rsid w:val="00BA3603"/>
    <w:rsid w:val="00BA36CA"/>
    <w:rsid w:val="00BA3705"/>
    <w:rsid w:val="00BA3777"/>
    <w:rsid w:val="00BA39BB"/>
    <w:rsid w:val="00BA3F40"/>
    <w:rsid w:val="00BA419F"/>
    <w:rsid w:val="00BA4308"/>
    <w:rsid w:val="00BA4490"/>
    <w:rsid w:val="00BA4615"/>
    <w:rsid w:val="00BA4962"/>
    <w:rsid w:val="00BA4A3D"/>
    <w:rsid w:val="00BA4A5E"/>
    <w:rsid w:val="00BA5129"/>
    <w:rsid w:val="00BA5202"/>
    <w:rsid w:val="00BA5633"/>
    <w:rsid w:val="00BA5947"/>
    <w:rsid w:val="00BA5AFA"/>
    <w:rsid w:val="00BA675C"/>
    <w:rsid w:val="00BA68A3"/>
    <w:rsid w:val="00BA6D86"/>
    <w:rsid w:val="00BA6DE4"/>
    <w:rsid w:val="00BA6DFE"/>
    <w:rsid w:val="00BA7788"/>
    <w:rsid w:val="00BA7DFE"/>
    <w:rsid w:val="00BB002B"/>
    <w:rsid w:val="00BB039C"/>
    <w:rsid w:val="00BB0458"/>
    <w:rsid w:val="00BB0E4E"/>
    <w:rsid w:val="00BB13F9"/>
    <w:rsid w:val="00BB14C8"/>
    <w:rsid w:val="00BB15F5"/>
    <w:rsid w:val="00BB1DA1"/>
    <w:rsid w:val="00BB1FCA"/>
    <w:rsid w:val="00BB2576"/>
    <w:rsid w:val="00BB26AF"/>
    <w:rsid w:val="00BB28CD"/>
    <w:rsid w:val="00BB29F9"/>
    <w:rsid w:val="00BB2AD2"/>
    <w:rsid w:val="00BB2BDC"/>
    <w:rsid w:val="00BB2E74"/>
    <w:rsid w:val="00BB2E7A"/>
    <w:rsid w:val="00BB3099"/>
    <w:rsid w:val="00BB309A"/>
    <w:rsid w:val="00BB38C7"/>
    <w:rsid w:val="00BB3B8D"/>
    <w:rsid w:val="00BB3DBA"/>
    <w:rsid w:val="00BB4223"/>
    <w:rsid w:val="00BB4AE1"/>
    <w:rsid w:val="00BB510A"/>
    <w:rsid w:val="00BB5615"/>
    <w:rsid w:val="00BB5C17"/>
    <w:rsid w:val="00BB5E63"/>
    <w:rsid w:val="00BB5ED6"/>
    <w:rsid w:val="00BB5F7B"/>
    <w:rsid w:val="00BB6095"/>
    <w:rsid w:val="00BB6126"/>
    <w:rsid w:val="00BB62F9"/>
    <w:rsid w:val="00BB6522"/>
    <w:rsid w:val="00BB6E70"/>
    <w:rsid w:val="00BB6E95"/>
    <w:rsid w:val="00BB6EE8"/>
    <w:rsid w:val="00BB70A1"/>
    <w:rsid w:val="00BB73EA"/>
    <w:rsid w:val="00BB7B70"/>
    <w:rsid w:val="00BB7BDA"/>
    <w:rsid w:val="00BB7CE6"/>
    <w:rsid w:val="00BB7EBC"/>
    <w:rsid w:val="00BC03CD"/>
    <w:rsid w:val="00BC05E6"/>
    <w:rsid w:val="00BC0A31"/>
    <w:rsid w:val="00BC0CE4"/>
    <w:rsid w:val="00BC0DFC"/>
    <w:rsid w:val="00BC0E1C"/>
    <w:rsid w:val="00BC0E74"/>
    <w:rsid w:val="00BC0F04"/>
    <w:rsid w:val="00BC0F0F"/>
    <w:rsid w:val="00BC181F"/>
    <w:rsid w:val="00BC1C9C"/>
    <w:rsid w:val="00BC1CEE"/>
    <w:rsid w:val="00BC2451"/>
    <w:rsid w:val="00BC275A"/>
    <w:rsid w:val="00BC2A6B"/>
    <w:rsid w:val="00BC2D27"/>
    <w:rsid w:val="00BC2D4E"/>
    <w:rsid w:val="00BC2EBF"/>
    <w:rsid w:val="00BC2F4A"/>
    <w:rsid w:val="00BC2FF2"/>
    <w:rsid w:val="00BC317E"/>
    <w:rsid w:val="00BC31A6"/>
    <w:rsid w:val="00BC331F"/>
    <w:rsid w:val="00BC36AB"/>
    <w:rsid w:val="00BC3BCA"/>
    <w:rsid w:val="00BC3F6B"/>
    <w:rsid w:val="00BC4121"/>
    <w:rsid w:val="00BC425B"/>
    <w:rsid w:val="00BC45EC"/>
    <w:rsid w:val="00BC48CC"/>
    <w:rsid w:val="00BC4ADE"/>
    <w:rsid w:val="00BC4C0F"/>
    <w:rsid w:val="00BC52E9"/>
    <w:rsid w:val="00BC5459"/>
    <w:rsid w:val="00BC57DD"/>
    <w:rsid w:val="00BC58FD"/>
    <w:rsid w:val="00BC5910"/>
    <w:rsid w:val="00BC5B61"/>
    <w:rsid w:val="00BC5FE5"/>
    <w:rsid w:val="00BC6166"/>
    <w:rsid w:val="00BC6487"/>
    <w:rsid w:val="00BC6969"/>
    <w:rsid w:val="00BC6ED7"/>
    <w:rsid w:val="00BC6F29"/>
    <w:rsid w:val="00BC70D2"/>
    <w:rsid w:val="00BC7597"/>
    <w:rsid w:val="00BC7AD1"/>
    <w:rsid w:val="00BC7E3B"/>
    <w:rsid w:val="00BC7E5D"/>
    <w:rsid w:val="00BC7F49"/>
    <w:rsid w:val="00BD038F"/>
    <w:rsid w:val="00BD05F7"/>
    <w:rsid w:val="00BD0B6D"/>
    <w:rsid w:val="00BD0BF2"/>
    <w:rsid w:val="00BD0D92"/>
    <w:rsid w:val="00BD0F6D"/>
    <w:rsid w:val="00BD0FC2"/>
    <w:rsid w:val="00BD11AA"/>
    <w:rsid w:val="00BD16EF"/>
    <w:rsid w:val="00BD1C98"/>
    <w:rsid w:val="00BD1F0A"/>
    <w:rsid w:val="00BD2033"/>
    <w:rsid w:val="00BD2AB9"/>
    <w:rsid w:val="00BD2D39"/>
    <w:rsid w:val="00BD2EC7"/>
    <w:rsid w:val="00BD3200"/>
    <w:rsid w:val="00BD3B54"/>
    <w:rsid w:val="00BD3E09"/>
    <w:rsid w:val="00BD3FB3"/>
    <w:rsid w:val="00BD40CC"/>
    <w:rsid w:val="00BD4190"/>
    <w:rsid w:val="00BD42C2"/>
    <w:rsid w:val="00BD4542"/>
    <w:rsid w:val="00BD483C"/>
    <w:rsid w:val="00BD49F0"/>
    <w:rsid w:val="00BD4FB6"/>
    <w:rsid w:val="00BD542E"/>
    <w:rsid w:val="00BD55A8"/>
    <w:rsid w:val="00BD594D"/>
    <w:rsid w:val="00BD5E58"/>
    <w:rsid w:val="00BD5FCC"/>
    <w:rsid w:val="00BD6424"/>
    <w:rsid w:val="00BD6797"/>
    <w:rsid w:val="00BD68BE"/>
    <w:rsid w:val="00BD6D79"/>
    <w:rsid w:val="00BD6FD4"/>
    <w:rsid w:val="00BD703F"/>
    <w:rsid w:val="00BD72A0"/>
    <w:rsid w:val="00BD7581"/>
    <w:rsid w:val="00BD7803"/>
    <w:rsid w:val="00BD7BEB"/>
    <w:rsid w:val="00BE01E3"/>
    <w:rsid w:val="00BE021E"/>
    <w:rsid w:val="00BE0ABC"/>
    <w:rsid w:val="00BE0F39"/>
    <w:rsid w:val="00BE125E"/>
    <w:rsid w:val="00BE152B"/>
    <w:rsid w:val="00BE1765"/>
    <w:rsid w:val="00BE17BC"/>
    <w:rsid w:val="00BE1C99"/>
    <w:rsid w:val="00BE2AE0"/>
    <w:rsid w:val="00BE2D20"/>
    <w:rsid w:val="00BE2D93"/>
    <w:rsid w:val="00BE32BE"/>
    <w:rsid w:val="00BE3955"/>
    <w:rsid w:val="00BE419A"/>
    <w:rsid w:val="00BE436E"/>
    <w:rsid w:val="00BE4A3F"/>
    <w:rsid w:val="00BE4BCB"/>
    <w:rsid w:val="00BE4BD2"/>
    <w:rsid w:val="00BE5710"/>
    <w:rsid w:val="00BE5F83"/>
    <w:rsid w:val="00BE6104"/>
    <w:rsid w:val="00BE6359"/>
    <w:rsid w:val="00BE65D2"/>
    <w:rsid w:val="00BE65FB"/>
    <w:rsid w:val="00BE6859"/>
    <w:rsid w:val="00BE6991"/>
    <w:rsid w:val="00BE706D"/>
    <w:rsid w:val="00BE72B1"/>
    <w:rsid w:val="00BE7658"/>
    <w:rsid w:val="00BE772A"/>
    <w:rsid w:val="00BE772F"/>
    <w:rsid w:val="00BE7923"/>
    <w:rsid w:val="00BE7AD3"/>
    <w:rsid w:val="00BE7DC5"/>
    <w:rsid w:val="00BE7EBF"/>
    <w:rsid w:val="00BF00C4"/>
    <w:rsid w:val="00BF01B0"/>
    <w:rsid w:val="00BF06A4"/>
    <w:rsid w:val="00BF0C83"/>
    <w:rsid w:val="00BF0C98"/>
    <w:rsid w:val="00BF0F3B"/>
    <w:rsid w:val="00BF13D5"/>
    <w:rsid w:val="00BF17EF"/>
    <w:rsid w:val="00BF206B"/>
    <w:rsid w:val="00BF20B6"/>
    <w:rsid w:val="00BF21AE"/>
    <w:rsid w:val="00BF2C2E"/>
    <w:rsid w:val="00BF2EE9"/>
    <w:rsid w:val="00BF306E"/>
    <w:rsid w:val="00BF3363"/>
    <w:rsid w:val="00BF3645"/>
    <w:rsid w:val="00BF38AC"/>
    <w:rsid w:val="00BF3C06"/>
    <w:rsid w:val="00BF3C64"/>
    <w:rsid w:val="00BF3C91"/>
    <w:rsid w:val="00BF3D7A"/>
    <w:rsid w:val="00BF4016"/>
    <w:rsid w:val="00BF46FF"/>
    <w:rsid w:val="00BF4725"/>
    <w:rsid w:val="00BF4950"/>
    <w:rsid w:val="00BF4A72"/>
    <w:rsid w:val="00BF4EA7"/>
    <w:rsid w:val="00BF4F72"/>
    <w:rsid w:val="00BF5298"/>
    <w:rsid w:val="00BF556C"/>
    <w:rsid w:val="00BF568C"/>
    <w:rsid w:val="00BF58E1"/>
    <w:rsid w:val="00BF58FE"/>
    <w:rsid w:val="00BF5C34"/>
    <w:rsid w:val="00BF6043"/>
    <w:rsid w:val="00BF62EC"/>
    <w:rsid w:val="00BF66FA"/>
    <w:rsid w:val="00BF6BA6"/>
    <w:rsid w:val="00BF6EA8"/>
    <w:rsid w:val="00BF712B"/>
    <w:rsid w:val="00BF78B4"/>
    <w:rsid w:val="00C00098"/>
    <w:rsid w:val="00C003C4"/>
    <w:rsid w:val="00C0070F"/>
    <w:rsid w:val="00C01D55"/>
    <w:rsid w:val="00C01EC2"/>
    <w:rsid w:val="00C02142"/>
    <w:rsid w:val="00C022EB"/>
    <w:rsid w:val="00C0275A"/>
    <w:rsid w:val="00C02DB2"/>
    <w:rsid w:val="00C02FA8"/>
    <w:rsid w:val="00C0300D"/>
    <w:rsid w:val="00C033AC"/>
    <w:rsid w:val="00C033D0"/>
    <w:rsid w:val="00C0341F"/>
    <w:rsid w:val="00C0355A"/>
    <w:rsid w:val="00C0363A"/>
    <w:rsid w:val="00C038B8"/>
    <w:rsid w:val="00C03A2E"/>
    <w:rsid w:val="00C03F84"/>
    <w:rsid w:val="00C0448A"/>
    <w:rsid w:val="00C0475E"/>
    <w:rsid w:val="00C04849"/>
    <w:rsid w:val="00C04AB6"/>
    <w:rsid w:val="00C05047"/>
    <w:rsid w:val="00C054E5"/>
    <w:rsid w:val="00C05809"/>
    <w:rsid w:val="00C05887"/>
    <w:rsid w:val="00C05C59"/>
    <w:rsid w:val="00C05E24"/>
    <w:rsid w:val="00C06288"/>
    <w:rsid w:val="00C06350"/>
    <w:rsid w:val="00C06502"/>
    <w:rsid w:val="00C06940"/>
    <w:rsid w:val="00C069CA"/>
    <w:rsid w:val="00C06C2F"/>
    <w:rsid w:val="00C07142"/>
    <w:rsid w:val="00C0780E"/>
    <w:rsid w:val="00C0783C"/>
    <w:rsid w:val="00C07994"/>
    <w:rsid w:val="00C07CCF"/>
    <w:rsid w:val="00C07DBB"/>
    <w:rsid w:val="00C1018F"/>
    <w:rsid w:val="00C1049C"/>
    <w:rsid w:val="00C10707"/>
    <w:rsid w:val="00C10736"/>
    <w:rsid w:val="00C10D32"/>
    <w:rsid w:val="00C10FA2"/>
    <w:rsid w:val="00C11AAA"/>
    <w:rsid w:val="00C11AE3"/>
    <w:rsid w:val="00C11BC3"/>
    <w:rsid w:val="00C11EC4"/>
    <w:rsid w:val="00C122CC"/>
    <w:rsid w:val="00C1231C"/>
    <w:rsid w:val="00C12563"/>
    <w:rsid w:val="00C12F40"/>
    <w:rsid w:val="00C13250"/>
    <w:rsid w:val="00C13352"/>
    <w:rsid w:val="00C13533"/>
    <w:rsid w:val="00C13605"/>
    <w:rsid w:val="00C13A13"/>
    <w:rsid w:val="00C13A6D"/>
    <w:rsid w:val="00C13C7F"/>
    <w:rsid w:val="00C13CB0"/>
    <w:rsid w:val="00C13EFC"/>
    <w:rsid w:val="00C14356"/>
    <w:rsid w:val="00C144F6"/>
    <w:rsid w:val="00C14E25"/>
    <w:rsid w:val="00C14E6F"/>
    <w:rsid w:val="00C154F0"/>
    <w:rsid w:val="00C15665"/>
    <w:rsid w:val="00C15930"/>
    <w:rsid w:val="00C15DC8"/>
    <w:rsid w:val="00C15F0B"/>
    <w:rsid w:val="00C15FDB"/>
    <w:rsid w:val="00C161D8"/>
    <w:rsid w:val="00C16251"/>
    <w:rsid w:val="00C163B9"/>
    <w:rsid w:val="00C1666E"/>
    <w:rsid w:val="00C170AC"/>
    <w:rsid w:val="00C1796E"/>
    <w:rsid w:val="00C17A04"/>
    <w:rsid w:val="00C17A35"/>
    <w:rsid w:val="00C17B96"/>
    <w:rsid w:val="00C17C22"/>
    <w:rsid w:val="00C17EF8"/>
    <w:rsid w:val="00C20212"/>
    <w:rsid w:val="00C20694"/>
    <w:rsid w:val="00C2084E"/>
    <w:rsid w:val="00C20B9A"/>
    <w:rsid w:val="00C20E19"/>
    <w:rsid w:val="00C20F22"/>
    <w:rsid w:val="00C21063"/>
    <w:rsid w:val="00C2117F"/>
    <w:rsid w:val="00C212CC"/>
    <w:rsid w:val="00C21565"/>
    <w:rsid w:val="00C21E39"/>
    <w:rsid w:val="00C2226F"/>
    <w:rsid w:val="00C223FA"/>
    <w:rsid w:val="00C22468"/>
    <w:rsid w:val="00C224AF"/>
    <w:rsid w:val="00C227C9"/>
    <w:rsid w:val="00C22836"/>
    <w:rsid w:val="00C22D90"/>
    <w:rsid w:val="00C22E36"/>
    <w:rsid w:val="00C231BA"/>
    <w:rsid w:val="00C23D30"/>
    <w:rsid w:val="00C240DF"/>
    <w:rsid w:val="00C244B8"/>
    <w:rsid w:val="00C24866"/>
    <w:rsid w:val="00C248B8"/>
    <w:rsid w:val="00C24985"/>
    <w:rsid w:val="00C24B24"/>
    <w:rsid w:val="00C24CE2"/>
    <w:rsid w:val="00C25246"/>
    <w:rsid w:val="00C25366"/>
    <w:rsid w:val="00C25976"/>
    <w:rsid w:val="00C25EAB"/>
    <w:rsid w:val="00C26036"/>
    <w:rsid w:val="00C2638A"/>
    <w:rsid w:val="00C26485"/>
    <w:rsid w:val="00C26A10"/>
    <w:rsid w:val="00C26D0B"/>
    <w:rsid w:val="00C27109"/>
    <w:rsid w:val="00C2796F"/>
    <w:rsid w:val="00C302FD"/>
    <w:rsid w:val="00C3075E"/>
    <w:rsid w:val="00C30BAD"/>
    <w:rsid w:val="00C30DE6"/>
    <w:rsid w:val="00C30EEC"/>
    <w:rsid w:val="00C3108C"/>
    <w:rsid w:val="00C31B88"/>
    <w:rsid w:val="00C31EB0"/>
    <w:rsid w:val="00C32091"/>
    <w:rsid w:val="00C320CB"/>
    <w:rsid w:val="00C3261E"/>
    <w:rsid w:val="00C32640"/>
    <w:rsid w:val="00C32729"/>
    <w:rsid w:val="00C329C7"/>
    <w:rsid w:val="00C32B26"/>
    <w:rsid w:val="00C32EC1"/>
    <w:rsid w:val="00C32F53"/>
    <w:rsid w:val="00C32FC5"/>
    <w:rsid w:val="00C33136"/>
    <w:rsid w:val="00C335CB"/>
    <w:rsid w:val="00C33830"/>
    <w:rsid w:val="00C338BC"/>
    <w:rsid w:val="00C33A25"/>
    <w:rsid w:val="00C33E88"/>
    <w:rsid w:val="00C3412A"/>
    <w:rsid w:val="00C348C9"/>
    <w:rsid w:val="00C350E6"/>
    <w:rsid w:val="00C35792"/>
    <w:rsid w:val="00C358EC"/>
    <w:rsid w:val="00C35FA4"/>
    <w:rsid w:val="00C360F5"/>
    <w:rsid w:val="00C364BC"/>
    <w:rsid w:val="00C3696C"/>
    <w:rsid w:val="00C36FB4"/>
    <w:rsid w:val="00C36FE3"/>
    <w:rsid w:val="00C3734A"/>
    <w:rsid w:val="00C373F0"/>
    <w:rsid w:val="00C40036"/>
    <w:rsid w:val="00C40284"/>
    <w:rsid w:val="00C40297"/>
    <w:rsid w:val="00C40415"/>
    <w:rsid w:val="00C40872"/>
    <w:rsid w:val="00C40F12"/>
    <w:rsid w:val="00C411AA"/>
    <w:rsid w:val="00C4129B"/>
    <w:rsid w:val="00C41454"/>
    <w:rsid w:val="00C4173F"/>
    <w:rsid w:val="00C41A16"/>
    <w:rsid w:val="00C4246A"/>
    <w:rsid w:val="00C4259F"/>
    <w:rsid w:val="00C427E4"/>
    <w:rsid w:val="00C42AD7"/>
    <w:rsid w:val="00C430EE"/>
    <w:rsid w:val="00C43236"/>
    <w:rsid w:val="00C432DF"/>
    <w:rsid w:val="00C4348A"/>
    <w:rsid w:val="00C434BD"/>
    <w:rsid w:val="00C436A0"/>
    <w:rsid w:val="00C437F0"/>
    <w:rsid w:val="00C43950"/>
    <w:rsid w:val="00C43A2F"/>
    <w:rsid w:val="00C442FD"/>
    <w:rsid w:val="00C44E46"/>
    <w:rsid w:val="00C4505A"/>
    <w:rsid w:val="00C45365"/>
    <w:rsid w:val="00C4551A"/>
    <w:rsid w:val="00C45525"/>
    <w:rsid w:val="00C4572F"/>
    <w:rsid w:val="00C4597F"/>
    <w:rsid w:val="00C45E6C"/>
    <w:rsid w:val="00C45ED2"/>
    <w:rsid w:val="00C4673C"/>
    <w:rsid w:val="00C46885"/>
    <w:rsid w:val="00C468AB"/>
    <w:rsid w:val="00C46E38"/>
    <w:rsid w:val="00C473E3"/>
    <w:rsid w:val="00C47A7C"/>
    <w:rsid w:val="00C47D35"/>
    <w:rsid w:val="00C47D99"/>
    <w:rsid w:val="00C47E30"/>
    <w:rsid w:val="00C47EB6"/>
    <w:rsid w:val="00C47FA2"/>
    <w:rsid w:val="00C5060E"/>
    <w:rsid w:val="00C50926"/>
    <w:rsid w:val="00C50CCF"/>
    <w:rsid w:val="00C50FA6"/>
    <w:rsid w:val="00C515D0"/>
    <w:rsid w:val="00C519E5"/>
    <w:rsid w:val="00C51B96"/>
    <w:rsid w:val="00C51CA7"/>
    <w:rsid w:val="00C51E01"/>
    <w:rsid w:val="00C51F5E"/>
    <w:rsid w:val="00C5217E"/>
    <w:rsid w:val="00C52745"/>
    <w:rsid w:val="00C52BBB"/>
    <w:rsid w:val="00C52BF3"/>
    <w:rsid w:val="00C5329C"/>
    <w:rsid w:val="00C53908"/>
    <w:rsid w:val="00C53C10"/>
    <w:rsid w:val="00C542F0"/>
    <w:rsid w:val="00C5444D"/>
    <w:rsid w:val="00C54D9E"/>
    <w:rsid w:val="00C555D1"/>
    <w:rsid w:val="00C559BF"/>
    <w:rsid w:val="00C55C76"/>
    <w:rsid w:val="00C56094"/>
    <w:rsid w:val="00C56E8F"/>
    <w:rsid w:val="00C56F2D"/>
    <w:rsid w:val="00C56F56"/>
    <w:rsid w:val="00C5705A"/>
    <w:rsid w:val="00C572F8"/>
    <w:rsid w:val="00C57E86"/>
    <w:rsid w:val="00C57EDA"/>
    <w:rsid w:val="00C6044C"/>
    <w:rsid w:val="00C607F1"/>
    <w:rsid w:val="00C60913"/>
    <w:rsid w:val="00C60A5E"/>
    <w:rsid w:val="00C60B0C"/>
    <w:rsid w:val="00C60BA3"/>
    <w:rsid w:val="00C60D5E"/>
    <w:rsid w:val="00C6116F"/>
    <w:rsid w:val="00C61295"/>
    <w:rsid w:val="00C61957"/>
    <w:rsid w:val="00C6214E"/>
    <w:rsid w:val="00C62314"/>
    <w:rsid w:val="00C6261A"/>
    <w:rsid w:val="00C627FC"/>
    <w:rsid w:val="00C62B15"/>
    <w:rsid w:val="00C62D37"/>
    <w:rsid w:val="00C6304C"/>
    <w:rsid w:val="00C6313E"/>
    <w:rsid w:val="00C63291"/>
    <w:rsid w:val="00C63533"/>
    <w:rsid w:val="00C635A6"/>
    <w:rsid w:val="00C635CC"/>
    <w:rsid w:val="00C64044"/>
    <w:rsid w:val="00C647AD"/>
    <w:rsid w:val="00C649BF"/>
    <w:rsid w:val="00C64C0F"/>
    <w:rsid w:val="00C64C22"/>
    <w:rsid w:val="00C64EFD"/>
    <w:rsid w:val="00C65005"/>
    <w:rsid w:val="00C653F9"/>
    <w:rsid w:val="00C654AB"/>
    <w:rsid w:val="00C6610C"/>
    <w:rsid w:val="00C663A3"/>
    <w:rsid w:val="00C663D8"/>
    <w:rsid w:val="00C668C0"/>
    <w:rsid w:val="00C66D55"/>
    <w:rsid w:val="00C66DBC"/>
    <w:rsid w:val="00C66E1B"/>
    <w:rsid w:val="00C672AD"/>
    <w:rsid w:val="00C676BC"/>
    <w:rsid w:val="00C67B2D"/>
    <w:rsid w:val="00C67B84"/>
    <w:rsid w:val="00C67D3D"/>
    <w:rsid w:val="00C70348"/>
    <w:rsid w:val="00C706C7"/>
    <w:rsid w:val="00C708EC"/>
    <w:rsid w:val="00C70C8F"/>
    <w:rsid w:val="00C70E75"/>
    <w:rsid w:val="00C71009"/>
    <w:rsid w:val="00C71330"/>
    <w:rsid w:val="00C71C3B"/>
    <w:rsid w:val="00C71DB8"/>
    <w:rsid w:val="00C71F48"/>
    <w:rsid w:val="00C72634"/>
    <w:rsid w:val="00C73338"/>
    <w:rsid w:val="00C734CA"/>
    <w:rsid w:val="00C7391F"/>
    <w:rsid w:val="00C73BFB"/>
    <w:rsid w:val="00C73DE6"/>
    <w:rsid w:val="00C73E32"/>
    <w:rsid w:val="00C73EDD"/>
    <w:rsid w:val="00C74051"/>
    <w:rsid w:val="00C74670"/>
    <w:rsid w:val="00C747BE"/>
    <w:rsid w:val="00C74836"/>
    <w:rsid w:val="00C74B0B"/>
    <w:rsid w:val="00C753E6"/>
    <w:rsid w:val="00C7566C"/>
    <w:rsid w:val="00C75B5E"/>
    <w:rsid w:val="00C75CCF"/>
    <w:rsid w:val="00C760EA"/>
    <w:rsid w:val="00C7654E"/>
    <w:rsid w:val="00C7655B"/>
    <w:rsid w:val="00C76805"/>
    <w:rsid w:val="00C7685D"/>
    <w:rsid w:val="00C76D43"/>
    <w:rsid w:val="00C76D52"/>
    <w:rsid w:val="00C76D82"/>
    <w:rsid w:val="00C7711E"/>
    <w:rsid w:val="00C77238"/>
    <w:rsid w:val="00C774EC"/>
    <w:rsid w:val="00C7764B"/>
    <w:rsid w:val="00C776C0"/>
    <w:rsid w:val="00C77D11"/>
    <w:rsid w:val="00C77D47"/>
    <w:rsid w:val="00C77EDF"/>
    <w:rsid w:val="00C8025F"/>
    <w:rsid w:val="00C802A3"/>
    <w:rsid w:val="00C80B8E"/>
    <w:rsid w:val="00C80F25"/>
    <w:rsid w:val="00C81248"/>
    <w:rsid w:val="00C816ED"/>
    <w:rsid w:val="00C8189E"/>
    <w:rsid w:val="00C81CD2"/>
    <w:rsid w:val="00C8223A"/>
    <w:rsid w:val="00C822D5"/>
    <w:rsid w:val="00C82B46"/>
    <w:rsid w:val="00C82E26"/>
    <w:rsid w:val="00C8337E"/>
    <w:rsid w:val="00C833FF"/>
    <w:rsid w:val="00C8340E"/>
    <w:rsid w:val="00C84017"/>
    <w:rsid w:val="00C84039"/>
    <w:rsid w:val="00C842A9"/>
    <w:rsid w:val="00C842BE"/>
    <w:rsid w:val="00C84336"/>
    <w:rsid w:val="00C8461B"/>
    <w:rsid w:val="00C846FE"/>
    <w:rsid w:val="00C849B4"/>
    <w:rsid w:val="00C84E3A"/>
    <w:rsid w:val="00C85A44"/>
    <w:rsid w:val="00C85BB5"/>
    <w:rsid w:val="00C85F9E"/>
    <w:rsid w:val="00C860A3"/>
    <w:rsid w:val="00C861E0"/>
    <w:rsid w:val="00C862C5"/>
    <w:rsid w:val="00C86E70"/>
    <w:rsid w:val="00C86FBC"/>
    <w:rsid w:val="00C87144"/>
    <w:rsid w:val="00C871D1"/>
    <w:rsid w:val="00C874CF"/>
    <w:rsid w:val="00C8754A"/>
    <w:rsid w:val="00C876FA"/>
    <w:rsid w:val="00C87AAD"/>
    <w:rsid w:val="00C90023"/>
    <w:rsid w:val="00C901F0"/>
    <w:rsid w:val="00C90254"/>
    <w:rsid w:val="00C90567"/>
    <w:rsid w:val="00C905D8"/>
    <w:rsid w:val="00C90834"/>
    <w:rsid w:val="00C90D25"/>
    <w:rsid w:val="00C91653"/>
    <w:rsid w:val="00C91746"/>
    <w:rsid w:val="00C91986"/>
    <w:rsid w:val="00C921D8"/>
    <w:rsid w:val="00C9237C"/>
    <w:rsid w:val="00C924C5"/>
    <w:rsid w:val="00C925D8"/>
    <w:rsid w:val="00C92A21"/>
    <w:rsid w:val="00C92BB3"/>
    <w:rsid w:val="00C92D02"/>
    <w:rsid w:val="00C92E08"/>
    <w:rsid w:val="00C930C9"/>
    <w:rsid w:val="00C938A5"/>
    <w:rsid w:val="00C93CB8"/>
    <w:rsid w:val="00C93DCC"/>
    <w:rsid w:val="00C94780"/>
    <w:rsid w:val="00C947EF"/>
    <w:rsid w:val="00C94811"/>
    <w:rsid w:val="00C948E8"/>
    <w:rsid w:val="00C949B0"/>
    <w:rsid w:val="00C94A57"/>
    <w:rsid w:val="00C94D37"/>
    <w:rsid w:val="00C95086"/>
    <w:rsid w:val="00C951BB"/>
    <w:rsid w:val="00C95246"/>
    <w:rsid w:val="00C95519"/>
    <w:rsid w:val="00C95D2E"/>
    <w:rsid w:val="00C9621E"/>
    <w:rsid w:val="00C96687"/>
    <w:rsid w:val="00C96915"/>
    <w:rsid w:val="00C969D8"/>
    <w:rsid w:val="00C96D27"/>
    <w:rsid w:val="00C96DEB"/>
    <w:rsid w:val="00C96EE9"/>
    <w:rsid w:val="00C96EFB"/>
    <w:rsid w:val="00C970E8"/>
    <w:rsid w:val="00C97318"/>
    <w:rsid w:val="00C97728"/>
    <w:rsid w:val="00C9773F"/>
    <w:rsid w:val="00C97842"/>
    <w:rsid w:val="00C97D84"/>
    <w:rsid w:val="00C97F81"/>
    <w:rsid w:val="00CA0252"/>
    <w:rsid w:val="00CA1246"/>
    <w:rsid w:val="00CA16F3"/>
    <w:rsid w:val="00CA1734"/>
    <w:rsid w:val="00CA1E5F"/>
    <w:rsid w:val="00CA1ED4"/>
    <w:rsid w:val="00CA2409"/>
    <w:rsid w:val="00CA24CC"/>
    <w:rsid w:val="00CA2777"/>
    <w:rsid w:val="00CA2BEB"/>
    <w:rsid w:val="00CA2C09"/>
    <w:rsid w:val="00CA2C32"/>
    <w:rsid w:val="00CA300A"/>
    <w:rsid w:val="00CA33F7"/>
    <w:rsid w:val="00CA3500"/>
    <w:rsid w:val="00CA36BC"/>
    <w:rsid w:val="00CA3DAC"/>
    <w:rsid w:val="00CA3E80"/>
    <w:rsid w:val="00CA4635"/>
    <w:rsid w:val="00CA4A12"/>
    <w:rsid w:val="00CA4B67"/>
    <w:rsid w:val="00CA507A"/>
    <w:rsid w:val="00CA52F7"/>
    <w:rsid w:val="00CA538A"/>
    <w:rsid w:val="00CA56E3"/>
    <w:rsid w:val="00CA5A98"/>
    <w:rsid w:val="00CA5AD9"/>
    <w:rsid w:val="00CA5D1F"/>
    <w:rsid w:val="00CA5E5A"/>
    <w:rsid w:val="00CA6278"/>
    <w:rsid w:val="00CA63D4"/>
    <w:rsid w:val="00CA65F1"/>
    <w:rsid w:val="00CA6EF7"/>
    <w:rsid w:val="00CA7081"/>
    <w:rsid w:val="00CA7AF3"/>
    <w:rsid w:val="00CB02AF"/>
    <w:rsid w:val="00CB06E1"/>
    <w:rsid w:val="00CB0915"/>
    <w:rsid w:val="00CB099E"/>
    <w:rsid w:val="00CB09E6"/>
    <w:rsid w:val="00CB11B0"/>
    <w:rsid w:val="00CB155F"/>
    <w:rsid w:val="00CB179B"/>
    <w:rsid w:val="00CB1AB1"/>
    <w:rsid w:val="00CB1D7D"/>
    <w:rsid w:val="00CB1E04"/>
    <w:rsid w:val="00CB2089"/>
    <w:rsid w:val="00CB20FD"/>
    <w:rsid w:val="00CB239D"/>
    <w:rsid w:val="00CB23B9"/>
    <w:rsid w:val="00CB2625"/>
    <w:rsid w:val="00CB2718"/>
    <w:rsid w:val="00CB2820"/>
    <w:rsid w:val="00CB2903"/>
    <w:rsid w:val="00CB292C"/>
    <w:rsid w:val="00CB2AED"/>
    <w:rsid w:val="00CB318C"/>
    <w:rsid w:val="00CB341A"/>
    <w:rsid w:val="00CB3602"/>
    <w:rsid w:val="00CB37D7"/>
    <w:rsid w:val="00CB380F"/>
    <w:rsid w:val="00CB3BF9"/>
    <w:rsid w:val="00CB3F12"/>
    <w:rsid w:val="00CB3F4A"/>
    <w:rsid w:val="00CB43DA"/>
    <w:rsid w:val="00CB4453"/>
    <w:rsid w:val="00CB4545"/>
    <w:rsid w:val="00CB4580"/>
    <w:rsid w:val="00CB4669"/>
    <w:rsid w:val="00CB4678"/>
    <w:rsid w:val="00CB47B1"/>
    <w:rsid w:val="00CB53FC"/>
    <w:rsid w:val="00CB5515"/>
    <w:rsid w:val="00CB5559"/>
    <w:rsid w:val="00CB58EB"/>
    <w:rsid w:val="00CB5BDD"/>
    <w:rsid w:val="00CB5CFD"/>
    <w:rsid w:val="00CB5F02"/>
    <w:rsid w:val="00CB5F84"/>
    <w:rsid w:val="00CB613E"/>
    <w:rsid w:val="00CB6436"/>
    <w:rsid w:val="00CB64C3"/>
    <w:rsid w:val="00CB6AA0"/>
    <w:rsid w:val="00CB7029"/>
    <w:rsid w:val="00CB70ED"/>
    <w:rsid w:val="00CB75CC"/>
    <w:rsid w:val="00CB76DC"/>
    <w:rsid w:val="00CB78C9"/>
    <w:rsid w:val="00CB7923"/>
    <w:rsid w:val="00CB7A71"/>
    <w:rsid w:val="00CB7F9A"/>
    <w:rsid w:val="00CC0E85"/>
    <w:rsid w:val="00CC10C9"/>
    <w:rsid w:val="00CC1152"/>
    <w:rsid w:val="00CC1594"/>
    <w:rsid w:val="00CC15B0"/>
    <w:rsid w:val="00CC1641"/>
    <w:rsid w:val="00CC18AB"/>
    <w:rsid w:val="00CC19BE"/>
    <w:rsid w:val="00CC1AC2"/>
    <w:rsid w:val="00CC1B6F"/>
    <w:rsid w:val="00CC2364"/>
    <w:rsid w:val="00CC278B"/>
    <w:rsid w:val="00CC2877"/>
    <w:rsid w:val="00CC2A6D"/>
    <w:rsid w:val="00CC2B09"/>
    <w:rsid w:val="00CC2E24"/>
    <w:rsid w:val="00CC359D"/>
    <w:rsid w:val="00CC3C48"/>
    <w:rsid w:val="00CC3E28"/>
    <w:rsid w:val="00CC3E73"/>
    <w:rsid w:val="00CC3ED9"/>
    <w:rsid w:val="00CC433D"/>
    <w:rsid w:val="00CC458B"/>
    <w:rsid w:val="00CC45EF"/>
    <w:rsid w:val="00CC4724"/>
    <w:rsid w:val="00CC4B47"/>
    <w:rsid w:val="00CC4C41"/>
    <w:rsid w:val="00CC4D3C"/>
    <w:rsid w:val="00CC4DDD"/>
    <w:rsid w:val="00CC588F"/>
    <w:rsid w:val="00CC59E8"/>
    <w:rsid w:val="00CC6134"/>
    <w:rsid w:val="00CC6334"/>
    <w:rsid w:val="00CC638D"/>
    <w:rsid w:val="00CC6434"/>
    <w:rsid w:val="00CC6624"/>
    <w:rsid w:val="00CC6D46"/>
    <w:rsid w:val="00CC707F"/>
    <w:rsid w:val="00CC70A4"/>
    <w:rsid w:val="00CC752A"/>
    <w:rsid w:val="00CC76E6"/>
    <w:rsid w:val="00CC7E0A"/>
    <w:rsid w:val="00CD034B"/>
    <w:rsid w:val="00CD05DD"/>
    <w:rsid w:val="00CD073F"/>
    <w:rsid w:val="00CD115A"/>
    <w:rsid w:val="00CD15FC"/>
    <w:rsid w:val="00CD1AC0"/>
    <w:rsid w:val="00CD1ACB"/>
    <w:rsid w:val="00CD1C28"/>
    <w:rsid w:val="00CD272D"/>
    <w:rsid w:val="00CD2D3A"/>
    <w:rsid w:val="00CD2FC3"/>
    <w:rsid w:val="00CD30A3"/>
    <w:rsid w:val="00CD3294"/>
    <w:rsid w:val="00CD3347"/>
    <w:rsid w:val="00CD37BE"/>
    <w:rsid w:val="00CD3AF1"/>
    <w:rsid w:val="00CD3D86"/>
    <w:rsid w:val="00CD3D8F"/>
    <w:rsid w:val="00CD4719"/>
    <w:rsid w:val="00CD484D"/>
    <w:rsid w:val="00CD58BC"/>
    <w:rsid w:val="00CD5AB8"/>
    <w:rsid w:val="00CD65A4"/>
    <w:rsid w:val="00CD6741"/>
    <w:rsid w:val="00CD682A"/>
    <w:rsid w:val="00CD729C"/>
    <w:rsid w:val="00CD73BC"/>
    <w:rsid w:val="00CD7541"/>
    <w:rsid w:val="00CD7810"/>
    <w:rsid w:val="00CD7872"/>
    <w:rsid w:val="00CD7973"/>
    <w:rsid w:val="00CD798D"/>
    <w:rsid w:val="00CD7B0C"/>
    <w:rsid w:val="00CD7D2F"/>
    <w:rsid w:val="00CE0299"/>
    <w:rsid w:val="00CE03C9"/>
    <w:rsid w:val="00CE04E1"/>
    <w:rsid w:val="00CE05D6"/>
    <w:rsid w:val="00CE0775"/>
    <w:rsid w:val="00CE08E1"/>
    <w:rsid w:val="00CE0AD9"/>
    <w:rsid w:val="00CE0D08"/>
    <w:rsid w:val="00CE11F7"/>
    <w:rsid w:val="00CE1492"/>
    <w:rsid w:val="00CE16B0"/>
    <w:rsid w:val="00CE191C"/>
    <w:rsid w:val="00CE1A52"/>
    <w:rsid w:val="00CE1AF8"/>
    <w:rsid w:val="00CE1DF0"/>
    <w:rsid w:val="00CE246D"/>
    <w:rsid w:val="00CE2E21"/>
    <w:rsid w:val="00CE2E6C"/>
    <w:rsid w:val="00CE3528"/>
    <w:rsid w:val="00CE3630"/>
    <w:rsid w:val="00CE385A"/>
    <w:rsid w:val="00CE391B"/>
    <w:rsid w:val="00CE3D06"/>
    <w:rsid w:val="00CE3D44"/>
    <w:rsid w:val="00CE3E6A"/>
    <w:rsid w:val="00CE3FFB"/>
    <w:rsid w:val="00CE41E9"/>
    <w:rsid w:val="00CE4297"/>
    <w:rsid w:val="00CE4862"/>
    <w:rsid w:val="00CE4A0D"/>
    <w:rsid w:val="00CE4C59"/>
    <w:rsid w:val="00CE4E8E"/>
    <w:rsid w:val="00CE512D"/>
    <w:rsid w:val="00CE52B1"/>
    <w:rsid w:val="00CE5D59"/>
    <w:rsid w:val="00CE6238"/>
    <w:rsid w:val="00CE642F"/>
    <w:rsid w:val="00CE6882"/>
    <w:rsid w:val="00CE6B80"/>
    <w:rsid w:val="00CE6DB3"/>
    <w:rsid w:val="00CE709A"/>
    <w:rsid w:val="00CE73A3"/>
    <w:rsid w:val="00CE7A68"/>
    <w:rsid w:val="00CE7B3A"/>
    <w:rsid w:val="00CE7BAF"/>
    <w:rsid w:val="00CE7D5E"/>
    <w:rsid w:val="00CF0055"/>
    <w:rsid w:val="00CF04FF"/>
    <w:rsid w:val="00CF0BEE"/>
    <w:rsid w:val="00CF0C47"/>
    <w:rsid w:val="00CF0C56"/>
    <w:rsid w:val="00CF1AB8"/>
    <w:rsid w:val="00CF1E03"/>
    <w:rsid w:val="00CF2123"/>
    <w:rsid w:val="00CF2334"/>
    <w:rsid w:val="00CF2775"/>
    <w:rsid w:val="00CF283F"/>
    <w:rsid w:val="00CF2B3B"/>
    <w:rsid w:val="00CF2BF3"/>
    <w:rsid w:val="00CF312D"/>
    <w:rsid w:val="00CF319E"/>
    <w:rsid w:val="00CF31EE"/>
    <w:rsid w:val="00CF34CD"/>
    <w:rsid w:val="00CF3652"/>
    <w:rsid w:val="00CF3CE4"/>
    <w:rsid w:val="00CF3EFA"/>
    <w:rsid w:val="00CF3FEC"/>
    <w:rsid w:val="00CF4A30"/>
    <w:rsid w:val="00CF4BAD"/>
    <w:rsid w:val="00CF4CAC"/>
    <w:rsid w:val="00CF5155"/>
    <w:rsid w:val="00CF558F"/>
    <w:rsid w:val="00CF5926"/>
    <w:rsid w:val="00CF6611"/>
    <w:rsid w:val="00CF6860"/>
    <w:rsid w:val="00CF692B"/>
    <w:rsid w:val="00CF6938"/>
    <w:rsid w:val="00CF6C34"/>
    <w:rsid w:val="00CF6DBB"/>
    <w:rsid w:val="00CF715E"/>
    <w:rsid w:val="00CF73A9"/>
    <w:rsid w:val="00CF7878"/>
    <w:rsid w:val="00CF7A10"/>
    <w:rsid w:val="00CF7F38"/>
    <w:rsid w:val="00CF7F7A"/>
    <w:rsid w:val="00D005CF"/>
    <w:rsid w:val="00D007B0"/>
    <w:rsid w:val="00D01661"/>
    <w:rsid w:val="00D02023"/>
    <w:rsid w:val="00D020B9"/>
    <w:rsid w:val="00D02E42"/>
    <w:rsid w:val="00D037C9"/>
    <w:rsid w:val="00D03906"/>
    <w:rsid w:val="00D0393E"/>
    <w:rsid w:val="00D03B5D"/>
    <w:rsid w:val="00D042D2"/>
    <w:rsid w:val="00D04561"/>
    <w:rsid w:val="00D04757"/>
    <w:rsid w:val="00D050F5"/>
    <w:rsid w:val="00D053EF"/>
    <w:rsid w:val="00D056CB"/>
    <w:rsid w:val="00D059AC"/>
    <w:rsid w:val="00D0618D"/>
    <w:rsid w:val="00D06A1F"/>
    <w:rsid w:val="00D06AFB"/>
    <w:rsid w:val="00D06C3A"/>
    <w:rsid w:val="00D07217"/>
    <w:rsid w:val="00D07402"/>
    <w:rsid w:val="00D077F4"/>
    <w:rsid w:val="00D07EA9"/>
    <w:rsid w:val="00D07EB1"/>
    <w:rsid w:val="00D1018C"/>
    <w:rsid w:val="00D102FA"/>
    <w:rsid w:val="00D1049B"/>
    <w:rsid w:val="00D107A5"/>
    <w:rsid w:val="00D10CD4"/>
    <w:rsid w:val="00D10DAF"/>
    <w:rsid w:val="00D11D35"/>
    <w:rsid w:val="00D11F91"/>
    <w:rsid w:val="00D12696"/>
    <w:rsid w:val="00D1283D"/>
    <w:rsid w:val="00D12BA4"/>
    <w:rsid w:val="00D12DFF"/>
    <w:rsid w:val="00D1308B"/>
    <w:rsid w:val="00D130CB"/>
    <w:rsid w:val="00D130F8"/>
    <w:rsid w:val="00D13161"/>
    <w:rsid w:val="00D131C4"/>
    <w:rsid w:val="00D131D0"/>
    <w:rsid w:val="00D13450"/>
    <w:rsid w:val="00D13C55"/>
    <w:rsid w:val="00D13CA8"/>
    <w:rsid w:val="00D13FE5"/>
    <w:rsid w:val="00D14376"/>
    <w:rsid w:val="00D14B23"/>
    <w:rsid w:val="00D14D73"/>
    <w:rsid w:val="00D15004"/>
    <w:rsid w:val="00D150F6"/>
    <w:rsid w:val="00D15167"/>
    <w:rsid w:val="00D15201"/>
    <w:rsid w:val="00D15352"/>
    <w:rsid w:val="00D153FA"/>
    <w:rsid w:val="00D15493"/>
    <w:rsid w:val="00D154FB"/>
    <w:rsid w:val="00D1582E"/>
    <w:rsid w:val="00D15B68"/>
    <w:rsid w:val="00D15F5A"/>
    <w:rsid w:val="00D16767"/>
    <w:rsid w:val="00D16BCD"/>
    <w:rsid w:val="00D16F04"/>
    <w:rsid w:val="00D1714A"/>
    <w:rsid w:val="00D173DB"/>
    <w:rsid w:val="00D17473"/>
    <w:rsid w:val="00D17531"/>
    <w:rsid w:val="00D17B71"/>
    <w:rsid w:val="00D17D35"/>
    <w:rsid w:val="00D204E2"/>
    <w:rsid w:val="00D20500"/>
    <w:rsid w:val="00D205A1"/>
    <w:rsid w:val="00D20676"/>
    <w:rsid w:val="00D2099E"/>
    <w:rsid w:val="00D20B0B"/>
    <w:rsid w:val="00D20B65"/>
    <w:rsid w:val="00D20BAE"/>
    <w:rsid w:val="00D20D57"/>
    <w:rsid w:val="00D20D65"/>
    <w:rsid w:val="00D217B3"/>
    <w:rsid w:val="00D21873"/>
    <w:rsid w:val="00D21C23"/>
    <w:rsid w:val="00D21D33"/>
    <w:rsid w:val="00D2232D"/>
    <w:rsid w:val="00D229B3"/>
    <w:rsid w:val="00D22C98"/>
    <w:rsid w:val="00D23003"/>
    <w:rsid w:val="00D2328B"/>
    <w:rsid w:val="00D23695"/>
    <w:rsid w:val="00D23828"/>
    <w:rsid w:val="00D239E0"/>
    <w:rsid w:val="00D23DD7"/>
    <w:rsid w:val="00D2453C"/>
    <w:rsid w:val="00D24598"/>
    <w:rsid w:val="00D24A0A"/>
    <w:rsid w:val="00D24F14"/>
    <w:rsid w:val="00D255F8"/>
    <w:rsid w:val="00D258C9"/>
    <w:rsid w:val="00D25A3F"/>
    <w:rsid w:val="00D25D97"/>
    <w:rsid w:val="00D2601A"/>
    <w:rsid w:val="00D261F1"/>
    <w:rsid w:val="00D264AE"/>
    <w:rsid w:val="00D2657D"/>
    <w:rsid w:val="00D26A92"/>
    <w:rsid w:val="00D27011"/>
    <w:rsid w:val="00D27181"/>
    <w:rsid w:val="00D27276"/>
    <w:rsid w:val="00D2764C"/>
    <w:rsid w:val="00D276D7"/>
    <w:rsid w:val="00D27958"/>
    <w:rsid w:val="00D3023B"/>
    <w:rsid w:val="00D302E9"/>
    <w:rsid w:val="00D3089E"/>
    <w:rsid w:val="00D30A39"/>
    <w:rsid w:val="00D312B8"/>
    <w:rsid w:val="00D31423"/>
    <w:rsid w:val="00D315D0"/>
    <w:rsid w:val="00D31E36"/>
    <w:rsid w:val="00D323EC"/>
    <w:rsid w:val="00D32D10"/>
    <w:rsid w:val="00D32D14"/>
    <w:rsid w:val="00D32D17"/>
    <w:rsid w:val="00D33017"/>
    <w:rsid w:val="00D3318E"/>
    <w:rsid w:val="00D333EF"/>
    <w:rsid w:val="00D33990"/>
    <w:rsid w:val="00D33B6D"/>
    <w:rsid w:val="00D33B90"/>
    <w:rsid w:val="00D33BAF"/>
    <w:rsid w:val="00D33DBB"/>
    <w:rsid w:val="00D33E12"/>
    <w:rsid w:val="00D34548"/>
    <w:rsid w:val="00D34811"/>
    <w:rsid w:val="00D34851"/>
    <w:rsid w:val="00D348C1"/>
    <w:rsid w:val="00D348FB"/>
    <w:rsid w:val="00D34E36"/>
    <w:rsid w:val="00D35116"/>
    <w:rsid w:val="00D359BC"/>
    <w:rsid w:val="00D35A70"/>
    <w:rsid w:val="00D35D7D"/>
    <w:rsid w:val="00D36303"/>
    <w:rsid w:val="00D36734"/>
    <w:rsid w:val="00D3673C"/>
    <w:rsid w:val="00D36873"/>
    <w:rsid w:val="00D368F4"/>
    <w:rsid w:val="00D36923"/>
    <w:rsid w:val="00D36E8D"/>
    <w:rsid w:val="00D37026"/>
    <w:rsid w:val="00D3711C"/>
    <w:rsid w:val="00D3713C"/>
    <w:rsid w:val="00D37184"/>
    <w:rsid w:val="00D3725A"/>
    <w:rsid w:val="00D375CA"/>
    <w:rsid w:val="00D379F0"/>
    <w:rsid w:val="00D37DDA"/>
    <w:rsid w:val="00D404E1"/>
    <w:rsid w:val="00D405FB"/>
    <w:rsid w:val="00D40A31"/>
    <w:rsid w:val="00D40B06"/>
    <w:rsid w:val="00D40D54"/>
    <w:rsid w:val="00D40EB2"/>
    <w:rsid w:val="00D40F3A"/>
    <w:rsid w:val="00D40FA5"/>
    <w:rsid w:val="00D4103F"/>
    <w:rsid w:val="00D4140F"/>
    <w:rsid w:val="00D4148B"/>
    <w:rsid w:val="00D4160A"/>
    <w:rsid w:val="00D41C8A"/>
    <w:rsid w:val="00D41DAD"/>
    <w:rsid w:val="00D420C0"/>
    <w:rsid w:val="00D42595"/>
    <w:rsid w:val="00D425A8"/>
    <w:rsid w:val="00D42837"/>
    <w:rsid w:val="00D42C09"/>
    <w:rsid w:val="00D42C0C"/>
    <w:rsid w:val="00D42CE7"/>
    <w:rsid w:val="00D42D0B"/>
    <w:rsid w:val="00D435A1"/>
    <w:rsid w:val="00D438B7"/>
    <w:rsid w:val="00D43FE6"/>
    <w:rsid w:val="00D44006"/>
    <w:rsid w:val="00D4482A"/>
    <w:rsid w:val="00D44AD9"/>
    <w:rsid w:val="00D44F1A"/>
    <w:rsid w:val="00D45494"/>
    <w:rsid w:val="00D454C2"/>
    <w:rsid w:val="00D45622"/>
    <w:rsid w:val="00D45689"/>
    <w:rsid w:val="00D45911"/>
    <w:rsid w:val="00D45ACA"/>
    <w:rsid w:val="00D46357"/>
    <w:rsid w:val="00D468B8"/>
    <w:rsid w:val="00D46980"/>
    <w:rsid w:val="00D469AC"/>
    <w:rsid w:val="00D470BF"/>
    <w:rsid w:val="00D50410"/>
    <w:rsid w:val="00D50848"/>
    <w:rsid w:val="00D5087C"/>
    <w:rsid w:val="00D50919"/>
    <w:rsid w:val="00D50C4B"/>
    <w:rsid w:val="00D50E42"/>
    <w:rsid w:val="00D50F88"/>
    <w:rsid w:val="00D51669"/>
    <w:rsid w:val="00D521BB"/>
    <w:rsid w:val="00D522AB"/>
    <w:rsid w:val="00D532D4"/>
    <w:rsid w:val="00D53515"/>
    <w:rsid w:val="00D53C18"/>
    <w:rsid w:val="00D545D0"/>
    <w:rsid w:val="00D54DBE"/>
    <w:rsid w:val="00D54F7F"/>
    <w:rsid w:val="00D5517C"/>
    <w:rsid w:val="00D55180"/>
    <w:rsid w:val="00D552B9"/>
    <w:rsid w:val="00D5562C"/>
    <w:rsid w:val="00D55A5D"/>
    <w:rsid w:val="00D561E1"/>
    <w:rsid w:val="00D56E59"/>
    <w:rsid w:val="00D57387"/>
    <w:rsid w:val="00D57536"/>
    <w:rsid w:val="00D5763F"/>
    <w:rsid w:val="00D57775"/>
    <w:rsid w:val="00D577AC"/>
    <w:rsid w:val="00D57A96"/>
    <w:rsid w:val="00D57B46"/>
    <w:rsid w:val="00D57E7B"/>
    <w:rsid w:val="00D60713"/>
    <w:rsid w:val="00D60A63"/>
    <w:rsid w:val="00D60B7E"/>
    <w:rsid w:val="00D614A5"/>
    <w:rsid w:val="00D61DB4"/>
    <w:rsid w:val="00D61E2D"/>
    <w:rsid w:val="00D61EEF"/>
    <w:rsid w:val="00D621FC"/>
    <w:rsid w:val="00D622E2"/>
    <w:rsid w:val="00D62BB0"/>
    <w:rsid w:val="00D62DFD"/>
    <w:rsid w:val="00D6332A"/>
    <w:rsid w:val="00D63333"/>
    <w:rsid w:val="00D6359E"/>
    <w:rsid w:val="00D63769"/>
    <w:rsid w:val="00D63946"/>
    <w:rsid w:val="00D64028"/>
    <w:rsid w:val="00D642B3"/>
    <w:rsid w:val="00D6441D"/>
    <w:rsid w:val="00D64CE4"/>
    <w:rsid w:val="00D64D1F"/>
    <w:rsid w:val="00D64FF2"/>
    <w:rsid w:val="00D652C3"/>
    <w:rsid w:val="00D655CC"/>
    <w:rsid w:val="00D656B9"/>
    <w:rsid w:val="00D65789"/>
    <w:rsid w:val="00D6621D"/>
    <w:rsid w:val="00D672BB"/>
    <w:rsid w:val="00D673D9"/>
    <w:rsid w:val="00D67484"/>
    <w:rsid w:val="00D6785C"/>
    <w:rsid w:val="00D67A09"/>
    <w:rsid w:val="00D67C3F"/>
    <w:rsid w:val="00D70026"/>
    <w:rsid w:val="00D70040"/>
    <w:rsid w:val="00D7014E"/>
    <w:rsid w:val="00D7060B"/>
    <w:rsid w:val="00D709C2"/>
    <w:rsid w:val="00D71248"/>
    <w:rsid w:val="00D714F3"/>
    <w:rsid w:val="00D7208D"/>
    <w:rsid w:val="00D725CF"/>
    <w:rsid w:val="00D72FAC"/>
    <w:rsid w:val="00D73097"/>
    <w:rsid w:val="00D731CA"/>
    <w:rsid w:val="00D73208"/>
    <w:rsid w:val="00D73858"/>
    <w:rsid w:val="00D73ED6"/>
    <w:rsid w:val="00D7403B"/>
    <w:rsid w:val="00D743C5"/>
    <w:rsid w:val="00D74487"/>
    <w:rsid w:val="00D745FC"/>
    <w:rsid w:val="00D74716"/>
    <w:rsid w:val="00D749F9"/>
    <w:rsid w:val="00D74C44"/>
    <w:rsid w:val="00D74E0F"/>
    <w:rsid w:val="00D7526F"/>
    <w:rsid w:val="00D752C0"/>
    <w:rsid w:val="00D753CC"/>
    <w:rsid w:val="00D75A70"/>
    <w:rsid w:val="00D75C30"/>
    <w:rsid w:val="00D75D19"/>
    <w:rsid w:val="00D75DD2"/>
    <w:rsid w:val="00D75F1D"/>
    <w:rsid w:val="00D76321"/>
    <w:rsid w:val="00D76685"/>
    <w:rsid w:val="00D76E5B"/>
    <w:rsid w:val="00D76FF9"/>
    <w:rsid w:val="00D774AD"/>
    <w:rsid w:val="00D77610"/>
    <w:rsid w:val="00D77B3B"/>
    <w:rsid w:val="00D77D77"/>
    <w:rsid w:val="00D77E59"/>
    <w:rsid w:val="00D80042"/>
    <w:rsid w:val="00D8040E"/>
    <w:rsid w:val="00D8069A"/>
    <w:rsid w:val="00D807DD"/>
    <w:rsid w:val="00D8089A"/>
    <w:rsid w:val="00D8143D"/>
    <w:rsid w:val="00D81736"/>
    <w:rsid w:val="00D8175E"/>
    <w:rsid w:val="00D823D3"/>
    <w:rsid w:val="00D825B1"/>
    <w:rsid w:val="00D82691"/>
    <w:rsid w:val="00D82877"/>
    <w:rsid w:val="00D82B87"/>
    <w:rsid w:val="00D8304A"/>
    <w:rsid w:val="00D83651"/>
    <w:rsid w:val="00D83B69"/>
    <w:rsid w:val="00D83C16"/>
    <w:rsid w:val="00D83DF4"/>
    <w:rsid w:val="00D84493"/>
    <w:rsid w:val="00D84620"/>
    <w:rsid w:val="00D84A64"/>
    <w:rsid w:val="00D84A6E"/>
    <w:rsid w:val="00D84AB8"/>
    <w:rsid w:val="00D84BD5"/>
    <w:rsid w:val="00D84E86"/>
    <w:rsid w:val="00D84EC5"/>
    <w:rsid w:val="00D8503B"/>
    <w:rsid w:val="00D85190"/>
    <w:rsid w:val="00D85525"/>
    <w:rsid w:val="00D856E5"/>
    <w:rsid w:val="00D85FCA"/>
    <w:rsid w:val="00D86E32"/>
    <w:rsid w:val="00D86E58"/>
    <w:rsid w:val="00D870DA"/>
    <w:rsid w:val="00D87281"/>
    <w:rsid w:val="00D87919"/>
    <w:rsid w:val="00D87B5F"/>
    <w:rsid w:val="00D87C1A"/>
    <w:rsid w:val="00D90190"/>
    <w:rsid w:val="00D9029A"/>
    <w:rsid w:val="00D9041D"/>
    <w:rsid w:val="00D905BE"/>
    <w:rsid w:val="00D906C6"/>
    <w:rsid w:val="00D90796"/>
    <w:rsid w:val="00D9098F"/>
    <w:rsid w:val="00D90B3C"/>
    <w:rsid w:val="00D91BE6"/>
    <w:rsid w:val="00D91C67"/>
    <w:rsid w:val="00D91CF3"/>
    <w:rsid w:val="00D9213D"/>
    <w:rsid w:val="00D92243"/>
    <w:rsid w:val="00D922A3"/>
    <w:rsid w:val="00D93056"/>
    <w:rsid w:val="00D93078"/>
    <w:rsid w:val="00D9360F"/>
    <w:rsid w:val="00D938C8"/>
    <w:rsid w:val="00D940FC"/>
    <w:rsid w:val="00D94190"/>
    <w:rsid w:val="00D94223"/>
    <w:rsid w:val="00D943EE"/>
    <w:rsid w:val="00D94691"/>
    <w:rsid w:val="00D946FD"/>
    <w:rsid w:val="00D94AAD"/>
    <w:rsid w:val="00D94D64"/>
    <w:rsid w:val="00D95046"/>
    <w:rsid w:val="00D956C0"/>
    <w:rsid w:val="00D95AFF"/>
    <w:rsid w:val="00D95C20"/>
    <w:rsid w:val="00D95E84"/>
    <w:rsid w:val="00D95F9F"/>
    <w:rsid w:val="00D9608D"/>
    <w:rsid w:val="00D96A5E"/>
    <w:rsid w:val="00D96DBF"/>
    <w:rsid w:val="00D9767D"/>
    <w:rsid w:val="00D97FAA"/>
    <w:rsid w:val="00DA0368"/>
    <w:rsid w:val="00DA09AC"/>
    <w:rsid w:val="00DA0C90"/>
    <w:rsid w:val="00DA0E3F"/>
    <w:rsid w:val="00DA109F"/>
    <w:rsid w:val="00DA1252"/>
    <w:rsid w:val="00DA1369"/>
    <w:rsid w:val="00DA136B"/>
    <w:rsid w:val="00DA1D79"/>
    <w:rsid w:val="00DA1DA7"/>
    <w:rsid w:val="00DA1DCF"/>
    <w:rsid w:val="00DA1DEC"/>
    <w:rsid w:val="00DA2260"/>
    <w:rsid w:val="00DA227C"/>
    <w:rsid w:val="00DA29D5"/>
    <w:rsid w:val="00DA2F16"/>
    <w:rsid w:val="00DA32F1"/>
    <w:rsid w:val="00DA3DB2"/>
    <w:rsid w:val="00DA409A"/>
    <w:rsid w:val="00DA4160"/>
    <w:rsid w:val="00DA420A"/>
    <w:rsid w:val="00DA47E3"/>
    <w:rsid w:val="00DA48A8"/>
    <w:rsid w:val="00DA5045"/>
    <w:rsid w:val="00DA53DE"/>
    <w:rsid w:val="00DA5538"/>
    <w:rsid w:val="00DA58C5"/>
    <w:rsid w:val="00DA5A73"/>
    <w:rsid w:val="00DA5CC3"/>
    <w:rsid w:val="00DA5E9D"/>
    <w:rsid w:val="00DA633A"/>
    <w:rsid w:val="00DA6C5D"/>
    <w:rsid w:val="00DA6FA0"/>
    <w:rsid w:val="00DA6FD8"/>
    <w:rsid w:val="00DA7199"/>
    <w:rsid w:val="00DA72E8"/>
    <w:rsid w:val="00DA7606"/>
    <w:rsid w:val="00DA7B7D"/>
    <w:rsid w:val="00DA7BFF"/>
    <w:rsid w:val="00DA7D06"/>
    <w:rsid w:val="00DB0082"/>
    <w:rsid w:val="00DB008F"/>
    <w:rsid w:val="00DB020F"/>
    <w:rsid w:val="00DB078D"/>
    <w:rsid w:val="00DB0A1D"/>
    <w:rsid w:val="00DB1581"/>
    <w:rsid w:val="00DB1704"/>
    <w:rsid w:val="00DB185A"/>
    <w:rsid w:val="00DB1C30"/>
    <w:rsid w:val="00DB1D21"/>
    <w:rsid w:val="00DB22EC"/>
    <w:rsid w:val="00DB2B1F"/>
    <w:rsid w:val="00DB2CCE"/>
    <w:rsid w:val="00DB2DE2"/>
    <w:rsid w:val="00DB3036"/>
    <w:rsid w:val="00DB35F1"/>
    <w:rsid w:val="00DB3D6C"/>
    <w:rsid w:val="00DB4423"/>
    <w:rsid w:val="00DB4E9C"/>
    <w:rsid w:val="00DB5207"/>
    <w:rsid w:val="00DB530F"/>
    <w:rsid w:val="00DB54E7"/>
    <w:rsid w:val="00DB5CCC"/>
    <w:rsid w:val="00DB5F75"/>
    <w:rsid w:val="00DB6610"/>
    <w:rsid w:val="00DB6BED"/>
    <w:rsid w:val="00DB6E86"/>
    <w:rsid w:val="00DB6F66"/>
    <w:rsid w:val="00DB7123"/>
    <w:rsid w:val="00DB71FF"/>
    <w:rsid w:val="00DB7328"/>
    <w:rsid w:val="00DB75AF"/>
    <w:rsid w:val="00DB7861"/>
    <w:rsid w:val="00DC02BA"/>
    <w:rsid w:val="00DC03EC"/>
    <w:rsid w:val="00DC055B"/>
    <w:rsid w:val="00DC05DC"/>
    <w:rsid w:val="00DC06F6"/>
    <w:rsid w:val="00DC07F5"/>
    <w:rsid w:val="00DC09FB"/>
    <w:rsid w:val="00DC0A2A"/>
    <w:rsid w:val="00DC0D6A"/>
    <w:rsid w:val="00DC0ECB"/>
    <w:rsid w:val="00DC15D5"/>
    <w:rsid w:val="00DC1649"/>
    <w:rsid w:val="00DC185E"/>
    <w:rsid w:val="00DC1E07"/>
    <w:rsid w:val="00DC20A4"/>
    <w:rsid w:val="00DC237D"/>
    <w:rsid w:val="00DC2444"/>
    <w:rsid w:val="00DC27B5"/>
    <w:rsid w:val="00DC29D0"/>
    <w:rsid w:val="00DC32BD"/>
    <w:rsid w:val="00DC35C3"/>
    <w:rsid w:val="00DC36CD"/>
    <w:rsid w:val="00DC374F"/>
    <w:rsid w:val="00DC39E6"/>
    <w:rsid w:val="00DC3CA9"/>
    <w:rsid w:val="00DC42F1"/>
    <w:rsid w:val="00DC445D"/>
    <w:rsid w:val="00DC48F4"/>
    <w:rsid w:val="00DC4986"/>
    <w:rsid w:val="00DC5384"/>
    <w:rsid w:val="00DC579A"/>
    <w:rsid w:val="00DC5AC5"/>
    <w:rsid w:val="00DC6526"/>
    <w:rsid w:val="00DC6619"/>
    <w:rsid w:val="00DC67E3"/>
    <w:rsid w:val="00DC698B"/>
    <w:rsid w:val="00DC6B96"/>
    <w:rsid w:val="00DC6F79"/>
    <w:rsid w:val="00DC72A2"/>
    <w:rsid w:val="00DC73E5"/>
    <w:rsid w:val="00DC786B"/>
    <w:rsid w:val="00DC79CF"/>
    <w:rsid w:val="00DC7B31"/>
    <w:rsid w:val="00DC7BC1"/>
    <w:rsid w:val="00DC7C15"/>
    <w:rsid w:val="00DC7D10"/>
    <w:rsid w:val="00DD0124"/>
    <w:rsid w:val="00DD0291"/>
    <w:rsid w:val="00DD0DDE"/>
    <w:rsid w:val="00DD0E7F"/>
    <w:rsid w:val="00DD0F48"/>
    <w:rsid w:val="00DD1217"/>
    <w:rsid w:val="00DD12D6"/>
    <w:rsid w:val="00DD155E"/>
    <w:rsid w:val="00DD19DA"/>
    <w:rsid w:val="00DD1E70"/>
    <w:rsid w:val="00DD2184"/>
    <w:rsid w:val="00DD2589"/>
    <w:rsid w:val="00DD294B"/>
    <w:rsid w:val="00DD2BE0"/>
    <w:rsid w:val="00DD358A"/>
    <w:rsid w:val="00DD37AF"/>
    <w:rsid w:val="00DD40FF"/>
    <w:rsid w:val="00DD41BF"/>
    <w:rsid w:val="00DD4AE0"/>
    <w:rsid w:val="00DD4CFA"/>
    <w:rsid w:val="00DD4F22"/>
    <w:rsid w:val="00DD4FB7"/>
    <w:rsid w:val="00DD51C3"/>
    <w:rsid w:val="00DD61A6"/>
    <w:rsid w:val="00DD63CA"/>
    <w:rsid w:val="00DD65B4"/>
    <w:rsid w:val="00DD6A5D"/>
    <w:rsid w:val="00DD6B87"/>
    <w:rsid w:val="00DD6E70"/>
    <w:rsid w:val="00DD721D"/>
    <w:rsid w:val="00DD7573"/>
    <w:rsid w:val="00DD75DA"/>
    <w:rsid w:val="00DD7829"/>
    <w:rsid w:val="00DD79E5"/>
    <w:rsid w:val="00DD7A0F"/>
    <w:rsid w:val="00DD7E78"/>
    <w:rsid w:val="00DD7F05"/>
    <w:rsid w:val="00DE0004"/>
    <w:rsid w:val="00DE01B3"/>
    <w:rsid w:val="00DE051C"/>
    <w:rsid w:val="00DE06F2"/>
    <w:rsid w:val="00DE0FEA"/>
    <w:rsid w:val="00DE117B"/>
    <w:rsid w:val="00DE1291"/>
    <w:rsid w:val="00DE1334"/>
    <w:rsid w:val="00DE1539"/>
    <w:rsid w:val="00DE1CE9"/>
    <w:rsid w:val="00DE2510"/>
    <w:rsid w:val="00DE268A"/>
    <w:rsid w:val="00DE2AF8"/>
    <w:rsid w:val="00DE2E31"/>
    <w:rsid w:val="00DE3509"/>
    <w:rsid w:val="00DE3D18"/>
    <w:rsid w:val="00DE3FFB"/>
    <w:rsid w:val="00DE486E"/>
    <w:rsid w:val="00DE4C72"/>
    <w:rsid w:val="00DE4D64"/>
    <w:rsid w:val="00DE53F3"/>
    <w:rsid w:val="00DE5406"/>
    <w:rsid w:val="00DE56F6"/>
    <w:rsid w:val="00DE58FD"/>
    <w:rsid w:val="00DE5A61"/>
    <w:rsid w:val="00DE5A9A"/>
    <w:rsid w:val="00DE5C6A"/>
    <w:rsid w:val="00DE5EC1"/>
    <w:rsid w:val="00DE5FE6"/>
    <w:rsid w:val="00DE6CE5"/>
    <w:rsid w:val="00DE6D05"/>
    <w:rsid w:val="00DE6FAB"/>
    <w:rsid w:val="00DE7369"/>
    <w:rsid w:val="00DE75F1"/>
    <w:rsid w:val="00DE7614"/>
    <w:rsid w:val="00DE7FFD"/>
    <w:rsid w:val="00DF04B2"/>
    <w:rsid w:val="00DF071E"/>
    <w:rsid w:val="00DF0765"/>
    <w:rsid w:val="00DF0D41"/>
    <w:rsid w:val="00DF0F77"/>
    <w:rsid w:val="00DF1612"/>
    <w:rsid w:val="00DF1B53"/>
    <w:rsid w:val="00DF1EB6"/>
    <w:rsid w:val="00DF2174"/>
    <w:rsid w:val="00DF23BD"/>
    <w:rsid w:val="00DF25F7"/>
    <w:rsid w:val="00DF2B7E"/>
    <w:rsid w:val="00DF348C"/>
    <w:rsid w:val="00DF3553"/>
    <w:rsid w:val="00DF35F5"/>
    <w:rsid w:val="00DF3B1D"/>
    <w:rsid w:val="00DF3BD2"/>
    <w:rsid w:val="00DF3C12"/>
    <w:rsid w:val="00DF3D1E"/>
    <w:rsid w:val="00DF425D"/>
    <w:rsid w:val="00DF4466"/>
    <w:rsid w:val="00DF458B"/>
    <w:rsid w:val="00DF459B"/>
    <w:rsid w:val="00DF46B6"/>
    <w:rsid w:val="00DF48BF"/>
    <w:rsid w:val="00DF4C2B"/>
    <w:rsid w:val="00DF4D08"/>
    <w:rsid w:val="00DF4E9D"/>
    <w:rsid w:val="00DF5198"/>
    <w:rsid w:val="00DF53F8"/>
    <w:rsid w:val="00DF5846"/>
    <w:rsid w:val="00DF5861"/>
    <w:rsid w:val="00DF5A82"/>
    <w:rsid w:val="00DF5CB2"/>
    <w:rsid w:val="00DF5CE5"/>
    <w:rsid w:val="00DF5F40"/>
    <w:rsid w:val="00DF6121"/>
    <w:rsid w:val="00DF6265"/>
    <w:rsid w:val="00DF6E8D"/>
    <w:rsid w:val="00DF705A"/>
    <w:rsid w:val="00E001A0"/>
    <w:rsid w:val="00E00253"/>
    <w:rsid w:val="00E00259"/>
    <w:rsid w:val="00E003E6"/>
    <w:rsid w:val="00E00435"/>
    <w:rsid w:val="00E00548"/>
    <w:rsid w:val="00E008FB"/>
    <w:rsid w:val="00E00D93"/>
    <w:rsid w:val="00E012BC"/>
    <w:rsid w:val="00E01683"/>
    <w:rsid w:val="00E01B28"/>
    <w:rsid w:val="00E01BC9"/>
    <w:rsid w:val="00E021C2"/>
    <w:rsid w:val="00E02356"/>
    <w:rsid w:val="00E02760"/>
    <w:rsid w:val="00E02BED"/>
    <w:rsid w:val="00E03E10"/>
    <w:rsid w:val="00E03E4D"/>
    <w:rsid w:val="00E03FE6"/>
    <w:rsid w:val="00E0459C"/>
    <w:rsid w:val="00E046E7"/>
    <w:rsid w:val="00E04DA2"/>
    <w:rsid w:val="00E055A9"/>
    <w:rsid w:val="00E056B2"/>
    <w:rsid w:val="00E0602D"/>
    <w:rsid w:val="00E061D9"/>
    <w:rsid w:val="00E062CA"/>
    <w:rsid w:val="00E062F9"/>
    <w:rsid w:val="00E063E0"/>
    <w:rsid w:val="00E06610"/>
    <w:rsid w:val="00E07083"/>
    <w:rsid w:val="00E07157"/>
    <w:rsid w:val="00E07174"/>
    <w:rsid w:val="00E071FD"/>
    <w:rsid w:val="00E075A5"/>
    <w:rsid w:val="00E07E4E"/>
    <w:rsid w:val="00E1040B"/>
    <w:rsid w:val="00E10876"/>
    <w:rsid w:val="00E1089A"/>
    <w:rsid w:val="00E10A5B"/>
    <w:rsid w:val="00E10E13"/>
    <w:rsid w:val="00E12016"/>
    <w:rsid w:val="00E122B4"/>
    <w:rsid w:val="00E123F6"/>
    <w:rsid w:val="00E12D67"/>
    <w:rsid w:val="00E13202"/>
    <w:rsid w:val="00E13793"/>
    <w:rsid w:val="00E13860"/>
    <w:rsid w:val="00E138B3"/>
    <w:rsid w:val="00E13E0B"/>
    <w:rsid w:val="00E1468F"/>
    <w:rsid w:val="00E146F5"/>
    <w:rsid w:val="00E14D90"/>
    <w:rsid w:val="00E14E1C"/>
    <w:rsid w:val="00E14E6C"/>
    <w:rsid w:val="00E14E9D"/>
    <w:rsid w:val="00E15315"/>
    <w:rsid w:val="00E15546"/>
    <w:rsid w:val="00E155DE"/>
    <w:rsid w:val="00E15795"/>
    <w:rsid w:val="00E15998"/>
    <w:rsid w:val="00E15D36"/>
    <w:rsid w:val="00E15F22"/>
    <w:rsid w:val="00E16167"/>
    <w:rsid w:val="00E1650F"/>
    <w:rsid w:val="00E16540"/>
    <w:rsid w:val="00E16A43"/>
    <w:rsid w:val="00E16F0B"/>
    <w:rsid w:val="00E1750D"/>
    <w:rsid w:val="00E17672"/>
    <w:rsid w:val="00E17841"/>
    <w:rsid w:val="00E178BA"/>
    <w:rsid w:val="00E17977"/>
    <w:rsid w:val="00E179D8"/>
    <w:rsid w:val="00E17DB9"/>
    <w:rsid w:val="00E20991"/>
    <w:rsid w:val="00E20FD8"/>
    <w:rsid w:val="00E210C9"/>
    <w:rsid w:val="00E213BB"/>
    <w:rsid w:val="00E21B06"/>
    <w:rsid w:val="00E22028"/>
    <w:rsid w:val="00E221DB"/>
    <w:rsid w:val="00E2238A"/>
    <w:rsid w:val="00E223C0"/>
    <w:rsid w:val="00E2256F"/>
    <w:rsid w:val="00E22806"/>
    <w:rsid w:val="00E228DD"/>
    <w:rsid w:val="00E22AA7"/>
    <w:rsid w:val="00E22AB5"/>
    <w:rsid w:val="00E22F5D"/>
    <w:rsid w:val="00E23172"/>
    <w:rsid w:val="00E233BD"/>
    <w:rsid w:val="00E23407"/>
    <w:rsid w:val="00E2378B"/>
    <w:rsid w:val="00E23D27"/>
    <w:rsid w:val="00E23E67"/>
    <w:rsid w:val="00E24072"/>
    <w:rsid w:val="00E244FA"/>
    <w:rsid w:val="00E24949"/>
    <w:rsid w:val="00E24A36"/>
    <w:rsid w:val="00E24BD0"/>
    <w:rsid w:val="00E252F7"/>
    <w:rsid w:val="00E25828"/>
    <w:rsid w:val="00E258B0"/>
    <w:rsid w:val="00E265AB"/>
    <w:rsid w:val="00E268C6"/>
    <w:rsid w:val="00E26F23"/>
    <w:rsid w:val="00E27118"/>
    <w:rsid w:val="00E272F9"/>
    <w:rsid w:val="00E27543"/>
    <w:rsid w:val="00E2779E"/>
    <w:rsid w:val="00E277D9"/>
    <w:rsid w:val="00E279EC"/>
    <w:rsid w:val="00E27C36"/>
    <w:rsid w:val="00E30133"/>
    <w:rsid w:val="00E30A9C"/>
    <w:rsid w:val="00E31081"/>
    <w:rsid w:val="00E310B8"/>
    <w:rsid w:val="00E31143"/>
    <w:rsid w:val="00E316B6"/>
    <w:rsid w:val="00E31A07"/>
    <w:rsid w:val="00E31AD0"/>
    <w:rsid w:val="00E31BD7"/>
    <w:rsid w:val="00E321BD"/>
    <w:rsid w:val="00E32611"/>
    <w:rsid w:val="00E32A7F"/>
    <w:rsid w:val="00E32B3D"/>
    <w:rsid w:val="00E32BF8"/>
    <w:rsid w:val="00E32F7A"/>
    <w:rsid w:val="00E3300C"/>
    <w:rsid w:val="00E33221"/>
    <w:rsid w:val="00E33323"/>
    <w:rsid w:val="00E33877"/>
    <w:rsid w:val="00E33D8C"/>
    <w:rsid w:val="00E34378"/>
    <w:rsid w:val="00E347FC"/>
    <w:rsid w:val="00E348B5"/>
    <w:rsid w:val="00E349EF"/>
    <w:rsid w:val="00E34AE9"/>
    <w:rsid w:val="00E34BD5"/>
    <w:rsid w:val="00E34FF5"/>
    <w:rsid w:val="00E35DB0"/>
    <w:rsid w:val="00E35DE4"/>
    <w:rsid w:val="00E35E0C"/>
    <w:rsid w:val="00E36135"/>
    <w:rsid w:val="00E3698F"/>
    <w:rsid w:val="00E36DEB"/>
    <w:rsid w:val="00E379BA"/>
    <w:rsid w:val="00E37A0B"/>
    <w:rsid w:val="00E37D8B"/>
    <w:rsid w:val="00E406B1"/>
    <w:rsid w:val="00E408F9"/>
    <w:rsid w:val="00E4090B"/>
    <w:rsid w:val="00E40996"/>
    <w:rsid w:val="00E40A43"/>
    <w:rsid w:val="00E40AA4"/>
    <w:rsid w:val="00E40D6B"/>
    <w:rsid w:val="00E413AC"/>
    <w:rsid w:val="00E41654"/>
    <w:rsid w:val="00E41D2D"/>
    <w:rsid w:val="00E4210A"/>
    <w:rsid w:val="00E428C5"/>
    <w:rsid w:val="00E42ABB"/>
    <w:rsid w:val="00E436E3"/>
    <w:rsid w:val="00E43D0E"/>
    <w:rsid w:val="00E4433A"/>
    <w:rsid w:val="00E445A5"/>
    <w:rsid w:val="00E44770"/>
    <w:rsid w:val="00E4483E"/>
    <w:rsid w:val="00E44EEF"/>
    <w:rsid w:val="00E4598D"/>
    <w:rsid w:val="00E459E4"/>
    <w:rsid w:val="00E45B7C"/>
    <w:rsid w:val="00E46309"/>
    <w:rsid w:val="00E46721"/>
    <w:rsid w:val="00E46964"/>
    <w:rsid w:val="00E46A1E"/>
    <w:rsid w:val="00E46BBD"/>
    <w:rsid w:val="00E46F60"/>
    <w:rsid w:val="00E4754B"/>
    <w:rsid w:val="00E47577"/>
    <w:rsid w:val="00E478EF"/>
    <w:rsid w:val="00E47BA6"/>
    <w:rsid w:val="00E47CBA"/>
    <w:rsid w:val="00E50252"/>
    <w:rsid w:val="00E503A4"/>
    <w:rsid w:val="00E50593"/>
    <w:rsid w:val="00E5107A"/>
    <w:rsid w:val="00E51248"/>
    <w:rsid w:val="00E515C5"/>
    <w:rsid w:val="00E5179D"/>
    <w:rsid w:val="00E51ADB"/>
    <w:rsid w:val="00E51AF9"/>
    <w:rsid w:val="00E51EE0"/>
    <w:rsid w:val="00E5230D"/>
    <w:rsid w:val="00E52344"/>
    <w:rsid w:val="00E52A07"/>
    <w:rsid w:val="00E52EB4"/>
    <w:rsid w:val="00E53137"/>
    <w:rsid w:val="00E5329B"/>
    <w:rsid w:val="00E53409"/>
    <w:rsid w:val="00E53634"/>
    <w:rsid w:val="00E53769"/>
    <w:rsid w:val="00E53839"/>
    <w:rsid w:val="00E539A6"/>
    <w:rsid w:val="00E53A57"/>
    <w:rsid w:val="00E53D86"/>
    <w:rsid w:val="00E53F4E"/>
    <w:rsid w:val="00E54318"/>
    <w:rsid w:val="00E543B0"/>
    <w:rsid w:val="00E54671"/>
    <w:rsid w:val="00E546E4"/>
    <w:rsid w:val="00E547DD"/>
    <w:rsid w:val="00E54EA6"/>
    <w:rsid w:val="00E55854"/>
    <w:rsid w:val="00E55926"/>
    <w:rsid w:val="00E559D7"/>
    <w:rsid w:val="00E55A92"/>
    <w:rsid w:val="00E56091"/>
    <w:rsid w:val="00E561BD"/>
    <w:rsid w:val="00E5637E"/>
    <w:rsid w:val="00E564E9"/>
    <w:rsid w:val="00E56CE6"/>
    <w:rsid w:val="00E56CF9"/>
    <w:rsid w:val="00E57424"/>
    <w:rsid w:val="00E57471"/>
    <w:rsid w:val="00E574A5"/>
    <w:rsid w:val="00E5757F"/>
    <w:rsid w:val="00E579E6"/>
    <w:rsid w:val="00E57DF5"/>
    <w:rsid w:val="00E57F66"/>
    <w:rsid w:val="00E6033C"/>
    <w:rsid w:val="00E604E5"/>
    <w:rsid w:val="00E605CF"/>
    <w:rsid w:val="00E6060A"/>
    <w:rsid w:val="00E60A08"/>
    <w:rsid w:val="00E614F1"/>
    <w:rsid w:val="00E61605"/>
    <w:rsid w:val="00E6192A"/>
    <w:rsid w:val="00E61A60"/>
    <w:rsid w:val="00E61FC9"/>
    <w:rsid w:val="00E62151"/>
    <w:rsid w:val="00E6239B"/>
    <w:rsid w:val="00E62B65"/>
    <w:rsid w:val="00E62C55"/>
    <w:rsid w:val="00E62E49"/>
    <w:rsid w:val="00E630E5"/>
    <w:rsid w:val="00E633E8"/>
    <w:rsid w:val="00E63717"/>
    <w:rsid w:val="00E6378A"/>
    <w:rsid w:val="00E6378B"/>
    <w:rsid w:val="00E63E41"/>
    <w:rsid w:val="00E63FDC"/>
    <w:rsid w:val="00E64251"/>
    <w:rsid w:val="00E64439"/>
    <w:rsid w:val="00E6450A"/>
    <w:rsid w:val="00E64739"/>
    <w:rsid w:val="00E64784"/>
    <w:rsid w:val="00E6488C"/>
    <w:rsid w:val="00E64DCD"/>
    <w:rsid w:val="00E6527E"/>
    <w:rsid w:val="00E65514"/>
    <w:rsid w:val="00E65791"/>
    <w:rsid w:val="00E6609E"/>
    <w:rsid w:val="00E66225"/>
    <w:rsid w:val="00E66B3A"/>
    <w:rsid w:val="00E66C30"/>
    <w:rsid w:val="00E673FE"/>
    <w:rsid w:val="00E67413"/>
    <w:rsid w:val="00E67640"/>
    <w:rsid w:val="00E67791"/>
    <w:rsid w:val="00E67BA4"/>
    <w:rsid w:val="00E67CB0"/>
    <w:rsid w:val="00E67D1B"/>
    <w:rsid w:val="00E67DD1"/>
    <w:rsid w:val="00E70320"/>
    <w:rsid w:val="00E7033A"/>
    <w:rsid w:val="00E70399"/>
    <w:rsid w:val="00E706C8"/>
    <w:rsid w:val="00E70A41"/>
    <w:rsid w:val="00E714AC"/>
    <w:rsid w:val="00E71BCD"/>
    <w:rsid w:val="00E71D02"/>
    <w:rsid w:val="00E71EDD"/>
    <w:rsid w:val="00E7203A"/>
    <w:rsid w:val="00E72294"/>
    <w:rsid w:val="00E7232A"/>
    <w:rsid w:val="00E7257B"/>
    <w:rsid w:val="00E72B64"/>
    <w:rsid w:val="00E72C08"/>
    <w:rsid w:val="00E73309"/>
    <w:rsid w:val="00E7332B"/>
    <w:rsid w:val="00E73E69"/>
    <w:rsid w:val="00E741D6"/>
    <w:rsid w:val="00E7452B"/>
    <w:rsid w:val="00E74AD6"/>
    <w:rsid w:val="00E74DD5"/>
    <w:rsid w:val="00E7501A"/>
    <w:rsid w:val="00E75829"/>
    <w:rsid w:val="00E758AD"/>
    <w:rsid w:val="00E75D9D"/>
    <w:rsid w:val="00E7631F"/>
    <w:rsid w:val="00E76B00"/>
    <w:rsid w:val="00E76EC1"/>
    <w:rsid w:val="00E77797"/>
    <w:rsid w:val="00E77B50"/>
    <w:rsid w:val="00E80108"/>
    <w:rsid w:val="00E803C0"/>
    <w:rsid w:val="00E80E29"/>
    <w:rsid w:val="00E8172B"/>
    <w:rsid w:val="00E81884"/>
    <w:rsid w:val="00E818C3"/>
    <w:rsid w:val="00E81B3B"/>
    <w:rsid w:val="00E8212D"/>
    <w:rsid w:val="00E82A1C"/>
    <w:rsid w:val="00E82B1A"/>
    <w:rsid w:val="00E82BF6"/>
    <w:rsid w:val="00E82EA5"/>
    <w:rsid w:val="00E83608"/>
    <w:rsid w:val="00E83694"/>
    <w:rsid w:val="00E83A8A"/>
    <w:rsid w:val="00E83DB8"/>
    <w:rsid w:val="00E84BAD"/>
    <w:rsid w:val="00E84C94"/>
    <w:rsid w:val="00E84E01"/>
    <w:rsid w:val="00E84FCE"/>
    <w:rsid w:val="00E850B0"/>
    <w:rsid w:val="00E851A2"/>
    <w:rsid w:val="00E8584F"/>
    <w:rsid w:val="00E85862"/>
    <w:rsid w:val="00E858F1"/>
    <w:rsid w:val="00E85B70"/>
    <w:rsid w:val="00E85C5D"/>
    <w:rsid w:val="00E85D73"/>
    <w:rsid w:val="00E85EB4"/>
    <w:rsid w:val="00E85EBE"/>
    <w:rsid w:val="00E86468"/>
    <w:rsid w:val="00E867EC"/>
    <w:rsid w:val="00E8735A"/>
    <w:rsid w:val="00E87462"/>
    <w:rsid w:val="00E87E41"/>
    <w:rsid w:val="00E90184"/>
    <w:rsid w:val="00E9068E"/>
    <w:rsid w:val="00E90867"/>
    <w:rsid w:val="00E910E6"/>
    <w:rsid w:val="00E911DB"/>
    <w:rsid w:val="00E91209"/>
    <w:rsid w:val="00E912DF"/>
    <w:rsid w:val="00E91654"/>
    <w:rsid w:val="00E916E9"/>
    <w:rsid w:val="00E9172C"/>
    <w:rsid w:val="00E917F6"/>
    <w:rsid w:val="00E91BA4"/>
    <w:rsid w:val="00E91EF9"/>
    <w:rsid w:val="00E92055"/>
    <w:rsid w:val="00E9247E"/>
    <w:rsid w:val="00E92568"/>
    <w:rsid w:val="00E9286E"/>
    <w:rsid w:val="00E92E61"/>
    <w:rsid w:val="00E92F12"/>
    <w:rsid w:val="00E93259"/>
    <w:rsid w:val="00E9342C"/>
    <w:rsid w:val="00E937A9"/>
    <w:rsid w:val="00E94117"/>
    <w:rsid w:val="00E945E8"/>
    <w:rsid w:val="00E94C59"/>
    <w:rsid w:val="00E953B6"/>
    <w:rsid w:val="00E95827"/>
    <w:rsid w:val="00E95D62"/>
    <w:rsid w:val="00E95F3E"/>
    <w:rsid w:val="00E95F41"/>
    <w:rsid w:val="00E960F5"/>
    <w:rsid w:val="00E963B2"/>
    <w:rsid w:val="00E96485"/>
    <w:rsid w:val="00E9649A"/>
    <w:rsid w:val="00E965F4"/>
    <w:rsid w:val="00E967C0"/>
    <w:rsid w:val="00E96ABE"/>
    <w:rsid w:val="00E97102"/>
    <w:rsid w:val="00E97580"/>
    <w:rsid w:val="00E9789B"/>
    <w:rsid w:val="00E9798C"/>
    <w:rsid w:val="00E97A8E"/>
    <w:rsid w:val="00E97ADC"/>
    <w:rsid w:val="00E97FAC"/>
    <w:rsid w:val="00EA0186"/>
    <w:rsid w:val="00EA01A6"/>
    <w:rsid w:val="00EA029A"/>
    <w:rsid w:val="00EA047A"/>
    <w:rsid w:val="00EA089F"/>
    <w:rsid w:val="00EA0948"/>
    <w:rsid w:val="00EA0C8E"/>
    <w:rsid w:val="00EA0D4D"/>
    <w:rsid w:val="00EA0F26"/>
    <w:rsid w:val="00EA1091"/>
    <w:rsid w:val="00EA1174"/>
    <w:rsid w:val="00EA1345"/>
    <w:rsid w:val="00EA17B5"/>
    <w:rsid w:val="00EA1851"/>
    <w:rsid w:val="00EA1A0A"/>
    <w:rsid w:val="00EA1AA9"/>
    <w:rsid w:val="00EA21B5"/>
    <w:rsid w:val="00EA2327"/>
    <w:rsid w:val="00EA2A27"/>
    <w:rsid w:val="00EA2A99"/>
    <w:rsid w:val="00EA2B52"/>
    <w:rsid w:val="00EA2D06"/>
    <w:rsid w:val="00EA2DED"/>
    <w:rsid w:val="00EA31FC"/>
    <w:rsid w:val="00EA37E2"/>
    <w:rsid w:val="00EA37EA"/>
    <w:rsid w:val="00EA41A5"/>
    <w:rsid w:val="00EA45F9"/>
    <w:rsid w:val="00EA49C8"/>
    <w:rsid w:val="00EA4A79"/>
    <w:rsid w:val="00EA4BB5"/>
    <w:rsid w:val="00EA4E73"/>
    <w:rsid w:val="00EA500E"/>
    <w:rsid w:val="00EA53CF"/>
    <w:rsid w:val="00EA544A"/>
    <w:rsid w:val="00EA55D2"/>
    <w:rsid w:val="00EA5E41"/>
    <w:rsid w:val="00EA5F49"/>
    <w:rsid w:val="00EA5FEB"/>
    <w:rsid w:val="00EA6059"/>
    <w:rsid w:val="00EA65B4"/>
    <w:rsid w:val="00EA67CF"/>
    <w:rsid w:val="00EA6A62"/>
    <w:rsid w:val="00EA6A74"/>
    <w:rsid w:val="00EA6D91"/>
    <w:rsid w:val="00EA7228"/>
    <w:rsid w:val="00EA7237"/>
    <w:rsid w:val="00EA7247"/>
    <w:rsid w:val="00EA76E1"/>
    <w:rsid w:val="00EA7873"/>
    <w:rsid w:val="00EA7950"/>
    <w:rsid w:val="00EA7C3C"/>
    <w:rsid w:val="00EB0485"/>
    <w:rsid w:val="00EB064E"/>
    <w:rsid w:val="00EB0906"/>
    <w:rsid w:val="00EB0A2E"/>
    <w:rsid w:val="00EB0E22"/>
    <w:rsid w:val="00EB0EE2"/>
    <w:rsid w:val="00EB103F"/>
    <w:rsid w:val="00EB1128"/>
    <w:rsid w:val="00EB12B2"/>
    <w:rsid w:val="00EB15B6"/>
    <w:rsid w:val="00EB1654"/>
    <w:rsid w:val="00EB1B0A"/>
    <w:rsid w:val="00EB2616"/>
    <w:rsid w:val="00EB294B"/>
    <w:rsid w:val="00EB2D44"/>
    <w:rsid w:val="00EB2D8B"/>
    <w:rsid w:val="00EB2E68"/>
    <w:rsid w:val="00EB3954"/>
    <w:rsid w:val="00EB3A54"/>
    <w:rsid w:val="00EB3CBB"/>
    <w:rsid w:val="00EB4FE6"/>
    <w:rsid w:val="00EB541C"/>
    <w:rsid w:val="00EB5491"/>
    <w:rsid w:val="00EB58C3"/>
    <w:rsid w:val="00EB59C9"/>
    <w:rsid w:val="00EB5ECF"/>
    <w:rsid w:val="00EB68D2"/>
    <w:rsid w:val="00EB698D"/>
    <w:rsid w:val="00EB6A1F"/>
    <w:rsid w:val="00EB76E0"/>
    <w:rsid w:val="00EB78C7"/>
    <w:rsid w:val="00EB7A81"/>
    <w:rsid w:val="00EB7E39"/>
    <w:rsid w:val="00EC00CC"/>
    <w:rsid w:val="00EC0145"/>
    <w:rsid w:val="00EC01C5"/>
    <w:rsid w:val="00EC0794"/>
    <w:rsid w:val="00EC0BF1"/>
    <w:rsid w:val="00EC0F1C"/>
    <w:rsid w:val="00EC1379"/>
    <w:rsid w:val="00EC16BD"/>
    <w:rsid w:val="00EC1E50"/>
    <w:rsid w:val="00EC1F42"/>
    <w:rsid w:val="00EC2198"/>
    <w:rsid w:val="00EC28B6"/>
    <w:rsid w:val="00EC2B41"/>
    <w:rsid w:val="00EC2E18"/>
    <w:rsid w:val="00EC3024"/>
    <w:rsid w:val="00EC304F"/>
    <w:rsid w:val="00EC32D4"/>
    <w:rsid w:val="00EC336D"/>
    <w:rsid w:val="00EC37AA"/>
    <w:rsid w:val="00EC383F"/>
    <w:rsid w:val="00EC3A11"/>
    <w:rsid w:val="00EC3F26"/>
    <w:rsid w:val="00EC4683"/>
    <w:rsid w:val="00EC4D97"/>
    <w:rsid w:val="00EC51A0"/>
    <w:rsid w:val="00EC5C16"/>
    <w:rsid w:val="00EC6130"/>
    <w:rsid w:val="00EC6398"/>
    <w:rsid w:val="00EC6662"/>
    <w:rsid w:val="00EC6AB2"/>
    <w:rsid w:val="00EC6E18"/>
    <w:rsid w:val="00EC7D89"/>
    <w:rsid w:val="00EC7DA6"/>
    <w:rsid w:val="00ED009A"/>
    <w:rsid w:val="00ED0566"/>
    <w:rsid w:val="00ED061C"/>
    <w:rsid w:val="00ED066F"/>
    <w:rsid w:val="00ED06C2"/>
    <w:rsid w:val="00ED06E2"/>
    <w:rsid w:val="00ED0858"/>
    <w:rsid w:val="00ED0946"/>
    <w:rsid w:val="00ED0B13"/>
    <w:rsid w:val="00ED0C43"/>
    <w:rsid w:val="00ED0D2A"/>
    <w:rsid w:val="00ED0D93"/>
    <w:rsid w:val="00ED0ECE"/>
    <w:rsid w:val="00ED1004"/>
    <w:rsid w:val="00ED10A4"/>
    <w:rsid w:val="00ED117B"/>
    <w:rsid w:val="00ED184D"/>
    <w:rsid w:val="00ED1857"/>
    <w:rsid w:val="00ED1BBA"/>
    <w:rsid w:val="00ED1E8D"/>
    <w:rsid w:val="00ED2097"/>
    <w:rsid w:val="00ED22C4"/>
    <w:rsid w:val="00ED275D"/>
    <w:rsid w:val="00ED29F1"/>
    <w:rsid w:val="00ED2ABD"/>
    <w:rsid w:val="00ED2CED"/>
    <w:rsid w:val="00ED2F8C"/>
    <w:rsid w:val="00ED3301"/>
    <w:rsid w:val="00ED3406"/>
    <w:rsid w:val="00ED37F1"/>
    <w:rsid w:val="00ED3B86"/>
    <w:rsid w:val="00ED3BE0"/>
    <w:rsid w:val="00ED3CB8"/>
    <w:rsid w:val="00ED3D25"/>
    <w:rsid w:val="00ED3E01"/>
    <w:rsid w:val="00ED434E"/>
    <w:rsid w:val="00ED467F"/>
    <w:rsid w:val="00ED4701"/>
    <w:rsid w:val="00ED4DB8"/>
    <w:rsid w:val="00ED56DD"/>
    <w:rsid w:val="00ED57D8"/>
    <w:rsid w:val="00ED5989"/>
    <w:rsid w:val="00ED5EB2"/>
    <w:rsid w:val="00ED6EC0"/>
    <w:rsid w:val="00ED7670"/>
    <w:rsid w:val="00ED7720"/>
    <w:rsid w:val="00ED78AB"/>
    <w:rsid w:val="00ED7E00"/>
    <w:rsid w:val="00EE0149"/>
    <w:rsid w:val="00EE07B5"/>
    <w:rsid w:val="00EE1028"/>
    <w:rsid w:val="00EE106A"/>
    <w:rsid w:val="00EE109B"/>
    <w:rsid w:val="00EE118E"/>
    <w:rsid w:val="00EE1214"/>
    <w:rsid w:val="00EE1386"/>
    <w:rsid w:val="00EE15D9"/>
    <w:rsid w:val="00EE23B9"/>
    <w:rsid w:val="00EE23C9"/>
    <w:rsid w:val="00EE2579"/>
    <w:rsid w:val="00EE260C"/>
    <w:rsid w:val="00EE2766"/>
    <w:rsid w:val="00EE2B2C"/>
    <w:rsid w:val="00EE2BE0"/>
    <w:rsid w:val="00EE312A"/>
    <w:rsid w:val="00EE33F4"/>
    <w:rsid w:val="00EE34CD"/>
    <w:rsid w:val="00EE3532"/>
    <w:rsid w:val="00EE359B"/>
    <w:rsid w:val="00EE384D"/>
    <w:rsid w:val="00EE4A20"/>
    <w:rsid w:val="00EE4C60"/>
    <w:rsid w:val="00EE4F95"/>
    <w:rsid w:val="00EE505B"/>
    <w:rsid w:val="00EE54E1"/>
    <w:rsid w:val="00EE57F1"/>
    <w:rsid w:val="00EE5896"/>
    <w:rsid w:val="00EE5B1C"/>
    <w:rsid w:val="00EE5D5C"/>
    <w:rsid w:val="00EE5E42"/>
    <w:rsid w:val="00EE5E5D"/>
    <w:rsid w:val="00EE62BC"/>
    <w:rsid w:val="00EE6945"/>
    <w:rsid w:val="00EE747E"/>
    <w:rsid w:val="00EE7528"/>
    <w:rsid w:val="00EE7625"/>
    <w:rsid w:val="00EE7DCA"/>
    <w:rsid w:val="00EE7F5B"/>
    <w:rsid w:val="00EF0410"/>
    <w:rsid w:val="00EF04B7"/>
    <w:rsid w:val="00EF062B"/>
    <w:rsid w:val="00EF0C44"/>
    <w:rsid w:val="00EF0D7A"/>
    <w:rsid w:val="00EF0E77"/>
    <w:rsid w:val="00EF0F5C"/>
    <w:rsid w:val="00EF1313"/>
    <w:rsid w:val="00EF13CF"/>
    <w:rsid w:val="00EF19D3"/>
    <w:rsid w:val="00EF1B70"/>
    <w:rsid w:val="00EF1E5E"/>
    <w:rsid w:val="00EF1FAC"/>
    <w:rsid w:val="00EF1FD6"/>
    <w:rsid w:val="00EF2406"/>
    <w:rsid w:val="00EF24CF"/>
    <w:rsid w:val="00EF24D5"/>
    <w:rsid w:val="00EF26EC"/>
    <w:rsid w:val="00EF291C"/>
    <w:rsid w:val="00EF2A35"/>
    <w:rsid w:val="00EF2AD6"/>
    <w:rsid w:val="00EF2FD7"/>
    <w:rsid w:val="00EF337D"/>
    <w:rsid w:val="00EF3442"/>
    <w:rsid w:val="00EF357C"/>
    <w:rsid w:val="00EF361D"/>
    <w:rsid w:val="00EF3BC8"/>
    <w:rsid w:val="00EF3DA7"/>
    <w:rsid w:val="00EF3DE2"/>
    <w:rsid w:val="00EF464A"/>
    <w:rsid w:val="00EF4680"/>
    <w:rsid w:val="00EF498F"/>
    <w:rsid w:val="00EF4CEB"/>
    <w:rsid w:val="00EF4D6E"/>
    <w:rsid w:val="00EF516E"/>
    <w:rsid w:val="00EF52FE"/>
    <w:rsid w:val="00EF5979"/>
    <w:rsid w:val="00EF5CE5"/>
    <w:rsid w:val="00EF611A"/>
    <w:rsid w:val="00EF6430"/>
    <w:rsid w:val="00EF68F5"/>
    <w:rsid w:val="00EF6EEE"/>
    <w:rsid w:val="00EF6FDD"/>
    <w:rsid w:val="00EF703A"/>
    <w:rsid w:val="00EF7066"/>
    <w:rsid w:val="00EF71D8"/>
    <w:rsid w:val="00EF73AE"/>
    <w:rsid w:val="00EF747C"/>
    <w:rsid w:val="00EF7665"/>
    <w:rsid w:val="00EF7997"/>
    <w:rsid w:val="00EF7C08"/>
    <w:rsid w:val="00F001C5"/>
    <w:rsid w:val="00F002A9"/>
    <w:rsid w:val="00F0047A"/>
    <w:rsid w:val="00F00908"/>
    <w:rsid w:val="00F00B61"/>
    <w:rsid w:val="00F00D49"/>
    <w:rsid w:val="00F00D75"/>
    <w:rsid w:val="00F01031"/>
    <w:rsid w:val="00F010CF"/>
    <w:rsid w:val="00F0181F"/>
    <w:rsid w:val="00F0182E"/>
    <w:rsid w:val="00F01878"/>
    <w:rsid w:val="00F01A87"/>
    <w:rsid w:val="00F01D88"/>
    <w:rsid w:val="00F02492"/>
    <w:rsid w:val="00F0299B"/>
    <w:rsid w:val="00F029E0"/>
    <w:rsid w:val="00F02A2C"/>
    <w:rsid w:val="00F02F83"/>
    <w:rsid w:val="00F0389E"/>
    <w:rsid w:val="00F04245"/>
    <w:rsid w:val="00F0493F"/>
    <w:rsid w:val="00F049EE"/>
    <w:rsid w:val="00F04F0C"/>
    <w:rsid w:val="00F0559C"/>
    <w:rsid w:val="00F05688"/>
    <w:rsid w:val="00F05733"/>
    <w:rsid w:val="00F05BB2"/>
    <w:rsid w:val="00F05C98"/>
    <w:rsid w:val="00F05C9A"/>
    <w:rsid w:val="00F05E25"/>
    <w:rsid w:val="00F05FD0"/>
    <w:rsid w:val="00F06014"/>
    <w:rsid w:val="00F0616F"/>
    <w:rsid w:val="00F062FF"/>
    <w:rsid w:val="00F06522"/>
    <w:rsid w:val="00F065AE"/>
    <w:rsid w:val="00F0677A"/>
    <w:rsid w:val="00F06D55"/>
    <w:rsid w:val="00F07038"/>
    <w:rsid w:val="00F075FB"/>
    <w:rsid w:val="00F0792F"/>
    <w:rsid w:val="00F07A1F"/>
    <w:rsid w:val="00F07AEA"/>
    <w:rsid w:val="00F07C05"/>
    <w:rsid w:val="00F07E2D"/>
    <w:rsid w:val="00F07EDE"/>
    <w:rsid w:val="00F10037"/>
    <w:rsid w:val="00F10536"/>
    <w:rsid w:val="00F10659"/>
    <w:rsid w:val="00F10B6A"/>
    <w:rsid w:val="00F10CE0"/>
    <w:rsid w:val="00F10D1E"/>
    <w:rsid w:val="00F10F9D"/>
    <w:rsid w:val="00F10FE7"/>
    <w:rsid w:val="00F11461"/>
    <w:rsid w:val="00F116B9"/>
    <w:rsid w:val="00F11960"/>
    <w:rsid w:val="00F11A12"/>
    <w:rsid w:val="00F11AD5"/>
    <w:rsid w:val="00F11B2B"/>
    <w:rsid w:val="00F11B58"/>
    <w:rsid w:val="00F11F68"/>
    <w:rsid w:val="00F11FBB"/>
    <w:rsid w:val="00F12038"/>
    <w:rsid w:val="00F1208D"/>
    <w:rsid w:val="00F12550"/>
    <w:rsid w:val="00F1275E"/>
    <w:rsid w:val="00F128A1"/>
    <w:rsid w:val="00F12988"/>
    <w:rsid w:val="00F12B0E"/>
    <w:rsid w:val="00F12BC7"/>
    <w:rsid w:val="00F12D15"/>
    <w:rsid w:val="00F12DC3"/>
    <w:rsid w:val="00F13009"/>
    <w:rsid w:val="00F134AB"/>
    <w:rsid w:val="00F136A6"/>
    <w:rsid w:val="00F1412E"/>
    <w:rsid w:val="00F14483"/>
    <w:rsid w:val="00F14488"/>
    <w:rsid w:val="00F1483F"/>
    <w:rsid w:val="00F14D67"/>
    <w:rsid w:val="00F14DB5"/>
    <w:rsid w:val="00F15585"/>
    <w:rsid w:val="00F15691"/>
    <w:rsid w:val="00F156E7"/>
    <w:rsid w:val="00F15C7D"/>
    <w:rsid w:val="00F15E2E"/>
    <w:rsid w:val="00F16735"/>
    <w:rsid w:val="00F16B6E"/>
    <w:rsid w:val="00F16D97"/>
    <w:rsid w:val="00F16F89"/>
    <w:rsid w:val="00F17145"/>
    <w:rsid w:val="00F173CD"/>
    <w:rsid w:val="00F1753C"/>
    <w:rsid w:val="00F1754B"/>
    <w:rsid w:val="00F1780D"/>
    <w:rsid w:val="00F17922"/>
    <w:rsid w:val="00F179F1"/>
    <w:rsid w:val="00F2011A"/>
    <w:rsid w:val="00F2051F"/>
    <w:rsid w:val="00F205AA"/>
    <w:rsid w:val="00F208B1"/>
    <w:rsid w:val="00F2094D"/>
    <w:rsid w:val="00F20EDC"/>
    <w:rsid w:val="00F20FDA"/>
    <w:rsid w:val="00F212F9"/>
    <w:rsid w:val="00F213FE"/>
    <w:rsid w:val="00F22011"/>
    <w:rsid w:val="00F2233E"/>
    <w:rsid w:val="00F2247C"/>
    <w:rsid w:val="00F22E62"/>
    <w:rsid w:val="00F237CD"/>
    <w:rsid w:val="00F2385E"/>
    <w:rsid w:val="00F23DB9"/>
    <w:rsid w:val="00F24157"/>
    <w:rsid w:val="00F24768"/>
    <w:rsid w:val="00F249B1"/>
    <w:rsid w:val="00F24BF5"/>
    <w:rsid w:val="00F24CAE"/>
    <w:rsid w:val="00F24CE5"/>
    <w:rsid w:val="00F24E47"/>
    <w:rsid w:val="00F24E4C"/>
    <w:rsid w:val="00F24FD4"/>
    <w:rsid w:val="00F251C9"/>
    <w:rsid w:val="00F253C3"/>
    <w:rsid w:val="00F2604F"/>
    <w:rsid w:val="00F26338"/>
    <w:rsid w:val="00F26C2D"/>
    <w:rsid w:val="00F26D0A"/>
    <w:rsid w:val="00F275EB"/>
    <w:rsid w:val="00F27698"/>
    <w:rsid w:val="00F27AA6"/>
    <w:rsid w:val="00F27AF7"/>
    <w:rsid w:val="00F3072C"/>
    <w:rsid w:val="00F3076B"/>
    <w:rsid w:val="00F307BA"/>
    <w:rsid w:val="00F30B02"/>
    <w:rsid w:val="00F30BE2"/>
    <w:rsid w:val="00F30CA0"/>
    <w:rsid w:val="00F30D10"/>
    <w:rsid w:val="00F31488"/>
    <w:rsid w:val="00F31806"/>
    <w:rsid w:val="00F3198F"/>
    <w:rsid w:val="00F32A8C"/>
    <w:rsid w:val="00F32D0A"/>
    <w:rsid w:val="00F32E42"/>
    <w:rsid w:val="00F3301F"/>
    <w:rsid w:val="00F331F8"/>
    <w:rsid w:val="00F332FD"/>
    <w:rsid w:val="00F3365F"/>
    <w:rsid w:val="00F3374B"/>
    <w:rsid w:val="00F33855"/>
    <w:rsid w:val="00F33962"/>
    <w:rsid w:val="00F339DE"/>
    <w:rsid w:val="00F33B03"/>
    <w:rsid w:val="00F33D00"/>
    <w:rsid w:val="00F34343"/>
    <w:rsid w:val="00F34405"/>
    <w:rsid w:val="00F3450D"/>
    <w:rsid w:val="00F34A8F"/>
    <w:rsid w:val="00F35BA6"/>
    <w:rsid w:val="00F35C47"/>
    <w:rsid w:val="00F35E64"/>
    <w:rsid w:val="00F361E2"/>
    <w:rsid w:val="00F362E4"/>
    <w:rsid w:val="00F368AB"/>
    <w:rsid w:val="00F36AB0"/>
    <w:rsid w:val="00F36C80"/>
    <w:rsid w:val="00F36D07"/>
    <w:rsid w:val="00F37080"/>
    <w:rsid w:val="00F371E5"/>
    <w:rsid w:val="00F37321"/>
    <w:rsid w:val="00F376B8"/>
    <w:rsid w:val="00F37F02"/>
    <w:rsid w:val="00F4000F"/>
    <w:rsid w:val="00F40DB3"/>
    <w:rsid w:val="00F40F5D"/>
    <w:rsid w:val="00F4136E"/>
    <w:rsid w:val="00F41837"/>
    <w:rsid w:val="00F418B6"/>
    <w:rsid w:val="00F41A7D"/>
    <w:rsid w:val="00F422CE"/>
    <w:rsid w:val="00F422E1"/>
    <w:rsid w:val="00F423B4"/>
    <w:rsid w:val="00F425D3"/>
    <w:rsid w:val="00F428E4"/>
    <w:rsid w:val="00F42B47"/>
    <w:rsid w:val="00F42B6B"/>
    <w:rsid w:val="00F42C97"/>
    <w:rsid w:val="00F43089"/>
    <w:rsid w:val="00F43572"/>
    <w:rsid w:val="00F4358A"/>
    <w:rsid w:val="00F43A77"/>
    <w:rsid w:val="00F43C67"/>
    <w:rsid w:val="00F43F16"/>
    <w:rsid w:val="00F43FD4"/>
    <w:rsid w:val="00F44895"/>
    <w:rsid w:val="00F44AE6"/>
    <w:rsid w:val="00F44B32"/>
    <w:rsid w:val="00F44CE7"/>
    <w:rsid w:val="00F44D2A"/>
    <w:rsid w:val="00F44F53"/>
    <w:rsid w:val="00F450F3"/>
    <w:rsid w:val="00F45776"/>
    <w:rsid w:val="00F45A34"/>
    <w:rsid w:val="00F45B5C"/>
    <w:rsid w:val="00F45F77"/>
    <w:rsid w:val="00F45F8D"/>
    <w:rsid w:val="00F46108"/>
    <w:rsid w:val="00F4610C"/>
    <w:rsid w:val="00F461DE"/>
    <w:rsid w:val="00F461EB"/>
    <w:rsid w:val="00F4630D"/>
    <w:rsid w:val="00F4637F"/>
    <w:rsid w:val="00F46BA8"/>
    <w:rsid w:val="00F46C6B"/>
    <w:rsid w:val="00F47121"/>
    <w:rsid w:val="00F4764B"/>
    <w:rsid w:val="00F476BD"/>
    <w:rsid w:val="00F477A9"/>
    <w:rsid w:val="00F47B7A"/>
    <w:rsid w:val="00F47C39"/>
    <w:rsid w:val="00F47CA7"/>
    <w:rsid w:val="00F47EE5"/>
    <w:rsid w:val="00F50025"/>
    <w:rsid w:val="00F501C0"/>
    <w:rsid w:val="00F501F7"/>
    <w:rsid w:val="00F50617"/>
    <w:rsid w:val="00F50855"/>
    <w:rsid w:val="00F50A88"/>
    <w:rsid w:val="00F50C90"/>
    <w:rsid w:val="00F50FF3"/>
    <w:rsid w:val="00F511AD"/>
    <w:rsid w:val="00F512FE"/>
    <w:rsid w:val="00F5157A"/>
    <w:rsid w:val="00F515C3"/>
    <w:rsid w:val="00F51CCB"/>
    <w:rsid w:val="00F51F2F"/>
    <w:rsid w:val="00F51F58"/>
    <w:rsid w:val="00F51F9B"/>
    <w:rsid w:val="00F520A2"/>
    <w:rsid w:val="00F52584"/>
    <w:rsid w:val="00F52C2C"/>
    <w:rsid w:val="00F531CB"/>
    <w:rsid w:val="00F53258"/>
    <w:rsid w:val="00F5327F"/>
    <w:rsid w:val="00F53699"/>
    <w:rsid w:val="00F536F2"/>
    <w:rsid w:val="00F5373A"/>
    <w:rsid w:val="00F5413F"/>
    <w:rsid w:val="00F54829"/>
    <w:rsid w:val="00F5497E"/>
    <w:rsid w:val="00F54A20"/>
    <w:rsid w:val="00F5547B"/>
    <w:rsid w:val="00F5574D"/>
    <w:rsid w:val="00F557A3"/>
    <w:rsid w:val="00F55BFC"/>
    <w:rsid w:val="00F55E0C"/>
    <w:rsid w:val="00F560B7"/>
    <w:rsid w:val="00F560E9"/>
    <w:rsid w:val="00F56621"/>
    <w:rsid w:val="00F56792"/>
    <w:rsid w:val="00F569D6"/>
    <w:rsid w:val="00F569F8"/>
    <w:rsid w:val="00F56B55"/>
    <w:rsid w:val="00F56C7C"/>
    <w:rsid w:val="00F56D51"/>
    <w:rsid w:val="00F57052"/>
    <w:rsid w:val="00F5736D"/>
    <w:rsid w:val="00F574D2"/>
    <w:rsid w:val="00F57507"/>
    <w:rsid w:val="00F57A06"/>
    <w:rsid w:val="00F57A27"/>
    <w:rsid w:val="00F57BEC"/>
    <w:rsid w:val="00F601C9"/>
    <w:rsid w:val="00F60305"/>
    <w:rsid w:val="00F6059C"/>
    <w:rsid w:val="00F6085B"/>
    <w:rsid w:val="00F60C95"/>
    <w:rsid w:val="00F60EA9"/>
    <w:rsid w:val="00F610A0"/>
    <w:rsid w:val="00F612E8"/>
    <w:rsid w:val="00F61426"/>
    <w:rsid w:val="00F61725"/>
    <w:rsid w:val="00F61A39"/>
    <w:rsid w:val="00F61E30"/>
    <w:rsid w:val="00F620B8"/>
    <w:rsid w:val="00F62206"/>
    <w:rsid w:val="00F6223E"/>
    <w:rsid w:val="00F6261A"/>
    <w:rsid w:val="00F62CA3"/>
    <w:rsid w:val="00F63174"/>
    <w:rsid w:val="00F63354"/>
    <w:rsid w:val="00F6349A"/>
    <w:rsid w:val="00F6356A"/>
    <w:rsid w:val="00F6357A"/>
    <w:rsid w:val="00F63A77"/>
    <w:rsid w:val="00F63A91"/>
    <w:rsid w:val="00F63C16"/>
    <w:rsid w:val="00F63F29"/>
    <w:rsid w:val="00F6429B"/>
    <w:rsid w:val="00F645EE"/>
    <w:rsid w:val="00F646AF"/>
    <w:rsid w:val="00F64C8C"/>
    <w:rsid w:val="00F64E86"/>
    <w:rsid w:val="00F64EAB"/>
    <w:rsid w:val="00F6502D"/>
    <w:rsid w:val="00F65282"/>
    <w:rsid w:val="00F65CCE"/>
    <w:rsid w:val="00F65CF0"/>
    <w:rsid w:val="00F65D57"/>
    <w:rsid w:val="00F66639"/>
    <w:rsid w:val="00F66C7D"/>
    <w:rsid w:val="00F66D96"/>
    <w:rsid w:val="00F67475"/>
    <w:rsid w:val="00F6763A"/>
    <w:rsid w:val="00F70398"/>
    <w:rsid w:val="00F70517"/>
    <w:rsid w:val="00F70B17"/>
    <w:rsid w:val="00F70B81"/>
    <w:rsid w:val="00F711BB"/>
    <w:rsid w:val="00F7129F"/>
    <w:rsid w:val="00F71381"/>
    <w:rsid w:val="00F71C6C"/>
    <w:rsid w:val="00F71CD9"/>
    <w:rsid w:val="00F721AD"/>
    <w:rsid w:val="00F72319"/>
    <w:rsid w:val="00F72823"/>
    <w:rsid w:val="00F72A31"/>
    <w:rsid w:val="00F72A51"/>
    <w:rsid w:val="00F72D01"/>
    <w:rsid w:val="00F73219"/>
    <w:rsid w:val="00F732DB"/>
    <w:rsid w:val="00F734D2"/>
    <w:rsid w:val="00F7363C"/>
    <w:rsid w:val="00F73725"/>
    <w:rsid w:val="00F738B3"/>
    <w:rsid w:val="00F73C14"/>
    <w:rsid w:val="00F73D4B"/>
    <w:rsid w:val="00F73EDB"/>
    <w:rsid w:val="00F73F34"/>
    <w:rsid w:val="00F74115"/>
    <w:rsid w:val="00F74FE1"/>
    <w:rsid w:val="00F7521A"/>
    <w:rsid w:val="00F75633"/>
    <w:rsid w:val="00F759FA"/>
    <w:rsid w:val="00F75A69"/>
    <w:rsid w:val="00F75D4B"/>
    <w:rsid w:val="00F75FB6"/>
    <w:rsid w:val="00F7608B"/>
    <w:rsid w:val="00F76B0D"/>
    <w:rsid w:val="00F77099"/>
    <w:rsid w:val="00F770D5"/>
    <w:rsid w:val="00F77116"/>
    <w:rsid w:val="00F77157"/>
    <w:rsid w:val="00F77192"/>
    <w:rsid w:val="00F77485"/>
    <w:rsid w:val="00F77733"/>
    <w:rsid w:val="00F778AB"/>
    <w:rsid w:val="00F77978"/>
    <w:rsid w:val="00F80162"/>
    <w:rsid w:val="00F80541"/>
    <w:rsid w:val="00F807AA"/>
    <w:rsid w:val="00F80ADD"/>
    <w:rsid w:val="00F8109E"/>
    <w:rsid w:val="00F8112D"/>
    <w:rsid w:val="00F81306"/>
    <w:rsid w:val="00F81EAD"/>
    <w:rsid w:val="00F821C2"/>
    <w:rsid w:val="00F82432"/>
    <w:rsid w:val="00F824E6"/>
    <w:rsid w:val="00F824EB"/>
    <w:rsid w:val="00F8258F"/>
    <w:rsid w:val="00F82653"/>
    <w:rsid w:val="00F82732"/>
    <w:rsid w:val="00F8273A"/>
    <w:rsid w:val="00F82959"/>
    <w:rsid w:val="00F82BD8"/>
    <w:rsid w:val="00F82F27"/>
    <w:rsid w:val="00F82FC9"/>
    <w:rsid w:val="00F8311B"/>
    <w:rsid w:val="00F83534"/>
    <w:rsid w:val="00F835E7"/>
    <w:rsid w:val="00F83A71"/>
    <w:rsid w:val="00F83AB6"/>
    <w:rsid w:val="00F83E93"/>
    <w:rsid w:val="00F842E9"/>
    <w:rsid w:val="00F844B5"/>
    <w:rsid w:val="00F84C82"/>
    <w:rsid w:val="00F84DCF"/>
    <w:rsid w:val="00F84F82"/>
    <w:rsid w:val="00F857E7"/>
    <w:rsid w:val="00F85F46"/>
    <w:rsid w:val="00F86866"/>
    <w:rsid w:val="00F86B95"/>
    <w:rsid w:val="00F86BF6"/>
    <w:rsid w:val="00F86C7A"/>
    <w:rsid w:val="00F8738D"/>
    <w:rsid w:val="00F874E1"/>
    <w:rsid w:val="00F878C3"/>
    <w:rsid w:val="00F878FD"/>
    <w:rsid w:val="00F87FE7"/>
    <w:rsid w:val="00F90076"/>
    <w:rsid w:val="00F902E1"/>
    <w:rsid w:val="00F90628"/>
    <w:rsid w:val="00F9075F"/>
    <w:rsid w:val="00F90D00"/>
    <w:rsid w:val="00F90E1C"/>
    <w:rsid w:val="00F90EE8"/>
    <w:rsid w:val="00F91223"/>
    <w:rsid w:val="00F912B1"/>
    <w:rsid w:val="00F91985"/>
    <w:rsid w:val="00F91A6C"/>
    <w:rsid w:val="00F92434"/>
    <w:rsid w:val="00F924F9"/>
    <w:rsid w:val="00F92769"/>
    <w:rsid w:val="00F93024"/>
    <w:rsid w:val="00F93035"/>
    <w:rsid w:val="00F9328A"/>
    <w:rsid w:val="00F932DC"/>
    <w:rsid w:val="00F935B6"/>
    <w:rsid w:val="00F93709"/>
    <w:rsid w:val="00F941B9"/>
    <w:rsid w:val="00F944D3"/>
    <w:rsid w:val="00F9462A"/>
    <w:rsid w:val="00F94AFE"/>
    <w:rsid w:val="00F94B0A"/>
    <w:rsid w:val="00F94BB6"/>
    <w:rsid w:val="00F94DA4"/>
    <w:rsid w:val="00F95433"/>
    <w:rsid w:val="00F9572D"/>
    <w:rsid w:val="00F95C0F"/>
    <w:rsid w:val="00F95C8F"/>
    <w:rsid w:val="00F95F6D"/>
    <w:rsid w:val="00F96107"/>
    <w:rsid w:val="00F96957"/>
    <w:rsid w:val="00F96B8A"/>
    <w:rsid w:val="00F96D6C"/>
    <w:rsid w:val="00F96E2A"/>
    <w:rsid w:val="00F96EC8"/>
    <w:rsid w:val="00F96F40"/>
    <w:rsid w:val="00F9709F"/>
    <w:rsid w:val="00F976E2"/>
    <w:rsid w:val="00F97829"/>
    <w:rsid w:val="00F9792B"/>
    <w:rsid w:val="00F97F19"/>
    <w:rsid w:val="00FA0736"/>
    <w:rsid w:val="00FA07BB"/>
    <w:rsid w:val="00FA0804"/>
    <w:rsid w:val="00FA0AE2"/>
    <w:rsid w:val="00FA0C22"/>
    <w:rsid w:val="00FA1325"/>
    <w:rsid w:val="00FA1563"/>
    <w:rsid w:val="00FA16B2"/>
    <w:rsid w:val="00FA19E9"/>
    <w:rsid w:val="00FA1B7D"/>
    <w:rsid w:val="00FA1D82"/>
    <w:rsid w:val="00FA231D"/>
    <w:rsid w:val="00FA251F"/>
    <w:rsid w:val="00FA2B86"/>
    <w:rsid w:val="00FA2DFD"/>
    <w:rsid w:val="00FA2E2D"/>
    <w:rsid w:val="00FA2F30"/>
    <w:rsid w:val="00FA35C9"/>
    <w:rsid w:val="00FA3A6B"/>
    <w:rsid w:val="00FA3B18"/>
    <w:rsid w:val="00FA4737"/>
    <w:rsid w:val="00FA53F3"/>
    <w:rsid w:val="00FA5F70"/>
    <w:rsid w:val="00FA6692"/>
    <w:rsid w:val="00FA675D"/>
    <w:rsid w:val="00FA6784"/>
    <w:rsid w:val="00FA6AD7"/>
    <w:rsid w:val="00FA6F89"/>
    <w:rsid w:val="00FA72F3"/>
    <w:rsid w:val="00FA7976"/>
    <w:rsid w:val="00FA7DBA"/>
    <w:rsid w:val="00FA7E1C"/>
    <w:rsid w:val="00FA7FD9"/>
    <w:rsid w:val="00FB07B2"/>
    <w:rsid w:val="00FB0909"/>
    <w:rsid w:val="00FB0995"/>
    <w:rsid w:val="00FB0BF8"/>
    <w:rsid w:val="00FB0FDE"/>
    <w:rsid w:val="00FB170D"/>
    <w:rsid w:val="00FB1963"/>
    <w:rsid w:val="00FB1B13"/>
    <w:rsid w:val="00FB1F27"/>
    <w:rsid w:val="00FB1F60"/>
    <w:rsid w:val="00FB20C9"/>
    <w:rsid w:val="00FB225E"/>
    <w:rsid w:val="00FB22D5"/>
    <w:rsid w:val="00FB245C"/>
    <w:rsid w:val="00FB256C"/>
    <w:rsid w:val="00FB2C56"/>
    <w:rsid w:val="00FB3698"/>
    <w:rsid w:val="00FB39DA"/>
    <w:rsid w:val="00FB3D20"/>
    <w:rsid w:val="00FB3F19"/>
    <w:rsid w:val="00FB40E6"/>
    <w:rsid w:val="00FB4BAE"/>
    <w:rsid w:val="00FB4C45"/>
    <w:rsid w:val="00FB50A8"/>
    <w:rsid w:val="00FB51F0"/>
    <w:rsid w:val="00FB5297"/>
    <w:rsid w:val="00FB53F1"/>
    <w:rsid w:val="00FB5807"/>
    <w:rsid w:val="00FB5860"/>
    <w:rsid w:val="00FB5A1C"/>
    <w:rsid w:val="00FB5EAB"/>
    <w:rsid w:val="00FB6081"/>
    <w:rsid w:val="00FB69A1"/>
    <w:rsid w:val="00FB6AC2"/>
    <w:rsid w:val="00FB7542"/>
    <w:rsid w:val="00FB7CBA"/>
    <w:rsid w:val="00FC0217"/>
    <w:rsid w:val="00FC05F9"/>
    <w:rsid w:val="00FC06A5"/>
    <w:rsid w:val="00FC0ABC"/>
    <w:rsid w:val="00FC12AB"/>
    <w:rsid w:val="00FC141B"/>
    <w:rsid w:val="00FC1BA8"/>
    <w:rsid w:val="00FC1C9C"/>
    <w:rsid w:val="00FC1D64"/>
    <w:rsid w:val="00FC20EA"/>
    <w:rsid w:val="00FC2446"/>
    <w:rsid w:val="00FC2C18"/>
    <w:rsid w:val="00FC312C"/>
    <w:rsid w:val="00FC3281"/>
    <w:rsid w:val="00FC3433"/>
    <w:rsid w:val="00FC3E11"/>
    <w:rsid w:val="00FC3ED1"/>
    <w:rsid w:val="00FC495E"/>
    <w:rsid w:val="00FC4E6F"/>
    <w:rsid w:val="00FC4F43"/>
    <w:rsid w:val="00FC520C"/>
    <w:rsid w:val="00FC5754"/>
    <w:rsid w:val="00FC5A8E"/>
    <w:rsid w:val="00FC5B25"/>
    <w:rsid w:val="00FC5C3B"/>
    <w:rsid w:val="00FC5EA8"/>
    <w:rsid w:val="00FC629D"/>
    <w:rsid w:val="00FC6387"/>
    <w:rsid w:val="00FC63A1"/>
    <w:rsid w:val="00FC6456"/>
    <w:rsid w:val="00FC6775"/>
    <w:rsid w:val="00FC6837"/>
    <w:rsid w:val="00FC69FB"/>
    <w:rsid w:val="00FC6A8E"/>
    <w:rsid w:val="00FC6DB5"/>
    <w:rsid w:val="00FC703B"/>
    <w:rsid w:val="00FC7268"/>
    <w:rsid w:val="00FC74F8"/>
    <w:rsid w:val="00FC7724"/>
    <w:rsid w:val="00FC7A79"/>
    <w:rsid w:val="00FC7ACA"/>
    <w:rsid w:val="00FC7FE8"/>
    <w:rsid w:val="00FD027C"/>
    <w:rsid w:val="00FD084C"/>
    <w:rsid w:val="00FD0896"/>
    <w:rsid w:val="00FD08F6"/>
    <w:rsid w:val="00FD0A7F"/>
    <w:rsid w:val="00FD0BB5"/>
    <w:rsid w:val="00FD10DE"/>
    <w:rsid w:val="00FD1397"/>
    <w:rsid w:val="00FD1630"/>
    <w:rsid w:val="00FD1749"/>
    <w:rsid w:val="00FD1A17"/>
    <w:rsid w:val="00FD1F59"/>
    <w:rsid w:val="00FD21B8"/>
    <w:rsid w:val="00FD2280"/>
    <w:rsid w:val="00FD2A3B"/>
    <w:rsid w:val="00FD2C8B"/>
    <w:rsid w:val="00FD2F57"/>
    <w:rsid w:val="00FD3508"/>
    <w:rsid w:val="00FD37BE"/>
    <w:rsid w:val="00FD3890"/>
    <w:rsid w:val="00FD3960"/>
    <w:rsid w:val="00FD3A3A"/>
    <w:rsid w:val="00FD3AC5"/>
    <w:rsid w:val="00FD3BA5"/>
    <w:rsid w:val="00FD3BF5"/>
    <w:rsid w:val="00FD40DD"/>
    <w:rsid w:val="00FD5720"/>
    <w:rsid w:val="00FD5A62"/>
    <w:rsid w:val="00FD5AE0"/>
    <w:rsid w:val="00FD5F08"/>
    <w:rsid w:val="00FD5F25"/>
    <w:rsid w:val="00FD646E"/>
    <w:rsid w:val="00FD65A5"/>
    <w:rsid w:val="00FD6837"/>
    <w:rsid w:val="00FD6AFB"/>
    <w:rsid w:val="00FD6B4A"/>
    <w:rsid w:val="00FD766C"/>
    <w:rsid w:val="00FE0143"/>
    <w:rsid w:val="00FE07F6"/>
    <w:rsid w:val="00FE08D2"/>
    <w:rsid w:val="00FE1B38"/>
    <w:rsid w:val="00FE2737"/>
    <w:rsid w:val="00FE291C"/>
    <w:rsid w:val="00FE2951"/>
    <w:rsid w:val="00FE29F4"/>
    <w:rsid w:val="00FE2B0B"/>
    <w:rsid w:val="00FE2C8C"/>
    <w:rsid w:val="00FE2F58"/>
    <w:rsid w:val="00FE3202"/>
    <w:rsid w:val="00FE370F"/>
    <w:rsid w:val="00FE390A"/>
    <w:rsid w:val="00FE39CE"/>
    <w:rsid w:val="00FE42AC"/>
    <w:rsid w:val="00FE49D4"/>
    <w:rsid w:val="00FE5165"/>
    <w:rsid w:val="00FE51BB"/>
    <w:rsid w:val="00FE5547"/>
    <w:rsid w:val="00FE5692"/>
    <w:rsid w:val="00FE58E8"/>
    <w:rsid w:val="00FE5A69"/>
    <w:rsid w:val="00FE5D01"/>
    <w:rsid w:val="00FE5E4F"/>
    <w:rsid w:val="00FE5F6A"/>
    <w:rsid w:val="00FE60C5"/>
    <w:rsid w:val="00FE656A"/>
    <w:rsid w:val="00FE6DA4"/>
    <w:rsid w:val="00FE70B6"/>
    <w:rsid w:val="00FE755A"/>
    <w:rsid w:val="00FE7B39"/>
    <w:rsid w:val="00FF0477"/>
    <w:rsid w:val="00FF0807"/>
    <w:rsid w:val="00FF0A25"/>
    <w:rsid w:val="00FF0DFD"/>
    <w:rsid w:val="00FF0F79"/>
    <w:rsid w:val="00FF1057"/>
    <w:rsid w:val="00FF1ADC"/>
    <w:rsid w:val="00FF1AE1"/>
    <w:rsid w:val="00FF1EE1"/>
    <w:rsid w:val="00FF1F64"/>
    <w:rsid w:val="00FF2052"/>
    <w:rsid w:val="00FF2378"/>
    <w:rsid w:val="00FF2912"/>
    <w:rsid w:val="00FF29DB"/>
    <w:rsid w:val="00FF2EA2"/>
    <w:rsid w:val="00FF3003"/>
    <w:rsid w:val="00FF32C6"/>
    <w:rsid w:val="00FF3448"/>
    <w:rsid w:val="00FF38BB"/>
    <w:rsid w:val="00FF4083"/>
    <w:rsid w:val="00FF40B6"/>
    <w:rsid w:val="00FF41BB"/>
    <w:rsid w:val="00FF4B4D"/>
    <w:rsid w:val="00FF4DB3"/>
    <w:rsid w:val="00FF51AE"/>
    <w:rsid w:val="00FF53EC"/>
    <w:rsid w:val="00FF54F2"/>
    <w:rsid w:val="00FF6064"/>
    <w:rsid w:val="00FF625A"/>
    <w:rsid w:val="00FF641F"/>
    <w:rsid w:val="00FF682B"/>
    <w:rsid w:val="00FF69E1"/>
    <w:rsid w:val="00FF6C11"/>
    <w:rsid w:val="00FF6D92"/>
    <w:rsid w:val="00FF70AF"/>
    <w:rsid w:val="00FF71D5"/>
    <w:rsid w:val="00FF73D6"/>
    <w:rsid w:val="00FF752F"/>
    <w:rsid w:val="00FF757A"/>
    <w:rsid w:val="00FF779C"/>
    <w:rsid w:val="00FF7821"/>
    <w:rsid w:val="00FF79DC"/>
    <w:rsid w:val="00FF7A33"/>
    <w:rsid w:val="00FF7D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90EDC"/>
  <w15:docId w15:val="{55159EE1-96CE-48F7-90DD-FA0F7CE7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F84F82"/>
    <w:rPr>
      <w:lang w:val="en-GB" w:eastAsia="en-US"/>
    </w:rPr>
  </w:style>
  <w:style w:type="paragraph" w:styleId="Nadpis1">
    <w:name w:val="heading 1"/>
    <w:basedOn w:val="Normlny"/>
    <w:next w:val="Normlny"/>
    <w:link w:val="Nadpis1Char"/>
    <w:autoRedefine/>
    <w:qFormat/>
    <w:rsid w:val="001C5911"/>
    <w:pPr>
      <w:numPr>
        <w:ilvl w:val="1"/>
        <w:numId w:val="34"/>
      </w:numPr>
      <w:tabs>
        <w:tab w:val="left" w:pos="426"/>
      </w:tabs>
      <w:suppressAutoHyphens/>
      <w:spacing w:before="120" w:after="180"/>
      <w:ind w:left="426" w:hanging="426"/>
      <w:outlineLvl w:val="0"/>
    </w:pPr>
    <w:rPr>
      <w:rFonts w:ascii="Arial" w:hAnsi="Arial" w:cs="Arial"/>
      <w:b/>
      <w:snapToGrid w:val="0"/>
      <w:lang w:val="sk-SK" w:eastAsia="ru-RU"/>
    </w:rPr>
  </w:style>
  <w:style w:type="paragraph" w:styleId="Nadpis2">
    <w:name w:val="heading 2"/>
    <w:basedOn w:val="Normlny"/>
    <w:next w:val="Normlny"/>
    <w:link w:val="Nadpis2Char"/>
    <w:qFormat/>
    <w:rsid w:val="00307416"/>
    <w:pPr>
      <w:keepNext/>
      <w:widowControl w:val="0"/>
      <w:tabs>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s>
      <w:ind w:left="-18" w:right="360"/>
      <w:outlineLvl w:val="1"/>
    </w:pPr>
    <w:rPr>
      <w:b/>
      <w:snapToGrid w:val="0"/>
      <w:color w:val="000000"/>
      <w:sz w:val="34"/>
      <w:lang w:val="sk-SK"/>
    </w:rPr>
  </w:style>
  <w:style w:type="paragraph" w:styleId="Nadpis3">
    <w:name w:val="heading 3"/>
    <w:basedOn w:val="Normlny"/>
    <w:next w:val="Normlny"/>
    <w:link w:val="Nadpis3Char"/>
    <w:qFormat/>
    <w:rsid w:val="00307416"/>
    <w:pPr>
      <w:keepNext/>
      <w:widowControl w:val="0"/>
      <w:outlineLvl w:val="2"/>
    </w:pPr>
    <w:rPr>
      <w:b/>
      <w:snapToGrid w:val="0"/>
      <w:color w:val="000000"/>
      <w:sz w:val="18"/>
    </w:rPr>
  </w:style>
  <w:style w:type="paragraph" w:styleId="Nadpis4">
    <w:name w:val="heading 4"/>
    <w:basedOn w:val="Normlny"/>
    <w:next w:val="Normlny"/>
    <w:qFormat/>
    <w:rsid w:val="00307416"/>
    <w:pPr>
      <w:keepNext/>
      <w:widowControl w:val="0"/>
      <w:tabs>
        <w:tab w:val="center" w:pos="7920"/>
      </w:tabs>
      <w:jc w:val="both"/>
      <w:outlineLvl w:val="3"/>
    </w:pPr>
    <w:rPr>
      <w:b/>
      <w:snapToGrid w:val="0"/>
      <w:color w:val="000000"/>
      <w:sz w:val="24"/>
    </w:rPr>
  </w:style>
  <w:style w:type="paragraph" w:styleId="Nadpis5">
    <w:name w:val="heading 5"/>
    <w:basedOn w:val="Normlny"/>
    <w:next w:val="Normlny"/>
    <w:qFormat/>
    <w:rsid w:val="0030741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b/>
      <w:snapToGrid w:val="0"/>
      <w:color w:val="000000"/>
      <w:sz w:val="24"/>
    </w:rPr>
  </w:style>
  <w:style w:type="paragraph" w:styleId="Nadpis6">
    <w:name w:val="heading 6"/>
    <w:basedOn w:val="Normlny"/>
    <w:next w:val="Normlny"/>
    <w:qFormat/>
    <w:rsid w:val="00307416"/>
    <w:pPr>
      <w:keepNext/>
      <w:widowControl w:val="0"/>
      <w:outlineLvl w:val="5"/>
    </w:pPr>
    <w:rPr>
      <w:b/>
      <w:snapToGrid w:val="0"/>
      <w:color w:val="000000"/>
      <w:sz w:val="18"/>
    </w:rPr>
  </w:style>
  <w:style w:type="paragraph" w:styleId="Nadpis7">
    <w:name w:val="heading 7"/>
    <w:basedOn w:val="Normlny"/>
    <w:next w:val="Normlny"/>
    <w:qFormat/>
    <w:rsid w:val="00307416"/>
    <w:pPr>
      <w:keepNext/>
      <w:widowControl w:val="0"/>
      <w:tabs>
        <w:tab w:val="left" w:pos="720"/>
        <w:tab w:val="left" w:pos="1440"/>
        <w:tab w:val="left" w:pos="2304"/>
        <w:tab w:val="left" w:pos="3494"/>
        <w:tab w:val="left" w:pos="4569"/>
        <w:tab w:val="left" w:pos="5779"/>
        <w:tab w:val="left" w:pos="6854"/>
        <w:tab w:val="left" w:pos="7929"/>
        <w:tab w:val="left" w:pos="9139"/>
      </w:tabs>
      <w:jc w:val="both"/>
      <w:outlineLvl w:val="6"/>
    </w:pPr>
    <w:rPr>
      <w:b/>
      <w:snapToGrid w:val="0"/>
      <w:color w:val="000000"/>
      <w:sz w:val="24"/>
    </w:rPr>
  </w:style>
  <w:style w:type="paragraph" w:styleId="Nadpis8">
    <w:name w:val="heading 8"/>
    <w:basedOn w:val="Normlny"/>
    <w:next w:val="Normlny"/>
    <w:autoRedefine/>
    <w:qFormat/>
    <w:rsid w:val="00C022EB"/>
    <w:pPr>
      <w:keepNext/>
      <w:widowControl w:val="0"/>
      <w:tabs>
        <w:tab w:val="num" w:pos="360"/>
      </w:tabs>
      <w:ind w:left="360" w:hanging="360"/>
      <w:outlineLvl w:val="7"/>
    </w:pPr>
    <w:rPr>
      <w:b/>
      <w:snapToGrid w:val="0"/>
    </w:rPr>
  </w:style>
  <w:style w:type="paragraph" w:styleId="Nadpis9">
    <w:name w:val="heading 9"/>
    <w:basedOn w:val="Normlny"/>
    <w:next w:val="Normlny"/>
    <w:qFormat/>
    <w:rsid w:val="00307416"/>
    <w:pPr>
      <w:keepNext/>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8"/>
    </w:pPr>
    <w:rPr>
      <w:b/>
      <w:snapToGrid w:val="0"/>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307416"/>
    <w:pPr>
      <w:tabs>
        <w:tab w:val="center" w:pos="4153"/>
        <w:tab w:val="right" w:pos="8306"/>
      </w:tabs>
    </w:pPr>
  </w:style>
  <w:style w:type="character" w:styleId="slostrany">
    <w:name w:val="page number"/>
    <w:basedOn w:val="Predvolenpsmoodseku"/>
    <w:rsid w:val="00307416"/>
    <w:rPr>
      <w:sz w:val="24"/>
    </w:rPr>
  </w:style>
  <w:style w:type="paragraph" w:styleId="Zkladntext">
    <w:name w:val="Body Text"/>
    <w:basedOn w:val="Normlny"/>
    <w:rsid w:val="00307416"/>
    <w:pPr>
      <w:widowControl w:val="0"/>
      <w:jc w:val="right"/>
    </w:pPr>
    <w:rPr>
      <w:snapToGrid w:val="0"/>
      <w:color w:val="000000"/>
      <w:sz w:val="18"/>
      <w:u w:val="single"/>
    </w:rPr>
  </w:style>
  <w:style w:type="paragraph" w:customStyle="1" w:styleId="Disclaimer">
    <w:name w:val="Disclaimer"/>
    <w:basedOn w:val="Normlny"/>
    <w:link w:val="DisclaimerChar"/>
    <w:qFormat/>
    <w:rsid w:val="00307416"/>
    <w:pPr>
      <w:spacing w:line="200" w:lineRule="exact"/>
    </w:pPr>
    <w:rPr>
      <w:sz w:val="16"/>
    </w:rPr>
  </w:style>
  <w:style w:type="paragraph" w:styleId="Zkladntext2">
    <w:name w:val="Body Text 2"/>
    <w:basedOn w:val="Normlny"/>
    <w:rsid w:val="00307416"/>
    <w:pPr>
      <w:widowControl w:val="0"/>
      <w:tabs>
        <w:tab w:val="left" w:pos="734"/>
      </w:tabs>
      <w:jc w:val="both"/>
    </w:pPr>
    <w:rPr>
      <w:snapToGrid w:val="0"/>
      <w:color w:val="000000"/>
    </w:rPr>
  </w:style>
  <w:style w:type="paragraph" w:styleId="Popis">
    <w:name w:val="caption"/>
    <w:basedOn w:val="Normlny"/>
    <w:next w:val="Normlny"/>
    <w:qFormat/>
    <w:rsid w:val="00307416"/>
    <w:pPr>
      <w:widowControl w:val="0"/>
      <w:numPr>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Pr>
      <w:b/>
      <w:snapToGrid w:val="0"/>
      <w:color w:val="000000"/>
      <w:sz w:val="24"/>
    </w:rPr>
  </w:style>
  <w:style w:type="paragraph" w:styleId="Zarkazkladnhotextu2">
    <w:name w:val="Body Text Indent 2"/>
    <w:basedOn w:val="Normlny"/>
    <w:rsid w:val="00307416"/>
    <w:pPr>
      <w:widowControl w:val="0"/>
      <w:tabs>
        <w:tab w:val="left" w:pos="458"/>
        <w:tab w:val="left" w:pos="1296"/>
      </w:tabs>
      <w:ind w:left="458" w:hanging="458"/>
      <w:jc w:val="both"/>
    </w:pPr>
    <w:rPr>
      <w:snapToGrid w:val="0"/>
      <w:color w:val="000000"/>
      <w:sz w:val="18"/>
    </w:rPr>
  </w:style>
  <w:style w:type="paragraph" w:styleId="Textkomentra">
    <w:name w:val="annotation text"/>
    <w:basedOn w:val="Normlny"/>
    <w:link w:val="TextkomentraChar"/>
    <w:uiPriority w:val="99"/>
    <w:semiHidden/>
    <w:rsid w:val="00307416"/>
  </w:style>
  <w:style w:type="paragraph" w:styleId="Zoznamsodrkami">
    <w:name w:val="List Bullet"/>
    <w:basedOn w:val="Normlny"/>
    <w:autoRedefine/>
    <w:rsid w:val="00307416"/>
    <w:pPr>
      <w:numPr>
        <w:numId w:val="3"/>
      </w:numPr>
    </w:pPr>
  </w:style>
  <w:style w:type="paragraph" w:styleId="Zoznamsodrkami2">
    <w:name w:val="List Bullet 2"/>
    <w:basedOn w:val="Normlny"/>
    <w:autoRedefine/>
    <w:rsid w:val="00307416"/>
    <w:pPr>
      <w:numPr>
        <w:numId w:val="4"/>
      </w:numPr>
    </w:pPr>
  </w:style>
  <w:style w:type="paragraph" w:styleId="Zoznamsodrkami3">
    <w:name w:val="List Bullet 3"/>
    <w:basedOn w:val="Normlny"/>
    <w:autoRedefine/>
    <w:rsid w:val="00307416"/>
    <w:pPr>
      <w:numPr>
        <w:numId w:val="5"/>
      </w:numPr>
    </w:pPr>
  </w:style>
  <w:style w:type="paragraph" w:styleId="Zoznamsodrkami4">
    <w:name w:val="List Bullet 4"/>
    <w:basedOn w:val="Normlny"/>
    <w:autoRedefine/>
    <w:rsid w:val="00307416"/>
    <w:pPr>
      <w:numPr>
        <w:numId w:val="6"/>
      </w:numPr>
    </w:pPr>
  </w:style>
  <w:style w:type="paragraph" w:styleId="Zoznamsodrkami5">
    <w:name w:val="List Bullet 5"/>
    <w:basedOn w:val="Normlny"/>
    <w:autoRedefine/>
    <w:rsid w:val="00307416"/>
    <w:pPr>
      <w:numPr>
        <w:numId w:val="7"/>
      </w:numPr>
    </w:pPr>
  </w:style>
  <w:style w:type="paragraph" w:styleId="slovanzoznam">
    <w:name w:val="List Number"/>
    <w:basedOn w:val="Normlny"/>
    <w:rsid w:val="00307416"/>
    <w:pPr>
      <w:numPr>
        <w:numId w:val="8"/>
      </w:numPr>
    </w:pPr>
  </w:style>
  <w:style w:type="paragraph" w:styleId="slovanzoznam2">
    <w:name w:val="List Number 2"/>
    <w:basedOn w:val="Normlny"/>
    <w:rsid w:val="00307416"/>
    <w:pPr>
      <w:numPr>
        <w:numId w:val="9"/>
      </w:numPr>
    </w:pPr>
  </w:style>
  <w:style w:type="paragraph" w:styleId="slovanzoznam3">
    <w:name w:val="List Number 3"/>
    <w:basedOn w:val="Normlny"/>
    <w:rsid w:val="00307416"/>
    <w:pPr>
      <w:numPr>
        <w:numId w:val="10"/>
      </w:numPr>
    </w:pPr>
  </w:style>
  <w:style w:type="paragraph" w:styleId="slovanzoznam4">
    <w:name w:val="List Number 4"/>
    <w:basedOn w:val="Normlny"/>
    <w:rsid w:val="00307416"/>
    <w:pPr>
      <w:numPr>
        <w:numId w:val="11"/>
      </w:numPr>
    </w:pPr>
  </w:style>
  <w:style w:type="paragraph" w:styleId="slovanzoznam5">
    <w:name w:val="List Number 5"/>
    <w:basedOn w:val="Normlny"/>
    <w:rsid w:val="00307416"/>
    <w:pPr>
      <w:numPr>
        <w:numId w:val="12"/>
      </w:numPr>
    </w:pPr>
  </w:style>
  <w:style w:type="paragraph" w:customStyle="1" w:styleId="BodySingle">
    <w:name w:val="Body Single"/>
    <w:basedOn w:val="Zkladntext"/>
    <w:rsid w:val="00307416"/>
    <w:pPr>
      <w:widowControl/>
      <w:spacing w:line="0" w:lineRule="atLeast"/>
      <w:jc w:val="left"/>
    </w:pPr>
    <w:rPr>
      <w:snapToGrid/>
      <w:color w:val="auto"/>
      <w:sz w:val="24"/>
      <w:u w:val="none"/>
      <w:lang w:val="de-DE"/>
    </w:rPr>
  </w:style>
  <w:style w:type="paragraph" w:customStyle="1" w:styleId="Lines">
    <w:name w:val="Line_s"/>
    <w:basedOn w:val="Normlny"/>
    <w:rsid w:val="00307416"/>
    <w:pPr>
      <w:widowControl w:val="0"/>
      <w:pBdr>
        <w:bottom w:val="single" w:sz="4" w:space="1" w:color="auto"/>
      </w:pBdr>
      <w:ind w:right="57"/>
      <w:jc w:val="right"/>
    </w:pPr>
    <w:rPr>
      <w:snapToGrid w:val="0"/>
      <w:color w:val="000000"/>
      <w:sz w:val="18"/>
    </w:rPr>
  </w:style>
  <w:style w:type="paragraph" w:customStyle="1" w:styleId="Lined">
    <w:name w:val="Line_d"/>
    <w:basedOn w:val="Normlny"/>
    <w:rsid w:val="00307416"/>
    <w:pPr>
      <w:widowControl w:val="0"/>
      <w:pBdr>
        <w:bottom w:val="double" w:sz="4" w:space="1" w:color="auto"/>
      </w:pBdr>
      <w:ind w:right="57"/>
      <w:jc w:val="right"/>
    </w:pPr>
    <w:rPr>
      <w:b/>
      <w:snapToGrid w:val="0"/>
      <w:color w:val="000000"/>
      <w:sz w:val="18"/>
    </w:rPr>
  </w:style>
  <w:style w:type="paragraph" w:customStyle="1" w:styleId="BalloonText1">
    <w:name w:val="Balloon Text1"/>
    <w:basedOn w:val="Normlny"/>
    <w:semiHidden/>
    <w:rsid w:val="00307416"/>
    <w:rPr>
      <w:rFonts w:ascii="Tahoma" w:hAnsi="Tahoma" w:cs="Tahoma"/>
      <w:sz w:val="16"/>
      <w:szCs w:val="16"/>
    </w:rPr>
  </w:style>
  <w:style w:type="paragraph" w:styleId="Pta">
    <w:name w:val="footer"/>
    <w:basedOn w:val="Normlny"/>
    <w:link w:val="PtaChar"/>
    <w:uiPriority w:val="99"/>
    <w:rsid w:val="00307416"/>
    <w:pPr>
      <w:tabs>
        <w:tab w:val="center" w:pos="4703"/>
        <w:tab w:val="right" w:pos="9406"/>
      </w:tabs>
    </w:pPr>
  </w:style>
  <w:style w:type="paragraph" w:styleId="Zkladntext3">
    <w:name w:val="Body Text 3"/>
    <w:basedOn w:val="Normlny"/>
    <w:rsid w:val="00307416"/>
    <w:pPr>
      <w:jc w:val="both"/>
    </w:pPr>
  </w:style>
  <w:style w:type="paragraph" w:customStyle="1" w:styleId="Address">
    <w:name w:val="Address"/>
    <w:basedOn w:val="Normlny"/>
    <w:rsid w:val="00307416"/>
    <w:pPr>
      <w:framePr w:w="3005" w:h="567" w:hSpace="181" w:vSpace="181" w:wrap="around" w:hAnchor="page" w:xAlign="right" w:yAlign="top" w:anchorLock="1"/>
      <w:pBdr>
        <w:left w:val="single" w:sz="4" w:space="9" w:color="auto"/>
      </w:pBdr>
      <w:spacing w:line="200" w:lineRule="exact"/>
      <w:ind w:right="284"/>
    </w:pPr>
    <w:rPr>
      <w:sz w:val="16"/>
    </w:rPr>
  </w:style>
  <w:style w:type="paragraph" w:customStyle="1" w:styleId="odst">
    <w:name w:val="odst"/>
    <w:basedOn w:val="Textkomentra"/>
    <w:autoRedefine/>
    <w:rsid w:val="00235CDF"/>
    <w:pPr>
      <w:ind w:right="28"/>
      <w:jc w:val="both"/>
    </w:pPr>
    <w:rPr>
      <w:rFonts w:ascii="Arial" w:hAnsi="Arial" w:cs="Arial"/>
      <w:lang w:val="sk-SK"/>
    </w:rPr>
  </w:style>
  <w:style w:type="paragraph" w:customStyle="1" w:styleId="Hang9">
    <w:name w:val="Hang9"/>
    <w:basedOn w:val="Normlny"/>
    <w:rsid w:val="00307416"/>
    <w:pPr>
      <w:spacing w:before="40" w:after="60" w:line="200" w:lineRule="exact"/>
      <w:ind w:left="284" w:hanging="284"/>
    </w:pPr>
    <w:rPr>
      <w:rFonts w:ascii="Times" w:eastAsia="Times" w:hAnsi="Times"/>
      <w:sz w:val="18"/>
    </w:rPr>
  </w:style>
  <w:style w:type="paragraph" w:customStyle="1" w:styleId="Heading1a">
    <w:name w:val="Heading 1a"/>
    <w:basedOn w:val="Normlny"/>
    <w:autoRedefine/>
    <w:rsid w:val="00640373"/>
    <w:pPr>
      <w:tabs>
        <w:tab w:val="left" w:pos="709"/>
      </w:tabs>
      <w:spacing w:before="40"/>
    </w:pPr>
    <w:rPr>
      <w:rFonts w:eastAsia="Times"/>
    </w:rPr>
  </w:style>
  <w:style w:type="character" w:styleId="Hypertextovprepojenie">
    <w:name w:val="Hyperlink"/>
    <w:basedOn w:val="Predvolenpsmoodseku"/>
    <w:uiPriority w:val="99"/>
    <w:rsid w:val="00307416"/>
    <w:rPr>
      <w:color w:val="0000FF"/>
      <w:u w:val="single"/>
    </w:rPr>
  </w:style>
  <w:style w:type="paragraph" w:styleId="Obsah1">
    <w:name w:val="toc 1"/>
    <w:basedOn w:val="Normlny"/>
    <w:next w:val="Normlny"/>
    <w:autoRedefine/>
    <w:uiPriority w:val="39"/>
    <w:rsid w:val="00206D7F"/>
    <w:pPr>
      <w:tabs>
        <w:tab w:val="left" w:pos="720"/>
        <w:tab w:val="left" w:pos="1080"/>
        <w:tab w:val="right" w:leader="dot" w:pos="8892"/>
      </w:tabs>
      <w:ind w:right="-946"/>
      <w:jc w:val="both"/>
    </w:pPr>
    <w:rPr>
      <w:rFonts w:ascii="Arial" w:hAnsi="Arial" w:cs="Arial"/>
      <w:noProof/>
      <w:color w:val="000000"/>
      <w:sz w:val="18"/>
      <w:szCs w:val="24"/>
      <w:lang w:val="sk-SK"/>
    </w:rPr>
  </w:style>
  <w:style w:type="character" w:styleId="PouitHypertextovPrepojenie">
    <w:name w:val="FollowedHyperlink"/>
    <w:basedOn w:val="Predvolenpsmoodseku"/>
    <w:rsid w:val="00307416"/>
    <w:rPr>
      <w:color w:val="800080"/>
      <w:u w:val="single"/>
    </w:rPr>
  </w:style>
  <w:style w:type="paragraph" w:customStyle="1" w:styleId="Heading7">
    <w:name w:val="Heading7"/>
    <w:basedOn w:val="Normlny"/>
    <w:autoRedefine/>
    <w:rsid w:val="00307416"/>
    <w:pPr>
      <w:numPr>
        <w:numId w:val="16"/>
      </w:numPr>
      <w:ind w:hanging="720"/>
    </w:pPr>
    <w:rPr>
      <w:b/>
      <w:szCs w:val="24"/>
      <w:lang w:eastAsia="sk-SK"/>
    </w:rPr>
  </w:style>
  <w:style w:type="paragraph" w:customStyle="1" w:styleId="Heading8">
    <w:name w:val="Heading8"/>
    <w:basedOn w:val="Normlny"/>
    <w:autoRedefine/>
    <w:rsid w:val="00307416"/>
    <w:pPr>
      <w:numPr>
        <w:numId w:val="13"/>
      </w:numPr>
    </w:pPr>
    <w:rPr>
      <w:b/>
      <w:sz w:val="22"/>
      <w:szCs w:val="24"/>
      <w:lang w:val="sk-SK" w:eastAsia="sk-SK"/>
    </w:rPr>
  </w:style>
  <w:style w:type="paragraph" w:customStyle="1" w:styleId="Heading10">
    <w:name w:val="Heading10"/>
    <w:basedOn w:val="Normlny"/>
    <w:autoRedefine/>
    <w:rsid w:val="00307416"/>
    <w:pPr>
      <w:numPr>
        <w:numId w:val="14"/>
      </w:numPr>
    </w:pPr>
    <w:rPr>
      <w:b/>
      <w:sz w:val="22"/>
      <w:szCs w:val="24"/>
      <w:lang w:eastAsia="sk-SK"/>
    </w:rPr>
  </w:style>
  <w:style w:type="paragraph" w:customStyle="1" w:styleId="numodst">
    <w:name w:val="numodst"/>
    <w:basedOn w:val="Normlny"/>
    <w:autoRedefine/>
    <w:rsid w:val="00307416"/>
    <w:pPr>
      <w:numPr>
        <w:numId w:val="15"/>
      </w:numPr>
      <w:overflowPunct w:val="0"/>
      <w:autoSpaceDE w:val="0"/>
      <w:autoSpaceDN w:val="0"/>
      <w:adjustRightInd w:val="0"/>
      <w:textAlignment w:val="baseline"/>
    </w:pPr>
    <w:rPr>
      <w:b/>
      <w:lang w:val="en-US"/>
    </w:rPr>
  </w:style>
  <w:style w:type="paragraph" w:customStyle="1" w:styleId="lined0">
    <w:name w:val="line_d"/>
    <w:basedOn w:val="Normlny"/>
    <w:autoRedefine/>
    <w:qFormat/>
    <w:rsid w:val="00DD358A"/>
    <w:pPr>
      <w:pBdr>
        <w:bottom w:val="double" w:sz="4" w:space="1" w:color="auto"/>
      </w:pBdr>
      <w:suppressAutoHyphens/>
      <w:ind w:left="113" w:right="17"/>
      <w:jc w:val="right"/>
    </w:pPr>
    <w:rPr>
      <w:rFonts w:ascii="Arial" w:hAnsi="Arial"/>
      <w:b/>
      <w:sz w:val="18"/>
      <w:szCs w:val="24"/>
      <w:lang w:val="sk-SK" w:eastAsia="sk-SK"/>
    </w:rPr>
  </w:style>
  <w:style w:type="paragraph" w:styleId="Zarkazkladnhotextu">
    <w:name w:val="Body Text Indent"/>
    <w:basedOn w:val="Normlny"/>
    <w:rsid w:val="00307416"/>
    <w:pPr>
      <w:widowControl w:val="0"/>
      <w:tabs>
        <w:tab w:val="left" w:pos="720"/>
        <w:tab w:val="left" w:pos="1440"/>
        <w:tab w:val="left" w:pos="3192"/>
        <w:tab w:val="left" w:pos="3600"/>
        <w:tab w:val="left" w:pos="4320"/>
        <w:tab w:val="left" w:pos="5040"/>
        <w:tab w:val="left" w:pos="5760"/>
        <w:tab w:val="left" w:pos="6480"/>
        <w:tab w:val="left" w:pos="7200"/>
        <w:tab w:val="left" w:pos="7920"/>
        <w:tab w:val="left" w:pos="8640"/>
      </w:tabs>
      <w:ind w:left="1767"/>
    </w:pPr>
    <w:rPr>
      <w:b/>
      <w:snapToGrid w:val="0"/>
      <w:color w:val="000000"/>
      <w:sz w:val="36"/>
    </w:rPr>
  </w:style>
  <w:style w:type="paragraph" w:styleId="Obsah2">
    <w:name w:val="toc 2"/>
    <w:basedOn w:val="Normlny"/>
    <w:next w:val="Normlny"/>
    <w:autoRedefine/>
    <w:uiPriority w:val="39"/>
    <w:rsid w:val="00AC2AD0"/>
    <w:pPr>
      <w:tabs>
        <w:tab w:val="left" w:pos="960"/>
        <w:tab w:val="right" w:leader="dot" w:pos="8891"/>
      </w:tabs>
    </w:pPr>
    <w:rPr>
      <w:sz w:val="24"/>
      <w:szCs w:val="24"/>
    </w:rPr>
  </w:style>
  <w:style w:type="paragraph" w:styleId="Obsah3">
    <w:name w:val="toc 3"/>
    <w:basedOn w:val="Normlny"/>
    <w:next w:val="Normlny"/>
    <w:autoRedefine/>
    <w:uiPriority w:val="39"/>
    <w:rsid w:val="007477F3"/>
    <w:pPr>
      <w:tabs>
        <w:tab w:val="left" w:pos="742"/>
        <w:tab w:val="right" w:leader="dot" w:pos="8903"/>
      </w:tabs>
      <w:ind w:left="709" w:hanging="709"/>
    </w:pPr>
    <w:rPr>
      <w:sz w:val="24"/>
      <w:szCs w:val="24"/>
    </w:rPr>
  </w:style>
  <w:style w:type="paragraph" w:styleId="Obsah4">
    <w:name w:val="toc 4"/>
    <w:basedOn w:val="Normlny"/>
    <w:next w:val="Normlny"/>
    <w:autoRedefine/>
    <w:semiHidden/>
    <w:rsid w:val="00307416"/>
    <w:pPr>
      <w:ind w:left="720"/>
    </w:pPr>
    <w:rPr>
      <w:sz w:val="24"/>
      <w:szCs w:val="24"/>
    </w:rPr>
  </w:style>
  <w:style w:type="paragraph" w:styleId="Obsah5">
    <w:name w:val="toc 5"/>
    <w:basedOn w:val="Normlny"/>
    <w:next w:val="Normlny"/>
    <w:autoRedefine/>
    <w:semiHidden/>
    <w:rsid w:val="00307416"/>
    <w:pPr>
      <w:ind w:left="960"/>
    </w:pPr>
    <w:rPr>
      <w:sz w:val="24"/>
      <w:szCs w:val="24"/>
    </w:rPr>
  </w:style>
  <w:style w:type="paragraph" w:styleId="Obsah6">
    <w:name w:val="toc 6"/>
    <w:basedOn w:val="Normlny"/>
    <w:next w:val="Normlny"/>
    <w:autoRedefine/>
    <w:semiHidden/>
    <w:rsid w:val="00307416"/>
    <w:pPr>
      <w:ind w:left="1200"/>
    </w:pPr>
    <w:rPr>
      <w:sz w:val="24"/>
      <w:szCs w:val="24"/>
    </w:rPr>
  </w:style>
  <w:style w:type="paragraph" w:styleId="Obsah7">
    <w:name w:val="toc 7"/>
    <w:basedOn w:val="Normlny"/>
    <w:next w:val="Normlny"/>
    <w:autoRedefine/>
    <w:semiHidden/>
    <w:rsid w:val="00307416"/>
    <w:pPr>
      <w:ind w:left="1440"/>
    </w:pPr>
    <w:rPr>
      <w:sz w:val="24"/>
      <w:szCs w:val="24"/>
    </w:rPr>
  </w:style>
  <w:style w:type="paragraph" w:styleId="Obsah8">
    <w:name w:val="toc 8"/>
    <w:basedOn w:val="Normlny"/>
    <w:next w:val="Normlny"/>
    <w:autoRedefine/>
    <w:semiHidden/>
    <w:rsid w:val="00307416"/>
    <w:pPr>
      <w:ind w:left="1680"/>
    </w:pPr>
    <w:rPr>
      <w:sz w:val="24"/>
      <w:szCs w:val="24"/>
    </w:rPr>
  </w:style>
  <w:style w:type="paragraph" w:styleId="Obsah9">
    <w:name w:val="toc 9"/>
    <w:basedOn w:val="Normlny"/>
    <w:next w:val="Normlny"/>
    <w:autoRedefine/>
    <w:semiHidden/>
    <w:rsid w:val="00307416"/>
    <w:pPr>
      <w:ind w:left="1920"/>
    </w:pPr>
    <w:rPr>
      <w:sz w:val="24"/>
      <w:szCs w:val="24"/>
    </w:rPr>
  </w:style>
  <w:style w:type="character" w:styleId="Odkaznakomentr">
    <w:name w:val="annotation reference"/>
    <w:basedOn w:val="Predvolenpsmoodseku"/>
    <w:uiPriority w:val="99"/>
    <w:semiHidden/>
    <w:rsid w:val="00307416"/>
    <w:rPr>
      <w:sz w:val="16"/>
      <w:szCs w:val="16"/>
    </w:rPr>
  </w:style>
  <w:style w:type="paragraph" w:styleId="truktradokumentu">
    <w:name w:val="Document Map"/>
    <w:basedOn w:val="Normlny"/>
    <w:semiHidden/>
    <w:rsid w:val="00307416"/>
    <w:pPr>
      <w:shd w:val="clear" w:color="auto" w:fill="000080"/>
    </w:pPr>
    <w:rPr>
      <w:rFonts w:ascii="Tahoma" w:hAnsi="Tahoma" w:cs="Tahoma"/>
    </w:rPr>
  </w:style>
  <w:style w:type="paragraph" w:styleId="Zarkazkladnhotextu3">
    <w:name w:val="Body Text Indent 3"/>
    <w:basedOn w:val="Normlny"/>
    <w:rsid w:val="00307416"/>
    <w:pPr>
      <w:spacing w:after="300" w:line="240" w:lineRule="atLeast"/>
      <w:ind w:left="360"/>
      <w:jc w:val="both"/>
    </w:pPr>
    <w:rPr>
      <w:snapToGrid w:val="0"/>
    </w:rPr>
  </w:style>
  <w:style w:type="paragraph" w:styleId="Textbubliny">
    <w:name w:val="Balloon Text"/>
    <w:basedOn w:val="Normlny"/>
    <w:semiHidden/>
    <w:rsid w:val="00FB1F27"/>
    <w:rPr>
      <w:rFonts w:ascii="Tahoma" w:hAnsi="Tahoma" w:cs="Tahoma"/>
      <w:sz w:val="16"/>
      <w:szCs w:val="16"/>
    </w:rPr>
  </w:style>
  <w:style w:type="paragraph" w:styleId="Predmetkomentra">
    <w:name w:val="annotation subject"/>
    <w:basedOn w:val="Textkomentra"/>
    <w:next w:val="Textkomentra"/>
    <w:semiHidden/>
    <w:rsid w:val="00D20B65"/>
    <w:rPr>
      <w:b/>
      <w:bCs/>
    </w:rPr>
  </w:style>
  <w:style w:type="paragraph" w:customStyle="1" w:styleId="Heading6">
    <w:name w:val="Heading6"/>
    <w:basedOn w:val="Normlny"/>
    <w:autoRedefine/>
    <w:rsid w:val="003C2FBF"/>
    <w:pPr>
      <w:ind w:left="540"/>
      <w:jc w:val="both"/>
    </w:pPr>
    <w:rPr>
      <w:bCs/>
      <w:sz w:val="18"/>
      <w:szCs w:val="24"/>
      <w:lang w:val="sk-SK" w:eastAsia="sk-SK"/>
    </w:rPr>
  </w:style>
  <w:style w:type="paragraph" w:customStyle="1" w:styleId="a-Right-Col-Reg">
    <w:name w:val="a-Right-Col-Reg"/>
    <w:basedOn w:val="Normlny"/>
    <w:rsid w:val="00530348"/>
    <w:pPr>
      <w:spacing w:after="60" w:line="240" w:lineRule="atLeast"/>
    </w:pPr>
    <w:rPr>
      <w:rFonts w:ascii="Arial" w:hAnsi="Arial"/>
      <w:sz w:val="16"/>
      <w:szCs w:val="16"/>
    </w:rPr>
  </w:style>
  <w:style w:type="paragraph" w:customStyle="1" w:styleId="a-Right-Col-BOLD">
    <w:name w:val="a-Right-Col-BOLD"/>
    <w:basedOn w:val="a-Right-Col-Reg"/>
    <w:rsid w:val="00AB736A"/>
    <w:rPr>
      <w:b/>
      <w:bCs/>
    </w:rPr>
  </w:style>
  <w:style w:type="paragraph" w:styleId="Textpoznmkypodiarou">
    <w:name w:val="footnote text"/>
    <w:basedOn w:val="Normlny"/>
    <w:semiHidden/>
    <w:rsid w:val="00AB736A"/>
    <w:pPr>
      <w:spacing w:line="240" w:lineRule="atLeast"/>
    </w:pPr>
    <w:rPr>
      <w:rFonts w:ascii="Arial" w:hAnsi="Arial"/>
      <w:sz w:val="24"/>
      <w:szCs w:val="24"/>
    </w:rPr>
  </w:style>
  <w:style w:type="character" w:styleId="Odkaznapoznmkupodiarou">
    <w:name w:val="footnote reference"/>
    <w:basedOn w:val="Predvolenpsmoodseku"/>
    <w:semiHidden/>
    <w:rsid w:val="00AB736A"/>
    <w:rPr>
      <w:vertAlign w:val="superscript"/>
    </w:rPr>
  </w:style>
  <w:style w:type="table" w:styleId="Mriekatabuky">
    <w:name w:val="Table Grid"/>
    <w:basedOn w:val="Normlnatabuka"/>
    <w:uiPriority w:val="39"/>
    <w:rsid w:val="00B82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
    <w:name w:val="single"/>
    <w:basedOn w:val="Normlny"/>
    <w:rsid w:val="003D65C4"/>
    <w:pPr>
      <w:ind w:right="-85"/>
      <w:jc w:val="right"/>
    </w:pPr>
  </w:style>
  <w:style w:type="paragraph" w:customStyle="1" w:styleId="Lines0">
    <w:name w:val="Line s"/>
    <w:basedOn w:val="Heading1a"/>
    <w:rsid w:val="0069391C"/>
    <w:pPr>
      <w:jc w:val="right"/>
    </w:pPr>
  </w:style>
  <w:style w:type="paragraph" w:customStyle="1" w:styleId="Double">
    <w:name w:val="Double"/>
    <w:basedOn w:val="Heading1a"/>
    <w:rsid w:val="0069391C"/>
    <w:pPr>
      <w:jc w:val="right"/>
    </w:pPr>
    <w:rPr>
      <w:b/>
    </w:rPr>
  </w:style>
  <w:style w:type="paragraph" w:customStyle="1" w:styleId="ABC-paragrahinNotesChar">
    <w:name w:val="ABC - paragrah in Notes Char"/>
    <w:link w:val="ABC-paragrahinNotesCharChar"/>
    <w:rsid w:val="00940755"/>
    <w:pPr>
      <w:spacing w:after="240"/>
      <w:jc w:val="both"/>
    </w:pPr>
    <w:rPr>
      <w:rFonts w:ascii="Arial" w:hAnsi="Arial"/>
      <w:sz w:val="18"/>
      <w:lang w:val="en-GB" w:eastAsia="en-US"/>
    </w:rPr>
  </w:style>
  <w:style w:type="paragraph" w:customStyle="1" w:styleId="Report">
    <w:name w:val="Report"/>
    <w:rsid w:val="00940755"/>
    <w:pPr>
      <w:numPr>
        <w:numId w:val="17"/>
      </w:numPr>
      <w:spacing w:after="240"/>
      <w:jc w:val="both"/>
    </w:pPr>
    <w:rPr>
      <w:snapToGrid w:val="0"/>
      <w:lang w:val="en-GB" w:eastAsia="en-US"/>
    </w:rPr>
  </w:style>
  <w:style w:type="character" w:customStyle="1" w:styleId="ABC-paragrahinNotesCharChar">
    <w:name w:val="ABC - paragrah in Notes Char Char"/>
    <w:basedOn w:val="Predvolenpsmoodseku"/>
    <w:link w:val="ABC-paragrahinNotesChar"/>
    <w:rsid w:val="00940755"/>
    <w:rPr>
      <w:rFonts w:ascii="Arial" w:hAnsi="Arial"/>
      <w:sz w:val="18"/>
      <w:lang w:val="en-GB" w:eastAsia="en-US" w:bidi="ar-SA"/>
    </w:rPr>
  </w:style>
  <w:style w:type="paragraph" w:customStyle="1" w:styleId="Continued">
    <w:name w:val="Continued"/>
    <w:autoRedefine/>
    <w:rsid w:val="00940755"/>
    <w:pPr>
      <w:keepNext/>
      <w:keepLines/>
      <w:pageBreakBefore/>
      <w:tabs>
        <w:tab w:val="left" w:pos="0"/>
        <w:tab w:val="left" w:pos="426"/>
      </w:tabs>
      <w:spacing w:after="240"/>
    </w:pPr>
    <w:rPr>
      <w:rFonts w:ascii="Arial" w:hAnsi="Arial" w:cs="Arial"/>
      <w:b/>
      <w:lang w:val="en-GB" w:eastAsia="en-US"/>
    </w:rPr>
  </w:style>
  <w:style w:type="paragraph" w:customStyle="1" w:styleId="Name">
    <w:name w:val="Name"/>
    <w:rsid w:val="004E6E7B"/>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jc w:val="both"/>
    </w:pPr>
    <w:rPr>
      <w:rFonts w:ascii="Arial" w:hAnsi="Arial"/>
      <w:b/>
      <w:smallCaps/>
      <w:spacing w:val="-2"/>
      <w:lang w:val="en-GB" w:eastAsia="en-US"/>
    </w:rPr>
  </w:style>
  <w:style w:type="paragraph" w:customStyle="1" w:styleId="ABCFootnote">
    <w:name w:val="ABC Footnote"/>
    <w:basedOn w:val="Textpoznmkypodiarou"/>
    <w:rsid w:val="004E6E7B"/>
    <w:pPr>
      <w:spacing w:line="240" w:lineRule="auto"/>
    </w:pPr>
    <w:rPr>
      <w:sz w:val="18"/>
      <w:szCs w:val="20"/>
    </w:rPr>
  </w:style>
  <w:style w:type="paragraph" w:customStyle="1" w:styleId="ABCNumbered">
    <w:name w:val="ABC Numbered"/>
    <w:basedOn w:val="ABCFootnote"/>
    <w:rsid w:val="004E6E7B"/>
    <w:pPr>
      <w:numPr>
        <w:numId w:val="18"/>
      </w:numPr>
      <w:spacing w:before="120" w:after="120"/>
    </w:pPr>
  </w:style>
  <w:style w:type="paragraph" w:styleId="Register1">
    <w:name w:val="index 1"/>
    <w:basedOn w:val="Normlny"/>
    <w:next w:val="Normlny"/>
    <w:autoRedefine/>
    <w:semiHidden/>
    <w:rsid w:val="002E5A60"/>
    <w:pPr>
      <w:spacing w:line="233" w:lineRule="auto"/>
      <w:ind w:left="-113"/>
      <w:jc w:val="center"/>
    </w:pPr>
    <w:rPr>
      <w:rFonts w:ascii="Arial" w:hAnsi="Arial"/>
      <w:b/>
      <w:sz w:val="18"/>
      <w:lang w:val="en-US"/>
    </w:rPr>
  </w:style>
  <w:style w:type="paragraph" w:customStyle="1" w:styleId="Rowheader">
    <w:name w:val="Row header"/>
    <w:basedOn w:val="Normlny"/>
    <w:rsid w:val="00DC32BD"/>
    <w:pPr>
      <w:ind w:left="85" w:hanging="85"/>
    </w:pPr>
    <w:rPr>
      <w:rFonts w:ascii="Arial" w:hAnsi="Arial"/>
      <w:b/>
      <w:sz w:val="18"/>
    </w:rPr>
  </w:style>
  <w:style w:type="paragraph" w:customStyle="1" w:styleId="Columnheader">
    <w:name w:val="Column header"/>
    <w:basedOn w:val="Normlny"/>
    <w:rsid w:val="00DC32BD"/>
    <w:pPr>
      <w:tabs>
        <w:tab w:val="decimal" w:pos="1503"/>
      </w:tabs>
      <w:spacing w:line="228" w:lineRule="auto"/>
      <w:ind w:right="-56"/>
    </w:pPr>
    <w:rPr>
      <w:rFonts w:ascii="Arial" w:hAnsi="Arial"/>
      <w:b/>
      <w:sz w:val="18"/>
    </w:rPr>
  </w:style>
  <w:style w:type="paragraph" w:customStyle="1" w:styleId="Tablenumbers1">
    <w:name w:val="Table numbers1"/>
    <w:rsid w:val="00DC32BD"/>
    <w:pPr>
      <w:tabs>
        <w:tab w:val="decimal" w:pos="1503"/>
      </w:tabs>
      <w:ind w:right="-56"/>
    </w:pPr>
    <w:rPr>
      <w:rFonts w:ascii="Arial" w:hAnsi="Arial"/>
      <w:sz w:val="18"/>
      <w:lang w:val="en-GB" w:eastAsia="en-US"/>
    </w:rPr>
  </w:style>
  <w:style w:type="paragraph" w:customStyle="1" w:styleId="RRthousands">
    <w:name w:val="RR thousands"/>
    <w:basedOn w:val="Normlny"/>
    <w:link w:val="RRthousandsChar"/>
    <w:rsid w:val="00DC32BD"/>
    <w:pPr>
      <w:ind w:left="86" w:hanging="86"/>
    </w:pPr>
    <w:rPr>
      <w:rFonts w:ascii="Arial" w:hAnsi="Arial" w:cs="Arial"/>
      <w:i/>
      <w:sz w:val="16"/>
    </w:rPr>
  </w:style>
  <w:style w:type="paragraph" w:customStyle="1" w:styleId="StyleTabletextLinespacingMultiple095li">
    <w:name w:val="Style Table text + Line spacing:  Multiple 0.95 li"/>
    <w:basedOn w:val="Normlny"/>
    <w:rsid w:val="00DC32BD"/>
    <w:pPr>
      <w:spacing w:before="20" w:line="228" w:lineRule="auto"/>
      <w:ind w:left="85" w:hanging="85"/>
    </w:pPr>
    <w:rPr>
      <w:rFonts w:ascii="Arial" w:hAnsi="Arial"/>
      <w:sz w:val="18"/>
    </w:rPr>
  </w:style>
  <w:style w:type="character" w:customStyle="1" w:styleId="RRthousandsChar">
    <w:name w:val="RR thousands Char"/>
    <w:basedOn w:val="Predvolenpsmoodseku"/>
    <w:link w:val="RRthousands"/>
    <w:rsid w:val="00DC32BD"/>
    <w:rPr>
      <w:rFonts w:ascii="Arial" w:hAnsi="Arial" w:cs="Arial"/>
      <w:i/>
      <w:sz w:val="16"/>
      <w:lang w:val="en-GB" w:eastAsia="en-US" w:bidi="ar-SA"/>
    </w:rPr>
  </w:style>
  <w:style w:type="paragraph" w:customStyle="1" w:styleId="StyleABC-paragrahinNotesAfter0pt">
    <w:name w:val="Style ABC - paragrah in Notes + After:  0 pt"/>
    <w:basedOn w:val="ABC-paragrahinNotesChar"/>
    <w:rsid w:val="00DC32BD"/>
    <w:pPr>
      <w:spacing w:after="0"/>
    </w:pPr>
  </w:style>
  <w:style w:type="paragraph" w:customStyle="1" w:styleId="StyleABC-paragrahinNotesAfter10pt">
    <w:name w:val="Style ABC - paragrah in Notes + After:  10 pt"/>
    <w:basedOn w:val="ABC-paragrahinNotesChar"/>
    <w:rsid w:val="008E5B23"/>
    <w:pPr>
      <w:spacing w:after="200"/>
    </w:pPr>
  </w:style>
  <w:style w:type="paragraph" w:customStyle="1" w:styleId="ABC-Aftertable">
    <w:name w:val="ABC - After table"/>
    <w:next w:val="ABC-paragrahinNotesChar"/>
    <w:rsid w:val="00F11461"/>
    <w:pPr>
      <w:spacing w:before="240" w:after="240"/>
      <w:jc w:val="both"/>
    </w:pPr>
    <w:rPr>
      <w:rFonts w:ascii="Arial" w:hAnsi="Arial"/>
      <w:noProof/>
      <w:sz w:val="18"/>
      <w:lang w:val="en-GB" w:eastAsia="en-US"/>
    </w:rPr>
  </w:style>
  <w:style w:type="paragraph" w:customStyle="1" w:styleId="StyleHeading1TimesNewRoman">
    <w:name w:val="Style Heading 1 + Times New Roman"/>
    <w:basedOn w:val="Nadpis1"/>
    <w:rsid w:val="00F11461"/>
    <w:rPr>
      <w:rFonts w:cs="Times New Roman"/>
      <w:bCs/>
      <w:snapToGrid/>
      <w:kern w:val="28"/>
    </w:rPr>
  </w:style>
  <w:style w:type="numbering" w:styleId="111111">
    <w:name w:val="Outline List 2"/>
    <w:aliases w:val="2.1,2.2"/>
    <w:basedOn w:val="Bezzoznamu"/>
    <w:rsid w:val="00F11461"/>
    <w:pPr>
      <w:numPr>
        <w:numId w:val="19"/>
      </w:numPr>
    </w:pPr>
  </w:style>
  <w:style w:type="paragraph" w:customStyle="1" w:styleId="hairline">
    <w:name w:val="hairline"/>
    <w:basedOn w:val="Normlny"/>
    <w:rsid w:val="00B50C07"/>
    <w:pPr>
      <w:widowControl w:val="0"/>
      <w:pBdr>
        <w:bottom w:val="single" w:sz="6" w:space="0" w:color="auto"/>
      </w:pBdr>
      <w:tabs>
        <w:tab w:val="decimal" w:pos="6380"/>
        <w:tab w:val="decimal" w:pos="7920"/>
      </w:tabs>
      <w:spacing w:before="60"/>
      <w:ind w:right="40"/>
      <w:jc w:val="both"/>
    </w:pPr>
    <w:rPr>
      <w:rFonts w:ascii="Times" w:hAnsi="Times"/>
      <w:lang w:val="en-US"/>
    </w:rPr>
  </w:style>
  <w:style w:type="paragraph" w:customStyle="1" w:styleId="TableText">
    <w:name w:val="Table Text"/>
    <w:basedOn w:val="Normlny"/>
    <w:rsid w:val="0094565D"/>
    <w:rPr>
      <w:sz w:val="18"/>
      <w:szCs w:val="24"/>
    </w:rPr>
  </w:style>
  <w:style w:type="paragraph" w:customStyle="1" w:styleId="normaltext">
    <w:name w:val="normal text"/>
    <w:basedOn w:val="Normlny"/>
    <w:rsid w:val="00C871D1"/>
    <w:pPr>
      <w:spacing w:before="60"/>
      <w:jc w:val="both"/>
    </w:pPr>
    <w:rPr>
      <w:color w:val="000000"/>
      <w:sz w:val="18"/>
      <w:lang w:val="en-US"/>
    </w:rPr>
  </w:style>
  <w:style w:type="paragraph" w:customStyle="1" w:styleId="TableSubhead">
    <w:name w:val="Table Subhead"/>
    <w:basedOn w:val="Normlny"/>
    <w:rsid w:val="00C871D1"/>
    <w:pPr>
      <w:spacing w:before="60" w:after="60"/>
    </w:pPr>
    <w:rPr>
      <w:b/>
      <w:sz w:val="18"/>
      <w:szCs w:val="24"/>
    </w:rPr>
  </w:style>
  <w:style w:type="paragraph" w:customStyle="1" w:styleId="Rounded">
    <w:name w:val="Rounded"/>
    <w:basedOn w:val="Normlny"/>
    <w:rsid w:val="007D3AF0"/>
    <w:pPr>
      <w:pBdr>
        <w:top w:val="single" w:sz="6" w:space="1" w:color="auto"/>
        <w:left w:val="single" w:sz="6" w:space="1" w:color="auto"/>
        <w:bottom w:val="single" w:sz="6" w:space="1" w:color="auto"/>
        <w:right w:val="single" w:sz="6" w:space="1" w:color="auto"/>
      </w:pBdr>
      <w:shd w:val="solid" w:color="auto" w:fill="auto"/>
      <w:tabs>
        <w:tab w:val="left" w:pos="560"/>
        <w:tab w:val="left" w:pos="5660"/>
        <w:tab w:val="right" w:pos="9781"/>
      </w:tabs>
      <w:spacing w:before="60"/>
      <w:ind w:right="612"/>
      <w:jc w:val="both"/>
    </w:pPr>
    <w:rPr>
      <w:rFonts w:ascii="Arial Rounded MT Bold" w:hAnsi="Arial Rounded MT Bold"/>
      <w:b/>
      <w:color w:val="FFFFFF"/>
      <w:spacing w:val="30"/>
      <w:sz w:val="32"/>
      <w:lang w:val="en-US"/>
    </w:rPr>
  </w:style>
  <w:style w:type="paragraph" w:customStyle="1" w:styleId="StyleName12ptNotBoldItalicNotSmallcaps">
    <w:name w:val="Style Name + 12 pt Not Bold Italic Not Small caps"/>
    <w:basedOn w:val="Name"/>
    <w:rsid w:val="00055EB6"/>
    <w:rPr>
      <w:b w:val="0"/>
      <w:i/>
      <w:iCs/>
      <w:smallCaps w:val="0"/>
    </w:rPr>
  </w:style>
  <w:style w:type="numbering" w:styleId="1ai">
    <w:name w:val="Outline List 1"/>
    <w:basedOn w:val="Bezzoznamu"/>
    <w:rsid w:val="002C6AAC"/>
    <w:pPr>
      <w:numPr>
        <w:numId w:val="20"/>
      </w:numPr>
    </w:pPr>
  </w:style>
  <w:style w:type="paragraph" w:customStyle="1" w:styleId="Tabletext0">
    <w:name w:val="Table text"/>
    <w:basedOn w:val="Normlny"/>
    <w:rsid w:val="00236FA4"/>
    <w:pPr>
      <w:ind w:left="85" w:hanging="85"/>
    </w:pPr>
    <w:rPr>
      <w:rFonts w:ascii="Arial" w:hAnsi="Arial"/>
      <w:sz w:val="18"/>
    </w:rPr>
  </w:style>
  <w:style w:type="paragraph" w:customStyle="1" w:styleId="Style10ptItalicRedJustifiedLeft075cm">
    <w:name w:val="Style 10 pt Italic Red Justified Left:  075 cm"/>
    <w:basedOn w:val="Normlny"/>
    <w:rsid w:val="00294EF0"/>
    <w:pPr>
      <w:ind w:left="426"/>
      <w:jc w:val="both"/>
    </w:pPr>
    <w:rPr>
      <w:iCs/>
      <w:color w:val="333399"/>
      <w:lang w:val="sk-SK" w:eastAsia="sk-SK"/>
    </w:rPr>
  </w:style>
  <w:style w:type="paragraph" w:customStyle="1" w:styleId="ABCNotes">
    <w:name w:val="ABC Notes"/>
    <w:basedOn w:val="Normlny"/>
    <w:rsid w:val="00DC67E3"/>
    <w:pPr>
      <w:keepNext/>
      <w:keepLines/>
      <w:numPr>
        <w:numId w:val="21"/>
      </w:numPr>
      <w:spacing w:before="240" w:after="240"/>
    </w:pPr>
    <w:rPr>
      <w:rFonts w:ascii="Arial" w:hAnsi="Arial"/>
      <w:b/>
      <w:sz w:val="18"/>
    </w:rPr>
  </w:style>
  <w:style w:type="paragraph" w:customStyle="1" w:styleId="Style1">
    <w:name w:val="Style1"/>
    <w:basedOn w:val="Nadpis1"/>
    <w:autoRedefine/>
    <w:rsid w:val="00602EEA"/>
    <w:pPr>
      <w:numPr>
        <w:numId w:val="22"/>
      </w:numPr>
    </w:pPr>
  </w:style>
  <w:style w:type="paragraph" w:customStyle="1" w:styleId="Nor">
    <w:name w:val="Nor"/>
    <w:basedOn w:val="ABC-paragrahinNotesChar"/>
    <w:rsid w:val="00413F1B"/>
    <w:rPr>
      <w:rFonts w:ascii="Times New Roman" w:hAnsi="Times New Roman"/>
      <w:szCs w:val="18"/>
    </w:rPr>
  </w:style>
  <w:style w:type="paragraph" w:customStyle="1" w:styleId="91">
    <w:name w:val="91"/>
    <w:basedOn w:val="Normlny"/>
    <w:autoRedefine/>
    <w:rsid w:val="0033372E"/>
    <w:pPr>
      <w:numPr>
        <w:numId w:val="23"/>
      </w:numPr>
      <w:autoSpaceDE w:val="0"/>
      <w:autoSpaceDN w:val="0"/>
      <w:adjustRightInd w:val="0"/>
    </w:pPr>
    <w:rPr>
      <w:rFonts w:ascii="Arial" w:hAnsi="Arial" w:cs="Arial"/>
      <w:sz w:val="15"/>
      <w:szCs w:val="15"/>
      <w:lang w:val="en-US" w:eastAsia="sk-SK"/>
    </w:rPr>
  </w:style>
  <w:style w:type="paragraph" w:customStyle="1" w:styleId="odstavecabc">
    <w:name w:val="odstavecabc"/>
    <w:basedOn w:val="Normlny"/>
    <w:autoRedefine/>
    <w:rsid w:val="0033372E"/>
    <w:pPr>
      <w:numPr>
        <w:numId w:val="24"/>
      </w:numPr>
      <w:tabs>
        <w:tab w:val="clear" w:pos="737"/>
      </w:tabs>
      <w:spacing w:after="120"/>
      <w:ind w:left="426" w:hanging="426"/>
      <w:jc w:val="both"/>
    </w:pPr>
    <w:rPr>
      <w:b/>
      <w:szCs w:val="24"/>
      <w:lang w:val="sk-SK" w:eastAsia="sk-SK"/>
    </w:rPr>
  </w:style>
  <w:style w:type="paragraph" w:customStyle="1" w:styleId="odstavecbezcisla">
    <w:name w:val="odstavecbezcisla"/>
    <w:basedOn w:val="Zkladntext3"/>
    <w:rsid w:val="0033372E"/>
    <w:pPr>
      <w:ind w:left="426"/>
    </w:pPr>
    <w:rPr>
      <w:iCs/>
      <w:szCs w:val="24"/>
      <w:lang w:val="sk-SK" w:eastAsia="sk-SK"/>
    </w:rPr>
  </w:style>
  <w:style w:type="paragraph" w:customStyle="1" w:styleId="a-table-footer-note">
    <w:name w:val="a-table-footer-note"/>
    <w:basedOn w:val="Normlny"/>
    <w:rsid w:val="00F6357A"/>
    <w:pPr>
      <w:spacing w:before="60" w:after="140" w:line="240" w:lineRule="atLeast"/>
    </w:pPr>
    <w:rPr>
      <w:rFonts w:ascii="Arial" w:hAnsi="Arial" w:cs="Arial"/>
      <w:spacing w:val="-2"/>
      <w:sz w:val="18"/>
      <w:szCs w:val="16"/>
    </w:rPr>
  </w:style>
  <w:style w:type="paragraph" w:customStyle="1" w:styleId="singleright">
    <w:name w:val="singleright"/>
    <w:basedOn w:val="Normlny"/>
    <w:rsid w:val="000E3075"/>
    <w:pPr>
      <w:ind w:left="113" w:right="57"/>
      <w:jc w:val="right"/>
    </w:pPr>
    <w:rPr>
      <w:sz w:val="18"/>
      <w:szCs w:val="18"/>
      <w:lang w:eastAsia="sk-SK"/>
    </w:rPr>
  </w:style>
  <w:style w:type="paragraph" w:customStyle="1" w:styleId="Borders">
    <w:name w:val="Border s"/>
    <w:basedOn w:val="Lines0"/>
    <w:rsid w:val="000E3075"/>
    <w:rPr>
      <w:b/>
      <w:sz w:val="18"/>
      <w:szCs w:val="18"/>
    </w:rPr>
  </w:style>
  <w:style w:type="character" w:customStyle="1" w:styleId="Nadpis1Char">
    <w:name w:val="Nadpis 1 Char"/>
    <w:basedOn w:val="Predvolenpsmoodseku"/>
    <w:link w:val="Nadpis1"/>
    <w:rsid w:val="001C5911"/>
    <w:rPr>
      <w:rFonts w:ascii="Arial" w:hAnsi="Arial" w:cs="Arial"/>
      <w:b/>
      <w:snapToGrid w:val="0"/>
      <w:lang w:eastAsia="ru-RU"/>
    </w:rPr>
  </w:style>
  <w:style w:type="paragraph" w:customStyle="1" w:styleId="Head3">
    <w:name w:val="Head3"/>
    <w:basedOn w:val="Normlny"/>
    <w:link w:val="Head3Char"/>
    <w:autoRedefine/>
    <w:rsid w:val="000405EF"/>
    <w:pPr>
      <w:jc w:val="both"/>
    </w:pPr>
    <w:rPr>
      <w:rFonts w:ascii="Arial" w:hAnsi="Arial" w:cs="Arial"/>
      <w:color w:val="000000"/>
      <w:lang w:val="sk-SK"/>
    </w:rPr>
  </w:style>
  <w:style w:type="numbering" w:customStyle="1" w:styleId="Style2">
    <w:name w:val="Style2"/>
    <w:rsid w:val="00574BF7"/>
    <w:pPr>
      <w:numPr>
        <w:numId w:val="25"/>
      </w:numPr>
    </w:pPr>
  </w:style>
  <w:style w:type="paragraph" w:customStyle="1" w:styleId="Head2">
    <w:name w:val="Head2"/>
    <w:basedOn w:val="Normlny"/>
    <w:link w:val="Head2Char"/>
    <w:autoRedefine/>
    <w:rsid w:val="00C92A21"/>
    <w:pPr>
      <w:numPr>
        <w:numId w:val="26"/>
      </w:numPr>
    </w:pPr>
    <w:rPr>
      <w:b/>
      <w:sz w:val="18"/>
    </w:rPr>
  </w:style>
  <w:style w:type="paragraph" w:customStyle="1" w:styleId="Heading2">
    <w:name w:val="Heading2"/>
    <w:basedOn w:val="Normlny"/>
    <w:autoRedefine/>
    <w:rsid w:val="00476482"/>
    <w:pPr>
      <w:numPr>
        <w:numId w:val="27"/>
      </w:numPr>
    </w:pPr>
    <w:rPr>
      <w:b/>
      <w:snapToGrid w:val="0"/>
      <w:sz w:val="18"/>
    </w:rPr>
  </w:style>
  <w:style w:type="paragraph" w:customStyle="1" w:styleId="Bullet1">
    <w:name w:val="Bullet1"/>
    <w:basedOn w:val="Normlny"/>
    <w:rsid w:val="00094481"/>
    <w:pPr>
      <w:numPr>
        <w:numId w:val="28"/>
      </w:numPr>
    </w:pPr>
    <w:rPr>
      <w:rFonts w:ascii="Arial" w:hAnsi="Arial"/>
      <w:sz w:val="18"/>
    </w:rPr>
  </w:style>
  <w:style w:type="paragraph" w:customStyle="1" w:styleId="StandaardOpinion">
    <w:name w:val="StandaardOpinion"/>
    <w:basedOn w:val="Normlny"/>
    <w:rsid w:val="000C6149"/>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sz w:val="22"/>
      <w:lang w:val="en-US"/>
    </w:rPr>
  </w:style>
  <w:style w:type="paragraph" w:customStyle="1" w:styleId="TitreABC2">
    <w:name w:val="Titre ABC2"/>
    <w:basedOn w:val="Register2"/>
    <w:rsid w:val="003D6AE0"/>
    <w:pPr>
      <w:ind w:left="198" w:hanging="198"/>
    </w:pPr>
    <w:rPr>
      <w:b/>
      <w:lang w:val="en-US"/>
    </w:rPr>
  </w:style>
  <w:style w:type="paragraph" w:styleId="Register2">
    <w:name w:val="index 2"/>
    <w:basedOn w:val="Normlny"/>
    <w:next w:val="Normlny"/>
    <w:semiHidden/>
    <w:rsid w:val="003D6AE0"/>
    <w:pPr>
      <w:tabs>
        <w:tab w:val="right" w:leader="dot" w:pos="8782"/>
      </w:tabs>
      <w:ind w:left="400" w:hanging="200"/>
    </w:pPr>
    <w:rPr>
      <w:rFonts w:ascii="Arial" w:hAnsi="Arial"/>
      <w:sz w:val="18"/>
    </w:rPr>
  </w:style>
  <w:style w:type="paragraph" w:customStyle="1" w:styleId="ABCTitle">
    <w:name w:val="ABC Title"/>
    <w:basedOn w:val="Nadpis2"/>
    <w:rsid w:val="003D6AE0"/>
    <w:pPr>
      <w:widowControl/>
      <w:tabs>
        <w:tab w:val="clear" w:pos="702"/>
        <w:tab w:val="clear" w:pos="1422"/>
        <w:tab w:val="clear" w:pos="2142"/>
        <w:tab w:val="clear" w:pos="2862"/>
        <w:tab w:val="clear" w:pos="3582"/>
        <w:tab w:val="clear" w:pos="4302"/>
        <w:tab w:val="clear" w:pos="5022"/>
        <w:tab w:val="clear" w:pos="5742"/>
        <w:tab w:val="clear" w:pos="6462"/>
        <w:tab w:val="clear" w:pos="7182"/>
        <w:tab w:val="clear" w:pos="7902"/>
        <w:tab w:val="clear" w:pos="8622"/>
        <w:tab w:val="left" w:pos="2268"/>
      </w:tabs>
      <w:spacing w:before="60"/>
      <w:ind w:left="0" w:right="0"/>
      <w:outlineLvl w:val="9"/>
    </w:pPr>
    <w:rPr>
      <w:rFonts w:ascii="Arial" w:hAnsi="Arial"/>
      <w:smallCaps/>
      <w:snapToGrid/>
      <w:color w:val="auto"/>
      <w:sz w:val="20"/>
      <w:lang w:val="en-US"/>
    </w:rPr>
  </w:style>
  <w:style w:type="paragraph" w:customStyle="1" w:styleId="ABC-BulletsinNotes">
    <w:name w:val="ABC - Bullets in Notes"/>
    <w:rsid w:val="003D6AE0"/>
    <w:pPr>
      <w:numPr>
        <w:numId w:val="30"/>
      </w:numPr>
      <w:tabs>
        <w:tab w:val="left" w:pos="851"/>
      </w:tabs>
      <w:spacing w:after="240"/>
      <w:jc w:val="both"/>
    </w:pPr>
    <w:rPr>
      <w:rFonts w:ascii="Arial" w:hAnsi="Arial"/>
      <w:sz w:val="18"/>
      <w:lang w:val="en-GB" w:eastAsia="en-US"/>
    </w:rPr>
  </w:style>
  <w:style w:type="character" w:customStyle="1" w:styleId="Head3Char">
    <w:name w:val="Head3 Char"/>
    <w:basedOn w:val="Predvolenpsmoodseku"/>
    <w:link w:val="Head3"/>
    <w:rsid w:val="000405EF"/>
    <w:rPr>
      <w:rFonts w:ascii="Arial" w:hAnsi="Arial" w:cs="Arial"/>
      <w:color w:val="000000"/>
      <w:lang w:eastAsia="en-US"/>
    </w:rPr>
  </w:style>
  <w:style w:type="character" w:customStyle="1" w:styleId="Head2Char">
    <w:name w:val="Head2 Char"/>
    <w:basedOn w:val="Predvolenpsmoodseku"/>
    <w:link w:val="Head2"/>
    <w:rsid w:val="00C92A21"/>
    <w:rPr>
      <w:b/>
      <w:sz w:val="18"/>
      <w:lang w:val="en-GB" w:eastAsia="en-US"/>
    </w:rPr>
  </w:style>
  <w:style w:type="paragraph" w:customStyle="1" w:styleId="Norml">
    <w:name w:val="Norml"/>
    <w:basedOn w:val="Lines"/>
    <w:rsid w:val="00521603"/>
    <w:pPr>
      <w:ind w:left="113"/>
    </w:pPr>
    <w:rPr>
      <w:bCs/>
      <w:color w:val="auto"/>
      <w:szCs w:val="18"/>
      <w:lang w:val="sk-SK" w:eastAsia="sk-SK"/>
    </w:rPr>
  </w:style>
  <w:style w:type="character" w:customStyle="1" w:styleId="Style10ptItalicRed">
    <w:name w:val="Style 10 pt Italic Red"/>
    <w:basedOn w:val="Predvolenpsmoodseku"/>
    <w:rsid w:val="009A2265"/>
    <w:rPr>
      <w:iCs/>
      <w:color w:val="333399"/>
      <w:sz w:val="20"/>
    </w:rPr>
  </w:style>
  <w:style w:type="paragraph" w:customStyle="1" w:styleId="Lined9pt">
    <w:name w:val="Line d + 9 pt"/>
    <w:aliases w:val="Bold,Black,Right"/>
    <w:basedOn w:val="Normlny"/>
    <w:rsid w:val="00603C34"/>
    <w:pPr>
      <w:pBdr>
        <w:bottom w:val="single" w:sz="4" w:space="1" w:color="auto"/>
      </w:pBdr>
      <w:ind w:left="113" w:right="57"/>
      <w:jc w:val="right"/>
    </w:pPr>
    <w:rPr>
      <w:color w:val="000080"/>
      <w:sz w:val="18"/>
      <w:szCs w:val="18"/>
      <w:lang w:val="sk-SK"/>
    </w:rPr>
  </w:style>
  <w:style w:type="paragraph" w:customStyle="1" w:styleId="Head1">
    <w:name w:val="Head 1"/>
    <w:basedOn w:val="Normlny"/>
    <w:autoRedefine/>
    <w:rsid w:val="000229B6"/>
    <w:pPr>
      <w:ind w:left="-1150"/>
      <w:jc w:val="right"/>
    </w:pPr>
    <w:rPr>
      <w:rFonts w:ascii="Arial" w:hAnsi="Arial" w:cs="Arial"/>
      <w:b/>
      <w:sz w:val="18"/>
      <w:szCs w:val="18"/>
      <w:lang w:val="sk-SK"/>
    </w:rPr>
  </w:style>
  <w:style w:type="paragraph" w:customStyle="1" w:styleId="lined1">
    <w:name w:val="line d"/>
    <w:basedOn w:val="Normlny"/>
    <w:autoRedefine/>
    <w:rsid w:val="00460D06"/>
    <w:pPr>
      <w:pBdr>
        <w:bottom w:val="double" w:sz="4" w:space="1" w:color="auto"/>
      </w:pBdr>
      <w:ind w:left="113" w:right="57"/>
      <w:jc w:val="right"/>
    </w:pPr>
    <w:rPr>
      <w:rFonts w:ascii="Arial" w:hAnsi="Arial" w:cs="Arial"/>
      <w:b/>
      <w:sz w:val="18"/>
      <w:szCs w:val="18"/>
      <w:lang w:val="sk-SK" w:eastAsia="sk-SK"/>
    </w:rPr>
  </w:style>
  <w:style w:type="paragraph" w:customStyle="1" w:styleId="lines1">
    <w:name w:val="line s"/>
    <w:basedOn w:val="Normlny"/>
    <w:link w:val="linesChar"/>
    <w:autoRedefine/>
    <w:qFormat/>
    <w:rsid w:val="003958F5"/>
    <w:pPr>
      <w:pBdr>
        <w:bottom w:val="single" w:sz="4" w:space="1" w:color="auto"/>
      </w:pBdr>
      <w:suppressAutoHyphens/>
      <w:ind w:left="113" w:right="17"/>
      <w:jc w:val="right"/>
    </w:pPr>
    <w:rPr>
      <w:rFonts w:ascii="Arial" w:hAnsi="Arial"/>
      <w:sz w:val="18"/>
      <w:lang w:val="sk-SK" w:eastAsia="sk-SK"/>
    </w:rPr>
  </w:style>
  <w:style w:type="paragraph" w:customStyle="1" w:styleId="dotabulky">
    <w:name w:val="do tabulky"/>
    <w:basedOn w:val="Zkladntext"/>
    <w:rsid w:val="000969BC"/>
    <w:pPr>
      <w:widowControl/>
      <w:spacing w:before="40"/>
      <w:jc w:val="left"/>
    </w:pPr>
    <w:rPr>
      <w:snapToGrid/>
      <w:color w:val="auto"/>
      <w:sz w:val="24"/>
      <w:szCs w:val="24"/>
      <w:u w:val="none"/>
      <w:lang w:val="sk-SK" w:eastAsia="sk-SK"/>
    </w:rPr>
  </w:style>
  <w:style w:type="character" w:customStyle="1" w:styleId="Head3CharChar">
    <w:name w:val="Head3 Char Char"/>
    <w:basedOn w:val="Predvolenpsmoodseku"/>
    <w:rsid w:val="00F645EE"/>
    <w:rPr>
      <w:b/>
      <w:bCs/>
      <w:sz w:val="18"/>
      <w:szCs w:val="18"/>
      <w:lang w:val="sk-SK" w:eastAsia="en-US" w:bidi="ar-SA"/>
    </w:rPr>
  </w:style>
  <w:style w:type="paragraph" w:customStyle="1" w:styleId="ABC-paragrahinNotes">
    <w:name w:val="ABC - paragrah in Notes"/>
    <w:link w:val="ABC-paragrahinNotesChar1"/>
    <w:rsid w:val="006C7A87"/>
    <w:pPr>
      <w:spacing w:after="240"/>
      <w:jc w:val="both"/>
    </w:pPr>
    <w:rPr>
      <w:rFonts w:ascii="Arial" w:hAnsi="Arial"/>
      <w:sz w:val="18"/>
      <w:lang w:val="en-GB" w:eastAsia="en-US"/>
    </w:rPr>
  </w:style>
  <w:style w:type="paragraph" w:customStyle="1" w:styleId="normal2">
    <w:name w:val="normal2"/>
    <w:basedOn w:val="Normlny"/>
    <w:rsid w:val="002A0AF7"/>
    <w:pPr>
      <w:ind w:left="709"/>
    </w:pPr>
    <w:rPr>
      <w:sz w:val="18"/>
      <w:lang w:val="en-US"/>
    </w:rPr>
  </w:style>
  <w:style w:type="paragraph" w:customStyle="1" w:styleId="1Heading">
    <w:name w:val="1 Heading"/>
    <w:basedOn w:val="Normlny"/>
    <w:autoRedefine/>
    <w:rsid w:val="00DE56F6"/>
    <w:pPr>
      <w:numPr>
        <w:numId w:val="32"/>
      </w:numPr>
      <w:autoSpaceDE w:val="0"/>
      <w:autoSpaceDN w:val="0"/>
      <w:adjustRightInd w:val="0"/>
      <w:spacing w:before="120" w:after="120"/>
    </w:pPr>
    <w:rPr>
      <w:rFonts w:ascii="Arial,Bold" w:hAnsi="Arial,Bold"/>
      <w:b/>
      <w:bCs/>
      <w:sz w:val="15"/>
      <w:szCs w:val="15"/>
      <w:lang w:val="en-US" w:eastAsia="sk-SK"/>
    </w:rPr>
  </w:style>
  <w:style w:type="paragraph" w:customStyle="1" w:styleId="odstavec">
    <w:name w:val="odstavec"/>
    <w:basedOn w:val="Normlny"/>
    <w:link w:val="odstavecChar"/>
    <w:autoRedefine/>
    <w:rsid w:val="009B79FC"/>
    <w:pPr>
      <w:suppressAutoHyphens/>
      <w:ind w:right="-76"/>
      <w:jc w:val="both"/>
    </w:pPr>
    <w:rPr>
      <w:rFonts w:ascii="Arial" w:hAnsi="Arial" w:cs="Arial"/>
      <w:color w:val="000000"/>
      <w:lang w:val="sk-SK" w:eastAsia="sk-SK"/>
    </w:rPr>
  </w:style>
  <w:style w:type="paragraph" w:customStyle="1" w:styleId="Nomal">
    <w:name w:val="Nomal"/>
    <w:basedOn w:val="Normlny"/>
    <w:rsid w:val="00750EF5"/>
    <w:pPr>
      <w:widowControl w:val="0"/>
    </w:pPr>
    <w:rPr>
      <w:b/>
      <w:snapToGrid w:val="0"/>
      <w:sz w:val="18"/>
      <w:szCs w:val="18"/>
      <w:lang w:val="sk-SK"/>
    </w:rPr>
  </w:style>
  <w:style w:type="paragraph" w:customStyle="1" w:styleId="lined2">
    <w:name w:val="line  d"/>
    <w:basedOn w:val="Normlny"/>
    <w:rsid w:val="00FA4737"/>
    <w:pPr>
      <w:jc w:val="right"/>
    </w:pPr>
    <w:rPr>
      <w:b/>
      <w:bCs/>
      <w:color w:val="000000"/>
      <w:sz w:val="18"/>
      <w:szCs w:val="18"/>
      <w:lang w:val="sk-SK" w:eastAsia="sk-SK"/>
    </w:rPr>
  </w:style>
  <w:style w:type="paragraph" w:customStyle="1" w:styleId="LinesAuto">
    <w:name w:val="Line_s + Auto"/>
    <w:aliases w:val="Left:  0,32 cm,Right:  0,16 cm,Bottom: (No border)"/>
    <w:basedOn w:val="Lines"/>
    <w:rsid w:val="00BA419F"/>
    <w:pPr>
      <w:pBdr>
        <w:bottom w:val="none" w:sz="0" w:space="0" w:color="auto"/>
      </w:pBdr>
      <w:tabs>
        <w:tab w:val="left" w:pos="1260"/>
        <w:tab w:val="right" w:pos="1425"/>
      </w:tabs>
      <w:ind w:left="180" w:right="90"/>
    </w:pPr>
    <w:rPr>
      <w:rFonts w:eastAsia="Times New Roman"/>
      <w:bCs/>
      <w:color w:val="auto"/>
      <w:szCs w:val="18"/>
    </w:rPr>
  </w:style>
  <w:style w:type="paragraph" w:styleId="Spiatonadresanaoblke">
    <w:name w:val="envelope return"/>
    <w:basedOn w:val="Normlny"/>
    <w:rsid w:val="00671B36"/>
    <w:pPr>
      <w:spacing w:line="240" w:lineRule="atLeast"/>
    </w:pPr>
    <w:rPr>
      <w:rFonts w:ascii="Arial" w:eastAsia="SimSun" w:hAnsi="Arial"/>
      <w:lang w:eastAsia="zh-CN"/>
    </w:rPr>
  </w:style>
  <w:style w:type="character" w:customStyle="1" w:styleId="odstavecChar">
    <w:name w:val="odstavec Char"/>
    <w:basedOn w:val="Predvolenpsmoodseku"/>
    <w:link w:val="odstavec"/>
    <w:rsid w:val="009B79FC"/>
    <w:rPr>
      <w:rFonts w:ascii="Arial" w:hAnsi="Arial" w:cs="Arial"/>
      <w:color w:val="000000"/>
    </w:rPr>
  </w:style>
  <w:style w:type="paragraph" w:customStyle="1" w:styleId="livianadpis">
    <w:name w:val="livia nadpis"/>
    <w:basedOn w:val="Normlny"/>
    <w:rsid w:val="00463065"/>
    <w:pPr>
      <w:numPr>
        <w:numId w:val="31"/>
      </w:numPr>
    </w:pPr>
    <w:rPr>
      <w:rFonts w:ascii="Arial" w:hAnsi="Arial" w:cs="Arial"/>
      <w:b/>
      <w:sz w:val="18"/>
      <w:szCs w:val="18"/>
      <w:lang w:val="sk-SK"/>
    </w:rPr>
  </w:style>
  <w:style w:type="paragraph" w:customStyle="1" w:styleId="31">
    <w:name w:val="3.1"/>
    <w:basedOn w:val="Normlny"/>
    <w:autoRedefine/>
    <w:rsid w:val="00821B92"/>
    <w:pPr>
      <w:autoSpaceDE w:val="0"/>
      <w:autoSpaceDN w:val="0"/>
      <w:adjustRightInd w:val="0"/>
      <w:spacing w:before="120" w:after="120"/>
      <w:ind w:left="-510"/>
      <w:jc w:val="right"/>
    </w:pPr>
    <w:rPr>
      <w:rFonts w:ascii="Arial,Bold" w:eastAsia="Times New Roman" w:hAnsi="Arial,Bold"/>
      <w:b/>
      <w:bCs/>
      <w:sz w:val="15"/>
      <w:szCs w:val="15"/>
      <w:lang w:val="en-US" w:eastAsia="sk-SK"/>
    </w:rPr>
  </w:style>
  <w:style w:type="paragraph" w:customStyle="1" w:styleId="TableFirstLine">
    <w:name w:val="Table First Line"/>
    <w:basedOn w:val="Normlny"/>
    <w:rsid w:val="00B621C7"/>
    <w:pPr>
      <w:widowControl w:val="0"/>
      <w:tabs>
        <w:tab w:val="right" w:pos="828"/>
      </w:tabs>
      <w:spacing w:before="60"/>
      <w:ind w:right="72"/>
      <w:jc w:val="both"/>
    </w:pPr>
    <w:rPr>
      <w:rFonts w:ascii="Arial" w:eastAsia="Times New Roman" w:hAnsi="Arial"/>
      <w:snapToGrid w:val="0"/>
      <w:sz w:val="14"/>
    </w:rPr>
  </w:style>
  <w:style w:type="paragraph" w:customStyle="1" w:styleId="Notetext">
    <w:name w:val="Note text"/>
    <w:basedOn w:val="Normlny"/>
    <w:rsid w:val="00C33A25"/>
    <w:pPr>
      <w:widowControl w:val="0"/>
      <w:tabs>
        <w:tab w:val="left" w:pos="0"/>
      </w:tabs>
      <w:spacing w:after="240"/>
      <w:jc w:val="both"/>
    </w:pPr>
    <w:rPr>
      <w:rFonts w:ascii="Arial" w:eastAsia="Times New Roman" w:hAnsi="Arial"/>
      <w:snapToGrid w:val="0"/>
      <w:sz w:val="18"/>
      <w:lang w:val="sk-SK"/>
    </w:rPr>
  </w:style>
  <w:style w:type="paragraph" w:styleId="Obyajntext">
    <w:name w:val="Plain Text"/>
    <w:basedOn w:val="Normlny"/>
    <w:link w:val="ObyajntextChar"/>
    <w:rsid w:val="001A7349"/>
    <w:rPr>
      <w:rFonts w:ascii="Courier New" w:eastAsia="Times New Roman" w:hAnsi="Courier New" w:cs="Courier New"/>
      <w:lang w:val="sk-SK" w:eastAsia="sk-SK"/>
    </w:rPr>
  </w:style>
  <w:style w:type="paragraph" w:styleId="Odsekzoznamu">
    <w:name w:val="List Paragraph"/>
    <w:basedOn w:val="Normlny"/>
    <w:uiPriority w:val="99"/>
    <w:qFormat/>
    <w:rsid w:val="00AD5043"/>
    <w:pPr>
      <w:ind w:left="720"/>
      <w:contextualSpacing/>
    </w:pPr>
    <w:rPr>
      <w:rFonts w:eastAsia="Times New Roman"/>
    </w:rPr>
  </w:style>
  <w:style w:type="character" w:customStyle="1" w:styleId="linesChar">
    <w:name w:val="line s Char"/>
    <w:basedOn w:val="Predvolenpsmoodseku"/>
    <w:link w:val="lines1"/>
    <w:rsid w:val="003958F5"/>
    <w:rPr>
      <w:rFonts w:ascii="Arial" w:hAnsi="Arial"/>
      <w:sz w:val="18"/>
    </w:rPr>
  </w:style>
  <w:style w:type="paragraph" w:styleId="Revzia">
    <w:name w:val="Revision"/>
    <w:hidden/>
    <w:uiPriority w:val="99"/>
    <w:semiHidden/>
    <w:rsid w:val="00E62C55"/>
    <w:rPr>
      <w:lang w:val="en-GB" w:eastAsia="en-US"/>
    </w:rPr>
  </w:style>
  <w:style w:type="paragraph" w:customStyle="1" w:styleId="Default">
    <w:name w:val="Default"/>
    <w:rsid w:val="009C1DFD"/>
    <w:pPr>
      <w:autoSpaceDE w:val="0"/>
      <w:autoSpaceDN w:val="0"/>
      <w:adjustRightInd w:val="0"/>
    </w:pPr>
    <w:rPr>
      <w:rFonts w:ascii="EUAlbertina" w:hAnsi="EUAlbertina" w:cs="EUAlbertina"/>
      <w:color w:val="000000"/>
      <w:sz w:val="24"/>
      <w:szCs w:val="24"/>
    </w:rPr>
  </w:style>
  <w:style w:type="character" w:customStyle="1" w:styleId="ra">
    <w:name w:val="ra"/>
    <w:basedOn w:val="Predvolenpsmoodseku"/>
    <w:rsid w:val="0050575F"/>
  </w:style>
  <w:style w:type="character" w:customStyle="1" w:styleId="TextkomentraChar">
    <w:name w:val="Text komentára Char"/>
    <w:basedOn w:val="Predvolenpsmoodseku"/>
    <w:link w:val="Textkomentra"/>
    <w:uiPriority w:val="99"/>
    <w:semiHidden/>
    <w:rsid w:val="004B6617"/>
    <w:rPr>
      <w:lang w:val="en-GB" w:eastAsia="en-US"/>
    </w:rPr>
  </w:style>
  <w:style w:type="paragraph" w:customStyle="1" w:styleId="StylelinesAuto">
    <w:name w:val="Style line s + Auto"/>
    <w:basedOn w:val="Normlny"/>
    <w:qFormat/>
    <w:rsid w:val="004221DF"/>
    <w:pPr>
      <w:pBdr>
        <w:bottom w:val="single" w:sz="4" w:space="1" w:color="auto"/>
      </w:pBdr>
      <w:suppressAutoHyphens/>
      <w:ind w:left="113" w:right="57"/>
      <w:jc w:val="right"/>
    </w:pPr>
    <w:rPr>
      <w:rFonts w:ascii="Arial" w:eastAsia="Times New Roman" w:hAnsi="Arial" w:cs="Arial"/>
      <w:sz w:val="18"/>
      <w:szCs w:val="18"/>
      <w:lang w:val="sk-SK" w:eastAsia="sk-SK"/>
    </w:rPr>
  </w:style>
  <w:style w:type="paragraph" w:customStyle="1" w:styleId="StylelinedAuto">
    <w:name w:val="Style line d + Auto"/>
    <w:basedOn w:val="Normlny"/>
    <w:autoRedefine/>
    <w:qFormat/>
    <w:rsid w:val="004221DF"/>
    <w:pPr>
      <w:pBdr>
        <w:bottom w:val="double" w:sz="4" w:space="1" w:color="auto"/>
      </w:pBdr>
      <w:suppressAutoHyphens/>
      <w:autoSpaceDE w:val="0"/>
      <w:autoSpaceDN w:val="0"/>
      <w:adjustRightInd w:val="0"/>
      <w:ind w:left="113" w:right="57"/>
      <w:jc w:val="right"/>
    </w:pPr>
    <w:rPr>
      <w:rFonts w:ascii="Arial" w:eastAsia="Times New Roman" w:hAnsi="Arial" w:cs="Arial"/>
      <w:b/>
      <w:bCs/>
      <w:sz w:val="18"/>
      <w:szCs w:val="18"/>
      <w:lang w:val="sk-SK" w:eastAsia="sk-SK"/>
    </w:rPr>
  </w:style>
  <w:style w:type="character" w:customStyle="1" w:styleId="DisclaimerChar">
    <w:name w:val="Disclaimer Char"/>
    <w:basedOn w:val="Predvolenpsmoodseku"/>
    <w:link w:val="Disclaimer"/>
    <w:rsid w:val="00070DD5"/>
    <w:rPr>
      <w:sz w:val="16"/>
      <w:lang w:val="en-GB" w:eastAsia="en-US"/>
    </w:rPr>
  </w:style>
  <w:style w:type="paragraph" w:customStyle="1" w:styleId="PwCAddress">
    <w:name w:val="PwC Address"/>
    <w:basedOn w:val="Normlny"/>
    <w:link w:val="PwCAddressChar"/>
    <w:qFormat/>
    <w:rsid w:val="00070DD5"/>
    <w:pPr>
      <w:spacing w:line="200" w:lineRule="atLeast"/>
    </w:pPr>
    <w:rPr>
      <w:rFonts w:ascii="Georgia" w:eastAsiaTheme="minorHAnsi" w:hAnsi="Georgia" w:cstheme="minorBidi"/>
      <w:i/>
      <w:noProof/>
      <w:sz w:val="18"/>
      <w:szCs w:val="22"/>
      <w:lang w:eastAsia="en-GB"/>
    </w:rPr>
  </w:style>
  <w:style w:type="character" w:customStyle="1" w:styleId="PwCAddressChar">
    <w:name w:val="PwC Address Char"/>
    <w:basedOn w:val="Predvolenpsmoodseku"/>
    <w:link w:val="PwCAddress"/>
    <w:rsid w:val="00070DD5"/>
    <w:rPr>
      <w:rFonts w:ascii="Georgia" w:eastAsiaTheme="minorHAnsi" w:hAnsi="Georgia" w:cstheme="minorBidi"/>
      <w:i/>
      <w:noProof/>
      <w:sz w:val="18"/>
      <w:szCs w:val="22"/>
      <w:lang w:val="en-GB" w:eastAsia="en-GB"/>
    </w:rPr>
  </w:style>
  <w:style w:type="paragraph" w:customStyle="1" w:styleId="StylelinesRight01cm">
    <w:name w:val="Style line s + Right:  01 cm"/>
    <w:basedOn w:val="lines1"/>
    <w:qFormat/>
    <w:rsid w:val="00460D06"/>
    <w:rPr>
      <w:rFonts w:eastAsia="Times New Roman"/>
    </w:rPr>
  </w:style>
  <w:style w:type="paragraph" w:customStyle="1" w:styleId="AR-Normlnytext">
    <w:name w:val="AR - Normálny text"/>
    <w:basedOn w:val="Normlny"/>
    <w:qFormat/>
    <w:rsid w:val="0071671A"/>
    <w:pPr>
      <w:spacing w:before="110" w:after="110"/>
      <w:ind w:left="180"/>
      <w:jc w:val="both"/>
    </w:pPr>
    <w:rPr>
      <w:rFonts w:ascii="Arial" w:eastAsia="Times New Roman" w:hAnsi="Arial" w:cs="Arial"/>
      <w:lang w:val="sk-SK"/>
    </w:rPr>
  </w:style>
  <w:style w:type="paragraph" w:customStyle="1" w:styleId="StylelinedLeft01cmRight0cm">
    <w:name w:val="Style line_d + Left:  01 cm Right:  0 cm"/>
    <w:basedOn w:val="lined0"/>
    <w:rsid w:val="00460D06"/>
    <w:rPr>
      <w:rFonts w:eastAsia="Times New Roman"/>
      <w:bCs/>
      <w:szCs w:val="20"/>
    </w:rPr>
  </w:style>
  <w:style w:type="paragraph" w:customStyle="1" w:styleId="StyleLinedLatinArialAutoLeft01cmRight0cmLi">
    <w:name w:val="Style Line_d + (Latin) Arial Auto Left:  01 cm Right:  0 cm Li..."/>
    <w:basedOn w:val="Lined"/>
    <w:rsid w:val="00460D06"/>
    <w:pPr>
      <w:spacing w:line="200" w:lineRule="exact"/>
      <w:ind w:left="113"/>
    </w:pPr>
    <w:rPr>
      <w:rFonts w:ascii="Arial" w:eastAsia="Times New Roman" w:hAnsi="Arial"/>
      <w:bCs/>
      <w:color w:val="auto"/>
    </w:rPr>
  </w:style>
  <w:style w:type="paragraph" w:customStyle="1" w:styleId="StyleLatinArial9ptBoldBlackRightLeft01cmBotto">
    <w:name w:val="Style (Latin) Arial 9 pt Bold Black Right Left:  01 cm Botto..."/>
    <w:basedOn w:val="Normlny"/>
    <w:rsid w:val="00460D06"/>
    <w:pPr>
      <w:pBdr>
        <w:bottom w:val="double" w:sz="4" w:space="1" w:color="auto"/>
      </w:pBdr>
      <w:ind w:left="113" w:right="57"/>
      <w:jc w:val="right"/>
    </w:pPr>
    <w:rPr>
      <w:rFonts w:ascii="Arial" w:eastAsia="Times New Roman" w:hAnsi="Arial"/>
      <w:b/>
      <w:bCs/>
      <w:color w:val="000000"/>
      <w:sz w:val="18"/>
    </w:rPr>
  </w:style>
  <w:style w:type="paragraph" w:customStyle="1" w:styleId="StyleLatinArial9ptBlackRightLeft01cmBottomSi">
    <w:name w:val="Style (Latin) Arial 9 pt Black Right Left:  01 cm Bottom: (Si..."/>
    <w:basedOn w:val="Normlny"/>
    <w:rsid w:val="00460D06"/>
    <w:pPr>
      <w:pBdr>
        <w:bottom w:val="single" w:sz="4" w:space="1" w:color="auto"/>
      </w:pBdr>
      <w:ind w:left="113" w:right="57"/>
      <w:jc w:val="right"/>
    </w:pPr>
    <w:rPr>
      <w:rFonts w:ascii="Arial" w:eastAsia="Times New Roman" w:hAnsi="Arial"/>
      <w:color w:val="000000"/>
      <w:sz w:val="18"/>
    </w:rPr>
  </w:style>
  <w:style w:type="paragraph" w:customStyle="1" w:styleId="StyleLatinArial9ptRightLeft01cmBottomSingleso">
    <w:name w:val="Style (Latin) Arial 9 pt Right Left:  01 cm Bottom: (Single so..."/>
    <w:basedOn w:val="Normlny"/>
    <w:rsid w:val="00460D06"/>
    <w:pPr>
      <w:pBdr>
        <w:bottom w:val="single" w:sz="4" w:space="1" w:color="auto"/>
      </w:pBdr>
      <w:spacing w:line="200" w:lineRule="exact"/>
      <w:ind w:left="113" w:right="57"/>
      <w:jc w:val="right"/>
    </w:pPr>
    <w:rPr>
      <w:rFonts w:ascii="Arial" w:eastAsia="Times New Roman" w:hAnsi="Arial"/>
      <w:sz w:val="18"/>
    </w:rPr>
  </w:style>
  <w:style w:type="paragraph" w:customStyle="1" w:styleId="StyleLinesLatinArialAutoLeft01cmRight0cm">
    <w:name w:val="Style Line_s + (Latin) Arial Auto Left:  01 cm Right:  0 cm"/>
    <w:basedOn w:val="Lines"/>
    <w:rsid w:val="00460D06"/>
    <w:pPr>
      <w:ind w:left="113"/>
    </w:pPr>
    <w:rPr>
      <w:rFonts w:ascii="Arial" w:eastAsia="Times New Roman" w:hAnsi="Arial"/>
      <w:color w:val="auto"/>
    </w:rPr>
  </w:style>
  <w:style w:type="paragraph" w:customStyle="1" w:styleId="StyleLatinArial9ptBoldRightLeft01cmBottomDou">
    <w:name w:val="Style (Latin) Arial 9 pt Bold Right Left:  01 cm Bottom: (Dou..."/>
    <w:basedOn w:val="Normlny"/>
    <w:rsid w:val="00460D06"/>
    <w:pPr>
      <w:pBdr>
        <w:bottom w:val="double" w:sz="4" w:space="1" w:color="auto"/>
      </w:pBdr>
      <w:ind w:left="113" w:right="57"/>
      <w:jc w:val="right"/>
    </w:pPr>
    <w:rPr>
      <w:rFonts w:ascii="Arial" w:eastAsia="Times New Roman" w:hAnsi="Arial"/>
      <w:b/>
      <w:bCs/>
      <w:sz w:val="18"/>
    </w:rPr>
  </w:style>
  <w:style w:type="paragraph" w:customStyle="1" w:styleId="StyleLatinArial9ptBoldRightLeft01cm">
    <w:name w:val="Style (Latin) Arial 9 pt Bold Right Left:  01 cm"/>
    <w:basedOn w:val="Normlny"/>
    <w:rsid w:val="00460D06"/>
    <w:pPr>
      <w:ind w:left="113" w:right="57"/>
      <w:jc w:val="right"/>
    </w:pPr>
    <w:rPr>
      <w:rFonts w:ascii="Arial" w:eastAsia="Times New Roman" w:hAnsi="Arial"/>
      <w:b/>
      <w:bCs/>
      <w:sz w:val="18"/>
    </w:rPr>
  </w:style>
  <w:style w:type="paragraph" w:customStyle="1" w:styleId="AnnualReport-normlnytext">
    <w:name w:val="Annual Report - normálny text"/>
    <w:basedOn w:val="Normlny"/>
    <w:qFormat/>
    <w:rsid w:val="004F6C67"/>
    <w:pPr>
      <w:spacing w:after="110"/>
      <w:ind w:left="181"/>
      <w:jc w:val="both"/>
    </w:pPr>
    <w:rPr>
      <w:rFonts w:ascii="Arial" w:eastAsia="Times New Roman" w:hAnsi="Arial" w:cs="Arial"/>
      <w:lang w:val="en-US"/>
    </w:rPr>
  </w:style>
  <w:style w:type="paragraph" w:customStyle="1" w:styleId="AnnualReport-podnadpis">
    <w:name w:val="Annual Report - podnadpis"/>
    <w:basedOn w:val="Normlny"/>
    <w:qFormat/>
    <w:rsid w:val="004F6C67"/>
    <w:pPr>
      <w:keepNext/>
      <w:tabs>
        <w:tab w:val="num" w:pos="596"/>
      </w:tabs>
      <w:spacing w:before="120" w:after="110"/>
      <w:ind w:left="596" w:hanging="454"/>
      <w:outlineLvl w:val="1"/>
    </w:pPr>
    <w:rPr>
      <w:rFonts w:ascii="Arial" w:eastAsia="Times New Roman" w:hAnsi="Arial" w:cs="Arial"/>
      <w:bCs/>
      <w:i/>
      <w:lang w:val="sk-SK"/>
    </w:rPr>
  </w:style>
  <w:style w:type="paragraph" w:styleId="Bezriadkovania">
    <w:name w:val="No Spacing"/>
    <w:uiPriority w:val="1"/>
    <w:qFormat/>
    <w:rsid w:val="003D488C"/>
    <w:rPr>
      <w:lang w:val="en-GB" w:eastAsia="en-US"/>
    </w:rPr>
  </w:style>
  <w:style w:type="character" w:customStyle="1" w:styleId="HlavikaChar">
    <w:name w:val="Hlavička Char"/>
    <w:basedOn w:val="Predvolenpsmoodseku"/>
    <w:link w:val="Hlavika"/>
    <w:uiPriority w:val="99"/>
    <w:rsid w:val="00DC27B5"/>
    <w:rPr>
      <w:lang w:val="en-GB" w:eastAsia="en-US"/>
    </w:rPr>
  </w:style>
  <w:style w:type="table" w:styleId="Jednoduchtabuka2">
    <w:name w:val="Table Simple 2"/>
    <w:basedOn w:val="Normlnatabuka"/>
    <w:rsid w:val="009B0BA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ObyajntextChar">
    <w:name w:val="Obyčajný text Char"/>
    <w:basedOn w:val="Predvolenpsmoodseku"/>
    <w:link w:val="Obyajntext"/>
    <w:uiPriority w:val="99"/>
    <w:locked/>
    <w:rsid w:val="00A8010F"/>
    <w:rPr>
      <w:rFonts w:ascii="Courier New" w:eastAsia="Times New Roman" w:hAnsi="Courier New" w:cs="Courier New"/>
    </w:rPr>
  </w:style>
  <w:style w:type="character" w:customStyle="1" w:styleId="hps">
    <w:name w:val="hps"/>
    <w:basedOn w:val="Predvolenpsmoodseku"/>
    <w:rsid w:val="00DD0E7F"/>
  </w:style>
  <w:style w:type="paragraph" w:customStyle="1" w:styleId="lines2">
    <w:name w:val="line_s"/>
    <w:basedOn w:val="Normlny"/>
    <w:autoRedefine/>
    <w:rsid w:val="00936886"/>
    <w:pPr>
      <w:pBdr>
        <w:bottom w:val="single" w:sz="4" w:space="1" w:color="auto"/>
      </w:pBdr>
      <w:spacing w:after="60"/>
      <w:jc w:val="center"/>
    </w:pPr>
    <w:rPr>
      <w:rFonts w:eastAsia="Times New Roman"/>
      <w:szCs w:val="24"/>
      <w:lang w:val="sk-SK" w:eastAsia="sk-SK"/>
    </w:rPr>
  </w:style>
  <w:style w:type="paragraph" w:customStyle="1" w:styleId="TableTotals">
    <w:name w:val="Table Totals"/>
    <w:basedOn w:val="Normlny"/>
    <w:rsid w:val="00837450"/>
    <w:pPr>
      <w:widowControl w:val="0"/>
      <w:spacing w:before="120" w:after="60"/>
      <w:ind w:right="72"/>
    </w:pPr>
    <w:rPr>
      <w:rFonts w:ascii="Arial" w:eastAsia="Times New Roman" w:hAnsi="Arial"/>
      <w:b/>
      <w:snapToGrid w:val="0"/>
      <w:sz w:val="14"/>
      <w:lang w:val="sk-SK"/>
    </w:rPr>
  </w:style>
  <w:style w:type="paragraph" w:customStyle="1" w:styleId="BodytextKS">
    <w:name w:val="Body text_KS"/>
    <w:basedOn w:val="Normlny"/>
    <w:link w:val="BodytextKSChar"/>
    <w:qFormat/>
    <w:rsid w:val="00C67D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jc w:val="both"/>
    </w:pPr>
    <w:rPr>
      <w:rFonts w:ascii="Arial" w:eastAsia="Times New Roman" w:hAnsi="Arial" w:cs="Arial"/>
      <w:snapToGrid w:val="0"/>
    </w:rPr>
  </w:style>
  <w:style w:type="character" w:customStyle="1" w:styleId="BodytextKSChar">
    <w:name w:val="Body text_KS Char"/>
    <w:basedOn w:val="Predvolenpsmoodseku"/>
    <w:link w:val="BodytextKS"/>
    <w:rsid w:val="00C67D3D"/>
    <w:rPr>
      <w:rFonts w:ascii="Arial" w:eastAsia="Times New Roman" w:hAnsi="Arial" w:cs="Arial"/>
      <w:snapToGrid w:val="0"/>
      <w:lang w:val="en-GB" w:eastAsia="en-US"/>
    </w:rPr>
  </w:style>
  <w:style w:type="character" w:customStyle="1" w:styleId="ABC-paragrahinNotesChar1">
    <w:name w:val="ABC - paragrah in Notes Char1"/>
    <w:basedOn w:val="Predvolenpsmoodseku"/>
    <w:link w:val="ABC-paragrahinNotes"/>
    <w:rsid w:val="003106B2"/>
    <w:rPr>
      <w:rFonts w:ascii="Arial" w:hAnsi="Arial"/>
      <w:sz w:val="18"/>
      <w:lang w:val="en-GB" w:eastAsia="en-US"/>
    </w:rPr>
  </w:style>
  <w:style w:type="paragraph" w:styleId="Normlnywebov">
    <w:name w:val="Normal (Web)"/>
    <w:basedOn w:val="Normlny"/>
    <w:uiPriority w:val="99"/>
    <w:unhideWhenUsed/>
    <w:rsid w:val="003106B2"/>
    <w:pPr>
      <w:spacing w:before="100" w:beforeAutospacing="1" w:after="100" w:afterAutospacing="1"/>
    </w:pPr>
    <w:rPr>
      <w:rFonts w:eastAsiaTheme="minorHAnsi"/>
      <w:sz w:val="24"/>
      <w:szCs w:val="24"/>
      <w:lang w:val="sk-SK" w:eastAsia="sk-SK"/>
    </w:rPr>
  </w:style>
  <w:style w:type="character" w:customStyle="1" w:styleId="Nadpis3Char">
    <w:name w:val="Nadpis 3 Char"/>
    <w:basedOn w:val="Predvolenpsmoodseku"/>
    <w:link w:val="Nadpis3"/>
    <w:uiPriority w:val="9"/>
    <w:rsid w:val="00302C89"/>
    <w:rPr>
      <w:b/>
      <w:snapToGrid w:val="0"/>
      <w:color w:val="000000"/>
      <w:sz w:val="18"/>
      <w:lang w:val="en-GB" w:eastAsia="en-US"/>
    </w:rPr>
  </w:style>
  <w:style w:type="character" w:customStyle="1" w:styleId="Nadpis2Char">
    <w:name w:val="Nadpis 2 Char"/>
    <w:basedOn w:val="Predvolenpsmoodseku"/>
    <w:link w:val="Nadpis2"/>
    <w:uiPriority w:val="9"/>
    <w:rsid w:val="00A25607"/>
    <w:rPr>
      <w:b/>
      <w:snapToGrid w:val="0"/>
      <w:color w:val="000000"/>
      <w:sz w:val="34"/>
      <w:lang w:eastAsia="en-US"/>
    </w:rPr>
  </w:style>
  <w:style w:type="character" w:customStyle="1" w:styleId="PtaChar">
    <w:name w:val="Päta Char"/>
    <w:basedOn w:val="Predvolenpsmoodseku"/>
    <w:link w:val="Pta"/>
    <w:uiPriority w:val="99"/>
    <w:rsid w:val="00A96B71"/>
    <w:rPr>
      <w:lang w:val="en-GB" w:eastAsia="en-US"/>
    </w:rPr>
  </w:style>
  <w:style w:type="character" w:customStyle="1" w:styleId="left">
    <w:name w:val="left"/>
    <w:basedOn w:val="Predvolenpsmoodseku"/>
    <w:rsid w:val="00B15025"/>
  </w:style>
  <w:style w:type="character" w:customStyle="1" w:styleId="large1">
    <w:name w:val="large1"/>
    <w:basedOn w:val="Predvolenpsmoodseku"/>
    <w:rsid w:val="0083283D"/>
    <w:rPr>
      <w:sz w:val="27"/>
      <w:szCs w:val="27"/>
    </w:rPr>
  </w:style>
  <w:style w:type="paragraph" w:customStyle="1" w:styleId="bullet">
    <w:name w:val="bullet"/>
    <w:basedOn w:val="Normlny"/>
    <w:rsid w:val="00DB1C30"/>
    <w:pPr>
      <w:numPr>
        <w:numId w:val="36"/>
      </w:numPr>
      <w:spacing w:before="40" w:line="200" w:lineRule="exact"/>
    </w:pPr>
    <w:rPr>
      <w:rFonts w:ascii="Arial" w:eastAsia="Times" w:hAnsi="Arial"/>
      <w:sz w:val="17"/>
    </w:rPr>
  </w:style>
  <w:style w:type="paragraph" w:customStyle="1" w:styleId="body">
    <w:name w:val="body"/>
    <w:basedOn w:val="odstavec"/>
    <w:link w:val="bodyChar"/>
    <w:qFormat/>
    <w:rsid w:val="002F4175"/>
    <w:pPr>
      <w:ind w:right="0"/>
    </w:pPr>
    <w:rPr>
      <w:rFonts w:ascii="Georgia" w:eastAsia="Times New Roman" w:hAnsi="Georgia" w:cs="Helv"/>
      <w:bCs/>
      <w:iCs/>
    </w:rPr>
  </w:style>
  <w:style w:type="character" w:customStyle="1" w:styleId="bodyChar">
    <w:name w:val="body Char"/>
    <w:basedOn w:val="odstavecChar"/>
    <w:link w:val="body"/>
    <w:rsid w:val="002F4175"/>
    <w:rPr>
      <w:rFonts w:ascii="Georgia" w:eastAsia="Times New Roman" w:hAnsi="Georgia" w:cs="Helv"/>
      <w:bCs/>
      <w:iCs/>
      <w:color w:val="000000"/>
    </w:rPr>
  </w:style>
  <w:style w:type="paragraph" w:customStyle="1" w:styleId="body1">
    <w:name w:val="body1"/>
    <w:basedOn w:val="odstavec"/>
    <w:next w:val="body"/>
    <w:qFormat/>
    <w:rsid w:val="002F4175"/>
    <w:pPr>
      <w:ind w:right="0"/>
    </w:pPr>
    <w:rPr>
      <w:rFonts w:ascii="Helv" w:eastAsia="Times New Roman" w:hAnsi="Helv" w:cs="Helv"/>
      <w:bCs/>
      <w:iCs/>
      <w:color w:val="auto"/>
    </w:rPr>
  </w:style>
  <w:style w:type="paragraph" w:customStyle="1" w:styleId="ABC-Comments">
    <w:name w:val="ABC - Comments"/>
    <w:basedOn w:val="ABC-paragrahinNotes"/>
    <w:link w:val="ABC-CommentsChar"/>
    <w:rsid w:val="00D10DAF"/>
    <w:pPr>
      <w:spacing w:after="120"/>
    </w:pPr>
    <w:rPr>
      <w:rFonts w:eastAsia="Times New Roman"/>
      <w:i/>
      <w:color w:val="FF0000"/>
    </w:rPr>
  </w:style>
  <w:style w:type="character" w:customStyle="1" w:styleId="ABC-CommentsChar">
    <w:name w:val="ABC - Comments Char"/>
    <w:link w:val="ABC-Comments"/>
    <w:rsid w:val="00D10DAF"/>
    <w:rPr>
      <w:rFonts w:ascii="Arial" w:eastAsia="Times New Roman" w:hAnsi="Arial"/>
      <w:i/>
      <w:color w:val="FF0000"/>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182">
      <w:bodyDiv w:val="1"/>
      <w:marLeft w:val="0"/>
      <w:marRight w:val="0"/>
      <w:marTop w:val="0"/>
      <w:marBottom w:val="0"/>
      <w:divBdr>
        <w:top w:val="none" w:sz="0" w:space="0" w:color="auto"/>
        <w:left w:val="none" w:sz="0" w:space="0" w:color="auto"/>
        <w:bottom w:val="none" w:sz="0" w:space="0" w:color="auto"/>
        <w:right w:val="none" w:sz="0" w:space="0" w:color="auto"/>
      </w:divBdr>
    </w:div>
    <w:div w:id="2049864">
      <w:bodyDiv w:val="1"/>
      <w:marLeft w:val="0"/>
      <w:marRight w:val="0"/>
      <w:marTop w:val="0"/>
      <w:marBottom w:val="0"/>
      <w:divBdr>
        <w:top w:val="none" w:sz="0" w:space="0" w:color="auto"/>
        <w:left w:val="none" w:sz="0" w:space="0" w:color="auto"/>
        <w:bottom w:val="none" w:sz="0" w:space="0" w:color="auto"/>
        <w:right w:val="none" w:sz="0" w:space="0" w:color="auto"/>
      </w:divBdr>
    </w:div>
    <w:div w:id="2318843">
      <w:bodyDiv w:val="1"/>
      <w:marLeft w:val="0"/>
      <w:marRight w:val="0"/>
      <w:marTop w:val="0"/>
      <w:marBottom w:val="0"/>
      <w:divBdr>
        <w:top w:val="none" w:sz="0" w:space="0" w:color="auto"/>
        <w:left w:val="none" w:sz="0" w:space="0" w:color="auto"/>
        <w:bottom w:val="none" w:sz="0" w:space="0" w:color="auto"/>
        <w:right w:val="none" w:sz="0" w:space="0" w:color="auto"/>
      </w:divBdr>
    </w:div>
    <w:div w:id="2709415">
      <w:bodyDiv w:val="1"/>
      <w:marLeft w:val="0"/>
      <w:marRight w:val="0"/>
      <w:marTop w:val="0"/>
      <w:marBottom w:val="0"/>
      <w:divBdr>
        <w:top w:val="none" w:sz="0" w:space="0" w:color="auto"/>
        <w:left w:val="none" w:sz="0" w:space="0" w:color="auto"/>
        <w:bottom w:val="none" w:sz="0" w:space="0" w:color="auto"/>
        <w:right w:val="none" w:sz="0" w:space="0" w:color="auto"/>
      </w:divBdr>
    </w:div>
    <w:div w:id="6955354">
      <w:bodyDiv w:val="1"/>
      <w:marLeft w:val="0"/>
      <w:marRight w:val="0"/>
      <w:marTop w:val="0"/>
      <w:marBottom w:val="0"/>
      <w:divBdr>
        <w:top w:val="none" w:sz="0" w:space="0" w:color="auto"/>
        <w:left w:val="none" w:sz="0" w:space="0" w:color="auto"/>
        <w:bottom w:val="none" w:sz="0" w:space="0" w:color="auto"/>
        <w:right w:val="none" w:sz="0" w:space="0" w:color="auto"/>
      </w:divBdr>
    </w:div>
    <w:div w:id="10423224">
      <w:bodyDiv w:val="1"/>
      <w:marLeft w:val="0"/>
      <w:marRight w:val="0"/>
      <w:marTop w:val="0"/>
      <w:marBottom w:val="0"/>
      <w:divBdr>
        <w:top w:val="none" w:sz="0" w:space="0" w:color="auto"/>
        <w:left w:val="none" w:sz="0" w:space="0" w:color="auto"/>
        <w:bottom w:val="none" w:sz="0" w:space="0" w:color="auto"/>
        <w:right w:val="none" w:sz="0" w:space="0" w:color="auto"/>
      </w:divBdr>
    </w:div>
    <w:div w:id="13187897">
      <w:bodyDiv w:val="1"/>
      <w:marLeft w:val="0"/>
      <w:marRight w:val="0"/>
      <w:marTop w:val="0"/>
      <w:marBottom w:val="0"/>
      <w:divBdr>
        <w:top w:val="none" w:sz="0" w:space="0" w:color="auto"/>
        <w:left w:val="none" w:sz="0" w:space="0" w:color="auto"/>
        <w:bottom w:val="none" w:sz="0" w:space="0" w:color="auto"/>
        <w:right w:val="none" w:sz="0" w:space="0" w:color="auto"/>
      </w:divBdr>
    </w:div>
    <w:div w:id="25755981">
      <w:bodyDiv w:val="1"/>
      <w:marLeft w:val="0"/>
      <w:marRight w:val="0"/>
      <w:marTop w:val="0"/>
      <w:marBottom w:val="0"/>
      <w:divBdr>
        <w:top w:val="none" w:sz="0" w:space="0" w:color="auto"/>
        <w:left w:val="none" w:sz="0" w:space="0" w:color="auto"/>
        <w:bottom w:val="none" w:sz="0" w:space="0" w:color="auto"/>
        <w:right w:val="none" w:sz="0" w:space="0" w:color="auto"/>
      </w:divBdr>
    </w:div>
    <w:div w:id="26684736">
      <w:bodyDiv w:val="1"/>
      <w:marLeft w:val="0"/>
      <w:marRight w:val="0"/>
      <w:marTop w:val="0"/>
      <w:marBottom w:val="0"/>
      <w:divBdr>
        <w:top w:val="none" w:sz="0" w:space="0" w:color="auto"/>
        <w:left w:val="none" w:sz="0" w:space="0" w:color="auto"/>
        <w:bottom w:val="none" w:sz="0" w:space="0" w:color="auto"/>
        <w:right w:val="none" w:sz="0" w:space="0" w:color="auto"/>
      </w:divBdr>
    </w:div>
    <w:div w:id="29041074">
      <w:bodyDiv w:val="1"/>
      <w:marLeft w:val="0"/>
      <w:marRight w:val="0"/>
      <w:marTop w:val="0"/>
      <w:marBottom w:val="0"/>
      <w:divBdr>
        <w:top w:val="none" w:sz="0" w:space="0" w:color="auto"/>
        <w:left w:val="none" w:sz="0" w:space="0" w:color="auto"/>
        <w:bottom w:val="none" w:sz="0" w:space="0" w:color="auto"/>
        <w:right w:val="none" w:sz="0" w:space="0" w:color="auto"/>
      </w:divBdr>
    </w:div>
    <w:div w:id="32929940">
      <w:bodyDiv w:val="1"/>
      <w:marLeft w:val="0"/>
      <w:marRight w:val="0"/>
      <w:marTop w:val="0"/>
      <w:marBottom w:val="0"/>
      <w:divBdr>
        <w:top w:val="none" w:sz="0" w:space="0" w:color="auto"/>
        <w:left w:val="none" w:sz="0" w:space="0" w:color="auto"/>
        <w:bottom w:val="none" w:sz="0" w:space="0" w:color="auto"/>
        <w:right w:val="none" w:sz="0" w:space="0" w:color="auto"/>
      </w:divBdr>
    </w:div>
    <w:div w:id="34040067">
      <w:bodyDiv w:val="1"/>
      <w:marLeft w:val="0"/>
      <w:marRight w:val="0"/>
      <w:marTop w:val="0"/>
      <w:marBottom w:val="0"/>
      <w:divBdr>
        <w:top w:val="none" w:sz="0" w:space="0" w:color="auto"/>
        <w:left w:val="none" w:sz="0" w:space="0" w:color="auto"/>
        <w:bottom w:val="none" w:sz="0" w:space="0" w:color="auto"/>
        <w:right w:val="none" w:sz="0" w:space="0" w:color="auto"/>
      </w:divBdr>
    </w:div>
    <w:div w:id="34276436">
      <w:bodyDiv w:val="1"/>
      <w:marLeft w:val="0"/>
      <w:marRight w:val="0"/>
      <w:marTop w:val="0"/>
      <w:marBottom w:val="0"/>
      <w:divBdr>
        <w:top w:val="none" w:sz="0" w:space="0" w:color="auto"/>
        <w:left w:val="none" w:sz="0" w:space="0" w:color="auto"/>
        <w:bottom w:val="none" w:sz="0" w:space="0" w:color="auto"/>
        <w:right w:val="none" w:sz="0" w:space="0" w:color="auto"/>
      </w:divBdr>
    </w:div>
    <w:div w:id="41177498">
      <w:bodyDiv w:val="1"/>
      <w:marLeft w:val="0"/>
      <w:marRight w:val="0"/>
      <w:marTop w:val="0"/>
      <w:marBottom w:val="0"/>
      <w:divBdr>
        <w:top w:val="none" w:sz="0" w:space="0" w:color="auto"/>
        <w:left w:val="none" w:sz="0" w:space="0" w:color="auto"/>
        <w:bottom w:val="none" w:sz="0" w:space="0" w:color="auto"/>
        <w:right w:val="none" w:sz="0" w:space="0" w:color="auto"/>
      </w:divBdr>
    </w:div>
    <w:div w:id="41444156">
      <w:bodyDiv w:val="1"/>
      <w:marLeft w:val="0"/>
      <w:marRight w:val="0"/>
      <w:marTop w:val="0"/>
      <w:marBottom w:val="0"/>
      <w:divBdr>
        <w:top w:val="none" w:sz="0" w:space="0" w:color="auto"/>
        <w:left w:val="none" w:sz="0" w:space="0" w:color="auto"/>
        <w:bottom w:val="none" w:sz="0" w:space="0" w:color="auto"/>
        <w:right w:val="none" w:sz="0" w:space="0" w:color="auto"/>
      </w:divBdr>
    </w:div>
    <w:div w:id="42218299">
      <w:bodyDiv w:val="1"/>
      <w:marLeft w:val="0"/>
      <w:marRight w:val="0"/>
      <w:marTop w:val="0"/>
      <w:marBottom w:val="0"/>
      <w:divBdr>
        <w:top w:val="none" w:sz="0" w:space="0" w:color="auto"/>
        <w:left w:val="none" w:sz="0" w:space="0" w:color="auto"/>
        <w:bottom w:val="none" w:sz="0" w:space="0" w:color="auto"/>
        <w:right w:val="none" w:sz="0" w:space="0" w:color="auto"/>
      </w:divBdr>
    </w:div>
    <w:div w:id="44069100">
      <w:bodyDiv w:val="1"/>
      <w:marLeft w:val="0"/>
      <w:marRight w:val="0"/>
      <w:marTop w:val="0"/>
      <w:marBottom w:val="0"/>
      <w:divBdr>
        <w:top w:val="none" w:sz="0" w:space="0" w:color="auto"/>
        <w:left w:val="none" w:sz="0" w:space="0" w:color="auto"/>
        <w:bottom w:val="none" w:sz="0" w:space="0" w:color="auto"/>
        <w:right w:val="none" w:sz="0" w:space="0" w:color="auto"/>
      </w:divBdr>
    </w:div>
    <w:div w:id="45615486">
      <w:bodyDiv w:val="1"/>
      <w:marLeft w:val="0"/>
      <w:marRight w:val="0"/>
      <w:marTop w:val="0"/>
      <w:marBottom w:val="0"/>
      <w:divBdr>
        <w:top w:val="none" w:sz="0" w:space="0" w:color="auto"/>
        <w:left w:val="none" w:sz="0" w:space="0" w:color="auto"/>
        <w:bottom w:val="none" w:sz="0" w:space="0" w:color="auto"/>
        <w:right w:val="none" w:sz="0" w:space="0" w:color="auto"/>
      </w:divBdr>
    </w:div>
    <w:div w:id="46036179">
      <w:bodyDiv w:val="1"/>
      <w:marLeft w:val="0"/>
      <w:marRight w:val="0"/>
      <w:marTop w:val="0"/>
      <w:marBottom w:val="0"/>
      <w:divBdr>
        <w:top w:val="none" w:sz="0" w:space="0" w:color="auto"/>
        <w:left w:val="none" w:sz="0" w:space="0" w:color="auto"/>
        <w:bottom w:val="none" w:sz="0" w:space="0" w:color="auto"/>
        <w:right w:val="none" w:sz="0" w:space="0" w:color="auto"/>
      </w:divBdr>
    </w:div>
    <w:div w:id="47120650">
      <w:bodyDiv w:val="1"/>
      <w:marLeft w:val="0"/>
      <w:marRight w:val="0"/>
      <w:marTop w:val="0"/>
      <w:marBottom w:val="0"/>
      <w:divBdr>
        <w:top w:val="none" w:sz="0" w:space="0" w:color="auto"/>
        <w:left w:val="none" w:sz="0" w:space="0" w:color="auto"/>
        <w:bottom w:val="none" w:sz="0" w:space="0" w:color="auto"/>
        <w:right w:val="none" w:sz="0" w:space="0" w:color="auto"/>
      </w:divBdr>
    </w:div>
    <w:div w:id="47190293">
      <w:bodyDiv w:val="1"/>
      <w:marLeft w:val="0"/>
      <w:marRight w:val="0"/>
      <w:marTop w:val="0"/>
      <w:marBottom w:val="0"/>
      <w:divBdr>
        <w:top w:val="none" w:sz="0" w:space="0" w:color="auto"/>
        <w:left w:val="none" w:sz="0" w:space="0" w:color="auto"/>
        <w:bottom w:val="none" w:sz="0" w:space="0" w:color="auto"/>
        <w:right w:val="none" w:sz="0" w:space="0" w:color="auto"/>
      </w:divBdr>
    </w:div>
    <w:div w:id="50885976">
      <w:bodyDiv w:val="1"/>
      <w:marLeft w:val="0"/>
      <w:marRight w:val="0"/>
      <w:marTop w:val="0"/>
      <w:marBottom w:val="0"/>
      <w:divBdr>
        <w:top w:val="none" w:sz="0" w:space="0" w:color="auto"/>
        <w:left w:val="none" w:sz="0" w:space="0" w:color="auto"/>
        <w:bottom w:val="none" w:sz="0" w:space="0" w:color="auto"/>
        <w:right w:val="none" w:sz="0" w:space="0" w:color="auto"/>
      </w:divBdr>
    </w:div>
    <w:div w:id="55709527">
      <w:bodyDiv w:val="1"/>
      <w:marLeft w:val="0"/>
      <w:marRight w:val="0"/>
      <w:marTop w:val="0"/>
      <w:marBottom w:val="0"/>
      <w:divBdr>
        <w:top w:val="none" w:sz="0" w:space="0" w:color="auto"/>
        <w:left w:val="none" w:sz="0" w:space="0" w:color="auto"/>
        <w:bottom w:val="none" w:sz="0" w:space="0" w:color="auto"/>
        <w:right w:val="none" w:sz="0" w:space="0" w:color="auto"/>
      </w:divBdr>
    </w:div>
    <w:div w:id="56362392">
      <w:bodyDiv w:val="1"/>
      <w:marLeft w:val="0"/>
      <w:marRight w:val="0"/>
      <w:marTop w:val="0"/>
      <w:marBottom w:val="0"/>
      <w:divBdr>
        <w:top w:val="none" w:sz="0" w:space="0" w:color="auto"/>
        <w:left w:val="none" w:sz="0" w:space="0" w:color="auto"/>
        <w:bottom w:val="none" w:sz="0" w:space="0" w:color="auto"/>
        <w:right w:val="none" w:sz="0" w:space="0" w:color="auto"/>
      </w:divBdr>
    </w:div>
    <w:div w:id="56973266">
      <w:bodyDiv w:val="1"/>
      <w:marLeft w:val="0"/>
      <w:marRight w:val="0"/>
      <w:marTop w:val="0"/>
      <w:marBottom w:val="0"/>
      <w:divBdr>
        <w:top w:val="none" w:sz="0" w:space="0" w:color="auto"/>
        <w:left w:val="none" w:sz="0" w:space="0" w:color="auto"/>
        <w:bottom w:val="none" w:sz="0" w:space="0" w:color="auto"/>
        <w:right w:val="none" w:sz="0" w:space="0" w:color="auto"/>
      </w:divBdr>
    </w:div>
    <w:div w:id="60181353">
      <w:bodyDiv w:val="1"/>
      <w:marLeft w:val="0"/>
      <w:marRight w:val="0"/>
      <w:marTop w:val="0"/>
      <w:marBottom w:val="0"/>
      <w:divBdr>
        <w:top w:val="none" w:sz="0" w:space="0" w:color="auto"/>
        <w:left w:val="none" w:sz="0" w:space="0" w:color="auto"/>
        <w:bottom w:val="none" w:sz="0" w:space="0" w:color="auto"/>
        <w:right w:val="none" w:sz="0" w:space="0" w:color="auto"/>
      </w:divBdr>
    </w:div>
    <w:div w:id="61024097">
      <w:bodyDiv w:val="1"/>
      <w:marLeft w:val="0"/>
      <w:marRight w:val="0"/>
      <w:marTop w:val="0"/>
      <w:marBottom w:val="0"/>
      <w:divBdr>
        <w:top w:val="none" w:sz="0" w:space="0" w:color="auto"/>
        <w:left w:val="none" w:sz="0" w:space="0" w:color="auto"/>
        <w:bottom w:val="none" w:sz="0" w:space="0" w:color="auto"/>
        <w:right w:val="none" w:sz="0" w:space="0" w:color="auto"/>
      </w:divBdr>
    </w:div>
    <w:div w:id="62682772">
      <w:bodyDiv w:val="1"/>
      <w:marLeft w:val="0"/>
      <w:marRight w:val="0"/>
      <w:marTop w:val="0"/>
      <w:marBottom w:val="0"/>
      <w:divBdr>
        <w:top w:val="none" w:sz="0" w:space="0" w:color="auto"/>
        <w:left w:val="none" w:sz="0" w:space="0" w:color="auto"/>
        <w:bottom w:val="none" w:sz="0" w:space="0" w:color="auto"/>
        <w:right w:val="none" w:sz="0" w:space="0" w:color="auto"/>
      </w:divBdr>
    </w:div>
    <w:div w:id="68117091">
      <w:bodyDiv w:val="1"/>
      <w:marLeft w:val="0"/>
      <w:marRight w:val="0"/>
      <w:marTop w:val="0"/>
      <w:marBottom w:val="0"/>
      <w:divBdr>
        <w:top w:val="none" w:sz="0" w:space="0" w:color="auto"/>
        <w:left w:val="none" w:sz="0" w:space="0" w:color="auto"/>
        <w:bottom w:val="none" w:sz="0" w:space="0" w:color="auto"/>
        <w:right w:val="none" w:sz="0" w:space="0" w:color="auto"/>
      </w:divBdr>
    </w:div>
    <w:div w:id="71321325">
      <w:bodyDiv w:val="1"/>
      <w:marLeft w:val="0"/>
      <w:marRight w:val="0"/>
      <w:marTop w:val="0"/>
      <w:marBottom w:val="0"/>
      <w:divBdr>
        <w:top w:val="none" w:sz="0" w:space="0" w:color="auto"/>
        <w:left w:val="none" w:sz="0" w:space="0" w:color="auto"/>
        <w:bottom w:val="none" w:sz="0" w:space="0" w:color="auto"/>
        <w:right w:val="none" w:sz="0" w:space="0" w:color="auto"/>
      </w:divBdr>
    </w:div>
    <w:div w:id="75438846">
      <w:bodyDiv w:val="1"/>
      <w:marLeft w:val="0"/>
      <w:marRight w:val="0"/>
      <w:marTop w:val="0"/>
      <w:marBottom w:val="0"/>
      <w:divBdr>
        <w:top w:val="none" w:sz="0" w:space="0" w:color="auto"/>
        <w:left w:val="none" w:sz="0" w:space="0" w:color="auto"/>
        <w:bottom w:val="none" w:sz="0" w:space="0" w:color="auto"/>
        <w:right w:val="none" w:sz="0" w:space="0" w:color="auto"/>
      </w:divBdr>
    </w:div>
    <w:div w:id="77141026">
      <w:bodyDiv w:val="1"/>
      <w:marLeft w:val="0"/>
      <w:marRight w:val="0"/>
      <w:marTop w:val="0"/>
      <w:marBottom w:val="0"/>
      <w:divBdr>
        <w:top w:val="none" w:sz="0" w:space="0" w:color="auto"/>
        <w:left w:val="none" w:sz="0" w:space="0" w:color="auto"/>
        <w:bottom w:val="none" w:sz="0" w:space="0" w:color="auto"/>
        <w:right w:val="none" w:sz="0" w:space="0" w:color="auto"/>
      </w:divBdr>
    </w:div>
    <w:div w:id="79834594">
      <w:bodyDiv w:val="1"/>
      <w:marLeft w:val="0"/>
      <w:marRight w:val="0"/>
      <w:marTop w:val="0"/>
      <w:marBottom w:val="0"/>
      <w:divBdr>
        <w:top w:val="none" w:sz="0" w:space="0" w:color="auto"/>
        <w:left w:val="none" w:sz="0" w:space="0" w:color="auto"/>
        <w:bottom w:val="none" w:sz="0" w:space="0" w:color="auto"/>
        <w:right w:val="none" w:sz="0" w:space="0" w:color="auto"/>
      </w:divBdr>
    </w:div>
    <w:div w:id="80568528">
      <w:bodyDiv w:val="1"/>
      <w:marLeft w:val="0"/>
      <w:marRight w:val="0"/>
      <w:marTop w:val="0"/>
      <w:marBottom w:val="0"/>
      <w:divBdr>
        <w:top w:val="none" w:sz="0" w:space="0" w:color="auto"/>
        <w:left w:val="none" w:sz="0" w:space="0" w:color="auto"/>
        <w:bottom w:val="none" w:sz="0" w:space="0" w:color="auto"/>
        <w:right w:val="none" w:sz="0" w:space="0" w:color="auto"/>
      </w:divBdr>
    </w:div>
    <w:div w:id="81680691">
      <w:bodyDiv w:val="1"/>
      <w:marLeft w:val="0"/>
      <w:marRight w:val="0"/>
      <w:marTop w:val="0"/>
      <w:marBottom w:val="0"/>
      <w:divBdr>
        <w:top w:val="none" w:sz="0" w:space="0" w:color="auto"/>
        <w:left w:val="none" w:sz="0" w:space="0" w:color="auto"/>
        <w:bottom w:val="none" w:sz="0" w:space="0" w:color="auto"/>
        <w:right w:val="none" w:sz="0" w:space="0" w:color="auto"/>
      </w:divBdr>
    </w:div>
    <w:div w:id="83571564">
      <w:bodyDiv w:val="1"/>
      <w:marLeft w:val="0"/>
      <w:marRight w:val="0"/>
      <w:marTop w:val="0"/>
      <w:marBottom w:val="0"/>
      <w:divBdr>
        <w:top w:val="none" w:sz="0" w:space="0" w:color="auto"/>
        <w:left w:val="none" w:sz="0" w:space="0" w:color="auto"/>
        <w:bottom w:val="none" w:sz="0" w:space="0" w:color="auto"/>
        <w:right w:val="none" w:sz="0" w:space="0" w:color="auto"/>
      </w:divBdr>
    </w:div>
    <w:div w:id="83915825">
      <w:bodyDiv w:val="1"/>
      <w:marLeft w:val="0"/>
      <w:marRight w:val="0"/>
      <w:marTop w:val="0"/>
      <w:marBottom w:val="0"/>
      <w:divBdr>
        <w:top w:val="none" w:sz="0" w:space="0" w:color="auto"/>
        <w:left w:val="none" w:sz="0" w:space="0" w:color="auto"/>
        <w:bottom w:val="none" w:sz="0" w:space="0" w:color="auto"/>
        <w:right w:val="none" w:sz="0" w:space="0" w:color="auto"/>
      </w:divBdr>
    </w:div>
    <w:div w:id="88549664">
      <w:bodyDiv w:val="1"/>
      <w:marLeft w:val="0"/>
      <w:marRight w:val="0"/>
      <w:marTop w:val="0"/>
      <w:marBottom w:val="0"/>
      <w:divBdr>
        <w:top w:val="none" w:sz="0" w:space="0" w:color="auto"/>
        <w:left w:val="none" w:sz="0" w:space="0" w:color="auto"/>
        <w:bottom w:val="none" w:sz="0" w:space="0" w:color="auto"/>
        <w:right w:val="none" w:sz="0" w:space="0" w:color="auto"/>
      </w:divBdr>
    </w:div>
    <w:div w:id="88890054">
      <w:bodyDiv w:val="1"/>
      <w:marLeft w:val="0"/>
      <w:marRight w:val="0"/>
      <w:marTop w:val="0"/>
      <w:marBottom w:val="0"/>
      <w:divBdr>
        <w:top w:val="none" w:sz="0" w:space="0" w:color="auto"/>
        <w:left w:val="none" w:sz="0" w:space="0" w:color="auto"/>
        <w:bottom w:val="none" w:sz="0" w:space="0" w:color="auto"/>
        <w:right w:val="none" w:sz="0" w:space="0" w:color="auto"/>
      </w:divBdr>
    </w:div>
    <w:div w:id="91899761">
      <w:bodyDiv w:val="1"/>
      <w:marLeft w:val="0"/>
      <w:marRight w:val="0"/>
      <w:marTop w:val="0"/>
      <w:marBottom w:val="0"/>
      <w:divBdr>
        <w:top w:val="none" w:sz="0" w:space="0" w:color="auto"/>
        <w:left w:val="none" w:sz="0" w:space="0" w:color="auto"/>
        <w:bottom w:val="none" w:sz="0" w:space="0" w:color="auto"/>
        <w:right w:val="none" w:sz="0" w:space="0" w:color="auto"/>
      </w:divBdr>
    </w:div>
    <w:div w:id="93743339">
      <w:bodyDiv w:val="1"/>
      <w:marLeft w:val="0"/>
      <w:marRight w:val="0"/>
      <w:marTop w:val="0"/>
      <w:marBottom w:val="0"/>
      <w:divBdr>
        <w:top w:val="none" w:sz="0" w:space="0" w:color="auto"/>
        <w:left w:val="none" w:sz="0" w:space="0" w:color="auto"/>
        <w:bottom w:val="none" w:sz="0" w:space="0" w:color="auto"/>
        <w:right w:val="none" w:sz="0" w:space="0" w:color="auto"/>
      </w:divBdr>
    </w:div>
    <w:div w:id="94983977">
      <w:bodyDiv w:val="1"/>
      <w:marLeft w:val="0"/>
      <w:marRight w:val="0"/>
      <w:marTop w:val="0"/>
      <w:marBottom w:val="0"/>
      <w:divBdr>
        <w:top w:val="none" w:sz="0" w:space="0" w:color="auto"/>
        <w:left w:val="none" w:sz="0" w:space="0" w:color="auto"/>
        <w:bottom w:val="none" w:sz="0" w:space="0" w:color="auto"/>
        <w:right w:val="none" w:sz="0" w:space="0" w:color="auto"/>
      </w:divBdr>
    </w:div>
    <w:div w:id="95442604">
      <w:bodyDiv w:val="1"/>
      <w:marLeft w:val="0"/>
      <w:marRight w:val="0"/>
      <w:marTop w:val="0"/>
      <w:marBottom w:val="0"/>
      <w:divBdr>
        <w:top w:val="none" w:sz="0" w:space="0" w:color="auto"/>
        <w:left w:val="none" w:sz="0" w:space="0" w:color="auto"/>
        <w:bottom w:val="none" w:sz="0" w:space="0" w:color="auto"/>
        <w:right w:val="none" w:sz="0" w:space="0" w:color="auto"/>
      </w:divBdr>
    </w:div>
    <w:div w:id="97991046">
      <w:bodyDiv w:val="1"/>
      <w:marLeft w:val="0"/>
      <w:marRight w:val="0"/>
      <w:marTop w:val="0"/>
      <w:marBottom w:val="0"/>
      <w:divBdr>
        <w:top w:val="none" w:sz="0" w:space="0" w:color="auto"/>
        <w:left w:val="none" w:sz="0" w:space="0" w:color="auto"/>
        <w:bottom w:val="none" w:sz="0" w:space="0" w:color="auto"/>
        <w:right w:val="none" w:sz="0" w:space="0" w:color="auto"/>
      </w:divBdr>
    </w:div>
    <w:div w:id="98763262">
      <w:bodyDiv w:val="1"/>
      <w:marLeft w:val="0"/>
      <w:marRight w:val="0"/>
      <w:marTop w:val="0"/>
      <w:marBottom w:val="0"/>
      <w:divBdr>
        <w:top w:val="none" w:sz="0" w:space="0" w:color="auto"/>
        <w:left w:val="none" w:sz="0" w:space="0" w:color="auto"/>
        <w:bottom w:val="none" w:sz="0" w:space="0" w:color="auto"/>
        <w:right w:val="none" w:sz="0" w:space="0" w:color="auto"/>
      </w:divBdr>
    </w:div>
    <w:div w:id="99569895">
      <w:bodyDiv w:val="1"/>
      <w:marLeft w:val="0"/>
      <w:marRight w:val="0"/>
      <w:marTop w:val="0"/>
      <w:marBottom w:val="0"/>
      <w:divBdr>
        <w:top w:val="none" w:sz="0" w:space="0" w:color="auto"/>
        <w:left w:val="none" w:sz="0" w:space="0" w:color="auto"/>
        <w:bottom w:val="none" w:sz="0" w:space="0" w:color="auto"/>
        <w:right w:val="none" w:sz="0" w:space="0" w:color="auto"/>
      </w:divBdr>
      <w:divsChild>
        <w:div w:id="1705860132">
          <w:marLeft w:val="0"/>
          <w:marRight w:val="0"/>
          <w:marTop w:val="0"/>
          <w:marBottom w:val="0"/>
          <w:divBdr>
            <w:top w:val="none" w:sz="0" w:space="0" w:color="auto"/>
            <w:left w:val="none" w:sz="0" w:space="0" w:color="auto"/>
            <w:bottom w:val="none" w:sz="0" w:space="0" w:color="auto"/>
            <w:right w:val="none" w:sz="0" w:space="0" w:color="auto"/>
          </w:divBdr>
          <w:divsChild>
            <w:div w:id="1061907296">
              <w:marLeft w:val="0"/>
              <w:marRight w:val="0"/>
              <w:marTop w:val="0"/>
              <w:marBottom w:val="0"/>
              <w:divBdr>
                <w:top w:val="none" w:sz="0" w:space="0" w:color="auto"/>
                <w:left w:val="none" w:sz="0" w:space="0" w:color="auto"/>
                <w:bottom w:val="none" w:sz="0" w:space="0" w:color="auto"/>
                <w:right w:val="none" w:sz="0" w:space="0" w:color="auto"/>
              </w:divBdr>
              <w:divsChild>
                <w:div w:id="1438403331">
                  <w:marLeft w:val="0"/>
                  <w:marRight w:val="0"/>
                  <w:marTop w:val="0"/>
                  <w:marBottom w:val="0"/>
                  <w:divBdr>
                    <w:top w:val="none" w:sz="0" w:space="0" w:color="auto"/>
                    <w:left w:val="none" w:sz="0" w:space="0" w:color="auto"/>
                    <w:bottom w:val="none" w:sz="0" w:space="0" w:color="auto"/>
                    <w:right w:val="none" w:sz="0" w:space="0" w:color="auto"/>
                  </w:divBdr>
                  <w:divsChild>
                    <w:div w:id="784151331">
                      <w:marLeft w:val="0"/>
                      <w:marRight w:val="0"/>
                      <w:marTop w:val="0"/>
                      <w:marBottom w:val="0"/>
                      <w:divBdr>
                        <w:top w:val="none" w:sz="0" w:space="0" w:color="auto"/>
                        <w:left w:val="none" w:sz="0" w:space="0" w:color="auto"/>
                        <w:bottom w:val="none" w:sz="0" w:space="0" w:color="auto"/>
                        <w:right w:val="none" w:sz="0" w:space="0" w:color="auto"/>
                      </w:divBdr>
                      <w:divsChild>
                        <w:div w:id="1714841038">
                          <w:marLeft w:val="0"/>
                          <w:marRight w:val="0"/>
                          <w:marTop w:val="0"/>
                          <w:marBottom w:val="0"/>
                          <w:divBdr>
                            <w:top w:val="none" w:sz="0" w:space="0" w:color="auto"/>
                            <w:left w:val="none" w:sz="0" w:space="0" w:color="auto"/>
                            <w:bottom w:val="none" w:sz="0" w:space="0" w:color="auto"/>
                            <w:right w:val="none" w:sz="0" w:space="0" w:color="auto"/>
                          </w:divBdr>
                          <w:divsChild>
                            <w:div w:id="2109501187">
                              <w:marLeft w:val="0"/>
                              <w:marRight w:val="0"/>
                              <w:marTop w:val="0"/>
                              <w:marBottom w:val="0"/>
                              <w:divBdr>
                                <w:top w:val="none" w:sz="0" w:space="0" w:color="auto"/>
                                <w:left w:val="none" w:sz="0" w:space="0" w:color="auto"/>
                                <w:bottom w:val="none" w:sz="0" w:space="0" w:color="auto"/>
                                <w:right w:val="none" w:sz="0" w:space="0" w:color="auto"/>
                              </w:divBdr>
                              <w:divsChild>
                                <w:div w:id="1694842611">
                                  <w:marLeft w:val="0"/>
                                  <w:marRight w:val="0"/>
                                  <w:marTop w:val="0"/>
                                  <w:marBottom w:val="0"/>
                                  <w:divBdr>
                                    <w:top w:val="none" w:sz="0" w:space="0" w:color="auto"/>
                                    <w:left w:val="none" w:sz="0" w:space="0" w:color="auto"/>
                                    <w:bottom w:val="none" w:sz="0" w:space="0" w:color="auto"/>
                                    <w:right w:val="none" w:sz="0" w:space="0" w:color="auto"/>
                                  </w:divBdr>
                                  <w:divsChild>
                                    <w:div w:id="935215668">
                                      <w:marLeft w:val="0"/>
                                      <w:marRight w:val="0"/>
                                      <w:marTop w:val="0"/>
                                      <w:marBottom w:val="0"/>
                                      <w:divBdr>
                                        <w:top w:val="single" w:sz="4" w:space="0" w:color="F5F5F5"/>
                                        <w:left w:val="single" w:sz="4" w:space="0" w:color="F5F5F5"/>
                                        <w:bottom w:val="single" w:sz="4" w:space="0" w:color="F5F5F5"/>
                                        <w:right w:val="single" w:sz="4" w:space="0" w:color="F5F5F5"/>
                                      </w:divBdr>
                                      <w:divsChild>
                                        <w:div w:id="2146074244">
                                          <w:marLeft w:val="0"/>
                                          <w:marRight w:val="0"/>
                                          <w:marTop w:val="0"/>
                                          <w:marBottom w:val="0"/>
                                          <w:divBdr>
                                            <w:top w:val="none" w:sz="0" w:space="0" w:color="auto"/>
                                            <w:left w:val="none" w:sz="0" w:space="0" w:color="auto"/>
                                            <w:bottom w:val="none" w:sz="0" w:space="0" w:color="auto"/>
                                            <w:right w:val="none" w:sz="0" w:space="0" w:color="auto"/>
                                          </w:divBdr>
                                          <w:divsChild>
                                            <w:div w:id="15913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882185">
      <w:bodyDiv w:val="1"/>
      <w:marLeft w:val="0"/>
      <w:marRight w:val="0"/>
      <w:marTop w:val="0"/>
      <w:marBottom w:val="0"/>
      <w:divBdr>
        <w:top w:val="none" w:sz="0" w:space="0" w:color="auto"/>
        <w:left w:val="none" w:sz="0" w:space="0" w:color="auto"/>
        <w:bottom w:val="none" w:sz="0" w:space="0" w:color="auto"/>
        <w:right w:val="none" w:sz="0" w:space="0" w:color="auto"/>
      </w:divBdr>
    </w:div>
    <w:div w:id="101152661">
      <w:bodyDiv w:val="1"/>
      <w:marLeft w:val="0"/>
      <w:marRight w:val="0"/>
      <w:marTop w:val="0"/>
      <w:marBottom w:val="0"/>
      <w:divBdr>
        <w:top w:val="none" w:sz="0" w:space="0" w:color="auto"/>
        <w:left w:val="none" w:sz="0" w:space="0" w:color="auto"/>
        <w:bottom w:val="none" w:sz="0" w:space="0" w:color="auto"/>
        <w:right w:val="none" w:sz="0" w:space="0" w:color="auto"/>
      </w:divBdr>
    </w:div>
    <w:div w:id="101189528">
      <w:bodyDiv w:val="1"/>
      <w:marLeft w:val="0"/>
      <w:marRight w:val="0"/>
      <w:marTop w:val="0"/>
      <w:marBottom w:val="0"/>
      <w:divBdr>
        <w:top w:val="none" w:sz="0" w:space="0" w:color="auto"/>
        <w:left w:val="none" w:sz="0" w:space="0" w:color="auto"/>
        <w:bottom w:val="none" w:sz="0" w:space="0" w:color="auto"/>
        <w:right w:val="none" w:sz="0" w:space="0" w:color="auto"/>
      </w:divBdr>
    </w:div>
    <w:div w:id="105538976">
      <w:bodyDiv w:val="1"/>
      <w:marLeft w:val="0"/>
      <w:marRight w:val="0"/>
      <w:marTop w:val="0"/>
      <w:marBottom w:val="0"/>
      <w:divBdr>
        <w:top w:val="none" w:sz="0" w:space="0" w:color="auto"/>
        <w:left w:val="none" w:sz="0" w:space="0" w:color="auto"/>
        <w:bottom w:val="none" w:sz="0" w:space="0" w:color="auto"/>
        <w:right w:val="none" w:sz="0" w:space="0" w:color="auto"/>
      </w:divBdr>
    </w:div>
    <w:div w:id="107629542">
      <w:bodyDiv w:val="1"/>
      <w:marLeft w:val="0"/>
      <w:marRight w:val="0"/>
      <w:marTop w:val="0"/>
      <w:marBottom w:val="0"/>
      <w:divBdr>
        <w:top w:val="none" w:sz="0" w:space="0" w:color="auto"/>
        <w:left w:val="none" w:sz="0" w:space="0" w:color="auto"/>
        <w:bottom w:val="none" w:sz="0" w:space="0" w:color="auto"/>
        <w:right w:val="none" w:sz="0" w:space="0" w:color="auto"/>
      </w:divBdr>
    </w:div>
    <w:div w:id="112134026">
      <w:bodyDiv w:val="1"/>
      <w:marLeft w:val="0"/>
      <w:marRight w:val="0"/>
      <w:marTop w:val="0"/>
      <w:marBottom w:val="0"/>
      <w:divBdr>
        <w:top w:val="none" w:sz="0" w:space="0" w:color="auto"/>
        <w:left w:val="none" w:sz="0" w:space="0" w:color="auto"/>
        <w:bottom w:val="none" w:sz="0" w:space="0" w:color="auto"/>
        <w:right w:val="none" w:sz="0" w:space="0" w:color="auto"/>
      </w:divBdr>
    </w:div>
    <w:div w:id="113646047">
      <w:bodyDiv w:val="1"/>
      <w:marLeft w:val="0"/>
      <w:marRight w:val="0"/>
      <w:marTop w:val="0"/>
      <w:marBottom w:val="0"/>
      <w:divBdr>
        <w:top w:val="none" w:sz="0" w:space="0" w:color="auto"/>
        <w:left w:val="none" w:sz="0" w:space="0" w:color="auto"/>
        <w:bottom w:val="none" w:sz="0" w:space="0" w:color="auto"/>
        <w:right w:val="none" w:sz="0" w:space="0" w:color="auto"/>
      </w:divBdr>
    </w:div>
    <w:div w:id="117644656">
      <w:bodyDiv w:val="1"/>
      <w:marLeft w:val="0"/>
      <w:marRight w:val="0"/>
      <w:marTop w:val="0"/>
      <w:marBottom w:val="0"/>
      <w:divBdr>
        <w:top w:val="none" w:sz="0" w:space="0" w:color="auto"/>
        <w:left w:val="none" w:sz="0" w:space="0" w:color="auto"/>
        <w:bottom w:val="none" w:sz="0" w:space="0" w:color="auto"/>
        <w:right w:val="none" w:sz="0" w:space="0" w:color="auto"/>
      </w:divBdr>
    </w:div>
    <w:div w:id="121929063">
      <w:bodyDiv w:val="1"/>
      <w:marLeft w:val="0"/>
      <w:marRight w:val="0"/>
      <w:marTop w:val="0"/>
      <w:marBottom w:val="0"/>
      <w:divBdr>
        <w:top w:val="none" w:sz="0" w:space="0" w:color="auto"/>
        <w:left w:val="none" w:sz="0" w:space="0" w:color="auto"/>
        <w:bottom w:val="none" w:sz="0" w:space="0" w:color="auto"/>
        <w:right w:val="none" w:sz="0" w:space="0" w:color="auto"/>
      </w:divBdr>
    </w:div>
    <w:div w:id="136069034">
      <w:bodyDiv w:val="1"/>
      <w:marLeft w:val="0"/>
      <w:marRight w:val="0"/>
      <w:marTop w:val="0"/>
      <w:marBottom w:val="0"/>
      <w:divBdr>
        <w:top w:val="none" w:sz="0" w:space="0" w:color="auto"/>
        <w:left w:val="none" w:sz="0" w:space="0" w:color="auto"/>
        <w:bottom w:val="none" w:sz="0" w:space="0" w:color="auto"/>
        <w:right w:val="none" w:sz="0" w:space="0" w:color="auto"/>
      </w:divBdr>
    </w:div>
    <w:div w:id="136453986">
      <w:bodyDiv w:val="1"/>
      <w:marLeft w:val="0"/>
      <w:marRight w:val="0"/>
      <w:marTop w:val="0"/>
      <w:marBottom w:val="0"/>
      <w:divBdr>
        <w:top w:val="none" w:sz="0" w:space="0" w:color="auto"/>
        <w:left w:val="none" w:sz="0" w:space="0" w:color="auto"/>
        <w:bottom w:val="none" w:sz="0" w:space="0" w:color="auto"/>
        <w:right w:val="none" w:sz="0" w:space="0" w:color="auto"/>
      </w:divBdr>
    </w:div>
    <w:div w:id="140002233">
      <w:bodyDiv w:val="1"/>
      <w:marLeft w:val="0"/>
      <w:marRight w:val="0"/>
      <w:marTop w:val="0"/>
      <w:marBottom w:val="0"/>
      <w:divBdr>
        <w:top w:val="none" w:sz="0" w:space="0" w:color="auto"/>
        <w:left w:val="none" w:sz="0" w:space="0" w:color="auto"/>
        <w:bottom w:val="none" w:sz="0" w:space="0" w:color="auto"/>
        <w:right w:val="none" w:sz="0" w:space="0" w:color="auto"/>
      </w:divBdr>
    </w:div>
    <w:div w:id="140974515">
      <w:bodyDiv w:val="1"/>
      <w:marLeft w:val="0"/>
      <w:marRight w:val="0"/>
      <w:marTop w:val="0"/>
      <w:marBottom w:val="0"/>
      <w:divBdr>
        <w:top w:val="none" w:sz="0" w:space="0" w:color="auto"/>
        <w:left w:val="none" w:sz="0" w:space="0" w:color="auto"/>
        <w:bottom w:val="none" w:sz="0" w:space="0" w:color="auto"/>
        <w:right w:val="none" w:sz="0" w:space="0" w:color="auto"/>
      </w:divBdr>
    </w:div>
    <w:div w:id="141436880">
      <w:bodyDiv w:val="1"/>
      <w:marLeft w:val="0"/>
      <w:marRight w:val="0"/>
      <w:marTop w:val="0"/>
      <w:marBottom w:val="0"/>
      <w:divBdr>
        <w:top w:val="none" w:sz="0" w:space="0" w:color="auto"/>
        <w:left w:val="none" w:sz="0" w:space="0" w:color="auto"/>
        <w:bottom w:val="none" w:sz="0" w:space="0" w:color="auto"/>
        <w:right w:val="none" w:sz="0" w:space="0" w:color="auto"/>
      </w:divBdr>
    </w:div>
    <w:div w:id="142546591">
      <w:bodyDiv w:val="1"/>
      <w:marLeft w:val="0"/>
      <w:marRight w:val="0"/>
      <w:marTop w:val="0"/>
      <w:marBottom w:val="0"/>
      <w:divBdr>
        <w:top w:val="none" w:sz="0" w:space="0" w:color="auto"/>
        <w:left w:val="none" w:sz="0" w:space="0" w:color="auto"/>
        <w:bottom w:val="none" w:sz="0" w:space="0" w:color="auto"/>
        <w:right w:val="none" w:sz="0" w:space="0" w:color="auto"/>
      </w:divBdr>
    </w:div>
    <w:div w:id="145129235">
      <w:bodyDiv w:val="1"/>
      <w:marLeft w:val="0"/>
      <w:marRight w:val="0"/>
      <w:marTop w:val="0"/>
      <w:marBottom w:val="0"/>
      <w:divBdr>
        <w:top w:val="none" w:sz="0" w:space="0" w:color="auto"/>
        <w:left w:val="none" w:sz="0" w:space="0" w:color="auto"/>
        <w:bottom w:val="none" w:sz="0" w:space="0" w:color="auto"/>
        <w:right w:val="none" w:sz="0" w:space="0" w:color="auto"/>
      </w:divBdr>
    </w:div>
    <w:div w:id="145442640">
      <w:bodyDiv w:val="1"/>
      <w:marLeft w:val="0"/>
      <w:marRight w:val="0"/>
      <w:marTop w:val="0"/>
      <w:marBottom w:val="0"/>
      <w:divBdr>
        <w:top w:val="none" w:sz="0" w:space="0" w:color="auto"/>
        <w:left w:val="none" w:sz="0" w:space="0" w:color="auto"/>
        <w:bottom w:val="none" w:sz="0" w:space="0" w:color="auto"/>
        <w:right w:val="none" w:sz="0" w:space="0" w:color="auto"/>
      </w:divBdr>
    </w:div>
    <w:div w:id="150298486">
      <w:bodyDiv w:val="1"/>
      <w:marLeft w:val="0"/>
      <w:marRight w:val="0"/>
      <w:marTop w:val="0"/>
      <w:marBottom w:val="0"/>
      <w:divBdr>
        <w:top w:val="none" w:sz="0" w:space="0" w:color="auto"/>
        <w:left w:val="none" w:sz="0" w:space="0" w:color="auto"/>
        <w:bottom w:val="none" w:sz="0" w:space="0" w:color="auto"/>
        <w:right w:val="none" w:sz="0" w:space="0" w:color="auto"/>
      </w:divBdr>
    </w:div>
    <w:div w:id="152257626">
      <w:bodyDiv w:val="1"/>
      <w:marLeft w:val="0"/>
      <w:marRight w:val="0"/>
      <w:marTop w:val="0"/>
      <w:marBottom w:val="0"/>
      <w:divBdr>
        <w:top w:val="none" w:sz="0" w:space="0" w:color="auto"/>
        <w:left w:val="none" w:sz="0" w:space="0" w:color="auto"/>
        <w:bottom w:val="none" w:sz="0" w:space="0" w:color="auto"/>
        <w:right w:val="none" w:sz="0" w:space="0" w:color="auto"/>
      </w:divBdr>
    </w:div>
    <w:div w:id="152651695">
      <w:bodyDiv w:val="1"/>
      <w:marLeft w:val="0"/>
      <w:marRight w:val="0"/>
      <w:marTop w:val="0"/>
      <w:marBottom w:val="0"/>
      <w:divBdr>
        <w:top w:val="none" w:sz="0" w:space="0" w:color="auto"/>
        <w:left w:val="none" w:sz="0" w:space="0" w:color="auto"/>
        <w:bottom w:val="none" w:sz="0" w:space="0" w:color="auto"/>
        <w:right w:val="none" w:sz="0" w:space="0" w:color="auto"/>
      </w:divBdr>
    </w:div>
    <w:div w:id="154146453">
      <w:bodyDiv w:val="1"/>
      <w:marLeft w:val="0"/>
      <w:marRight w:val="0"/>
      <w:marTop w:val="0"/>
      <w:marBottom w:val="0"/>
      <w:divBdr>
        <w:top w:val="none" w:sz="0" w:space="0" w:color="auto"/>
        <w:left w:val="none" w:sz="0" w:space="0" w:color="auto"/>
        <w:bottom w:val="none" w:sz="0" w:space="0" w:color="auto"/>
        <w:right w:val="none" w:sz="0" w:space="0" w:color="auto"/>
      </w:divBdr>
    </w:div>
    <w:div w:id="154423668">
      <w:bodyDiv w:val="1"/>
      <w:marLeft w:val="0"/>
      <w:marRight w:val="0"/>
      <w:marTop w:val="0"/>
      <w:marBottom w:val="0"/>
      <w:divBdr>
        <w:top w:val="none" w:sz="0" w:space="0" w:color="auto"/>
        <w:left w:val="none" w:sz="0" w:space="0" w:color="auto"/>
        <w:bottom w:val="none" w:sz="0" w:space="0" w:color="auto"/>
        <w:right w:val="none" w:sz="0" w:space="0" w:color="auto"/>
      </w:divBdr>
    </w:div>
    <w:div w:id="156187618">
      <w:bodyDiv w:val="1"/>
      <w:marLeft w:val="0"/>
      <w:marRight w:val="0"/>
      <w:marTop w:val="0"/>
      <w:marBottom w:val="0"/>
      <w:divBdr>
        <w:top w:val="none" w:sz="0" w:space="0" w:color="auto"/>
        <w:left w:val="none" w:sz="0" w:space="0" w:color="auto"/>
        <w:bottom w:val="none" w:sz="0" w:space="0" w:color="auto"/>
        <w:right w:val="none" w:sz="0" w:space="0" w:color="auto"/>
      </w:divBdr>
    </w:div>
    <w:div w:id="158816743">
      <w:bodyDiv w:val="1"/>
      <w:marLeft w:val="0"/>
      <w:marRight w:val="0"/>
      <w:marTop w:val="0"/>
      <w:marBottom w:val="0"/>
      <w:divBdr>
        <w:top w:val="none" w:sz="0" w:space="0" w:color="auto"/>
        <w:left w:val="none" w:sz="0" w:space="0" w:color="auto"/>
        <w:bottom w:val="none" w:sz="0" w:space="0" w:color="auto"/>
        <w:right w:val="none" w:sz="0" w:space="0" w:color="auto"/>
      </w:divBdr>
    </w:div>
    <w:div w:id="163982801">
      <w:bodyDiv w:val="1"/>
      <w:marLeft w:val="0"/>
      <w:marRight w:val="0"/>
      <w:marTop w:val="0"/>
      <w:marBottom w:val="0"/>
      <w:divBdr>
        <w:top w:val="none" w:sz="0" w:space="0" w:color="auto"/>
        <w:left w:val="none" w:sz="0" w:space="0" w:color="auto"/>
        <w:bottom w:val="none" w:sz="0" w:space="0" w:color="auto"/>
        <w:right w:val="none" w:sz="0" w:space="0" w:color="auto"/>
      </w:divBdr>
    </w:div>
    <w:div w:id="169566513">
      <w:bodyDiv w:val="1"/>
      <w:marLeft w:val="0"/>
      <w:marRight w:val="0"/>
      <w:marTop w:val="0"/>
      <w:marBottom w:val="0"/>
      <w:divBdr>
        <w:top w:val="none" w:sz="0" w:space="0" w:color="auto"/>
        <w:left w:val="none" w:sz="0" w:space="0" w:color="auto"/>
        <w:bottom w:val="none" w:sz="0" w:space="0" w:color="auto"/>
        <w:right w:val="none" w:sz="0" w:space="0" w:color="auto"/>
      </w:divBdr>
    </w:div>
    <w:div w:id="175509132">
      <w:bodyDiv w:val="1"/>
      <w:marLeft w:val="0"/>
      <w:marRight w:val="0"/>
      <w:marTop w:val="0"/>
      <w:marBottom w:val="0"/>
      <w:divBdr>
        <w:top w:val="none" w:sz="0" w:space="0" w:color="auto"/>
        <w:left w:val="none" w:sz="0" w:space="0" w:color="auto"/>
        <w:bottom w:val="none" w:sz="0" w:space="0" w:color="auto"/>
        <w:right w:val="none" w:sz="0" w:space="0" w:color="auto"/>
      </w:divBdr>
    </w:div>
    <w:div w:id="179660867">
      <w:bodyDiv w:val="1"/>
      <w:marLeft w:val="0"/>
      <w:marRight w:val="0"/>
      <w:marTop w:val="0"/>
      <w:marBottom w:val="0"/>
      <w:divBdr>
        <w:top w:val="none" w:sz="0" w:space="0" w:color="auto"/>
        <w:left w:val="none" w:sz="0" w:space="0" w:color="auto"/>
        <w:bottom w:val="none" w:sz="0" w:space="0" w:color="auto"/>
        <w:right w:val="none" w:sz="0" w:space="0" w:color="auto"/>
      </w:divBdr>
    </w:div>
    <w:div w:id="180630132">
      <w:bodyDiv w:val="1"/>
      <w:marLeft w:val="0"/>
      <w:marRight w:val="0"/>
      <w:marTop w:val="0"/>
      <w:marBottom w:val="0"/>
      <w:divBdr>
        <w:top w:val="none" w:sz="0" w:space="0" w:color="auto"/>
        <w:left w:val="none" w:sz="0" w:space="0" w:color="auto"/>
        <w:bottom w:val="none" w:sz="0" w:space="0" w:color="auto"/>
        <w:right w:val="none" w:sz="0" w:space="0" w:color="auto"/>
      </w:divBdr>
    </w:div>
    <w:div w:id="181093407">
      <w:bodyDiv w:val="1"/>
      <w:marLeft w:val="0"/>
      <w:marRight w:val="0"/>
      <w:marTop w:val="0"/>
      <w:marBottom w:val="0"/>
      <w:divBdr>
        <w:top w:val="none" w:sz="0" w:space="0" w:color="auto"/>
        <w:left w:val="none" w:sz="0" w:space="0" w:color="auto"/>
        <w:bottom w:val="none" w:sz="0" w:space="0" w:color="auto"/>
        <w:right w:val="none" w:sz="0" w:space="0" w:color="auto"/>
      </w:divBdr>
    </w:div>
    <w:div w:id="181749068">
      <w:bodyDiv w:val="1"/>
      <w:marLeft w:val="0"/>
      <w:marRight w:val="0"/>
      <w:marTop w:val="0"/>
      <w:marBottom w:val="0"/>
      <w:divBdr>
        <w:top w:val="none" w:sz="0" w:space="0" w:color="auto"/>
        <w:left w:val="none" w:sz="0" w:space="0" w:color="auto"/>
        <w:bottom w:val="none" w:sz="0" w:space="0" w:color="auto"/>
        <w:right w:val="none" w:sz="0" w:space="0" w:color="auto"/>
      </w:divBdr>
    </w:div>
    <w:div w:id="183830911">
      <w:bodyDiv w:val="1"/>
      <w:marLeft w:val="0"/>
      <w:marRight w:val="0"/>
      <w:marTop w:val="0"/>
      <w:marBottom w:val="0"/>
      <w:divBdr>
        <w:top w:val="none" w:sz="0" w:space="0" w:color="auto"/>
        <w:left w:val="none" w:sz="0" w:space="0" w:color="auto"/>
        <w:bottom w:val="none" w:sz="0" w:space="0" w:color="auto"/>
        <w:right w:val="none" w:sz="0" w:space="0" w:color="auto"/>
      </w:divBdr>
    </w:div>
    <w:div w:id="187959163">
      <w:bodyDiv w:val="1"/>
      <w:marLeft w:val="0"/>
      <w:marRight w:val="0"/>
      <w:marTop w:val="0"/>
      <w:marBottom w:val="0"/>
      <w:divBdr>
        <w:top w:val="none" w:sz="0" w:space="0" w:color="auto"/>
        <w:left w:val="none" w:sz="0" w:space="0" w:color="auto"/>
        <w:bottom w:val="none" w:sz="0" w:space="0" w:color="auto"/>
        <w:right w:val="none" w:sz="0" w:space="0" w:color="auto"/>
      </w:divBdr>
    </w:div>
    <w:div w:id="187989930">
      <w:bodyDiv w:val="1"/>
      <w:marLeft w:val="0"/>
      <w:marRight w:val="0"/>
      <w:marTop w:val="0"/>
      <w:marBottom w:val="0"/>
      <w:divBdr>
        <w:top w:val="none" w:sz="0" w:space="0" w:color="auto"/>
        <w:left w:val="none" w:sz="0" w:space="0" w:color="auto"/>
        <w:bottom w:val="none" w:sz="0" w:space="0" w:color="auto"/>
        <w:right w:val="none" w:sz="0" w:space="0" w:color="auto"/>
      </w:divBdr>
    </w:div>
    <w:div w:id="189342221">
      <w:bodyDiv w:val="1"/>
      <w:marLeft w:val="0"/>
      <w:marRight w:val="0"/>
      <w:marTop w:val="0"/>
      <w:marBottom w:val="0"/>
      <w:divBdr>
        <w:top w:val="none" w:sz="0" w:space="0" w:color="auto"/>
        <w:left w:val="none" w:sz="0" w:space="0" w:color="auto"/>
        <w:bottom w:val="none" w:sz="0" w:space="0" w:color="auto"/>
        <w:right w:val="none" w:sz="0" w:space="0" w:color="auto"/>
      </w:divBdr>
    </w:div>
    <w:div w:id="190459846">
      <w:bodyDiv w:val="1"/>
      <w:marLeft w:val="0"/>
      <w:marRight w:val="0"/>
      <w:marTop w:val="0"/>
      <w:marBottom w:val="0"/>
      <w:divBdr>
        <w:top w:val="none" w:sz="0" w:space="0" w:color="auto"/>
        <w:left w:val="none" w:sz="0" w:space="0" w:color="auto"/>
        <w:bottom w:val="none" w:sz="0" w:space="0" w:color="auto"/>
        <w:right w:val="none" w:sz="0" w:space="0" w:color="auto"/>
      </w:divBdr>
    </w:div>
    <w:div w:id="191921984">
      <w:bodyDiv w:val="1"/>
      <w:marLeft w:val="0"/>
      <w:marRight w:val="0"/>
      <w:marTop w:val="0"/>
      <w:marBottom w:val="0"/>
      <w:divBdr>
        <w:top w:val="none" w:sz="0" w:space="0" w:color="auto"/>
        <w:left w:val="none" w:sz="0" w:space="0" w:color="auto"/>
        <w:bottom w:val="none" w:sz="0" w:space="0" w:color="auto"/>
        <w:right w:val="none" w:sz="0" w:space="0" w:color="auto"/>
      </w:divBdr>
    </w:div>
    <w:div w:id="193543896">
      <w:bodyDiv w:val="1"/>
      <w:marLeft w:val="0"/>
      <w:marRight w:val="0"/>
      <w:marTop w:val="0"/>
      <w:marBottom w:val="0"/>
      <w:divBdr>
        <w:top w:val="none" w:sz="0" w:space="0" w:color="auto"/>
        <w:left w:val="none" w:sz="0" w:space="0" w:color="auto"/>
        <w:bottom w:val="none" w:sz="0" w:space="0" w:color="auto"/>
        <w:right w:val="none" w:sz="0" w:space="0" w:color="auto"/>
      </w:divBdr>
    </w:div>
    <w:div w:id="193620606">
      <w:bodyDiv w:val="1"/>
      <w:marLeft w:val="0"/>
      <w:marRight w:val="0"/>
      <w:marTop w:val="0"/>
      <w:marBottom w:val="0"/>
      <w:divBdr>
        <w:top w:val="none" w:sz="0" w:space="0" w:color="auto"/>
        <w:left w:val="none" w:sz="0" w:space="0" w:color="auto"/>
        <w:bottom w:val="none" w:sz="0" w:space="0" w:color="auto"/>
        <w:right w:val="none" w:sz="0" w:space="0" w:color="auto"/>
      </w:divBdr>
    </w:div>
    <w:div w:id="196045951">
      <w:bodyDiv w:val="1"/>
      <w:marLeft w:val="0"/>
      <w:marRight w:val="0"/>
      <w:marTop w:val="0"/>
      <w:marBottom w:val="0"/>
      <w:divBdr>
        <w:top w:val="none" w:sz="0" w:space="0" w:color="auto"/>
        <w:left w:val="none" w:sz="0" w:space="0" w:color="auto"/>
        <w:bottom w:val="none" w:sz="0" w:space="0" w:color="auto"/>
        <w:right w:val="none" w:sz="0" w:space="0" w:color="auto"/>
      </w:divBdr>
    </w:div>
    <w:div w:id="196548280">
      <w:bodyDiv w:val="1"/>
      <w:marLeft w:val="0"/>
      <w:marRight w:val="0"/>
      <w:marTop w:val="0"/>
      <w:marBottom w:val="0"/>
      <w:divBdr>
        <w:top w:val="none" w:sz="0" w:space="0" w:color="auto"/>
        <w:left w:val="none" w:sz="0" w:space="0" w:color="auto"/>
        <w:bottom w:val="none" w:sz="0" w:space="0" w:color="auto"/>
        <w:right w:val="none" w:sz="0" w:space="0" w:color="auto"/>
      </w:divBdr>
    </w:div>
    <w:div w:id="200217616">
      <w:bodyDiv w:val="1"/>
      <w:marLeft w:val="0"/>
      <w:marRight w:val="0"/>
      <w:marTop w:val="0"/>
      <w:marBottom w:val="0"/>
      <w:divBdr>
        <w:top w:val="none" w:sz="0" w:space="0" w:color="auto"/>
        <w:left w:val="none" w:sz="0" w:space="0" w:color="auto"/>
        <w:bottom w:val="none" w:sz="0" w:space="0" w:color="auto"/>
        <w:right w:val="none" w:sz="0" w:space="0" w:color="auto"/>
      </w:divBdr>
    </w:div>
    <w:div w:id="206307605">
      <w:bodyDiv w:val="1"/>
      <w:marLeft w:val="0"/>
      <w:marRight w:val="0"/>
      <w:marTop w:val="0"/>
      <w:marBottom w:val="0"/>
      <w:divBdr>
        <w:top w:val="none" w:sz="0" w:space="0" w:color="auto"/>
        <w:left w:val="none" w:sz="0" w:space="0" w:color="auto"/>
        <w:bottom w:val="none" w:sz="0" w:space="0" w:color="auto"/>
        <w:right w:val="none" w:sz="0" w:space="0" w:color="auto"/>
      </w:divBdr>
    </w:div>
    <w:div w:id="206991609">
      <w:bodyDiv w:val="1"/>
      <w:marLeft w:val="0"/>
      <w:marRight w:val="0"/>
      <w:marTop w:val="0"/>
      <w:marBottom w:val="0"/>
      <w:divBdr>
        <w:top w:val="none" w:sz="0" w:space="0" w:color="auto"/>
        <w:left w:val="none" w:sz="0" w:space="0" w:color="auto"/>
        <w:bottom w:val="none" w:sz="0" w:space="0" w:color="auto"/>
        <w:right w:val="none" w:sz="0" w:space="0" w:color="auto"/>
      </w:divBdr>
    </w:div>
    <w:div w:id="209996803">
      <w:bodyDiv w:val="1"/>
      <w:marLeft w:val="0"/>
      <w:marRight w:val="0"/>
      <w:marTop w:val="0"/>
      <w:marBottom w:val="0"/>
      <w:divBdr>
        <w:top w:val="none" w:sz="0" w:space="0" w:color="auto"/>
        <w:left w:val="none" w:sz="0" w:space="0" w:color="auto"/>
        <w:bottom w:val="none" w:sz="0" w:space="0" w:color="auto"/>
        <w:right w:val="none" w:sz="0" w:space="0" w:color="auto"/>
      </w:divBdr>
    </w:div>
    <w:div w:id="210657826">
      <w:bodyDiv w:val="1"/>
      <w:marLeft w:val="0"/>
      <w:marRight w:val="0"/>
      <w:marTop w:val="0"/>
      <w:marBottom w:val="0"/>
      <w:divBdr>
        <w:top w:val="none" w:sz="0" w:space="0" w:color="auto"/>
        <w:left w:val="none" w:sz="0" w:space="0" w:color="auto"/>
        <w:bottom w:val="none" w:sz="0" w:space="0" w:color="auto"/>
        <w:right w:val="none" w:sz="0" w:space="0" w:color="auto"/>
      </w:divBdr>
    </w:div>
    <w:div w:id="211576042">
      <w:bodyDiv w:val="1"/>
      <w:marLeft w:val="0"/>
      <w:marRight w:val="0"/>
      <w:marTop w:val="0"/>
      <w:marBottom w:val="0"/>
      <w:divBdr>
        <w:top w:val="none" w:sz="0" w:space="0" w:color="auto"/>
        <w:left w:val="none" w:sz="0" w:space="0" w:color="auto"/>
        <w:bottom w:val="none" w:sz="0" w:space="0" w:color="auto"/>
        <w:right w:val="none" w:sz="0" w:space="0" w:color="auto"/>
      </w:divBdr>
    </w:div>
    <w:div w:id="218446276">
      <w:bodyDiv w:val="1"/>
      <w:marLeft w:val="0"/>
      <w:marRight w:val="0"/>
      <w:marTop w:val="0"/>
      <w:marBottom w:val="0"/>
      <w:divBdr>
        <w:top w:val="none" w:sz="0" w:space="0" w:color="auto"/>
        <w:left w:val="none" w:sz="0" w:space="0" w:color="auto"/>
        <w:bottom w:val="none" w:sz="0" w:space="0" w:color="auto"/>
        <w:right w:val="none" w:sz="0" w:space="0" w:color="auto"/>
      </w:divBdr>
    </w:div>
    <w:div w:id="222330505">
      <w:bodyDiv w:val="1"/>
      <w:marLeft w:val="0"/>
      <w:marRight w:val="0"/>
      <w:marTop w:val="0"/>
      <w:marBottom w:val="0"/>
      <w:divBdr>
        <w:top w:val="none" w:sz="0" w:space="0" w:color="auto"/>
        <w:left w:val="none" w:sz="0" w:space="0" w:color="auto"/>
        <w:bottom w:val="none" w:sz="0" w:space="0" w:color="auto"/>
        <w:right w:val="none" w:sz="0" w:space="0" w:color="auto"/>
      </w:divBdr>
    </w:div>
    <w:div w:id="226262449">
      <w:bodyDiv w:val="1"/>
      <w:marLeft w:val="0"/>
      <w:marRight w:val="0"/>
      <w:marTop w:val="0"/>
      <w:marBottom w:val="0"/>
      <w:divBdr>
        <w:top w:val="none" w:sz="0" w:space="0" w:color="auto"/>
        <w:left w:val="none" w:sz="0" w:space="0" w:color="auto"/>
        <w:bottom w:val="none" w:sz="0" w:space="0" w:color="auto"/>
        <w:right w:val="none" w:sz="0" w:space="0" w:color="auto"/>
      </w:divBdr>
    </w:div>
    <w:div w:id="227495791">
      <w:bodyDiv w:val="1"/>
      <w:marLeft w:val="0"/>
      <w:marRight w:val="0"/>
      <w:marTop w:val="0"/>
      <w:marBottom w:val="0"/>
      <w:divBdr>
        <w:top w:val="none" w:sz="0" w:space="0" w:color="auto"/>
        <w:left w:val="none" w:sz="0" w:space="0" w:color="auto"/>
        <w:bottom w:val="none" w:sz="0" w:space="0" w:color="auto"/>
        <w:right w:val="none" w:sz="0" w:space="0" w:color="auto"/>
      </w:divBdr>
    </w:div>
    <w:div w:id="228075315">
      <w:bodyDiv w:val="1"/>
      <w:marLeft w:val="0"/>
      <w:marRight w:val="0"/>
      <w:marTop w:val="0"/>
      <w:marBottom w:val="0"/>
      <w:divBdr>
        <w:top w:val="none" w:sz="0" w:space="0" w:color="auto"/>
        <w:left w:val="none" w:sz="0" w:space="0" w:color="auto"/>
        <w:bottom w:val="none" w:sz="0" w:space="0" w:color="auto"/>
        <w:right w:val="none" w:sz="0" w:space="0" w:color="auto"/>
      </w:divBdr>
    </w:div>
    <w:div w:id="229270797">
      <w:bodyDiv w:val="1"/>
      <w:marLeft w:val="0"/>
      <w:marRight w:val="0"/>
      <w:marTop w:val="0"/>
      <w:marBottom w:val="0"/>
      <w:divBdr>
        <w:top w:val="none" w:sz="0" w:space="0" w:color="auto"/>
        <w:left w:val="none" w:sz="0" w:space="0" w:color="auto"/>
        <w:bottom w:val="none" w:sz="0" w:space="0" w:color="auto"/>
        <w:right w:val="none" w:sz="0" w:space="0" w:color="auto"/>
      </w:divBdr>
    </w:div>
    <w:div w:id="231090702">
      <w:bodyDiv w:val="1"/>
      <w:marLeft w:val="0"/>
      <w:marRight w:val="0"/>
      <w:marTop w:val="0"/>
      <w:marBottom w:val="0"/>
      <w:divBdr>
        <w:top w:val="none" w:sz="0" w:space="0" w:color="auto"/>
        <w:left w:val="none" w:sz="0" w:space="0" w:color="auto"/>
        <w:bottom w:val="none" w:sz="0" w:space="0" w:color="auto"/>
        <w:right w:val="none" w:sz="0" w:space="0" w:color="auto"/>
      </w:divBdr>
    </w:div>
    <w:div w:id="231932543">
      <w:bodyDiv w:val="1"/>
      <w:marLeft w:val="0"/>
      <w:marRight w:val="0"/>
      <w:marTop w:val="0"/>
      <w:marBottom w:val="0"/>
      <w:divBdr>
        <w:top w:val="none" w:sz="0" w:space="0" w:color="auto"/>
        <w:left w:val="none" w:sz="0" w:space="0" w:color="auto"/>
        <w:bottom w:val="none" w:sz="0" w:space="0" w:color="auto"/>
        <w:right w:val="none" w:sz="0" w:space="0" w:color="auto"/>
      </w:divBdr>
    </w:div>
    <w:div w:id="234247356">
      <w:bodyDiv w:val="1"/>
      <w:marLeft w:val="0"/>
      <w:marRight w:val="0"/>
      <w:marTop w:val="0"/>
      <w:marBottom w:val="0"/>
      <w:divBdr>
        <w:top w:val="none" w:sz="0" w:space="0" w:color="auto"/>
        <w:left w:val="none" w:sz="0" w:space="0" w:color="auto"/>
        <w:bottom w:val="none" w:sz="0" w:space="0" w:color="auto"/>
        <w:right w:val="none" w:sz="0" w:space="0" w:color="auto"/>
      </w:divBdr>
    </w:div>
    <w:div w:id="235021183">
      <w:bodyDiv w:val="1"/>
      <w:marLeft w:val="0"/>
      <w:marRight w:val="0"/>
      <w:marTop w:val="0"/>
      <w:marBottom w:val="0"/>
      <w:divBdr>
        <w:top w:val="none" w:sz="0" w:space="0" w:color="auto"/>
        <w:left w:val="none" w:sz="0" w:space="0" w:color="auto"/>
        <w:bottom w:val="none" w:sz="0" w:space="0" w:color="auto"/>
        <w:right w:val="none" w:sz="0" w:space="0" w:color="auto"/>
      </w:divBdr>
    </w:div>
    <w:div w:id="235483710">
      <w:bodyDiv w:val="1"/>
      <w:marLeft w:val="0"/>
      <w:marRight w:val="0"/>
      <w:marTop w:val="0"/>
      <w:marBottom w:val="0"/>
      <w:divBdr>
        <w:top w:val="none" w:sz="0" w:space="0" w:color="auto"/>
        <w:left w:val="none" w:sz="0" w:space="0" w:color="auto"/>
        <w:bottom w:val="none" w:sz="0" w:space="0" w:color="auto"/>
        <w:right w:val="none" w:sz="0" w:space="0" w:color="auto"/>
      </w:divBdr>
    </w:div>
    <w:div w:id="235551188">
      <w:bodyDiv w:val="1"/>
      <w:marLeft w:val="0"/>
      <w:marRight w:val="0"/>
      <w:marTop w:val="0"/>
      <w:marBottom w:val="0"/>
      <w:divBdr>
        <w:top w:val="none" w:sz="0" w:space="0" w:color="auto"/>
        <w:left w:val="none" w:sz="0" w:space="0" w:color="auto"/>
        <w:bottom w:val="none" w:sz="0" w:space="0" w:color="auto"/>
        <w:right w:val="none" w:sz="0" w:space="0" w:color="auto"/>
      </w:divBdr>
    </w:div>
    <w:div w:id="236597293">
      <w:bodyDiv w:val="1"/>
      <w:marLeft w:val="0"/>
      <w:marRight w:val="0"/>
      <w:marTop w:val="0"/>
      <w:marBottom w:val="0"/>
      <w:divBdr>
        <w:top w:val="none" w:sz="0" w:space="0" w:color="auto"/>
        <w:left w:val="none" w:sz="0" w:space="0" w:color="auto"/>
        <w:bottom w:val="none" w:sz="0" w:space="0" w:color="auto"/>
        <w:right w:val="none" w:sz="0" w:space="0" w:color="auto"/>
      </w:divBdr>
    </w:div>
    <w:div w:id="237398423">
      <w:bodyDiv w:val="1"/>
      <w:marLeft w:val="0"/>
      <w:marRight w:val="0"/>
      <w:marTop w:val="0"/>
      <w:marBottom w:val="0"/>
      <w:divBdr>
        <w:top w:val="none" w:sz="0" w:space="0" w:color="auto"/>
        <w:left w:val="none" w:sz="0" w:space="0" w:color="auto"/>
        <w:bottom w:val="none" w:sz="0" w:space="0" w:color="auto"/>
        <w:right w:val="none" w:sz="0" w:space="0" w:color="auto"/>
      </w:divBdr>
    </w:div>
    <w:div w:id="237717627">
      <w:bodyDiv w:val="1"/>
      <w:marLeft w:val="0"/>
      <w:marRight w:val="0"/>
      <w:marTop w:val="0"/>
      <w:marBottom w:val="0"/>
      <w:divBdr>
        <w:top w:val="none" w:sz="0" w:space="0" w:color="auto"/>
        <w:left w:val="none" w:sz="0" w:space="0" w:color="auto"/>
        <w:bottom w:val="none" w:sz="0" w:space="0" w:color="auto"/>
        <w:right w:val="none" w:sz="0" w:space="0" w:color="auto"/>
      </w:divBdr>
    </w:div>
    <w:div w:id="238443654">
      <w:bodyDiv w:val="1"/>
      <w:marLeft w:val="0"/>
      <w:marRight w:val="0"/>
      <w:marTop w:val="0"/>
      <w:marBottom w:val="0"/>
      <w:divBdr>
        <w:top w:val="none" w:sz="0" w:space="0" w:color="auto"/>
        <w:left w:val="none" w:sz="0" w:space="0" w:color="auto"/>
        <w:bottom w:val="none" w:sz="0" w:space="0" w:color="auto"/>
        <w:right w:val="none" w:sz="0" w:space="0" w:color="auto"/>
      </w:divBdr>
    </w:div>
    <w:div w:id="239951871">
      <w:bodyDiv w:val="1"/>
      <w:marLeft w:val="0"/>
      <w:marRight w:val="0"/>
      <w:marTop w:val="0"/>
      <w:marBottom w:val="0"/>
      <w:divBdr>
        <w:top w:val="none" w:sz="0" w:space="0" w:color="auto"/>
        <w:left w:val="none" w:sz="0" w:space="0" w:color="auto"/>
        <w:bottom w:val="none" w:sz="0" w:space="0" w:color="auto"/>
        <w:right w:val="none" w:sz="0" w:space="0" w:color="auto"/>
      </w:divBdr>
    </w:div>
    <w:div w:id="240330353">
      <w:bodyDiv w:val="1"/>
      <w:marLeft w:val="0"/>
      <w:marRight w:val="0"/>
      <w:marTop w:val="0"/>
      <w:marBottom w:val="0"/>
      <w:divBdr>
        <w:top w:val="none" w:sz="0" w:space="0" w:color="auto"/>
        <w:left w:val="none" w:sz="0" w:space="0" w:color="auto"/>
        <w:bottom w:val="none" w:sz="0" w:space="0" w:color="auto"/>
        <w:right w:val="none" w:sz="0" w:space="0" w:color="auto"/>
      </w:divBdr>
    </w:div>
    <w:div w:id="241914941">
      <w:bodyDiv w:val="1"/>
      <w:marLeft w:val="0"/>
      <w:marRight w:val="0"/>
      <w:marTop w:val="0"/>
      <w:marBottom w:val="0"/>
      <w:divBdr>
        <w:top w:val="none" w:sz="0" w:space="0" w:color="auto"/>
        <w:left w:val="none" w:sz="0" w:space="0" w:color="auto"/>
        <w:bottom w:val="none" w:sz="0" w:space="0" w:color="auto"/>
        <w:right w:val="none" w:sz="0" w:space="0" w:color="auto"/>
      </w:divBdr>
    </w:div>
    <w:div w:id="242641744">
      <w:bodyDiv w:val="1"/>
      <w:marLeft w:val="0"/>
      <w:marRight w:val="0"/>
      <w:marTop w:val="0"/>
      <w:marBottom w:val="0"/>
      <w:divBdr>
        <w:top w:val="none" w:sz="0" w:space="0" w:color="auto"/>
        <w:left w:val="none" w:sz="0" w:space="0" w:color="auto"/>
        <w:bottom w:val="none" w:sz="0" w:space="0" w:color="auto"/>
        <w:right w:val="none" w:sz="0" w:space="0" w:color="auto"/>
      </w:divBdr>
    </w:div>
    <w:div w:id="245462502">
      <w:bodyDiv w:val="1"/>
      <w:marLeft w:val="0"/>
      <w:marRight w:val="0"/>
      <w:marTop w:val="0"/>
      <w:marBottom w:val="0"/>
      <w:divBdr>
        <w:top w:val="none" w:sz="0" w:space="0" w:color="auto"/>
        <w:left w:val="none" w:sz="0" w:space="0" w:color="auto"/>
        <w:bottom w:val="none" w:sz="0" w:space="0" w:color="auto"/>
        <w:right w:val="none" w:sz="0" w:space="0" w:color="auto"/>
      </w:divBdr>
    </w:div>
    <w:div w:id="245845067">
      <w:bodyDiv w:val="1"/>
      <w:marLeft w:val="0"/>
      <w:marRight w:val="0"/>
      <w:marTop w:val="0"/>
      <w:marBottom w:val="0"/>
      <w:divBdr>
        <w:top w:val="none" w:sz="0" w:space="0" w:color="auto"/>
        <w:left w:val="none" w:sz="0" w:space="0" w:color="auto"/>
        <w:bottom w:val="none" w:sz="0" w:space="0" w:color="auto"/>
        <w:right w:val="none" w:sz="0" w:space="0" w:color="auto"/>
      </w:divBdr>
    </w:div>
    <w:div w:id="247351938">
      <w:bodyDiv w:val="1"/>
      <w:marLeft w:val="0"/>
      <w:marRight w:val="0"/>
      <w:marTop w:val="0"/>
      <w:marBottom w:val="0"/>
      <w:divBdr>
        <w:top w:val="none" w:sz="0" w:space="0" w:color="auto"/>
        <w:left w:val="none" w:sz="0" w:space="0" w:color="auto"/>
        <w:bottom w:val="none" w:sz="0" w:space="0" w:color="auto"/>
        <w:right w:val="none" w:sz="0" w:space="0" w:color="auto"/>
      </w:divBdr>
    </w:div>
    <w:div w:id="247931077">
      <w:bodyDiv w:val="1"/>
      <w:marLeft w:val="0"/>
      <w:marRight w:val="0"/>
      <w:marTop w:val="0"/>
      <w:marBottom w:val="0"/>
      <w:divBdr>
        <w:top w:val="none" w:sz="0" w:space="0" w:color="auto"/>
        <w:left w:val="none" w:sz="0" w:space="0" w:color="auto"/>
        <w:bottom w:val="none" w:sz="0" w:space="0" w:color="auto"/>
        <w:right w:val="none" w:sz="0" w:space="0" w:color="auto"/>
      </w:divBdr>
    </w:div>
    <w:div w:id="250554724">
      <w:bodyDiv w:val="1"/>
      <w:marLeft w:val="0"/>
      <w:marRight w:val="0"/>
      <w:marTop w:val="0"/>
      <w:marBottom w:val="0"/>
      <w:divBdr>
        <w:top w:val="none" w:sz="0" w:space="0" w:color="auto"/>
        <w:left w:val="none" w:sz="0" w:space="0" w:color="auto"/>
        <w:bottom w:val="none" w:sz="0" w:space="0" w:color="auto"/>
        <w:right w:val="none" w:sz="0" w:space="0" w:color="auto"/>
      </w:divBdr>
    </w:div>
    <w:div w:id="252205091">
      <w:bodyDiv w:val="1"/>
      <w:marLeft w:val="0"/>
      <w:marRight w:val="0"/>
      <w:marTop w:val="0"/>
      <w:marBottom w:val="0"/>
      <w:divBdr>
        <w:top w:val="none" w:sz="0" w:space="0" w:color="auto"/>
        <w:left w:val="none" w:sz="0" w:space="0" w:color="auto"/>
        <w:bottom w:val="none" w:sz="0" w:space="0" w:color="auto"/>
        <w:right w:val="none" w:sz="0" w:space="0" w:color="auto"/>
      </w:divBdr>
    </w:div>
    <w:div w:id="252710422">
      <w:bodyDiv w:val="1"/>
      <w:marLeft w:val="0"/>
      <w:marRight w:val="0"/>
      <w:marTop w:val="0"/>
      <w:marBottom w:val="0"/>
      <w:divBdr>
        <w:top w:val="none" w:sz="0" w:space="0" w:color="auto"/>
        <w:left w:val="none" w:sz="0" w:space="0" w:color="auto"/>
        <w:bottom w:val="none" w:sz="0" w:space="0" w:color="auto"/>
        <w:right w:val="none" w:sz="0" w:space="0" w:color="auto"/>
      </w:divBdr>
    </w:div>
    <w:div w:id="253368610">
      <w:bodyDiv w:val="1"/>
      <w:marLeft w:val="0"/>
      <w:marRight w:val="0"/>
      <w:marTop w:val="0"/>
      <w:marBottom w:val="0"/>
      <w:divBdr>
        <w:top w:val="none" w:sz="0" w:space="0" w:color="auto"/>
        <w:left w:val="none" w:sz="0" w:space="0" w:color="auto"/>
        <w:bottom w:val="none" w:sz="0" w:space="0" w:color="auto"/>
        <w:right w:val="none" w:sz="0" w:space="0" w:color="auto"/>
      </w:divBdr>
    </w:div>
    <w:div w:id="254019295">
      <w:bodyDiv w:val="1"/>
      <w:marLeft w:val="0"/>
      <w:marRight w:val="0"/>
      <w:marTop w:val="0"/>
      <w:marBottom w:val="0"/>
      <w:divBdr>
        <w:top w:val="none" w:sz="0" w:space="0" w:color="auto"/>
        <w:left w:val="none" w:sz="0" w:space="0" w:color="auto"/>
        <w:bottom w:val="none" w:sz="0" w:space="0" w:color="auto"/>
        <w:right w:val="none" w:sz="0" w:space="0" w:color="auto"/>
      </w:divBdr>
    </w:div>
    <w:div w:id="256256944">
      <w:bodyDiv w:val="1"/>
      <w:marLeft w:val="0"/>
      <w:marRight w:val="0"/>
      <w:marTop w:val="0"/>
      <w:marBottom w:val="0"/>
      <w:divBdr>
        <w:top w:val="none" w:sz="0" w:space="0" w:color="auto"/>
        <w:left w:val="none" w:sz="0" w:space="0" w:color="auto"/>
        <w:bottom w:val="none" w:sz="0" w:space="0" w:color="auto"/>
        <w:right w:val="none" w:sz="0" w:space="0" w:color="auto"/>
      </w:divBdr>
    </w:div>
    <w:div w:id="257326886">
      <w:bodyDiv w:val="1"/>
      <w:marLeft w:val="0"/>
      <w:marRight w:val="0"/>
      <w:marTop w:val="0"/>
      <w:marBottom w:val="0"/>
      <w:divBdr>
        <w:top w:val="none" w:sz="0" w:space="0" w:color="auto"/>
        <w:left w:val="none" w:sz="0" w:space="0" w:color="auto"/>
        <w:bottom w:val="none" w:sz="0" w:space="0" w:color="auto"/>
        <w:right w:val="none" w:sz="0" w:space="0" w:color="auto"/>
      </w:divBdr>
    </w:div>
    <w:div w:id="259681226">
      <w:bodyDiv w:val="1"/>
      <w:marLeft w:val="0"/>
      <w:marRight w:val="0"/>
      <w:marTop w:val="0"/>
      <w:marBottom w:val="0"/>
      <w:divBdr>
        <w:top w:val="none" w:sz="0" w:space="0" w:color="auto"/>
        <w:left w:val="none" w:sz="0" w:space="0" w:color="auto"/>
        <w:bottom w:val="none" w:sz="0" w:space="0" w:color="auto"/>
        <w:right w:val="none" w:sz="0" w:space="0" w:color="auto"/>
      </w:divBdr>
    </w:div>
    <w:div w:id="261038385">
      <w:bodyDiv w:val="1"/>
      <w:marLeft w:val="0"/>
      <w:marRight w:val="0"/>
      <w:marTop w:val="0"/>
      <w:marBottom w:val="0"/>
      <w:divBdr>
        <w:top w:val="none" w:sz="0" w:space="0" w:color="auto"/>
        <w:left w:val="none" w:sz="0" w:space="0" w:color="auto"/>
        <w:bottom w:val="none" w:sz="0" w:space="0" w:color="auto"/>
        <w:right w:val="none" w:sz="0" w:space="0" w:color="auto"/>
      </w:divBdr>
    </w:div>
    <w:div w:id="262885260">
      <w:bodyDiv w:val="1"/>
      <w:marLeft w:val="0"/>
      <w:marRight w:val="0"/>
      <w:marTop w:val="0"/>
      <w:marBottom w:val="0"/>
      <w:divBdr>
        <w:top w:val="none" w:sz="0" w:space="0" w:color="auto"/>
        <w:left w:val="none" w:sz="0" w:space="0" w:color="auto"/>
        <w:bottom w:val="none" w:sz="0" w:space="0" w:color="auto"/>
        <w:right w:val="none" w:sz="0" w:space="0" w:color="auto"/>
      </w:divBdr>
    </w:div>
    <w:div w:id="263225183">
      <w:bodyDiv w:val="1"/>
      <w:marLeft w:val="0"/>
      <w:marRight w:val="0"/>
      <w:marTop w:val="0"/>
      <w:marBottom w:val="0"/>
      <w:divBdr>
        <w:top w:val="none" w:sz="0" w:space="0" w:color="auto"/>
        <w:left w:val="none" w:sz="0" w:space="0" w:color="auto"/>
        <w:bottom w:val="none" w:sz="0" w:space="0" w:color="auto"/>
        <w:right w:val="none" w:sz="0" w:space="0" w:color="auto"/>
      </w:divBdr>
    </w:div>
    <w:div w:id="267736327">
      <w:bodyDiv w:val="1"/>
      <w:marLeft w:val="0"/>
      <w:marRight w:val="0"/>
      <w:marTop w:val="0"/>
      <w:marBottom w:val="0"/>
      <w:divBdr>
        <w:top w:val="none" w:sz="0" w:space="0" w:color="auto"/>
        <w:left w:val="none" w:sz="0" w:space="0" w:color="auto"/>
        <w:bottom w:val="none" w:sz="0" w:space="0" w:color="auto"/>
        <w:right w:val="none" w:sz="0" w:space="0" w:color="auto"/>
      </w:divBdr>
    </w:div>
    <w:div w:id="268315892">
      <w:bodyDiv w:val="1"/>
      <w:marLeft w:val="0"/>
      <w:marRight w:val="0"/>
      <w:marTop w:val="0"/>
      <w:marBottom w:val="0"/>
      <w:divBdr>
        <w:top w:val="none" w:sz="0" w:space="0" w:color="auto"/>
        <w:left w:val="none" w:sz="0" w:space="0" w:color="auto"/>
        <w:bottom w:val="none" w:sz="0" w:space="0" w:color="auto"/>
        <w:right w:val="none" w:sz="0" w:space="0" w:color="auto"/>
      </w:divBdr>
    </w:div>
    <w:div w:id="269314126">
      <w:bodyDiv w:val="1"/>
      <w:marLeft w:val="0"/>
      <w:marRight w:val="0"/>
      <w:marTop w:val="0"/>
      <w:marBottom w:val="0"/>
      <w:divBdr>
        <w:top w:val="none" w:sz="0" w:space="0" w:color="auto"/>
        <w:left w:val="none" w:sz="0" w:space="0" w:color="auto"/>
        <w:bottom w:val="none" w:sz="0" w:space="0" w:color="auto"/>
        <w:right w:val="none" w:sz="0" w:space="0" w:color="auto"/>
      </w:divBdr>
    </w:div>
    <w:div w:id="269438066">
      <w:bodyDiv w:val="1"/>
      <w:marLeft w:val="0"/>
      <w:marRight w:val="0"/>
      <w:marTop w:val="0"/>
      <w:marBottom w:val="0"/>
      <w:divBdr>
        <w:top w:val="none" w:sz="0" w:space="0" w:color="auto"/>
        <w:left w:val="none" w:sz="0" w:space="0" w:color="auto"/>
        <w:bottom w:val="none" w:sz="0" w:space="0" w:color="auto"/>
        <w:right w:val="none" w:sz="0" w:space="0" w:color="auto"/>
      </w:divBdr>
    </w:div>
    <w:div w:id="273639279">
      <w:bodyDiv w:val="1"/>
      <w:marLeft w:val="0"/>
      <w:marRight w:val="0"/>
      <w:marTop w:val="0"/>
      <w:marBottom w:val="0"/>
      <w:divBdr>
        <w:top w:val="none" w:sz="0" w:space="0" w:color="auto"/>
        <w:left w:val="none" w:sz="0" w:space="0" w:color="auto"/>
        <w:bottom w:val="none" w:sz="0" w:space="0" w:color="auto"/>
        <w:right w:val="none" w:sz="0" w:space="0" w:color="auto"/>
      </w:divBdr>
    </w:div>
    <w:div w:id="275530402">
      <w:bodyDiv w:val="1"/>
      <w:marLeft w:val="0"/>
      <w:marRight w:val="0"/>
      <w:marTop w:val="0"/>
      <w:marBottom w:val="0"/>
      <w:divBdr>
        <w:top w:val="none" w:sz="0" w:space="0" w:color="auto"/>
        <w:left w:val="none" w:sz="0" w:space="0" w:color="auto"/>
        <w:bottom w:val="none" w:sz="0" w:space="0" w:color="auto"/>
        <w:right w:val="none" w:sz="0" w:space="0" w:color="auto"/>
      </w:divBdr>
    </w:div>
    <w:div w:id="280843882">
      <w:bodyDiv w:val="1"/>
      <w:marLeft w:val="0"/>
      <w:marRight w:val="0"/>
      <w:marTop w:val="0"/>
      <w:marBottom w:val="0"/>
      <w:divBdr>
        <w:top w:val="none" w:sz="0" w:space="0" w:color="auto"/>
        <w:left w:val="none" w:sz="0" w:space="0" w:color="auto"/>
        <w:bottom w:val="none" w:sz="0" w:space="0" w:color="auto"/>
        <w:right w:val="none" w:sz="0" w:space="0" w:color="auto"/>
      </w:divBdr>
    </w:div>
    <w:div w:id="285700764">
      <w:bodyDiv w:val="1"/>
      <w:marLeft w:val="0"/>
      <w:marRight w:val="0"/>
      <w:marTop w:val="0"/>
      <w:marBottom w:val="0"/>
      <w:divBdr>
        <w:top w:val="none" w:sz="0" w:space="0" w:color="auto"/>
        <w:left w:val="none" w:sz="0" w:space="0" w:color="auto"/>
        <w:bottom w:val="none" w:sz="0" w:space="0" w:color="auto"/>
        <w:right w:val="none" w:sz="0" w:space="0" w:color="auto"/>
      </w:divBdr>
    </w:div>
    <w:div w:id="286787258">
      <w:bodyDiv w:val="1"/>
      <w:marLeft w:val="0"/>
      <w:marRight w:val="0"/>
      <w:marTop w:val="0"/>
      <w:marBottom w:val="0"/>
      <w:divBdr>
        <w:top w:val="none" w:sz="0" w:space="0" w:color="auto"/>
        <w:left w:val="none" w:sz="0" w:space="0" w:color="auto"/>
        <w:bottom w:val="none" w:sz="0" w:space="0" w:color="auto"/>
        <w:right w:val="none" w:sz="0" w:space="0" w:color="auto"/>
      </w:divBdr>
    </w:div>
    <w:div w:id="291904642">
      <w:bodyDiv w:val="1"/>
      <w:marLeft w:val="0"/>
      <w:marRight w:val="0"/>
      <w:marTop w:val="0"/>
      <w:marBottom w:val="0"/>
      <w:divBdr>
        <w:top w:val="none" w:sz="0" w:space="0" w:color="auto"/>
        <w:left w:val="none" w:sz="0" w:space="0" w:color="auto"/>
        <w:bottom w:val="none" w:sz="0" w:space="0" w:color="auto"/>
        <w:right w:val="none" w:sz="0" w:space="0" w:color="auto"/>
      </w:divBdr>
    </w:div>
    <w:div w:id="296185703">
      <w:bodyDiv w:val="1"/>
      <w:marLeft w:val="0"/>
      <w:marRight w:val="0"/>
      <w:marTop w:val="0"/>
      <w:marBottom w:val="0"/>
      <w:divBdr>
        <w:top w:val="none" w:sz="0" w:space="0" w:color="auto"/>
        <w:left w:val="none" w:sz="0" w:space="0" w:color="auto"/>
        <w:bottom w:val="none" w:sz="0" w:space="0" w:color="auto"/>
        <w:right w:val="none" w:sz="0" w:space="0" w:color="auto"/>
      </w:divBdr>
    </w:div>
    <w:div w:id="300423671">
      <w:bodyDiv w:val="1"/>
      <w:marLeft w:val="0"/>
      <w:marRight w:val="0"/>
      <w:marTop w:val="0"/>
      <w:marBottom w:val="0"/>
      <w:divBdr>
        <w:top w:val="none" w:sz="0" w:space="0" w:color="auto"/>
        <w:left w:val="none" w:sz="0" w:space="0" w:color="auto"/>
        <w:bottom w:val="none" w:sz="0" w:space="0" w:color="auto"/>
        <w:right w:val="none" w:sz="0" w:space="0" w:color="auto"/>
      </w:divBdr>
    </w:div>
    <w:div w:id="303894323">
      <w:bodyDiv w:val="1"/>
      <w:marLeft w:val="0"/>
      <w:marRight w:val="0"/>
      <w:marTop w:val="0"/>
      <w:marBottom w:val="0"/>
      <w:divBdr>
        <w:top w:val="none" w:sz="0" w:space="0" w:color="auto"/>
        <w:left w:val="none" w:sz="0" w:space="0" w:color="auto"/>
        <w:bottom w:val="none" w:sz="0" w:space="0" w:color="auto"/>
        <w:right w:val="none" w:sz="0" w:space="0" w:color="auto"/>
      </w:divBdr>
    </w:div>
    <w:div w:id="308824766">
      <w:bodyDiv w:val="1"/>
      <w:marLeft w:val="0"/>
      <w:marRight w:val="0"/>
      <w:marTop w:val="0"/>
      <w:marBottom w:val="0"/>
      <w:divBdr>
        <w:top w:val="none" w:sz="0" w:space="0" w:color="auto"/>
        <w:left w:val="none" w:sz="0" w:space="0" w:color="auto"/>
        <w:bottom w:val="none" w:sz="0" w:space="0" w:color="auto"/>
        <w:right w:val="none" w:sz="0" w:space="0" w:color="auto"/>
      </w:divBdr>
    </w:div>
    <w:div w:id="311064730">
      <w:bodyDiv w:val="1"/>
      <w:marLeft w:val="0"/>
      <w:marRight w:val="0"/>
      <w:marTop w:val="0"/>
      <w:marBottom w:val="0"/>
      <w:divBdr>
        <w:top w:val="none" w:sz="0" w:space="0" w:color="auto"/>
        <w:left w:val="none" w:sz="0" w:space="0" w:color="auto"/>
        <w:bottom w:val="none" w:sz="0" w:space="0" w:color="auto"/>
        <w:right w:val="none" w:sz="0" w:space="0" w:color="auto"/>
      </w:divBdr>
      <w:divsChild>
        <w:div w:id="1661494483">
          <w:marLeft w:val="0"/>
          <w:marRight w:val="0"/>
          <w:marTop w:val="0"/>
          <w:marBottom w:val="0"/>
          <w:divBdr>
            <w:top w:val="none" w:sz="0" w:space="0" w:color="auto"/>
            <w:left w:val="none" w:sz="0" w:space="0" w:color="auto"/>
            <w:bottom w:val="none" w:sz="0" w:space="0" w:color="auto"/>
            <w:right w:val="none" w:sz="0" w:space="0" w:color="auto"/>
          </w:divBdr>
          <w:divsChild>
            <w:div w:id="900751893">
              <w:marLeft w:val="0"/>
              <w:marRight w:val="0"/>
              <w:marTop w:val="0"/>
              <w:marBottom w:val="0"/>
              <w:divBdr>
                <w:top w:val="none" w:sz="0" w:space="0" w:color="auto"/>
                <w:left w:val="none" w:sz="0" w:space="0" w:color="auto"/>
                <w:bottom w:val="none" w:sz="0" w:space="0" w:color="auto"/>
                <w:right w:val="none" w:sz="0" w:space="0" w:color="auto"/>
              </w:divBdr>
              <w:divsChild>
                <w:div w:id="171801727">
                  <w:marLeft w:val="0"/>
                  <w:marRight w:val="0"/>
                  <w:marTop w:val="0"/>
                  <w:marBottom w:val="0"/>
                  <w:divBdr>
                    <w:top w:val="none" w:sz="0" w:space="0" w:color="auto"/>
                    <w:left w:val="none" w:sz="0" w:space="0" w:color="auto"/>
                    <w:bottom w:val="none" w:sz="0" w:space="0" w:color="auto"/>
                    <w:right w:val="none" w:sz="0" w:space="0" w:color="auto"/>
                  </w:divBdr>
                  <w:divsChild>
                    <w:div w:id="380520887">
                      <w:marLeft w:val="0"/>
                      <w:marRight w:val="0"/>
                      <w:marTop w:val="0"/>
                      <w:marBottom w:val="0"/>
                      <w:divBdr>
                        <w:top w:val="none" w:sz="0" w:space="0" w:color="auto"/>
                        <w:left w:val="none" w:sz="0" w:space="0" w:color="auto"/>
                        <w:bottom w:val="none" w:sz="0" w:space="0" w:color="auto"/>
                        <w:right w:val="none" w:sz="0" w:space="0" w:color="auto"/>
                      </w:divBdr>
                      <w:divsChild>
                        <w:div w:id="1566601965">
                          <w:marLeft w:val="0"/>
                          <w:marRight w:val="0"/>
                          <w:marTop w:val="0"/>
                          <w:marBottom w:val="0"/>
                          <w:divBdr>
                            <w:top w:val="none" w:sz="0" w:space="0" w:color="auto"/>
                            <w:left w:val="none" w:sz="0" w:space="0" w:color="auto"/>
                            <w:bottom w:val="none" w:sz="0" w:space="0" w:color="auto"/>
                            <w:right w:val="none" w:sz="0" w:space="0" w:color="auto"/>
                          </w:divBdr>
                          <w:divsChild>
                            <w:div w:id="1558127951">
                              <w:marLeft w:val="0"/>
                              <w:marRight w:val="0"/>
                              <w:marTop w:val="0"/>
                              <w:marBottom w:val="0"/>
                              <w:divBdr>
                                <w:top w:val="none" w:sz="0" w:space="0" w:color="auto"/>
                                <w:left w:val="none" w:sz="0" w:space="0" w:color="auto"/>
                                <w:bottom w:val="none" w:sz="0" w:space="0" w:color="auto"/>
                                <w:right w:val="none" w:sz="0" w:space="0" w:color="auto"/>
                              </w:divBdr>
                              <w:divsChild>
                                <w:div w:id="1697268800">
                                  <w:marLeft w:val="0"/>
                                  <w:marRight w:val="0"/>
                                  <w:marTop w:val="0"/>
                                  <w:marBottom w:val="0"/>
                                  <w:divBdr>
                                    <w:top w:val="none" w:sz="0" w:space="0" w:color="auto"/>
                                    <w:left w:val="none" w:sz="0" w:space="0" w:color="auto"/>
                                    <w:bottom w:val="none" w:sz="0" w:space="0" w:color="auto"/>
                                    <w:right w:val="none" w:sz="0" w:space="0" w:color="auto"/>
                                  </w:divBdr>
                                  <w:divsChild>
                                    <w:div w:id="302736517">
                                      <w:marLeft w:val="0"/>
                                      <w:marRight w:val="0"/>
                                      <w:marTop w:val="0"/>
                                      <w:marBottom w:val="0"/>
                                      <w:divBdr>
                                        <w:top w:val="single" w:sz="4" w:space="0" w:color="F5F5F5"/>
                                        <w:left w:val="single" w:sz="4" w:space="0" w:color="F5F5F5"/>
                                        <w:bottom w:val="single" w:sz="4" w:space="0" w:color="F5F5F5"/>
                                        <w:right w:val="single" w:sz="4" w:space="0" w:color="F5F5F5"/>
                                      </w:divBdr>
                                      <w:divsChild>
                                        <w:div w:id="1809012109">
                                          <w:marLeft w:val="0"/>
                                          <w:marRight w:val="0"/>
                                          <w:marTop w:val="0"/>
                                          <w:marBottom w:val="0"/>
                                          <w:divBdr>
                                            <w:top w:val="none" w:sz="0" w:space="0" w:color="auto"/>
                                            <w:left w:val="none" w:sz="0" w:space="0" w:color="auto"/>
                                            <w:bottom w:val="none" w:sz="0" w:space="0" w:color="auto"/>
                                            <w:right w:val="none" w:sz="0" w:space="0" w:color="auto"/>
                                          </w:divBdr>
                                          <w:divsChild>
                                            <w:div w:id="2098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5475">
      <w:bodyDiv w:val="1"/>
      <w:marLeft w:val="0"/>
      <w:marRight w:val="0"/>
      <w:marTop w:val="0"/>
      <w:marBottom w:val="0"/>
      <w:divBdr>
        <w:top w:val="none" w:sz="0" w:space="0" w:color="auto"/>
        <w:left w:val="none" w:sz="0" w:space="0" w:color="auto"/>
        <w:bottom w:val="none" w:sz="0" w:space="0" w:color="auto"/>
        <w:right w:val="none" w:sz="0" w:space="0" w:color="auto"/>
      </w:divBdr>
    </w:div>
    <w:div w:id="316228352">
      <w:bodyDiv w:val="1"/>
      <w:marLeft w:val="0"/>
      <w:marRight w:val="0"/>
      <w:marTop w:val="0"/>
      <w:marBottom w:val="0"/>
      <w:divBdr>
        <w:top w:val="none" w:sz="0" w:space="0" w:color="auto"/>
        <w:left w:val="none" w:sz="0" w:space="0" w:color="auto"/>
        <w:bottom w:val="none" w:sz="0" w:space="0" w:color="auto"/>
        <w:right w:val="none" w:sz="0" w:space="0" w:color="auto"/>
      </w:divBdr>
    </w:div>
    <w:div w:id="316880529">
      <w:bodyDiv w:val="1"/>
      <w:marLeft w:val="0"/>
      <w:marRight w:val="0"/>
      <w:marTop w:val="0"/>
      <w:marBottom w:val="0"/>
      <w:divBdr>
        <w:top w:val="none" w:sz="0" w:space="0" w:color="auto"/>
        <w:left w:val="none" w:sz="0" w:space="0" w:color="auto"/>
        <w:bottom w:val="none" w:sz="0" w:space="0" w:color="auto"/>
        <w:right w:val="none" w:sz="0" w:space="0" w:color="auto"/>
      </w:divBdr>
    </w:div>
    <w:div w:id="317196646">
      <w:bodyDiv w:val="1"/>
      <w:marLeft w:val="0"/>
      <w:marRight w:val="0"/>
      <w:marTop w:val="0"/>
      <w:marBottom w:val="0"/>
      <w:divBdr>
        <w:top w:val="none" w:sz="0" w:space="0" w:color="auto"/>
        <w:left w:val="none" w:sz="0" w:space="0" w:color="auto"/>
        <w:bottom w:val="none" w:sz="0" w:space="0" w:color="auto"/>
        <w:right w:val="none" w:sz="0" w:space="0" w:color="auto"/>
      </w:divBdr>
    </w:div>
    <w:div w:id="318508188">
      <w:bodyDiv w:val="1"/>
      <w:marLeft w:val="0"/>
      <w:marRight w:val="0"/>
      <w:marTop w:val="0"/>
      <w:marBottom w:val="0"/>
      <w:divBdr>
        <w:top w:val="none" w:sz="0" w:space="0" w:color="auto"/>
        <w:left w:val="none" w:sz="0" w:space="0" w:color="auto"/>
        <w:bottom w:val="none" w:sz="0" w:space="0" w:color="auto"/>
        <w:right w:val="none" w:sz="0" w:space="0" w:color="auto"/>
      </w:divBdr>
    </w:div>
    <w:div w:id="320082666">
      <w:bodyDiv w:val="1"/>
      <w:marLeft w:val="0"/>
      <w:marRight w:val="0"/>
      <w:marTop w:val="0"/>
      <w:marBottom w:val="0"/>
      <w:divBdr>
        <w:top w:val="none" w:sz="0" w:space="0" w:color="auto"/>
        <w:left w:val="none" w:sz="0" w:space="0" w:color="auto"/>
        <w:bottom w:val="none" w:sz="0" w:space="0" w:color="auto"/>
        <w:right w:val="none" w:sz="0" w:space="0" w:color="auto"/>
      </w:divBdr>
    </w:div>
    <w:div w:id="321588168">
      <w:bodyDiv w:val="1"/>
      <w:marLeft w:val="0"/>
      <w:marRight w:val="0"/>
      <w:marTop w:val="0"/>
      <w:marBottom w:val="0"/>
      <w:divBdr>
        <w:top w:val="none" w:sz="0" w:space="0" w:color="auto"/>
        <w:left w:val="none" w:sz="0" w:space="0" w:color="auto"/>
        <w:bottom w:val="none" w:sz="0" w:space="0" w:color="auto"/>
        <w:right w:val="none" w:sz="0" w:space="0" w:color="auto"/>
      </w:divBdr>
    </w:div>
    <w:div w:id="331228869">
      <w:bodyDiv w:val="1"/>
      <w:marLeft w:val="0"/>
      <w:marRight w:val="0"/>
      <w:marTop w:val="0"/>
      <w:marBottom w:val="0"/>
      <w:divBdr>
        <w:top w:val="none" w:sz="0" w:space="0" w:color="auto"/>
        <w:left w:val="none" w:sz="0" w:space="0" w:color="auto"/>
        <w:bottom w:val="none" w:sz="0" w:space="0" w:color="auto"/>
        <w:right w:val="none" w:sz="0" w:space="0" w:color="auto"/>
      </w:divBdr>
    </w:div>
    <w:div w:id="331491139">
      <w:bodyDiv w:val="1"/>
      <w:marLeft w:val="0"/>
      <w:marRight w:val="0"/>
      <w:marTop w:val="0"/>
      <w:marBottom w:val="0"/>
      <w:divBdr>
        <w:top w:val="none" w:sz="0" w:space="0" w:color="auto"/>
        <w:left w:val="none" w:sz="0" w:space="0" w:color="auto"/>
        <w:bottom w:val="none" w:sz="0" w:space="0" w:color="auto"/>
        <w:right w:val="none" w:sz="0" w:space="0" w:color="auto"/>
      </w:divBdr>
    </w:div>
    <w:div w:id="332075770">
      <w:bodyDiv w:val="1"/>
      <w:marLeft w:val="0"/>
      <w:marRight w:val="0"/>
      <w:marTop w:val="0"/>
      <w:marBottom w:val="0"/>
      <w:divBdr>
        <w:top w:val="none" w:sz="0" w:space="0" w:color="auto"/>
        <w:left w:val="none" w:sz="0" w:space="0" w:color="auto"/>
        <w:bottom w:val="none" w:sz="0" w:space="0" w:color="auto"/>
        <w:right w:val="none" w:sz="0" w:space="0" w:color="auto"/>
      </w:divBdr>
    </w:div>
    <w:div w:id="332925417">
      <w:bodyDiv w:val="1"/>
      <w:marLeft w:val="0"/>
      <w:marRight w:val="0"/>
      <w:marTop w:val="0"/>
      <w:marBottom w:val="0"/>
      <w:divBdr>
        <w:top w:val="none" w:sz="0" w:space="0" w:color="auto"/>
        <w:left w:val="none" w:sz="0" w:space="0" w:color="auto"/>
        <w:bottom w:val="none" w:sz="0" w:space="0" w:color="auto"/>
        <w:right w:val="none" w:sz="0" w:space="0" w:color="auto"/>
      </w:divBdr>
    </w:div>
    <w:div w:id="333342203">
      <w:bodyDiv w:val="1"/>
      <w:marLeft w:val="0"/>
      <w:marRight w:val="0"/>
      <w:marTop w:val="0"/>
      <w:marBottom w:val="0"/>
      <w:divBdr>
        <w:top w:val="none" w:sz="0" w:space="0" w:color="auto"/>
        <w:left w:val="none" w:sz="0" w:space="0" w:color="auto"/>
        <w:bottom w:val="none" w:sz="0" w:space="0" w:color="auto"/>
        <w:right w:val="none" w:sz="0" w:space="0" w:color="auto"/>
      </w:divBdr>
    </w:div>
    <w:div w:id="337195449">
      <w:bodyDiv w:val="1"/>
      <w:marLeft w:val="0"/>
      <w:marRight w:val="0"/>
      <w:marTop w:val="0"/>
      <w:marBottom w:val="0"/>
      <w:divBdr>
        <w:top w:val="none" w:sz="0" w:space="0" w:color="auto"/>
        <w:left w:val="none" w:sz="0" w:space="0" w:color="auto"/>
        <w:bottom w:val="none" w:sz="0" w:space="0" w:color="auto"/>
        <w:right w:val="none" w:sz="0" w:space="0" w:color="auto"/>
      </w:divBdr>
    </w:div>
    <w:div w:id="339889052">
      <w:bodyDiv w:val="1"/>
      <w:marLeft w:val="0"/>
      <w:marRight w:val="0"/>
      <w:marTop w:val="0"/>
      <w:marBottom w:val="0"/>
      <w:divBdr>
        <w:top w:val="none" w:sz="0" w:space="0" w:color="auto"/>
        <w:left w:val="none" w:sz="0" w:space="0" w:color="auto"/>
        <w:bottom w:val="none" w:sz="0" w:space="0" w:color="auto"/>
        <w:right w:val="none" w:sz="0" w:space="0" w:color="auto"/>
      </w:divBdr>
    </w:div>
    <w:div w:id="341976006">
      <w:bodyDiv w:val="1"/>
      <w:marLeft w:val="0"/>
      <w:marRight w:val="0"/>
      <w:marTop w:val="0"/>
      <w:marBottom w:val="0"/>
      <w:divBdr>
        <w:top w:val="none" w:sz="0" w:space="0" w:color="auto"/>
        <w:left w:val="none" w:sz="0" w:space="0" w:color="auto"/>
        <w:bottom w:val="none" w:sz="0" w:space="0" w:color="auto"/>
        <w:right w:val="none" w:sz="0" w:space="0" w:color="auto"/>
      </w:divBdr>
    </w:div>
    <w:div w:id="344064691">
      <w:bodyDiv w:val="1"/>
      <w:marLeft w:val="0"/>
      <w:marRight w:val="0"/>
      <w:marTop w:val="0"/>
      <w:marBottom w:val="0"/>
      <w:divBdr>
        <w:top w:val="none" w:sz="0" w:space="0" w:color="auto"/>
        <w:left w:val="none" w:sz="0" w:space="0" w:color="auto"/>
        <w:bottom w:val="none" w:sz="0" w:space="0" w:color="auto"/>
        <w:right w:val="none" w:sz="0" w:space="0" w:color="auto"/>
      </w:divBdr>
    </w:div>
    <w:div w:id="347678915">
      <w:bodyDiv w:val="1"/>
      <w:marLeft w:val="0"/>
      <w:marRight w:val="0"/>
      <w:marTop w:val="0"/>
      <w:marBottom w:val="0"/>
      <w:divBdr>
        <w:top w:val="none" w:sz="0" w:space="0" w:color="auto"/>
        <w:left w:val="none" w:sz="0" w:space="0" w:color="auto"/>
        <w:bottom w:val="none" w:sz="0" w:space="0" w:color="auto"/>
        <w:right w:val="none" w:sz="0" w:space="0" w:color="auto"/>
      </w:divBdr>
      <w:divsChild>
        <w:div w:id="897520485">
          <w:marLeft w:val="0"/>
          <w:marRight w:val="0"/>
          <w:marTop w:val="0"/>
          <w:marBottom w:val="0"/>
          <w:divBdr>
            <w:top w:val="none" w:sz="0" w:space="0" w:color="auto"/>
            <w:left w:val="none" w:sz="0" w:space="0" w:color="auto"/>
            <w:bottom w:val="none" w:sz="0" w:space="0" w:color="auto"/>
            <w:right w:val="none" w:sz="0" w:space="0" w:color="auto"/>
          </w:divBdr>
          <w:divsChild>
            <w:div w:id="1276209401">
              <w:marLeft w:val="0"/>
              <w:marRight w:val="0"/>
              <w:marTop w:val="0"/>
              <w:marBottom w:val="0"/>
              <w:divBdr>
                <w:top w:val="none" w:sz="0" w:space="0" w:color="auto"/>
                <w:left w:val="none" w:sz="0" w:space="0" w:color="auto"/>
                <w:bottom w:val="none" w:sz="0" w:space="0" w:color="auto"/>
                <w:right w:val="none" w:sz="0" w:space="0" w:color="auto"/>
              </w:divBdr>
              <w:divsChild>
                <w:div w:id="1625498038">
                  <w:marLeft w:val="0"/>
                  <w:marRight w:val="0"/>
                  <w:marTop w:val="0"/>
                  <w:marBottom w:val="0"/>
                  <w:divBdr>
                    <w:top w:val="none" w:sz="0" w:space="0" w:color="auto"/>
                    <w:left w:val="none" w:sz="0" w:space="0" w:color="auto"/>
                    <w:bottom w:val="none" w:sz="0" w:space="0" w:color="auto"/>
                    <w:right w:val="none" w:sz="0" w:space="0" w:color="auto"/>
                  </w:divBdr>
                  <w:divsChild>
                    <w:div w:id="1077215568">
                      <w:marLeft w:val="0"/>
                      <w:marRight w:val="0"/>
                      <w:marTop w:val="0"/>
                      <w:marBottom w:val="0"/>
                      <w:divBdr>
                        <w:top w:val="none" w:sz="0" w:space="0" w:color="auto"/>
                        <w:left w:val="none" w:sz="0" w:space="0" w:color="auto"/>
                        <w:bottom w:val="none" w:sz="0" w:space="0" w:color="auto"/>
                        <w:right w:val="none" w:sz="0" w:space="0" w:color="auto"/>
                      </w:divBdr>
                      <w:divsChild>
                        <w:div w:id="1850220117">
                          <w:marLeft w:val="0"/>
                          <w:marRight w:val="0"/>
                          <w:marTop w:val="0"/>
                          <w:marBottom w:val="0"/>
                          <w:divBdr>
                            <w:top w:val="none" w:sz="0" w:space="0" w:color="auto"/>
                            <w:left w:val="none" w:sz="0" w:space="0" w:color="auto"/>
                            <w:bottom w:val="none" w:sz="0" w:space="0" w:color="auto"/>
                            <w:right w:val="none" w:sz="0" w:space="0" w:color="auto"/>
                          </w:divBdr>
                          <w:divsChild>
                            <w:div w:id="929897040">
                              <w:marLeft w:val="0"/>
                              <w:marRight w:val="0"/>
                              <w:marTop w:val="0"/>
                              <w:marBottom w:val="0"/>
                              <w:divBdr>
                                <w:top w:val="none" w:sz="0" w:space="0" w:color="auto"/>
                                <w:left w:val="none" w:sz="0" w:space="0" w:color="auto"/>
                                <w:bottom w:val="none" w:sz="0" w:space="0" w:color="auto"/>
                                <w:right w:val="none" w:sz="0" w:space="0" w:color="auto"/>
                              </w:divBdr>
                              <w:divsChild>
                                <w:div w:id="1944721701">
                                  <w:marLeft w:val="0"/>
                                  <w:marRight w:val="0"/>
                                  <w:marTop w:val="0"/>
                                  <w:marBottom w:val="0"/>
                                  <w:divBdr>
                                    <w:top w:val="none" w:sz="0" w:space="0" w:color="auto"/>
                                    <w:left w:val="none" w:sz="0" w:space="0" w:color="auto"/>
                                    <w:bottom w:val="none" w:sz="0" w:space="0" w:color="auto"/>
                                    <w:right w:val="none" w:sz="0" w:space="0" w:color="auto"/>
                                  </w:divBdr>
                                  <w:divsChild>
                                    <w:div w:id="341515863">
                                      <w:marLeft w:val="0"/>
                                      <w:marRight w:val="0"/>
                                      <w:marTop w:val="0"/>
                                      <w:marBottom w:val="0"/>
                                      <w:divBdr>
                                        <w:top w:val="single" w:sz="4" w:space="0" w:color="F5F5F5"/>
                                        <w:left w:val="single" w:sz="4" w:space="0" w:color="F5F5F5"/>
                                        <w:bottom w:val="single" w:sz="4" w:space="0" w:color="F5F5F5"/>
                                        <w:right w:val="single" w:sz="4" w:space="0" w:color="F5F5F5"/>
                                      </w:divBdr>
                                      <w:divsChild>
                                        <w:div w:id="76756579">
                                          <w:marLeft w:val="0"/>
                                          <w:marRight w:val="0"/>
                                          <w:marTop w:val="0"/>
                                          <w:marBottom w:val="0"/>
                                          <w:divBdr>
                                            <w:top w:val="none" w:sz="0" w:space="0" w:color="auto"/>
                                            <w:left w:val="none" w:sz="0" w:space="0" w:color="auto"/>
                                            <w:bottom w:val="none" w:sz="0" w:space="0" w:color="auto"/>
                                            <w:right w:val="none" w:sz="0" w:space="0" w:color="auto"/>
                                          </w:divBdr>
                                          <w:divsChild>
                                            <w:div w:id="17558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7946269">
      <w:bodyDiv w:val="1"/>
      <w:marLeft w:val="0"/>
      <w:marRight w:val="0"/>
      <w:marTop w:val="0"/>
      <w:marBottom w:val="0"/>
      <w:divBdr>
        <w:top w:val="none" w:sz="0" w:space="0" w:color="auto"/>
        <w:left w:val="none" w:sz="0" w:space="0" w:color="auto"/>
        <w:bottom w:val="none" w:sz="0" w:space="0" w:color="auto"/>
        <w:right w:val="none" w:sz="0" w:space="0" w:color="auto"/>
      </w:divBdr>
    </w:div>
    <w:div w:id="355734939">
      <w:bodyDiv w:val="1"/>
      <w:marLeft w:val="0"/>
      <w:marRight w:val="0"/>
      <w:marTop w:val="0"/>
      <w:marBottom w:val="0"/>
      <w:divBdr>
        <w:top w:val="none" w:sz="0" w:space="0" w:color="auto"/>
        <w:left w:val="none" w:sz="0" w:space="0" w:color="auto"/>
        <w:bottom w:val="none" w:sz="0" w:space="0" w:color="auto"/>
        <w:right w:val="none" w:sz="0" w:space="0" w:color="auto"/>
      </w:divBdr>
    </w:div>
    <w:div w:id="357238469">
      <w:bodyDiv w:val="1"/>
      <w:marLeft w:val="0"/>
      <w:marRight w:val="0"/>
      <w:marTop w:val="0"/>
      <w:marBottom w:val="0"/>
      <w:divBdr>
        <w:top w:val="none" w:sz="0" w:space="0" w:color="auto"/>
        <w:left w:val="none" w:sz="0" w:space="0" w:color="auto"/>
        <w:bottom w:val="none" w:sz="0" w:space="0" w:color="auto"/>
        <w:right w:val="none" w:sz="0" w:space="0" w:color="auto"/>
      </w:divBdr>
    </w:div>
    <w:div w:id="359283351">
      <w:bodyDiv w:val="1"/>
      <w:marLeft w:val="0"/>
      <w:marRight w:val="0"/>
      <w:marTop w:val="0"/>
      <w:marBottom w:val="0"/>
      <w:divBdr>
        <w:top w:val="none" w:sz="0" w:space="0" w:color="auto"/>
        <w:left w:val="none" w:sz="0" w:space="0" w:color="auto"/>
        <w:bottom w:val="none" w:sz="0" w:space="0" w:color="auto"/>
        <w:right w:val="none" w:sz="0" w:space="0" w:color="auto"/>
      </w:divBdr>
    </w:div>
    <w:div w:id="359430205">
      <w:bodyDiv w:val="1"/>
      <w:marLeft w:val="0"/>
      <w:marRight w:val="0"/>
      <w:marTop w:val="0"/>
      <w:marBottom w:val="0"/>
      <w:divBdr>
        <w:top w:val="none" w:sz="0" w:space="0" w:color="auto"/>
        <w:left w:val="none" w:sz="0" w:space="0" w:color="auto"/>
        <w:bottom w:val="none" w:sz="0" w:space="0" w:color="auto"/>
        <w:right w:val="none" w:sz="0" w:space="0" w:color="auto"/>
      </w:divBdr>
    </w:div>
    <w:div w:id="359861810">
      <w:bodyDiv w:val="1"/>
      <w:marLeft w:val="0"/>
      <w:marRight w:val="0"/>
      <w:marTop w:val="0"/>
      <w:marBottom w:val="0"/>
      <w:divBdr>
        <w:top w:val="none" w:sz="0" w:space="0" w:color="auto"/>
        <w:left w:val="none" w:sz="0" w:space="0" w:color="auto"/>
        <w:bottom w:val="none" w:sz="0" w:space="0" w:color="auto"/>
        <w:right w:val="none" w:sz="0" w:space="0" w:color="auto"/>
      </w:divBdr>
    </w:div>
    <w:div w:id="360864084">
      <w:bodyDiv w:val="1"/>
      <w:marLeft w:val="0"/>
      <w:marRight w:val="0"/>
      <w:marTop w:val="0"/>
      <w:marBottom w:val="0"/>
      <w:divBdr>
        <w:top w:val="none" w:sz="0" w:space="0" w:color="auto"/>
        <w:left w:val="none" w:sz="0" w:space="0" w:color="auto"/>
        <w:bottom w:val="none" w:sz="0" w:space="0" w:color="auto"/>
        <w:right w:val="none" w:sz="0" w:space="0" w:color="auto"/>
      </w:divBdr>
    </w:div>
    <w:div w:id="366759987">
      <w:bodyDiv w:val="1"/>
      <w:marLeft w:val="0"/>
      <w:marRight w:val="0"/>
      <w:marTop w:val="0"/>
      <w:marBottom w:val="0"/>
      <w:divBdr>
        <w:top w:val="none" w:sz="0" w:space="0" w:color="auto"/>
        <w:left w:val="none" w:sz="0" w:space="0" w:color="auto"/>
        <w:bottom w:val="none" w:sz="0" w:space="0" w:color="auto"/>
        <w:right w:val="none" w:sz="0" w:space="0" w:color="auto"/>
      </w:divBdr>
    </w:div>
    <w:div w:id="368453722">
      <w:bodyDiv w:val="1"/>
      <w:marLeft w:val="0"/>
      <w:marRight w:val="0"/>
      <w:marTop w:val="0"/>
      <w:marBottom w:val="0"/>
      <w:divBdr>
        <w:top w:val="none" w:sz="0" w:space="0" w:color="auto"/>
        <w:left w:val="none" w:sz="0" w:space="0" w:color="auto"/>
        <w:bottom w:val="none" w:sz="0" w:space="0" w:color="auto"/>
        <w:right w:val="none" w:sz="0" w:space="0" w:color="auto"/>
      </w:divBdr>
    </w:div>
    <w:div w:id="371151483">
      <w:bodyDiv w:val="1"/>
      <w:marLeft w:val="0"/>
      <w:marRight w:val="0"/>
      <w:marTop w:val="0"/>
      <w:marBottom w:val="0"/>
      <w:divBdr>
        <w:top w:val="none" w:sz="0" w:space="0" w:color="auto"/>
        <w:left w:val="none" w:sz="0" w:space="0" w:color="auto"/>
        <w:bottom w:val="none" w:sz="0" w:space="0" w:color="auto"/>
        <w:right w:val="none" w:sz="0" w:space="0" w:color="auto"/>
      </w:divBdr>
    </w:div>
    <w:div w:id="371612110">
      <w:bodyDiv w:val="1"/>
      <w:marLeft w:val="0"/>
      <w:marRight w:val="0"/>
      <w:marTop w:val="0"/>
      <w:marBottom w:val="0"/>
      <w:divBdr>
        <w:top w:val="none" w:sz="0" w:space="0" w:color="auto"/>
        <w:left w:val="none" w:sz="0" w:space="0" w:color="auto"/>
        <w:bottom w:val="none" w:sz="0" w:space="0" w:color="auto"/>
        <w:right w:val="none" w:sz="0" w:space="0" w:color="auto"/>
      </w:divBdr>
    </w:div>
    <w:div w:id="377512956">
      <w:bodyDiv w:val="1"/>
      <w:marLeft w:val="0"/>
      <w:marRight w:val="0"/>
      <w:marTop w:val="0"/>
      <w:marBottom w:val="0"/>
      <w:divBdr>
        <w:top w:val="none" w:sz="0" w:space="0" w:color="auto"/>
        <w:left w:val="none" w:sz="0" w:space="0" w:color="auto"/>
        <w:bottom w:val="none" w:sz="0" w:space="0" w:color="auto"/>
        <w:right w:val="none" w:sz="0" w:space="0" w:color="auto"/>
      </w:divBdr>
    </w:div>
    <w:div w:id="380372633">
      <w:bodyDiv w:val="1"/>
      <w:marLeft w:val="0"/>
      <w:marRight w:val="0"/>
      <w:marTop w:val="0"/>
      <w:marBottom w:val="0"/>
      <w:divBdr>
        <w:top w:val="none" w:sz="0" w:space="0" w:color="auto"/>
        <w:left w:val="none" w:sz="0" w:space="0" w:color="auto"/>
        <w:bottom w:val="none" w:sz="0" w:space="0" w:color="auto"/>
        <w:right w:val="none" w:sz="0" w:space="0" w:color="auto"/>
      </w:divBdr>
    </w:div>
    <w:div w:id="380399365">
      <w:bodyDiv w:val="1"/>
      <w:marLeft w:val="0"/>
      <w:marRight w:val="0"/>
      <w:marTop w:val="0"/>
      <w:marBottom w:val="0"/>
      <w:divBdr>
        <w:top w:val="none" w:sz="0" w:space="0" w:color="auto"/>
        <w:left w:val="none" w:sz="0" w:space="0" w:color="auto"/>
        <w:bottom w:val="none" w:sz="0" w:space="0" w:color="auto"/>
        <w:right w:val="none" w:sz="0" w:space="0" w:color="auto"/>
      </w:divBdr>
    </w:div>
    <w:div w:id="380712674">
      <w:bodyDiv w:val="1"/>
      <w:marLeft w:val="0"/>
      <w:marRight w:val="0"/>
      <w:marTop w:val="0"/>
      <w:marBottom w:val="0"/>
      <w:divBdr>
        <w:top w:val="none" w:sz="0" w:space="0" w:color="auto"/>
        <w:left w:val="none" w:sz="0" w:space="0" w:color="auto"/>
        <w:bottom w:val="none" w:sz="0" w:space="0" w:color="auto"/>
        <w:right w:val="none" w:sz="0" w:space="0" w:color="auto"/>
      </w:divBdr>
    </w:div>
    <w:div w:id="380977899">
      <w:bodyDiv w:val="1"/>
      <w:marLeft w:val="0"/>
      <w:marRight w:val="0"/>
      <w:marTop w:val="0"/>
      <w:marBottom w:val="0"/>
      <w:divBdr>
        <w:top w:val="none" w:sz="0" w:space="0" w:color="auto"/>
        <w:left w:val="none" w:sz="0" w:space="0" w:color="auto"/>
        <w:bottom w:val="none" w:sz="0" w:space="0" w:color="auto"/>
        <w:right w:val="none" w:sz="0" w:space="0" w:color="auto"/>
      </w:divBdr>
    </w:div>
    <w:div w:id="385682241">
      <w:bodyDiv w:val="1"/>
      <w:marLeft w:val="0"/>
      <w:marRight w:val="0"/>
      <w:marTop w:val="0"/>
      <w:marBottom w:val="0"/>
      <w:divBdr>
        <w:top w:val="none" w:sz="0" w:space="0" w:color="auto"/>
        <w:left w:val="none" w:sz="0" w:space="0" w:color="auto"/>
        <w:bottom w:val="none" w:sz="0" w:space="0" w:color="auto"/>
        <w:right w:val="none" w:sz="0" w:space="0" w:color="auto"/>
      </w:divBdr>
    </w:div>
    <w:div w:id="386994469">
      <w:bodyDiv w:val="1"/>
      <w:marLeft w:val="0"/>
      <w:marRight w:val="0"/>
      <w:marTop w:val="0"/>
      <w:marBottom w:val="0"/>
      <w:divBdr>
        <w:top w:val="none" w:sz="0" w:space="0" w:color="auto"/>
        <w:left w:val="none" w:sz="0" w:space="0" w:color="auto"/>
        <w:bottom w:val="none" w:sz="0" w:space="0" w:color="auto"/>
        <w:right w:val="none" w:sz="0" w:space="0" w:color="auto"/>
      </w:divBdr>
    </w:div>
    <w:div w:id="390661852">
      <w:bodyDiv w:val="1"/>
      <w:marLeft w:val="0"/>
      <w:marRight w:val="0"/>
      <w:marTop w:val="0"/>
      <w:marBottom w:val="0"/>
      <w:divBdr>
        <w:top w:val="none" w:sz="0" w:space="0" w:color="auto"/>
        <w:left w:val="none" w:sz="0" w:space="0" w:color="auto"/>
        <w:bottom w:val="none" w:sz="0" w:space="0" w:color="auto"/>
        <w:right w:val="none" w:sz="0" w:space="0" w:color="auto"/>
      </w:divBdr>
    </w:div>
    <w:div w:id="390885330">
      <w:bodyDiv w:val="1"/>
      <w:marLeft w:val="0"/>
      <w:marRight w:val="0"/>
      <w:marTop w:val="0"/>
      <w:marBottom w:val="0"/>
      <w:divBdr>
        <w:top w:val="none" w:sz="0" w:space="0" w:color="auto"/>
        <w:left w:val="none" w:sz="0" w:space="0" w:color="auto"/>
        <w:bottom w:val="none" w:sz="0" w:space="0" w:color="auto"/>
        <w:right w:val="none" w:sz="0" w:space="0" w:color="auto"/>
      </w:divBdr>
    </w:div>
    <w:div w:id="393699085">
      <w:bodyDiv w:val="1"/>
      <w:marLeft w:val="0"/>
      <w:marRight w:val="0"/>
      <w:marTop w:val="0"/>
      <w:marBottom w:val="0"/>
      <w:divBdr>
        <w:top w:val="none" w:sz="0" w:space="0" w:color="auto"/>
        <w:left w:val="none" w:sz="0" w:space="0" w:color="auto"/>
        <w:bottom w:val="none" w:sz="0" w:space="0" w:color="auto"/>
        <w:right w:val="none" w:sz="0" w:space="0" w:color="auto"/>
      </w:divBdr>
    </w:div>
    <w:div w:id="394011675">
      <w:bodyDiv w:val="1"/>
      <w:marLeft w:val="0"/>
      <w:marRight w:val="0"/>
      <w:marTop w:val="0"/>
      <w:marBottom w:val="0"/>
      <w:divBdr>
        <w:top w:val="none" w:sz="0" w:space="0" w:color="auto"/>
        <w:left w:val="none" w:sz="0" w:space="0" w:color="auto"/>
        <w:bottom w:val="none" w:sz="0" w:space="0" w:color="auto"/>
        <w:right w:val="none" w:sz="0" w:space="0" w:color="auto"/>
      </w:divBdr>
    </w:div>
    <w:div w:id="394086422">
      <w:bodyDiv w:val="1"/>
      <w:marLeft w:val="0"/>
      <w:marRight w:val="0"/>
      <w:marTop w:val="0"/>
      <w:marBottom w:val="0"/>
      <w:divBdr>
        <w:top w:val="none" w:sz="0" w:space="0" w:color="auto"/>
        <w:left w:val="none" w:sz="0" w:space="0" w:color="auto"/>
        <w:bottom w:val="none" w:sz="0" w:space="0" w:color="auto"/>
        <w:right w:val="none" w:sz="0" w:space="0" w:color="auto"/>
      </w:divBdr>
    </w:div>
    <w:div w:id="395788220">
      <w:bodyDiv w:val="1"/>
      <w:marLeft w:val="0"/>
      <w:marRight w:val="0"/>
      <w:marTop w:val="0"/>
      <w:marBottom w:val="0"/>
      <w:divBdr>
        <w:top w:val="none" w:sz="0" w:space="0" w:color="auto"/>
        <w:left w:val="none" w:sz="0" w:space="0" w:color="auto"/>
        <w:bottom w:val="none" w:sz="0" w:space="0" w:color="auto"/>
        <w:right w:val="none" w:sz="0" w:space="0" w:color="auto"/>
      </w:divBdr>
    </w:div>
    <w:div w:id="396251203">
      <w:bodyDiv w:val="1"/>
      <w:marLeft w:val="0"/>
      <w:marRight w:val="0"/>
      <w:marTop w:val="0"/>
      <w:marBottom w:val="0"/>
      <w:divBdr>
        <w:top w:val="none" w:sz="0" w:space="0" w:color="auto"/>
        <w:left w:val="none" w:sz="0" w:space="0" w:color="auto"/>
        <w:bottom w:val="none" w:sz="0" w:space="0" w:color="auto"/>
        <w:right w:val="none" w:sz="0" w:space="0" w:color="auto"/>
      </w:divBdr>
    </w:div>
    <w:div w:id="396517257">
      <w:bodyDiv w:val="1"/>
      <w:marLeft w:val="0"/>
      <w:marRight w:val="0"/>
      <w:marTop w:val="0"/>
      <w:marBottom w:val="0"/>
      <w:divBdr>
        <w:top w:val="none" w:sz="0" w:space="0" w:color="auto"/>
        <w:left w:val="none" w:sz="0" w:space="0" w:color="auto"/>
        <w:bottom w:val="none" w:sz="0" w:space="0" w:color="auto"/>
        <w:right w:val="none" w:sz="0" w:space="0" w:color="auto"/>
      </w:divBdr>
      <w:divsChild>
        <w:div w:id="641615988">
          <w:marLeft w:val="0"/>
          <w:marRight w:val="0"/>
          <w:marTop w:val="0"/>
          <w:marBottom w:val="0"/>
          <w:divBdr>
            <w:top w:val="none" w:sz="0" w:space="0" w:color="auto"/>
            <w:left w:val="none" w:sz="0" w:space="0" w:color="auto"/>
            <w:bottom w:val="none" w:sz="0" w:space="0" w:color="auto"/>
            <w:right w:val="none" w:sz="0" w:space="0" w:color="auto"/>
          </w:divBdr>
          <w:divsChild>
            <w:div w:id="699354912">
              <w:marLeft w:val="0"/>
              <w:marRight w:val="0"/>
              <w:marTop w:val="0"/>
              <w:marBottom w:val="0"/>
              <w:divBdr>
                <w:top w:val="none" w:sz="0" w:space="0" w:color="auto"/>
                <w:left w:val="none" w:sz="0" w:space="0" w:color="auto"/>
                <w:bottom w:val="none" w:sz="0" w:space="0" w:color="auto"/>
                <w:right w:val="none" w:sz="0" w:space="0" w:color="auto"/>
              </w:divBdr>
              <w:divsChild>
                <w:div w:id="72509125">
                  <w:marLeft w:val="0"/>
                  <w:marRight w:val="0"/>
                  <w:marTop w:val="0"/>
                  <w:marBottom w:val="0"/>
                  <w:divBdr>
                    <w:top w:val="none" w:sz="0" w:space="0" w:color="auto"/>
                    <w:left w:val="none" w:sz="0" w:space="0" w:color="auto"/>
                    <w:bottom w:val="none" w:sz="0" w:space="0" w:color="auto"/>
                    <w:right w:val="none" w:sz="0" w:space="0" w:color="auto"/>
                  </w:divBdr>
                  <w:divsChild>
                    <w:div w:id="1548757479">
                      <w:marLeft w:val="0"/>
                      <w:marRight w:val="0"/>
                      <w:marTop w:val="0"/>
                      <w:marBottom w:val="0"/>
                      <w:divBdr>
                        <w:top w:val="none" w:sz="0" w:space="0" w:color="auto"/>
                        <w:left w:val="none" w:sz="0" w:space="0" w:color="auto"/>
                        <w:bottom w:val="none" w:sz="0" w:space="0" w:color="auto"/>
                        <w:right w:val="none" w:sz="0" w:space="0" w:color="auto"/>
                      </w:divBdr>
                      <w:divsChild>
                        <w:div w:id="1968389624">
                          <w:marLeft w:val="0"/>
                          <w:marRight w:val="0"/>
                          <w:marTop w:val="0"/>
                          <w:marBottom w:val="0"/>
                          <w:divBdr>
                            <w:top w:val="none" w:sz="0" w:space="0" w:color="auto"/>
                            <w:left w:val="none" w:sz="0" w:space="0" w:color="auto"/>
                            <w:bottom w:val="none" w:sz="0" w:space="0" w:color="auto"/>
                            <w:right w:val="none" w:sz="0" w:space="0" w:color="auto"/>
                          </w:divBdr>
                          <w:divsChild>
                            <w:div w:id="446973196">
                              <w:marLeft w:val="0"/>
                              <w:marRight w:val="0"/>
                              <w:marTop w:val="0"/>
                              <w:marBottom w:val="0"/>
                              <w:divBdr>
                                <w:top w:val="none" w:sz="0" w:space="0" w:color="auto"/>
                                <w:left w:val="none" w:sz="0" w:space="0" w:color="auto"/>
                                <w:bottom w:val="none" w:sz="0" w:space="0" w:color="auto"/>
                                <w:right w:val="none" w:sz="0" w:space="0" w:color="auto"/>
                              </w:divBdr>
                              <w:divsChild>
                                <w:div w:id="317419482">
                                  <w:marLeft w:val="0"/>
                                  <w:marRight w:val="0"/>
                                  <w:marTop w:val="0"/>
                                  <w:marBottom w:val="0"/>
                                  <w:divBdr>
                                    <w:top w:val="none" w:sz="0" w:space="0" w:color="auto"/>
                                    <w:left w:val="none" w:sz="0" w:space="0" w:color="auto"/>
                                    <w:bottom w:val="none" w:sz="0" w:space="0" w:color="auto"/>
                                    <w:right w:val="none" w:sz="0" w:space="0" w:color="auto"/>
                                  </w:divBdr>
                                  <w:divsChild>
                                    <w:div w:id="1149785965">
                                      <w:marLeft w:val="0"/>
                                      <w:marRight w:val="0"/>
                                      <w:marTop w:val="0"/>
                                      <w:marBottom w:val="0"/>
                                      <w:divBdr>
                                        <w:top w:val="single" w:sz="4" w:space="0" w:color="F5F5F5"/>
                                        <w:left w:val="single" w:sz="4" w:space="0" w:color="F5F5F5"/>
                                        <w:bottom w:val="single" w:sz="4" w:space="0" w:color="F5F5F5"/>
                                        <w:right w:val="single" w:sz="4" w:space="0" w:color="F5F5F5"/>
                                      </w:divBdr>
                                      <w:divsChild>
                                        <w:div w:id="667489160">
                                          <w:marLeft w:val="0"/>
                                          <w:marRight w:val="0"/>
                                          <w:marTop w:val="0"/>
                                          <w:marBottom w:val="0"/>
                                          <w:divBdr>
                                            <w:top w:val="none" w:sz="0" w:space="0" w:color="auto"/>
                                            <w:left w:val="none" w:sz="0" w:space="0" w:color="auto"/>
                                            <w:bottom w:val="none" w:sz="0" w:space="0" w:color="auto"/>
                                            <w:right w:val="none" w:sz="0" w:space="0" w:color="auto"/>
                                          </w:divBdr>
                                          <w:divsChild>
                                            <w:div w:id="12576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9137982">
      <w:bodyDiv w:val="1"/>
      <w:marLeft w:val="0"/>
      <w:marRight w:val="0"/>
      <w:marTop w:val="0"/>
      <w:marBottom w:val="0"/>
      <w:divBdr>
        <w:top w:val="none" w:sz="0" w:space="0" w:color="auto"/>
        <w:left w:val="none" w:sz="0" w:space="0" w:color="auto"/>
        <w:bottom w:val="none" w:sz="0" w:space="0" w:color="auto"/>
        <w:right w:val="none" w:sz="0" w:space="0" w:color="auto"/>
      </w:divBdr>
    </w:div>
    <w:div w:id="401872833">
      <w:bodyDiv w:val="1"/>
      <w:marLeft w:val="0"/>
      <w:marRight w:val="0"/>
      <w:marTop w:val="0"/>
      <w:marBottom w:val="0"/>
      <w:divBdr>
        <w:top w:val="none" w:sz="0" w:space="0" w:color="auto"/>
        <w:left w:val="none" w:sz="0" w:space="0" w:color="auto"/>
        <w:bottom w:val="none" w:sz="0" w:space="0" w:color="auto"/>
        <w:right w:val="none" w:sz="0" w:space="0" w:color="auto"/>
      </w:divBdr>
    </w:div>
    <w:div w:id="406001769">
      <w:bodyDiv w:val="1"/>
      <w:marLeft w:val="0"/>
      <w:marRight w:val="0"/>
      <w:marTop w:val="0"/>
      <w:marBottom w:val="0"/>
      <w:divBdr>
        <w:top w:val="none" w:sz="0" w:space="0" w:color="auto"/>
        <w:left w:val="none" w:sz="0" w:space="0" w:color="auto"/>
        <w:bottom w:val="none" w:sz="0" w:space="0" w:color="auto"/>
        <w:right w:val="none" w:sz="0" w:space="0" w:color="auto"/>
      </w:divBdr>
    </w:div>
    <w:div w:id="406534469">
      <w:bodyDiv w:val="1"/>
      <w:marLeft w:val="0"/>
      <w:marRight w:val="0"/>
      <w:marTop w:val="0"/>
      <w:marBottom w:val="0"/>
      <w:divBdr>
        <w:top w:val="none" w:sz="0" w:space="0" w:color="auto"/>
        <w:left w:val="none" w:sz="0" w:space="0" w:color="auto"/>
        <w:bottom w:val="none" w:sz="0" w:space="0" w:color="auto"/>
        <w:right w:val="none" w:sz="0" w:space="0" w:color="auto"/>
      </w:divBdr>
    </w:div>
    <w:div w:id="410321332">
      <w:bodyDiv w:val="1"/>
      <w:marLeft w:val="0"/>
      <w:marRight w:val="0"/>
      <w:marTop w:val="0"/>
      <w:marBottom w:val="0"/>
      <w:divBdr>
        <w:top w:val="none" w:sz="0" w:space="0" w:color="auto"/>
        <w:left w:val="none" w:sz="0" w:space="0" w:color="auto"/>
        <w:bottom w:val="none" w:sz="0" w:space="0" w:color="auto"/>
        <w:right w:val="none" w:sz="0" w:space="0" w:color="auto"/>
      </w:divBdr>
    </w:div>
    <w:div w:id="411315829">
      <w:bodyDiv w:val="1"/>
      <w:marLeft w:val="0"/>
      <w:marRight w:val="0"/>
      <w:marTop w:val="0"/>
      <w:marBottom w:val="0"/>
      <w:divBdr>
        <w:top w:val="none" w:sz="0" w:space="0" w:color="auto"/>
        <w:left w:val="none" w:sz="0" w:space="0" w:color="auto"/>
        <w:bottom w:val="none" w:sz="0" w:space="0" w:color="auto"/>
        <w:right w:val="none" w:sz="0" w:space="0" w:color="auto"/>
      </w:divBdr>
    </w:div>
    <w:div w:id="413211488">
      <w:bodyDiv w:val="1"/>
      <w:marLeft w:val="0"/>
      <w:marRight w:val="0"/>
      <w:marTop w:val="0"/>
      <w:marBottom w:val="0"/>
      <w:divBdr>
        <w:top w:val="none" w:sz="0" w:space="0" w:color="auto"/>
        <w:left w:val="none" w:sz="0" w:space="0" w:color="auto"/>
        <w:bottom w:val="none" w:sz="0" w:space="0" w:color="auto"/>
        <w:right w:val="none" w:sz="0" w:space="0" w:color="auto"/>
      </w:divBdr>
    </w:div>
    <w:div w:id="416907100">
      <w:bodyDiv w:val="1"/>
      <w:marLeft w:val="0"/>
      <w:marRight w:val="0"/>
      <w:marTop w:val="0"/>
      <w:marBottom w:val="0"/>
      <w:divBdr>
        <w:top w:val="none" w:sz="0" w:space="0" w:color="auto"/>
        <w:left w:val="none" w:sz="0" w:space="0" w:color="auto"/>
        <w:bottom w:val="none" w:sz="0" w:space="0" w:color="auto"/>
        <w:right w:val="none" w:sz="0" w:space="0" w:color="auto"/>
      </w:divBdr>
    </w:div>
    <w:div w:id="420877107">
      <w:bodyDiv w:val="1"/>
      <w:marLeft w:val="0"/>
      <w:marRight w:val="0"/>
      <w:marTop w:val="0"/>
      <w:marBottom w:val="0"/>
      <w:divBdr>
        <w:top w:val="none" w:sz="0" w:space="0" w:color="auto"/>
        <w:left w:val="none" w:sz="0" w:space="0" w:color="auto"/>
        <w:bottom w:val="none" w:sz="0" w:space="0" w:color="auto"/>
        <w:right w:val="none" w:sz="0" w:space="0" w:color="auto"/>
      </w:divBdr>
    </w:div>
    <w:div w:id="421226940">
      <w:bodyDiv w:val="1"/>
      <w:marLeft w:val="0"/>
      <w:marRight w:val="0"/>
      <w:marTop w:val="0"/>
      <w:marBottom w:val="0"/>
      <w:divBdr>
        <w:top w:val="none" w:sz="0" w:space="0" w:color="auto"/>
        <w:left w:val="none" w:sz="0" w:space="0" w:color="auto"/>
        <w:bottom w:val="none" w:sz="0" w:space="0" w:color="auto"/>
        <w:right w:val="none" w:sz="0" w:space="0" w:color="auto"/>
      </w:divBdr>
    </w:div>
    <w:div w:id="427889319">
      <w:bodyDiv w:val="1"/>
      <w:marLeft w:val="0"/>
      <w:marRight w:val="0"/>
      <w:marTop w:val="0"/>
      <w:marBottom w:val="0"/>
      <w:divBdr>
        <w:top w:val="none" w:sz="0" w:space="0" w:color="auto"/>
        <w:left w:val="none" w:sz="0" w:space="0" w:color="auto"/>
        <w:bottom w:val="none" w:sz="0" w:space="0" w:color="auto"/>
        <w:right w:val="none" w:sz="0" w:space="0" w:color="auto"/>
      </w:divBdr>
      <w:divsChild>
        <w:div w:id="1105416959">
          <w:marLeft w:val="0"/>
          <w:marRight w:val="0"/>
          <w:marTop w:val="0"/>
          <w:marBottom w:val="0"/>
          <w:divBdr>
            <w:top w:val="none" w:sz="0" w:space="0" w:color="auto"/>
            <w:left w:val="none" w:sz="0" w:space="0" w:color="auto"/>
            <w:bottom w:val="none" w:sz="0" w:space="0" w:color="auto"/>
            <w:right w:val="none" w:sz="0" w:space="0" w:color="auto"/>
          </w:divBdr>
          <w:divsChild>
            <w:div w:id="1312638385">
              <w:marLeft w:val="0"/>
              <w:marRight w:val="0"/>
              <w:marTop w:val="0"/>
              <w:marBottom w:val="0"/>
              <w:divBdr>
                <w:top w:val="none" w:sz="0" w:space="0" w:color="auto"/>
                <w:left w:val="none" w:sz="0" w:space="0" w:color="auto"/>
                <w:bottom w:val="none" w:sz="0" w:space="0" w:color="auto"/>
                <w:right w:val="none" w:sz="0" w:space="0" w:color="auto"/>
              </w:divBdr>
              <w:divsChild>
                <w:div w:id="718168550">
                  <w:marLeft w:val="0"/>
                  <w:marRight w:val="0"/>
                  <w:marTop w:val="0"/>
                  <w:marBottom w:val="0"/>
                  <w:divBdr>
                    <w:top w:val="none" w:sz="0" w:space="0" w:color="auto"/>
                    <w:left w:val="none" w:sz="0" w:space="0" w:color="auto"/>
                    <w:bottom w:val="none" w:sz="0" w:space="0" w:color="auto"/>
                    <w:right w:val="none" w:sz="0" w:space="0" w:color="auto"/>
                  </w:divBdr>
                  <w:divsChild>
                    <w:div w:id="796609963">
                      <w:marLeft w:val="0"/>
                      <w:marRight w:val="0"/>
                      <w:marTop w:val="0"/>
                      <w:marBottom w:val="0"/>
                      <w:divBdr>
                        <w:top w:val="none" w:sz="0" w:space="0" w:color="auto"/>
                        <w:left w:val="none" w:sz="0" w:space="0" w:color="auto"/>
                        <w:bottom w:val="none" w:sz="0" w:space="0" w:color="auto"/>
                        <w:right w:val="none" w:sz="0" w:space="0" w:color="auto"/>
                      </w:divBdr>
                      <w:divsChild>
                        <w:div w:id="348333050">
                          <w:marLeft w:val="0"/>
                          <w:marRight w:val="0"/>
                          <w:marTop w:val="0"/>
                          <w:marBottom w:val="0"/>
                          <w:divBdr>
                            <w:top w:val="none" w:sz="0" w:space="0" w:color="auto"/>
                            <w:left w:val="none" w:sz="0" w:space="0" w:color="auto"/>
                            <w:bottom w:val="none" w:sz="0" w:space="0" w:color="auto"/>
                            <w:right w:val="none" w:sz="0" w:space="0" w:color="auto"/>
                          </w:divBdr>
                          <w:divsChild>
                            <w:div w:id="68236122">
                              <w:marLeft w:val="0"/>
                              <w:marRight w:val="0"/>
                              <w:marTop w:val="0"/>
                              <w:marBottom w:val="0"/>
                              <w:divBdr>
                                <w:top w:val="none" w:sz="0" w:space="0" w:color="auto"/>
                                <w:left w:val="none" w:sz="0" w:space="0" w:color="auto"/>
                                <w:bottom w:val="none" w:sz="0" w:space="0" w:color="auto"/>
                                <w:right w:val="none" w:sz="0" w:space="0" w:color="auto"/>
                              </w:divBdr>
                              <w:divsChild>
                                <w:div w:id="1015423198">
                                  <w:marLeft w:val="0"/>
                                  <w:marRight w:val="0"/>
                                  <w:marTop w:val="0"/>
                                  <w:marBottom w:val="0"/>
                                  <w:divBdr>
                                    <w:top w:val="none" w:sz="0" w:space="0" w:color="auto"/>
                                    <w:left w:val="none" w:sz="0" w:space="0" w:color="auto"/>
                                    <w:bottom w:val="none" w:sz="0" w:space="0" w:color="auto"/>
                                    <w:right w:val="none" w:sz="0" w:space="0" w:color="auto"/>
                                  </w:divBdr>
                                  <w:divsChild>
                                    <w:div w:id="654184007">
                                      <w:marLeft w:val="0"/>
                                      <w:marRight w:val="0"/>
                                      <w:marTop w:val="0"/>
                                      <w:marBottom w:val="0"/>
                                      <w:divBdr>
                                        <w:top w:val="single" w:sz="6" w:space="0" w:color="F5F5F5"/>
                                        <w:left w:val="single" w:sz="6" w:space="0" w:color="F5F5F5"/>
                                        <w:bottom w:val="single" w:sz="6" w:space="0" w:color="F5F5F5"/>
                                        <w:right w:val="single" w:sz="6" w:space="0" w:color="F5F5F5"/>
                                      </w:divBdr>
                                      <w:divsChild>
                                        <w:div w:id="601576478">
                                          <w:marLeft w:val="0"/>
                                          <w:marRight w:val="0"/>
                                          <w:marTop w:val="0"/>
                                          <w:marBottom w:val="0"/>
                                          <w:divBdr>
                                            <w:top w:val="none" w:sz="0" w:space="0" w:color="auto"/>
                                            <w:left w:val="none" w:sz="0" w:space="0" w:color="auto"/>
                                            <w:bottom w:val="none" w:sz="0" w:space="0" w:color="auto"/>
                                            <w:right w:val="none" w:sz="0" w:space="0" w:color="auto"/>
                                          </w:divBdr>
                                          <w:divsChild>
                                            <w:div w:id="77348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426732">
      <w:bodyDiv w:val="1"/>
      <w:marLeft w:val="0"/>
      <w:marRight w:val="0"/>
      <w:marTop w:val="0"/>
      <w:marBottom w:val="0"/>
      <w:divBdr>
        <w:top w:val="none" w:sz="0" w:space="0" w:color="auto"/>
        <w:left w:val="none" w:sz="0" w:space="0" w:color="auto"/>
        <w:bottom w:val="none" w:sz="0" w:space="0" w:color="auto"/>
        <w:right w:val="none" w:sz="0" w:space="0" w:color="auto"/>
      </w:divBdr>
    </w:div>
    <w:div w:id="428552185">
      <w:bodyDiv w:val="1"/>
      <w:marLeft w:val="0"/>
      <w:marRight w:val="0"/>
      <w:marTop w:val="0"/>
      <w:marBottom w:val="0"/>
      <w:divBdr>
        <w:top w:val="none" w:sz="0" w:space="0" w:color="auto"/>
        <w:left w:val="none" w:sz="0" w:space="0" w:color="auto"/>
        <w:bottom w:val="none" w:sz="0" w:space="0" w:color="auto"/>
        <w:right w:val="none" w:sz="0" w:space="0" w:color="auto"/>
      </w:divBdr>
    </w:div>
    <w:div w:id="433476064">
      <w:bodyDiv w:val="1"/>
      <w:marLeft w:val="0"/>
      <w:marRight w:val="0"/>
      <w:marTop w:val="0"/>
      <w:marBottom w:val="0"/>
      <w:divBdr>
        <w:top w:val="none" w:sz="0" w:space="0" w:color="auto"/>
        <w:left w:val="none" w:sz="0" w:space="0" w:color="auto"/>
        <w:bottom w:val="none" w:sz="0" w:space="0" w:color="auto"/>
        <w:right w:val="none" w:sz="0" w:space="0" w:color="auto"/>
      </w:divBdr>
    </w:div>
    <w:div w:id="435516292">
      <w:bodyDiv w:val="1"/>
      <w:marLeft w:val="0"/>
      <w:marRight w:val="0"/>
      <w:marTop w:val="0"/>
      <w:marBottom w:val="0"/>
      <w:divBdr>
        <w:top w:val="none" w:sz="0" w:space="0" w:color="auto"/>
        <w:left w:val="none" w:sz="0" w:space="0" w:color="auto"/>
        <w:bottom w:val="none" w:sz="0" w:space="0" w:color="auto"/>
        <w:right w:val="none" w:sz="0" w:space="0" w:color="auto"/>
      </w:divBdr>
    </w:div>
    <w:div w:id="435829024">
      <w:bodyDiv w:val="1"/>
      <w:marLeft w:val="0"/>
      <w:marRight w:val="0"/>
      <w:marTop w:val="0"/>
      <w:marBottom w:val="0"/>
      <w:divBdr>
        <w:top w:val="none" w:sz="0" w:space="0" w:color="auto"/>
        <w:left w:val="none" w:sz="0" w:space="0" w:color="auto"/>
        <w:bottom w:val="none" w:sz="0" w:space="0" w:color="auto"/>
        <w:right w:val="none" w:sz="0" w:space="0" w:color="auto"/>
      </w:divBdr>
    </w:div>
    <w:div w:id="441341316">
      <w:bodyDiv w:val="1"/>
      <w:marLeft w:val="0"/>
      <w:marRight w:val="0"/>
      <w:marTop w:val="0"/>
      <w:marBottom w:val="0"/>
      <w:divBdr>
        <w:top w:val="none" w:sz="0" w:space="0" w:color="auto"/>
        <w:left w:val="none" w:sz="0" w:space="0" w:color="auto"/>
        <w:bottom w:val="none" w:sz="0" w:space="0" w:color="auto"/>
        <w:right w:val="none" w:sz="0" w:space="0" w:color="auto"/>
      </w:divBdr>
    </w:div>
    <w:div w:id="445006252">
      <w:bodyDiv w:val="1"/>
      <w:marLeft w:val="0"/>
      <w:marRight w:val="0"/>
      <w:marTop w:val="0"/>
      <w:marBottom w:val="0"/>
      <w:divBdr>
        <w:top w:val="none" w:sz="0" w:space="0" w:color="auto"/>
        <w:left w:val="none" w:sz="0" w:space="0" w:color="auto"/>
        <w:bottom w:val="none" w:sz="0" w:space="0" w:color="auto"/>
        <w:right w:val="none" w:sz="0" w:space="0" w:color="auto"/>
      </w:divBdr>
    </w:div>
    <w:div w:id="447235039">
      <w:bodyDiv w:val="1"/>
      <w:marLeft w:val="0"/>
      <w:marRight w:val="0"/>
      <w:marTop w:val="0"/>
      <w:marBottom w:val="0"/>
      <w:divBdr>
        <w:top w:val="none" w:sz="0" w:space="0" w:color="auto"/>
        <w:left w:val="none" w:sz="0" w:space="0" w:color="auto"/>
        <w:bottom w:val="none" w:sz="0" w:space="0" w:color="auto"/>
        <w:right w:val="none" w:sz="0" w:space="0" w:color="auto"/>
      </w:divBdr>
    </w:div>
    <w:div w:id="451366130">
      <w:bodyDiv w:val="1"/>
      <w:marLeft w:val="0"/>
      <w:marRight w:val="0"/>
      <w:marTop w:val="0"/>
      <w:marBottom w:val="0"/>
      <w:divBdr>
        <w:top w:val="none" w:sz="0" w:space="0" w:color="auto"/>
        <w:left w:val="none" w:sz="0" w:space="0" w:color="auto"/>
        <w:bottom w:val="none" w:sz="0" w:space="0" w:color="auto"/>
        <w:right w:val="none" w:sz="0" w:space="0" w:color="auto"/>
      </w:divBdr>
    </w:div>
    <w:div w:id="456218176">
      <w:bodyDiv w:val="1"/>
      <w:marLeft w:val="0"/>
      <w:marRight w:val="0"/>
      <w:marTop w:val="0"/>
      <w:marBottom w:val="0"/>
      <w:divBdr>
        <w:top w:val="none" w:sz="0" w:space="0" w:color="auto"/>
        <w:left w:val="none" w:sz="0" w:space="0" w:color="auto"/>
        <w:bottom w:val="none" w:sz="0" w:space="0" w:color="auto"/>
        <w:right w:val="none" w:sz="0" w:space="0" w:color="auto"/>
      </w:divBdr>
    </w:div>
    <w:div w:id="457185032">
      <w:bodyDiv w:val="1"/>
      <w:marLeft w:val="0"/>
      <w:marRight w:val="0"/>
      <w:marTop w:val="0"/>
      <w:marBottom w:val="0"/>
      <w:divBdr>
        <w:top w:val="none" w:sz="0" w:space="0" w:color="auto"/>
        <w:left w:val="none" w:sz="0" w:space="0" w:color="auto"/>
        <w:bottom w:val="none" w:sz="0" w:space="0" w:color="auto"/>
        <w:right w:val="none" w:sz="0" w:space="0" w:color="auto"/>
      </w:divBdr>
    </w:div>
    <w:div w:id="458761307">
      <w:bodyDiv w:val="1"/>
      <w:marLeft w:val="0"/>
      <w:marRight w:val="0"/>
      <w:marTop w:val="0"/>
      <w:marBottom w:val="0"/>
      <w:divBdr>
        <w:top w:val="none" w:sz="0" w:space="0" w:color="auto"/>
        <w:left w:val="none" w:sz="0" w:space="0" w:color="auto"/>
        <w:bottom w:val="none" w:sz="0" w:space="0" w:color="auto"/>
        <w:right w:val="none" w:sz="0" w:space="0" w:color="auto"/>
      </w:divBdr>
    </w:div>
    <w:div w:id="459689922">
      <w:bodyDiv w:val="1"/>
      <w:marLeft w:val="0"/>
      <w:marRight w:val="0"/>
      <w:marTop w:val="0"/>
      <w:marBottom w:val="0"/>
      <w:divBdr>
        <w:top w:val="none" w:sz="0" w:space="0" w:color="auto"/>
        <w:left w:val="none" w:sz="0" w:space="0" w:color="auto"/>
        <w:bottom w:val="none" w:sz="0" w:space="0" w:color="auto"/>
        <w:right w:val="none" w:sz="0" w:space="0" w:color="auto"/>
      </w:divBdr>
    </w:div>
    <w:div w:id="460273939">
      <w:bodyDiv w:val="1"/>
      <w:marLeft w:val="0"/>
      <w:marRight w:val="0"/>
      <w:marTop w:val="0"/>
      <w:marBottom w:val="0"/>
      <w:divBdr>
        <w:top w:val="none" w:sz="0" w:space="0" w:color="auto"/>
        <w:left w:val="none" w:sz="0" w:space="0" w:color="auto"/>
        <w:bottom w:val="none" w:sz="0" w:space="0" w:color="auto"/>
        <w:right w:val="none" w:sz="0" w:space="0" w:color="auto"/>
      </w:divBdr>
    </w:div>
    <w:div w:id="463087726">
      <w:bodyDiv w:val="1"/>
      <w:marLeft w:val="0"/>
      <w:marRight w:val="0"/>
      <w:marTop w:val="0"/>
      <w:marBottom w:val="0"/>
      <w:divBdr>
        <w:top w:val="none" w:sz="0" w:space="0" w:color="auto"/>
        <w:left w:val="none" w:sz="0" w:space="0" w:color="auto"/>
        <w:bottom w:val="none" w:sz="0" w:space="0" w:color="auto"/>
        <w:right w:val="none" w:sz="0" w:space="0" w:color="auto"/>
      </w:divBdr>
    </w:div>
    <w:div w:id="469179495">
      <w:bodyDiv w:val="1"/>
      <w:marLeft w:val="0"/>
      <w:marRight w:val="0"/>
      <w:marTop w:val="0"/>
      <w:marBottom w:val="0"/>
      <w:divBdr>
        <w:top w:val="none" w:sz="0" w:space="0" w:color="auto"/>
        <w:left w:val="none" w:sz="0" w:space="0" w:color="auto"/>
        <w:bottom w:val="none" w:sz="0" w:space="0" w:color="auto"/>
        <w:right w:val="none" w:sz="0" w:space="0" w:color="auto"/>
      </w:divBdr>
    </w:div>
    <w:div w:id="470753151">
      <w:bodyDiv w:val="1"/>
      <w:marLeft w:val="0"/>
      <w:marRight w:val="0"/>
      <w:marTop w:val="0"/>
      <w:marBottom w:val="0"/>
      <w:divBdr>
        <w:top w:val="none" w:sz="0" w:space="0" w:color="auto"/>
        <w:left w:val="none" w:sz="0" w:space="0" w:color="auto"/>
        <w:bottom w:val="none" w:sz="0" w:space="0" w:color="auto"/>
        <w:right w:val="none" w:sz="0" w:space="0" w:color="auto"/>
      </w:divBdr>
    </w:div>
    <w:div w:id="475529227">
      <w:bodyDiv w:val="1"/>
      <w:marLeft w:val="0"/>
      <w:marRight w:val="0"/>
      <w:marTop w:val="0"/>
      <w:marBottom w:val="0"/>
      <w:divBdr>
        <w:top w:val="none" w:sz="0" w:space="0" w:color="auto"/>
        <w:left w:val="none" w:sz="0" w:space="0" w:color="auto"/>
        <w:bottom w:val="none" w:sz="0" w:space="0" w:color="auto"/>
        <w:right w:val="none" w:sz="0" w:space="0" w:color="auto"/>
      </w:divBdr>
    </w:div>
    <w:div w:id="476265943">
      <w:bodyDiv w:val="1"/>
      <w:marLeft w:val="0"/>
      <w:marRight w:val="0"/>
      <w:marTop w:val="0"/>
      <w:marBottom w:val="0"/>
      <w:divBdr>
        <w:top w:val="none" w:sz="0" w:space="0" w:color="auto"/>
        <w:left w:val="none" w:sz="0" w:space="0" w:color="auto"/>
        <w:bottom w:val="none" w:sz="0" w:space="0" w:color="auto"/>
        <w:right w:val="none" w:sz="0" w:space="0" w:color="auto"/>
      </w:divBdr>
    </w:div>
    <w:div w:id="476461896">
      <w:bodyDiv w:val="1"/>
      <w:marLeft w:val="0"/>
      <w:marRight w:val="0"/>
      <w:marTop w:val="0"/>
      <w:marBottom w:val="0"/>
      <w:divBdr>
        <w:top w:val="none" w:sz="0" w:space="0" w:color="auto"/>
        <w:left w:val="none" w:sz="0" w:space="0" w:color="auto"/>
        <w:bottom w:val="none" w:sz="0" w:space="0" w:color="auto"/>
        <w:right w:val="none" w:sz="0" w:space="0" w:color="auto"/>
      </w:divBdr>
    </w:div>
    <w:div w:id="476608648">
      <w:bodyDiv w:val="1"/>
      <w:marLeft w:val="0"/>
      <w:marRight w:val="0"/>
      <w:marTop w:val="0"/>
      <w:marBottom w:val="0"/>
      <w:divBdr>
        <w:top w:val="none" w:sz="0" w:space="0" w:color="auto"/>
        <w:left w:val="none" w:sz="0" w:space="0" w:color="auto"/>
        <w:bottom w:val="none" w:sz="0" w:space="0" w:color="auto"/>
        <w:right w:val="none" w:sz="0" w:space="0" w:color="auto"/>
      </w:divBdr>
    </w:div>
    <w:div w:id="477233703">
      <w:bodyDiv w:val="1"/>
      <w:marLeft w:val="0"/>
      <w:marRight w:val="0"/>
      <w:marTop w:val="0"/>
      <w:marBottom w:val="0"/>
      <w:divBdr>
        <w:top w:val="none" w:sz="0" w:space="0" w:color="auto"/>
        <w:left w:val="none" w:sz="0" w:space="0" w:color="auto"/>
        <w:bottom w:val="none" w:sz="0" w:space="0" w:color="auto"/>
        <w:right w:val="none" w:sz="0" w:space="0" w:color="auto"/>
      </w:divBdr>
    </w:div>
    <w:div w:id="481822115">
      <w:bodyDiv w:val="1"/>
      <w:marLeft w:val="0"/>
      <w:marRight w:val="0"/>
      <w:marTop w:val="0"/>
      <w:marBottom w:val="0"/>
      <w:divBdr>
        <w:top w:val="none" w:sz="0" w:space="0" w:color="auto"/>
        <w:left w:val="none" w:sz="0" w:space="0" w:color="auto"/>
        <w:bottom w:val="none" w:sz="0" w:space="0" w:color="auto"/>
        <w:right w:val="none" w:sz="0" w:space="0" w:color="auto"/>
      </w:divBdr>
    </w:div>
    <w:div w:id="484854723">
      <w:bodyDiv w:val="1"/>
      <w:marLeft w:val="0"/>
      <w:marRight w:val="0"/>
      <w:marTop w:val="0"/>
      <w:marBottom w:val="0"/>
      <w:divBdr>
        <w:top w:val="none" w:sz="0" w:space="0" w:color="auto"/>
        <w:left w:val="none" w:sz="0" w:space="0" w:color="auto"/>
        <w:bottom w:val="none" w:sz="0" w:space="0" w:color="auto"/>
        <w:right w:val="none" w:sz="0" w:space="0" w:color="auto"/>
      </w:divBdr>
    </w:div>
    <w:div w:id="488791306">
      <w:bodyDiv w:val="1"/>
      <w:marLeft w:val="0"/>
      <w:marRight w:val="0"/>
      <w:marTop w:val="0"/>
      <w:marBottom w:val="0"/>
      <w:divBdr>
        <w:top w:val="none" w:sz="0" w:space="0" w:color="auto"/>
        <w:left w:val="none" w:sz="0" w:space="0" w:color="auto"/>
        <w:bottom w:val="none" w:sz="0" w:space="0" w:color="auto"/>
        <w:right w:val="none" w:sz="0" w:space="0" w:color="auto"/>
      </w:divBdr>
    </w:div>
    <w:div w:id="490295307">
      <w:bodyDiv w:val="1"/>
      <w:marLeft w:val="0"/>
      <w:marRight w:val="0"/>
      <w:marTop w:val="0"/>
      <w:marBottom w:val="0"/>
      <w:divBdr>
        <w:top w:val="none" w:sz="0" w:space="0" w:color="auto"/>
        <w:left w:val="none" w:sz="0" w:space="0" w:color="auto"/>
        <w:bottom w:val="none" w:sz="0" w:space="0" w:color="auto"/>
        <w:right w:val="none" w:sz="0" w:space="0" w:color="auto"/>
      </w:divBdr>
    </w:div>
    <w:div w:id="490366963">
      <w:bodyDiv w:val="1"/>
      <w:marLeft w:val="0"/>
      <w:marRight w:val="0"/>
      <w:marTop w:val="0"/>
      <w:marBottom w:val="0"/>
      <w:divBdr>
        <w:top w:val="none" w:sz="0" w:space="0" w:color="auto"/>
        <w:left w:val="none" w:sz="0" w:space="0" w:color="auto"/>
        <w:bottom w:val="none" w:sz="0" w:space="0" w:color="auto"/>
        <w:right w:val="none" w:sz="0" w:space="0" w:color="auto"/>
      </w:divBdr>
    </w:div>
    <w:div w:id="490562755">
      <w:bodyDiv w:val="1"/>
      <w:marLeft w:val="0"/>
      <w:marRight w:val="0"/>
      <w:marTop w:val="0"/>
      <w:marBottom w:val="0"/>
      <w:divBdr>
        <w:top w:val="none" w:sz="0" w:space="0" w:color="auto"/>
        <w:left w:val="none" w:sz="0" w:space="0" w:color="auto"/>
        <w:bottom w:val="none" w:sz="0" w:space="0" w:color="auto"/>
        <w:right w:val="none" w:sz="0" w:space="0" w:color="auto"/>
      </w:divBdr>
    </w:div>
    <w:div w:id="493761720">
      <w:bodyDiv w:val="1"/>
      <w:marLeft w:val="0"/>
      <w:marRight w:val="0"/>
      <w:marTop w:val="0"/>
      <w:marBottom w:val="0"/>
      <w:divBdr>
        <w:top w:val="none" w:sz="0" w:space="0" w:color="auto"/>
        <w:left w:val="none" w:sz="0" w:space="0" w:color="auto"/>
        <w:bottom w:val="none" w:sz="0" w:space="0" w:color="auto"/>
        <w:right w:val="none" w:sz="0" w:space="0" w:color="auto"/>
      </w:divBdr>
    </w:div>
    <w:div w:id="496581192">
      <w:bodyDiv w:val="1"/>
      <w:marLeft w:val="0"/>
      <w:marRight w:val="0"/>
      <w:marTop w:val="0"/>
      <w:marBottom w:val="0"/>
      <w:divBdr>
        <w:top w:val="none" w:sz="0" w:space="0" w:color="auto"/>
        <w:left w:val="none" w:sz="0" w:space="0" w:color="auto"/>
        <w:bottom w:val="none" w:sz="0" w:space="0" w:color="auto"/>
        <w:right w:val="none" w:sz="0" w:space="0" w:color="auto"/>
      </w:divBdr>
    </w:div>
    <w:div w:id="502740291">
      <w:bodyDiv w:val="1"/>
      <w:marLeft w:val="0"/>
      <w:marRight w:val="0"/>
      <w:marTop w:val="0"/>
      <w:marBottom w:val="0"/>
      <w:divBdr>
        <w:top w:val="none" w:sz="0" w:space="0" w:color="auto"/>
        <w:left w:val="none" w:sz="0" w:space="0" w:color="auto"/>
        <w:bottom w:val="none" w:sz="0" w:space="0" w:color="auto"/>
        <w:right w:val="none" w:sz="0" w:space="0" w:color="auto"/>
      </w:divBdr>
    </w:div>
    <w:div w:id="504440762">
      <w:bodyDiv w:val="1"/>
      <w:marLeft w:val="0"/>
      <w:marRight w:val="0"/>
      <w:marTop w:val="0"/>
      <w:marBottom w:val="0"/>
      <w:divBdr>
        <w:top w:val="none" w:sz="0" w:space="0" w:color="auto"/>
        <w:left w:val="none" w:sz="0" w:space="0" w:color="auto"/>
        <w:bottom w:val="none" w:sz="0" w:space="0" w:color="auto"/>
        <w:right w:val="none" w:sz="0" w:space="0" w:color="auto"/>
      </w:divBdr>
    </w:div>
    <w:div w:id="505025745">
      <w:bodyDiv w:val="1"/>
      <w:marLeft w:val="0"/>
      <w:marRight w:val="0"/>
      <w:marTop w:val="0"/>
      <w:marBottom w:val="0"/>
      <w:divBdr>
        <w:top w:val="none" w:sz="0" w:space="0" w:color="auto"/>
        <w:left w:val="none" w:sz="0" w:space="0" w:color="auto"/>
        <w:bottom w:val="none" w:sz="0" w:space="0" w:color="auto"/>
        <w:right w:val="none" w:sz="0" w:space="0" w:color="auto"/>
      </w:divBdr>
    </w:div>
    <w:div w:id="508449153">
      <w:bodyDiv w:val="1"/>
      <w:marLeft w:val="0"/>
      <w:marRight w:val="0"/>
      <w:marTop w:val="0"/>
      <w:marBottom w:val="0"/>
      <w:divBdr>
        <w:top w:val="none" w:sz="0" w:space="0" w:color="auto"/>
        <w:left w:val="none" w:sz="0" w:space="0" w:color="auto"/>
        <w:bottom w:val="none" w:sz="0" w:space="0" w:color="auto"/>
        <w:right w:val="none" w:sz="0" w:space="0" w:color="auto"/>
      </w:divBdr>
      <w:divsChild>
        <w:div w:id="68356044">
          <w:marLeft w:val="0"/>
          <w:marRight w:val="0"/>
          <w:marTop w:val="0"/>
          <w:marBottom w:val="0"/>
          <w:divBdr>
            <w:top w:val="none" w:sz="0" w:space="0" w:color="auto"/>
            <w:left w:val="none" w:sz="0" w:space="0" w:color="auto"/>
            <w:bottom w:val="none" w:sz="0" w:space="0" w:color="auto"/>
            <w:right w:val="none" w:sz="0" w:space="0" w:color="auto"/>
          </w:divBdr>
          <w:divsChild>
            <w:div w:id="1911504714">
              <w:marLeft w:val="0"/>
              <w:marRight w:val="0"/>
              <w:marTop w:val="0"/>
              <w:marBottom w:val="0"/>
              <w:divBdr>
                <w:top w:val="none" w:sz="0" w:space="0" w:color="auto"/>
                <w:left w:val="none" w:sz="0" w:space="0" w:color="auto"/>
                <w:bottom w:val="none" w:sz="0" w:space="0" w:color="auto"/>
                <w:right w:val="none" w:sz="0" w:space="0" w:color="auto"/>
              </w:divBdr>
              <w:divsChild>
                <w:div w:id="2031712938">
                  <w:marLeft w:val="0"/>
                  <w:marRight w:val="0"/>
                  <w:marTop w:val="0"/>
                  <w:marBottom w:val="0"/>
                  <w:divBdr>
                    <w:top w:val="none" w:sz="0" w:space="0" w:color="auto"/>
                    <w:left w:val="none" w:sz="0" w:space="0" w:color="auto"/>
                    <w:bottom w:val="none" w:sz="0" w:space="0" w:color="auto"/>
                    <w:right w:val="none" w:sz="0" w:space="0" w:color="auto"/>
                  </w:divBdr>
                  <w:divsChild>
                    <w:div w:id="1884947262">
                      <w:marLeft w:val="0"/>
                      <w:marRight w:val="0"/>
                      <w:marTop w:val="0"/>
                      <w:marBottom w:val="0"/>
                      <w:divBdr>
                        <w:top w:val="none" w:sz="0" w:space="0" w:color="auto"/>
                        <w:left w:val="none" w:sz="0" w:space="0" w:color="auto"/>
                        <w:bottom w:val="none" w:sz="0" w:space="0" w:color="auto"/>
                        <w:right w:val="none" w:sz="0" w:space="0" w:color="auto"/>
                      </w:divBdr>
                      <w:divsChild>
                        <w:div w:id="598833310">
                          <w:marLeft w:val="0"/>
                          <w:marRight w:val="0"/>
                          <w:marTop w:val="0"/>
                          <w:marBottom w:val="0"/>
                          <w:divBdr>
                            <w:top w:val="none" w:sz="0" w:space="0" w:color="auto"/>
                            <w:left w:val="none" w:sz="0" w:space="0" w:color="auto"/>
                            <w:bottom w:val="none" w:sz="0" w:space="0" w:color="auto"/>
                            <w:right w:val="none" w:sz="0" w:space="0" w:color="auto"/>
                          </w:divBdr>
                          <w:divsChild>
                            <w:div w:id="436413920">
                              <w:marLeft w:val="0"/>
                              <w:marRight w:val="0"/>
                              <w:marTop w:val="0"/>
                              <w:marBottom w:val="0"/>
                              <w:divBdr>
                                <w:top w:val="none" w:sz="0" w:space="0" w:color="auto"/>
                                <w:left w:val="none" w:sz="0" w:space="0" w:color="auto"/>
                                <w:bottom w:val="none" w:sz="0" w:space="0" w:color="auto"/>
                                <w:right w:val="none" w:sz="0" w:space="0" w:color="auto"/>
                              </w:divBdr>
                              <w:divsChild>
                                <w:div w:id="2069302387">
                                  <w:marLeft w:val="0"/>
                                  <w:marRight w:val="0"/>
                                  <w:marTop w:val="0"/>
                                  <w:marBottom w:val="0"/>
                                  <w:divBdr>
                                    <w:top w:val="none" w:sz="0" w:space="0" w:color="auto"/>
                                    <w:left w:val="none" w:sz="0" w:space="0" w:color="auto"/>
                                    <w:bottom w:val="none" w:sz="0" w:space="0" w:color="auto"/>
                                    <w:right w:val="none" w:sz="0" w:space="0" w:color="auto"/>
                                  </w:divBdr>
                                  <w:divsChild>
                                    <w:div w:id="753236523">
                                      <w:marLeft w:val="0"/>
                                      <w:marRight w:val="0"/>
                                      <w:marTop w:val="0"/>
                                      <w:marBottom w:val="0"/>
                                      <w:divBdr>
                                        <w:top w:val="single" w:sz="4" w:space="0" w:color="F5F5F5"/>
                                        <w:left w:val="single" w:sz="4" w:space="0" w:color="F5F5F5"/>
                                        <w:bottom w:val="single" w:sz="4" w:space="0" w:color="F5F5F5"/>
                                        <w:right w:val="single" w:sz="4" w:space="0" w:color="F5F5F5"/>
                                      </w:divBdr>
                                      <w:divsChild>
                                        <w:div w:id="1587035572">
                                          <w:marLeft w:val="0"/>
                                          <w:marRight w:val="0"/>
                                          <w:marTop w:val="0"/>
                                          <w:marBottom w:val="0"/>
                                          <w:divBdr>
                                            <w:top w:val="none" w:sz="0" w:space="0" w:color="auto"/>
                                            <w:left w:val="none" w:sz="0" w:space="0" w:color="auto"/>
                                            <w:bottom w:val="none" w:sz="0" w:space="0" w:color="auto"/>
                                            <w:right w:val="none" w:sz="0" w:space="0" w:color="auto"/>
                                          </w:divBdr>
                                          <w:divsChild>
                                            <w:div w:id="14758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805060">
      <w:bodyDiv w:val="1"/>
      <w:marLeft w:val="0"/>
      <w:marRight w:val="0"/>
      <w:marTop w:val="0"/>
      <w:marBottom w:val="0"/>
      <w:divBdr>
        <w:top w:val="none" w:sz="0" w:space="0" w:color="auto"/>
        <w:left w:val="none" w:sz="0" w:space="0" w:color="auto"/>
        <w:bottom w:val="none" w:sz="0" w:space="0" w:color="auto"/>
        <w:right w:val="none" w:sz="0" w:space="0" w:color="auto"/>
      </w:divBdr>
    </w:div>
    <w:div w:id="512187956">
      <w:bodyDiv w:val="1"/>
      <w:marLeft w:val="0"/>
      <w:marRight w:val="0"/>
      <w:marTop w:val="0"/>
      <w:marBottom w:val="0"/>
      <w:divBdr>
        <w:top w:val="none" w:sz="0" w:space="0" w:color="auto"/>
        <w:left w:val="none" w:sz="0" w:space="0" w:color="auto"/>
        <w:bottom w:val="none" w:sz="0" w:space="0" w:color="auto"/>
        <w:right w:val="none" w:sz="0" w:space="0" w:color="auto"/>
      </w:divBdr>
    </w:div>
    <w:div w:id="514154265">
      <w:bodyDiv w:val="1"/>
      <w:marLeft w:val="0"/>
      <w:marRight w:val="0"/>
      <w:marTop w:val="0"/>
      <w:marBottom w:val="0"/>
      <w:divBdr>
        <w:top w:val="none" w:sz="0" w:space="0" w:color="auto"/>
        <w:left w:val="none" w:sz="0" w:space="0" w:color="auto"/>
        <w:bottom w:val="none" w:sz="0" w:space="0" w:color="auto"/>
        <w:right w:val="none" w:sz="0" w:space="0" w:color="auto"/>
      </w:divBdr>
    </w:div>
    <w:div w:id="520122571">
      <w:bodyDiv w:val="1"/>
      <w:marLeft w:val="0"/>
      <w:marRight w:val="0"/>
      <w:marTop w:val="0"/>
      <w:marBottom w:val="0"/>
      <w:divBdr>
        <w:top w:val="none" w:sz="0" w:space="0" w:color="auto"/>
        <w:left w:val="none" w:sz="0" w:space="0" w:color="auto"/>
        <w:bottom w:val="none" w:sz="0" w:space="0" w:color="auto"/>
        <w:right w:val="none" w:sz="0" w:space="0" w:color="auto"/>
      </w:divBdr>
    </w:div>
    <w:div w:id="523323619">
      <w:bodyDiv w:val="1"/>
      <w:marLeft w:val="0"/>
      <w:marRight w:val="0"/>
      <w:marTop w:val="0"/>
      <w:marBottom w:val="0"/>
      <w:divBdr>
        <w:top w:val="none" w:sz="0" w:space="0" w:color="auto"/>
        <w:left w:val="none" w:sz="0" w:space="0" w:color="auto"/>
        <w:bottom w:val="none" w:sz="0" w:space="0" w:color="auto"/>
        <w:right w:val="none" w:sz="0" w:space="0" w:color="auto"/>
      </w:divBdr>
    </w:div>
    <w:div w:id="525749177">
      <w:bodyDiv w:val="1"/>
      <w:marLeft w:val="0"/>
      <w:marRight w:val="0"/>
      <w:marTop w:val="0"/>
      <w:marBottom w:val="0"/>
      <w:divBdr>
        <w:top w:val="none" w:sz="0" w:space="0" w:color="auto"/>
        <w:left w:val="none" w:sz="0" w:space="0" w:color="auto"/>
        <w:bottom w:val="none" w:sz="0" w:space="0" w:color="auto"/>
        <w:right w:val="none" w:sz="0" w:space="0" w:color="auto"/>
      </w:divBdr>
    </w:div>
    <w:div w:id="525942348">
      <w:bodyDiv w:val="1"/>
      <w:marLeft w:val="0"/>
      <w:marRight w:val="0"/>
      <w:marTop w:val="0"/>
      <w:marBottom w:val="0"/>
      <w:divBdr>
        <w:top w:val="none" w:sz="0" w:space="0" w:color="auto"/>
        <w:left w:val="none" w:sz="0" w:space="0" w:color="auto"/>
        <w:bottom w:val="none" w:sz="0" w:space="0" w:color="auto"/>
        <w:right w:val="none" w:sz="0" w:space="0" w:color="auto"/>
      </w:divBdr>
    </w:div>
    <w:div w:id="527373111">
      <w:bodyDiv w:val="1"/>
      <w:marLeft w:val="0"/>
      <w:marRight w:val="0"/>
      <w:marTop w:val="0"/>
      <w:marBottom w:val="0"/>
      <w:divBdr>
        <w:top w:val="none" w:sz="0" w:space="0" w:color="auto"/>
        <w:left w:val="none" w:sz="0" w:space="0" w:color="auto"/>
        <w:bottom w:val="none" w:sz="0" w:space="0" w:color="auto"/>
        <w:right w:val="none" w:sz="0" w:space="0" w:color="auto"/>
      </w:divBdr>
    </w:div>
    <w:div w:id="530188126">
      <w:bodyDiv w:val="1"/>
      <w:marLeft w:val="0"/>
      <w:marRight w:val="0"/>
      <w:marTop w:val="0"/>
      <w:marBottom w:val="0"/>
      <w:divBdr>
        <w:top w:val="none" w:sz="0" w:space="0" w:color="auto"/>
        <w:left w:val="none" w:sz="0" w:space="0" w:color="auto"/>
        <w:bottom w:val="none" w:sz="0" w:space="0" w:color="auto"/>
        <w:right w:val="none" w:sz="0" w:space="0" w:color="auto"/>
      </w:divBdr>
    </w:div>
    <w:div w:id="531041624">
      <w:bodyDiv w:val="1"/>
      <w:marLeft w:val="0"/>
      <w:marRight w:val="0"/>
      <w:marTop w:val="0"/>
      <w:marBottom w:val="0"/>
      <w:divBdr>
        <w:top w:val="none" w:sz="0" w:space="0" w:color="auto"/>
        <w:left w:val="none" w:sz="0" w:space="0" w:color="auto"/>
        <w:bottom w:val="none" w:sz="0" w:space="0" w:color="auto"/>
        <w:right w:val="none" w:sz="0" w:space="0" w:color="auto"/>
      </w:divBdr>
    </w:div>
    <w:div w:id="532545584">
      <w:bodyDiv w:val="1"/>
      <w:marLeft w:val="0"/>
      <w:marRight w:val="0"/>
      <w:marTop w:val="0"/>
      <w:marBottom w:val="0"/>
      <w:divBdr>
        <w:top w:val="none" w:sz="0" w:space="0" w:color="auto"/>
        <w:left w:val="none" w:sz="0" w:space="0" w:color="auto"/>
        <w:bottom w:val="none" w:sz="0" w:space="0" w:color="auto"/>
        <w:right w:val="none" w:sz="0" w:space="0" w:color="auto"/>
      </w:divBdr>
    </w:div>
    <w:div w:id="532764187">
      <w:bodyDiv w:val="1"/>
      <w:marLeft w:val="0"/>
      <w:marRight w:val="0"/>
      <w:marTop w:val="0"/>
      <w:marBottom w:val="0"/>
      <w:divBdr>
        <w:top w:val="none" w:sz="0" w:space="0" w:color="auto"/>
        <w:left w:val="none" w:sz="0" w:space="0" w:color="auto"/>
        <w:bottom w:val="none" w:sz="0" w:space="0" w:color="auto"/>
        <w:right w:val="none" w:sz="0" w:space="0" w:color="auto"/>
      </w:divBdr>
    </w:div>
    <w:div w:id="533202334">
      <w:bodyDiv w:val="1"/>
      <w:marLeft w:val="0"/>
      <w:marRight w:val="0"/>
      <w:marTop w:val="0"/>
      <w:marBottom w:val="0"/>
      <w:divBdr>
        <w:top w:val="none" w:sz="0" w:space="0" w:color="auto"/>
        <w:left w:val="none" w:sz="0" w:space="0" w:color="auto"/>
        <w:bottom w:val="none" w:sz="0" w:space="0" w:color="auto"/>
        <w:right w:val="none" w:sz="0" w:space="0" w:color="auto"/>
      </w:divBdr>
    </w:div>
    <w:div w:id="534586876">
      <w:bodyDiv w:val="1"/>
      <w:marLeft w:val="0"/>
      <w:marRight w:val="0"/>
      <w:marTop w:val="0"/>
      <w:marBottom w:val="0"/>
      <w:divBdr>
        <w:top w:val="none" w:sz="0" w:space="0" w:color="auto"/>
        <w:left w:val="none" w:sz="0" w:space="0" w:color="auto"/>
        <w:bottom w:val="none" w:sz="0" w:space="0" w:color="auto"/>
        <w:right w:val="none" w:sz="0" w:space="0" w:color="auto"/>
      </w:divBdr>
    </w:div>
    <w:div w:id="534924493">
      <w:bodyDiv w:val="1"/>
      <w:marLeft w:val="0"/>
      <w:marRight w:val="0"/>
      <w:marTop w:val="0"/>
      <w:marBottom w:val="0"/>
      <w:divBdr>
        <w:top w:val="none" w:sz="0" w:space="0" w:color="auto"/>
        <w:left w:val="none" w:sz="0" w:space="0" w:color="auto"/>
        <w:bottom w:val="none" w:sz="0" w:space="0" w:color="auto"/>
        <w:right w:val="none" w:sz="0" w:space="0" w:color="auto"/>
      </w:divBdr>
    </w:div>
    <w:div w:id="535777545">
      <w:bodyDiv w:val="1"/>
      <w:marLeft w:val="0"/>
      <w:marRight w:val="0"/>
      <w:marTop w:val="0"/>
      <w:marBottom w:val="0"/>
      <w:divBdr>
        <w:top w:val="none" w:sz="0" w:space="0" w:color="auto"/>
        <w:left w:val="none" w:sz="0" w:space="0" w:color="auto"/>
        <w:bottom w:val="none" w:sz="0" w:space="0" w:color="auto"/>
        <w:right w:val="none" w:sz="0" w:space="0" w:color="auto"/>
      </w:divBdr>
    </w:div>
    <w:div w:id="537006623">
      <w:bodyDiv w:val="1"/>
      <w:marLeft w:val="0"/>
      <w:marRight w:val="0"/>
      <w:marTop w:val="0"/>
      <w:marBottom w:val="0"/>
      <w:divBdr>
        <w:top w:val="none" w:sz="0" w:space="0" w:color="auto"/>
        <w:left w:val="none" w:sz="0" w:space="0" w:color="auto"/>
        <w:bottom w:val="none" w:sz="0" w:space="0" w:color="auto"/>
        <w:right w:val="none" w:sz="0" w:space="0" w:color="auto"/>
      </w:divBdr>
    </w:div>
    <w:div w:id="539244116">
      <w:bodyDiv w:val="1"/>
      <w:marLeft w:val="0"/>
      <w:marRight w:val="0"/>
      <w:marTop w:val="0"/>
      <w:marBottom w:val="0"/>
      <w:divBdr>
        <w:top w:val="none" w:sz="0" w:space="0" w:color="auto"/>
        <w:left w:val="none" w:sz="0" w:space="0" w:color="auto"/>
        <w:bottom w:val="none" w:sz="0" w:space="0" w:color="auto"/>
        <w:right w:val="none" w:sz="0" w:space="0" w:color="auto"/>
      </w:divBdr>
    </w:div>
    <w:div w:id="542670610">
      <w:bodyDiv w:val="1"/>
      <w:marLeft w:val="0"/>
      <w:marRight w:val="0"/>
      <w:marTop w:val="0"/>
      <w:marBottom w:val="0"/>
      <w:divBdr>
        <w:top w:val="none" w:sz="0" w:space="0" w:color="auto"/>
        <w:left w:val="none" w:sz="0" w:space="0" w:color="auto"/>
        <w:bottom w:val="none" w:sz="0" w:space="0" w:color="auto"/>
        <w:right w:val="none" w:sz="0" w:space="0" w:color="auto"/>
      </w:divBdr>
    </w:div>
    <w:div w:id="542913197">
      <w:bodyDiv w:val="1"/>
      <w:marLeft w:val="0"/>
      <w:marRight w:val="0"/>
      <w:marTop w:val="0"/>
      <w:marBottom w:val="0"/>
      <w:divBdr>
        <w:top w:val="none" w:sz="0" w:space="0" w:color="auto"/>
        <w:left w:val="none" w:sz="0" w:space="0" w:color="auto"/>
        <w:bottom w:val="none" w:sz="0" w:space="0" w:color="auto"/>
        <w:right w:val="none" w:sz="0" w:space="0" w:color="auto"/>
      </w:divBdr>
    </w:div>
    <w:div w:id="545291441">
      <w:bodyDiv w:val="1"/>
      <w:marLeft w:val="0"/>
      <w:marRight w:val="0"/>
      <w:marTop w:val="0"/>
      <w:marBottom w:val="0"/>
      <w:divBdr>
        <w:top w:val="none" w:sz="0" w:space="0" w:color="auto"/>
        <w:left w:val="none" w:sz="0" w:space="0" w:color="auto"/>
        <w:bottom w:val="none" w:sz="0" w:space="0" w:color="auto"/>
        <w:right w:val="none" w:sz="0" w:space="0" w:color="auto"/>
      </w:divBdr>
    </w:div>
    <w:div w:id="545800657">
      <w:bodyDiv w:val="1"/>
      <w:marLeft w:val="0"/>
      <w:marRight w:val="0"/>
      <w:marTop w:val="0"/>
      <w:marBottom w:val="0"/>
      <w:divBdr>
        <w:top w:val="none" w:sz="0" w:space="0" w:color="auto"/>
        <w:left w:val="none" w:sz="0" w:space="0" w:color="auto"/>
        <w:bottom w:val="none" w:sz="0" w:space="0" w:color="auto"/>
        <w:right w:val="none" w:sz="0" w:space="0" w:color="auto"/>
      </w:divBdr>
    </w:div>
    <w:div w:id="548565793">
      <w:bodyDiv w:val="1"/>
      <w:marLeft w:val="0"/>
      <w:marRight w:val="0"/>
      <w:marTop w:val="0"/>
      <w:marBottom w:val="0"/>
      <w:divBdr>
        <w:top w:val="none" w:sz="0" w:space="0" w:color="auto"/>
        <w:left w:val="none" w:sz="0" w:space="0" w:color="auto"/>
        <w:bottom w:val="none" w:sz="0" w:space="0" w:color="auto"/>
        <w:right w:val="none" w:sz="0" w:space="0" w:color="auto"/>
      </w:divBdr>
    </w:div>
    <w:div w:id="550070516">
      <w:bodyDiv w:val="1"/>
      <w:marLeft w:val="0"/>
      <w:marRight w:val="0"/>
      <w:marTop w:val="0"/>
      <w:marBottom w:val="0"/>
      <w:divBdr>
        <w:top w:val="none" w:sz="0" w:space="0" w:color="auto"/>
        <w:left w:val="none" w:sz="0" w:space="0" w:color="auto"/>
        <w:bottom w:val="none" w:sz="0" w:space="0" w:color="auto"/>
        <w:right w:val="none" w:sz="0" w:space="0" w:color="auto"/>
      </w:divBdr>
    </w:div>
    <w:div w:id="551039834">
      <w:bodyDiv w:val="1"/>
      <w:marLeft w:val="0"/>
      <w:marRight w:val="0"/>
      <w:marTop w:val="0"/>
      <w:marBottom w:val="0"/>
      <w:divBdr>
        <w:top w:val="none" w:sz="0" w:space="0" w:color="auto"/>
        <w:left w:val="none" w:sz="0" w:space="0" w:color="auto"/>
        <w:bottom w:val="none" w:sz="0" w:space="0" w:color="auto"/>
        <w:right w:val="none" w:sz="0" w:space="0" w:color="auto"/>
      </w:divBdr>
    </w:div>
    <w:div w:id="553083172">
      <w:bodyDiv w:val="1"/>
      <w:marLeft w:val="0"/>
      <w:marRight w:val="0"/>
      <w:marTop w:val="0"/>
      <w:marBottom w:val="0"/>
      <w:divBdr>
        <w:top w:val="none" w:sz="0" w:space="0" w:color="auto"/>
        <w:left w:val="none" w:sz="0" w:space="0" w:color="auto"/>
        <w:bottom w:val="none" w:sz="0" w:space="0" w:color="auto"/>
        <w:right w:val="none" w:sz="0" w:space="0" w:color="auto"/>
      </w:divBdr>
    </w:div>
    <w:div w:id="553320635">
      <w:bodyDiv w:val="1"/>
      <w:marLeft w:val="0"/>
      <w:marRight w:val="0"/>
      <w:marTop w:val="0"/>
      <w:marBottom w:val="0"/>
      <w:divBdr>
        <w:top w:val="none" w:sz="0" w:space="0" w:color="auto"/>
        <w:left w:val="none" w:sz="0" w:space="0" w:color="auto"/>
        <w:bottom w:val="none" w:sz="0" w:space="0" w:color="auto"/>
        <w:right w:val="none" w:sz="0" w:space="0" w:color="auto"/>
      </w:divBdr>
    </w:div>
    <w:div w:id="554974893">
      <w:bodyDiv w:val="1"/>
      <w:marLeft w:val="0"/>
      <w:marRight w:val="0"/>
      <w:marTop w:val="0"/>
      <w:marBottom w:val="0"/>
      <w:divBdr>
        <w:top w:val="none" w:sz="0" w:space="0" w:color="auto"/>
        <w:left w:val="none" w:sz="0" w:space="0" w:color="auto"/>
        <w:bottom w:val="none" w:sz="0" w:space="0" w:color="auto"/>
        <w:right w:val="none" w:sz="0" w:space="0" w:color="auto"/>
      </w:divBdr>
    </w:div>
    <w:div w:id="559053073">
      <w:bodyDiv w:val="1"/>
      <w:marLeft w:val="0"/>
      <w:marRight w:val="0"/>
      <w:marTop w:val="0"/>
      <w:marBottom w:val="0"/>
      <w:divBdr>
        <w:top w:val="none" w:sz="0" w:space="0" w:color="auto"/>
        <w:left w:val="none" w:sz="0" w:space="0" w:color="auto"/>
        <w:bottom w:val="none" w:sz="0" w:space="0" w:color="auto"/>
        <w:right w:val="none" w:sz="0" w:space="0" w:color="auto"/>
      </w:divBdr>
    </w:div>
    <w:div w:id="559092833">
      <w:bodyDiv w:val="1"/>
      <w:marLeft w:val="0"/>
      <w:marRight w:val="0"/>
      <w:marTop w:val="0"/>
      <w:marBottom w:val="0"/>
      <w:divBdr>
        <w:top w:val="none" w:sz="0" w:space="0" w:color="auto"/>
        <w:left w:val="none" w:sz="0" w:space="0" w:color="auto"/>
        <w:bottom w:val="none" w:sz="0" w:space="0" w:color="auto"/>
        <w:right w:val="none" w:sz="0" w:space="0" w:color="auto"/>
      </w:divBdr>
    </w:div>
    <w:div w:id="562790197">
      <w:bodyDiv w:val="1"/>
      <w:marLeft w:val="0"/>
      <w:marRight w:val="0"/>
      <w:marTop w:val="0"/>
      <w:marBottom w:val="0"/>
      <w:divBdr>
        <w:top w:val="none" w:sz="0" w:space="0" w:color="auto"/>
        <w:left w:val="none" w:sz="0" w:space="0" w:color="auto"/>
        <w:bottom w:val="none" w:sz="0" w:space="0" w:color="auto"/>
        <w:right w:val="none" w:sz="0" w:space="0" w:color="auto"/>
      </w:divBdr>
    </w:div>
    <w:div w:id="566769196">
      <w:bodyDiv w:val="1"/>
      <w:marLeft w:val="0"/>
      <w:marRight w:val="0"/>
      <w:marTop w:val="0"/>
      <w:marBottom w:val="0"/>
      <w:divBdr>
        <w:top w:val="none" w:sz="0" w:space="0" w:color="auto"/>
        <w:left w:val="none" w:sz="0" w:space="0" w:color="auto"/>
        <w:bottom w:val="none" w:sz="0" w:space="0" w:color="auto"/>
        <w:right w:val="none" w:sz="0" w:space="0" w:color="auto"/>
      </w:divBdr>
    </w:div>
    <w:div w:id="568733605">
      <w:bodyDiv w:val="1"/>
      <w:marLeft w:val="0"/>
      <w:marRight w:val="0"/>
      <w:marTop w:val="0"/>
      <w:marBottom w:val="0"/>
      <w:divBdr>
        <w:top w:val="none" w:sz="0" w:space="0" w:color="auto"/>
        <w:left w:val="none" w:sz="0" w:space="0" w:color="auto"/>
        <w:bottom w:val="none" w:sz="0" w:space="0" w:color="auto"/>
        <w:right w:val="none" w:sz="0" w:space="0" w:color="auto"/>
      </w:divBdr>
    </w:div>
    <w:div w:id="570434155">
      <w:bodyDiv w:val="1"/>
      <w:marLeft w:val="0"/>
      <w:marRight w:val="0"/>
      <w:marTop w:val="0"/>
      <w:marBottom w:val="0"/>
      <w:divBdr>
        <w:top w:val="none" w:sz="0" w:space="0" w:color="auto"/>
        <w:left w:val="none" w:sz="0" w:space="0" w:color="auto"/>
        <w:bottom w:val="none" w:sz="0" w:space="0" w:color="auto"/>
        <w:right w:val="none" w:sz="0" w:space="0" w:color="auto"/>
      </w:divBdr>
    </w:div>
    <w:div w:id="572354976">
      <w:bodyDiv w:val="1"/>
      <w:marLeft w:val="0"/>
      <w:marRight w:val="0"/>
      <w:marTop w:val="0"/>
      <w:marBottom w:val="0"/>
      <w:divBdr>
        <w:top w:val="none" w:sz="0" w:space="0" w:color="auto"/>
        <w:left w:val="none" w:sz="0" w:space="0" w:color="auto"/>
        <w:bottom w:val="none" w:sz="0" w:space="0" w:color="auto"/>
        <w:right w:val="none" w:sz="0" w:space="0" w:color="auto"/>
      </w:divBdr>
      <w:divsChild>
        <w:div w:id="955253998">
          <w:marLeft w:val="0"/>
          <w:marRight w:val="0"/>
          <w:marTop w:val="0"/>
          <w:marBottom w:val="0"/>
          <w:divBdr>
            <w:top w:val="none" w:sz="0" w:space="0" w:color="auto"/>
            <w:left w:val="none" w:sz="0" w:space="0" w:color="auto"/>
            <w:bottom w:val="none" w:sz="0" w:space="0" w:color="auto"/>
            <w:right w:val="none" w:sz="0" w:space="0" w:color="auto"/>
          </w:divBdr>
          <w:divsChild>
            <w:div w:id="281619891">
              <w:marLeft w:val="0"/>
              <w:marRight w:val="0"/>
              <w:marTop w:val="0"/>
              <w:marBottom w:val="0"/>
              <w:divBdr>
                <w:top w:val="none" w:sz="0" w:space="0" w:color="auto"/>
                <w:left w:val="none" w:sz="0" w:space="0" w:color="auto"/>
                <w:bottom w:val="none" w:sz="0" w:space="0" w:color="auto"/>
                <w:right w:val="none" w:sz="0" w:space="0" w:color="auto"/>
              </w:divBdr>
              <w:divsChild>
                <w:div w:id="659579815">
                  <w:marLeft w:val="0"/>
                  <w:marRight w:val="0"/>
                  <w:marTop w:val="0"/>
                  <w:marBottom w:val="0"/>
                  <w:divBdr>
                    <w:top w:val="none" w:sz="0" w:space="0" w:color="auto"/>
                    <w:left w:val="none" w:sz="0" w:space="0" w:color="auto"/>
                    <w:bottom w:val="none" w:sz="0" w:space="0" w:color="auto"/>
                    <w:right w:val="none" w:sz="0" w:space="0" w:color="auto"/>
                  </w:divBdr>
                  <w:divsChild>
                    <w:div w:id="1597980611">
                      <w:marLeft w:val="0"/>
                      <w:marRight w:val="0"/>
                      <w:marTop w:val="0"/>
                      <w:marBottom w:val="0"/>
                      <w:divBdr>
                        <w:top w:val="none" w:sz="0" w:space="0" w:color="auto"/>
                        <w:left w:val="none" w:sz="0" w:space="0" w:color="auto"/>
                        <w:bottom w:val="none" w:sz="0" w:space="0" w:color="auto"/>
                        <w:right w:val="none" w:sz="0" w:space="0" w:color="auto"/>
                      </w:divBdr>
                      <w:divsChild>
                        <w:div w:id="1063791848">
                          <w:marLeft w:val="0"/>
                          <w:marRight w:val="0"/>
                          <w:marTop w:val="0"/>
                          <w:marBottom w:val="0"/>
                          <w:divBdr>
                            <w:top w:val="none" w:sz="0" w:space="0" w:color="auto"/>
                            <w:left w:val="none" w:sz="0" w:space="0" w:color="auto"/>
                            <w:bottom w:val="none" w:sz="0" w:space="0" w:color="auto"/>
                            <w:right w:val="none" w:sz="0" w:space="0" w:color="auto"/>
                          </w:divBdr>
                          <w:divsChild>
                            <w:div w:id="154760282">
                              <w:marLeft w:val="0"/>
                              <w:marRight w:val="0"/>
                              <w:marTop w:val="0"/>
                              <w:marBottom w:val="0"/>
                              <w:divBdr>
                                <w:top w:val="none" w:sz="0" w:space="0" w:color="auto"/>
                                <w:left w:val="none" w:sz="0" w:space="0" w:color="auto"/>
                                <w:bottom w:val="none" w:sz="0" w:space="0" w:color="auto"/>
                                <w:right w:val="none" w:sz="0" w:space="0" w:color="auto"/>
                              </w:divBdr>
                              <w:divsChild>
                                <w:div w:id="782766408">
                                  <w:marLeft w:val="0"/>
                                  <w:marRight w:val="0"/>
                                  <w:marTop w:val="0"/>
                                  <w:marBottom w:val="0"/>
                                  <w:divBdr>
                                    <w:top w:val="none" w:sz="0" w:space="0" w:color="auto"/>
                                    <w:left w:val="none" w:sz="0" w:space="0" w:color="auto"/>
                                    <w:bottom w:val="none" w:sz="0" w:space="0" w:color="auto"/>
                                    <w:right w:val="none" w:sz="0" w:space="0" w:color="auto"/>
                                  </w:divBdr>
                                  <w:divsChild>
                                    <w:div w:id="1067998092">
                                      <w:marLeft w:val="0"/>
                                      <w:marRight w:val="0"/>
                                      <w:marTop w:val="0"/>
                                      <w:marBottom w:val="0"/>
                                      <w:divBdr>
                                        <w:top w:val="single" w:sz="6" w:space="0" w:color="F5F5F5"/>
                                        <w:left w:val="single" w:sz="6" w:space="0" w:color="F5F5F5"/>
                                        <w:bottom w:val="single" w:sz="6" w:space="0" w:color="F5F5F5"/>
                                        <w:right w:val="single" w:sz="6" w:space="0" w:color="F5F5F5"/>
                                      </w:divBdr>
                                      <w:divsChild>
                                        <w:div w:id="1330792148">
                                          <w:marLeft w:val="0"/>
                                          <w:marRight w:val="0"/>
                                          <w:marTop w:val="0"/>
                                          <w:marBottom w:val="0"/>
                                          <w:divBdr>
                                            <w:top w:val="none" w:sz="0" w:space="0" w:color="auto"/>
                                            <w:left w:val="none" w:sz="0" w:space="0" w:color="auto"/>
                                            <w:bottom w:val="none" w:sz="0" w:space="0" w:color="auto"/>
                                            <w:right w:val="none" w:sz="0" w:space="0" w:color="auto"/>
                                          </w:divBdr>
                                          <w:divsChild>
                                            <w:div w:id="17599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4634107">
      <w:bodyDiv w:val="1"/>
      <w:marLeft w:val="0"/>
      <w:marRight w:val="0"/>
      <w:marTop w:val="0"/>
      <w:marBottom w:val="0"/>
      <w:divBdr>
        <w:top w:val="none" w:sz="0" w:space="0" w:color="auto"/>
        <w:left w:val="none" w:sz="0" w:space="0" w:color="auto"/>
        <w:bottom w:val="none" w:sz="0" w:space="0" w:color="auto"/>
        <w:right w:val="none" w:sz="0" w:space="0" w:color="auto"/>
      </w:divBdr>
    </w:div>
    <w:div w:id="576942953">
      <w:bodyDiv w:val="1"/>
      <w:marLeft w:val="0"/>
      <w:marRight w:val="0"/>
      <w:marTop w:val="0"/>
      <w:marBottom w:val="0"/>
      <w:divBdr>
        <w:top w:val="none" w:sz="0" w:space="0" w:color="auto"/>
        <w:left w:val="none" w:sz="0" w:space="0" w:color="auto"/>
        <w:bottom w:val="none" w:sz="0" w:space="0" w:color="auto"/>
        <w:right w:val="none" w:sz="0" w:space="0" w:color="auto"/>
      </w:divBdr>
    </w:div>
    <w:div w:id="576979226">
      <w:bodyDiv w:val="1"/>
      <w:marLeft w:val="0"/>
      <w:marRight w:val="0"/>
      <w:marTop w:val="0"/>
      <w:marBottom w:val="0"/>
      <w:divBdr>
        <w:top w:val="none" w:sz="0" w:space="0" w:color="auto"/>
        <w:left w:val="none" w:sz="0" w:space="0" w:color="auto"/>
        <w:bottom w:val="none" w:sz="0" w:space="0" w:color="auto"/>
        <w:right w:val="none" w:sz="0" w:space="0" w:color="auto"/>
      </w:divBdr>
    </w:div>
    <w:div w:id="579949823">
      <w:bodyDiv w:val="1"/>
      <w:marLeft w:val="0"/>
      <w:marRight w:val="0"/>
      <w:marTop w:val="0"/>
      <w:marBottom w:val="0"/>
      <w:divBdr>
        <w:top w:val="none" w:sz="0" w:space="0" w:color="auto"/>
        <w:left w:val="none" w:sz="0" w:space="0" w:color="auto"/>
        <w:bottom w:val="none" w:sz="0" w:space="0" w:color="auto"/>
        <w:right w:val="none" w:sz="0" w:space="0" w:color="auto"/>
      </w:divBdr>
    </w:div>
    <w:div w:id="582883877">
      <w:bodyDiv w:val="1"/>
      <w:marLeft w:val="0"/>
      <w:marRight w:val="0"/>
      <w:marTop w:val="0"/>
      <w:marBottom w:val="0"/>
      <w:divBdr>
        <w:top w:val="none" w:sz="0" w:space="0" w:color="auto"/>
        <w:left w:val="none" w:sz="0" w:space="0" w:color="auto"/>
        <w:bottom w:val="none" w:sz="0" w:space="0" w:color="auto"/>
        <w:right w:val="none" w:sz="0" w:space="0" w:color="auto"/>
      </w:divBdr>
    </w:div>
    <w:div w:id="585189573">
      <w:bodyDiv w:val="1"/>
      <w:marLeft w:val="0"/>
      <w:marRight w:val="0"/>
      <w:marTop w:val="0"/>
      <w:marBottom w:val="0"/>
      <w:divBdr>
        <w:top w:val="none" w:sz="0" w:space="0" w:color="auto"/>
        <w:left w:val="none" w:sz="0" w:space="0" w:color="auto"/>
        <w:bottom w:val="none" w:sz="0" w:space="0" w:color="auto"/>
        <w:right w:val="none" w:sz="0" w:space="0" w:color="auto"/>
      </w:divBdr>
    </w:div>
    <w:div w:id="591280568">
      <w:bodyDiv w:val="1"/>
      <w:marLeft w:val="0"/>
      <w:marRight w:val="0"/>
      <w:marTop w:val="0"/>
      <w:marBottom w:val="0"/>
      <w:divBdr>
        <w:top w:val="none" w:sz="0" w:space="0" w:color="auto"/>
        <w:left w:val="none" w:sz="0" w:space="0" w:color="auto"/>
        <w:bottom w:val="none" w:sz="0" w:space="0" w:color="auto"/>
        <w:right w:val="none" w:sz="0" w:space="0" w:color="auto"/>
      </w:divBdr>
      <w:divsChild>
        <w:div w:id="345376209">
          <w:marLeft w:val="0"/>
          <w:marRight w:val="0"/>
          <w:marTop w:val="0"/>
          <w:marBottom w:val="0"/>
          <w:divBdr>
            <w:top w:val="none" w:sz="0" w:space="0" w:color="auto"/>
            <w:left w:val="none" w:sz="0" w:space="0" w:color="auto"/>
            <w:bottom w:val="none" w:sz="0" w:space="0" w:color="auto"/>
            <w:right w:val="none" w:sz="0" w:space="0" w:color="auto"/>
          </w:divBdr>
          <w:divsChild>
            <w:div w:id="1468859653">
              <w:marLeft w:val="0"/>
              <w:marRight w:val="0"/>
              <w:marTop w:val="0"/>
              <w:marBottom w:val="0"/>
              <w:divBdr>
                <w:top w:val="none" w:sz="0" w:space="0" w:color="auto"/>
                <w:left w:val="none" w:sz="0" w:space="0" w:color="auto"/>
                <w:bottom w:val="none" w:sz="0" w:space="0" w:color="auto"/>
                <w:right w:val="none" w:sz="0" w:space="0" w:color="auto"/>
              </w:divBdr>
              <w:divsChild>
                <w:div w:id="445850819">
                  <w:marLeft w:val="0"/>
                  <w:marRight w:val="0"/>
                  <w:marTop w:val="0"/>
                  <w:marBottom w:val="0"/>
                  <w:divBdr>
                    <w:top w:val="none" w:sz="0" w:space="0" w:color="auto"/>
                    <w:left w:val="none" w:sz="0" w:space="0" w:color="auto"/>
                    <w:bottom w:val="none" w:sz="0" w:space="0" w:color="auto"/>
                    <w:right w:val="none" w:sz="0" w:space="0" w:color="auto"/>
                  </w:divBdr>
                  <w:divsChild>
                    <w:div w:id="1187720906">
                      <w:marLeft w:val="0"/>
                      <w:marRight w:val="0"/>
                      <w:marTop w:val="0"/>
                      <w:marBottom w:val="0"/>
                      <w:divBdr>
                        <w:top w:val="none" w:sz="0" w:space="0" w:color="auto"/>
                        <w:left w:val="none" w:sz="0" w:space="0" w:color="auto"/>
                        <w:bottom w:val="none" w:sz="0" w:space="0" w:color="auto"/>
                        <w:right w:val="none" w:sz="0" w:space="0" w:color="auto"/>
                      </w:divBdr>
                      <w:divsChild>
                        <w:div w:id="1299650323">
                          <w:marLeft w:val="0"/>
                          <w:marRight w:val="0"/>
                          <w:marTop w:val="0"/>
                          <w:marBottom w:val="0"/>
                          <w:divBdr>
                            <w:top w:val="none" w:sz="0" w:space="0" w:color="auto"/>
                            <w:left w:val="none" w:sz="0" w:space="0" w:color="auto"/>
                            <w:bottom w:val="none" w:sz="0" w:space="0" w:color="auto"/>
                            <w:right w:val="none" w:sz="0" w:space="0" w:color="auto"/>
                          </w:divBdr>
                          <w:divsChild>
                            <w:div w:id="1368528733">
                              <w:marLeft w:val="0"/>
                              <w:marRight w:val="0"/>
                              <w:marTop w:val="0"/>
                              <w:marBottom w:val="0"/>
                              <w:divBdr>
                                <w:top w:val="none" w:sz="0" w:space="0" w:color="auto"/>
                                <w:left w:val="none" w:sz="0" w:space="0" w:color="auto"/>
                                <w:bottom w:val="none" w:sz="0" w:space="0" w:color="auto"/>
                                <w:right w:val="none" w:sz="0" w:space="0" w:color="auto"/>
                              </w:divBdr>
                              <w:divsChild>
                                <w:div w:id="593322743">
                                  <w:marLeft w:val="0"/>
                                  <w:marRight w:val="0"/>
                                  <w:marTop w:val="0"/>
                                  <w:marBottom w:val="0"/>
                                  <w:divBdr>
                                    <w:top w:val="none" w:sz="0" w:space="0" w:color="auto"/>
                                    <w:left w:val="none" w:sz="0" w:space="0" w:color="auto"/>
                                    <w:bottom w:val="none" w:sz="0" w:space="0" w:color="auto"/>
                                    <w:right w:val="none" w:sz="0" w:space="0" w:color="auto"/>
                                  </w:divBdr>
                                  <w:divsChild>
                                    <w:div w:id="1877886975">
                                      <w:marLeft w:val="0"/>
                                      <w:marRight w:val="0"/>
                                      <w:marTop w:val="0"/>
                                      <w:marBottom w:val="0"/>
                                      <w:divBdr>
                                        <w:top w:val="single" w:sz="6" w:space="0" w:color="F5F5F5"/>
                                        <w:left w:val="single" w:sz="6" w:space="0" w:color="F5F5F5"/>
                                        <w:bottom w:val="single" w:sz="6" w:space="0" w:color="F5F5F5"/>
                                        <w:right w:val="single" w:sz="6" w:space="0" w:color="F5F5F5"/>
                                      </w:divBdr>
                                      <w:divsChild>
                                        <w:div w:id="233511337">
                                          <w:marLeft w:val="0"/>
                                          <w:marRight w:val="0"/>
                                          <w:marTop w:val="0"/>
                                          <w:marBottom w:val="0"/>
                                          <w:divBdr>
                                            <w:top w:val="none" w:sz="0" w:space="0" w:color="auto"/>
                                            <w:left w:val="none" w:sz="0" w:space="0" w:color="auto"/>
                                            <w:bottom w:val="none" w:sz="0" w:space="0" w:color="auto"/>
                                            <w:right w:val="none" w:sz="0" w:space="0" w:color="auto"/>
                                          </w:divBdr>
                                          <w:divsChild>
                                            <w:div w:id="11130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8026">
      <w:bodyDiv w:val="1"/>
      <w:marLeft w:val="0"/>
      <w:marRight w:val="0"/>
      <w:marTop w:val="0"/>
      <w:marBottom w:val="0"/>
      <w:divBdr>
        <w:top w:val="none" w:sz="0" w:space="0" w:color="auto"/>
        <w:left w:val="none" w:sz="0" w:space="0" w:color="auto"/>
        <w:bottom w:val="none" w:sz="0" w:space="0" w:color="auto"/>
        <w:right w:val="none" w:sz="0" w:space="0" w:color="auto"/>
      </w:divBdr>
    </w:div>
    <w:div w:id="602305604">
      <w:bodyDiv w:val="1"/>
      <w:marLeft w:val="0"/>
      <w:marRight w:val="0"/>
      <w:marTop w:val="0"/>
      <w:marBottom w:val="0"/>
      <w:divBdr>
        <w:top w:val="none" w:sz="0" w:space="0" w:color="auto"/>
        <w:left w:val="none" w:sz="0" w:space="0" w:color="auto"/>
        <w:bottom w:val="none" w:sz="0" w:space="0" w:color="auto"/>
        <w:right w:val="none" w:sz="0" w:space="0" w:color="auto"/>
      </w:divBdr>
    </w:div>
    <w:div w:id="604995321">
      <w:bodyDiv w:val="1"/>
      <w:marLeft w:val="0"/>
      <w:marRight w:val="0"/>
      <w:marTop w:val="0"/>
      <w:marBottom w:val="0"/>
      <w:divBdr>
        <w:top w:val="none" w:sz="0" w:space="0" w:color="auto"/>
        <w:left w:val="none" w:sz="0" w:space="0" w:color="auto"/>
        <w:bottom w:val="none" w:sz="0" w:space="0" w:color="auto"/>
        <w:right w:val="none" w:sz="0" w:space="0" w:color="auto"/>
      </w:divBdr>
    </w:div>
    <w:div w:id="607396404">
      <w:bodyDiv w:val="1"/>
      <w:marLeft w:val="0"/>
      <w:marRight w:val="0"/>
      <w:marTop w:val="0"/>
      <w:marBottom w:val="0"/>
      <w:divBdr>
        <w:top w:val="none" w:sz="0" w:space="0" w:color="auto"/>
        <w:left w:val="none" w:sz="0" w:space="0" w:color="auto"/>
        <w:bottom w:val="none" w:sz="0" w:space="0" w:color="auto"/>
        <w:right w:val="none" w:sz="0" w:space="0" w:color="auto"/>
      </w:divBdr>
    </w:div>
    <w:div w:id="607615245">
      <w:bodyDiv w:val="1"/>
      <w:marLeft w:val="0"/>
      <w:marRight w:val="0"/>
      <w:marTop w:val="0"/>
      <w:marBottom w:val="0"/>
      <w:divBdr>
        <w:top w:val="none" w:sz="0" w:space="0" w:color="auto"/>
        <w:left w:val="none" w:sz="0" w:space="0" w:color="auto"/>
        <w:bottom w:val="none" w:sz="0" w:space="0" w:color="auto"/>
        <w:right w:val="none" w:sz="0" w:space="0" w:color="auto"/>
      </w:divBdr>
    </w:div>
    <w:div w:id="611009671">
      <w:bodyDiv w:val="1"/>
      <w:marLeft w:val="0"/>
      <w:marRight w:val="0"/>
      <w:marTop w:val="0"/>
      <w:marBottom w:val="0"/>
      <w:divBdr>
        <w:top w:val="none" w:sz="0" w:space="0" w:color="auto"/>
        <w:left w:val="none" w:sz="0" w:space="0" w:color="auto"/>
        <w:bottom w:val="none" w:sz="0" w:space="0" w:color="auto"/>
        <w:right w:val="none" w:sz="0" w:space="0" w:color="auto"/>
      </w:divBdr>
    </w:div>
    <w:div w:id="614480794">
      <w:bodyDiv w:val="1"/>
      <w:marLeft w:val="0"/>
      <w:marRight w:val="0"/>
      <w:marTop w:val="0"/>
      <w:marBottom w:val="0"/>
      <w:divBdr>
        <w:top w:val="none" w:sz="0" w:space="0" w:color="auto"/>
        <w:left w:val="none" w:sz="0" w:space="0" w:color="auto"/>
        <w:bottom w:val="none" w:sz="0" w:space="0" w:color="auto"/>
        <w:right w:val="none" w:sz="0" w:space="0" w:color="auto"/>
      </w:divBdr>
    </w:div>
    <w:div w:id="617374581">
      <w:bodyDiv w:val="1"/>
      <w:marLeft w:val="0"/>
      <w:marRight w:val="0"/>
      <w:marTop w:val="0"/>
      <w:marBottom w:val="0"/>
      <w:divBdr>
        <w:top w:val="none" w:sz="0" w:space="0" w:color="auto"/>
        <w:left w:val="none" w:sz="0" w:space="0" w:color="auto"/>
        <w:bottom w:val="none" w:sz="0" w:space="0" w:color="auto"/>
        <w:right w:val="none" w:sz="0" w:space="0" w:color="auto"/>
      </w:divBdr>
    </w:div>
    <w:div w:id="619651400">
      <w:bodyDiv w:val="1"/>
      <w:marLeft w:val="0"/>
      <w:marRight w:val="0"/>
      <w:marTop w:val="0"/>
      <w:marBottom w:val="0"/>
      <w:divBdr>
        <w:top w:val="none" w:sz="0" w:space="0" w:color="auto"/>
        <w:left w:val="none" w:sz="0" w:space="0" w:color="auto"/>
        <w:bottom w:val="none" w:sz="0" w:space="0" w:color="auto"/>
        <w:right w:val="none" w:sz="0" w:space="0" w:color="auto"/>
      </w:divBdr>
    </w:div>
    <w:div w:id="620183163">
      <w:bodyDiv w:val="1"/>
      <w:marLeft w:val="0"/>
      <w:marRight w:val="0"/>
      <w:marTop w:val="0"/>
      <w:marBottom w:val="0"/>
      <w:divBdr>
        <w:top w:val="none" w:sz="0" w:space="0" w:color="auto"/>
        <w:left w:val="none" w:sz="0" w:space="0" w:color="auto"/>
        <w:bottom w:val="none" w:sz="0" w:space="0" w:color="auto"/>
        <w:right w:val="none" w:sz="0" w:space="0" w:color="auto"/>
      </w:divBdr>
    </w:div>
    <w:div w:id="620457880">
      <w:bodyDiv w:val="1"/>
      <w:marLeft w:val="0"/>
      <w:marRight w:val="0"/>
      <w:marTop w:val="0"/>
      <w:marBottom w:val="0"/>
      <w:divBdr>
        <w:top w:val="none" w:sz="0" w:space="0" w:color="auto"/>
        <w:left w:val="none" w:sz="0" w:space="0" w:color="auto"/>
        <w:bottom w:val="none" w:sz="0" w:space="0" w:color="auto"/>
        <w:right w:val="none" w:sz="0" w:space="0" w:color="auto"/>
      </w:divBdr>
    </w:div>
    <w:div w:id="620915883">
      <w:bodyDiv w:val="1"/>
      <w:marLeft w:val="0"/>
      <w:marRight w:val="0"/>
      <w:marTop w:val="0"/>
      <w:marBottom w:val="0"/>
      <w:divBdr>
        <w:top w:val="none" w:sz="0" w:space="0" w:color="auto"/>
        <w:left w:val="none" w:sz="0" w:space="0" w:color="auto"/>
        <w:bottom w:val="none" w:sz="0" w:space="0" w:color="auto"/>
        <w:right w:val="none" w:sz="0" w:space="0" w:color="auto"/>
      </w:divBdr>
    </w:div>
    <w:div w:id="621233556">
      <w:bodyDiv w:val="1"/>
      <w:marLeft w:val="0"/>
      <w:marRight w:val="0"/>
      <w:marTop w:val="0"/>
      <w:marBottom w:val="0"/>
      <w:divBdr>
        <w:top w:val="none" w:sz="0" w:space="0" w:color="auto"/>
        <w:left w:val="none" w:sz="0" w:space="0" w:color="auto"/>
        <w:bottom w:val="none" w:sz="0" w:space="0" w:color="auto"/>
        <w:right w:val="none" w:sz="0" w:space="0" w:color="auto"/>
      </w:divBdr>
    </w:div>
    <w:div w:id="626280408">
      <w:bodyDiv w:val="1"/>
      <w:marLeft w:val="0"/>
      <w:marRight w:val="0"/>
      <w:marTop w:val="0"/>
      <w:marBottom w:val="0"/>
      <w:divBdr>
        <w:top w:val="none" w:sz="0" w:space="0" w:color="auto"/>
        <w:left w:val="none" w:sz="0" w:space="0" w:color="auto"/>
        <w:bottom w:val="none" w:sz="0" w:space="0" w:color="auto"/>
        <w:right w:val="none" w:sz="0" w:space="0" w:color="auto"/>
      </w:divBdr>
    </w:div>
    <w:div w:id="627053623">
      <w:bodyDiv w:val="1"/>
      <w:marLeft w:val="0"/>
      <w:marRight w:val="0"/>
      <w:marTop w:val="0"/>
      <w:marBottom w:val="0"/>
      <w:divBdr>
        <w:top w:val="none" w:sz="0" w:space="0" w:color="auto"/>
        <w:left w:val="none" w:sz="0" w:space="0" w:color="auto"/>
        <w:bottom w:val="none" w:sz="0" w:space="0" w:color="auto"/>
        <w:right w:val="none" w:sz="0" w:space="0" w:color="auto"/>
      </w:divBdr>
    </w:div>
    <w:div w:id="627124322">
      <w:bodyDiv w:val="1"/>
      <w:marLeft w:val="0"/>
      <w:marRight w:val="0"/>
      <w:marTop w:val="0"/>
      <w:marBottom w:val="0"/>
      <w:divBdr>
        <w:top w:val="none" w:sz="0" w:space="0" w:color="auto"/>
        <w:left w:val="none" w:sz="0" w:space="0" w:color="auto"/>
        <w:bottom w:val="none" w:sz="0" w:space="0" w:color="auto"/>
        <w:right w:val="none" w:sz="0" w:space="0" w:color="auto"/>
      </w:divBdr>
    </w:div>
    <w:div w:id="629439672">
      <w:bodyDiv w:val="1"/>
      <w:marLeft w:val="0"/>
      <w:marRight w:val="0"/>
      <w:marTop w:val="0"/>
      <w:marBottom w:val="0"/>
      <w:divBdr>
        <w:top w:val="none" w:sz="0" w:space="0" w:color="auto"/>
        <w:left w:val="none" w:sz="0" w:space="0" w:color="auto"/>
        <w:bottom w:val="none" w:sz="0" w:space="0" w:color="auto"/>
        <w:right w:val="none" w:sz="0" w:space="0" w:color="auto"/>
      </w:divBdr>
    </w:div>
    <w:div w:id="629821503">
      <w:bodyDiv w:val="1"/>
      <w:marLeft w:val="0"/>
      <w:marRight w:val="0"/>
      <w:marTop w:val="0"/>
      <w:marBottom w:val="0"/>
      <w:divBdr>
        <w:top w:val="none" w:sz="0" w:space="0" w:color="auto"/>
        <w:left w:val="none" w:sz="0" w:space="0" w:color="auto"/>
        <w:bottom w:val="none" w:sz="0" w:space="0" w:color="auto"/>
        <w:right w:val="none" w:sz="0" w:space="0" w:color="auto"/>
      </w:divBdr>
    </w:div>
    <w:div w:id="630135642">
      <w:bodyDiv w:val="1"/>
      <w:marLeft w:val="0"/>
      <w:marRight w:val="0"/>
      <w:marTop w:val="0"/>
      <w:marBottom w:val="0"/>
      <w:divBdr>
        <w:top w:val="none" w:sz="0" w:space="0" w:color="auto"/>
        <w:left w:val="none" w:sz="0" w:space="0" w:color="auto"/>
        <w:bottom w:val="none" w:sz="0" w:space="0" w:color="auto"/>
        <w:right w:val="none" w:sz="0" w:space="0" w:color="auto"/>
      </w:divBdr>
    </w:div>
    <w:div w:id="637343027">
      <w:bodyDiv w:val="1"/>
      <w:marLeft w:val="0"/>
      <w:marRight w:val="0"/>
      <w:marTop w:val="0"/>
      <w:marBottom w:val="0"/>
      <w:divBdr>
        <w:top w:val="none" w:sz="0" w:space="0" w:color="auto"/>
        <w:left w:val="none" w:sz="0" w:space="0" w:color="auto"/>
        <w:bottom w:val="none" w:sz="0" w:space="0" w:color="auto"/>
        <w:right w:val="none" w:sz="0" w:space="0" w:color="auto"/>
      </w:divBdr>
    </w:div>
    <w:div w:id="637807074">
      <w:bodyDiv w:val="1"/>
      <w:marLeft w:val="0"/>
      <w:marRight w:val="0"/>
      <w:marTop w:val="0"/>
      <w:marBottom w:val="0"/>
      <w:divBdr>
        <w:top w:val="none" w:sz="0" w:space="0" w:color="auto"/>
        <w:left w:val="none" w:sz="0" w:space="0" w:color="auto"/>
        <w:bottom w:val="none" w:sz="0" w:space="0" w:color="auto"/>
        <w:right w:val="none" w:sz="0" w:space="0" w:color="auto"/>
      </w:divBdr>
    </w:div>
    <w:div w:id="639850497">
      <w:bodyDiv w:val="1"/>
      <w:marLeft w:val="0"/>
      <w:marRight w:val="0"/>
      <w:marTop w:val="0"/>
      <w:marBottom w:val="0"/>
      <w:divBdr>
        <w:top w:val="none" w:sz="0" w:space="0" w:color="auto"/>
        <w:left w:val="none" w:sz="0" w:space="0" w:color="auto"/>
        <w:bottom w:val="none" w:sz="0" w:space="0" w:color="auto"/>
        <w:right w:val="none" w:sz="0" w:space="0" w:color="auto"/>
      </w:divBdr>
    </w:div>
    <w:div w:id="640159953">
      <w:bodyDiv w:val="1"/>
      <w:marLeft w:val="0"/>
      <w:marRight w:val="0"/>
      <w:marTop w:val="0"/>
      <w:marBottom w:val="0"/>
      <w:divBdr>
        <w:top w:val="none" w:sz="0" w:space="0" w:color="auto"/>
        <w:left w:val="none" w:sz="0" w:space="0" w:color="auto"/>
        <w:bottom w:val="none" w:sz="0" w:space="0" w:color="auto"/>
        <w:right w:val="none" w:sz="0" w:space="0" w:color="auto"/>
      </w:divBdr>
    </w:div>
    <w:div w:id="646009456">
      <w:bodyDiv w:val="1"/>
      <w:marLeft w:val="0"/>
      <w:marRight w:val="0"/>
      <w:marTop w:val="0"/>
      <w:marBottom w:val="0"/>
      <w:divBdr>
        <w:top w:val="none" w:sz="0" w:space="0" w:color="auto"/>
        <w:left w:val="none" w:sz="0" w:space="0" w:color="auto"/>
        <w:bottom w:val="none" w:sz="0" w:space="0" w:color="auto"/>
        <w:right w:val="none" w:sz="0" w:space="0" w:color="auto"/>
      </w:divBdr>
    </w:div>
    <w:div w:id="646131800">
      <w:bodyDiv w:val="1"/>
      <w:marLeft w:val="0"/>
      <w:marRight w:val="0"/>
      <w:marTop w:val="0"/>
      <w:marBottom w:val="0"/>
      <w:divBdr>
        <w:top w:val="none" w:sz="0" w:space="0" w:color="auto"/>
        <w:left w:val="none" w:sz="0" w:space="0" w:color="auto"/>
        <w:bottom w:val="none" w:sz="0" w:space="0" w:color="auto"/>
        <w:right w:val="none" w:sz="0" w:space="0" w:color="auto"/>
      </w:divBdr>
    </w:div>
    <w:div w:id="647589649">
      <w:bodyDiv w:val="1"/>
      <w:marLeft w:val="0"/>
      <w:marRight w:val="0"/>
      <w:marTop w:val="0"/>
      <w:marBottom w:val="0"/>
      <w:divBdr>
        <w:top w:val="none" w:sz="0" w:space="0" w:color="auto"/>
        <w:left w:val="none" w:sz="0" w:space="0" w:color="auto"/>
        <w:bottom w:val="none" w:sz="0" w:space="0" w:color="auto"/>
        <w:right w:val="none" w:sz="0" w:space="0" w:color="auto"/>
      </w:divBdr>
    </w:div>
    <w:div w:id="648246246">
      <w:bodyDiv w:val="1"/>
      <w:marLeft w:val="0"/>
      <w:marRight w:val="0"/>
      <w:marTop w:val="0"/>
      <w:marBottom w:val="0"/>
      <w:divBdr>
        <w:top w:val="none" w:sz="0" w:space="0" w:color="auto"/>
        <w:left w:val="none" w:sz="0" w:space="0" w:color="auto"/>
        <w:bottom w:val="none" w:sz="0" w:space="0" w:color="auto"/>
        <w:right w:val="none" w:sz="0" w:space="0" w:color="auto"/>
      </w:divBdr>
    </w:div>
    <w:div w:id="652872503">
      <w:bodyDiv w:val="1"/>
      <w:marLeft w:val="0"/>
      <w:marRight w:val="0"/>
      <w:marTop w:val="0"/>
      <w:marBottom w:val="0"/>
      <w:divBdr>
        <w:top w:val="none" w:sz="0" w:space="0" w:color="auto"/>
        <w:left w:val="none" w:sz="0" w:space="0" w:color="auto"/>
        <w:bottom w:val="none" w:sz="0" w:space="0" w:color="auto"/>
        <w:right w:val="none" w:sz="0" w:space="0" w:color="auto"/>
      </w:divBdr>
    </w:div>
    <w:div w:id="653335444">
      <w:bodyDiv w:val="1"/>
      <w:marLeft w:val="0"/>
      <w:marRight w:val="0"/>
      <w:marTop w:val="0"/>
      <w:marBottom w:val="0"/>
      <w:divBdr>
        <w:top w:val="none" w:sz="0" w:space="0" w:color="auto"/>
        <w:left w:val="none" w:sz="0" w:space="0" w:color="auto"/>
        <w:bottom w:val="none" w:sz="0" w:space="0" w:color="auto"/>
        <w:right w:val="none" w:sz="0" w:space="0" w:color="auto"/>
      </w:divBdr>
    </w:div>
    <w:div w:id="657610021">
      <w:bodyDiv w:val="1"/>
      <w:marLeft w:val="0"/>
      <w:marRight w:val="0"/>
      <w:marTop w:val="0"/>
      <w:marBottom w:val="0"/>
      <w:divBdr>
        <w:top w:val="none" w:sz="0" w:space="0" w:color="auto"/>
        <w:left w:val="none" w:sz="0" w:space="0" w:color="auto"/>
        <w:bottom w:val="none" w:sz="0" w:space="0" w:color="auto"/>
        <w:right w:val="none" w:sz="0" w:space="0" w:color="auto"/>
      </w:divBdr>
    </w:div>
    <w:div w:id="659191319">
      <w:bodyDiv w:val="1"/>
      <w:marLeft w:val="0"/>
      <w:marRight w:val="0"/>
      <w:marTop w:val="0"/>
      <w:marBottom w:val="0"/>
      <w:divBdr>
        <w:top w:val="none" w:sz="0" w:space="0" w:color="auto"/>
        <w:left w:val="none" w:sz="0" w:space="0" w:color="auto"/>
        <w:bottom w:val="none" w:sz="0" w:space="0" w:color="auto"/>
        <w:right w:val="none" w:sz="0" w:space="0" w:color="auto"/>
      </w:divBdr>
    </w:div>
    <w:div w:id="663163812">
      <w:bodyDiv w:val="1"/>
      <w:marLeft w:val="0"/>
      <w:marRight w:val="0"/>
      <w:marTop w:val="0"/>
      <w:marBottom w:val="0"/>
      <w:divBdr>
        <w:top w:val="none" w:sz="0" w:space="0" w:color="auto"/>
        <w:left w:val="none" w:sz="0" w:space="0" w:color="auto"/>
        <w:bottom w:val="none" w:sz="0" w:space="0" w:color="auto"/>
        <w:right w:val="none" w:sz="0" w:space="0" w:color="auto"/>
      </w:divBdr>
    </w:div>
    <w:div w:id="664940082">
      <w:bodyDiv w:val="1"/>
      <w:marLeft w:val="0"/>
      <w:marRight w:val="0"/>
      <w:marTop w:val="0"/>
      <w:marBottom w:val="0"/>
      <w:divBdr>
        <w:top w:val="none" w:sz="0" w:space="0" w:color="auto"/>
        <w:left w:val="none" w:sz="0" w:space="0" w:color="auto"/>
        <w:bottom w:val="none" w:sz="0" w:space="0" w:color="auto"/>
        <w:right w:val="none" w:sz="0" w:space="0" w:color="auto"/>
      </w:divBdr>
    </w:div>
    <w:div w:id="665015939">
      <w:bodyDiv w:val="1"/>
      <w:marLeft w:val="0"/>
      <w:marRight w:val="0"/>
      <w:marTop w:val="0"/>
      <w:marBottom w:val="0"/>
      <w:divBdr>
        <w:top w:val="none" w:sz="0" w:space="0" w:color="auto"/>
        <w:left w:val="none" w:sz="0" w:space="0" w:color="auto"/>
        <w:bottom w:val="none" w:sz="0" w:space="0" w:color="auto"/>
        <w:right w:val="none" w:sz="0" w:space="0" w:color="auto"/>
      </w:divBdr>
    </w:div>
    <w:div w:id="665405063">
      <w:bodyDiv w:val="1"/>
      <w:marLeft w:val="0"/>
      <w:marRight w:val="0"/>
      <w:marTop w:val="0"/>
      <w:marBottom w:val="0"/>
      <w:divBdr>
        <w:top w:val="none" w:sz="0" w:space="0" w:color="auto"/>
        <w:left w:val="none" w:sz="0" w:space="0" w:color="auto"/>
        <w:bottom w:val="none" w:sz="0" w:space="0" w:color="auto"/>
        <w:right w:val="none" w:sz="0" w:space="0" w:color="auto"/>
      </w:divBdr>
    </w:div>
    <w:div w:id="669067128">
      <w:bodyDiv w:val="1"/>
      <w:marLeft w:val="0"/>
      <w:marRight w:val="0"/>
      <w:marTop w:val="0"/>
      <w:marBottom w:val="0"/>
      <w:divBdr>
        <w:top w:val="none" w:sz="0" w:space="0" w:color="auto"/>
        <w:left w:val="none" w:sz="0" w:space="0" w:color="auto"/>
        <w:bottom w:val="none" w:sz="0" w:space="0" w:color="auto"/>
        <w:right w:val="none" w:sz="0" w:space="0" w:color="auto"/>
      </w:divBdr>
    </w:div>
    <w:div w:id="669529954">
      <w:bodyDiv w:val="1"/>
      <w:marLeft w:val="0"/>
      <w:marRight w:val="0"/>
      <w:marTop w:val="0"/>
      <w:marBottom w:val="0"/>
      <w:divBdr>
        <w:top w:val="none" w:sz="0" w:space="0" w:color="auto"/>
        <w:left w:val="none" w:sz="0" w:space="0" w:color="auto"/>
        <w:bottom w:val="none" w:sz="0" w:space="0" w:color="auto"/>
        <w:right w:val="none" w:sz="0" w:space="0" w:color="auto"/>
      </w:divBdr>
    </w:div>
    <w:div w:id="670911447">
      <w:bodyDiv w:val="1"/>
      <w:marLeft w:val="0"/>
      <w:marRight w:val="0"/>
      <w:marTop w:val="0"/>
      <w:marBottom w:val="0"/>
      <w:divBdr>
        <w:top w:val="none" w:sz="0" w:space="0" w:color="auto"/>
        <w:left w:val="none" w:sz="0" w:space="0" w:color="auto"/>
        <w:bottom w:val="none" w:sz="0" w:space="0" w:color="auto"/>
        <w:right w:val="none" w:sz="0" w:space="0" w:color="auto"/>
      </w:divBdr>
    </w:div>
    <w:div w:id="671445369">
      <w:bodyDiv w:val="1"/>
      <w:marLeft w:val="0"/>
      <w:marRight w:val="0"/>
      <w:marTop w:val="0"/>
      <w:marBottom w:val="0"/>
      <w:divBdr>
        <w:top w:val="none" w:sz="0" w:space="0" w:color="auto"/>
        <w:left w:val="none" w:sz="0" w:space="0" w:color="auto"/>
        <w:bottom w:val="none" w:sz="0" w:space="0" w:color="auto"/>
        <w:right w:val="none" w:sz="0" w:space="0" w:color="auto"/>
      </w:divBdr>
    </w:div>
    <w:div w:id="674843763">
      <w:bodyDiv w:val="1"/>
      <w:marLeft w:val="0"/>
      <w:marRight w:val="0"/>
      <w:marTop w:val="0"/>
      <w:marBottom w:val="0"/>
      <w:divBdr>
        <w:top w:val="none" w:sz="0" w:space="0" w:color="auto"/>
        <w:left w:val="none" w:sz="0" w:space="0" w:color="auto"/>
        <w:bottom w:val="none" w:sz="0" w:space="0" w:color="auto"/>
        <w:right w:val="none" w:sz="0" w:space="0" w:color="auto"/>
      </w:divBdr>
    </w:div>
    <w:div w:id="675838688">
      <w:bodyDiv w:val="1"/>
      <w:marLeft w:val="0"/>
      <w:marRight w:val="0"/>
      <w:marTop w:val="0"/>
      <w:marBottom w:val="0"/>
      <w:divBdr>
        <w:top w:val="none" w:sz="0" w:space="0" w:color="auto"/>
        <w:left w:val="none" w:sz="0" w:space="0" w:color="auto"/>
        <w:bottom w:val="none" w:sz="0" w:space="0" w:color="auto"/>
        <w:right w:val="none" w:sz="0" w:space="0" w:color="auto"/>
      </w:divBdr>
    </w:div>
    <w:div w:id="679115002">
      <w:bodyDiv w:val="1"/>
      <w:marLeft w:val="0"/>
      <w:marRight w:val="0"/>
      <w:marTop w:val="0"/>
      <w:marBottom w:val="0"/>
      <w:divBdr>
        <w:top w:val="none" w:sz="0" w:space="0" w:color="auto"/>
        <w:left w:val="none" w:sz="0" w:space="0" w:color="auto"/>
        <w:bottom w:val="none" w:sz="0" w:space="0" w:color="auto"/>
        <w:right w:val="none" w:sz="0" w:space="0" w:color="auto"/>
      </w:divBdr>
    </w:div>
    <w:div w:id="679428269">
      <w:bodyDiv w:val="1"/>
      <w:marLeft w:val="0"/>
      <w:marRight w:val="0"/>
      <w:marTop w:val="0"/>
      <w:marBottom w:val="0"/>
      <w:divBdr>
        <w:top w:val="none" w:sz="0" w:space="0" w:color="auto"/>
        <w:left w:val="none" w:sz="0" w:space="0" w:color="auto"/>
        <w:bottom w:val="none" w:sz="0" w:space="0" w:color="auto"/>
        <w:right w:val="none" w:sz="0" w:space="0" w:color="auto"/>
      </w:divBdr>
    </w:div>
    <w:div w:id="682513283">
      <w:bodyDiv w:val="1"/>
      <w:marLeft w:val="0"/>
      <w:marRight w:val="0"/>
      <w:marTop w:val="0"/>
      <w:marBottom w:val="0"/>
      <w:divBdr>
        <w:top w:val="none" w:sz="0" w:space="0" w:color="auto"/>
        <w:left w:val="none" w:sz="0" w:space="0" w:color="auto"/>
        <w:bottom w:val="none" w:sz="0" w:space="0" w:color="auto"/>
        <w:right w:val="none" w:sz="0" w:space="0" w:color="auto"/>
      </w:divBdr>
    </w:div>
    <w:div w:id="684477655">
      <w:bodyDiv w:val="1"/>
      <w:marLeft w:val="0"/>
      <w:marRight w:val="0"/>
      <w:marTop w:val="0"/>
      <w:marBottom w:val="0"/>
      <w:divBdr>
        <w:top w:val="none" w:sz="0" w:space="0" w:color="auto"/>
        <w:left w:val="none" w:sz="0" w:space="0" w:color="auto"/>
        <w:bottom w:val="none" w:sz="0" w:space="0" w:color="auto"/>
        <w:right w:val="none" w:sz="0" w:space="0" w:color="auto"/>
      </w:divBdr>
      <w:divsChild>
        <w:div w:id="698824675">
          <w:marLeft w:val="0"/>
          <w:marRight w:val="0"/>
          <w:marTop w:val="0"/>
          <w:marBottom w:val="0"/>
          <w:divBdr>
            <w:top w:val="none" w:sz="0" w:space="0" w:color="auto"/>
            <w:left w:val="none" w:sz="0" w:space="0" w:color="auto"/>
            <w:bottom w:val="none" w:sz="0" w:space="0" w:color="auto"/>
            <w:right w:val="none" w:sz="0" w:space="0" w:color="auto"/>
          </w:divBdr>
          <w:divsChild>
            <w:div w:id="1288851493">
              <w:marLeft w:val="0"/>
              <w:marRight w:val="0"/>
              <w:marTop w:val="0"/>
              <w:marBottom w:val="0"/>
              <w:divBdr>
                <w:top w:val="none" w:sz="0" w:space="0" w:color="auto"/>
                <w:left w:val="none" w:sz="0" w:space="0" w:color="auto"/>
                <w:bottom w:val="none" w:sz="0" w:space="0" w:color="auto"/>
                <w:right w:val="none" w:sz="0" w:space="0" w:color="auto"/>
              </w:divBdr>
              <w:divsChild>
                <w:div w:id="1651670097">
                  <w:marLeft w:val="0"/>
                  <w:marRight w:val="0"/>
                  <w:marTop w:val="0"/>
                  <w:marBottom w:val="0"/>
                  <w:divBdr>
                    <w:top w:val="none" w:sz="0" w:space="0" w:color="auto"/>
                    <w:left w:val="none" w:sz="0" w:space="0" w:color="auto"/>
                    <w:bottom w:val="none" w:sz="0" w:space="0" w:color="auto"/>
                    <w:right w:val="none" w:sz="0" w:space="0" w:color="auto"/>
                  </w:divBdr>
                  <w:divsChild>
                    <w:div w:id="1527864729">
                      <w:marLeft w:val="0"/>
                      <w:marRight w:val="0"/>
                      <w:marTop w:val="0"/>
                      <w:marBottom w:val="0"/>
                      <w:divBdr>
                        <w:top w:val="none" w:sz="0" w:space="0" w:color="auto"/>
                        <w:left w:val="none" w:sz="0" w:space="0" w:color="auto"/>
                        <w:bottom w:val="none" w:sz="0" w:space="0" w:color="auto"/>
                        <w:right w:val="none" w:sz="0" w:space="0" w:color="auto"/>
                      </w:divBdr>
                      <w:divsChild>
                        <w:div w:id="2069262353">
                          <w:marLeft w:val="0"/>
                          <w:marRight w:val="0"/>
                          <w:marTop w:val="0"/>
                          <w:marBottom w:val="0"/>
                          <w:divBdr>
                            <w:top w:val="none" w:sz="0" w:space="0" w:color="auto"/>
                            <w:left w:val="none" w:sz="0" w:space="0" w:color="auto"/>
                            <w:bottom w:val="none" w:sz="0" w:space="0" w:color="auto"/>
                            <w:right w:val="none" w:sz="0" w:space="0" w:color="auto"/>
                          </w:divBdr>
                          <w:divsChild>
                            <w:div w:id="1604995824">
                              <w:marLeft w:val="0"/>
                              <w:marRight w:val="0"/>
                              <w:marTop w:val="0"/>
                              <w:marBottom w:val="0"/>
                              <w:divBdr>
                                <w:top w:val="none" w:sz="0" w:space="0" w:color="auto"/>
                                <w:left w:val="none" w:sz="0" w:space="0" w:color="auto"/>
                                <w:bottom w:val="none" w:sz="0" w:space="0" w:color="auto"/>
                                <w:right w:val="none" w:sz="0" w:space="0" w:color="auto"/>
                              </w:divBdr>
                              <w:divsChild>
                                <w:div w:id="1342393352">
                                  <w:marLeft w:val="0"/>
                                  <w:marRight w:val="0"/>
                                  <w:marTop w:val="0"/>
                                  <w:marBottom w:val="0"/>
                                  <w:divBdr>
                                    <w:top w:val="none" w:sz="0" w:space="0" w:color="auto"/>
                                    <w:left w:val="none" w:sz="0" w:space="0" w:color="auto"/>
                                    <w:bottom w:val="none" w:sz="0" w:space="0" w:color="auto"/>
                                    <w:right w:val="none" w:sz="0" w:space="0" w:color="auto"/>
                                  </w:divBdr>
                                  <w:divsChild>
                                    <w:div w:id="1674529019">
                                      <w:marLeft w:val="0"/>
                                      <w:marRight w:val="0"/>
                                      <w:marTop w:val="0"/>
                                      <w:marBottom w:val="0"/>
                                      <w:divBdr>
                                        <w:top w:val="single" w:sz="4" w:space="0" w:color="F5F5F5"/>
                                        <w:left w:val="single" w:sz="4" w:space="0" w:color="F5F5F5"/>
                                        <w:bottom w:val="single" w:sz="4" w:space="0" w:color="F5F5F5"/>
                                        <w:right w:val="single" w:sz="4" w:space="0" w:color="F5F5F5"/>
                                      </w:divBdr>
                                      <w:divsChild>
                                        <w:div w:id="1430588790">
                                          <w:marLeft w:val="0"/>
                                          <w:marRight w:val="0"/>
                                          <w:marTop w:val="0"/>
                                          <w:marBottom w:val="0"/>
                                          <w:divBdr>
                                            <w:top w:val="none" w:sz="0" w:space="0" w:color="auto"/>
                                            <w:left w:val="none" w:sz="0" w:space="0" w:color="auto"/>
                                            <w:bottom w:val="none" w:sz="0" w:space="0" w:color="auto"/>
                                            <w:right w:val="none" w:sz="0" w:space="0" w:color="auto"/>
                                          </w:divBdr>
                                          <w:divsChild>
                                            <w:div w:id="21193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521974">
      <w:bodyDiv w:val="1"/>
      <w:marLeft w:val="0"/>
      <w:marRight w:val="0"/>
      <w:marTop w:val="0"/>
      <w:marBottom w:val="0"/>
      <w:divBdr>
        <w:top w:val="none" w:sz="0" w:space="0" w:color="auto"/>
        <w:left w:val="none" w:sz="0" w:space="0" w:color="auto"/>
        <w:bottom w:val="none" w:sz="0" w:space="0" w:color="auto"/>
        <w:right w:val="none" w:sz="0" w:space="0" w:color="auto"/>
      </w:divBdr>
    </w:div>
    <w:div w:id="688995295">
      <w:bodyDiv w:val="1"/>
      <w:marLeft w:val="0"/>
      <w:marRight w:val="0"/>
      <w:marTop w:val="0"/>
      <w:marBottom w:val="0"/>
      <w:divBdr>
        <w:top w:val="none" w:sz="0" w:space="0" w:color="auto"/>
        <w:left w:val="none" w:sz="0" w:space="0" w:color="auto"/>
        <w:bottom w:val="none" w:sz="0" w:space="0" w:color="auto"/>
        <w:right w:val="none" w:sz="0" w:space="0" w:color="auto"/>
      </w:divBdr>
    </w:div>
    <w:div w:id="689142519">
      <w:bodyDiv w:val="1"/>
      <w:marLeft w:val="0"/>
      <w:marRight w:val="0"/>
      <w:marTop w:val="0"/>
      <w:marBottom w:val="0"/>
      <w:divBdr>
        <w:top w:val="none" w:sz="0" w:space="0" w:color="auto"/>
        <w:left w:val="none" w:sz="0" w:space="0" w:color="auto"/>
        <w:bottom w:val="none" w:sz="0" w:space="0" w:color="auto"/>
        <w:right w:val="none" w:sz="0" w:space="0" w:color="auto"/>
      </w:divBdr>
    </w:div>
    <w:div w:id="689642399">
      <w:bodyDiv w:val="1"/>
      <w:marLeft w:val="0"/>
      <w:marRight w:val="0"/>
      <w:marTop w:val="0"/>
      <w:marBottom w:val="0"/>
      <w:divBdr>
        <w:top w:val="none" w:sz="0" w:space="0" w:color="auto"/>
        <w:left w:val="none" w:sz="0" w:space="0" w:color="auto"/>
        <w:bottom w:val="none" w:sz="0" w:space="0" w:color="auto"/>
        <w:right w:val="none" w:sz="0" w:space="0" w:color="auto"/>
      </w:divBdr>
    </w:div>
    <w:div w:id="689723038">
      <w:bodyDiv w:val="1"/>
      <w:marLeft w:val="0"/>
      <w:marRight w:val="0"/>
      <w:marTop w:val="0"/>
      <w:marBottom w:val="0"/>
      <w:divBdr>
        <w:top w:val="none" w:sz="0" w:space="0" w:color="auto"/>
        <w:left w:val="none" w:sz="0" w:space="0" w:color="auto"/>
        <w:bottom w:val="none" w:sz="0" w:space="0" w:color="auto"/>
        <w:right w:val="none" w:sz="0" w:space="0" w:color="auto"/>
      </w:divBdr>
    </w:div>
    <w:div w:id="690450618">
      <w:bodyDiv w:val="1"/>
      <w:marLeft w:val="0"/>
      <w:marRight w:val="0"/>
      <w:marTop w:val="0"/>
      <w:marBottom w:val="0"/>
      <w:divBdr>
        <w:top w:val="none" w:sz="0" w:space="0" w:color="auto"/>
        <w:left w:val="none" w:sz="0" w:space="0" w:color="auto"/>
        <w:bottom w:val="none" w:sz="0" w:space="0" w:color="auto"/>
        <w:right w:val="none" w:sz="0" w:space="0" w:color="auto"/>
      </w:divBdr>
    </w:div>
    <w:div w:id="694383447">
      <w:bodyDiv w:val="1"/>
      <w:marLeft w:val="0"/>
      <w:marRight w:val="0"/>
      <w:marTop w:val="0"/>
      <w:marBottom w:val="0"/>
      <w:divBdr>
        <w:top w:val="none" w:sz="0" w:space="0" w:color="auto"/>
        <w:left w:val="none" w:sz="0" w:space="0" w:color="auto"/>
        <w:bottom w:val="none" w:sz="0" w:space="0" w:color="auto"/>
        <w:right w:val="none" w:sz="0" w:space="0" w:color="auto"/>
      </w:divBdr>
    </w:div>
    <w:div w:id="701441996">
      <w:bodyDiv w:val="1"/>
      <w:marLeft w:val="0"/>
      <w:marRight w:val="0"/>
      <w:marTop w:val="0"/>
      <w:marBottom w:val="0"/>
      <w:divBdr>
        <w:top w:val="none" w:sz="0" w:space="0" w:color="auto"/>
        <w:left w:val="none" w:sz="0" w:space="0" w:color="auto"/>
        <w:bottom w:val="none" w:sz="0" w:space="0" w:color="auto"/>
        <w:right w:val="none" w:sz="0" w:space="0" w:color="auto"/>
      </w:divBdr>
    </w:div>
    <w:div w:id="703939801">
      <w:bodyDiv w:val="1"/>
      <w:marLeft w:val="0"/>
      <w:marRight w:val="0"/>
      <w:marTop w:val="0"/>
      <w:marBottom w:val="0"/>
      <w:divBdr>
        <w:top w:val="none" w:sz="0" w:space="0" w:color="auto"/>
        <w:left w:val="none" w:sz="0" w:space="0" w:color="auto"/>
        <w:bottom w:val="none" w:sz="0" w:space="0" w:color="auto"/>
        <w:right w:val="none" w:sz="0" w:space="0" w:color="auto"/>
      </w:divBdr>
    </w:div>
    <w:div w:id="704598442">
      <w:bodyDiv w:val="1"/>
      <w:marLeft w:val="0"/>
      <w:marRight w:val="0"/>
      <w:marTop w:val="0"/>
      <w:marBottom w:val="0"/>
      <w:divBdr>
        <w:top w:val="none" w:sz="0" w:space="0" w:color="auto"/>
        <w:left w:val="none" w:sz="0" w:space="0" w:color="auto"/>
        <w:bottom w:val="none" w:sz="0" w:space="0" w:color="auto"/>
        <w:right w:val="none" w:sz="0" w:space="0" w:color="auto"/>
      </w:divBdr>
    </w:div>
    <w:div w:id="710693028">
      <w:bodyDiv w:val="1"/>
      <w:marLeft w:val="0"/>
      <w:marRight w:val="0"/>
      <w:marTop w:val="0"/>
      <w:marBottom w:val="0"/>
      <w:divBdr>
        <w:top w:val="none" w:sz="0" w:space="0" w:color="auto"/>
        <w:left w:val="none" w:sz="0" w:space="0" w:color="auto"/>
        <w:bottom w:val="none" w:sz="0" w:space="0" w:color="auto"/>
        <w:right w:val="none" w:sz="0" w:space="0" w:color="auto"/>
      </w:divBdr>
    </w:div>
    <w:div w:id="712117652">
      <w:bodyDiv w:val="1"/>
      <w:marLeft w:val="0"/>
      <w:marRight w:val="0"/>
      <w:marTop w:val="0"/>
      <w:marBottom w:val="0"/>
      <w:divBdr>
        <w:top w:val="none" w:sz="0" w:space="0" w:color="auto"/>
        <w:left w:val="none" w:sz="0" w:space="0" w:color="auto"/>
        <w:bottom w:val="none" w:sz="0" w:space="0" w:color="auto"/>
        <w:right w:val="none" w:sz="0" w:space="0" w:color="auto"/>
      </w:divBdr>
    </w:div>
    <w:div w:id="713502052">
      <w:bodyDiv w:val="1"/>
      <w:marLeft w:val="0"/>
      <w:marRight w:val="0"/>
      <w:marTop w:val="0"/>
      <w:marBottom w:val="0"/>
      <w:divBdr>
        <w:top w:val="none" w:sz="0" w:space="0" w:color="auto"/>
        <w:left w:val="none" w:sz="0" w:space="0" w:color="auto"/>
        <w:bottom w:val="none" w:sz="0" w:space="0" w:color="auto"/>
        <w:right w:val="none" w:sz="0" w:space="0" w:color="auto"/>
      </w:divBdr>
    </w:div>
    <w:div w:id="714743410">
      <w:bodyDiv w:val="1"/>
      <w:marLeft w:val="0"/>
      <w:marRight w:val="0"/>
      <w:marTop w:val="0"/>
      <w:marBottom w:val="0"/>
      <w:divBdr>
        <w:top w:val="none" w:sz="0" w:space="0" w:color="auto"/>
        <w:left w:val="none" w:sz="0" w:space="0" w:color="auto"/>
        <w:bottom w:val="none" w:sz="0" w:space="0" w:color="auto"/>
        <w:right w:val="none" w:sz="0" w:space="0" w:color="auto"/>
      </w:divBdr>
    </w:div>
    <w:div w:id="715011011">
      <w:bodyDiv w:val="1"/>
      <w:marLeft w:val="0"/>
      <w:marRight w:val="0"/>
      <w:marTop w:val="0"/>
      <w:marBottom w:val="0"/>
      <w:divBdr>
        <w:top w:val="none" w:sz="0" w:space="0" w:color="auto"/>
        <w:left w:val="none" w:sz="0" w:space="0" w:color="auto"/>
        <w:bottom w:val="none" w:sz="0" w:space="0" w:color="auto"/>
        <w:right w:val="none" w:sz="0" w:space="0" w:color="auto"/>
      </w:divBdr>
    </w:div>
    <w:div w:id="722828908">
      <w:bodyDiv w:val="1"/>
      <w:marLeft w:val="0"/>
      <w:marRight w:val="0"/>
      <w:marTop w:val="0"/>
      <w:marBottom w:val="0"/>
      <w:divBdr>
        <w:top w:val="none" w:sz="0" w:space="0" w:color="auto"/>
        <w:left w:val="none" w:sz="0" w:space="0" w:color="auto"/>
        <w:bottom w:val="none" w:sz="0" w:space="0" w:color="auto"/>
        <w:right w:val="none" w:sz="0" w:space="0" w:color="auto"/>
      </w:divBdr>
    </w:div>
    <w:div w:id="723333016">
      <w:bodyDiv w:val="1"/>
      <w:marLeft w:val="0"/>
      <w:marRight w:val="0"/>
      <w:marTop w:val="0"/>
      <w:marBottom w:val="0"/>
      <w:divBdr>
        <w:top w:val="none" w:sz="0" w:space="0" w:color="auto"/>
        <w:left w:val="none" w:sz="0" w:space="0" w:color="auto"/>
        <w:bottom w:val="none" w:sz="0" w:space="0" w:color="auto"/>
        <w:right w:val="none" w:sz="0" w:space="0" w:color="auto"/>
      </w:divBdr>
    </w:div>
    <w:div w:id="725101848">
      <w:bodyDiv w:val="1"/>
      <w:marLeft w:val="0"/>
      <w:marRight w:val="0"/>
      <w:marTop w:val="0"/>
      <w:marBottom w:val="0"/>
      <w:divBdr>
        <w:top w:val="none" w:sz="0" w:space="0" w:color="auto"/>
        <w:left w:val="none" w:sz="0" w:space="0" w:color="auto"/>
        <w:bottom w:val="none" w:sz="0" w:space="0" w:color="auto"/>
        <w:right w:val="none" w:sz="0" w:space="0" w:color="auto"/>
      </w:divBdr>
    </w:div>
    <w:div w:id="726341099">
      <w:bodyDiv w:val="1"/>
      <w:marLeft w:val="0"/>
      <w:marRight w:val="0"/>
      <w:marTop w:val="0"/>
      <w:marBottom w:val="0"/>
      <w:divBdr>
        <w:top w:val="none" w:sz="0" w:space="0" w:color="auto"/>
        <w:left w:val="none" w:sz="0" w:space="0" w:color="auto"/>
        <w:bottom w:val="none" w:sz="0" w:space="0" w:color="auto"/>
        <w:right w:val="none" w:sz="0" w:space="0" w:color="auto"/>
      </w:divBdr>
    </w:div>
    <w:div w:id="729695056">
      <w:bodyDiv w:val="1"/>
      <w:marLeft w:val="0"/>
      <w:marRight w:val="0"/>
      <w:marTop w:val="0"/>
      <w:marBottom w:val="0"/>
      <w:divBdr>
        <w:top w:val="none" w:sz="0" w:space="0" w:color="auto"/>
        <w:left w:val="none" w:sz="0" w:space="0" w:color="auto"/>
        <w:bottom w:val="none" w:sz="0" w:space="0" w:color="auto"/>
        <w:right w:val="none" w:sz="0" w:space="0" w:color="auto"/>
      </w:divBdr>
    </w:div>
    <w:div w:id="731588171">
      <w:bodyDiv w:val="1"/>
      <w:marLeft w:val="0"/>
      <w:marRight w:val="0"/>
      <w:marTop w:val="0"/>
      <w:marBottom w:val="0"/>
      <w:divBdr>
        <w:top w:val="none" w:sz="0" w:space="0" w:color="auto"/>
        <w:left w:val="none" w:sz="0" w:space="0" w:color="auto"/>
        <w:bottom w:val="none" w:sz="0" w:space="0" w:color="auto"/>
        <w:right w:val="none" w:sz="0" w:space="0" w:color="auto"/>
      </w:divBdr>
    </w:div>
    <w:div w:id="734426287">
      <w:bodyDiv w:val="1"/>
      <w:marLeft w:val="0"/>
      <w:marRight w:val="0"/>
      <w:marTop w:val="0"/>
      <w:marBottom w:val="0"/>
      <w:divBdr>
        <w:top w:val="none" w:sz="0" w:space="0" w:color="auto"/>
        <w:left w:val="none" w:sz="0" w:space="0" w:color="auto"/>
        <w:bottom w:val="none" w:sz="0" w:space="0" w:color="auto"/>
        <w:right w:val="none" w:sz="0" w:space="0" w:color="auto"/>
      </w:divBdr>
    </w:div>
    <w:div w:id="735860150">
      <w:bodyDiv w:val="1"/>
      <w:marLeft w:val="0"/>
      <w:marRight w:val="0"/>
      <w:marTop w:val="0"/>
      <w:marBottom w:val="0"/>
      <w:divBdr>
        <w:top w:val="none" w:sz="0" w:space="0" w:color="auto"/>
        <w:left w:val="none" w:sz="0" w:space="0" w:color="auto"/>
        <w:bottom w:val="none" w:sz="0" w:space="0" w:color="auto"/>
        <w:right w:val="none" w:sz="0" w:space="0" w:color="auto"/>
      </w:divBdr>
    </w:div>
    <w:div w:id="739209083">
      <w:bodyDiv w:val="1"/>
      <w:marLeft w:val="0"/>
      <w:marRight w:val="0"/>
      <w:marTop w:val="0"/>
      <w:marBottom w:val="0"/>
      <w:divBdr>
        <w:top w:val="none" w:sz="0" w:space="0" w:color="auto"/>
        <w:left w:val="none" w:sz="0" w:space="0" w:color="auto"/>
        <w:bottom w:val="none" w:sz="0" w:space="0" w:color="auto"/>
        <w:right w:val="none" w:sz="0" w:space="0" w:color="auto"/>
      </w:divBdr>
    </w:div>
    <w:div w:id="740710153">
      <w:bodyDiv w:val="1"/>
      <w:marLeft w:val="0"/>
      <w:marRight w:val="0"/>
      <w:marTop w:val="0"/>
      <w:marBottom w:val="0"/>
      <w:divBdr>
        <w:top w:val="none" w:sz="0" w:space="0" w:color="auto"/>
        <w:left w:val="none" w:sz="0" w:space="0" w:color="auto"/>
        <w:bottom w:val="none" w:sz="0" w:space="0" w:color="auto"/>
        <w:right w:val="none" w:sz="0" w:space="0" w:color="auto"/>
      </w:divBdr>
    </w:div>
    <w:div w:id="743258621">
      <w:bodyDiv w:val="1"/>
      <w:marLeft w:val="0"/>
      <w:marRight w:val="0"/>
      <w:marTop w:val="0"/>
      <w:marBottom w:val="0"/>
      <w:divBdr>
        <w:top w:val="none" w:sz="0" w:space="0" w:color="auto"/>
        <w:left w:val="none" w:sz="0" w:space="0" w:color="auto"/>
        <w:bottom w:val="none" w:sz="0" w:space="0" w:color="auto"/>
        <w:right w:val="none" w:sz="0" w:space="0" w:color="auto"/>
      </w:divBdr>
    </w:div>
    <w:div w:id="743919561">
      <w:bodyDiv w:val="1"/>
      <w:marLeft w:val="0"/>
      <w:marRight w:val="0"/>
      <w:marTop w:val="0"/>
      <w:marBottom w:val="0"/>
      <w:divBdr>
        <w:top w:val="none" w:sz="0" w:space="0" w:color="auto"/>
        <w:left w:val="none" w:sz="0" w:space="0" w:color="auto"/>
        <w:bottom w:val="none" w:sz="0" w:space="0" w:color="auto"/>
        <w:right w:val="none" w:sz="0" w:space="0" w:color="auto"/>
      </w:divBdr>
    </w:div>
    <w:div w:id="746267393">
      <w:bodyDiv w:val="1"/>
      <w:marLeft w:val="0"/>
      <w:marRight w:val="0"/>
      <w:marTop w:val="0"/>
      <w:marBottom w:val="0"/>
      <w:divBdr>
        <w:top w:val="none" w:sz="0" w:space="0" w:color="auto"/>
        <w:left w:val="none" w:sz="0" w:space="0" w:color="auto"/>
        <w:bottom w:val="none" w:sz="0" w:space="0" w:color="auto"/>
        <w:right w:val="none" w:sz="0" w:space="0" w:color="auto"/>
      </w:divBdr>
    </w:div>
    <w:div w:id="747457827">
      <w:bodyDiv w:val="1"/>
      <w:marLeft w:val="0"/>
      <w:marRight w:val="0"/>
      <w:marTop w:val="0"/>
      <w:marBottom w:val="0"/>
      <w:divBdr>
        <w:top w:val="none" w:sz="0" w:space="0" w:color="auto"/>
        <w:left w:val="none" w:sz="0" w:space="0" w:color="auto"/>
        <w:bottom w:val="none" w:sz="0" w:space="0" w:color="auto"/>
        <w:right w:val="none" w:sz="0" w:space="0" w:color="auto"/>
      </w:divBdr>
    </w:div>
    <w:div w:id="747964699">
      <w:bodyDiv w:val="1"/>
      <w:marLeft w:val="0"/>
      <w:marRight w:val="0"/>
      <w:marTop w:val="0"/>
      <w:marBottom w:val="0"/>
      <w:divBdr>
        <w:top w:val="none" w:sz="0" w:space="0" w:color="auto"/>
        <w:left w:val="none" w:sz="0" w:space="0" w:color="auto"/>
        <w:bottom w:val="none" w:sz="0" w:space="0" w:color="auto"/>
        <w:right w:val="none" w:sz="0" w:space="0" w:color="auto"/>
      </w:divBdr>
    </w:div>
    <w:div w:id="748230410">
      <w:bodyDiv w:val="1"/>
      <w:marLeft w:val="0"/>
      <w:marRight w:val="0"/>
      <w:marTop w:val="0"/>
      <w:marBottom w:val="0"/>
      <w:divBdr>
        <w:top w:val="none" w:sz="0" w:space="0" w:color="auto"/>
        <w:left w:val="none" w:sz="0" w:space="0" w:color="auto"/>
        <w:bottom w:val="none" w:sz="0" w:space="0" w:color="auto"/>
        <w:right w:val="none" w:sz="0" w:space="0" w:color="auto"/>
      </w:divBdr>
    </w:div>
    <w:div w:id="749041610">
      <w:bodyDiv w:val="1"/>
      <w:marLeft w:val="0"/>
      <w:marRight w:val="0"/>
      <w:marTop w:val="0"/>
      <w:marBottom w:val="0"/>
      <w:divBdr>
        <w:top w:val="none" w:sz="0" w:space="0" w:color="auto"/>
        <w:left w:val="none" w:sz="0" w:space="0" w:color="auto"/>
        <w:bottom w:val="none" w:sz="0" w:space="0" w:color="auto"/>
        <w:right w:val="none" w:sz="0" w:space="0" w:color="auto"/>
      </w:divBdr>
    </w:div>
    <w:div w:id="749739420">
      <w:bodyDiv w:val="1"/>
      <w:marLeft w:val="0"/>
      <w:marRight w:val="0"/>
      <w:marTop w:val="0"/>
      <w:marBottom w:val="0"/>
      <w:divBdr>
        <w:top w:val="none" w:sz="0" w:space="0" w:color="auto"/>
        <w:left w:val="none" w:sz="0" w:space="0" w:color="auto"/>
        <w:bottom w:val="none" w:sz="0" w:space="0" w:color="auto"/>
        <w:right w:val="none" w:sz="0" w:space="0" w:color="auto"/>
      </w:divBdr>
    </w:div>
    <w:div w:id="750664493">
      <w:bodyDiv w:val="1"/>
      <w:marLeft w:val="0"/>
      <w:marRight w:val="0"/>
      <w:marTop w:val="0"/>
      <w:marBottom w:val="0"/>
      <w:divBdr>
        <w:top w:val="none" w:sz="0" w:space="0" w:color="auto"/>
        <w:left w:val="none" w:sz="0" w:space="0" w:color="auto"/>
        <w:bottom w:val="none" w:sz="0" w:space="0" w:color="auto"/>
        <w:right w:val="none" w:sz="0" w:space="0" w:color="auto"/>
      </w:divBdr>
    </w:div>
    <w:div w:id="751661842">
      <w:bodyDiv w:val="1"/>
      <w:marLeft w:val="0"/>
      <w:marRight w:val="0"/>
      <w:marTop w:val="0"/>
      <w:marBottom w:val="0"/>
      <w:divBdr>
        <w:top w:val="none" w:sz="0" w:space="0" w:color="auto"/>
        <w:left w:val="none" w:sz="0" w:space="0" w:color="auto"/>
        <w:bottom w:val="none" w:sz="0" w:space="0" w:color="auto"/>
        <w:right w:val="none" w:sz="0" w:space="0" w:color="auto"/>
      </w:divBdr>
    </w:div>
    <w:div w:id="752900342">
      <w:bodyDiv w:val="1"/>
      <w:marLeft w:val="0"/>
      <w:marRight w:val="0"/>
      <w:marTop w:val="0"/>
      <w:marBottom w:val="0"/>
      <w:divBdr>
        <w:top w:val="none" w:sz="0" w:space="0" w:color="auto"/>
        <w:left w:val="none" w:sz="0" w:space="0" w:color="auto"/>
        <w:bottom w:val="none" w:sz="0" w:space="0" w:color="auto"/>
        <w:right w:val="none" w:sz="0" w:space="0" w:color="auto"/>
      </w:divBdr>
    </w:div>
    <w:div w:id="756832745">
      <w:bodyDiv w:val="1"/>
      <w:marLeft w:val="0"/>
      <w:marRight w:val="0"/>
      <w:marTop w:val="0"/>
      <w:marBottom w:val="0"/>
      <w:divBdr>
        <w:top w:val="none" w:sz="0" w:space="0" w:color="auto"/>
        <w:left w:val="none" w:sz="0" w:space="0" w:color="auto"/>
        <w:bottom w:val="none" w:sz="0" w:space="0" w:color="auto"/>
        <w:right w:val="none" w:sz="0" w:space="0" w:color="auto"/>
      </w:divBdr>
    </w:div>
    <w:div w:id="764182313">
      <w:bodyDiv w:val="1"/>
      <w:marLeft w:val="0"/>
      <w:marRight w:val="0"/>
      <w:marTop w:val="0"/>
      <w:marBottom w:val="0"/>
      <w:divBdr>
        <w:top w:val="none" w:sz="0" w:space="0" w:color="auto"/>
        <w:left w:val="none" w:sz="0" w:space="0" w:color="auto"/>
        <w:bottom w:val="none" w:sz="0" w:space="0" w:color="auto"/>
        <w:right w:val="none" w:sz="0" w:space="0" w:color="auto"/>
      </w:divBdr>
    </w:div>
    <w:div w:id="765925227">
      <w:bodyDiv w:val="1"/>
      <w:marLeft w:val="0"/>
      <w:marRight w:val="0"/>
      <w:marTop w:val="0"/>
      <w:marBottom w:val="0"/>
      <w:divBdr>
        <w:top w:val="none" w:sz="0" w:space="0" w:color="auto"/>
        <w:left w:val="none" w:sz="0" w:space="0" w:color="auto"/>
        <w:bottom w:val="none" w:sz="0" w:space="0" w:color="auto"/>
        <w:right w:val="none" w:sz="0" w:space="0" w:color="auto"/>
      </w:divBdr>
    </w:div>
    <w:div w:id="767652852">
      <w:bodyDiv w:val="1"/>
      <w:marLeft w:val="0"/>
      <w:marRight w:val="0"/>
      <w:marTop w:val="0"/>
      <w:marBottom w:val="0"/>
      <w:divBdr>
        <w:top w:val="none" w:sz="0" w:space="0" w:color="auto"/>
        <w:left w:val="none" w:sz="0" w:space="0" w:color="auto"/>
        <w:bottom w:val="none" w:sz="0" w:space="0" w:color="auto"/>
        <w:right w:val="none" w:sz="0" w:space="0" w:color="auto"/>
      </w:divBdr>
    </w:div>
    <w:div w:id="770201150">
      <w:bodyDiv w:val="1"/>
      <w:marLeft w:val="0"/>
      <w:marRight w:val="0"/>
      <w:marTop w:val="0"/>
      <w:marBottom w:val="0"/>
      <w:divBdr>
        <w:top w:val="none" w:sz="0" w:space="0" w:color="auto"/>
        <w:left w:val="none" w:sz="0" w:space="0" w:color="auto"/>
        <w:bottom w:val="none" w:sz="0" w:space="0" w:color="auto"/>
        <w:right w:val="none" w:sz="0" w:space="0" w:color="auto"/>
      </w:divBdr>
    </w:div>
    <w:div w:id="770203013">
      <w:bodyDiv w:val="1"/>
      <w:marLeft w:val="0"/>
      <w:marRight w:val="0"/>
      <w:marTop w:val="0"/>
      <w:marBottom w:val="0"/>
      <w:divBdr>
        <w:top w:val="none" w:sz="0" w:space="0" w:color="auto"/>
        <w:left w:val="none" w:sz="0" w:space="0" w:color="auto"/>
        <w:bottom w:val="none" w:sz="0" w:space="0" w:color="auto"/>
        <w:right w:val="none" w:sz="0" w:space="0" w:color="auto"/>
      </w:divBdr>
    </w:div>
    <w:div w:id="771124780">
      <w:bodyDiv w:val="1"/>
      <w:marLeft w:val="0"/>
      <w:marRight w:val="0"/>
      <w:marTop w:val="0"/>
      <w:marBottom w:val="0"/>
      <w:divBdr>
        <w:top w:val="none" w:sz="0" w:space="0" w:color="auto"/>
        <w:left w:val="none" w:sz="0" w:space="0" w:color="auto"/>
        <w:bottom w:val="none" w:sz="0" w:space="0" w:color="auto"/>
        <w:right w:val="none" w:sz="0" w:space="0" w:color="auto"/>
      </w:divBdr>
    </w:div>
    <w:div w:id="772171824">
      <w:bodyDiv w:val="1"/>
      <w:marLeft w:val="0"/>
      <w:marRight w:val="0"/>
      <w:marTop w:val="0"/>
      <w:marBottom w:val="0"/>
      <w:divBdr>
        <w:top w:val="none" w:sz="0" w:space="0" w:color="auto"/>
        <w:left w:val="none" w:sz="0" w:space="0" w:color="auto"/>
        <w:bottom w:val="none" w:sz="0" w:space="0" w:color="auto"/>
        <w:right w:val="none" w:sz="0" w:space="0" w:color="auto"/>
      </w:divBdr>
    </w:div>
    <w:div w:id="774445881">
      <w:bodyDiv w:val="1"/>
      <w:marLeft w:val="0"/>
      <w:marRight w:val="0"/>
      <w:marTop w:val="0"/>
      <w:marBottom w:val="0"/>
      <w:divBdr>
        <w:top w:val="none" w:sz="0" w:space="0" w:color="auto"/>
        <w:left w:val="none" w:sz="0" w:space="0" w:color="auto"/>
        <w:bottom w:val="none" w:sz="0" w:space="0" w:color="auto"/>
        <w:right w:val="none" w:sz="0" w:space="0" w:color="auto"/>
      </w:divBdr>
    </w:div>
    <w:div w:id="775296278">
      <w:bodyDiv w:val="1"/>
      <w:marLeft w:val="0"/>
      <w:marRight w:val="0"/>
      <w:marTop w:val="0"/>
      <w:marBottom w:val="0"/>
      <w:divBdr>
        <w:top w:val="none" w:sz="0" w:space="0" w:color="auto"/>
        <w:left w:val="none" w:sz="0" w:space="0" w:color="auto"/>
        <w:bottom w:val="none" w:sz="0" w:space="0" w:color="auto"/>
        <w:right w:val="none" w:sz="0" w:space="0" w:color="auto"/>
      </w:divBdr>
    </w:div>
    <w:div w:id="775826797">
      <w:bodyDiv w:val="1"/>
      <w:marLeft w:val="0"/>
      <w:marRight w:val="0"/>
      <w:marTop w:val="0"/>
      <w:marBottom w:val="0"/>
      <w:divBdr>
        <w:top w:val="none" w:sz="0" w:space="0" w:color="auto"/>
        <w:left w:val="none" w:sz="0" w:space="0" w:color="auto"/>
        <w:bottom w:val="none" w:sz="0" w:space="0" w:color="auto"/>
        <w:right w:val="none" w:sz="0" w:space="0" w:color="auto"/>
      </w:divBdr>
    </w:div>
    <w:div w:id="775949114">
      <w:bodyDiv w:val="1"/>
      <w:marLeft w:val="0"/>
      <w:marRight w:val="0"/>
      <w:marTop w:val="0"/>
      <w:marBottom w:val="0"/>
      <w:divBdr>
        <w:top w:val="none" w:sz="0" w:space="0" w:color="auto"/>
        <w:left w:val="none" w:sz="0" w:space="0" w:color="auto"/>
        <w:bottom w:val="none" w:sz="0" w:space="0" w:color="auto"/>
        <w:right w:val="none" w:sz="0" w:space="0" w:color="auto"/>
      </w:divBdr>
    </w:div>
    <w:div w:id="777677761">
      <w:bodyDiv w:val="1"/>
      <w:marLeft w:val="0"/>
      <w:marRight w:val="0"/>
      <w:marTop w:val="0"/>
      <w:marBottom w:val="0"/>
      <w:divBdr>
        <w:top w:val="none" w:sz="0" w:space="0" w:color="auto"/>
        <w:left w:val="none" w:sz="0" w:space="0" w:color="auto"/>
        <w:bottom w:val="none" w:sz="0" w:space="0" w:color="auto"/>
        <w:right w:val="none" w:sz="0" w:space="0" w:color="auto"/>
      </w:divBdr>
    </w:div>
    <w:div w:id="779567606">
      <w:bodyDiv w:val="1"/>
      <w:marLeft w:val="0"/>
      <w:marRight w:val="0"/>
      <w:marTop w:val="0"/>
      <w:marBottom w:val="0"/>
      <w:divBdr>
        <w:top w:val="none" w:sz="0" w:space="0" w:color="auto"/>
        <w:left w:val="none" w:sz="0" w:space="0" w:color="auto"/>
        <w:bottom w:val="none" w:sz="0" w:space="0" w:color="auto"/>
        <w:right w:val="none" w:sz="0" w:space="0" w:color="auto"/>
      </w:divBdr>
    </w:div>
    <w:div w:id="780338022">
      <w:bodyDiv w:val="1"/>
      <w:marLeft w:val="0"/>
      <w:marRight w:val="0"/>
      <w:marTop w:val="0"/>
      <w:marBottom w:val="0"/>
      <w:divBdr>
        <w:top w:val="none" w:sz="0" w:space="0" w:color="auto"/>
        <w:left w:val="none" w:sz="0" w:space="0" w:color="auto"/>
        <w:bottom w:val="none" w:sz="0" w:space="0" w:color="auto"/>
        <w:right w:val="none" w:sz="0" w:space="0" w:color="auto"/>
      </w:divBdr>
    </w:div>
    <w:div w:id="780686318">
      <w:bodyDiv w:val="1"/>
      <w:marLeft w:val="0"/>
      <w:marRight w:val="0"/>
      <w:marTop w:val="0"/>
      <w:marBottom w:val="0"/>
      <w:divBdr>
        <w:top w:val="none" w:sz="0" w:space="0" w:color="auto"/>
        <w:left w:val="none" w:sz="0" w:space="0" w:color="auto"/>
        <w:bottom w:val="none" w:sz="0" w:space="0" w:color="auto"/>
        <w:right w:val="none" w:sz="0" w:space="0" w:color="auto"/>
      </w:divBdr>
    </w:div>
    <w:div w:id="781456319">
      <w:bodyDiv w:val="1"/>
      <w:marLeft w:val="0"/>
      <w:marRight w:val="0"/>
      <w:marTop w:val="0"/>
      <w:marBottom w:val="0"/>
      <w:divBdr>
        <w:top w:val="none" w:sz="0" w:space="0" w:color="auto"/>
        <w:left w:val="none" w:sz="0" w:space="0" w:color="auto"/>
        <w:bottom w:val="none" w:sz="0" w:space="0" w:color="auto"/>
        <w:right w:val="none" w:sz="0" w:space="0" w:color="auto"/>
      </w:divBdr>
    </w:div>
    <w:div w:id="782845366">
      <w:bodyDiv w:val="1"/>
      <w:marLeft w:val="0"/>
      <w:marRight w:val="0"/>
      <w:marTop w:val="0"/>
      <w:marBottom w:val="0"/>
      <w:divBdr>
        <w:top w:val="none" w:sz="0" w:space="0" w:color="auto"/>
        <w:left w:val="none" w:sz="0" w:space="0" w:color="auto"/>
        <w:bottom w:val="none" w:sz="0" w:space="0" w:color="auto"/>
        <w:right w:val="none" w:sz="0" w:space="0" w:color="auto"/>
      </w:divBdr>
    </w:div>
    <w:div w:id="785344410">
      <w:bodyDiv w:val="1"/>
      <w:marLeft w:val="0"/>
      <w:marRight w:val="0"/>
      <w:marTop w:val="0"/>
      <w:marBottom w:val="0"/>
      <w:divBdr>
        <w:top w:val="none" w:sz="0" w:space="0" w:color="auto"/>
        <w:left w:val="none" w:sz="0" w:space="0" w:color="auto"/>
        <w:bottom w:val="none" w:sz="0" w:space="0" w:color="auto"/>
        <w:right w:val="none" w:sz="0" w:space="0" w:color="auto"/>
      </w:divBdr>
    </w:div>
    <w:div w:id="785470599">
      <w:bodyDiv w:val="1"/>
      <w:marLeft w:val="0"/>
      <w:marRight w:val="0"/>
      <w:marTop w:val="0"/>
      <w:marBottom w:val="0"/>
      <w:divBdr>
        <w:top w:val="none" w:sz="0" w:space="0" w:color="auto"/>
        <w:left w:val="none" w:sz="0" w:space="0" w:color="auto"/>
        <w:bottom w:val="none" w:sz="0" w:space="0" w:color="auto"/>
        <w:right w:val="none" w:sz="0" w:space="0" w:color="auto"/>
      </w:divBdr>
    </w:div>
    <w:div w:id="785931040">
      <w:bodyDiv w:val="1"/>
      <w:marLeft w:val="0"/>
      <w:marRight w:val="0"/>
      <w:marTop w:val="0"/>
      <w:marBottom w:val="0"/>
      <w:divBdr>
        <w:top w:val="none" w:sz="0" w:space="0" w:color="auto"/>
        <w:left w:val="none" w:sz="0" w:space="0" w:color="auto"/>
        <w:bottom w:val="none" w:sz="0" w:space="0" w:color="auto"/>
        <w:right w:val="none" w:sz="0" w:space="0" w:color="auto"/>
      </w:divBdr>
    </w:div>
    <w:div w:id="794565743">
      <w:bodyDiv w:val="1"/>
      <w:marLeft w:val="0"/>
      <w:marRight w:val="0"/>
      <w:marTop w:val="0"/>
      <w:marBottom w:val="0"/>
      <w:divBdr>
        <w:top w:val="none" w:sz="0" w:space="0" w:color="auto"/>
        <w:left w:val="none" w:sz="0" w:space="0" w:color="auto"/>
        <w:bottom w:val="none" w:sz="0" w:space="0" w:color="auto"/>
        <w:right w:val="none" w:sz="0" w:space="0" w:color="auto"/>
      </w:divBdr>
    </w:div>
    <w:div w:id="795375611">
      <w:bodyDiv w:val="1"/>
      <w:marLeft w:val="0"/>
      <w:marRight w:val="0"/>
      <w:marTop w:val="0"/>
      <w:marBottom w:val="0"/>
      <w:divBdr>
        <w:top w:val="none" w:sz="0" w:space="0" w:color="auto"/>
        <w:left w:val="none" w:sz="0" w:space="0" w:color="auto"/>
        <w:bottom w:val="none" w:sz="0" w:space="0" w:color="auto"/>
        <w:right w:val="none" w:sz="0" w:space="0" w:color="auto"/>
      </w:divBdr>
    </w:div>
    <w:div w:id="796411008">
      <w:bodyDiv w:val="1"/>
      <w:marLeft w:val="0"/>
      <w:marRight w:val="0"/>
      <w:marTop w:val="0"/>
      <w:marBottom w:val="0"/>
      <w:divBdr>
        <w:top w:val="none" w:sz="0" w:space="0" w:color="auto"/>
        <w:left w:val="none" w:sz="0" w:space="0" w:color="auto"/>
        <w:bottom w:val="none" w:sz="0" w:space="0" w:color="auto"/>
        <w:right w:val="none" w:sz="0" w:space="0" w:color="auto"/>
      </w:divBdr>
    </w:div>
    <w:div w:id="796415664">
      <w:bodyDiv w:val="1"/>
      <w:marLeft w:val="0"/>
      <w:marRight w:val="0"/>
      <w:marTop w:val="0"/>
      <w:marBottom w:val="0"/>
      <w:divBdr>
        <w:top w:val="none" w:sz="0" w:space="0" w:color="auto"/>
        <w:left w:val="none" w:sz="0" w:space="0" w:color="auto"/>
        <w:bottom w:val="none" w:sz="0" w:space="0" w:color="auto"/>
        <w:right w:val="none" w:sz="0" w:space="0" w:color="auto"/>
      </w:divBdr>
      <w:divsChild>
        <w:div w:id="1750805858">
          <w:marLeft w:val="0"/>
          <w:marRight w:val="0"/>
          <w:marTop w:val="0"/>
          <w:marBottom w:val="0"/>
          <w:divBdr>
            <w:top w:val="none" w:sz="0" w:space="0" w:color="auto"/>
            <w:left w:val="none" w:sz="0" w:space="0" w:color="auto"/>
            <w:bottom w:val="none" w:sz="0" w:space="0" w:color="auto"/>
            <w:right w:val="none" w:sz="0" w:space="0" w:color="auto"/>
          </w:divBdr>
          <w:divsChild>
            <w:div w:id="1366977336">
              <w:marLeft w:val="0"/>
              <w:marRight w:val="0"/>
              <w:marTop w:val="0"/>
              <w:marBottom w:val="0"/>
              <w:divBdr>
                <w:top w:val="none" w:sz="0" w:space="0" w:color="auto"/>
                <w:left w:val="none" w:sz="0" w:space="0" w:color="auto"/>
                <w:bottom w:val="none" w:sz="0" w:space="0" w:color="auto"/>
                <w:right w:val="none" w:sz="0" w:space="0" w:color="auto"/>
              </w:divBdr>
              <w:divsChild>
                <w:div w:id="1189372296">
                  <w:marLeft w:val="0"/>
                  <w:marRight w:val="0"/>
                  <w:marTop w:val="0"/>
                  <w:marBottom w:val="0"/>
                  <w:divBdr>
                    <w:top w:val="none" w:sz="0" w:space="0" w:color="auto"/>
                    <w:left w:val="none" w:sz="0" w:space="0" w:color="auto"/>
                    <w:bottom w:val="none" w:sz="0" w:space="0" w:color="auto"/>
                    <w:right w:val="none" w:sz="0" w:space="0" w:color="auto"/>
                  </w:divBdr>
                  <w:divsChild>
                    <w:div w:id="1434204196">
                      <w:marLeft w:val="0"/>
                      <w:marRight w:val="0"/>
                      <w:marTop w:val="0"/>
                      <w:marBottom w:val="0"/>
                      <w:divBdr>
                        <w:top w:val="none" w:sz="0" w:space="0" w:color="auto"/>
                        <w:left w:val="none" w:sz="0" w:space="0" w:color="auto"/>
                        <w:bottom w:val="none" w:sz="0" w:space="0" w:color="auto"/>
                        <w:right w:val="none" w:sz="0" w:space="0" w:color="auto"/>
                      </w:divBdr>
                      <w:divsChild>
                        <w:div w:id="1933663681">
                          <w:marLeft w:val="0"/>
                          <w:marRight w:val="0"/>
                          <w:marTop w:val="0"/>
                          <w:marBottom w:val="0"/>
                          <w:divBdr>
                            <w:top w:val="none" w:sz="0" w:space="0" w:color="auto"/>
                            <w:left w:val="none" w:sz="0" w:space="0" w:color="auto"/>
                            <w:bottom w:val="none" w:sz="0" w:space="0" w:color="auto"/>
                            <w:right w:val="none" w:sz="0" w:space="0" w:color="auto"/>
                          </w:divBdr>
                          <w:divsChild>
                            <w:div w:id="934675085">
                              <w:marLeft w:val="0"/>
                              <w:marRight w:val="0"/>
                              <w:marTop w:val="0"/>
                              <w:marBottom w:val="0"/>
                              <w:divBdr>
                                <w:top w:val="none" w:sz="0" w:space="0" w:color="auto"/>
                                <w:left w:val="none" w:sz="0" w:space="0" w:color="auto"/>
                                <w:bottom w:val="none" w:sz="0" w:space="0" w:color="auto"/>
                                <w:right w:val="none" w:sz="0" w:space="0" w:color="auto"/>
                              </w:divBdr>
                              <w:divsChild>
                                <w:div w:id="466776981">
                                  <w:marLeft w:val="0"/>
                                  <w:marRight w:val="0"/>
                                  <w:marTop w:val="0"/>
                                  <w:marBottom w:val="0"/>
                                  <w:divBdr>
                                    <w:top w:val="none" w:sz="0" w:space="0" w:color="auto"/>
                                    <w:left w:val="none" w:sz="0" w:space="0" w:color="auto"/>
                                    <w:bottom w:val="none" w:sz="0" w:space="0" w:color="auto"/>
                                    <w:right w:val="none" w:sz="0" w:space="0" w:color="auto"/>
                                  </w:divBdr>
                                  <w:divsChild>
                                    <w:div w:id="755370292">
                                      <w:marLeft w:val="0"/>
                                      <w:marRight w:val="0"/>
                                      <w:marTop w:val="0"/>
                                      <w:marBottom w:val="0"/>
                                      <w:divBdr>
                                        <w:top w:val="single" w:sz="4" w:space="0" w:color="F5F5F5"/>
                                        <w:left w:val="single" w:sz="4" w:space="0" w:color="F5F5F5"/>
                                        <w:bottom w:val="single" w:sz="4" w:space="0" w:color="F5F5F5"/>
                                        <w:right w:val="single" w:sz="4" w:space="0" w:color="F5F5F5"/>
                                      </w:divBdr>
                                      <w:divsChild>
                                        <w:div w:id="397629504">
                                          <w:marLeft w:val="0"/>
                                          <w:marRight w:val="0"/>
                                          <w:marTop w:val="0"/>
                                          <w:marBottom w:val="0"/>
                                          <w:divBdr>
                                            <w:top w:val="none" w:sz="0" w:space="0" w:color="auto"/>
                                            <w:left w:val="none" w:sz="0" w:space="0" w:color="auto"/>
                                            <w:bottom w:val="none" w:sz="0" w:space="0" w:color="auto"/>
                                            <w:right w:val="none" w:sz="0" w:space="0" w:color="auto"/>
                                          </w:divBdr>
                                          <w:divsChild>
                                            <w:div w:id="10297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063364">
      <w:bodyDiv w:val="1"/>
      <w:marLeft w:val="0"/>
      <w:marRight w:val="0"/>
      <w:marTop w:val="0"/>
      <w:marBottom w:val="0"/>
      <w:divBdr>
        <w:top w:val="none" w:sz="0" w:space="0" w:color="auto"/>
        <w:left w:val="none" w:sz="0" w:space="0" w:color="auto"/>
        <w:bottom w:val="none" w:sz="0" w:space="0" w:color="auto"/>
        <w:right w:val="none" w:sz="0" w:space="0" w:color="auto"/>
      </w:divBdr>
    </w:div>
    <w:div w:id="798383117">
      <w:bodyDiv w:val="1"/>
      <w:marLeft w:val="0"/>
      <w:marRight w:val="0"/>
      <w:marTop w:val="0"/>
      <w:marBottom w:val="0"/>
      <w:divBdr>
        <w:top w:val="none" w:sz="0" w:space="0" w:color="auto"/>
        <w:left w:val="none" w:sz="0" w:space="0" w:color="auto"/>
        <w:bottom w:val="none" w:sz="0" w:space="0" w:color="auto"/>
        <w:right w:val="none" w:sz="0" w:space="0" w:color="auto"/>
      </w:divBdr>
    </w:div>
    <w:div w:id="799304674">
      <w:bodyDiv w:val="1"/>
      <w:marLeft w:val="0"/>
      <w:marRight w:val="0"/>
      <w:marTop w:val="0"/>
      <w:marBottom w:val="0"/>
      <w:divBdr>
        <w:top w:val="none" w:sz="0" w:space="0" w:color="auto"/>
        <w:left w:val="none" w:sz="0" w:space="0" w:color="auto"/>
        <w:bottom w:val="none" w:sz="0" w:space="0" w:color="auto"/>
        <w:right w:val="none" w:sz="0" w:space="0" w:color="auto"/>
      </w:divBdr>
    </w:div>
    <w:div w:id="803430800">
      <w:bodyDiv w:val="1"/>
      <w:marLeft w:val="0"/>
      <w:marRight w:val="0"/>
      <w:marTop w:val="0"/>
      <w:marBottom w:val="0"/>
      <w:divBdr>
        <w:top w:val="none" w:sz="0" w:space="0" w:color="auto"/>
        <w:left w:val="none" w:sz="0" w:space="0" w:color="auto"/>
        <w:bottom w:val="none" w:sz="0" w:space="0" w:color="auto"/>
        <w:right w:val="none" w:sz="0" w:space="0" w:color="auto"/>
      </w:divBdr>
    </w:div>
    <w:div w:id="803691522">
      <w:bodyDiv w:val="1"/>
      <w:marLeft w:val="0"/>
      <w:marRight w:val="0"/>
      <w:marTop w:val="0"/>
      <w:marBottom w:val="0"/>
      <w:divBdr>
        <w:top w:val="none" w:sz="0" w:space="0" w:color="auto"/>
        <w:left w:val="none" w:sz="0" w:space="0" w:color="auto"/>
        <w:bottom w:val="none" w:sz="0" w:space="0" w:color="auto"/>
        <w:right w:val="none" w:sz="0" w:space="0" w:color="auto"/>
      </w:divBdr>
    </w:div>
    <w:div w:id="804859978">
      <w:bodyDiv w:val="1"/>
      <w:marLeft w:val="0"/>
      <w:marRight w:val="0"/>
      <w:marTop w:val="0"/>
      <w:marBottom w:val="0"/>
      <w:divBdr>
        <w:top w:val="none" w:sz="0" w:space="0" w:color="auto"/>
        <w:left w:val="none" w:sz="0" w:space="0" w:color="auto"/>
        <w:bottom w:val="none" w:sz="0" w:space="0" w:color="auto"/>
        <w:right w:val="none" w:sz="0" w:space="0" w:color="auto"/>
      </w:divBdr>
      <w:divsChild>
        <w:div w:id="802314594">
          <w:marLeft w:val="0"/>
          <w:marRight w:val="0"/>
          <w:marTop w:val="0"/>
          <w:marBottom w:val="0"/>
          <w:divBdr>
            <w:top w:val="none" w:sz="0" w:space="0" w:color="auto"/>
            <w:left w:val="none" w:sz="0" w:space="0" w:color="auto"/>
            <w:bottom w:val="none" w:sz="0" w:space="0" w:color="auto"/>
            <w:right w:val="none" w:sz="0" w:space="0" w:color="auto"/>
          </w:divBdr>
          <w:divsChild>
            <w:div w:id="1681538647">
              <w:marLeft w:val="0"/>
              <w:marRight w:val="0"/>
              <w:marTop w:val="0"/>
              <w:marBottom w:val="0"/>
              <w:divBdr>
                <w:top w:val="none" w:sz="0" w:space="0" w:color="auto"/>
                <w:left w:val="none" w:sz="0" w:space="0" w:color="auto"/>
                <w:bottom w:val="none" w:sz="0" w:space="0" w:color="auto"/>
                <w:right w:val="none" w:sz="0" w:space="0" w:color="auto"/>
              </w:divBdr>
              <w:divsChild>
                <w:div w:id="1013067525">
                  <w:marLeft w:val="0"/>
                  <w:marRight w:val="0"/>
                  <w:marTop w:val="0"/>
                  <w:marBottom w:val="0"/>
                  <w:divBdr>
                    <w:top w:val="none" w:sz="0" w:space="0" w:color="auto"/>
                    <w:left w:val="none" w:sz="0" w:space="0" w:color="auto"/>
                    <w:bottom w:val="none" w:sz="0" w:space="0" w:color="auto"/>
                    <w:right w:val="none" w:sz="0" w:space="0" w:color="auto"/>
                  </w:divBdr>
                  <w:divsChild>
                    <w:div w:id="160661154">
                      <w:marLeft w:val="0"/>
                      <w:marRight w:val="0"/>
                      <w:marTop w:val="0"/>
                      <w:marBottom w:val="0"/>
                      <w:divBdr>
                        <w:top w:val="none" w:sz="0" w:space="0" w:color="auto"/>
                        <w:left w:val="none" w:sz="0" w:space="0" w:color="auto"/>
                        <w:bottom w:val="none" w:sz="0" w:space="0" w:color="auto"/>
                        <w:right w:val="none" w:sz="0" w:space="0" w:color="auto"/>
                      </w:divBdr>
                      <w:divsChild>
                        <w:div w:id="329531693">
                          <w:marLeft w:val="0"/>
                          <w:marRight w:val="0"/>
                          <w:marTop w:val="0"/>
                          <w:marBottom w:val="0"/>
                          <w:divBdr>
                            <w:top w:val="none" w:sz="0" w:space="0" w:color="auto"/>
                            <w:left w:val="none" w:sz="0" w:space="0" w:color="auto"/>
                            <w:bottom w:val="none" w:sz="0" w:space="0" w:color="auto"/>
                            <w:right w:val="none" w:sz="0" w:space="0" w:color="auto"/>
                          </w:divBdr>
                          <w:divsChild>
                            <w:div w:id="74517165">
                              <w:marLeft w:val="0"/>
                              <w:marRight w:val="0"/>
                              <w:marTop w:val="0"/>
                              <w:marBottom w:val="0"/>
                              <w:divBdr>
                                <w:top w:val="none" w:sz="0" w:space="0" w:color="auto"/>
                                <w:left w:val="none" w:sz="0" w:space="0" w:color="auto"/>
                                <w:bottom w:val="none" w:sz="0" w:space="0" w:color="auto"/>
                                <w:right w:val="none" w:sz="0" w:space="0" w:color="auto"/>
                              </w:divBdr>
                              <w:divsChild>
                                <w:div w:id="959411258">
                                  <w:marLeft w:val="0"/>
                                  <w:marRight w:val="0"/>
                                  <w:marTop w:val="0"/>
                                  <w:marBottom w:val="0"/>
                                  <w:divBdr>
                                    <w:top w:val="none" w:sz="0" w:space="0" w:color="auto"/>
                                    <w:left w:val="none" w:sz="0" w:space="0" w:color="auto"/>
                                    <w:bottom w:val="none" w:sz="0" w:space="0" w:color="auto"/>
                                    <w:right w:val="none" w:sz="0" w:space="0" w:color="auto"/>
                                  </w:divBdr>
                                  <w:divsChild>
                                    <w:div w:id="819006306">
                                      <w:marLeft w:val="0"/>
                                      <w:marRight w:val="0"/>
                                      <w:marTop w:val="0"/>
                                      <w:marBottom w:val="0"/>
                                      <w:divBdr>
                                        <w:top w:val="single" w:sz="4" w:space="0" w:color="F5F5F5"/>
                                        <w:left w:val="single" w:sz="4" w:space="0" w:color="F5F5F5"/>
                                        <w:bottom w:val="single" w:sz="4" w:space="0" w:color="F5F5F5"/>
                                        <w:right w:val="single" w:sz="4" w:space="0" w:color="F5F5F5"/>
                                      </w:divBdr>
                                      <w:divsChild>
                                        <w:div w:id="594822157">
                                          <w:marLeft w:val="0"/>
                                          <w:marRight w:val="0"/>
                                          <w:marTop w:val="0"/>
                                          <w:marBottom w:val="0"/>
                                          <w:divBdr>
                                            <w:top w:val="none" w:sz="0" w:space="0" w:color="auto"/>
                                            <w:left w:val="none" w:sz="0" w:space="0" w:color="auto"/>
                                            <w:bottom w:val="none" w:sz="0" w:space="0" w:color="auto"/>
                                            <w:right w:val="none" w:sz="0" w:space="0" w:color="auto"/>
                                          </w:divBdr>
                                          <w:divsChild>
                                            <w:div w:id="3753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5313213">
      <w:bodyDiv w:val="1"/>
      <w:marLeft w:val="0"/>
      <w:marRight w:val="0"/>
      <w:marTop w:val="0"/>
      <w:marBottom w:val="0"/>
      <w:divBdr>
        <w:top w:val="none" w:sz="0" w:space="0" w:color="auto"/>
        <w:left w:val="none" w:sz="0" w:space="0" w:color="auto"/>
        <w:bottom w:val="none" w:sz="0" w:space="0" w:color="auto"/>
        <w:right w:val="none" w:sz="0" w:space="0" w:color="auto"/>
      </w:divBdr>
    </w:div>
    <w:div w:id="805315942">
      <w:bodyDiv w:val="1"/>
      <w:marLeft w:val="0"/>
      <w:marRight w:val="0"/>
      <w:marTop w:val="0"/>
      <w:marBottom w:val="0"/>
      <w:divBdr>
        <w:top w:val="none" w:sz="0" w:space="0" w:color="auto"/>
        <w:left w:val="none" w:sz="0" w:space="0" w:color="auto"/>
        <w:bottom w:val="none" w:sz="0" w:space="0" w:color="auto"/>
        <w:right w:val="none" w:sz="0" w:space="0" w:color="auto"/>
      </w:divBdr>
    </w:div>
    <w:div w:id="808791690">
      <w:bodyDiv w:val="1"/>
      <w:marLeft w:val="0"/>
      <w:marRight w:val="0"/>
      <w:marTop w:val="0"/>
      <w:marBottom w:val="0"/>
      <w:divBdr>
        <w:top w:val="none" w:sz="0" w:space="0" w:color="auto"/>
        <w:left w:val="none" w:sz="0" w:space="0" w:color="auto"/>
        <w:bottom w:val="none" w:sz="0" w:space="0" w:color="auto"/>
        <w:right w:val="none" w:sz="0" w:space="0" w:color="auto"/>
      </w:divBdr>
    </w:div>
    <w:div w:id="809203603">
      <w:bodyDiv w:val="1"/>
      <w:marLeft w:val="0"/>
      <w:marRight w:val="0"/>
      <w:marTop w:val="0"/>
      <w:marBottom w:val="0"/>
      <w:divBdr>
        <w:top w:val="none" w:sz="0" w:space="0" w:color="auto"/>
        <w:left w:val="none" w:sz="0" w:space="0" w:color="auto"/>
        <w:bottom w:val="none" w:sz="0" w:space="0" w:color="auto"/>
        <w:right w:val="none" w:sz="0" w:space="0" w:color="auto"/>
      </w:divBdr>
    </w:div>
    <w:div w:id="814492449">
      <w:bodyDiv w:val="1"/>
      <w:marLeft w:val="0"/>
      <w:marRight w:val="0"/>
      <w:marTop w:val="0"/>
      <w:marBottom w:val="0"/>
      <w:divBdr>
        <w:top w:val="none" w:sz="0" w:space="0" w:color="auto"/>
        <w:left w:val="none" w:sz="0" w:space="0" w:color="auto"/>
        <w:bottom w:val="none" w:sz="0" w:space="0" w:color="auto"/>
        <w:right w:val="none" w:sz="0" w:space="0" w:color="auto"/>
      </w:divBdr>
    </w:div>
    <w:div w:id="816383053">
      <w:bodyDiv w:val="1"/>
      <w:marLeft w:val="0"/>
      <w:marRight w:val="0"/>
      <w:marTop w:val="0"/>
      <w:marBottom w:val="0"/>
      <w:divBdr>
        <w:top w:val="none" w:sz="0" w:space="0" w:color="auto"/>
        <w:left w:val="none" w:sz="0" w:space="0" w:color="auto"/>
        <w:bottom w:val="none" w:sz="0" w:space="0" w:color="auto"/>
        <w:right w:val="none" w:sz="0" w:space="0" w:color="auto"/>
      </w:divBdr>
    </w:div>
    <w:div w:id="816386698">
      <w:bodyDiv w:val="1"/>
      <w:marLeft w:val="0"/>
      <w:marRight w:val="0"/>
      <w:marTop w:val="0"/>
      <w:marBottom w:val="0"/>
      <w:divBdr>
        <w:top w:val="none" w:sz="0" w:space="0" w:color="auto"/>
        <w:left w:val="none" w:sz="0" w:space="0" w:color="auto"/>
        <w:bottom w:val="none" w:sz="0" w:space="0" w:color="auto"/>
        <w:right w:val="none" w:sz="0" w:space="0" w:color="auto"/>
      </w:divBdr>
    </w:div>
    <w:div w:id="817844988">
      <w:bodyDiv w:val="1"/>
      <w:marLeft w:val="0"/>
      <w:marRight w:val="0"/>
      <w:marTop w:val="0"/>
      <w:marBottom w:val="0"/>
      <w:divBdr>
        <w:top w:val="none" w:sz="0" w:space="0" w:color="auto"/>
        <w:left w:val="none" w:sz="0" w:space="0" w:color="auto"/>
        <w:bottom w:val="none" w:sz="0" w:space="0" w:color="auto"/>
        <w:right w:val="none" w:sz="0" w:space="0" w:color="auto"/>
      </w:divBdr>
    </w:div>
    <w:div w:id="818227698">
      <w:bodyDiv w:val="1"/>
      <w:marLeft w:val="0"/>
      <w:marRight w:val="0"/>
      <w:marTop w:val="0"/>
      <w:marBottom w:val="0"/>
      <w:divBdr>
        <w:top w:val="none" w:sz="0" w:space="0" w:color="auto"/>
        <w:left w:val="none" w:sz="0" w:space="0" w:color="auto"/>
        <w:bottom w:val="none" w:sz="0" w:space="0" w:color="auto"/>
        <w:right w:val="none" w:sz="0" w:space="0" w:color="auto"/>
      </w:divBdr>
    </w:div>
    <w:div w:id="819807325">
      <w:bodyDiv w:val="1"/>
      <w:marLeft w:val="0"/>
      <w:marRight w:val="0"/>
      <w:marTop w:val="0"/>
      <w:marBottom w:val="0"/>
      <w:divBdr>
        <w:top w:val="none" w:sz="0" w:space="0" w:color="auto"/>
        <w:left w:val="none" w:sz="0" w:space="0" w:color="auto"/>
        <w:bottom w:val="none" w:sz="0" w:space="0" w:color="auto"/>
        <w:right w:val="none" w:sz="0" w:space="0" w:color="auto"/>
      </w:divBdr>
    </w:div>
    <w:div w:id="819810827">
      <w:bodyDiv w:val="1"/>
      <w:marLeft w:val="0"/>
      <w:marRight w:val="0"/>
      <w:marTop w:val="0"/>
      <w:marBottom w:val="0"/>
      <w:divBdr>
        <w:top w:val="none" w:sz="0" w:space="0" w:color="auto"/>
        <w:left w:val="none" w:sz="0" w:space="0" w:color="auto"/>
        <w:bottom w:val="none" w:sz="0" w:space="0" w:color="auto"/>
        <w:right w:val="none" w:sz="0" w:space="0" w:color="auto"/>
      </w:divBdr>
    </w:div>
    <w:div w:id="821048638">
      <w:bodyDiv w:val="1"/>
      <w:marLeft w:val="0"/>
      <w:marRight w:val="0"/>
      <w:marTop w:val="0"/>
      <w:marBottom w:val="0"/>
      <w:divBdr>
        <w:top w:val="none" w:sz="0" w:space="0" w:color="auto"/>
        <w:left w:val="none" w:sz="0" w:space="0" w:color="auto"/>
        <w:bottom w:val="none" w:sz="0" w:space="0" w:color="auto"/>
        <w:right w:val="none" w:sz="0" w:space="0" w:color="auto"/>
      </w:divBdr>
    </w:div>
    <w:div w:id="821120249">
      <w:bodyDiv w:val="1"/>
      <w:marLeft w:val="0"/>
      <w:marRight w:val="0"/>
      <w:marTop w:val="0"/>
      <w:marBottom w:val="0"/>
      <w:divBdr>
        <w:top w:val="none" w:sz="0" w:space="0" w:color="auto"/>
        <w:left w:val="none" w:sz="0" w:space="0" w:color="auto"/>
        <w:bottom w:val="none" w:sz="0" w:space="0" w:color="auto"/>
        <w:right w:val="none" w:sz="0" w:space="0" w:color="auto"/>
      </w:divBdr>
    </w:div>
    <w:div w:id="824980539">
      <w:bodyDiv w:val="1"/>
      <w:marLeft w:val="0"/>
      <w:marRight w:val="0"/>
      <w:marTop w:val="0"/>
      <w:marBottom w:val="0"/>
      <w:divBdr>
        <w:top w:val="none" w:sz="0" w:space="0" w:color="auto"/>
        <w:left w:val="none" w:sz="0" w:space="0" w:color="auto"/>
        <w:bottom w:val="none" w:sz="0" w:space="0" w:color="auto"/>
        <w:right w:val="none" w:sz="0" w:space="0" w:color="auto"/>
      </w:divBdr>
    </w:div>
    <w:div w:id="825583831">
      <w:bodyDiv w:val="1"/>
      <w:marLeft w:val="0"/>
      <w:marRight w:val="0"/>
      <w:marTop w:val="0"/>
      <w:marBottom w:val="0"/>
      <w:divBdr>
        <w:top w:val="none" w:sz="0" w:space="0" w:color="auto"/>
        <w:left w:val="none" w:sz="0" w:space="0" w:color="auto"/>
        <w:bottom w:val="none" w:sz="0" w:space="0" w:color="auto"/>
        <w:right w:val="none" w:sz="0" w:space="0" w:color="auto"/>
      </w:divBdr>
    </w:div>
    <w:div w:id="826555854">
      <w:bodyDiv w:val="1"/>
      <w:marLeft w:val="0"/>
      <w:marRight w:val="0"/>
      <w:marTop w:val="0"/>
      <w:marBottom w:val="0"/>
      <w:divBdr>
        <w:top w:val="none" w:sz="0" w:space="0" w:color="auto"/>
        <w:left w:val="none" w:sz="0" w:space="0" w:color="auto"/>
        <w:bottom w:val="none" w:sz="0" w:space="0" w:color="auto"/>
        <w:right w:val="none" w:sz="0" w:space="0" w:color="auto"/>
      </w:divBdr>
    </w:div>
    <w:div w:id="829172586">
      <w:bodyDiv w:val="1"/>
      <w:marLeft w:val="0"/>
      <w:marRight w:val="0"/>
      <w:marTop w:val="0"/>
      <w:marBottom w:val="0"/>
      <w:divBdr>
        <w:top w:val="none" w:sz="0" w:space="0" w:color="auto"/>
        <w:left w:val="none" w:sz="0" w:space="0" w:color="auto"/>
        <w:bottom w:val="none" w:sz="0" w:space="0" w:color="auto"/>
        <w:right w:val="none" w:sz="0" w:space="0" w:color="auto"/>
      </w:divBdr>
    </w:div>
    <w:div w:id="832721457">
      <w:bodyDiv w:val="1"/>
      <w:marLeft w:val="0"/>
      <w:marRight w:val="0"/>
      <w:marTop w:val="0"/>
      <w:marBottom w:val="0"/>
      <w:divBdr>
        <w:top w:val="none" w:sz="0" w:space="0" w:color="auto"/>
        <w:left w:val="none" w:sz="0" w:space="0" w:color="auto"/>
        <w:bottom w:val="none" w:sz="0" w:space="0" w:color="auto"/>
        <w:right w:val="none" w:sz="0" w:space="0" w:color="auto"/>
      </w:divBdr>
    </w:div>
    <w:div w:id="833686537">
      <w:bodyDiv w:val="1"/>
      <w:marLeft w:val="0"/>
      <w:marRight w:val="0"/>
      <w:marTop w:val="0"/>
      <w:marBottom w:val="0"/>
      <w:divBdr>
        <w:top w:val="none" w:sz="0" w:space="0" w:color="auto"/>
        <w:left w:val="none" w:sz="0" w:space="0" w:color="auto"/>
        <w:bottom w:val="none" w:sz="0" w:space="0" w:color="auto"/>
        <w:right w:val="none" w:sz="0" w:space="0" w:color="auto"/>
      </w:divBdr>
    </w:div>
    <w:div w:id="838271983">
      <w:bodyDiv w:val="1"/>
      <w:marLeft w:val="0"/>
      <w:marRight w:val="0"/>
      <w:marTop w:val="0"/>
      <w:marBottom w:val="0"/>
      <w:divBdr>
        <w:top w:val="none" w:sz="0" w:space="0" w:color="auto"/>
        <w:left w:val="none" w:sz="0" w:space="0" w:color="auto"/>
        <w:bottom w:val="none" w:sz="0" w:space="0" w:color="auto"/>
        <w:right w:val="none" w:sz="0" w:space="0" w:color="auto"/>
      </w:divBdr>
    </w:div>
    <w:div w:id="842627877">
      <w:bodyDiv w:val="1"/>
      <w:marLeft w:val="0"/>
      <w:marRight w:val="0"/>
      <w:marTop w:val="0"/>
      <w:marBottom w:val="0"/>
      <w:divBdr>
        <w:top w:val="none" w:sz="0" w:space="0" w:color="auto"/>
        <w:left w:val="none" w:sz="0" w:space="0" w:color="auto"/>
        <w:bottom w:val="none" w:sz="0" w:space="0" w:color="auto"/>
        <w:right w:val="none" w:sz="0" w:space="0" w:color="auto"/>
      </w:divBdr>
    </w:div>
    <w:div w:id="842820573">
      <w:bodyDiv w:val="1"/>
      <w:marLeft w:val="0"/>
      <w:marRight w:val="0"/>
      <w:marTop w:val="0"/>
      <w:marBottom w:val="0"/>
      <w:divBdr>
        <w:top w:val="none" w:sz="0" w:space="0" w:color="auto"/>
        <w:left w:val="none" w:sz="0" w:space="0" w:color="auto"/>
        <w:bottom w:val="none" w:sz="0" w:space="0" w:color="auto"/>
        <w:right w:val="none" w:sz="0" w:space="0" w:color="auto"/>
      </w:divBdr>
    </w:div>
    <w:div w:id="843978260">
      <w:bodyDiv w:val="1"/>
      <w:marLeft w:val="0"/>
      <w:marRight w:val="0"/>
      <w:marTop w:val="0"/>
      <w:marBottom w:val="0"/>
      <w:divBdr>
        <w:top w:val="none" w:sz="0" w:space="0" w:color="auto"/>
        <w:left w:val="none" w:sz="0" w:space="0" w:color="auto"/>
        <w:bottom w:val="none" w:sz="0" w:space="0" w:color="auto"/>
        <w:right w:val="none" w:sz="0" w:space="0" w:color="auto"/>
      </w:divBdr>
    </w:div>
    <w:div w:id="847713826">
      <w:bodyDiv w:val="1"/>
      <w:marLeft w:val="0"/>
      <w:marRight w:val="0"/>
      <w:marTop w:val="0"/>
      <w:marBottom w:val="0"/>
      <w:divBdr>
        <w:top w:val="none" w:sz="0" w:space="0" w:color="auto"/>
        <w:left w:val="none" w:sz="0" w:space="0" w:color="auto"/>
        <w:bottom w:val="none" w:sz="0" w:space="0" w:color="auto"/>
        <w:right w:val="none" w:sz="0" w:space="0" w:color="auto"/>
      </w:divBdr>
    </w:div>
    <w:div w:id="849173551">
      <w:bodyDiv w:val="1"/>
      <w:marLeft w:val="0"/>
      <w:marRight w:val="0"/>
      <w:marTop w:val="0"/>
      <w:marBottom w:val="0"/>
      <w:divBdr>
        <w:top w:val="none" w:sz="0" w:space="0" w:color="auto"/>
        <w:left w:val="none" w:sz="0" w:space="0" w:color="auto"/>
        <w:bottom w:val="none" w:sz="0" w:space="0" w:color="auto"/>
        <w:right w:val="none" w:sz="0" w:space="0" w:color="auto"/>
      </w:divBdr>
    </w:div>
    <w:div w:id="849561187">
      <w:bodyDiv w:val="1"/>
      <w:marLeft w:val="0"/>
      <w:marRight w:val="0"/>
      <w:marTop w:val="0"/>
      <w:marBottom w:val="0"/>
      <w:divBdr>
        <w:top w:val="none" w:sz="0" w:space="0" w:color="auto"/>
        <w:left w:val="none" w:sz="0" w:space="0" w:color="auto"/>
        <w:bottom w:val="none" w:sz="0" w:space="0" w:color="auto"/>
        <w:right w:val="none" w:sz="0" w:space="0" w:color="auto"/>
      </w:divBdr>
    </w:div>
    <w:div w:id="849681182">
      <w:bodyDiv w:val="1"/>
      <w:marLeft w:val="0"/>
      <w:marRight w:val="0"/>
      <w:marTop w:val="0"/>
      <w:marBottom w:val="0"/>
      <w:divBdr>
        <w:top w:val="none" w:sz="0" w:space="0" w:color="auto"/>
        <w:left w:val="none" w:sz="0" w:space="0" w:color="auto"/>
        <w:bottom w:val="none" w:sz="0" w:space="0" w:color="auto"/>
        <w:right w:val="none" w:sz="0" w:space="0" w:color="auto"/>
      </w:divBdr>
    </w:div>
    <w:div w:id="850997950">
      <w:bodyDiv w:val="1"/>
      <w:marLeft w:val="0"/>
      <w:marRight w:val="0"/>
      <w:marTop w:val="0"/>
      <w:marBottom w:val="0"/>
      <w:divBdr>
        <w:top w:val="none" w:sz="0" w:space="0" w:color="auto"/>
        <w:left w:val="none" w:sz="0" w:space="0" w:color="auto"/>
        <w:bottom w:val="none" w:sz="0" w:space="0" w:color="auto"/>
        <w:right w:val="none" w:sz="0" w:space="0" w:color="auto"/>
      </w:divBdr>
    </w:div>
    <w:div w:id="851724450">
      <w:bodyDiv w:val="1"/>
      <w:marLeft w:val="0"/>
      <w:marRight w:val="0"/>
      <w:marTop w:val="0"/>
      <w:marBottom w:val="0"/>
      <w:divBdr>
        <w:top w:val="none" w:sz="0" w:space="0" w:color="auto"/>
        <w:left w:val="none" w:sz="0" w:space="0" w:color="auto"/>
        <w:bottom w:val="none" w:sz="0" w:space="0" w:color="auto"/>
        <w:right w:val="none" w:sz="0" w:space="0" w:color="auto"/>
      </w:divBdr>
    </w:div>
    <w:div w:id="851995496">
      <w:bodyDiv w:val="1"/>
      <w:marLeft w:val="0"/>
      <w:marRight w:val="0"/>
      <w:marTop w:val="0"/>
      <w:marBottom w:val="0"/>
      <w:divBdr>
        <w:top w:val="none" w:sz="0" w:space="0" w:color="auto"/>
        <w:left w:val="none" w:sz="0" w:space="0" w:color="auto"/>
        <w:bottom w:val="none" w:sz="0" w:space="0" w:color="auto"/>
        <w:right w:val="none" w:sz="0" w:space="0" w:color="auto"/>
      </w:divBdr>
    </w:div>
    <w:div w:id="853153569">
      <w:bodyDiv w:val="1"/>
      <w:marLeft w:val="0"/>
      <w:marRight w:val="0"/>
      <w:marTop w:val="0"/>
      <w:marBottom w:val="0"/>
      <w:divBdr>
        <w:top w:val="none" w:sz="0" w:space="0" w:color="auto"/>
        <w:left w:val="none" w:sz="0" w:space="0" w:color="auto"/>
        <w:bottom w:val="none" w:sz="0" w:space="0" w:color="auto"/>
        <w:right w:val="none" w:sz="0" w:space="0" w:color="auto"/>
      </w:divBdr>
    </w:div>
    <w:div w:id="853375331">
      <w:bodyDiv w:val="1"/>
      <w:marLeft w:val="0"/>
      <w:marRight w:val="0"/>
      <w:marTop w:val="0"/>
      <w:marBottom w:val="0"/>
      <w:divBdr>
        <w:top w:val="none" w:sz="0" w:space="0" w:color="auto"/>
        <w:left w:val="none" w:sz="0" w:space="0" w:color="auto"/>
        <w:bottom w:val="none" w:sz="0" w:space="0" w:color="auto"/>
        <w:right w:val="none" w:sz="0" w:space="0" w:color="auto"/>
      </w:divBdr>
    </w:div>
    <w:div w:id="855849737">
      <w:bodyDiv w:val="1"/>
      <w:marLeft w:val="0"/>
      <w:marRight w:val="0"/>
      <w:marTop w:val="0"/>
      <w:marBottom w:val="0"/>
      <w:divBdr>
        <w:top w:val="none" w:sz="0" w:space="0" w:color="auto"/>
        <w:left w:val="none" w:sz="0" w:space="0" w:color="auto"/>
        <w:bottom w:val="none" w:sz="0" w:space="0" w:color="auto"/>
        <w:right w:val="none" w:sz="0" w:space="0" w:color="auto"/>
      </w:divBdr>
    </w:div>
    <w:div w:id="857819217">
      <w:bodyDiv w:val="1"/>
      <w:marLeft w:val="0"/>
      <w:marRight w:val="0"/>
      <w:marTop w:val="0"/>
      <w:marBottom w:val="0"/>
      <w:divBdr>
        <w:top w:val="none" w:sz="0" w:space="0" w:color="auto"/>
        <w:left w:val="none" w:sz="0" w:space="0" w:color="auto"/>
        <w:bottom w:val="none" w:sz="0" w:space="0" w:color="auto"/>
        <w:right w:val="none" w:sz="0" w:space="0" w:color="auto"/>
      </w:divBdr>
    </w:div>
    <w:div w:id="862210825">
      <w:bodyDiv w:val="1"/>
      <w:marLeft w:val="0"/>
      <w:marRight w:val="0"/>
      <w:marTop w:val="0"/>
      <w:marBottom w:val="0"/>
      <w:divBdr>
        <w:top w:val="none" w:sz="0" w:space="0" w:color="auto"/>
        <w:left w:val="none" w:sz="0" w:space="0" w:color="auto"/>
        <w:bottom w:val="none" w:sz="0" w:space="0" w:color="auto"/>
        <w:right w:val="none" w:sz="0" w:space="0" w:color="auto"/>
      </w:divBdr>
    </w:div>
    <w:div w:id="862287033">
      <w:bodyDiv w:val="1"/>
      <w:marLeft w:val="0"/>
      <w:marRight w:val="0"/>
      <w:marTop w:val="0"/>
      <w:marBottom w:val="0"/>
      <w:divBdr>
        <w:top w:val="none" w:sz="0" w:space="0" w:color="auto"/>
        <w:left w:val="none" w:sz="0" w:space="0" w:color="auto"/>
        <w:bottom w:val="none" w:sz="0" w:space="0" w:color="auto"/>
        <w:right w:val="none" w:sz="0" w:space="0" w:color="auto"/>
      </w:divBdr>
    </w:div>
    <w:div w:id="863634036">
      <w:bodyDiv w:val="1"/>
      <w:marLeft w:val="0"/>
      <w:marRight w:val="0"/>
      <w:marTop w:val="0"/>
      <w:marBottom w:val="0"/>
      <w:divBdr>
        <w:top w:val="none" w:sz="0" w:space="0" w:color="auto"/>
        <w:left w:val="none" w:sz="0" w:space="0" w:color="auto"/>
        <w:bottom w:val="none" w:sz="0" w:space="0" w:color="auto"/>
        <w:right w:val="none" w:sz="0" w:space="0" w:color="auto"/>
      </w:divBdr>
    </w:div>
    <w:div w:id="863787762">
      <w:bodyDiv w:val="1"/>
      <w:marLeft w:val="0"/>
      <w:marRight w:val="0"/>
      <w:marTop w:val="0"/>
      <w:marBottom w:val="0"/>
      <w:divBdr>
        <w:top w:val="none" w:sz="0" w:space="0" w:color="auto"/>
        <w:left w:val="none" w:sz="0" w:space="0" w:color="auto"/>
        <w:bottom w:val="none" w:sz="0" w:space="0" w:color="auto"/>
        <w:right w:val="none" w:sz="0" w:space="0" w:color="auto"/>
      </w:divBdr>
    </w:div>
    <w:div w:id="864903545">
      <w:bodyDiv w:val="1"/>
      <w:marLeft w:val="0"/>
      <w:marRight w:val="0"/>
      <w:marTop w:val="0"/>
      <w:marBottom w:val="0"/>
      <w:divBdr>
        <w:top w:val="none" w:sz="0" w:space="0" w:color="auto"/>
        <w:left w:val="none" w:sz="0" w:space="0" w:color="auto"/>
        <w:bottom w:val="none" w:sz="0" w:space="0" w:color="auto"/>
        <w:right w:val="none" w:sz="0" w:space="0" w:color="auto"/>
      </w:divBdr>
    </w:div>
    <w:div w:id="871187130">
      <w:bodyDiv w:val="1"/>
      <w:marLeft w:val="0"/>
      <w:marRight w:val="0"/>
      <w:marTop w:val="0"/>
      <w:marBottom w:val="0"/>
      <w:divBdr>
        <w:top w:val="none" w:sz="0" w:space="0" w:color="auto"/>
        <w:left w:val="none" w:sz="0" w:space="0" w:color="auto"/>
        <w:bottom w:val="none" w:sz="0" w:space="0" w:color="auto"/>
        <w:right w:val="none" w:sz="0" w:space="0" w:color="auto"/>
      </w:divBdr>
    </w:div>
    <w:div w:id="873424917">
      <w:bodyDiv w:val="1"/>
      <w:marLeft w:val="0"/>
      <w:marRight w:val="0"/>
      <w:marTop w:val="0"/>
      <w:marBottom w:val="0"/>
      <w:divBdr>
        <w:top w:val="none" w:sz="0" w:space="0" w:color="auto"/>
        <w:left w:val="none" w:sz="0" w:space="0" w:color="auto"/>
        <w:bottom w:val="none" w:sz="0" w:space="0" w:color="auto"/>
        <w:right w:val="none" w:sz="0" w:space="0" w:color="auto"/>
      </w:divBdr>
    </w:div>
    <w:div w:id="875460412">
      <w:bodyDiv w:val="1"/>
      <w:marLeft w:val="0"/>
      <w:marRight w:val="0"/>
      <w:marTop w:val="0"/>
      <w:marBottom w:val="0"/>
      <w:divBdr>
        <w:top w:val="none" w:sz="0" w:space="0" w:color="auto"/>
        <w:left w:val="none" w:sz="0" w:space="0" w:color="auto"/>
        <w:bottom w:val="none" w:sz="0" w:space="0" w:color="auto"/>
        <w:right w:val="none" w:sz="0" w:space="0" w:color="auto"/>
      </w:divBdr>
    </w:div>
    <w:div w:id="879781777">
      <w:bodyDiv w:val="1"/>
      <w:marLeft w:val="0"/>
      <w:marRight w:val="0"/>
      <w:marTop w:val="0"/>
      <w:marBottom w:val="0"/>
      <w:divBdr>
        <w:top w:val="none" w:sz="0" w:space="0" w:color="auto"/>
        <w:left w:val="none" w:sz="0" w:space="0" w:color="auto"/>
        <w:bottom w:val="none" w:sz="0" w:space="0" w:color="auto"/>
        <w:right w:val="none" w:sz="0" w:space="0" w:color="auto"/>
      </w:divBdr>
    </w:div>
    <w:div w:id="880021429">
      <w:bodyDiv w:val="1"/>
      <w:marLeft w:val="0"/>
      <w:marRight w:val="0"/>
      <w:marTop w:val="0"/>
      <w:marBottom w:val="0"/>
      <w:divBdr>
        <w:top w:val="none" w:sz="0" w:space="0" w:color="auto"/>
        <w:left w:val="none" w:sz="0" w:space="0" w:color="auto"/>
        <w:bottom w:val="none" w:sz="0" w:space="0" w:color="auto"/>
        <w:right w:val="none" w:sz="0" w:space="0" w:color="auto"/>
      </w:divBdr>
    </w:div>
    <w:div w:id="882981471">
      <w:bodyDiv w:val="1"/>
      <w:marLeft w:val="0"/>
      <w:marRight w:val="0"/>
      <w:marTop w:val="0"/>
      <w:marBottom w:val="0"/>
      <w:divBdr>
        <w:top w:val="none" w:sz="0" w:space="0" w:color="auto"/>
        <w:left w:val="none" w:sz="0" w:space="0" w:color="auto"/>
        <w:bottom w:val="none" w:sz="0" w:space="0" w:color="auto"/>
        <w:right w:val="none" w:sz="0" w:space="0" w:color="auto"/>
      </w:divBdr>
    </w:div>
    <w:div w:id="885291003">
      <w:bodyDiv w:val="1"/>
      <w:marLeft w:val="0"/>
      <w:marRight w:val="0"/>
      <w:marTop w:val="0"/>
      <w:marBottom w:val="0"/>
      <w:divBdr>
        <w:top w:val="none" w:sz="0" w:space="0" w:color="auto"/>
        <w:left w:val="none" w:sz="0" w:space="0" w:color="auto"/>
        <w:bottom w:val="none" w:sz="0" w:space="0" w:color="auto"/>
        <w:right w:val="none" w:sz="0" w:space="0" w:color="auto"/>
      </w:divBdr>
    </w:div>
    <w:div w:id="886720083">
      <w:bodyDiv w:val="1"/>
      <w:marLeft w:val="0"/>
      <w:marRight w:val="0"/>
      <w:marTop w:val="0"/>
      <w:marBottom w:val="0"/>
      <w:divBdr>
        <w:top w:val="none" w:sz="0" w:space="0" w:color="auto"/>
        <w:left w:val="none" w:sz="0" w:space="0" w:color="auto"/>
        <w:bottom w:val="none" w:sz="0" w:space="0" w:color="auto"/>
        <w:right w:val="none" w:sz="0" w:space="0" w:color="auto"/>
      </w:divBdr>
    </w:div>
    <w:div w:id="889001395">
      <w:bodyDiv w:val="1"/>
      <w:marLeft w:val="0"/>
      <w:marRight w:val="0"/>
      <w:marTop w:val="0"/>
      <w:marBottom w:val="0"/>
      <w:divBdr>
        <w:top w:val="none" w:sz="0" w:space="0" w:color="auto"/>
        <w:left w:val="none" w:sz="0" w:space="0" w:color="auto"/>
        <w:bottom w:val="none" w:sz="0" w:space="0" w:color="auto"/>
        <w:right w:val="none" w:sz="0" w:space="0" w:color="auto"/>
      </w:divBdr>
    </w:div>
    <w:div w:id="889347144">
      <w:bodyDiv w:val="1"/>
      <w:marLeft w:val="0"/>
      <w:marRight w:val="0"/>
      <w:marTop w:val="0"/>
      <w:marBottom w:val="0"/>
      <w:divBdr>
        <w:top w:val="none" w:sz="0" w:space="0" w:color="auto"/>
        <w:left w:val="none" w:sz="0" w:space="0" w:color="auto"/>
        <w:bottom w:val="none" w:sz="0" w:space="0" w:color="auto"/>
        <w:right w:val="none" w:sz="0" w:space="0" w:color="auto"/>
      </w:divBdr>
    </w:div>
    <w:div w:id="889996669">
      <w:bodyDiv w:val="1"/>
      <w:marLeft w:val="0"/>
      <w:marRight w:val="0"/>
      <w:marTop w:val="0"/>
      <w:marBottom w:val="0"/>
      <w:divBdr>
        <w:top w:val="none" w:sz="0" w:space="0" w:color="auto"/>
        <w:left w:val="none" w:sz="0" w:space="0" w:color="auto"/>
        <w:bottom w:val="none" w:sz="0" w:space="0" w:color="auto"/>
        <w:right w:val="none" w:sz="0" w:space="0" w:color="auto"/>
      </w:divBdr>
      <w:divsChild>
        <w:div w:id="1084912349">
          <w:marLeft w:val="0"/>
          <w:marRight w:val="0"/>
          <w:marTop w:val="0"/>
          <w:marBottom w:val="0"/>
          <w:divBdr>
            <w:top w:val="none" w:sz="0" w:space="0" w:color="auto"/>
            <w:left w:val="none" w:sz="0" w:space="0" w:color="auto"/>
            <w:bottom w:val="none" w:sz="0" w:space="0" w:color="auto"/>
            <w:right w:val="none" w:sz="0" w:space="0" w:color="auto"/>
          </w:divBdr>
          <w:divsChild>
            <w:div w:id="1157116856">
              <w:marLeft w:val="0"/>
              <w:marRight w:val="0"/>
              <w:marTop w:val="0"/>
              <w:marBottom w:val="0"/>
              <w:divBdr>
                <w:top w:val="none" w:sz="0" w:space="0" w:color="auto"/>
                <w:left w:val="none" w:sz="0" w:space="0" w:color="auto"/>
                <w:bottom w:val="none" w:sz="0" w:space="0" w:color="auto"/>
                <w:right w:val="none" w:sz="0" w:space="0" w:color="auto"/>
              </w:divBdr>
              <w:divsChild>
                <w:div w:id="471479885">
                  <w:marLeft w:val="0"/>
                  <w:marRight w:val="0"/>
                  <w:marTop w:val="0"/>
                  <w:marBottom w:val="0"/>
                  <w:divBdr>
                    <w:top w:val="none" w:sz="0" w:space="0" w:color="auto"/>
                    <w:left w:val="none" w:sz="0" w:space="0" w:color="auto"/>
                    <w:bottom w:val="none" w:sz="0" w:space="0" w:color="auto"/>
                    <w:right w:val="none" w:sz="0" w:space="0" w:color="auto"/>
                  </w:divBdr>
                  <w:divsChild>
                    <w:div w:id="1311908140">
                      <w:marLeft w:val="0"/>
                      <w:marRight w:val="0"/>
                      <w:marTop w:val="0"/>
                      <w:marBottom w:val="0"/>
                      <w:divBdr>
                        <w:top w:val="none" w:sz="0" w:space="0" w:color="auto"/>
                        <w:left w:val="none" w:sz="0" w:space="0" w:color="auto"/>
                        <w:bottom w:val="none" w:sz="0" w:space="0" w:color="auto"/>
                        <w:right w:val="none" w:sz="0" w:space="0" w:color="auto"/>
                      </w:divBdr>
                      <w:divsChild>
                        <w:div w:id="644892809">
                          <w:marLeft w:val="0"/>
                          <w:marRight w:val="0"/>
                          <w:marTop w:val="0"/>
                          <w:marBottom w:val="0"/>
                          <w:divBdr>
                            <w:top w:val="none" w:sz="0" w:space="0" w:color="auto"/>
                            <w:left w:val="none" w:sz="0" w:space="0" w:color="auto"/>
                            <w:bottom w:val="none" w:sz="0" w:space="0" w:color="auto"/>
                            <w:right w:val="none" w:sz="0" w:space="0" w:color="auto"/>
                          </w:divBdr>
                          <w:divsChild>
                            <w:div w:id="483814252">
                              <w:marLeft w:val="0"/>
                              <w:marRight w:val="0"/>
                              <w:marTop w:val="0"/>
                              <w:marBottom w:val="0"/>
                              <w:divBdr>
                                <w:top w:val="none" w:sz="0" w:space="0" w:color="auto"/>
                                <w:left w:val="none" w:sz="0" w:space="0" w:color="auto"/>
                                <w:bottom w:val="none" w:sz="0" w:space="0" w:color="auto"/>
                                <w:right w:val="none" w:sz="0" w:space="0" w:color="auto"/>
                              </w:divBdr>
                              <w:divsChild>
                                <w:div w:id="1523208845">
                                  <w:marLeft w:val="0"/>
                                  <w:marRight w:val="0"/>
                                  <w:marTop w:val="0"/>
                                  <w:marBottom w:val="0"/>
                                  <w:divBdr>
                                    <w:top w:val="none" w:sz="0" w:space="0" w:color="auto"/>
                                    <w:left w:val="none" w:sz="0" w:space="0" w:color="auto"/>
                                    <w:bottom w:val="none" w:sz="0" w:space="0" w:color="auto"/>
                                    <w:right w:val="none" w:sz="0" w:space="0" w:color="auto"/>
                                  </w:divBdr>
                                  <w:divsChild>
                                    <w:div w:id="1272014013">
                                      <w:marLeft w:val="0"/>
                                      <w:marRight w:val="0"/>
                                      <w:marTop w:val="0"/>
                                      <w:marBottom w:val="0"/>
                                      <w:divBdr>
                                        <w:top w:val="single" w:sz="4" w:space="0" w:color="F5F5F5"/>
                                        <w:left w:val="single" w:sz="4" w:space="0" w:color="F5F5F5"/>
                                        <w:bottom w:val="single" w:sz="4" w:space="0" w:color="F5F5F5"/>
                                        <w:right w:val="single" w:sz="4" w:space="0" w:color="F5F5F5"/>
                                      </w:divBdr>
                                      <w:divsChild>
                                        <w:div w:id="1851871223">
                                          <w:marLeft w:val="0"/>
                                          <w:marRight w:val="0"/>
                                          <w:marTop w:val="0"/>
                                          <w:marBottom w:val="0"/>
                                          <w:divBdr>
                                            <w:top w:val="none" w:sz="0" w:space="0" w:color="auto"/>
                                            <w:left w:val="none" w:sz="0" w:space="0" w:color="auto"/>
                                            <w:bottom w:val="none" w:sz="0" w:space="0" w:color="auto"/>
                                            <w:right w:val="none" w:sz="0" w:space="0" w:color="auto"/>
                                          </w:divBdr>
                                          <w:divsChild>
                                            <w:div w:id="876351208">
                                              <w:marLeft w:val="0"/>
                                              <w:marRight w:val="0"/>
                                              <w:marTop w:val="0"/>
                                              <w:marBottom w:val="0"/>
                                              <w:divBdr>
                                                <w:top w:val="none" w:sz="0" w:space="0" w:color="auto"/>
                                                <w:left w:val="none" w:sz="0" w:space="0" w:color="auto"/>
                                                <w:bottom w:val="none" w:sz="0" w:space="0" w:color="auto"/>
                                                <w:right w:val="none" w:sz="0" w:space="0" w:color="auto"/>
                                              </w:divBdr>
                                              <w:divsChild>
                                                <w:div w:id="7841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383419">
      <w:bodyDiv w:val="1"/>
      <w:marLeft w:val="0"/>
      <w:marRight w:val="0"/>
      <w:marTop w:val="0"/>
      <w:marBottom w:val="0"/>
      <w:divBdr>
        <w:top w:val="none" w:sz="0" w:space="0" w:color="auto"/>
        <w:left w:val="none" w:sz="0" w:space="0" w:color="auto"/>
        <w:bottom w:val="none" w:sz="0" w:space="0" w:color="auto"/>
        <w:right w:val="none" w:sz="0" w:space="0" w:color="auto"/>
      </w:divBdr>
    </w:div>
    <w:div w:id="892161893">
      <w:bodyDiv w:val="1"/>
      <w:marLeft w:val="0"/>
      <w:marRight w:val="0"/>
      <w:marTop w:val="0"/>
      <w:marBottom w:val="0"/>
      <w:divBdr>
        <w:top w:val="none" w:sz="0" w:space="0" w:color="auto"/>
        <w:left w:val="none" w:sz="0" w:space="0" w:color="auto"/>
        <w:bottom w:val="none" w:sz="0" w:space="0" w:color="auto"/>
        <w:right w:val="none" w:sz="0" w:space="0" w:color="auto"/>
      </w:divBdr>
    </w:div>
    <w:div w:id="893782200">
      <w:bodyDiv w:val="1"/>
      <w:marLeft w:val="0"/>
      <w:marRight w:val="0"/>
      <w:marTop w:val="0"/>
      <w:marBottom w:val="0"/>
      <w:divBdr>
        <w:top w:val="none" w:sz="0" w:space="0" w:color="auto"/>
        <w:left w:val="none" w:sz="0" w:space="0" w:color="auto"/>
        <w:bottom w:val="none" w:sz="0" w:space="0" w:color="auto"/>
        <w:right w:val="none" w:sz="0" w:space="0" w:color="auto"/>
      </w:divBdr>
    </w:div>
    <w:div w:id="893856033">
      <w:bodyDiv w:val="1"/>
      <w:marLeft w:val="0"/>
      <w:marRight w:val="0"/>
      <w:marTop w:val="0"/>
      <w:marBottom w:val="0"/>
      <w:divBdr>
        <w:top w:val="none" w:sz="0" w:space="0" w:color="auto"/>
        <w:left w:val="none" w:sz="0" w:space="0" w:color="auto"/>
        <w:bottom w:val="none" w:sz="0" w:space="0" w:color="auto"/>
        <w:right w:val="none" w:sz="0" w:space="0" w:color="auto"/>
      </w:divBdr>
    </w:div>
    <w:div w:id="893932101">
      <w:bodyDiv w:val="1"/>
      <w:marLeft w:val="0"/>
      <w:marRight w:val="0"/>
      <w:marTop w:val="0"/>
      <w:marBottom w:val="0"/>
      <w:divBdr>
        <w:top w:val="none" w:sz="0" w:space="0" w:color="auto"/>
        <w:left w:val="none" w:sz="0" w:space="0" w:color="auto"/>
        <w:bottom w:val="none" w:sz="0" w:space="0" w:color="auto"/>
        <w:right w:val="none" w:sz="0" w:space="0" w:color="auto"/>
      </w:divBdr>
    </w:div>
    <w:div w:id="899751963">
      <w:bodyDiv w:val="1"/>
      <w:marLeft w:val="0"/>
      <w:marRight w:val="0"/>
      <w:marTop w:val="0"/>
      <w:marBottom w:val="0"/>
      <w:divBdr>
        <w:top w:val="none" w:sz="0" w:space="0" w:color="auto"/>
        <w:left w:val="none" w:sz="0" w:space="0" w:color="auto"/>
        <w:bottom w:val="none" w:sz="0" w:space="0" w:color="auto"/>
        <w:right w:val="none" w:sz="0" w:space="0" w:color="auto"/>
      </w:divBdr>
    </w:div>
    <w:div w:id="901452567">
      <w:bodyDiv w:val="1"/>
      <w:marLeft w:val="0"/>
      <w:marRight w:val="0"/>
      <w:marTop w:val="0"/>
      <w:marBottom w:val="0"/>
      <w:divBdr>
        <w:top w:val="none" w:sz="0" w:space="0" w:color="auto"/>
        <w:left w:val="none" w:sz="0" w:space="0" w:color="auto"/>
        <w:bottom w:val="none" w:sz="0" w:space="0" w:color="auto"/>
        <w:right w:val="none" w:sz="0" w:space="0" w:color="auto"/>
      </w:divBdr>
    </w:div>
    <w:div w:id="904142867">
      <w:bodyDiv w:val="1"/>
      <w:marLeft w:val="0"/>
      <w:marRight w:val="0"/>
      <w:marTop w:val="0"/>
      <w:marBottom w:val="0"/>
      <w:divBdr>
        <w:top w:val="none" w:sz="0" w:space="0" w:color="auto"/>
        <w:left w:val="none" w:sz="0" w:space="0" w:color="auto"/>
        <w:bottom w:val="none" w:sz="0" w:space="0" w:color="auto"/>
        <w:right w:val="none" w:sz="0" w:space="0" w:color="auto"/>
      </w:divBdr>
    </w:div>
    <w:div w:id="904417324">
      <w:bodyDiv w:val="1"/>
      <w:marLeft w:val="0"/>
      <w:marRight w:val="0"/>
      <w:marTop w:val="0"/>
      <w:marBottom w:val="0"/>
      <w:divBdr>
        <w:top w:val="none" w:sz="0" w:space="0" w:color="auto"/>
        <w:left w:val="none" w:sz="0" w:space="0" w:color="auto"/>
        <w:bottom w:val="none" w:sz="0" w:space="0" w:color="auto"/>
        <w:right w:val="none" w:sz="0" w:space="0" w:color="auto"/>
      </w:divBdr>
    </w:div>
    <w:div w:id="905339834">
      <w:bodyDiv w:val="1"/>
      <w:marLeft w:val="0"/>
      <w:marRight w:val="0"/>
      <w:marTop w:val="0"/>
      <w:marBottom w:val="0"/>
      <w:divBdr>
        <w:top w:val="none" w:sz="0" w:space="0" w:color="auto"/>
        <w:left w:val="none" w:sz="0" w:space="0" w:color="auto"/>
        <w:bottom w:val="none" w:sz="0" w:space="0" w:color="auto"/>
        <w:right w:val="none" w:sz="0" w:space="0" w:color="auto"/>
      </w:divBdr>
      <w:divsChild>
        <w:div w:id="442698153">
          <w:marLeft w:val="0"/>
          <w:marRight w:val="0"/>
          <w:marTop w:val="0"/>
          <w:marBottom w:val="0"/>
          <w:divBdr>
            <w:top w:val="none" w:sz="0" w:space="0" w:color="auto"/>
            <w:left w:val="none" w:sz="0" w:space="0" w:color="auto"/>
            <w:bottom w:val="none" w:sz="0" w:space="0" w:color="auto"/>
            <w:right w:val="none" w:sz="0" w:space="0" w:color="auto"/>
          </w:divBdr>
          <w:divsChild>
            <w:div w:id="2073577855">
              <w:marLeft w:val="0"/>
              <w:marRight w:val="0"/>
              <w:marTop w:val="0"/>
              <w:marBottom w:val="0"/>
              <w:divBdr>
                <w:top w:val="none" w:sz="0" w:space="0" w:color="auto"/>
                <w:left w:val="none" w:sz="0" w:space="0" w:color="auto"/>
                <w:bottom w:val="none" w:sz="0" w:space="0" w:color="auto"/>
                <w:right w:val="none" w:sz="0" w:space="0" w:color="auto"/>
              </w:divBdr>
              <w:divsChild>
                <w:div w:id="2097510685">
                  <w:marLeft w:val="0"/>
                  <w:marRight w:val="0"/>
                  <w:marTop w:val="0"/>
                  <w:marBottom w:val="0"/>
                  <w:divBdr>
                    <w:top w:val="none" w:sz="0" w:space="0" w:color="auto"/>
                    <w:left w:val="none" w:sz="0" w:space="0" w:color="auto"/>
                    <w:bottom w:val="none" w:sz="0" w:space="0" w:color="auto"/>
                    <w:right w:val="none" w:sz="0" w:space="0" w:color="auto"/>
                  </w:divBdr>
                  <w:divsChild>
                    <w:div w:id="443230124">
                      <w:marLeft w:val="0"/>
                      <w:marRight w:val="0"/>
                      <w:marTop w:val="0"/>
                      <w:marBottom w:val="0"/>
                      <w:divBdr>
                        <w:top w:val="none" w:sz="0" w:space="0" w:color="auto"/>
                        <w:left w:val="none" w:sz="0" w:space="0" w:color="auto"/>
                        <w:bottom w:val="none" w:sz="0" w:space="0" w:color="auto"/>
                        <w:right w:val="none" w:sz="0" w:space="0" w:color="auto"/>
                      </w:divBdr>
                      <w:divsChild>
                        <w:div w:id="1127511849">
                          <w:marLeft w:val="0"/>
                          <w:marRight w:val="0"/>
                          <w:marTop w:val="0"/>
                          <w:marBottom w:val="0"/>
                          <w:divBdr>
                            <w:top w:val="none" w:sz="0" w:space="0" w:color="auto"/>
                            <w:left w:val="none" w:sz="0" w:space="0" w:color="auto"/>
                            <w:bottom w:val="none" w:sz="0" w:space="0" w:color="auto"/>
                            <w:right w:val="none" w:sz="0" w:space="0" w:color="auto"/>
                          </w:divBdr>
                          <w:divsChild>
                            <w:div w:id="381029348">
                              <w:marLeft w:val="0"/>
                              <w:marRight w:val="0"/>
                              <w:marTop w:val="0"/>
                              <w:marBottom w:val="0"/>
                              <w:divBdr>
                                <w:top w:val="none" w:sz="0" w:space="0" w:color="auto"/>
                                <w:left w:val="none" w:sz="0" w:space="0" w:color="auto"/>
                                <w:bottom w:val="none" w:sz="0" w:space="0" w:color="auto"/>
                                <w:right w:val="none" w:sz="0" w:space="0" w:color="auto"/>
                              </w:divBdr>
                              <w:divsChild>
                                <w:div w:id="235552159">
                                  <w:marLeft w:val="0"/>
                                  <w:marRight w:val="0"/>
                                  <w:marTop w:val="0"/>
                                  <w:marBottom w:val="0"/>
                                  <w:divBdr>
                                    <w:top w:val="none" w:sz="0" w:space="0" w:color="auto"/>
                                    <w:left w:val="none" w:sz="0" w:space="0" w:color="auto"/>
                                    <w:bottom w:val="none" w:sz="0" w:space="0" w:color="auto"/>
                                    <w:right w:val="none" w:sz="0" w:space="0" w:color="auto"/>
                                  </w:divBdr>
                                  <w:divsChild>
                                    <w:div w:id="250940751">
                                      <w:marLeft w:val="0"/>
                                      <w:marRight w:val="0"/>
                                      <w:marTop w:val="0"/>
                                      <w:marBottom w:val="0"/>
                                      <w:divBdr>
                                        <w:top w:val="single" w:sz="4" w:space="0" w:color="F5F5F5"/>
                                        <w:left w:val="single" w:sz="4" w:space="0" w:color="F5F5F5"/>
                                        <w:bottom w:val="single" w:sz="4" w:space="0" w:color="F5F5F5"/>
                                        <w:right w:val="single" w:sz="4" w:space="0" w:color="F5F5F5"/>
                                      </w:divBdr>
                                      <w:divsChild>
                                        <w:div w:id="720903007">
                                          <w:marLeft w:val="0"/>
                                          <w:marRight w:val="0"/>
                                          <w:marTop w:val="0"/>
                                          <w:marBottom w:val="0"/>
                                          <w:divBdr>
                                            <w:top w:val="none" w:sz="0" w:space="0" w:color="auto"/>
                                            <w:left w:val="none" w:sz="0" w:space="0" w:color="auto"/>
                                            <w:bottom w:val="none" w:sz="0" w:space="0" w:color="auto"/>
                                            <w:right w:val="none" w:sz="0" w:space="0" w:color="auto"/>
                                          </w:divBdr>
                                          <w:divsChild>
                                            <w:div w:id="10579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456256">
      <w:bodyDiv w:val="1"/>
      <w:marLeft w:val="0"/>
      <w:marRight w:val="0"/>
      <w:marTop w:val="0"/>
      <w:marBottom w:val="0"/>
      <w:divBdr>
        <w:top w:val="none" w:sz="0" w:space="0" w:color="auto"/>
        <w:left w:val="none" w:sz="0" w:space="0" w:color="auto"/>
        <w:bottom w:val="none" w:sz="0" w:space="0" w:color="auto"/>
        <w:right w:val="none" w:sz="0" w:space="0" w:color="auto"/>
      </w:divBdr>
    </w:div>
    <w:div w:id="905921981">
      <w:bodyDiv w:val="1"/>
      <w:marLeft w:val="0"/>
      <w:marRight w:val="0"/>
      <w:marTop w:val="0"/>
      <w:marBottom w:val="0"/>
      <w:divBdr>
        <w:top w:val="none" w:sz="0" w:space="0" w:color="auto"/>
        <w:left w:val="none" w:sz="0" w:space="0" w:color="auto"/>
        <w:bottom w:val="none" w:sz="0" w:space="0" w:color="auto"/>
        <w:right w:val="none" w:sz="0" w:space="0" w:color="auto"/>
      </w:divBdr>
    </w:div>
    <w:div w:id="908803615">
      <w:bodyDiv w:val="1"/>
      <w:marLeft w:val="0"/>
      <w:marRight w:val="0"/>
      <w:marTop w:val="0"/>
      <w:marBottom w:val="0"/>
      <w:divBdr>
        <w:top w:val="none" w:sz="0" w:space="0" w:color="auto"/>
        <w:left w:val="none" w:sz="0" w:space="0" w:color="auto"/>
        <w:bottom w:val="none" w:sz="0" w:space="0" w:color="auto"/>
        <w:right w:val="none" w:sz="0" w:space="0" w:color="auto"/>
      </w:divBdr>
    </w:div>
    <w:div w:id="909774402">
      <w:bodyDiv w:val="1"/>
      <w:marLeft w:val="0"/>
      <w:marRight w:val="0"/>
      <w:marTop w:val="0"/>
      <w:marBottom w:val="0"/>
      <w:divBdr>
        <w:top w:val="none" w:sz="0" w:space="0" w:color="auto"/>
        <w:left w:val="none" w:sz="0" w:space="0" w:color="auto"/>
        <w:bottom w:val="none" w:sz="0" w:space="0" w:color="auto"/>
        <w:right w:val="none" w:sz="0" w:space="0" w:color="auto"/>
      </w:divBdr>
    </w:div>
    <w:div w:id="911620291">
      <w:bodyDiv w:val="1"/>
      <w:marLeft w:val="0"/>
      <w:marRight w:val="0"/>
      <w:marTop w:val="0"/>
      <w:marBottom w:val="0"/>
      <w:divBdr>
        <w:top w:val="none" w:sz="0" w:space="0" w:color="auto"/>
        <w:left w:val="none" w:sz="0" w:space="0" w:color="auto"/>
        <w:bottom w:val="none" w:sz="0" w:space="0" w:color="auto"/>
        <w:right w:val="none" w:sz="0" w:space="0" w:color="auto"/>
      </w:divBdr>
    </w:div>
    <w:div w:id="915480850">
      <w:bodyDiv w:val="1"/>
      <w:marLeft w:val="0"/>
      <w:marRight w:val="0"/>
      <w:marTop w:val="0"/>
      <w:marBottom w:val="0"/>
      <w:divBdr>
        <w:top w:val="none" w:sz="0" w:space="0" w:color="auto"/>
        <w:left w:val="none" w:sz="0" w:space="0" w:color="auto"/>
        <w:bottom w:val="none" w:sz="0" w:space="0" w:color="auto"/>
        <w:right w:val="none" w:sz="0" w:space="0" w:color="auto"/>
      </w:divBdr>
    </w:div>
    <w:div w:id="916131098">
      <w:bodyDiv w:val="1"/>
      <w:marLeft w:val="0"/>
      <w:marRight w:val="0"/>
      <w:marTop w:val="0"/>
      <w:marBottom w:val="0"/>
      <w:divBdr>
        <w:top w:val="none" w:sz="0" w:space="0" w:color="auto"/>
        <w:left w:val="none" w:sz="0" w:space="0" w:color="auto"/>
        <w:bottom w:val="none" w:sz="0" w:space="0" w:color="auto"/>
        <w:right w:val="none" w:sz="0" w:space="0" w:color="auto"/>
      </w:divBdr>
    </w:div>
    <w:div w:id="917326396">
      <w:bodyDiv w:val="1"/>
      <w:marLeft w:val="0"/>
      <w:marRight w:val="0"/>
      <w:marTop w:val="0"/>
      <w:marBottom w:val="0"/>
      <w:divBdr>
        <w:top w:val="none" w:sz="0" w:space="0" w:color="auto"/>
        <w:left w:val="none" w:sz="0" w:space="0" w:color="auto"/>
        <w:bottom w:val="none" w:sz="0" w:space="0" w:color="auto"/>
        <w:right w:val="none" w:sz="0" w:space="0" w:color="auto"/>
      </w:divBdr>
    </w:div>
    <w:div w:id="918253393">
      <w:bodyDiv w:val="1"/>
      <w:marLeft w:val="0"/>
      <w:marRight w:val="0"/>
      <w:marTop w:val="0"/>
      <w:marBottom w:val="0"/>
      <w:divBdr>
        <w:top w:val="none" w:sz="0" w:space="0" w:color="auto"/>
        <w:left w:val="none" w:sz="0" w:space="0" w:color="auto"/>
        <w:bottom w:val="none" w:sz="0" w:space="0" w:color="auto"/>
        <w:right w:val="none" w:sz="0" w:space="0" w:color="auto"/>
      </w:divBdr>
    </w:div>
    <w:div w:id="919824569">
      <w:bodyDiv w:val="1"/>
      <w:marLeft w:val="0"/>
      <w:marRight w:val="0"/>
      <w:marTop w:val="0"/>
      <w:marBottom w:val="0"/>
      <w:divBdr>
        <w:top w:val="none" w:sz="0" w:space="0" w:color="auto"/>
        <w:left w:val="none" w:sz="0" w:space="0" w:color="auto"/>
        <w:bottom w:val="none" w:sz="0" w:space="0" w:color="auto"/>
        <w:right w:val="none" w:sz="0" w:space="0" w:color="auto"/>
      </w:divBdr>
    </w:div>
    <w:div w:id="921068953">
      <w:bodyDiv w:val="1"/>
      <w:marLeft w:val="0"/>
      <w:marRight w:val="0"/>
      <w:marTop w:val="0"/>
      <w:marBottom w:val="0"/>
      <w:divBdr>
        <w:top w:val="none" w:sz="0" w:space="0" w:color="auto"/>
        <w:left w:val="none" w:sz="0" w:space="0" w:color="auto"/>
        <w:bottom w:val="none" w:sz="0" w:space="0" w:color="auto"/>
        <w:right w:val="none" w:sz="0" w:space="0" w:color="auto"/>
      </w:divBdr>
    </w:div>
    <w:div w:id="924999914">
      <w:bodyDiv w:val="1"/>
      <w:marLeft w:val="0"/>
      <w:marRight w:val="0"/>
      <w:marTop w:val="0"/>
      <w:marBottom w:val="0"/>
      <w:divBdr>
        <w:top w:val="none" w:sz="0" w:space="0" w:color="auto"/>
        <w:left w:val="none" w:sz="0" w:space="0" w:color="auto"/>
        <w:bottom w:val="none" w:sz="0" w:space="0" w:color="auto"/>
        <w:right w:val="none" w:sz="0" w:space="0" w:color="auto"/>
      </w:divBdr>
    </w:div>
    <w:div w:id="929043550">
      <w:bodyDiv w:val="1"/>
      <w:marLeft w:val="0"/>
      <w:marRight w:val="0"/>
      <w:marTop w:val="0"/>
      <w:marBottom w:val="0"/>
      <w:divBdr>
        <w:top w:val="none" w:sz="0" w:space="0" w:color="auto"/>
        <w:left w:val="none" w:sz="0" w:space="0" w:color="auto"/>
        <w:bottom w:val="none" w:sz="0" w:space="0" w:color="auto"/>
        <w:right w:val="none" w:sz="0" w:space="0" w:color="auto"/>
      </w:divBdr>
    </w:div>
    <w:div w:id="931670848">
      <w:bodyDiv w:val="1"/>
      <w:marLeft w:val="0"/>
      <w:marRight w:val="0"/>
      <w:marTop w:val="0"/>
      <w:marBottom w:val="0"/>
      <w:divBdr>
        <w:top w:val="none" w:sz="0" w:space="0" w:color="auto"/>
        <w:left w:val="none" w:sz="0" w:space="0" w:color="auto"/>
        <w:bottom w:val="none" w:sz="0" w:space="0" w:color="auto"/>
        <w:right w:val="none" w:sz="0" w:space="0" w:color="auto"/>
      </w:divBdr>
    </w:div>
    <w:div w:id="934941052">
      <w:bodyDiv w:val="1"/>
      <w:marLeft w:val="0"/>
      <w:marRight w:val="0"/>
      <w:marTop w:val="0"/>
      <w:marBottom w:val="0"/>
      <w:divBdr>
        <w:top w:val="none" w:sz="0" w:space="0" w:color="auto"/>
        <w:left w:val="none" w:sz="0" w:space="0" w:color="auto"/>
        <w:bottom w:val="none" w:sz="0" w:space="0" w:color="auto"/>
        <w:right w:val="none" w:sz="0" w:space="0" w:color="auto"/>
      </w:divBdr>
    </w:div>
    <w:div w:id="935746866">
      <w:bodyDiv w:val="1"/>
      <w:marLeft w:val="0"/>
      <w:marRight w:val="0"/>
      <w:marTop w:val="0"/>
      <w:marBottom w:val="0"/>
      <w:divBdr>
        <w:top w:val="none" w:sz="0" w:space="0" w:color="auto"/>
        <w:left w:val="none" w:sz="0" w:space="0" w:color="auto"/>
        <w:bottom w:val="none" w:sz="0" w:space="0" w:color="auto"/>
        <w:right w:val="none" w:sz="0" w:space="0" w:color="auto"/>
      </w:divBdr>
    </w:div>
    <w:div w:id="938290941">
      <w:bodyDiv w:val="1"/>
      <w:marLeft w:val="0"/>
      <w:marRight w:val="0"/>
      <w:marTop w:val="0"/>
      <w:marBottom w:val="0"/>
      <w:divBdr>
        <w:top w:val="none" w:sz="0" w:space="0" w:color="auto"/>
        <w:left w:val="none" w:sz="0" w:space="0" w:color="auto"/>
        <w:bottom w:val="none" w:sz="0" w:space="0" w:color="auto"/>
        <w:right w:val="none" w:sz="0" w:space="0" w:color="auto"/>
      </w:divBdr>
    </w:div>
    <w:div w:id="939023872">
      <w:bodyDiv w:val="1"/>
      <w:marLeft w:val="0"/>
      <w:marRight w:val="0"/>
      <w:marTop w:val="0"/>
      <w:marBottom w:val="0"/>
      <w:divBdr>
        <w:top w:val="none" w:sz="0" w:space="0" w:color="auto"/>
        <w:left w:val="none" w:sz="0" w:space="0" w:color="auto"/>
        <w:bottom w:val="none" w:sz="0" w:space="0" w:color="auto"/>
        <w:right w:val="none" w:sz="0" w:space="0" w:color="auto"/>
      </w:divBdr>
    </w:div>
    <w:div w:id="941693198">
      <w:bodyDiv w:val="1"/>
      <w:marLeft w:val="0"/>
      <w:marRight w:val="0"/>
      <w:marTop w:val="0"/>
      <w:marBottom w:val="0"/>
      <w:divBdr>
        <w:top w:val="none" w:sz="0" w:space="0" w:color="auto"/>
        <w:left w:val="none" w:sz="0" w:space="0" w:color="auto"/>
        <w:bottom w:val="none" w:sz="0" w:space="0" w:color="auto"/>
        <w:right w:val="none" w:sz="0" w:space="0" w:color="auto"/>
      </w:divBdr>
    </w:div>
    <w:div w:id="943268816">
      <w:bodyDiv w:val="1"/>
      <w:marLeft w:val="0"/>
      <w:marRight w:val="0"/>
      <w:marTop w:val="0"/>
      <w:marBottom w:val="0"/>
      <w:divBdr>
        <w:top w:val="none" w:sz="0" w:space="0" w:color="auto"/>
        <w:left w:val="none" w:sz="0" w:space="0" w:color="auto"/>
        <w:bottom w:val="none" w:sz="0" w:space="0" w:color="auto"/>
        <w:right w:val="none" w:sz="0" w:space="0" w:color="auto"/>
      </w:divBdr>
    </w:div>
    <w:div w:id="948199200">
      <w:bodyDiv w:val="1"/>
      <w:marLeft w:val="0"/>
      <w:marRight w:val="0"/>
      <w:marTop w:val="0"/>
      <w:marBottom w:val="0"/>
      <w:divBdr>
        <w:top w:val="none" w:sz="0" w:space="0" w:color="auto"/>
        <w:left w:val="none" w:sz="0" w:space="0" w:color="auto"/>
        <w:bottom w:val="none" w:sz="0" w:space="0" w:color="auto"/>
        <w:right w:val="none" w:sz="0" w:space="0" w:color="auto"/>
      </w:divBdr>
    </w:div>
    <w:div w:id="952714919">
      <w:bodyDiv w:val="1"/>
      <w:marLeft w:val="0"/>
      <w:marRight w:val="0"/>
      <w:marTop w:val="0"/>
      <w:marBottom w:val="0"/>
      <w:divBdr>
        <w:top w:val="none" w:sz="0" w:space="0" w:color="auto"/>
        <w:left w:val="none" w:sz="0" w:space="0" w:color="auto"/>
        <w:bottom w:val="none" w:sz="0" w:space="0" w:color="auto"/>
        <w:right w:val="none" w:sz="0" w:space="0" w:color="auto"/>
      </w:divBdr>
    </w:div>
    <w:div w:id="952977712">
      <w:bodyDiv w:val="1"/>
      <w:marLeft w:val="0"/>
      <w:marRight w:val="0"/>
      <w:marTop w:val="0"/>
      <w:marBottom w:val="0"/>
      <w:divBdr>
        <w:top w:val="none" w:sz="0" w:space="0" w:color="auto"/>
        <w:left w:val="none" w:sz="0" w:space="0" w:color="auto"/>
        <w:bottom w:val="none" w:sz="0" w:space="0" w:color="auto"/>
        <w:right w:val="none" w:sz="0" w:space="0" w:color="auto"/>
      </w:divBdr>
    </w:div>
    <w:div w:id="956133052">
      <w:bodyDiv w:val="1"/>
      <w:marLeft w:val="0"/>
      <w:marRight w:val="0"/>
      <w:marTop w:val="0"/>
      <w:marBottom w:val="0"/>
      <w:divBdr>
        <w:top w:val="none" w:sz="0" w:space="0" w:color="auto"/>
        <w:left w:val="none" w:sz="0" w:space="0" w:color="auto"/>
        <w:bottom w:val="none" w:sz="0" w:space="0" w:color="auto"/>
        <w:right w:val="none" w:sz="0" w:space="0" w:color="auto"/>
      </w:divBdr>
    </w:div>
    <w:div w:id="956718424">
      <w:bodyDiv w:val="1"/>
      <w:marLeft w:val="0"/>
      <w:marRight w:val="0"/>
      <w:marTop w:val="0"/>
      <w:marBottom w:val="0"/>
      <w:divBdr>
        <w:top w:val="none" w:sz="0" w:space="0" w:color="auto"/>
        <w:left w:val="none" w:sz="0" w:space="0" w:color="auto"/>
        <w:bottom w:val="none" w:sz="0" w:space="0" w:color="auto"/>
        <w:right w:val="none" w:sz="0" w:space="0" w:color="auto"/>
      </w:divBdr>
    </w:div>
    <w:div w:id="957568672">
      <w:bodyDiv w:val="1"/>
      <w:marLeft w:val="0"/>
      <w:marRight w:val="0"/>
      <w:marTop w:val="0"/>
      <w:marBottom w:val="0"/>
      <w:divBdr>
        <w:top w:val="none" w:sz="0" w:space="0" w:color="auto"/>
        <w:left w:val="none" w:sz="0" w:space="0" w:color="auto"/>
        <w:bottom w:val="none" w:sz="0" w:space="0" w:color="auto"/>
        <w:right w:val="none" w:sz="0" w:space="0" w:color="auto"/>
      </w:divBdr>
    </w:div>
    <w:div w:id="958100364">
      <w:bodyDiv w:val="1"/>
      <w:marLeft w:val="0"/>
      <w:marRight w:val="0"/>
      <w:marTop w:val="0"/>
      <w:marBottom w:val="0"/>
      <w:divBdr>
        <w:top w:val="none" w:sz="0" w:space="0" w:color="auto"/>
        <w:left w:val="none" w:sz="0" w:space="0" w:color="auto"/>
        <w:bottom w:val="none" w:sz="0" w:space="0" w:color="auto"/>
        <w:right w:val="none" w:sz="0" w:space="0" w:color="auto"/>
      </w:divBdr>
    </w:div>
    <w:div w:id="958226376">
      <w:bodyDiv w:val="1"/>
      <w:marLeft w:val="0"/>
      <w:marRight w:val="0"/>
      <w:marTop w:val="0"/>
      <w:marBottom w:val="0"/>
      <w:divBdr>
        <w:top w:val="none" w:sz="0" w:space="0" w:color="auto"/>
        <w:left w:val="none" w:sz="0" w:space="0" w:color="auto"/>
        <w:bottom w:val="none" w:sz="0" w:space="0" w:color="auto"/>
        <w:right w:val="none" w:sz="0" w:space="0" w:color="auto"/>
      </w:divBdr>
    </w:div>
    <w:div w:id="959457807">
      <w:bodyDiv w:val="1"/>
      <w:marLeft w:val="0"/>
      <w:marRight w:val="0"/>
      <w:marTop w:val="0"/>
      <w:marBottom w:val="0"/>
      <w:divBdr>
        <w:top w:val="none" w:sz="0" w:space="0" w:color="auto"/>
        <w:left w:val="none" w:sz="0" w:space="0" w:color="auto"/>
        <w:bottom w:val="none" w:sz="0" w:space="0" w:color="auto"/>
        <w:right w:val="none" w:sz="0" w:space="0" w:color="auto"/>
      </w:divBdr>
    </w:div>
    <w:div w:id="962493178">
      <w:bodyDiv w:val="1"/>
      <w:marLeft w:val="0"/>
      <w:marRight w:val="0"/>
      <w:marTop w:val="0"/>
      <w:marBottom w:val="0"/>
      <w:divBdr>
        <w:top w:val="none" w:sz="0" w:space="0" w:color="auto"/>
        <w:left w:val="none" w:sz="0" w:space="0" w:color="auto"/>
        <w:bottom w:val="none" w:sz="0" w:space="0" w:color="auto"/>
        <w:right w:val="none" w:sz="0" w:space="0" w:color="auto"/>
      </w:divBdr>
    </w:div>
    <w:div w:id="964964449">
      <w:bodyDiv w:val="1"/>
      <w:marLeft w:val="0"/>
      <w:marRight w:val="0"/>
      <w:marTop w:val="0"/>
      <w:marBottom w:val="0"/>
      <w:divBdr>
        <w:top w:val="none" w:sz="0" w:space="0" w:color="auto"/>
        <w:left w:val="none" w:sz="0" w:space="0" w:color="auto"/>
        <w:bottom w:val="none" w:sz="0" w:space="0" w:color="auto"/>
        <w:right w:val="none" w:sz="0" w:space="0" w:color="auto"/>
      </w:divBdr>
    </w:div>
    <w:div w:id="965700738">
      <w:bodyDiv w:val="1"/>
      <w:marLeft w:val="0"/>
      <w:marRight w:val="0"/>
      <w:marTop w:val="0"/>
      <w:marBottom w:val="0"/>
      <w:divBdr>
        <w:top w:val="none" w:sz="0" w:space="0" w:color="auto"/>
        <w:left w:val="none" w:sz="0" w:space="0" w:color="auto"/>
        <w:bottom w:val="none" w:sz="0" w:space="0" w:color="auto"/>
        <w:right w:val="none" w:sz="0" w:space="0" w:color="auto"/>
      </w:divBdr>
    </w:div>
    <w:div w:id="966661137">
      <w:bodyDiv w:val="1"/>
      <w:marLeft w:val="0"/>
      <w:marRight w:val="0"/>
      <w:marTop w:val="0"/>
      <w:marBottom w:val="0"/>
      <w:divBdr>
        <w:top w:val="none" w:sz="0" w:space="0" w:color="auto"/>
        <w:left w:val="none" w:sz="0" w:space="0" w:color="auto"/>
        <w:bottom w:val="none" w:sz="0" w:space="0" w:color="auto"/>
        <w:right w:val="none" w:sz="0" w:space="0" w:color="auto"/>
      </w:divBdr>
    </w:div>
    <w:div w:id="970554333">
      <w:bodyDiv w:val="1"/>
      <w:marLeft w:val="0"/>
      <w:marRight w:val="0"/>
      <w:marTop w:val="0"/>
      <w:marBottom w:val="0"/>
      <w:divBdr>
        <w:top w:val="none" w:sz="0" w:space="0" w:color="auto"/>
        <w:left w:val="none" w:sz="0" w:space="0" w:color="auto"/>
        <w:bottom w:val="none" w:sz="0" w:space="0" w:color="auto"/>
        <w:right w:val="none" w:sz="0" w:space="0" w:color="auto"/>
      </w:divBdr>
    </w:div>
    <w:div w:id="971792471">
      <w:bodyDiv w:val="1"/>
      <w:marLeft w:val="0"/>
      <w:marRight w:val="0"/>
      <w:marTop w:val="0"/>
      <w:marBottom w:val="0"/>
      <w:divBdr>
        <w:top w:val="none" w:sz="0" w:space="0" w:color="auto"/>
        <w:left w:val="none" w:sz="0" w:space="0" w:color="auto"/>
        <w:bottom w:val="none" w:sz="0" w:space="0" w:color="auto"/>
        <w:right w:val="none" w:sz="0" w:space="0" w:color="auto"/>
      </w:divBdr>
    </w:div>
    <w:div w:id="974944186">
      <w:bodyDiv w:val="1"/>
      <w:marLeft w:val="0"/>
      <w:marRight w:val="0"/>
      <w:marTop w:val="0"/>
      <w:marBottom w:val="0"/>
      <w:divBdr>
        <w:top w:val="none" w:sz="0" w:space="0" w:color="auto"/>
        <w:left w:val="none" w:sz="0" w:space="0" w:color="auto"/>
        <w:bottom w:val="none" w:sz="0" w:space="0" w:color="auto"/>
        <w:right w:val="none" w:sz="0" w:space="0" w:color="auto"/>
      </w:divBdr>
    </w:div>
    <w:div w:id="975645633">
      <w:bodyDiv w:val="1"/>
      <w:marLeft w:val="0"/>
      <w:marRight w:val="0"/>
      <w:marTop w:val="0"/>
      <w:marBottom w:val="0"/>
      <w:divBdr>
        <w:top w:val="none" w:sz="0" w:space="0" w:color="auto"/>
        <w:left w:val="none" w:sz="0" w:space="0" w:color="auto"/>
        <w:bottom w:val="none" w:sz="0" w:space="0" w:color="auto"/>
        <w:right w:val="none" w:sz="0" w:space="0" w:color="auto"/>
      </w:divBdr>
    </w:div>
    <w:div w:id="976111779">
      <w:bodyDiv w:val="1"/>
      <w:marLeft w:val="0"/>
      <w:marRight w:val="0"/>
      <w:marTop w:val="0"/>
      <w:marBottom w:val="0"/>
      <w:divBdr>
        <w:top w:val="none" w:sz="0" w:space="0" w:color="auto"/>
        <w:left w:val="none" w:sz="0" w:space="0" w:color="auto"/>
        <w:bottom w:val="none" w:sz="0" w:space="0" w:color="auto"/>
        <w:right w:val="none" w:sz="0" w:space="0" w:color="auto"/>
      </w:divBdr>
    </w:div>
    <w:div w:id="976229405">
      <w:bodyDiv w:val="1"/>
      <w:marLeft w:val="0"/>
      <w:marRight w:val="0"/>
      <w:marTop w:val="0"/>
      <w:marBottom w:val="0"/>
      <w:divBdr>
        <w:top w:val="none" w:sz="0" w:space="0" w:color="auto"/>
        <w:left w:val="none" w:sz="0" w:space="0" w:color="auto"/>
        <w:bottom w:val="none" w:sz="0" w:space="0" w:color="auto"/>
        <w:right w:val="none" w:sz="0" w:space="0" w:color="auto"/>
      </w:divBdr>
    </w:div>
    <w:div w:id="976687259">
      <w:bodyDiv w:val="1"/>
      <w:marLeft w:val="0"/>
      <w:marRight w:val="0"/>
      <w:marTop w:val="0"/>
      <w:marBottom w:val="0"/>
      <w:divBdr>
        <w:top w:val="none" w:sz="0" w:space="0" w:color="auto"/>
        <w:left w:val="none" w:sz="0" w:space="0" w:color="auto"/>
        <w:bottom w:val="none" w:sz="0" w:space="0" w:color="auto"/>
        <w:right w:val="none" w:sz="0" w:space="0" w:color="auto"/>
      </w:divBdr>
    </w:div>
    <w:div w:id="981345719">
      <w:bodyDiv w:val="1"/>
      <w:marLeft w:val="0"/>
      <w:marRight w:val="0"/>
      <w:marTop w:val="0"/>
      <w:marBottom w:val="0"/>
      <w:divBdr>
        <w:top w:val="none" w:sz="0" w:space="0" w:color="auto"/>
        <w:left w:val="none" w:sz="0" w:space="0" w:color="auto"/>
        <w:bottom w:val="none" w:sz="0" w:space="0" w:color="auto"/>
        <w:right w:val="none" w:sz="0" w:space="0" w:color="auto"/>
      </w:divBdr>
    </w:div>
    <w:div w:id="982350324">
      <w:bodyDiv w:val="1"/>
      <w:marLeft w:val="0"/>
      <w:marRight w:val="0"/>
      <w:marTop w:val="0"/>
      <w:marBottom w:val="0"/>
      <w:divBdr>
        <w:top w:val="none" w:sz="0" w:space="0" w:color="auto"/>
        <w:left w:val="none" w:sz="0" w:space="0" w:color="auto"/>
        <w:bottom w:val="none" w:sz="0" w:space="0" w:color="auto"/>
        <w:right w:val="none" w:sz="0" w:space="0" w:color="auto"/>
      </w:divBdr>
    </w:div>
    <w:div w:id="982391164">
      <w:bodyDiv w:val="1"/>
      <w:marLeft w:val="0"/>
      <w:marRight w:val="0"/>
      <w:marTop w:val="0"/>
      <w:marBottom w:val="0"/>
      <w:divBdr>
        <w:top w:val="none" w:sz="0" w:space="0" w:color="auto"/>
        <w:left w:val="none" w:sz="0" w:space="0" w:color="auto"/>
        <w:bottom w:val="none" w:sz="0" w:space="0" w:color="auto"/>
        <w:right w:val="none" w:sz="0" w:space="0" w:color="auto"/>
      </w:divBdr>
    </w:div>
    <w:div w:id="984162022">
      <w:bodyDiv w:val="1"/>
      <w:marLeft w:val="0"/>
      <w:marRight w:val="0"/>
      <w:marTop w:val="0"/>
      <w:marBottom w:val="0"/>
      <w:divBdr>
        <w:top w:val="none" w:sz="0" w:space="0" w:color="auto"/>
        <w:left w:val="none" w:sz="0" w:space="0" w:color="auto"/>
        <w:bottom w:val="none" w:sz="0" w:space="0" w:color="auto"/>
        <w:right w:val="none" w:sz="0" w:space="0" w:color="auto"/>
      </w:divBdr>
    </w:div>
    <w:div w:id="986858974">
      <w:bodyDiv w:val="1"/>
      <w:marLeft w:val="0"/>
      <w:marRight w:val="0"/>
      <w:marTop w:val="0"/>
      <w:marBottom w:val="0"/>
      <w:divBdr>
        <w:top w:val="none" w:sz="0" w:space="0" w:color="auto"/>
        <w:left w:val="none" w:sz="0" w:space="0" w:color="auto"/>
        <w:bottom w:val="none" w:sz="0" w:space="0" w:color="auto"/>
        <w:right w:val="none" w:sz="0" w:space="0" w:color="auto"/>
      </w:divBdr>
    </w:div>
    <w:div w:id="989138350">
      <w:bodyDiv w:val="1"/>
      <w:marLeft w:val="0"/>
      <w:marRight w:val="0"/>
      <w:marTop w:val="0"/>
      <w:marBottom w:val="0"/>
      <w:divBdr>
        <w:top w:val="none" w:sz="0" w:space="0" w:color="auto"/>
        <w:left w:val="none" w:sz="0" w:space="0" w:color="auto"/>
        <w:bottom w:val="none" w:sz="0" w:space="0" w:color="auto"/>
        <w:right w:val="none" w:sz="0" w:space="0" w:color="auto"/>
      </w:divBdr>
    </w:div>
    <w:div w:id="992100936">
      <w:bodyDiv w:val="1"/>
      <w:marLeft w:val="0"/>
      <w:marRight w:val="0"/>
      <w:marTop w:val="0"/>
      <w:marBottom w:val="0"/>
      <w:divBdr>
        <w:top w:val="none" w:sz="0" w:space="0" w:color="auto"/>
        <w:left w:val="none" w:sz="0" w:space="0" w:color="auto"/>
        <w:bottom w:val="none" w:sz="0" w:space="0" w:color="auto"/>
        <w:right w:val="none" w:sz="0" w:space="0" w:color="auto"/>
      </w:divBdr>
    </w:div>
    <w:div w:id="993142049">
      <w:bodyDiv w:val="1"/>
      <w:marLeft w:val="0"/>
      <w:marRight w:val="0"/>
      <w:marTop w:val="0"/>
      <w:marBottom w:val="0"/>
      <w:divBdr>
        <w:top w:val="none" w:sz="0" w:space="0" w:color="auto"/>
        <w:left w:val="none" w:sz="0" w:space="0" w:color="auto"/>
        <w:bottom w:val="none" w:sz="0" w:space="0" w:color="auto"/>
        <w:right w:val="none" w:sz="0" w:space="0" w:color="auto"/>
      </w:divBdr>
    </w:div>
    <w:div w:id="994650790">
      <w:bodyDiv w:val="1"/>
      <w:marLeft w:val="0"/>
      <w:marRight w:val="0"/>
      <w:marTop w:val="0"/>
      <w:marBottom w:val="0"/>
      <w:divBdr>
        <w:top w:val="none" w:sz="0" w:space="0" w:color="auto"/>
        <w:left w:val="none" w:sz="0" w:space="0" w:color="auto"/>
        <w:bottom w:val="none" w:sz="0" w:space="0" w:color="auto"/>
        <w:right w:val="none" w:sz="0" w:space="0" w:color="auto"/>
      </w:divBdr>
    </w:div>
    <w:div w:id="995108745">
      <w:bodyDiv w:val="1"/>
      <w:marLeft w:val="0"/>
      <w:marRight w:val="0"/>
      <w:marTop w:val="0"/>
      <w:marBottom w:val="0"/>
      <w:divBdr>
        <w:top w:val="none" w:sz="0" w:space="0" w:color="auto"/>
        <w:left w:val="none" w:sz="0" w:space="0" w:color="auto"/>
        <w:bottom w:val="none" w:sz="0" w:space="0" w:color="auto"/>
        <w:right w:val="none" w:sz="0" w:space="0" w:color="auto"/>
      </w:divBdr>
    </w:div>
    <w:div w:id="997617707">
      <w:bodyDiv w:val="1"/>
      <w:marLeft w:val="0"/>
      <w:marRight w:val="0"/>
      <w:marTop w:val="0"/>
      <w:marBottom w:val="0"/>
      <w:divBdr>
        <w:top w:val="none" w:sz="0" w:space="0" w:color="auto"/>
        <w:left w:val="none" w:sz="0" w:space="0" w:color="auto"/>
        <w:bottom w:val="none" w:sz="0" w:space="0" w:color="auto"/>
        <w:right w:val="none" w:sz="0" w:space="0" w:color="auto"/>
      </w:divBdr>
    </w:div>
    <w:div w:id="998463452">
      <w:bodyDiv w:val="1"/>
      <w:marLeft w:val="0"/>
      <w:marRight w:val="0"/>
      <w:marTop w:val="0"/>
      <w:marBottom w:val="0"/>
      <w:divBdr>
        <w:top w:val="none" w:sz="0" w:space="0" w:color="auto"/>
        <w:left w:val="none" w:sz="0" w:space="0" w:color="auto"/>
        <w:bottom w:val="none" w:sz="0" w:space="0" w:color="auto"/>
        <w:right w:val="none" w:sz="0" w:space="0" w:color="auto"/>
      </w:divBdr>
    </w:div>
    <w:div w:id="1000693383">
      <w:bodyDiv w:val="1"/>
      <w:marLeft w:val="0"/>
      <w:marRight w:val="0"/>
      <w:marTop w:val="0"/>
      <w:marBottom w:val="0"/>
      <w:divBdr>
        <w:top w:val="none" w:sz="0" w:space="0" w:color="auto"/>
        <w:left w:val="none" w:sz="0" w:space="0" w:color="auto"/>
        <w:bottom w:val="none" w:sz="0" w:space="0" w:color="auto"/>
        <w:right w:val="none" w:sz="0" w:space="0" w:color="auto"/>
      </w:divBdr>
    </w:div>
    <w:div w:id="1004631291">
      <w:bodyDiv w:val="1"/>
      <w:marLeft w:val="0"/>
      <w:marRight w:val="0"/>
      <w:marTop w:val="0"/>
      <w:marBottom w:val="0"/>
      <w:divBdr>
        <w:top w:val="none" w:sz="0" w:space="0" w:color="auto"/>
        <w:left w:val="none" w:sz="0" w:space="0" w:color="auto"/>
        <w:bottom w:val="none" w:sz="0" w:space="0" w:color="auto"/>
        <w:right w:val="none" w:sz="0" w:space="0" w:color="auto"/>
      </w:divBdr>
    </w:div>
    <w:div w:id="1005862689">
      <w:bodyDiv w:val="1"/>
      <w:marLeft w:val="0"/>
      <w:marRight w:val="0"/>
      <w:marTop w:val="0"/>
      <w:marBottom w:val="0"/>
      <w:divBdr>
        <w:top w:val="none" w:sz="0" w:space="0" w:color="auto"/>
        <w:left w:val="none" w:sz="0" w:space="0" w:color="auto"/>
        <w:bottom w:val="none" w:sz="0" w:space="0" w:color="auto"/>
        <w:right w:val="none" w:sz="0" w:space="0" w:color="auto"/>
      </w:divBdr>
    </w:div>
    <w:div w:id="1007364075">
      <w:bodyDiv w:val="1"/>
      <w:marLeft w:val="0"/>
      <w:marRight w:val="0"/>
      <w:marTop w:val="0"/>
      <w:marBottom w:val="0"/>
      <w:divBdr>
        <w:top w:val="none" w:sz="0" w:space="0" w:color="auto"/>
        <w:left w:val="none" w:sz="0" w:space="0" w:color="auto"/>
        <w:bottom w:val="none" w:sz="0" w:space="0" w:color="auto"/>
        <w:right w:val="none" w:sz="0" w:space="0" w:color="auto"/>
      </w:divBdr>
    </w:div>
    <w:div w:id="1007824707">
      <w:bodyDiv w:val="1"/>
      <w:marLeft w:val="0"/>
      <w:marRight w:val="0"/>
      <w:marTop w:val="0"/>
      <w:marBottom w:val="0"/>
      <w:divBdr>
        <w:top w:val="none" w:sz="0" w:space="0" w:color="auto"/>
        <w:left w:val="none" w:sz="0" w:space="0" w:color="auto"/>
        <w:bottom w:val="none" w:sz="0" w:space="0" w:color="auto"/>
        <w:right w:val="none" w:sz="0" w:space="0" w:color="auto"/>
      </w:divBdr>
    </w:div>
    <w:div w:id="1011831364">
      <w:bodyDiv w:val="1"/>
      <w:marLeft w:val="0"/>
      <w:marRight w:val="0"/>
      <w:marTop w:val="0"/>
      <w:marBottom w:val="0"/>
      <w:divBdr>
        <w:top w:val="none" w:sz="0" w:space="0" w:color="auto"/>
        <w:left w:val="none" w:sz="0" w:space="0" w:color="auto"/>
        <w:bottom w:val="none" w:sz="0" w:space="0" w:color="auto"/>
        <w:right w:val="none" w:sz="0" w:space="0" w:color="auto"/>
      </w:divBdr>
    </w:div>
    <w:div w:id="1013722302">
      <w:bodyDiv w:val="1"/>
      <w:marLeft w:val="0"/>
      <w:marRight w:val="0"/>
      <w:marTop w:val="0"/>
      <w:marBottom w:val="0"/>
      <w:divBdr>
        <w:top w:val="none" w:sz="0" w:space="0" w:color="auto"/>
        <w:left w:val="none" w:sz="0" w:space="0" w:color="auto"/>
        <w:bottom w:val="none" w:sz="0" w:space="0" w:color="auto"/>
        <w:right w:val="none" w:sz="0" w:space="0" w:color="auto"/>
      </w:divBdr>
    </w:div>
    <w:div w:id="1018584987">
      <w:bodyDiv w:val="1"/>
      <w:marLeft w:val="0"/>
      <w:marRight w:val="0"/>
      <w:marTop w:val="0"/>
      <w:marBottom w:val="0"/>
      <w:divBdr>
        <w:top w:val="none" w:sz="0" w:space="0" w:color="auto"/>
        <w:left w:val="none" w:sz="0" w:space="0" w:color="auto"/>
        <w:bottom w:val="none" w:sz="0" w:space="0" w:color="auto"/>
        <w:right w:val="none" w:sz="0" w:space="0" w:color="auto"/>
      </w:divBdr>
    </w:div>
    <w:div w:id="1020090203">
      <w:bodyDiv w:val="1"/>
      <w:marLeft w:val="0"/>
      <w:marRight w:val="0"/>
      <w:marTop w:val="0"/>
      <w:marBottom w:val="0"/>
      <w:divBdr>
        <w:top w:val="none" w:sz="0" w:space="0" w:color="auto"/>
        <w:left w:val="none" w:sz="0" w:space="0" w:color="auto"/>
        <w:bottom w:val="none" w:sz="0" w:space="0" w:color="auto"/>
        <w:right w:val="none" w:sz="0" w:space="0" w:color="auto"/>
      </w:divBdr>
    </w:div>
    <w:div w:id="1023674808">
      <w:bodyDiv w:val="1"/>
      <w:marLeft w:val="0"/>
      <w:marRight w:val="0"/>
      <w:marTop w:val="0"/>
      <w:marBottom w:val="0"/>
      <w:divBdr>
        <w:top w:val="none" w:sz="0" w:space="0" w:color="auto"/>
        <w:left w:val="none" w:sz="0" w:space="0" w:color="auto"/>
        <w:bottom w:val="none" w:sz="0" w:space="0" w:color="auto"/>
        <w:right w:val="none" w:sz="0" w:space="0" w:color="auto"/>
      </w:divBdr>
    </w:div>
    <w:div w:id="1025985914">
      <w:bodyDiv w:val="1"/>
      <w:marLeft w:val="0"/>
      <w:marRight w:val="0"/>
      <w:marTop w:val="0"/>
      <w:marBottom w:val="0"/>
      <w:divBdr>
        <w:top w:val="none" w:sz="0" w:space="0" w:color="auto"/>
        <w:left w:val="none" w:sz="0" w:space="0" w:color="auto"/>
        <w:bottom w:val="none" w:sz="0" w:space="0" w:color="auto"/>
        <w:right w:val="none" w:sz="0" w:space="0" w:color="auto"/>
      </w:divBdr>
    </w:div>
    <w:div w:id="1026636667">
      <w:bodyDiv w:val="1"/>
      <w:marLeft w:val="0"/>
      <w:marRight w:val="0"/>
      <w:marTop w:val="0"/>
      <w:marBottom w:val="0"/>
      <w:divBdr>
        <w:top w:val="none" w:sz="0" w:space="0" w:color="auto"/>
        <w:left w:val="none" w:sz="0" w:space="0" w:color="auto"/>
        <w:bottom w:val="none" w:sz="0" w:space="0" w:color="auto"/>
        <w:right w:val="none" w:sz="0" w:space="0" w:color="auto"/>
      </w:divBdr>
    </w:div>
    <w:div w:id="1027100164">
      <w:bodyDiv w:val="1"/>
      <w:marLeft w:val="0"/>
      <w:marRight w:val="0"/>
      <w:marTop w:val="0"/>
      <w:marBottom w:val="0"/>
      <w:divBdr>
        <w:top w:val="none" w:sz="0" w:space="0" w:color="auto"/>
        <w:left w:val="none" w:sz="0" w:space="0" w:color="auto"/>
        <w:bottom w:val="none" w:sz="0" w:space="0" w:color="auto"/>
        <w:right w:val="none" w:sz="0" w:space="0" w:color="auto"/>
      </w:divBdr>
    </w:div>
    <w:div w:id="1028260214">
      <w:bodyDiv w:val="1"/>
      <w:marLeft w:val="0"/>
      <w:marRight w:val="0"/>
      <w:marTop w:val="0"/>
      <w:marBottom w:val="0"/>
      <w:divBdr>
        <w:top w:val="none" w:sz="0" w:space="0" w:color="auto"/>
        <w:left w:val="none" w:sz="0" w:space="0" w:color="auto"/>
        <w:bottom w:val="none" w:sz="0" w:space="0" w:color="auto"/>
        <w:right w:val="none" w:sz="0" w:space="0" w:color="auto"/>
      </w:divBdr>
    </w:div>
    <w:div w:id="1028722360">
      <w:bodyDiv w:val="1"/>
      <w:marLeft w:val="0"/>
      <w:marRight w:val="0"/>
      <w:marTop w:val="0"/>
      <w:marBottom w:val="0"/>
      <w:divBdr>
        <w:top w:val="none" w:sz="0" w:space="0" w:color="auto"/>
        <w:left w:val="none" w:sz="0" w:space="0" w:color="auto"/>
        <w:bottom w:val="none" w:sz="0" w:space="0" w:color="auto"/>
        <w:right w:val="none" w:sz="0" w:space="0" w:color="auto"/>
      </w:divBdr>
    </w:div>
    <w:div w:id="1033579748">
      <w:bodyDiv w:val="1"/>
      <w:marLeft w:val="0"/>
      <w:marRight w:val="0"/>
      <w:marTop w:val="0"/>
      <w:marBottom w:val="0"/>
      <w:divBdr>
        <w:top w:val="none" w:sz="0" w:space="0" w:color="auto"/>
        <w:left w:val="none" w:sz="0" w:space="0" w:color="auto"/>
        <w:bottom w:val="none" w:sz="0" w:space="0" w:color="auto"/>
        <w:right w:val="none" w:sz="0" w:space="0" w:color="auto"/>
      </w:divBdr>
    </w:div>
    <w:div w:id="1035010793">
      <w:bodyDiv w:val="1"/>
      <w:marLeft w:val="0"/>
      <w:marRight w:val="0"/>
      <w:marTop w:val="0"/>
      <w:marBottom w:val="0"/>
      <w:divBdr>
        <w:top w:val="none" w:sz="0" w:space="0" w:color="auto"/>
        <w:left w:val="none" w:sz="0" w:space="0" w:color="auto"/>
        <w:bottom w:val="none" w:sz="0" w:space="0" w:color="auto"/>
        <w:right w:val="none" w:sz="0" w:space="0" w:color="auto"/>
      </w:divBdr>
    </w:div>
    <w:div w:id="1036733485">
      <w:bodyDiv w:val="1"/>
      <w:marLeft w:val="0"/>
      <w:marRight w:val="0"/>
      <w:marTop w:val="0"/>
      <w:marBottom w:val="0"/>
      <w:divBdr>
        <w:top w:val="none" w:sz="0" w:space="0" w:color="auto"/>
        <w:left w:val="none" w:sz="0" w:space="0" w:color="auto"/>
        <w:bottom w:val="none" w:sz="0" w:space="0" w:color="auto"/>
        <w:right w:val="none" w:sz="0" w:space="0" w:color="auto"/>
      </w:divBdr>
    </w:div>
    <w:div w:id="1038747059">
      <w:bodyDiv w:val="1"/>
      <w:marLeft w:val="0"/>
      <w:marRight w:val="0"/>
      <w:marTop w:val="0"/>
      <w:marBottom w:val="0"/>
      <w:divBdr>
        <w:top w:val="none" w:sz="0" w:space="0" w:color="auto"/>
        <w:left w:val="none" w:sz="0" w:space="0" w:color="auto"/>
        <w:bottom w:val="none" w:sz="0" w:space="0" w:color="auto"/>
        <w:right w:val="none" w:sz="0" w:space="0" w:color="auto"/>
      </w:divBdr>
    </w:div>
    <w:div w:id="1039863297">
      <w:bodyDiv w:val="1"/>
      <w:marLeft w:val="0"/>
      <w:marRight w:val="0"/>
      <w:marTop w:val="0"/>
      <w:marBottom w:val="0"/>
      <w:divBdr>
        <w:top w:val="none" w:sz="0" w:space="0" w:color="auto"/>
        <w:left w:val="none" w:sz="0" w:space="0" w:color="auto"/>
        <w:bottom w:val="none" w:sz="0" w:space="0" w:color="auto"/>
        <w:right w:val="none" w:sz="0" w:space="0" w:color="auto"/>
      </w:divBdr>
    </w:div>
    <w:div w:id="1041514768">
      <w:bodyDiv w:val="1"/>
      <w:marLeft w:val="0"/>
      <w:marRight w:val="0"/>
      <w:marTop w:val="0"/>
      <w:marBottom w:val="0"/>
      <w:divBdr>
        <w:top w:val="none" w:sz="0" w:space="0" w:color="auto"/>
        <w:left w:val="none" w:sz="0" w:space="0" w:color="auto"/>
        <w:bottom w:val="none" w:sz="0" w:space="0" w:color="auto"/>
        <w:right w:val="none" w:sz="0" w:space="0" w:color="auto"/>
      </w:divBdr>
    </w:div>
    <w:div w:id="1043792457">
      <w:bodyDiv w:val="1"/>
      <w:marLeft w:val="0"/>
      <w:marRight w:val="0"/>
      <w:marTop w:val="0"/>
      <w:marBottom w:val="0"/>
      <w:divBdr>
        <w:top w:val="none" w:sz="0" w:space="0" w:color="auto"/>
        <w:left w:val="none" w:sz="0" w:space="0" w:color="auto"/>
        <w:bottom w:val="none" w:sz="0" w:space="0" w:color="auto"/>
        <w:right w:val="none" w:sz="0" w:space="0" w:color="auto"/>
      </w:divBdr>
    </w:div>
    <w:div w:id="1045644630">
      <w:bodyDiv w:val="1"/>
      <w:marLeft w:val="0"/>
      <w:marRight w:val="0"/>
      <w:marTop w:val="0"/>
      <w:marBottom w:val="0"/>
      <w:divBdr>
        <w:top w:val="none" w:sz="0" w:space="0" w:color="auto"/>
        <w:left w:val="none" w:sz="0" w:space="0" w:color="auto"/>
        <w:bottom w:val="none" w:sz="0" w:space="0" w:color="auto"/>
        <w:right w:val="none" w:sz="0" w:space="0" w:color="auto"/>
      </w:divBdr>
    </w:div>
    <w:div w:id="1047531632">
      <w:bodyDiv w:val="1"/>
      <w:marLeft w:val="0"/>
      <w:marRight w:val="0"/>
      <w:marTop w:val="0"/>
      <w:marBottom w:val="0"/>
      <w:divBdr>
        <w:top w:val="none" w:sz="0" w:space="0" w:color="auto"/>
        <w:left w:val="none" w:sz="0" w:space="0" w:color="auto"/>
        <w:bottom w:val="none" w:sz="0" w:space="0" w:color="auto"/>
        <w:right w:val="none" w:sz="0" w:space="0" w:color="auto"/>
      </w:divBdr>
    </w:div>
    <w:div w:id="1054622482">
      <w:bodyDiv w:val="1"/>
      <w:marLeft w:val="0"/>
      <w:marRight w:val="0"/>
      <w:marTop w:val="0"/>
      <w:marBottom w:val="0"/>
      <w:divBdr>
        <w:top w:val="none" w:sz="0" w:space="0" w:color="auto"/>
        <w:left w:val="none" w:sz="0" w:space="0" w:color="auto"/>
        <w:bottom w:val="none" w:sz="0" w:space="0" w:color="auto"/>
        <w:right w:val="none" w:sz="0" w:space="0" w:color="auto"/>
      </w:divBdr>
      <w:divsChild>
        <w:div w:id="653683164">
          <w:marLeft w:val="0"/>
          <w:marRight w:val="0"/>
          <w:marTop w:val="0"/>
          <w:marBottom w:val="0"/>
          <w:divBdr>
            <w:top w:val="none" w:sz="0" w:space="0" w:color="auto"/>
            <w:left w:val="none" w:sz="0" w:space="0" w:color="auto"/>
            <w:bottom w:val="none" w:sz="0" w:space="0" w:color="auto"/>
            <w:right w:val="none" w:sz="0" w:space="0" w:color="auto"/>
          </w:divBdr>
          <w:divsChild>
            <w:div w:id="943607941">
              <w:marLeft w:val="0"/>
              <w:marRight w:val="0"/>
              <w:marTop w:val="0"/>
              <w:marBottom w:val="0"/>
              <w:divBdr>
                <w:top w:val="none" w:sz="0" w:space="0" w:color="auto"/>
                <w:left w:val="none" w:sz="0" w:space="0" w:color="auto"/>
                <w:bottom w:val="none" w:sz="0" w:space="0" w:color="auto"/>
                <w:right w:val="none" w:sz="0" w:space="0" w:color="auto"/>
              </w:divBdr>
              <w:divsChild>
                <w:div w:id="861240694">
                  <w:marLeft w:val="0"/>
                  <w:marRight w:val="0"/>
                  <w:marTop w:val="0"/>
                  <w:marBottom w:val="0"/>
                  <w:divBdr>
                    <w:top w:val="none" w:sz="0" w:space="0" w:color="auto"/>
                    <w:left w:val="none" w:sz="0" w:space="0" w:color="auto"/>
                    <w:bottom w:val="none" w:sz="0" w:space="0" w:color="auto"/>
                    <w:right w:val="none" w:sz="0" w:space="0" w:color="auto"/>
                  </w:divBdr>
                  <w:divsChild>
                    <w:div w:id="212081457">
                      <w:marLeft w:val="0"/>
                      <w:marRight w:val="0"/>
                      <w:marTop w:val="0"/>
                      <w:marBottom w:val="0"/>
                      <w:divBdr>
                        <w:top w:val="none" w:sz="0" w:space="0" w:color="auto"/>
                        <w:left w:val="none" w:sz="0" w:space="0" w:color="auto"/>
                        <w:bottom w:val="none" w:sz="0" w:space="0" w:color="auto"/>
                        <w:right w:val="none" w:sz="0" w:space="0" w:color="auto"/>
                      </w:divBdr>
                      <w:divsChild>
                        <w:div w:id="223298401">
                          <w:marLeft w:val="0"/>
                          <w:marRight w:val="0"/>
                          <w:marTop w:val="0"/>
                          <w:marBottom w:val="0"/>
                          <w:divBdr>
                            <w:top w:val="none" w:sz="0" w:space="0" w:color="auto"/>
                            <w:left w:val="none" w:sz="0" w:space="0" w:color="auto"/>
                            <w:bottom w:val="none" w:sz="0" w:space="0" w:color="auto"/>
                            <w:right w:val="none" w:sz="0" w:space="0" w:color="auto"/>
                          </w:divBdr>
                          <w:divsChild>
                            <w:div w:id="938022370">
                              <w:marLeft w:val="0"/>
                              <w:marRight w:val="0"/>
                              <w:marTop w:val="0"/>
                              <w:marBottom w:val="0"/>
                              <w:divBdr>
                                <w:top w:val="none" w:sz="0" w:space="0" w:color="auto"/>
                                <w:left w:val="none" w:sz="0" w:space="0" w:color="auto"/>
                                <w:bottom w:val="none" w:sz="0" w:space="0" w:color="auto"/>
                                <w:right w:val="none" w:sz="0" w:space="0" w:color="auto"/>
                              </w:divBdr>
                              <w:divsChild>
                                <w:div w:id="1789280892">
                                  <w:marLeft w:val="0"/>
                                  <w:marRight w:val="0"/>
                                  <w:marTop w:val="0"/>
                                  <w:marBottom w:val="0"/>
                                  <w:divBdr>
                                    <w:top w:val="none" w:sz="0" w:space="0" w:color="auto"/>
                                    <w:left w:val="none" w:sz="0" w:space="0" w:color="auto"/>
                                    <w:bottom w:val="none" w:sz="0" w:space="0" w:color="auto"/>
                                    <w:right w:val="none" w:sz="0" w:space="0" w:color="auto"/>
                                  </w:divBdr>
                                  <w:divsChild>
                                    <w:div w:id="380447630">
                                      <w:marLeft w:val="0"/>
                                      <w:marRight w:val="0"/>
                                      <w:marTop w:val="0"/>
                                      <w:marBottom w:val="0"/>
                                      <w:divBdr>
                                        <w:top w:val="single" w:sz="4" w:space="0" w:color="F5F5F5"/>
                                        <w:left w:val="single" w:sz="4" w:space="0" w:color="F5F5F5"/>
                                        <w:bottom w:val="single" w:sz="4" w:space="0" w:color="F5F5F5"/>
                                        <w:right w:val="single" w:sz="4" w:space="0" w:color="F5F5F5"/>
                                      </w:divBdr>
                                      <w:divsChild>
                                        <w:div w:id="689065049">
                                          <w:marLeft w:val="0"/>
                                          <w:marRight w:val="0"/>
                                          <w:marTop w:val="0"/>
                                          <w:marBottom w:val="0"/>
                                          <w:divBdr>
                                            <w:top w:val="none" w:sz="0" w:space="0" w:color="auto"/>
                                            <w:left w:val="none" w:sz="0" w:space="0" w:color="auto"/>
                                            <w:bottom w:val="none" w:sz="0" w:space="0" w:color="auto"/>
                                            <w:right w:val="none" w:sz="0" w:space="0" w:color="auto"/>
                                          </w:divBdr>
                                          <w:divsChild>
                                            <w:div w:id="3377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004392">
      <w:bodyDiv w:val="1"/>
      <w:marLeft w:val="0"/>
      <w:marRight w:val="0"/>
      <w:marTop w:val="0"/>
      <w:marBottom w:val="0"/>
      <w:divBdr>
        <w:top w:val="none" w:sz="0" w:space="0" w:color="auto"/>
        <w:left w:val="none" w:sz="0" w:space="0" w:color="auto"/>
        <w:bottom w:val="none" w:sz="0" w:space="0" w:color="auto"/>
        <w:right w:val="none" w:sz="0" w:space="0" w:color="auto"/>
      </w:divBdr>
    </w:div>
    <w:div w:id="1058241003">
      <w:bodyDiv w:val="1"/>
      <w:marLeft w:val="0"/>
      <w:marRight w:val="0"/>
      <w:marTop w:val="0"/>
      <w:marBottom w:val="0"/>
      <w:divBdr>
        <w:top w:val="none" w:sz="0" w:space="0" w:color="auto"/>
        <w:left w:val="none" w:sz="0" w:space="0" w:color="auto"/>
        <w:bottom w:val="none" w:sz="0" w:space="0" w:color="auto"/>
        <w:right w:val="none" w:sz="0" w:space="0" w:color="auto"/>
      </w:divBdr>
    </w:div>
    <w:div w:id="1058944297">
      <w:bodyDiv w:val="1"/>
      <w:marLeft w:val="0"/>
      <w:marRight w:val="0"/>
      <w:marTop w:val="0"/>
      <w:marBottom w:val="0"/>
      <w:divBdr>
        <w:top w:val="none" w:sz="0" w:space="0" w:color="auto"/>
        <w:left w:val="none" w:sz="0" w:space="0" w:color="auto"/>
        <w:bottom w:val="none" w:sz="0" w:space="0" w:color="auto"/>
        <w:right w:val="none" w:sz="0" w:space="0" w:color="auto"/>
      </w:divBdr>
    </w:div>
    <w:div w:id="1061712505">
      <w:bodyDiv w:val="1"/>
      <w:marLeft w:val="0"/>
      <w:marRight w:val="0"/>
      <w:marTop w:val="0"/>
      <w:marBottom w:val="0"/>
      <w:divBdr>
        <w:top w:val="none" w:sz="0" w:space="0" w:color="auto"/>
        <w:left w:val="none" w:sz="0" w:space="0" w:color="auto"/>
        <w:bottom w:val="none" w:sz="0" w:space="0" w:color="auto"/>
        <w:right w:val="none" w:sz="0" w:space="0" w:color="auto"/>
      </w:divBdr>
    </w:div>
    <w:div w:id="1062027070">
      <w:bodyDiv w:val="1"/>
      <w:marLeft w:val="0"/>
      <w:marRight w:val="0"/>
      <w:marTop w:val="0"/>
      <w:marBottom w:val="0"/>
      <w:divBdr>
        <w:top w:val="none" w:sz="0" w:space="0" w:color="auto"/>
        <w:left w:val="none" w:sz="0" w:space="0" w:color="auto"/>
        <w:bottom w:val="none" w:sz="0" w:space="0" w:color="auto"/>
        <w:right w:val="none" w:sz="0" w:space="0" w:color="auto"/>
      </w:divBdr>
    </w:div>
    <w:div w:id="1068381724">
      <w:bodyDiv w:val="1"/>
      <w:marLeft w:val="0"/>
      <w:marRight w:val="0"/>
      <w:marTop w:val="0"/>
      <w:marBottom w:val="0"/>
      <w:divBdr>
        <w:top w:val="none" w:sz="0" w:space="0" w:color="auto"/>
        <w:left w:val="none" w:sz="0" w:space="0" w:color="auto"/>
        <w:bottom w:val="none" w:sz="0" w:space="0" w:color="auto"/>
        <w:right w:val="none" w:sz="0" w:space="0" w:color="auto"/>
      </w:divBdr>
    </w:div>
    <w:div w:id="1070229326">
      <w:bodyDiv w:val="1"/>
      <w:marLeft w:val="0"/>
      <w:marRight w:val="0"/>
      <w:marTop w:val="0"/>
      <w:marBottom w:val="0"/>
      <w:divBdr>
        <w:top w:val="none" w:sz="0" w:space="0" w:color="auto"/>
        <w:left w:val="none" w:sz="0" w:space="0" w:color="auto"/>
        <w:bottom w:val="none" w:sz="0" w:space="0" w:color="auto"/>
        <w:right w:val="none" w:sz="0" w:space="0" w:color="auto"/>
      </w:divBdr>
    </w:div>
    <w:div w:id="1080450185">
      <w:bodyDiv w:val="1"/>
      <w:marLeft w:val="0"/>
      <w:marRight w:val="0"/>
      <w:marTop w:val="0"/>
      <w:marBottom w:val="0"/>
      <w:divBdr>
        <w:top w:val="none" w:sz="0" w:space="0" w:color="auto"/>
        <w:left w:val="none" w:sz="0" w:space="0" w:color="auto"/>
        <w:bottom w:val="none" w:sz="0" w:space="0" w:color="auto"/>
        <w:right w:val="none" w:sz="0" w:space="0" w:color="auto"/>
      </w:divBdr>
    </w:div>
    <w:div w:id="1084647555">
      <w:bodyDiv w:val="1"/>
      <w:marLeft w:val="0"/>
      <w:marRight w:val="0"/>
      <w:marTop w:val="0"/>
      <w:marBottom w:val="0"/>
      <w:divBdr>
        <w:top w:val="none" w:sz="0" w:space="0" w:color="auto"/>
        <w:left w:val="none" w:sz="0" w:space="0" w:color="auto"/>
        <w:bottom w:val="none" w:sz="0" w:space="0" w:color="auto"/>
        <w:right w:val="none" w:sz="0" w:space="0" w:color="auto"/>
      </w:divBdr>
    </w:div>
    <w:div w:id="1084961891">
      <w:bodyDiv w:val="1"/>
      <w:marLeft w:val="0"/>
      <w:marRight w:val="0"/>
      <w:marTop w:val="0"/>
      <w:marBottom w:val="0"/>
      <w:divBdr>
        <w:top w:val="none" w:sz="0" w:space="0" w:color="auto"/>
        <w:left w:val="none" w:sz="0" w:space="0" w:color="auto"/>
        <w:bottom w:val="none" w:sz="0" w:space="0" w:color="auto"/>
        <w:right w:val="none" w:sz="0" w:space="0" w:color="auto"/>
      </w:divBdr>
    </w:div>
    <w:div w:id="1085801075">
      <w:bodyDiv w:val="1"/>
      <w:marLeft w:val="0"/>
      <w:marRight w:val="0"/>
      <w:marTop w:val="0"/>
      <w:marBottom w:val="0"/>
      <w:divBdr>
        <w:top w:val="none" w:sz="0" w:space="0" w:color="auto"/>
        <w:left w:val="none" w:sz="0" w:space="0" w:color="auto"/>
        <w:bottom w:val="none" w:sz="0" w:space="0" w:color="auto"/>
        <w:right w:val="none" w:sz="0" w:space="0" w:color="auto"/>
      </w:divBdr>
    </w:div>
    <w:div w:id="1086075377">
      <w:bodyDiv w:val="1"/>
      <w:marLeft w:val="0"/>
      <w:marRight w:val="0"/>
      <w:marTop w:val="0"/>
      <w:marBottom w:val="0"/>
      <w:divBdr>
        <w:top w:val="none" w:sz="0" w:space="0" w:color="auto"/>
        <w:left w:val="none" w:sz="0" w:space="0" w:color="auto"/>
        <w:bottom w:val="none" w:sz="0" w:space="0" w:color="auto"/>
        <w:right w:val="none" w:sz="0" w:space="0" w:color="auto"/>
      </w:divBdr>
    </w:div>
    <w:div w:id="1087076321">
      <w:bodyDiv w:val="1"/>
      <w:marLeft w:val="0"/>
      <w:marRight w:val="0"/>
      <w:marTop w:val="0"/>
      <w:marBottom w:val="0"/>
      <w:divBdr>
        <w:top w:val="none" w:sz="0" w:space="0" w:color="auto"/>
        <w:left w:val="none" w:sz="0" w:space="0" w:color="auto"/>
        <w:bottom w:val="none" w:sz="0" w:space="0" w:color="auto"/>
        <w:right w:val="none" w:sz="0" w:space="0" w:color="auto"/>
      </w:divBdr>
    </w:div>
    <w:div w:id="1090926170">
      <w:bodyDiv w:val="1"/>
      <w:marLeft w:val="0"/>
      <w:marRight w:val="0"/>
      <w:marTop w:val="0"/>
      <w:marBottom w:val="0"/>
      <w:divBdr>
        <w:top w:val="none" w:sz="0" w:space="0" w:color="auto"/>
        <w:left w:val="none" w:sz="0" w:space="0" w:color="auto"/>
        <w:bottom w:val="none" w:sz="0" w:space="0" w:color="auto"/>
        <w:right w:val="none" w:sz="0" w:space="0" w:color="auto"/>
      </w:divBdr>
    </w:div>
    <w:div w:id="1093818085">
      <w:bodyDiv w:val="1"/>
      <w:marLeft w:val="0"/>
      <w:marRight w:val="0"/>
      <w:marTop w:val="0"/>
      <w:marBottom w:val="0"/>
      <w:divBdr>
        <w:top w:val="none" w:sz="0" w:space="0" w:color="auto"/>
        <w:left w:val="none" w:sz="0" w:space="0" w:color="auto"/>
        <w:bottom w:val="none" w:sz="0" w:space="0" w:color="auto"/>
        <w:right w:val="none" w:sz="0" w:space="0" w:color="auto"/>
      </w:divBdr>
    </w:div>
    <w:div w:id="1095831913">
      <w:bodyDiv w:val="1"/>
      <w:marLeft w:val="0"/>
      <w:marRight w:val="0"/>
      <w:marTop w:val="0"/>
      <w:marBottom w:val="0"/>
      <w:divBdr>
        <w:top w:val="none" w:sz="0" w:space="0" w:color="auto"/>
        <w:left w:val="none" w:sz="0" w:space="0" w:color="auto"/>
        <w:bottom w:val="none" w:sz="0" w:space="0" w:color="auto"/>
        <w:right w:val="none" w:sz="0" w:space="0" w:color="auto"/>
      </w:divBdr>
    </w:div>
    <w:div w:id="1096753673">
      <w:bodyDiv w:val="1"/>
      <w:marLeft w:val="0"/>
      <w:marRight w:val="0"/>
      <w:marTop w:val="0"/>
      <w:marBottom w:val="0"/>
      <w:divBdr>
        <w:top w:val="none" w:sz="0" w:space="0" w:color="auto"/>
        <w:left w:val="none" w:sz="0" w:space="0" w:color="auto"/>
        <w:bottom w:val="none" w:sz="0" w:space="0" w:color="auto"/>
        <w:right w:val="none" w:sz="0" w:space="0" w:color="auto"/>
      </w:divBdr>
    </w:div>
    <w:div w:id="1100101464">
      <w:bodyDiv w:val="1"/>
      <w:marLeft w:val="0"/>
      <w:marRight w:val="0"/>
      <w:marTop w:val="0"/>
      <w:marBottom w:val="0"/>
      <w:divBdr>
        <w:top w:val="none" w:sz="0" w:space="0" w:color="auto"/>
        <w:left w:val="none" w:sz="0" w:space="0" w:color="auto"/>
        <w:bottom w:val="none" w:sz="0" w:space="0" w:color="auto"/>
        <w:right w:val="none" w:sz="0" w:space="0" w:color="auto"/>
      </w:divBdr>
      <w:divsChild>
        <w:div w:id="70126281">
          <w:marLeft w:val="0"/>
          <w:marRight w:val="0"/>
          <w:marTop w:val="0"/>
          <w:marBottom w:val="0"/>
          <w:divBdr>
            <w:top w:val="none" w:sz="0" w:space="0" w:color="auto"/>
            <w:left w:val="none" w:sz="0" w:space="0" w:color="auto"/>
            <w:bottom w:val="none" w:sz="0" w:space="0" w:color="auto"/>
            <w:right w:val="none" w:sz="0" w:space="0" w:color="auto"/>
          </w:divBdr>
          <w:divsChild>
            <w:div w:id="1166634162">
              <w:marLeft w:val="0"/>
              <w:marRight w:val="0"/>
              <w:marTop w:val="0"/>
              <w:marBottom w:val="0"/>
              <w:divBdr>
                <w:top w:val="none" w:sz="0" w:space="0" w:color="auto"/>
                <w:left w:val="none" w:sz="0" w:space="0" w:color="auto"/>
                <w:bottom w:val="none" w:sz="0" w:space="0" w:color="auto"/>
                <w:right w:val="none" w:sz="0" w:space="0" w:color="auto"/>
              </w:divBdr>
              <w:divsChild>
                <w:div w:id="1064448419">
                  <w:marLeft w:val="0"/>
                  <w:marRight w:val="0"/>
                  <w:marTop w:val="0"/>
                  <w:marBottom w:val="0"/>
                  <w:divBdr>
                    <w:top w:val="none" w:sz="0" w:space="0" w:color="auto"/>
                    <w:left w:val="none" w:sz="0" w:space="0" w:color="auto"/>
                    <w:bottom w:val="none" w:sz="0" w:space="0" w:color="auto"/>
                    <w:right w:val="none" w:sz="0" w:space="0" w:color="auto"/>
                  </w:divBdr>
                  <w:divsChild>
                    <w:div w:id="640581269">
                      <w:marLeft w:val="0"/>
                      <w:marRight w:val="0"/>
                      <w:marTop w:val="0"/>
                      <w:marBottom w:val="0"/>
                      <w:divBdr>
                        <w:top w:val="none" w:sz="0" w:space="0" w:color="auto"/>
                        <w:left w:val="none" w:sz="0" w:space="0" w:color="auto"/>
                        <w:bottom w:val="none" w:sz="0" w:space="0" w:color="auto"/>
                        <w:right w:val="none" w:sz="0" w:space="0" w:color="auto"/>
                      </w:divBdr>
                      <w:divsChild>
                        <w:div w:id="897202935">
                          <w:marLeft w:val="0"/>
                          <w:marRight w:val="0"/>
                          <w:marTop w:val="0"/>
                          <w:marBottom w:val="0"/>
                          <w:divBdr>
                            <w:top w:val="none" w:sz="0" w:space="0" w:color="auto"/>
                            <w:left w:val="none" w:sz="0" w:space="0" w:color="auto"/>
                            <w:bottom w:val="none" w:sz="0" w:space="0" w:color="auto"/>
                            <w:right w:val="none" w:sz="0" w:space="0" w:color="auto"/>
                          </w:divBdr>
                          <w:divsChild>
                            <w:div w:id="598802994">
                              <w:marLeft w:val="0"/>
                              <w:marRight w:val="0"/>
                              <w:marTop w:val="0"/>
                              <w:marBottom w:val="0"/>
                              <w:divBdr>
                                <w:top w:val="none" w:sz="0" w:space="0" w:color="auto"/>
                                <w:left w:val="none" w:sz="0" w:space="0" w:color="auto"/>
                                <w:bottom w:val="none" w:sz="0" w:space="0" w:color="auto"/>
                                <w:right w:val="none" w:sz="0" w:space="0" w:color="auto"/>
                              </w:divBdr>
                              <w:divsChild>
                                <w:div w:id="843056433">
                                  <w:marLeft w:val="0"/>
                                  <w:marRight w:val="0"/>
                                  <w:marTop w:val="0"/>
                                  <w:marBottom w:val="0"/>
                                  <w:divBdr>
                                    <w:top w:val="none" w:sz="0" w:space="0" w:color="auto"/>
                                    <w:left w:val="none" w:sz="0" w:space="0" w:color="auto"/>
                                    <w:bottom w:val="none" w:sz="0" w:space="0" w:color="auto"/>
                                    <w:right w:val="none" w:sz="0" w:space="0" w:color="auto"/>
                                  </w:divBdr>
                                  <w:divsChild>
                                    <w:div w:id="803700593">
                                      <w:marLeft w:val="0"/>
                                      <w:marRight w:val="0"/>
                                      <w:marTop w:val="0"/>
                                      <w:marBottom w:val="0"/>
                                      <w:divBdr>
                                        <w:top w:val="single" w:sz="4" w:space="0" w:color="F5F5F5"/>
                                        <w:left w:val="single" w:sz="4" w:space="0" w:color="F5F5F5"/>
                                        <w:bottom w:val="single" w:sz="4" w:space="0" w:color="F5F5F5"/>
                                        <w:right w:val="single" w:sz="4" w:space="0" w:color="F5F5F5"/>
                                      </w:divBdr>
                                      <w:divsChild>
                                        <w:div w:id="1916813818">
                                          <w:marLeft w:val="0"/>
                                          <w:marRight w:val="0"/>
                                          <w:marTop w:val="0"/>
                                          <w:marBottom w:val="0"/>
                                          <w:divBdr>
                                            <w:top w:val="none" w:sz="0" w:space="0" w:color="auto"/>
                                            <w:left w:val="none" w:sz="0" w:space="0" w:color="auto"/>
                                            <w:bottom w:val="none" w:sz="0" w:space="0" w:color="auto"/>
                                            <w:right w:val="none" w:sz="0" w:space="0" w:color="auto"/>
                                          </w:divBdr>
                                          <w:divsChild>
                                            <w:div w:id="9487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872905">
      <w:bodyDiv w:val="1"/>
      <w:marLeft w:val="0"/>
      <w:marRight w:val="0"/>
      <w:marTop w:val="0"/>
      <w:marBottom w:val="0"/>
      <w:divBdr>
        <w:top w:val="none" w:sz="0" w:space="0" w:color="auto"/>
        <w:left w:val="none" w:sz="0" w:space="0" w:color="auto"/>
        <w:bottom w:val="none" w:sz="0" w:space="0" w:color="auto"/>
        <w:right w:val="none" w:sz="0" w:space="0" w:color="auto"/>
      </w:divBdr>
    </w:div>
    <w:div w:id="1103379935">
      <w:bodyDiv w:val="1"/>
      <w:marLeft w:val="0"/>
      <w:marRight w:val="0"/>
      <w:marTop w:val="0"/>
      <w:marBottom w:val="0"/>
      <w:divBdr>
        <w:top w:val="none" w:sz="0" w:space="0" w:color="auto"/>
        <w:left w:val="none" w:sz="0" w:space="0" w:color="auto"/>
        <w:bottom w:val="none" w:sz="0" w:space="0" w:color="auto"/>
        <w:right w:val="none" w:sz="0" w:space="0" w:color="auto"/>
      </w:divBdr>
    </w:div>
    <w:div w:id="1109739268">
      <w:bodyDiv w:val="1"/>
      <w:marLeft w:val="0"/>
      <w:marRight w:val="0"/>
      <w:marTop w:val="0"/>
      <w:marBottom w:val="0"/>
      <w:divBdr>
        <w:top w:val="none" w:sz="0" w:space="0" w:color="auto"/>
        <w:left w:val="none" w:sz="0" w:space="0" w:color="auto"/>
        <w:bottom w:val="none" w:sz="0" w:space="0" w:color="auto"/>
        <w:right w:val="none" w:sz="0" w:space="0" w:color="auto"/>
      </w:divBdr>
    </w:div>
    <w:div w:id="1109936920">
      <w:bodyDiv w:val="1"/>
      <w:marLeft w:val="0"/>
      <w:marRight w:val="0"/>
      <w:marTop w:val="0"/>
      <w:marBottom w:val="0"/>
      <w:divBdr>
        <w:top w:val="none" w:sz="0" w:space="0" w:color="auto"/>
        <w:left w:val="none" w:sz="0" w:space="0" w:color="auto"/>
        <w:bottom w:val="none" w:sz="0" w:space="0" w:color="auto"/>
        <w:right w:val="none" w:sz="0" w:space="0" w:color="auto"/>
      </w:divBdr>
    </w:div>
    <w:div w:id="1110049537">
      <w:bodyDiv w:val="1"/>
      <w:marLeft w:val="0"/>
      <w:marRight w:val="0"/>
      <w:marTop w:val="0"/>
      <w:marBottom w:val="0"/>
      <w:divBdr>
        <w:top w:val="none" w:sz="0" w:space="0" w:color="auto"/>
        <w:left w:val="none" w:sz="0" w:space="0" w:color="auto"/>
        <w:bottom w:val="none" w:sz="0" w:space="0" w:color="auto"/>
        <w:right w:val="none" w:sz="0" w:space="0" w:color="auto"/>
      </w:divBdr>
    </w:div>
    <w:div w:id="1111322420">
      <w:bodyDiv w:val="1"/>
      <w:marLeft w:val="0"/>
      <w:marRight w:val="0"/>
      <w:marTop w:val="0"/>
      <w:marBottom w:val="0"/>
      <w:divBdr>
        <w:top w:val="none" w:sz="0" w:space="0" w:color="auto"/>
        <w:left w:val="none" w:sz="0" w:space="0" w:color="auto"/>
        <w:bottom w:val="none" w:sz="0" w:space="0" w:color="auto"/>
        <w:right w:val="none" w:sz="0" w:space="0" w:color="auto"/>
      </w:divBdr>
    </w:div>
    <w:div w:id="1113473048">
      <w:bodyDiv w:val="1"/>
      <w:marLeft w:val="0"/>
      <w:marRight w:val="0"/>
      <w:marTop w:val="0"/>
      <w:marBottom w:val="0"/>
      <w:divBdr>
        <w:top w:val="none" w:sz="0" w:space="0" w:color="auto"/>
        <w:left w:val="none" w:sz="0" w:space="0" w:color="auto"/>
        <w:bottom w:val="none" w:sz="0" w:space="0" w:color="auto"/>
        <w:right w:val="none" w:sz="0" w:space="0" w:color="auto"/>
      </w:divBdr>
    </w:div>
    <w:div w:id="1118067828">
      <w:bodyDiv w:val="1"/>
      <w:marLeft w:val="0"/>
      <w:marRight w:val="0"/>
      <w:marTop w:val="0"/>
      <w:marBottom w:val="0"/>
      <w:divBdr>
        <w:top w:val="none" w:sz="0" w:space="0" w:color="auto"/>
        <w:left w:val="none" w:sz="0" w:space="0" w:color="auto"/>
        <w:bottom w:val="none" w:sz="0" w:space="0" w:color="auto"/>
        <w:right w:val="none" w:sz="0" w:space="0" w:color="auto"/>
      </w:divBdr>
    </w:div>
    <w:div w:id="1118378167">
      <w:bodyDiv w:val="1"/>
      <w:marLeft w:val="0"/>
      <w:marRight w:val="0"/>
      <w:marTop w:val="0"/>
      <w:marBottom w:val="0"/>
      <w:divBdr>
        <w:top w:val="none" w:sz="0" w:space="0" w:color="auto"/>
        <w:left w:val="none" w:sz="0" w:space="0" w:color="auto"/>
        <w:bottom w:val="none" w:sz="0" w:space="0" w:color="auto"/>
        <w:right w:val="none" w:sz="0" w:space="0" w:color="auto"/>
      </w:divBdr>
    </w:div>
    <w:div w:id="1120807180">
      <w:bodyDiv w:val="1"/>
      <w:marLeft w:val="0"/>
      <w:marRight w:val="0"/>
      <w:marTop w:val="0"/>
      <w:marBottom w:val="0"/>
      <w:divBdr>
        <w:top w:val="none" w:sz="0" w:space="0" w:color="auto"/>
        <w:left w:val="none" w:sz="0" w:space="0" w:color="auto"/>
        <w:bottom w:val="none" w:sz="0" w:space="0" w:color="auto"/>
        <w:right w:val="none" w:sz="0" w:space="0" w:color="auto"/>
      </w:divBdr>
    </w:div>
    <w:div w:id="1124077895">
      <w:bodyDiv w:val="1"/>
      <w:marLeft w:val="0"/>
      <w:marRight w:val="0"/>
      <w:marTop w:val="0"/>
      <w:marBottom w:val="0"/>
      <w:divBdr>
        <w:top w:val="none" w:sz="0" w:space="0" w:color="auto"/>
        <w:left w:val="none" w:sz="0" w:space="0" w:color="auto"/>
        <w:bottom w:val="none" w:sz="0" w:space="0" w:color="auto"/>
        <w:right w:val="none" w:sz="0" w:space="0" w:color="auto"/>
      </w:divBdr>
    </w:div>
    <w:div w:id="1132092811">
      <w:bodyDiv w:val="1"/>
      <w:marLeft w:val="0"/>
      <w:marRight w:val="0"/>
      <w:marTop w:val="0"/>
      <w:marBottom w:val="0"/>
      <w:divBdr>
        <w:top w:val="none" w:sz="0" w:space="0" w:color="auto"/>
        <w:left w:val="none" w:sz="0" w:space="0" w:color="auto"/>
        <w:bottom w:val="none" w:sz="0" w:space="0" w:color="auto"/>
        <w:right w:val="none" w:sz="0" w:space="0" w:color="auto"/>
      </w:divBdr>
    </w:div>
    <w:div w:id="1136416494">
      <w:bodyDiv w:val="1"/>
      <w:marLeft w:val="0"/>
      <w:marRight w:val="0"/>
      <w:marTop w:val="0"/>
      <w:marBottom w:val="0"/>
      <w:divBdr>
        <w:top w:val="none" w:sz="0" w:space="0" w:color="auto"/>
        <w:left w:val="none" w:sz="0" w:space="0" w:color="auto"/>
        <w:bottom w:val="none" w:sz="0" w:space="0" w:color="auto"/>
        <w:right w:val="none" w:sz="0" w:space="0" w:color="auto"/>
      </w:divBdr>
    </w:div>
    <w:div w:id="1136602180">
      <w:bodyDiv w:val="1"/>
      <w:marLeft w:val="0"/>
      <w:marRight w:val="0"/>
      <w:marTop w:val="0"/>
      <w:marBottom w:val="0"/>
      <w:divBdr>
        <w:top w:val="none" w:sz="0" w:space="0" w:color="auto"/>
        <w:left w:val="none" w:sz="0" w:space="0" w:color="auto"/>
        <w:bottom w:val="none" w:sz="0" w:space="0" w:color="auto"/>
        <w:right w:val="none" w:sz="0" w:space="0" w:color="auto"/>
      </w:divBdr>
    </w:div>
    <w:div w:id="1140002449">
      <w:bodyDiv w:val="1"/>
      <w:marLeft w:val="0"/>
      <w:marRight w:val="0"/>
      <w:marTop w:val="0"/>
      <w:marBottom w:val="0"/>
      <w:divBdr>
        <w:top w:val="none" w:sz="0" w:space="0" w:color="auto"/>
        <w:left w:val="none" w:sz="0" w:space="0" w:color="auto"/>
        <w:bottom w:val="none" w:sz="0" w:space="0" w:color="auto"/>
        <w:right w:val="none" w:sz="0" w:space="0" w:color="auto"/>
      </w:divBdr>
    </w:div>
    <w:div w:id="1144618231">
      <w:bodyDiv w:val="1"/>
      <w:marLeft w:val="0"/>
      <w:marRight w:val="0"/>
      <w:marTop w:val="0"/>
      <w:marBottom w:val="0"/>
      <w:divBdr>
        <w:top w:val="none" w:sz="0" w:space="0" w:color="auto"/>
        <w:left w:val="none" w:sz="0" w:space="0" w:color="auto"/>
        <w:bottom w:val="none" w:sz="0" w:space="0" w:color="auto"/>
        <w:right w:val="none" w:sz="0" w:space="0" w:color="auto"/>
      </w:divBdr>
    </w:div>
    <w:div w:id="1145394209">
      <w:bodyDiv w:val="1"/>
      <w:marLeft w:val="0"/>
      <w:marRight w:val="0"/>
      <w:marTop w:val="0"/>
      <w:marBottom w:val="0"/>
      <w:divBdr>
        <w:top w:val="none" w:sz="0" w:space="0" w:color="auto"/>
        <w:left w:val="none" w:sz="0" w:space="0" w:color="auto"/>
        <w:bottom w:val="none" w:sz="0" w:space="0" w:color="auto"/>
        <w:right w:val="none" w:sz="0" w:space="0" w:color="auto"/>
      </w:divBdr>
    </w:div>
    <w:div w:id="1150712958">
      <w:bodyDiv w:val="1"/>
      <w:marLeft w:val="0"/>
      <w:marRight w:val="0"/>
      <w:marTop w:val="0"/>
      <w:marBottom w:val="0"/>
      <w:divBdr>
        <w:top w:val="none" w:sz="0" w:space="0" w:color="auto"/>
        <w:left w:val="none" w:sz="0" w:space="0" w:color="auto"/>
        <w:bottom w:val="none" w:sz="0" w:space="0" w:color="auto"/>
        <w:right w:val="none" w:sz="0" w:space="0" w:color="auto"/>
      </w:divBdr>
    </w:div>
    <w:div w:id="1151218302">
      <w:bodyDiv w:val="1"/>
      <w:marLeft w:val="0"/>
      <w:marRight w:val="0"/>
      <w:marTop w:val="0"/>
      <w:marBottom w:val="0"/>
      <w:divBdr>
        <w:top w:val="none" w:sz="0" w:space="0" w:color="auto"/>
        <w:left w:val="none" w:sz="0" w:space="0" w:color="auto"/>
        <w:bottom w:val="none" w:sz="0" w:space="0" w:color="auto"/>
        <w:right w:val="none" w:sz="0" w:space="0" w:color="auto"/>
      </w:divBdr>
    </w:div>
    <w:div w:id="1151602583">
      <w:bodyDiv w:val="1"/>
      <w:marLeft w:val="0"/>
      <w:marRight w:val="0"/>
      <w:marTop w:val="0"/>
      <w:marBottom w:val="0"/>
      <w:divBdr>
        <w:top w:val="none" w:sz="0" w:space="0" w:color="auto"/>
        <w:left w:val="none" w:sz="0" w:space="0" w:color="auto"/>
        <w:bottom w:val="none" w:sz="0" w:space="0" w:color="auto"/>
        <w:right w:val="none" w:sz="0" w:space="0" w:color="auto"/>
      </w:divBdr>
    </w:div>
    <w:div w:id="1155024789">
      <w:bodyDiv w:val="1"/>
      <w:marLeft w:val="0"/>
      <w:marRight w:val="0"/>
      <w:marTop w:val="0"/>
      <w:marBottom w:val="0"/>
      <w:divBdr>
        <w:top w:val="none" w:sz="0" w:space="0" w:color="auto"/>
        <w:left w:val="none" w:sz="0" w:space="0" w:color="auto"/>
        <w:bottom w:val="none" w:sz="0" w:space="0" w:color="auto"/>
        <w:right w:val="none" w:sz="0" w:space="0" w:color="auto"/>
      </w:divBdr>
    </w:div>
    <w:div w:id="1159157827">
      <w:bodyDiv w:val="1"/>
      <w:marLeft w:val="0"/>
      <w:marRight w:val="0"/>
      <w:marTop w:val="0"/>
      <w:marBottom w:val="0"/>
      <w:divBdr>
        <w:top w:val="none" w:sz="0" w:space="0" w:color="auto"/>
        <w:left w:val="none" w:sz="0" w:space="0" w:color="auto"/>
        <w:bottom w:val="none" w:sz="0" w:space="0" w:color="auto"/>
        <w:right w:val="none" w:sz="0" w:space="0" w:color="auto"/>
      </w:divBdr>
    </w:div>
    <w:div w:id="1159618449">
      <w:bodyDiv w:val="1"/>
      <w:marLeft w:val="0"/>
      <w:marRight w:val="0"/>
      <w:marTop w:val="0"/>
      <w:marBottom w:val="0"/>
      <w:divBdr>
        <w:top w:val="none" w:sz="0" w:space="0" w:color="auto"/>
        <w:left w:val="none" w:sz="0" w:space="0" w:color="auto"/>
        <w:bottom w:val="none" w:sz="0" w:space="0" w:color="auto"/>
        <w:right w:val="none" w:sz="0" w:space="0" w:color="auto"/>
      </w:divBdr>
    </w:div>
    <w:div w:id="1163857691">
      <w:bodyDiv w:val="1"/>
      <w:marLeft w:val="0"/>
      <w:marRight w:val="0"/>
      <w:marTop w:val="0"/>
      <w:marBottom w:val="0"/>
      <w:divBdr>
        <w:top w:val="none" w:sz="0" w:space="0" w:color="auto"/>
        <w:left w:val="none" w:sz="0" w:space="0" w:color="auto"/>
        <w:bottom w:val="none" w:sz="0" w:space="0" w:color="auto"/>
        <w:right w:val="none" w:sz="0" w:space="0" w:color="auto"/>
      </w:divBdr>
    </w:div>
    <w:div w:id="1165171443">
      <w:bodyDiv w:val="1"/>
      <w:marLeft w:val="0"/>
      <w:marRight w:val="0"/>
      <w:marTop w:val="0"/>
      <w:marBottom w:val="0"/>
      <w:divBdr>
        <w:top w:val="none" w:sz="0" w:space="0" w:color="auto"/>
        <w:left w:val="none" w:sz="0" w:space="0" w:color="auto"/>
        <w:bottom w:val="none" w:sz="0" w:space="0" w:color="auto"/>
        <w:right w:val="none" w:sz="0" w:space="0" w:color="auto"/>
      </w:divBdr>
    </w:div>
    <w:div w:id="1167287097">
      <w:bodyDiv w:val="1"/>
      <w:marLeft w:val="0"/>
      <w:marRight w:val="0"/>
      <w:marTop w:val="0"/>
      <w:marBottom w:val="0"/>
      <w:divBdr>
        <w:top w:val="none" w:sz="0" w:space="0" w:color="auto"/>
        <w:left w:val="none" w:sz="0" w:space="0" w:color="auto"/>
        <w:bottom w:val="none" w:sz="0" w:space="0" w:color="auto"/>
        <w:right w:val="none" w:sz="0" w:space="0" w:color="auto"/>
      </w:divBdr>
    </w:div>
    <w:div w:id="1169752897">
      <w:bodyDiv w:val="1"/>
      <w:marLeft w:val="0"/>
      <w:marRight w:val="0"/>
      <w:marTop w:val="0"/>
      <w:marBottom w:val="0"/>
      <w:divBdr>
        <w:top w:val="none" w:sz="0" w:space="0" w:color="auto"/>
        <w:left w:val="none" w:sz="0" w:space="0" w:color="auto"/>
        <w:bottom w:val="none" w:sz="0" w:space="0" w:color="auto"/>
        <w:right w:val="none" w:sz="0" w:space="0" w:color="auto"/>
      </w:divBdr>
    </w:div>
    <w:div w:id="1171138587">
      <w:bodyDiv w:val="1"/>
      <w:marLeft w:val="0"/>
      <w:marRight w:val="0"/>
      <w:marTop w:val="0"/>
      <w:marBottom w:val="0"/>
      <w:divBdr>
        <w:top w:val="none" w:sz="0" w:space="0" w:color="auto"/>
        <w:left w:val="none" w:sz="0" w:space="0" w:color="auto"/>
        <w:bottom w:val="none" w:sz="0" w:space="0" w:color="auto"/>
        <w:right w:val="none" w:sz="0" w:space="0" w:color="auto"/>
      </w:divBdr>
    </w:div>
    <w:div w:id="1172835574">
      <w:bodyDiv w:val="1"/>
      <w:marLeft w:val="0"/>
      <w:marRight w:val="0"/>
      <w:marTop w:val="0"/>
      <w:marBottom w:val="0"/>
      <w:divBdr>
        <w:top w:val="none" w:sz="0" w:space="0" w:color="auto"/>
        <w:left w:val="none" w:sz="0" w:space="0" w:color="auto"/>
        <w:bottom w:val="none" w:sz="0" w:space="0" w:color="auto"/>
        <w:right w:val="none" w:sz="0" w:space="0" w:color="auto"/>
      </w:divBdr>
    </w:div>
    <w:div w:id="1173182011">
      <w:bodyDiv w:val="1"/>
      <w:marLeft w:val="0"/>
      <w:marRight w:val="0"/>
      <w:marTop w:val="0"/>
      <w:marBottom w:val="0"/>
      <w:divBdr>
        <w:top w:val="none" w:sz="0" w:space="0" w:color="auto"/>
        <w:left w:val="none" w:sz="0" w:space="0" w:color="auto"/>
        <w:bottom w:val="none" w:sz="0" w:space="0" w:color="auto"/>
        <w:right w:val="none" w:sz="0" w:space="0" w:color="auto"/>
      </w:divBdr>
    </w:div>
    <w:div w:id="1177305511">
      <w:bodyDiv w:val="1"/>
      <w:marLeft w:val="0"/>
      <w:marRight w:val="0"/>
      <w:marTop w:val="0"/>
      <w:marBottom w:val="0"/>
      <w:divBdr>
        <w:top w:val="none" w:sz="0" w:space="0" w:color="auto"/>
        <w:left w:val="none" w:sz="0" w:space="0" w:color="auto"/>
        <w:bottom w:val="none" w:sz="0" w:space="0" w:color="auto"/>
        <w:right w:val="none" w:sz="0" w:space="0" w:color="auto"/>
      </w:divBdr>
    </w:div>
    <w:div w:id="1181119009">
      <w:bodyDiv w:val="1"/>
      <w:marLeft w:val="0"/>
      <w:marRight w:val="0"/>
      <w:marTop w:val="0"/>
      <w:marBottom w:val="0"/>
      <w:divBdr>
        <w:top w:val="none" w:sz="0" w:space="0" w:color="auto"/>
        <w:left w:val="none" w:sz="0" w:space="0" w:color="auto"/>
        <w:bottom w:val="none" w:sz="0" w:space="0" w:color="auto"/>
        <w:right w:val="none" w:sz="0" w:space="0" w:color="auto"/>
      </w:divBdr>
    </w:div>
    <w:div w:id="1188375587">
      <w:bodyDiv w:val="1"/>
      <w:marLeft w:val="0"/>
      <w:marRight w:val="0"/>
      <w:marTop w:val="0"/>
      <w:marBottom w:val="0"/>
      <w:divBdr>
        <w:top w:val="none" w:sz="0" w:space="0" w:color="auto"/>
        <w:left w:val="none" w:sz="0" w:space="0" w:color="auto"/>
        <w:bottom w:val="none" w:sz="0" w:space="0" w:color="auto"/>
        <w:right w:val="none" w:sz="0" w:space="0" w:color="auto"/>
      </w:divBdr>
    </w:div>
    <w:div w:id="1188375691">
      <w:bodyDiv w:val="1"/>
      <w:marLeft w:val="0"/>
      <w:marRight w:val="0"/>
      <w:marTop w:val="0"/>
      <w:marBottom w:val="0"/>
      <w:divBdr>
        <w:top w:val="none" w:sz="0" w:space="0" w:color="auto"/>
        <w:left w:val="none" w:sz="0" w:space="0" w:color="auto"/>
        <w:bottom w:val="none" w:sz="0" w:space="0" w:color="auto"/>
        <w:right w:val="none" w:sz="0" w:space="0" w:color="auto"/>
      </w:divBdr>
    </w:div>
    <w:div w:id="1188911776">
      <w:bodyDiv w:val="1"/>
      <w:marLeft w:val="0"/>
      <w:marRight w:val="0"/>
      <w:marTop w:val="0"/>
      <w:marBottom w:val="0"/>
      <w:divBdr>
        <w:top w:val="none" w:sz="0" w:space="0" w:color="auto"/>
        <w:left w:val="none" w:sz="0" w:space="0" w:color="auto"/>
        <w:bottom w:val="none" w:sz="0" w:space="0" w:color="auto"/>
        <w:right w:val="none" w:sz="0" w:space="0" w:color="auto"/>
      </w:divBdr>
    </w:div>
    <w:div w:id="1194155042">
      <w:bodyDiv w:val="1"/>
      <w:marLeft w:val="0"/>
      <w:marRight w:val="0"/>
      <w:marTop w:val="0"/>
      <w:marBottom w:val="0"/>
      <w:divBdr>
        <w:top w:val="none" w:sz="0" w:space="0" w:color="auto"/>
        <w:left w:val="none" w:sz="0" w:space="0" w:color="auto"/>
        <w:bottom w:val="none" w:sz="0" w:space="0" w:color="auto"/>
        <w:right w:val="none" w:sz="0" w:space="0" w:color="auto"/>
      </w:divBdr>
    </w:div>
    <w:div w:id="1194617436">
      <w:bodyDiv w:val="1"/>
      <w:marLeft w:val="0"/>
      <w:marRight w:val="0"/>
      <w:marTop w:val="0"/>
      <w:marBottom w:val="0"/>
      <w:divBdr>
        <w:top w:val="none" w:sz="0" w:space="0" w:color="auto"/>
        <w:left w:val="none" w:sz="0" w:space="0" w:color="auto"/>
        <w:bottom w:val="none" w:sz="0" w:space="0" w:color="auto"/>
        <w:right w:val="none" w:sz="0" w:space="0" w:color="auto"/>
      </w:divBdr>
    </w:div>
    <w:div w:id="1197889001">
      <w:bodyDiv w:val="1"/>
      <w:marLeft w:val="0"/>
      <w:marRight w:val="0"/>
      <w:marTop w:val="0"/>
      <w:marBottom w:val="0"/>
      <w:divBdr>
        <w:top w:val="none" w:sz="0" w:space="0" w:color="auto"/>
        <w:left w:val="none" w:sz="0" w:space="0" w:color="auto"/>
        <w:bottom w:val="none" w:sz="0" w:space="0" w:color="auto"/>
        <w:right w:val="none" w:sz="0" w:space="0" w:color="auto"/>
      </w:divBdr>
    </w:div>
    <w:div w:id="1198467546">
      <w:bodyDiv w:val="1"/>
      <w:marLeft w:val="0"/>
      <w:marRight w:val="0"/>
      <w:marTop w:val="0"/>
      <w:marBottom w:val="0"/>
      <w:divBdr>
        <w:top w:val="none" w:sz="0" w:space="0" w:color="auto"/>
        <w:left w:val="none" w:sz="0" w:space="0" w:color="auto"/>
        <w:bottom w:val="none" w:sz="0" w:space="0" w:color="auto"/>
        <w:right w:val="none" w:sz="0" w:space="0" w:color="auto"/>
      </w:divBdr>
    </w:div>
    <w:div w:id="1198853398">
      <w:bodyDiv w:val="1"/>
      <w:marLeft w:val="0"/>
      <w:marRight w:val="0"/>
      <w:marTop w:val="0"/>
      <w:marBottom w:val="0"/>
      <w:divBdr>
        <w:top w:val="none" w:sz="0" w:space="0" w:color="auto"/>
        <w:left w:val="none" w:sz="0" w:space="0" w:color="auto"/>
        <w:bottom w:val="none" w:sz="0" w:space="0" w:color="auto"/>
        <w:right w:val="none" w:sz="0" w:space="0" w:color="auto"/>
      </w:divBdr>
    </w:div>
    <w:div w:id="1202396544">
      <w:bodyDiv w:val="1"/>
      <w:marLeft w:val="0"/>
      <w:marRight w:val="0"/>
      <w:marTop w:val="0"/>
      <w:marBottom w:val="0"/>
      <w:divBdr>
        <w:top w:val="none" w:sz="0" w:space="0" w:color="auto"/>
        <w:left w:val="none" w:sz="0" w:space="0" w:color="auto"/>
        <w:bottom w:val="none" w:sz="0" w:space="0" w:color="auto"/>
        <w:right w:val="none" w:sz="0" w:space="0" w:color="auto"/>
      </w:divBdr>
    </w:div>
    <w:div w:id="1202673073">
      <w:bodyDiv w:val="1"/>
      <w:marLeft w:val="0"/>
      <w:marRight w:val="0"/>
      <w:marTop w:val="0"/>
      <w:marBottom w:val="0"/>
      <w:divBdr>
        <w:top w:val="none" w:sz="0" w:space="0" w:color="auto"/>
        <w:left w:val="none" w:sz="0" w:space="0" w:color="auto"/>
        <w:bottom w:val="none" w:sz="0" w:space="0" w:color="auto"/>
        <w:right w:val="none" w:sz="0" w:space="0" w:color="auto"/>
      </w:divBdr>
    </w:div>
    <w:div w:id="1203786770">
      <w:bodyDiv w:val="1"/>
      <w:marLeft w:val="0"/>
      <w:marRight w:val="0"/>
      <w:marTop w:val="0"/>
      <w:marBottom w:val="0"/>
      <w:divBdr>
        <w:top w:val="none" w:sz="0" w:space="0" w:color="auto"/>
        <w:left w:val="none" w:sz="0" w:space="0" w:color="auto"/>
        <w:bottom w:val="none" w:sz="0" w:space="0" w:color="auto"/>
        <w:right w:val="none" w:sz="0" w:space="0" w:color="auto"/>
      </w:divBdr>
    </w:div>
    <w:div w:id="1204632716">
      <w:bodyDiv w:val="1"/>
      <w:marLeft w:val="0"/>
      <w:marRight w:val="0"/>
      <w:marTop w:val="0"/>
      <w:marBottom w:val="0"/>
      <w:divBdr>
        <w:top w:val="none" w:sz="0" w:space="0" w:color="auto"/>
        <w:left w:val="none" w:sz="0" w:space="0" w:color="auto"/>
        <w:bottom w:val="none" w:sz="0" w:space="0" w:color="auto"/>
        <w:right w:val="none" w:sz="0" w:space="0" w:color="auto"/>
      </w:divBdr>
    </w:div>
    <w:div w:id="1204827307">
      <w:bodyDiv w:val="1"/>
      <w:marLeft w:val="0"/>
      <w:marRight w:val="0"/>
      <w:marTop w:val="0"/>
      <w:marBottom w:val="0"/>
      <w:divBdr>
        <w:top w:val="none" w:sz="0" w:space="0" w:color="auto"/>
        <w:left w:val="none" w:sz="0" w:space="0" w:color="auto"/>
        <w:bottom w:val="none" w:sz="0" w:space="0" w:color="auto"/>
        <w:right w:val="none" w:sz="0" w:space="0" w:color="auto"/>
      </w:divBdr>
    </w:div>
    <w:div w:id="1206135366">
      <w:bodyDiv w:val="1"/>
      <w:marLeft w:val="0"/>
      <w:marRight w:val="0"/>
      <w:marTop w:val="0"/>
      <w:marBottom w:val="0"/>
      <w:divBdr>
        <w:top w:val="none" w:sz="0" w:space="0" w:color="auto"/>
        <w:left w:val="none" w:sz="0" w:space="0" w:color="auto"/>
        <w:bottom w:val="none" w:sz="0" w:space="0" w:color="auto"/>
        <w:right w:val="none" w:sz="0" w:space="0" w:color="auto"/>
      </w:divBdr>
    </w:div>
    <w:div w:id="1206484358">
      <w:bodyDiv w:val="1"/>
      <w:marLeft w:val="0"/>
      <w:marRight w:val="0"/>
      <w:marTop w:val="0"/>
      <w:marBottom w:val="0"/>
      <w:divBdr>
        <w:top w:val="none" w:sz="0" w:space="0" w:color="auto"/>
        <w:left w:val="none" w:sz="0" w:space="0" w:color="auto"/>
        <w:bottom w:val="none" w:sz="0" w:space="0" w:color="auto"/>
        <w:right w:val="none" w:sz="0" w:space="0" w:color="auto"/>
      </w:divBdr>
    </w:div>
    <w:div w:id="1206941136">
      <w:bodyDiv w:val="1"/>
      <w:marLeft w:val="0"/>
      <w:marRight w:val="0"/>
      <w:marTop w:val="0"/>
      <w:marBottom w:val="0"/>
      <w:divBdr>
        <w:top w:val="none" w:sz="0" w:space="0" w:color="auto"/>
        <w:left w:val="none" w:sz="0" w:space="0" w:color="auto"/>
        <w:bottom w:val="none" w:sz="0" w:space="0" w:color="auto"/>
        <w:right w:val="none" w:sz="0" w:space="0" w:color="auto"/>
      </w:divBdr>
    </w:div>
    <w:div w:id="1218014288">
      <w:bodyDiv w:val="1"/>
      <w:marLeft w:val="0"/>
      <w:marRight w:val="0"/>
      <w:marTop w:val="0"/>
      <w:marBottom w:val="0"/>
      <w:divBdr>
        <w:top w:val="none" w:sz="0" w:space="0" w:color="auto"/>
        <w:left w:val="none" w:sz="0" w:space="0" w:color="auto"/>
        <w:bottom w:val="none" w:sz="0" w:space="0" w:color="auto"/>
        <w:right w:val="none" w:sz="0" w:space="0" w:color="auto"/>
      </w:divBdr>
    </w:div>
    <w:div w:id="1221091293">
      <w:bodyDiv w:val="1"/>
      <w:marLeft w:val="0"/>
      <w:marRight w:val="0"/>
      <w:marTop w:val="0"/>
      <w:marBottom w:val="0"/>
      <w:divBdr>
        <w:top w:val="none" w:sz="0" w:space="0" w:color="auto"/>
        <w:left w:val="none" w:sz="0" w:space="0" w:color="auto"/>
        <w:bottom w:val="none" w:sz="0" w:space="0" w:color="auto"/>
        <w:right w:val="none" w:sz="0" w:space="0" w:color="auto"/>
      </w:divBdr>
    </w:div>
    <w:div w:id="1225604873">
      <w:bodyDiv w:val="1"/>
      <w:marLeft w:val="0"/>
      <w:marRight w:val="0"/>
      <w:marTop w:val="0"/>
      <w:marBottom w:val="0"/>
      <w:divBdr>
        <w:top w:val="none" w:sz="0" w:space="0" w:color="auto"/>
        <w:left w:val="none" w:sz="0" w:space="0" w:color="auto"/>
        <w:bottom w:val="none" w:sz="0" w:space="0" w:color="auto"/>
        <w:right w:val="none" w:sz="0" w:space="0" w:color="auto"/>
      </w:divBdr>
    </w:div>
    <w:div w:id="1225872093">
      <w:bodyDiv w:val="1"/>
      <w:marLeft w:val="0"/>
      <w:marRight w:val="0"/>
      <w:marTop w:val="0"/>
      <w:marBottom w:val="0"/>
      <w:divBdr>
        <w:top w:val="none" w:sz="0" w:space="0" w:color="auto"/>
        <w:left w:val="none" w:sz="0" w:space="0" w:color="auto"/>
        <w:bottom w:val="none" w:sz="0" w:space="0" w:color="auto"/>
        <w:right w:val="none" w:sz="0" w:space="0" w:color="auto"/>
      </w:divBdr>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3075808">
      <w:bodyDiv w:val="1"/>
      <w:marLeft w:val="0"/>
      <w:marRight w:val="0"/>
      <w:marTop w:val="0"/>
      <w:marBottom w:val="0"/>
      <w:divBdr>
        <w:top w:val="none" w:sz="0" w:space="0" w:color="auto"/>
        <w:left w:val="none" w:sz="0" w:space="0" w:color="auto"/>
        <w:bottom w:val="none" w:sz="0" w:space="0" w:color="auto"/>
        <w:right w:val="none" w:sz="0" w:space="0" w:color="auto"/>
      </w:divBdr>
    </w:div>
    <w:div w:id="1234773134">
      <w:bodyDiv w:val="1"/>
      <w:marLeft w:val="0"/>
      <w:marRight w:val="0"/>
      <w:marTop w:val="0"/>
      <w:marBottom w:val="0"/>
      <w:divBdr>
        <w:top w:val="none" w:sz="0" w:space="0" w:color="auto"/>
        <w:left w:val="none" w:sz="0" w:space="0" w:color="auto"/>
        <w:bottom w:val="none" w:sz="0" w:space="0" w:color="auto"/>
        <w:right w:val="none" w:sz="0" w:space="0" w:color="auto"/>
      </w:divBdr>
    </w:div>
    <w:div w:id="1237519216">
      <w:bodyDiv w:val="1"/>
      <w:marLeft w:val="0"/>
      <w:marRight w:val="0"/>
      <w:marTop w:val="0"/>
      <w:marBottom w:val="0"/>
      <w:divBdr>
        <w:top w:val="none" w:sz="0" w:space="0" w:color="auto"/>
        <w:left w:val="none" w:sz="0" w:space="0" w:color="auto"/>
        <w:bottom w:val="none" w:sz="0" w:space="0" w:color="auto"/>
        <w:right w:val="none" w:sz="0" w:space="0" w:color="auto"/>
      </w:divBdr>
    </w:div>
    <w:div w:id="1237788268">
      <w:bodyDiv w:val="1"/>
      <w:marLeft w:val="0"/>
      <w:marRight w:val="0"/>
      <w:marTop w:val="0"/>
      <w:marBottom w:val="0"/>
      <w:divBdr>
        <w:top w:val="none" w:sz="0" w:space="0" w:color="auto"/>
        <w:left w:val="none" w:sz="0" w:space="0" w:color="auto"/>
        <w:bottom w:val="none" w:sz="0" w:space="0" w:color="auto"/>
        <w:right w:val="none" w:sz="0" w:space="0" w:color="auto"/>
      </w:divBdr>
    </w:div>
    <w:div w:id="1240868571">
      <w:bodyDiv w:val="1"/>
      <w:marLeft w:val="0"/>
      <w:marRight w:val="0"/>
      <w:marTop w:val="0"/>
      <w:marBottom w:val="0"/>
      <w:divBdr>
        <w:top w:val="none" w:sz="0" w:space="0" w:color="auto"/>
        <w:left w:val="none" w:sz="0" w:space="0" w:color="auto"/>
        <w:bottom w:val="none" w:sz="0" w:space="0" w:color="auto"/>
        <w:right w:val="none" w:sz="0" w:space="0" w:color="auto"/>
      </w:divBdr>
    </w:div>
    <w:div w:id="1240946707">
      <w:bodyDiv w:val="1"/>
      <w:marLeft w:val="0"/>
      <w:marRight w:val="0"/>
      <w:marTop w:val="0"/>
      <w:marBottom w:val="0"/>
      <w:divBdr>
        <w:top w:val="none" w:sz="0" w:space="0" w:color="auto"/>
        <w:left w:val="none" w:sz="0" w:space="0" w:color="auto"/>
        <w:bottom w:val="none" w:sz="0" w:space="0" w:color="auto"/>
        <w:right w:val="none" w:sz="0" w:space="0" w:color="auto"/>
      </w:divBdr>
    </w:div>
    <w:div w:id="1245190489">
      <w:bodyDiv w:val="1"/>
      <w:marLeft w:val="0"/>
      <w:marRight w:val="0"/>
      <w:marTop w:val="0"/>
      <w:marBottom w:val="0"/>
      <w:divBdr>
        <w:top w:val="none" w:sz="0" w:space="0" w:color="auto"/>
        <w:left w:val="none" w:sz="0" w:space="0" w:color="auto"/>
        <w:bottom w:val="none" w:sz="0" w:space="0" w:color="auto"/>
        <w:right w:val="none" w:sz="0" w:space="0" w:color="auto"/>
      </w:divBdr>
    </w:div>
    <w:div w:id="1245261762">
      <w:bodyDiv w:val="1"/>
      <w:marLeft w:val="0"/>
      <w:marRight w:val="0"/>
      <w:marTop w:val="0"/>
      <w:marBottom w:val="0"/>
      <w:divBdr>
        <w:top w:val="none" w:sz="0" w:space="0" w:color="auto"/>
        <w:left w:val="none" w:sz="0" w:space="0" w:color="auto"/>
        <w:bottom w:val="none" w:sz="0" w:space="0" w:color="auto"/>
        <w:right w:val="none" w:sz="0" w:space="0" w:color="auto"/>
      </w:divBdr>
      <w:divsChild>
        <w:div w:id="1217887109">
          <w:marLeft w:val="0"/>
          <w:marRight w:val="0"/>
          <w:marTop w:val="0"/>
          <w:marBottom w:val="0"/>
          <w:divBdr>
            <w:top w:val="none" w:sz="0" w:space="0" w:color="auto"/>
            <w:left w:val="none" w:sz="0" w:space="0" w:color="auto"/>
            <w:bottom w:val="none" w:sz="0" w:space="0" w:color="auto"/>
            <w:right w:val="none" w:sz="0" w:space="0" w:color="auto"/>
          </w:divBdr>
          <w:divsChild>
            <w:div w:id="1619408138">
              <w:marLeft w:val="0"/>
              <w:marRight w:val="0"/>
              <w:marTop w:val="0"/>
              <w:marBottom w:val="0"/>
              <w:divBdr>
                <w:top w:val="none" w:sz="0" w:space="0" w:color="auto"/>
                <w:left w:val="none" w:sz="0" w:space="0" w:color="auto"/>
                <w:bottom w:val="none" w:sz="0" w:space="0" w:color="auto"/>
                <w:right w:val="none" w:sz="0" w:space="0" w:color="auto"/>
              </w:divBdr>
              <w:divsChild>
                <w:div w:id="1921790972">
                  <w:marLeft w:val="0"/>
                  <w:marRight w:val="0"/>
                  <w:marTop w:val="0"/>
                  <w:marBottom w:val="0"/>
                  <w:divBdr>
                    <w:top w:val="none" w:sz="0" w:space="0" w:color="auto"/>
                    <w:left w:val="none" w:sz="0" w:space="0" w:color="auto"/>
                    <w:bottom w:val="none" w:sz="0" w:space="0" w:color="auto"/>
                    <w:right w:val="none" w:sz="0" w:space="0" w:color="auto"/>
                  </w:divBdr>
                  <w:divsChild>
                    <w:div w:id="1638144335">
                      <w:marLeft w:val="0"/>
                      <w:marRight w:val="0"/>
                      <w:marTop w:val="0"/>
                      <w:marBottom w:val="0"/>
                      <w:divBdr>
                        <w:top w:val="none" w:sz="0" w:space="0" w:color="auto"/>
                        <w:left w:val="none" w:sz="0" w:space="0" w:color="auto"/>
                        <w:bottom w:val="none" w:sz="0" w:space="0" w:color="auto"/>
                        <w:right w:val="none" w:sz="0" w:space="0" w:color="auto"/>
                      </w:divBdr>
                      <w:divsChild>
                        <w:div w:id="2095397104">
                          <w:marLeft w:val="0"/>
                          <w:marRight w:val="0"/>
                          <w:marTop w:val="0"/>
                          <w:marBottom w:val="0"/>
                          <w:divBdr>
                            <w:top w:val="none" w:sz="0" w:space="0" w:color="auto"/>
                            <w:left w:val="none" w:sz="0" w:space="0" w:color="auto"/>
                            <w:bottom w:val="none" w:sz="0" w:space="0" w:color="auto"/>
                            <w:right w:val="none" w:sz="0" w:space="0" w:color="auto"/>
                          </w:divBdr>
                          <w:divsChild>
                            <w:div w:id="1710690829">
                              <w:marLeft w:val="0"/>
                              <w:marRight w:val="0"/>
                              <w:marTop w:val="0"/>
                              <w:marBottom w:val="0"/>
                              <w:divBdr>
                                <w:top w:val="none" w:sz="0" w:space="0" w:color="auto"/>
                                <w:left w:val="none" w:sz="0" w:space="0" w:color="auto"/>
                                <w:bottom w:val="none" w:sz="0" w:space="0" w:color="auto"/>
                                <w:right w:val="none" w:sz="0" w:space="0" w:color="auto"/>
                              </w:divBdr>
                              <w:divsChild>
                                <w:div w:id="262300935">
                                  <w:marLeft w:val="0"/>
                                  <w:marRight w:val="0"/>
                                  <w:marTop w:val="0"/>
                                  <w:marBottom w:val="0"/>
                                  <w:divBdr>
                                    <w:top w:val="none" w:sz="0" w:space="0" w:color="auto"/>
                                    <w:left w:val="none" w:sz="0" w:space="0" w:color="auto"/>
                                    <w:bottom w:val="none" w:sz="0" w:space="0" w:color="auto"/>
                                    <w:right w:val="none" w:sz="0" w:space="0" w:color="auto"/>
                                  </w:divBdr>
                                  <w:divsChild>
                                    <w:div w:id="1872497768">
                                      <w:marLeft w:val="0"/>
                                      <w:marRight w:val="0"/>
                                      <w:marTop w:val="0"/>
                                      <w:marBottom w:val="0"/>
                                      <w:divBdr>
                                        <w:top w:val="single" w:sz="6" w:space="0" w:color="F5F5F5"/>
                                        <w:left w:val="single" w:sz="6" w:space="0" w:color="F5F5F5"/>
                                        <w:bottom w:val="single" w:sz="6" w:space="0" w:color="F5F5F5"/>
                                        <w:right w:val="single" w:sz="6" w:space="0" w:color="F5F5F5"/>
                                      </w:divBdr>
                                      <w:divsChild>
                                        <w:div w:id="1963920588">
                                          <w:marLeft w:val="0"/>
                                          <w:marRight w:val="0"/>
                                          <w:marTop w:val="0"/>
                                          <w:marBottom w:val="0"/>
                                          <w:divBdr>
                                            <w:top w:val="none" w:sz="0" w:space="0" w:color="auto"/>
                                            <w:left w:val="none" w:sz="0" w:space="0" w:color="auto"/>
                                            <w:bottom w:val="none" w:sz="0" w:space="0" w:color="auto"/>
                                            <w:right w:val="none" w:sz="0" w:space="0" w:color="auto"/>
                                          </w:divBdr>
                                          <w:divsChild>
                                            <w:div w:id="17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5798635">
      <w:bodyDiv w:val="1"/>
      <w:marLeft w:val="0"/>
      <w:marRight w:val="0"/>
      <w:marTop w:val="0"/>
      <w:marBottom w:val="0"/>
      <w:divBdr>
        <w:top w:val="none" w:sz="0" w:space="0" w:color="auto"/>
        <w:left w:val="none" w:sz="0" w:space="0" w:color="auto"/>
        <w:bottom w:val="none" w:sz="0" w:space="0" w:color="auto"/>
        <w:right w:val="none" w:sz="0" w:space="0" w:color="auto"/>
      </w:divBdr>
    </w:div>
    <w:div w:id="1249121111">
      <w:bodyDiv w:val="1"/>
      <w:marLeft w:val="0"/>
      <w:marRight w:val="0"/>
      <w:marTop w:val="0"/>
      <w:marBottom w:val="0"/>
      <w:divBdr>
        <w:top w:val="none" w:sz="0" w:space="0" w:color="auto"/>
        <w:left w:val="none" w:sz="0" w:space="0" w:color="auto"/>
        <w:bottom w:val="none" w:sz="0" w:space="0" w:color="auto"/>
        <w:right w:val="none" w:sz="0" w:space="0" w:color="auto"/>
      </w:divBdr>
    </w:div>
    <w:div w:id="1251082317">
      <w:bodyDiv w:val="1"/>
      <w:marLeft w:val="0"/>
      <w:marRight w:val="0"/>
      <w:marTop w:val="0"/>
      <w:marBottom w:val="0"/>
      <w:divBdr>
        <w:top w:val="none" w:sz="0" w:space="0" w:color="auto"/>
        <w:left w:val="none" w:sz="0" w:space="0" w:color="auto"/>
        <w:bottom w:val="none" w:sz="0" w:space="0" w:color="auto"/>
        <w:right w:val="none" w:sz="0" w:space="0" w:color="auto"/>
      </w:divBdr>
    </w:div>
    <w:div w:id="1251087422">
      <w:bodyDiv w:val="1"/>
      <w:marLeft w:val="0"/>
      <w:marRight w:val="0"/>
      <w:marTop w:val="0"/>
      <w:marBottom w:val="0"/>
      <w:divBdr>
        <w:top w:val="none" w:sz="0" w:space="0" w:color="auto"/>
        <w:left w:val="none" w:sz="0" w:space="0" w:color="auto"/>
        <w:bottom w:val="none" w:sz="0" w:space="0" w:color="auto"/>
        <w:right w:val="none" w:sz="0" w:space="0" w:color="auto"/>
      </w:divBdr>
    </w:div>
    <w:div w:id="1252396540">
      <w:bodyDiv w:val="1"/>
      <w:marLeft w:val="0"/>
      <w:marRight w:val="0"/>
      <w:marTop w:val="0"/>
      <w:marBottom w:val="0"/>
      <w:divBdr>
        <w:top w:val="none" w:sz="0" w:space="0" w:color="auto"/>
        <w:left w:val="none" w:sz="0" w:space="0" w:color="auto"/>
        <w:bottom w:val="none" w:sz="0" w:space="0" w:color="auto"/>
        <w:right w:val="none" w:sz="0" w:space="0" w:color="auto"/>
      </w:divBdr>
    </w:div>
    <w:div w:id="1253202843">
      <w:bodyDiv w:val="1"/>
      <w:marLeft w:val="0"/>
      <w:marRight w:val="0"/>
      <w:marTop w:val="0"/>
      <w:marBottom w:val="0"/>
      <w:divBdr>
        <w:top w:val="none" w:sz="0" w:space="0" w:color="auto"/>
        <w:left w:val="none" w:sz="0" w:space="0" w:color="auto"/>
        <w:bottom w:val="none" w:sz="0" w:space="0" w:color="auto"/>
        <w:right w:val="none" w:sz="0" w:space="0" w:color="auto"/>
      </w:divBdr>
      <w:divsChild>
        <w:div w:id="30963095">
          <w:marLeft w:val="0"/>
          <w:marRight w:val="0"/>
          <w:marTop w:val="0"/>
          <w:marBottom w:val="0"/>
          <w:divBdr>
            <w:top w:val="none" w:sz="0" w:space="0" w:color="auto"/>
            <w:left w:val="none" w:sz="0" w:space="0" w:color="auto"/>
            <w:bottom w:val="none" w:sz="0" w:space="0" w:color="auto"/>
            <w:right w:val="none" w:sz="0" w:space="0" w:color="auto"/>
          </w:divBdr>
          <w:divsChild>
            <w:div w:id="1105808816">
              <w:marLeft w:val="0"/>
              <w:marRight w:val="0"/>
              <w:marTop w:val="0"/>
              <w:marBottom w:val="0"/>
              <w:divBdr>
                <w:top w:val="none" w:sz="0" w:space="0" w:color="auto"/>
                <w:left w:val="none" w:sz="0" w:space="0" w:color="auto"/>
                <w:bottom w:val="none" w:sz="0" w:space="0" w:color="auto"/>
                <w:right w:val="none" w:sz="0" w:space="0" w:color="auto"/>
              </w:divBdr>
              <w:divsChild>
                <w:div w:id="1680817285">
                  <w:marLeft w:val="0"/>
                  <w:marRight w:val="0"/>
                  <w:marTop w:val="0"/>
                  <w:marBottom w:val="0"/>
                  <w:divBdr>
                    <w:top w:val="none" w:sz="0" w:space="0" w:color="auto"/>
                    <w:left w:val="none" w:sz="0" w:space="0" w:color="auto"/>
                    <w:bottom w:val="none" w:sz="0" w:space="0" w:color="auto"/>
                    <w:right w:val="none" w:sz="0" w:space="0" w:color="auto"/>
                  </w:divBdr>
                  <w:divsChild>
                    <w:div w:id="763258086">
                      <w:marLeft w:val="0"/>
                      <w:marRight w:val="0"/>
                      <w:marTop w:val="0"/>
                      <w:marBottom w:val="0"/>
                      <w:divBdr>
                        <w:top w:val="none" w:sz="0" w:space="0" w:color="auto"/>
                        <w:left w:val="none" w:sz="0" w:space="0" w:color="auto"/>
                        <w:bottom w:val="none" w:sz="0" w:space="0" w:color="auto"/>
                        <w:right w:val="none" w:sz="0" w:space="0" w:color="auto"/>
                      </w:divBdr>
                      <w:divsChild>
                        <w:div w:id="608514209">
                          <w:marLeft w:val="0"/>
                          <w:marRight w:val="0"/>
                          <w:marTop w:val="0"/>
                          <w:marBottom w:val="0"/>
                          <w:divBdr>
                            <w:top w:val="none" w:sz="0" w:space="0" w:color="auto"/>
                            <w:left w:val="none" w:sz="0" w:space="0" w:color="auto"/>
                            <w:bottom w:val="none" w:sz="0" w:space="0" w:color="auto"/>
                            <w:right w:val="none" w:sz="0" w:space="0" w:color="auto"/>
                          </w:divBdr>
                          <w:divsChild>
                            <w:div w:id="652560784">
                              <w:marLeft w:val="0"/>
                              <w:marRight w:val="0"/>
                              <w:marTop w:val="0"/>
                              <w:marBottom w:val="0"/>
                              <w:divBdr>
                                <w:top w:val="none" w:sz="0" w:space="0" w:color="auto"/>
                                <w:left w:val="none" w:sz="0" w:space="0" w:color="auto"/>
                                <w:bottom w:val="none" w:sz="0" w:space="0" w:color="auto"/>
                                <w:right w:val="none" w:sz="0" w:space="0" w:color="auto"/>
                              </w:divBdr>
                              <w:divsChild>
                                <w:div w:id="949315575">
                                  <w:marLeft w:val="0"/>
                                  <w:marRight w:val="0"/>
                                  <w:marTop w:val="0"/>
                                  <w:marBottom w:val="0"/>
                                  <w:divBdr>
                                    <w:top w:val="none" w:sz="0" w:space="0" w:color="auto"/>
                                    <w:left w:val="none" w:sz="0" w:space="0" w:color="auto"/>
                                    <w:bottom w:val="none" w:sz="0" w:space="0" w:color="auto"/>
                                    <w:right w:val="none" w:sz="0" w:space="0" w:color="auto"/>
                                  </w:divBdr>
                                  <w:divsChild>
                                    <w:div w:id="940337047">
                                      <w:marLeft w:val="0"/>
                                      <w:marRight w:val="0"/>
                                      <w:marTop w:val="0"/>
                                      <w:marBottom w:val="0"/>
                                      <w:divBdr>
                                        <w:top w:val="single" w:sz="4" w:space="0" w:color="F5F5F5"/>
                                        <w:left w:val="single" w:sz="4" w:space="0" w:color="F5F5F5"/>
                                        <w:bottom w:val="single" w:sz="4" w:space="0" w:color="F5F5F5"/>
                                        <w:right w:val="single" w:sz="4" w:space="0" w:color="F5F5F5"/>
                                      </w:divBdr>
                                      <w:divsChild>
                                        <w:div w:id="1951619680">
                                          <w:marLeft w:val="0"/>
                                          <w:marRight w:val="0"/>
                                          <w:marTop w:val="0"/>
                                          <w:marBottom w:val="0"/>
                                          <w:divBdr>
                                            <w:top w:val="none" w:sz="0" w:space="0" w:color="auto"/>
                                            <w:left w:val="none" w:sz="0" w:space="0" w:color="auto"/>
                                            <w:bottom w:val="none" w:sz="0" w:space="0" w:color="auto"/>
                                            <w:right w:val="none" w:sz="0" w:space="0" w:color="auto"/>
                                          </w:divBdr>
                                          <w:divsChild>
                                            <w:div w:id="5214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712699">
      <w:bodyDiv w:val="1"/>
      <w:marLeft w:val="0"/>
      <w:marRight w:val="0"/>
      <w:marTop w:val="0"/>
      <w:marBottom w:val="0"/>
      <w:divBdr>
        <w:top w:val="none" w:sz="0" w:space="0" w:color="auto"/>
        <w:left w:val="none" w:sz="0" w:space="0" w:color="auto"/>
        <w:bottom w:val="none" w:sz="0" w:space="0" w:color="auto"/>
        <w:right w:val="none" w:sz="0" w:space="0" w:color="auto"/>
      </w:divBdr>
    </w:div>
    <w:div w:id="1264219084">
      <w:bodyDiv w:val="1"/>
      <w:marLeft w:val="0"/>
      <w:marRight w:val="0"/>
      <w:marTop w:val="0"/>
      <w:marBottom w:val="0"/>
      <w:divBdr>
        <w:top w:val="none" w:sz="0" w:space="0" w:color="auto"/>
        <w:left w:val="none" w:sz="0" w:space="0" w:color="auto"/>
        <w:bottom w:val="none" w:sz="0" w:space="0" w:color="auto"/>
        <w:right w:val="none" w:sz="0" w:space="0" w:color="auto"/>
      </w:divBdr>
    </w:div>
    <w:div w:id="1265964458">
      <w:bodyDiv w:val="1"/>
      <w:marLeft w:val="0"/>
      <w:marRight w:val="0"/>
      <w:marTop w:val="0"/>
      <w:marBottom w:val="0"/>
      <w:divBdr>
        <w:top w:val="none" w:sz="0" w:space="0" w:color="auto"/>
        <w:left w:val="none" w:sz="0" w:space="0" w:color="auto"/>
        <w:bottom w:val="none" w:sz="0" w:space="0" w:color="auto"/>
        <w:right w:val="none" w:sz="0" w:space="0" w:color="auto"/>
      </w:divBdr>
    </w:div>
    <w:div w:id="1267351428">
      <w:bodyDiv w:val="1"/>
      <w:marLeft w:val="0"/>
      <w:marRight w:val="0"/>
      <w:marTop w:val="0"/>
      <w:marBottom w:val="0"/>
      <w:divBdr>
        <w:top w:val="none" w:sz="0" w:space="0" w:color="auto"/>
        <w:left w:val="none" w:sz="0" w:space="0" w:color="auto"/>
        <w:bottom w:val="none" w:sz="0" w:space="0" w:color="auto"/>
        <w:right w:val="none" w:sz="0" w:space="0" w:color="auto"/>
      </w:divBdr>
    </w:div>
    <w:div w:id="1269895228">
      <w:bodyDiv w:val="1"/>
      <w:marLeft w:val="0"/>
      <w:marRight w:val="0"/>
      <w:marTop w:val="0"/>
      <w:marBottom w:val="0"/>
      <w:divBdr>
        <w:top w:val="none" w:sz="0" w:space="0" w:color="auto"/>
        <w:left w:val="none" w:sz="0" w:space="0" w:color="auto"/>
        <w:bottom w:val="none" w:sz="0" w:space="0" w:color="auto"/>
        <w:right w:val="none" w:sz="0" w:space="0" w:color="auto"/>
      </w:divBdr>
    </w:div>
    <w:div w:id="1271426350">
      <w:bodyDiv w:val="1"/>
      <w:marLeft w:val="0"/>
      <w:marRight w:val="0"/>
      <w:marTop w:val="0"/>
      <w:marBottom w:val="0"/>
      <w:divBdr>
        <w:top w:val="none" w:sz="0" w:space="0" w:color="auto"/>
        <w:left w:val="none" w:sz="0" w:space="0" w:color="auto"/>
        <w:bottom w:val="none" w:sz="0" w:space="0" w:color="auto"/>
        <w:right w:val="none" w:sz="0" w:space="0" w:color="auto"/>
      </w:divBdr>
    </w:div>
    <w:div w:id="1275871326">
      <w:bodyDiv w:val="1"/>
      <w:marLeft w:val="0"/>
      <w:marRight w:val="0"/>
      <w:marTop w:val="0"/>
      <w:marBottom w:val="0"/>
      <w:divBdr>
        <w:top w:val="none" w:sz="0" w:space="0" w:color="auto"/>
        <w:left w:val="none" w:sz="0" w:space="0" w:color="auto"/>
        <w:bottom w:val="none" w:sz="0" w:space="0" w:color="auto"/>
        <w:right w:val="none" w:sz="0" w:space="0" w:color="auto"/>
      </w:divBdr>
    </w:div>
    <w:div w:id="1277105198">
      <w:bodyDiv w:val="1"/>
      <w:marLeft w:val="0"/>
      <w:marRight w:val="0"/>
      <w:marTop w:val="0"/>
      <w:marBottom w:val="0"/>
      <w:divBdr>
        <w:top w:val="none" w:sz="0" w:space="0" w:color="auto"/>
        <w:left w:val="none" w:sz="0" w:space="0" w:color="auto"/>
        <w:bottom w:val="none" w:sz="0" w:space="0" w:color="auto"/>
        <w:right w:val="none" w:sz="0" w:space="0" w:color="auto"/>
      </w:divBdr>
    </w:div>
    <w:div w:id="1282540036">
      <w:bodyDiv w:val="1"/>
      <w:marLeft w:val="0"/>
      <w:marRight w:val="0"/>
      <w:marTop w:val="0"/>
      <w:marBottom w:val="0"/>
      <w:divBdr>
        <w:top w:val="none" w:sz="0" w:space="0" w:color="auto"/>
        <w:left w:val="none" w:sz="0" w:space="0" w:color="auto"/>
        <w:bottom w:val="none" w:sz="0" w:space="0" w:color="auto"/>
        <w:right w:val="none" w:sz="0" w:space="0" w:color="auto"/>
      </w:divBdr>
    </w:div>
    <w:div w:id="1286539264">
      <w:bodyDiv w:val="1"/>
      <w:marLeft w:val="0"/>
      <w:marRight w:val="0"/>
      <w:marTop w:val="0"/>
      <w:marBottom w:val="0"/>
      <w:divBdr>
        <w:top w:val="none" w:sz="0" w:space="0" w:color="auto"/>
        <w:left w:val="none" w:sz="0" w:space="0" w:color="auto"/>
        <w:bottom w:val="none" w:sz="0" w:space="0" w:color="auto"/>
        <w:right w:val="none" w:sz="0" w:space="0" w:color="auto"/>
      </w:divBdr>
    </w:div>
    <w:div w:id="1288195427">
      <w:bodyDiv w:val="1"/>
      <w:marLeft w:val="0"/>
      <w:marRight w:val="0"/>
      <w:marTop w:val="0"/>
      <w:marBottom w:val="0"/>
      <w:divBdr>
        <w:top w:val="none" w:sz="0" w:space="0" w:color="auto"/>
        <w:left w:val="none" w:sz="0" w:space="0" w:color="auto"/>
        <w:bottom w:val="none" w:sz="0" w:space="0" w:color="auto"/>
        <w:right w:val="none" w:sz="0" w:space="0" w:color="auto"/>
      </w:divBdr>
    </w:div>
    <w:div w:id="1296059292">
      <w:bodyDiv w:val="1"/>
      <w:marLeft w:val="0"/>
      <w:marRight w:val="0"/>
      <w:marTop w:val="0"/>
      <w:marBottom w:val="0"/>
      <w:divBdr>
        <w:top w:val="none" w:sz="0" w:space="0" w:color="auto"/>
        <w:left w:val="none" w:sz="0" w:space="0" w:color="auto"/>
        <w:bottom w:val="none" w:sz="0" w:space="0" w:color="auto"/>
        <w:right w:val="none" w:sz="0" w:space="0" w:color="auto"/>
      </w:divBdr>
    </w:div>
    <w:div w:id="1296567210">
      <w:bodyDiv w:val="1"/>
      <w:marLeft w:val="0"/>
      <w:marRight w:val="0"/>
      <w:marTop w:val="0"/>
      <w:marBottom w:val="0"/>
      <w:divBdr>
        <w:top w:val="none" w:sz="0" w:space="0" w:color="auto"/>
        <w:left w:val="none" w:sz="0" w:space="0" w:color="auto"/>
        <w:bottom w:val="none" w:sz="0" w:space="0" w:color="auto"/>
        <w:right w:val="none" w:sz="0" w:space="0" w:color="auto"/>
      </w:divBdr>
    </w:div>
    <w:div w:id="1299604722">
      <w:bodyDiv w:val="1"/>
      <w:marLeft w:val="0"/>
      <w:marRight w:val="0"/>
      <w:marTop w:val="0"/>
      <w:marBottom w:val="0"/>
      <w:divBdr>
        <w:top w:val="none" w:sz="0" w:space="0" w:color="auto"/>
        <w:left w:val="none" w:sz="0" w:space="0" w:color="auto"/>
        <w:bottom w:val="none" w:sz="0" w:space="0" w:color="auto"/>
        <w:right w:val="none" w:sz="0" w:space="0" w:color="auto"/>
      </w:divBdr>
    </w:div>
    <w:div w:id="1300069630">
      <w:bodyDiv w:val="1"/>
      <w:marLeft w:val="0"/>
      <w:marRight w:val="0"/>
      <w:marTop w:val="0"/>
      <w:marBottom w:val="0"/>
      <w:divBdr>
        <w:top w:val="none" w:sz="0" w:space="0" w:color="auto"/>
        <w:left w:val="none" w:sz="0" w:space="0" w:color="auto"/>
        <w:bottom w:val="none" w:sz="0" w:space="0" w:color="auto"/>
        <w:right w:val="none" w:sz="0" w:space="0" w:color="auto"/>
      </w:divBdr>
    </w:div>
    <w:div w:id="1302077639">
      <w:bodyDiv w:val="1"/>
      <w:marLeft w:val="0"/>
      <w:marRight w:val="0"/>
      <w:marTop w:val="0"/>
      <w:marBottom w:val="0"/>
      <w:divBdr>
        <w:top w:val="none" w:sz="0" w:space="0" w:color="auto"/>
        <w:left w:val="none" w:sz="0" w:space="0" w:color="auto"/>
        <w:bottom w:val="none" w:sz="0" w:space="0" w:color="auto"/>
        <w:right w:val="none" w:sz="0" w:space="0" w:color="auto"/>
      </w:divBdr>
    </w:div>
    <w:div w:id="1303344021">
      <w:bodyDiv w:val="1"/>
      <w:marLeft w:val="0"/>
      <w:marRight w:val="0"/>
      <w:marTop w:val="0"/>
      <w:marBottom w:val="0"/>
      <w:divBdr>
        <w:top w:val="none" w:sz="0" w:space="0" w:color="auto"/>
        <w:left w:val="none" w:sz="0" w:space="0" w:color="auto"/>
        <w:bottom w:val="none" w:sz="0" w:space="0" w:color="auto"/>
        <w:right w:val="none" w:sz="0" w:space="0" w:color="auto"/>
      </w:divBdr>
    </w:div>
    <w:div w:id="1303463103">
      <w:bodyDiv w:val="1"/>
      <w:marLeft w:val="0"/>
      <w:marRight w:val="0"/>
      <w:marTop w:val="0"/>
      <w:marBottom w:val="0"/>
      <w:divBdr>
        <w:top w:val="none" w:sz="0" w:space="0" w:color="auto"/>
        <w:left w:val="none" w:sz="0" w:space="0" w:color="auto"/>
        <w:bottom w:val="none" w:sz="0" w:space="0" w:color="auto"/>
        <w:right w:val="none" w:sz="0" w:space="0" w:color="auto"/>
      </w:divBdr>
    </w:div>
    <w:div w:id="1309434791">
      <w:bodyDiv w:val="1"/>
      <w:marLeft w:val="0"/>
      <w:marRight w:val="0"/>
      <w:marTop w:val="0"/>
      <w:marBottom w:val="0"/>
      <w:divBdr>
        <w:top w:val="none" w:sz="0" w:space="0" w:color="auto"/>
        <w:left w:val="none" w:sz="0" w:space="0" w:color="auto"/>
        <w:bottom w:val="none" w:sz="0" w:space="0" w:color="auto"/>
        <w:right w:val="none" w:sz="0" w:space="0" w:color="auto"/>
      </w:divBdr>
    </w:div>
    <w:div w:id="1313875505">
      <w:bodyDiv w:val="1"/>
      <w:marLeft w:val="0"/>
      <w:marRight w:val="0"/>
      <w:marTop w:val="0"/>
      <w:marBottom w:val="0"/>
      <w:divBdr>
        <w:top w:val="none" w:sz="0" w:space="0" w:color="auto"/>
        <w:left w:val="none" w:sz="0" w:space="0" w:color="auto"/>
        <w:bottom w:val="none" w:sz="0" w:space="0" w:color="auto"/>
        <w:right w:val="none" w:sz="0" w:space="0" w:color="auto"/>
      </w:divBdr>
    </w:div>
    <w:div w:id="1314260902">
      <w:bodyDiv w:val="1"/>
      <w:marLeft w:val="0"/>
      <w:marRight w:val="0"/>
      <w:marTop w:val="0"/>
      <w:marBottom w:val="0"/>
      <w:divBdr>
        <w:top w:val="none" w:sz="0" w:space="0" w:color="auto"/>
        <w:left w:val="none" w:sz="0" w:space="0" w:color="auto"/>
        <w:bottom w:val="none" w:sz="0" w:space="0" w:color="auto"/>
        <w:right w:val="none" w:sz="0" w:space="0" w:color="auto"/>
      </w:divBdr>
    </w:div>
    <w:div w:id="1314875191">
      <w:bodyDiv w:val="1"/>
      <w:marLeft w:val="0"/>
      <w:marRight w:val="0"/>
      <w:marTop w:val="0"/>
      <w:marBottom w:val="0"/>
      <w:divBdr>
        <w:top w:val="none" w:sz="0" w:space="0" w:color="auto"/>
        <w:left w:val="none" w:sz="0" w:space="0" w:color="auto"/>
        <w:bottom w:val="none" w:sz="0" w:space="0" w:color="auto"/>
        <w:right w:val="none" w:sz="0" w:space="0" w:color="auto"/>
      </w:divBdr>
    </w:div>
    <w:div w:id="1317108878">
      <w:bodyDiv w:val="1"/>
      <w:marLeft w:val="0"/>
      <w:marRight w:val="0"/>
      <w:marTop w:val="0"/>
      <w:marBottom w:val="0"/>
      <w:divBdr>
        <w:top w:val="none" w:sz="0" w:space="0" w:color="auto"/>
        <w:left w:val="none" w:sz="0" w:space="0" w:color="auto"/>
        <w:bottom w:val="none" w:sz="0" w:space="0" w:color="auto"/>
        <w:right w:val="none" w:sz="0" w:space="0" w:color="auto"/>
      </w:divBdr>
    </w:div>
    <w:div w:id="1318798611">
      <w:bodyDiv w:val="1"/>
      <w:marLeft w:val="0"/>
      <w:marRight w:val="0"/>
      <w:marTop w:val="0"/>
      <w:marBottom w:val="0"/>
      <w:divBdr>
        <w:top w:val="none" w:sz="0" w:space="0" w:color="auto"/>
        <w:left w:val="none" w:sz="0" w:space="0" w:color="auto"/>
        <w:bottom w:val="none" w:sz="0" w:space="0" w:color="auto"/>
        <w:right w:val="none" w:sz="0" w:space="0" w:color="auto"/>
      </w:divBdr>
    </w:div>
    <w:div w:id="1319269805">
      <w:bodyDiv w:val="1"/>
      <w:marLeft w:val="0"/>
      <w:marRight w:val="0"/>
      <w:marTop w:val="0"/>
      <w:marBottom w:val="0"/>
      <w:divBdr>
        <w:top w:val="none" w:sz="0" w:space="0" w:color="auto"/>
        <w:left w:val="none" w:sz="0" w:space="0" w:color="auto"/>
        <w:bottom w:val="none" w:sz="0" w:space="0" w:color="auto"/>
        <w:right w:val="none" w:sz="0" w:space="0" w:color="auto"/>
      </w:divBdr>
    </w:div>
    <w:div w:id="1321694174">
      <w:bodyDiv w:val="1"/>
      <w:marLeft w:val="0"/>
      <w:marRight w:val="0"/>
      <w:marTop w:val="0"/>
      <w:marBottom w:val="0"/>
      <w:divBdr>
        <w:top w:val="none" w:sz="0" w:space="0" w:color="auto"/>
        <w:left w:val="none" w:sz="0" w:space="0" w:color="auto"/>
        <w:bottom w:val="none" w:sz="0" w:space="0" w:color="auto"/>
        <w:right w:val="none" w:sz="0" w:space="0" w:color="auto"/>
      </w:divBdr>
    </w:div>
    <w:div w:id="1325233565">
      <w:bodyDiv w:val="1"/>
      <w:marLeft w:val="0"/>
      <w:marRight w:val="0"/>
      <w:marTop w:val="0"/>
      <w:marBottom w:val="0"/>
      <w:divBdr>
        <w:top w:val="none" w:sz="0" w:space="0" w:color="auto"/>
        <w:left w:val="none" w:sz="0" w:space="0" w:color="auto"/>
        <w:bottom w:val="none" w:sz="0" w:space="0" w:color="auto"/>
        <w:right w:val="none" w:sz="0" w:space="0" w:color="auto"/>
      </w:divBdr>
    </w:div>
    <w:div w:id="1330869397">
      <w:bodyDiv w:val="1"/>
      <w:marLeft w:val="0"/>
      <w:marRight w:val="0"/>
      <w:marTop w:val="0"/>
      <w:marBottom w:val="0"/>
      <w:divBdr>
        <w:top w:val="none" w:sz="0" w:space="0" w:color="auto"/>
        <w:left w:val="none" w:sz="0" w:space="0" w:color="auto"/>
        <w:bottom w:val="none" w:sz="0" w:space="0" w:color="auto"/>
        <w:right w:val="none" w:sz="0" w:space="0" w:color="auto"/>
      </w:divBdr>
    </w:div>
    <w:div w:id="1331910618">
      <w:bodyDiv w:val="1"/>
      <w:marLeft w:val="0"/>
      <w:marRight w:val="0"/>
      <w:marTop w:val="0"/>
      <w:marBottom w:val="0"/>
      <w:divBdr>
        <w:top w:val="none" w:sz="0" w:space="0" w:color="auto"/>
        <w:left w:val="none" w:sz="0" w:space="0" w:color="auto"/>
        <w:bottom w:val="none" w:sz="0" w:space="0" w:color="auto"/>
        <w:right w:val="none" w:sz="0" w:space="0" w:color="auto"/>
      </w:divBdr>
    </w:div>
    <w:div w:id="1336375443">
      <w:bodyDiv w:val="1"/>
      <w:marLeft w:val="0"/>
      <w:marRight w:val="0"/>
      <w:marTop w:val="0"/>
      <w:marBottom w:val="0"/>
      <w:divBdr>
        <w:top w:val="none" w:sz="0" w:space="0" w:color="auto"/>
        <w:left w:val="none" w:sz="0" w:space="0" w:color="auto"/>
        <w:bottom w:val="none" w:sz="0" w:space="0" w:color="auto"/>
        <w:right w:val="none" w:sz="0" w:space="0" w:color="auto"/>
      </w:divBdr>
    </w:div>
    <w:div w:id="1336882817">
      <w:bodyDiv w:val="1"/>
      <w:marLeft w:val="0"/>
      <w:marRight w:val="0"/>
      <w:marTop w:val="0"/>
      <w:marBottom w:val="0"/>
      <w:divBdr>
        <w:top w:val="none" w:sz="0" w:space="0" w:color="auto"/>
        <w:left w:val="none" w:sz="0" w:space="0" w:color="auto"/>
        <w:bottom w:val="none" w:sz="0" w:space="0" w:color="auto"/>
        <w:right w:val="none" w:sz="0" w:space="0" w:color="auto"/>
      </w:divBdr>
    </w:div>
    <w:div w:id="1337657307">
      <w:bodyDiv w:val="1"/>
      <w:marLeft w:val="0"/>
      <w:marRight w:val="0"/>
      <w:marTop w:val="0"/>
      <w:marBottom w:val="0"/>
      <w:divBdr>
        <w:top w:val="none" w:sz="0" w:space="0" w:color="auto"/>
        <w:left w:val="none" w:sz="0" w:space="0" w:color="auto"/>
        <w:bottom w:val="none" w:sz="0" w:space="0" w:color="auto"/>
        <w:right w:val="none" w:sz="0" w:space="0" w:color="auto"/>
      </w:divBdr>
    </w:div>
    <w:div w:id="1346205612">
      <w:bodyDiv w:val="1"/>
      <w:marLeft w:val="0"/>
      <w:marRight w:val="0"/>
      <w:marTop w:val="0"/>
      <w:marBottom w:val="0"/>
      <w:divBdr>
        <w:top w:val="none" w:sz="0" w:space="0" w:color="auto"/>
        <w:left w:val="none" w:sz="0" w:space="0" w:color="auto"/>
        <w:bottom w:val="none" w:sz="0" w:space="0" w:color="auto"/>
        <w:right w:val="none" w:sz="0" w:space="0" w:color="auto"/>
      </w:divBdr>
    </w:div>
    <w:div w:id="1346831904">
      <w:bodyDiv w:val="1"/>
      <w:marLeft w:val="0"/>
      <w:marRight w:val="0"/>
      <w:marTop w:val="0"/>
      <w:marBottom w:val="0"/>
      <w:divBdr>
        <w:top w:val="none" w:sz="0" w:space="0" w:color="auto"/>
        <w:left w:val="none" w:sz="0" w:space="0" w:color="auto"/>
        <w:bottom w:val="none" w:sz="0" w:space="0" w:color="auto"/>
        <w:right w:val="none" w:sz="0" w:space="0" w:color="auto"/>
      </w:divBdr>
    </w:div>
    <w:div w:id="1347974936">
      <w:bodyDiv w:val="1"/>
      <w:marLeft w:val="0"/>
      <w:marRight w:val="0"/>
      <w:marTop w:val="0"/>
      <w:marBottom w:val="0"/>
      <w:divBdr>
        <w:top w:val="none" w:sz="0" w:space="0" w:color="auto"/>
        <w:left w:val="none" w:sz="0" w:space="0" w:color="auto"/>
        <w:bottom w:val="none" w:sz="0" w:space="0" w:color="auto"/>
        <w:right w:val="none" w:sz="0" w:space="0" w:color="auto"/>
      </w:divBdr>
    </w:div>
    <w:div w:id="1349795988">
      <w:bodyDiv w:val="1"/>
      <w:marLeft w:val="0"/>
      <w:marRight w:val="0"/>
      <w:marTop w:val="0"/>
      <w:marBottom w:val="0"/>
      <w:divBdr>
        <w:top w:val="none" w:sz="0" w:space="0" w:color="auto"/>
        <w:left w:val="none" w:sz="0" w:space="0" w:color="auto"/>
        <w:bottom w:val="none" w:sz="0" w:space="0" w:color="auto"/>
        <w:right w:val="none" w:sz="0" w:space="0" w:color="auto"/>
      </w:divBdr>
    </w:div>
    <w:div w:id="1351760932">
      <w:bodyDiv w:val="1"/>
      <w:marLeft w:val="0"/>
      <w:marRight w:val="0"/>
      <w:marTop w:val="0"/>
      <w:marBottom w:val="0"/>
      <w:divBdr>
        <w:top w:val="none" w:sz="0" w:space="0" w:color="auto"/>
        <w:left w:val="none" w:sz="0" w:space="0" w:color="auto"/>
        <w:bottom w:val="none" w:sz="0" w:space="0" w:color="auto"/>
        <w:right w:val="none" w:sz="0" w:space="0" w:color="auto"/>
      </w:divBdr>
    </w:div>
    <w:div w:id="1352295259">
      <w:bodyDiv w:val="1"/>
      <w:marLeft w:val="0"/>
      <w:marRight w:val="0"/>
      <w:marTop w:val="0"/>
      <w:marBottom w:val="0"/>
      <w:divBdr>
        <w:top w:val="none" w:sz="0" w:space="0" w:color="auto"/>
        <w:left w:val="none" w:sz="0" w:space="0" w:color="auto"/>
        <w:bottom w:val="none" w:sz="0" w:space="0" w:color="auto"/>
        <w:right w:val="none" w:sz="0" w:space="0" w:color="auto"/>
      </w:divBdr>
    </w:div>
    <w:div w:id="1354646745">
      <w:bodyDiv w:val="1"/>
      <w:marLeft w:val="0"/>
      <w:marRight w:val="0"/>
      <w:marTop w:val="0"/>
      <w:marBottom w:val="0"/>
      <w:divBdr>
        <w:top w:val="none" w:sz="0" w:space="0" w:color="auto"/>
        <w:left w:val="none" w:sz="0" w:space="0" w:color="auto"/>
        <w:bottom w:val="none" w:sz="0" w:space="0" w:color="auto"/>
        <w:right w:val="none" w:sz="0" w:space="0" w:color="auto"/>
      </w:divBdr>
    </w:div>
    <w:div w:id="1358697157">
      <w:bodyDiv w:val="1"/>
      <w:marLeft w:val="0"/>
      <w:marRight w:val="0"/>
      <w:marTop w:val="0"/>
      <w:marBottom w:val="0"/>
      <w:divBdr>
        <w:top w:val="none" w:sz="0" w:space="0" w:color="auto"/>
        <w:left w:val="none" w:sz="0" w:space="0" w:color="auto"/>
        <w:bottom w:val="none" w:sz="0" w:space="0" w:color="auto"/>
        <w:right w:val="none" w:sz="0" w:space="0" w:color="auto"/>
      </w:divBdr>
    </w:div>
    <w:div w:id="1366639268">
      <w:bodyDiv w:val="1"/>
      <w:marLeft w:val="0"/>
      <w:marRight w:val="0"/>
      <w:marTop w:val="0"/>
      <w:marBottom w:val="0"/>
      <w:divBdr>
        <w:top w:val="none" w:sz="0" w:space="0" w:color="auto"/>
        <w:left w:val="none" w:sz="0" w:space="0" w:color="auto"/>
        <w:bottom w:val="none" w:sz="0" w:space="0" w:color="auto"/>
        <w:right w:val="none" w:sz="0" w:space="0" w:color="auto"/>
      </w:divBdr>
    </w:div>
    <w:div w:id="1367802026">
      <w:bodyDiv w:val="1"/>
      <w:marLeft w:val="0"/>
      <w:marRight w:val="0"/>
      <w:marTop w:val="0"/>
      <w:marBottom w:val="0"/>
      <w:divBdr>
        <w:top w:val="none" w:sz="0" w:space="0" w:color="auto"/>
        <w:left w:val="none" w:sz="0" w:space="0" w:color="auto"/>
        <w:bottom w:val="none" w:sz="0" w:space="0" w:color="auto"/>
        <w:right w:val="none" w:sz="0" w:space="0" w:color="auto"/>
      </w:divBdr>
    </w:div>
    <w:div w:id="1369406106">
      <w:bodyDiv w:val="1"/>
      <w:marLeft w:val="0"/>
      <w:marRight w:val="0"/>
      <w:marTop w:val="0"/>
      <w:marBottom w:val="0"/>
      <w:divBdr>
        <w:top w:val="none" w:sz="0" w:space="0" w:color="auto"/>
        <w:left w:val="none" w:sz="0" w:space="0" w:color="auto"/>
        <w:bottom w:val="none" w:sz="0" w:space="0" w:color="auto"/>
        <w:right w:val="none" w:sz="0" w:space="0" w:color="auto"/>
      </w:divBdr>
    </w:div>
    <w:div w:id="1371104598">
      <w:bodyDiv w:val="1"/>
      <w:marLeft w:val="0"/>
      <w:marRight w:val="0"/>
      <w:marTop w:val="0"/>
      <w:marBottom w:val="0"/>
      <w:divBdr>
        <w:top w:val="none" w:sz="0" w:space="0" w:color="auto"/>
        <w:left w:val="none" w:sz="0" w:space="0" w:color="auto"/>
        <w:bottom w:val="none" w:sz="0" w:space="0" w:color="auto"/>
        <w:right w:val="none" w:sz="0" w:space="0" w:color="auto"/>
      </w:divBdr>
    </w:div>
    <w:div w:id="1373068788">
      <w:bodyDiv w:val="1"/>
      <w:marLeft w:val="0"/>
      <w:marRight w:val="0"/>
      <w:marTop w:val="0"/>
      <w:marBottom w:val="0"/>
      <w:divBdr>
        <w:top w:val="none" w:sz="0" w:space="0" w:color="auto"/>
        <w:left w:val="none" w:sz="0" w:space="0" w:color="auto"/>
        <w:bottom w:val="none" w:sz="0" w:space="0" w:color="auto"/>
        <w:right w:val="none" w:sz="0" w:space="0" w:color="auto"/>
      </w:divBdr>
    </w:div>
    <w:div w:id="1373338819">
      <w:bodyDiv w:val="1"/>
      <w:marLeft w:val="0"/>
      <w:marRight w:val="0"/>
      <w:marTop w:val="0"/>
      <w:marBottom w:val="0"/>
      <w:divBdr>
        <w:top w:val="none" w:sz="0" w:space="0" w:color="auto"/>
        <w:left w:val="none" w:sz="0" w:space="0" w:color="auto"/>
        <w:bottom w:val="none" w:sz="0" w:space="0" w:color="auto"/>
        <w:right w:val="none" w:sz="0" w:space="0" w:color="auto"/>
      </w:divBdr>
    </w:div>
    <w:div w:id="1376350296">
      <w:bodyDiv w:val="1"/>
      <w:marLeft w:val="0"/>
      <w:marRight w:val="0"/>
      <w:marTop w:val="0"/>
      <w:marBottom w:val="0"/>
      <w:divBdr>
        <w:top w:val="none" w:sz="0" w:space="0" w:color="auto"/>
        <w:left w:val="none" w:sz="0" w:space="0" w:color="auto"/>
        <w:bottom w:val="none" w:sz="0" w:space="0" w:color="auto"/>
        <w:right w:val="none" w:sz="0" w:space="0" w:color="auto"/>
      </w:divBdr>
    </w:div>
    <w:div w:id="1376546566">
      <w:bodyDiv w:val="1"/>
      <w:marLeft w:val="0"/>
      <w:marRight w:val="0"/>
      <w:marTop w:val="0"/>
      <w:marBottom w:val="0"/>
      <w:divBdr>
        <w:top w:val="none" w:sz="0" w:space="0" w:color="auto"/>
        <w:left w:val="none" w:sz="0" w:space="0" w:color="auto"/>
        <w:bottom w:val="none" w:sz="0" w:space="0" w:color="auto"/>
        <w:right w:val="none" w:sz="0" w:space="0" w:color="auto"/>
      </w:divBdr>
    </w:div>
    <w:div w:id="1380324082">
      <w:bodyDiv w:val="1"/>
      <w:marLeft w:val="0"/>
      <w:marRight w:val="0"/>
      <w:marTop w:val="0"/>
      <w:marBottom w:val="0"/>
      <w:divBdr>
        <w:top w:val="none" w:sz="0" w:space="0" w:color="auto"/>
        <w:left w:val="none" w:sz="0" w:space="0" w:color="auto"/>
        <w:bottom w:val="none" w:sz="0" w:space="0" w:color="auto"/>
        <w:right w:val="none" w:sz="0" w:space="0" w:color="auto"/>
      </w:divBdr>
    </w:div>
    <w:div w:id="1380663160">
      <w:bodyDiv w:val="1"/>
      <w:marLeft w:val="0"/>
      <w:marRight w:val="0"/>
      <w:marTop w:val="0"/>
      <w:marBottom w:val="0"/>
      <w:divBdr>
        <w:top w:val="none" w:sz="0" w:space="0" w:color="auto"/>
        <w:left w:val="none" w:sz="0" w:space="0" w:color="auto"/>
        <w:bottom w:val="none" w:sz="0" w:space="0" w:color="auto"/>
        <w:right w:val="none" w:sz="0" w:space="0" w:color="auto"/>
      </w:divBdr>
    </w:div>
    <w:div w:id="1381325048">
      <w:bodyDiv w:val="1"/>
      <w:marLeft w:val="0"/>
      <w:marRight w:val="0"/>
      <w:marTop w:val="0"/>
      <w:marBottom w:val="0"/>
      <w:divBdr>
        <w:top w:val="none" w:sz="0" w:space="0" w:color="auto"/>
        <w:left w:val="none" w:sz="0" w:space="0" w:color="auto"/>
        <w:bottom w:val="none" w:sz="0" w:space="0" w:color="auto"/>
        <w:right w:val="none" w:sz="0" w:space="0" w:color="auto"/>
      </w:divBdr>
    </w:div>
    <w:div w:id="1384866745">
      <w:bodyDiv w:val="1"/>
      <w:marLeft w:val="0"/>
      <w:marRight w:val="0"/>
      <w:marTop w:val="0"/>
      <w:marBottom w:val="0"/>
      <w:divBdr>
        <w:top w:val="none" w:sz="0" w:space="0" w:color="auto"/>
        <w:left w:val="none" w:sz="0" w:space="0" w:color="auto"/>
        <w:bottom w:val="none" w:sz="0" w:space="0" w:color="auto"/>
        <w:right w:val="none" w:sz="0" w:space="0" w:color="auto"/>
      </w:divBdr>
    </w:div>
    <w:div w:id="1385836357">
      <w:bodyDiv w:val="1"/>
      <w:marLeft w:val="0"/>
      <w:marRight w:val="0"/>
      <w:marTop w:val="0"/>
      <w:marBottom w:val="0"/>
      <w:divBdr>
        <w:top w:val="none" w:sz="0" w:space="0" w:color="auto"/>
        <w:left w:val="none" w:sz="0" w:space="0" w:color="auto"/>
        <w:bottom w:val="none" w:sz="0" w:space="0" w:color="auto"/>
        <w:right w:val="none" w:sz="0" w:space="0" w:color="auto"/>
      </w:divBdr>
    </w:div>
    <w:div w:id="1388407948">
      <w:bodyDiv w:val="1"/>
      <w:marLeft w:val="0"/>
      <w:marRight w:val="0"/>
      <w:marTop w:val="0"/>
      <w:marBottom w:val="0"/>
      <w:divBdr>
        <w:top w:val="none" w:sz="0" w:space="0" w:color="auto"/>
        <w:left w:val="none" w:sz="0" w:space="0" w:color="auto"/>
        <w:bottom w:val="none" w:sz="0" w:space="0" w:color="auto"/>
        <w:right w:val="none" w:sz="0" w:space="0" w:color="auto"/>
      </w:divBdr>
    </w:div>
    <w:div w:id="1392116249">
      <w:bodyDiv w:val="1"/>
      <w:marLeft w:val="0"/>
      <w:marRight w:val="0"/>
      <w:marTop w:val="0"/>
      <w:marBottom w:val="0"/>
      <w:divBdr>
        <w:top w:val="none" w:sz="0" w:space="0" w:color="auto"/>
        <w:left w:val="none" w:sz="0" w:space="0" w:color="auto"/>
        <w:bottom w:val="none" w:sz="0" w:space="0" w:color="auto"/>
        <w:right w:val="none" w:sz="0" w:space="0" w:color="auto"/>
      </w:divBdr>
    </w:div>
    <w:div w:id="1392462638">
      <w:bodyDiv w:val="1"/>
      <w:marLeft w:val="0"/>
      <w:marRight w:val="0"/>
      <w:marTop w:val="0"/>
      <w:marBottom w:val="0"/>
      <w:divBdr>
        <w:top w:val="none" w:sz="0" w:space="0" w:color="auto"/>
        <w:left w:val="none" w:sz="0" w:space="0" w:color="auto"/>
        <w:bottom w:val="none" w:sz="0" w:space="0" w:color="auto"/>
        <w:right w:val="none" w:sz="0" w:space="0" w:color="auto"/>
      </w:divBdr>
    </w:div>
    <w:div w:id="1397436184">
      <w:bodyDiv w:val="1"/>
      <w:marLeft w:val="0"/>
      <w:marRight w:val="0"/>
      <w:marTop w:val="0"/>
      <w:marBottom w:val="0"/>
      <w:divBdr>
        <w:top w:val="none" w:sz="0" w:space="0" w:color="auto"/>
        <w:left w:val="none" w:sz="0" w:space="0" w:color="auto"/>
        <w:bottom w:val="none" w:sz="0" w:space="0" w:color="auto"/>
        <w:right w:val="none" w:sz="0" w:space="0" w:color="auto"/>
      </w:divBdr>
    </w:div>
    <w:div w:id="1401175550">
      <w:bodyDiv w:val="1"/>
      <w:marLeft w:val="0"/>
      <w:marRight w:val="0"/>
      <w:marTop w:val="0"/>
      <w:marBottom w:val="0"/>
      <w:divBdr>
        <w:top w:val="none" w:sz="0" w:space="0" w:color="auto"/>
        <w:left w:val="none" w:sz="0" w:space="0" w:color="auto"/>
        <w:bottom w:val="none" w:sz="0" w:space="0" w:color="auto"/>
        <w:right w:val="none" w:sz="0" w:space="0" w:color="auto"/>
      </w:divBdr>
    </w:div>
    <w:div w:id="1402602719">
      <w:bodyDiv w:val="1"/>
      <w:marLeft w:val="0"/>
      <w:marRight w:val="0"/>
      <w:marTop w:val="0"/>
      <w:marBottom w:val="0"/>
      <w:divBdr>
        <w:top w:val="none" w:sz="0" w:space="0" w:color="auto"/>
        <w:left w:val="none" w:sz="0" w:space="0" w:color="auto"/>
        <w:bottom w:val="none" w:sz="0" w:space="0" w:color="auto"/>
        <w:right w:val="none" w:sz="0" w:space="0" w:color="auto"/>
      </w:divBdr>
    </w:div>
    <w:div w:id="1403018317">
      <w:bodyDiv w:val="1"/>
      <w:marLeft w:val="0"/>
      <w:marRight w:val="0"/>
      <w:marTop w:val="0"/>
      <w:marBottom w:val="0"/>
      <w:divBdr>
        <w:top w:val="none" w:sz="0" w:space="0" w:color="auto"/>
        <w:left w:val="none" w:sz="0" w:space="0" w:color="auto"/>
        <w:bottom w:val="none" w:sz="0" w:space="0" w:color="auto"/>
        <w:right w:val="none" w:sz="0" w:space="0" w:color="auto"/>
      </w:divBdr>
    </w:div>
    <w:div w:id="1403061852">
      <w:bodyDiv w:val="1"/>
      <w:marLeft w:val="0"/>
      <w:marRight w:val="0"/>
      <w:marTop w:val="0"/>
      <w:marBottom w:val="0"/>
      <w:divBdr>
        <w:top w:val="none" w:sz="0" w:space="0" w:color="auto"/>
        <w:left w:val="none" w:sz="0" w:space="0" w:color="auto"/>
        <w:bottom w:val="none" w:sz="0" w:space="0" w:color="auto"/>
        <w:right w:val="none" w:sz="0" w:space="0" w:color="auto"/>
      </w:divBdr>
    </w:div>
    <w:div w:id="1405028424">
      <w:bodyDiv w:val="1"/>
      <w:marLeft w:val="0"/>
      <w:marRight w:val="0"/>
      <w:marTop w:val="0"/>
      <w:marBottom w:val="0"/>
      <w:divBdr>
        <w:top w:val="none" w:sz="0" w:space="0" w:color="auto"/>
        <w:left w:val="none" w:sz="0" w:space="0" w:color="auto"/>
        <w:bottom w:val="none" w:sz="0" w:space="0" w:color="auto"/>
        <w:right w:val="none" w:sz="0" w:space="0" w:color="auto"/>
      </w:divBdr>
    </w:div>
    <w:div w:id="1407537212">
      <w:bodyDiv w:val="1"/>
      <w:marLeft w:val="0"/>
      <w:marRight w:val="0"/>
      <w:marTop w:val="0"/>
      <w:marBottom w:val="0"/>
      <w:divBdr>
        <w:top w:val="none" w:sz="0" w:space="0" w:color="auto"/>
        <w:left w:val="none" w:sz="0" w:space="0" w:color="auto"/>
        <w:bottom w:val="none" w:sz="0" w:space="0" w:color="auto"/>
        <w:right w:val="none" w:sz="0" w:space="0" w:color="auto"/>
      </w:divBdr>
    </w:div>
    <w:div w:id="1407610170">
      <w:bodyDiv w:val="1"/>
      <w:marLeft w:val="0"/>
      <w:marRight w:val="0"/>
      <w:marTop w:val="0"/>
      <w:marBottom w:val="0"/>
      <w:divBdr>
        <w:top w:val="none" w:sz="0" w:space="0" w:color="auto"/>
        <w:left w:val="none" w:sz="0" w:space="0" w:color="auto"/>
        <w:bottom w:val="none" w:sz="0" w:space="0" w:color="auto"/>
        <w:right w:val="none" w:sz="0" w:space="0" w:color="auto"/>
      </w:divBdr>
    </w:div>
    <w:div w:id="1407651958">
      <w:bodyDiv w:val="1"/>
      <w:marLeft w:val="0"/>
      <w:marRight w:val="0"/>
      <w:marTop w:val="0"/>
      <w:marBottom w:val="0"/>
      <w:divBdr>
        <w:top w:val="none" w:sz="0" w:space="0" w:color="auto"/>
        <w:left w:val="none" w:sz="0" w:space="0" w:color="auto"/>
        <w:bottom w:val="none" w:sz="0" w:space="0" w:color="auto"/>
        <w:right w:val="none" w:sz="0" w:space="0" w:color="auto"/>
      </w:divBdr>
    </w:div>
    <w:div w:id="1410887639">
      <w:bodyDiv w:val="1"/>
      <w:marLeft w:val="0"/>
      <w:marRight w:val="0"/>
      <w:marTop w:val="0"/>
      <w:marBottom w:val="0"/>
      <w:divBdr>
        <w:top w:val="none" w:sz="0" w:space="0" w:color="auto"/>
        <w:left w:val="none" w:sz="0" w:space="0" w:color="auto"/>
        <w:bottom w:val="none" w:sz="0" w:space="0" w:color="auto"/>
        <w:right w:val="none" w:sz="0" w:space="0" w:color="auto"/>
      </w:divBdr>
    </w:div>
    <w:div w:id="1411347587">
      <w:bodyDiv w:val="1"/>
      <w:marLeft w:val="0"/>
      <w:marRight w:val="0"/>
      <w:marTop w:val="0"/>
      <w:marBottom w:val="0"/>
      <w:divBdr>
        <w:top w:val="none" w:sz="0" w:space="0" w:color="auto"/>
        <w:left w:val="none" w:sz="0" w:space="0" w:color="auto"/>
        <w:bottom w:val="none" w:sz="0" w:space="0" w:color="auto"/>
        <w:right w:val="none" w:sz="0" w:space="0" w:color="auto"/>
      </w:divBdr>
    </w:div>
    <w:div w:id="1415665657">
      <w:bodyDiv w:val="1"/>
      <w:marLeft w:val="0"/>
      <w:marRight w:val="0"/>
      <w:marTop w:val="0"/>
      <w:marBottom w:val="0"/>
      <w:divBdr>
        <w:top w:val="none" w:sz="0" w:space="0" w:color="auto"/>
        <w:left w:val="none" w:sz="0" w:space="0" w:color="auto"/>
        <w:bottom w:val="none" w:sz="0" w:space="0" w:color="auto"/>
        <w:right w:val="none" w:sz="0" w:space="0" w:color="auto"/>
      </w:divBdr>
    </w:div>
    <w:div w:id="1415975238">
      <w:bodyDiv w:val="1"/>
      <w:marLeft w:val="0"/>
      <w:marRight w:val="0"/>
      <w:marTop w:val="0"/>
      <w:marBottom w:val="0"/>
      <w:divBdr>
        <w:top w:val="none" w:sz="0" w:space="0" w:color="auto"/>
        <w:left w:val="none" w:sz="0" w:space="0" w:color="auto"/>
        <w:bottom w:val="none" w:sz="0" w:space="0" w:color="auto"/>
        <w:right w:val="none" w:sz="0" w:space="0" w:color="auto"/>
      </w:divBdr>
    </w:div>
    <w:div w:id="1416634790">
      <w:bodyDiv w:val="1"/>
      <w:marLeft w:val="0"/>
      <w:marRight w:val="0"/>
      <w:marTop w:val="0"/>
      <w:marBottom w:val="0"/>
      <w:divBdr>
        <w:top w:val="none" w:sz="0" w:space="0" w:color="auto"/>
        <w:left w:val="none" w:sz="0" w:space="0" w:color="auto"/>
        <w:bottom w:val="none" w:sz="0" w:space="0" w:color="auto"/>
        <w:right w:val="none" w:sz="0" w:space="0" w:color="auto"/>
      </w:divBdr>
    </w:div>
    <w:div w:id="1416898588">
      <w:bodyDiv w:val="1"/>
      <w:marLeft w:val="0"/>
      <w:marRight w:val="0"/>
      <w:marTop w:val="0"/>
      <w:marBottom w:val="0"/>
      <w:divBdr>
        <w:top w:val="none" w:sz="0" w:space="0" w:color="auto"/>
        <w:left w:val="none" w:sz="0" w:space="0" w:color="auto"/>
        <w:bottom w:val="none" w:sz="0" w:space="0" w:color="auto"/>
        <w:right w:val="none" w:sz="0" w:space="0" w:color="auto"/>
      </w:divBdr>
    </w:div>
    <w:div w:id="1419474100">
      <w:bodyDiv w:val="1"/>
      <w:marLeft w:val="0"/>
      <w:marRight w:val="0"/>
      <w:marTop w:val="0"/>
      <w:marBottom w:val="0"/>
      <w:divBdr>
        <w:top w:val="none" w:sz="0" w:space="0" w:color="auto"/>
        <w:left w:val="none" w:sz="0" w:space="0" w:color="auto"/>
        <w:bottom w:val="none" w:sz="0" w:space="0" w:color="auto"/>
        <w:right w:val="none" w:sz="0" w:space="0" w:color="auto"/>
      </w:divBdr>
    </w:div>
    <w:div w:id="1424456178">
      <w:bodyDiv w:val="1"/>
      <w:marLeft w:val="0"/>
      <w:marRight w:val="0"/>
      <w:marTop w:val="0"/>
      <w:marBottom w:val="0"/>
      <w:divBdr>
        <w:top w:val="none" w:sz="0" w:space="0" w:color="auto"/>
        <w:left w:val="none" w:sz="0" w:space="0" w:color="auto"/>
        <w:bottom w:val="none" w:sz="0" w:space="0" w:color="auto"/>
        <w:right w:val="none" w:sz="0" w:space="0" w:color="auto"/>
      </w:divBdr>
    </w:div>
    <w:div w:id="1428426792">
      <w:bodyDiv w:val="1"/>
      <w:marLeft w:val="0"/>
      <w:marRight w:val="0"/>
      <w:marTop w:val="0"/>
      <w:marBottom w:val="0"/>
      <w:divBdr>
        <w:top w:val="none" w:sz="0" w:space="0" w:color="auto"/>
        <w:left w:val="none" w:sz="0" w:space="0" w:color="auto"/>
        <w:bottom w:val="none" w:sz="0" w:space="0" w:color="auto"/>
        <w:right w:val="none" w:sz="0" w:space="0" w:color="auto"/>
      </w:divBdr>
    </w:div>
    <w:div w:id="1430199005">
      <w:bodyDiv w:val="1"/>
      <w:marLeft w:val="0"/>
      <w:marRight w:val="0"/>
      <w:marTop w:val="0"/>
      <w:marBottom w:val="0"/>
      <w:divBdr>
        <w:top w:val="none" w:sz="0" w:space="0" w:color="auto"/>
        <w:left w:val="none" w:sz="0" w:space="0" w:color="auto"/>
        <w:bottom w:val="none" w:sz="0" w:space="0" w:color="auto"/>
        <w:right w:val="none" w:sz="0" w:space="0" w:color="auto"/>
      </w:divBdr>
    </w:div>
    <w:div w:id="1431048985">
      <w:bodyDiv w:val="1"/>
      <w:marLeft w:val="0"/>
      <w:marRight w:val="0"/>
      <w:marTop w:val="0"/>
      <w:marBottom w:val="0"/>
      <w:divBdr>
        <w:top w:val="none" w:sz="0" w:space="0" w:color="auto"/>
        <w:left w:val="none" w:sz="0" w:space="0" w:color="auto"/>
        <w:bottom w:val="none" w:sz="0" w:space="0" w:color="auto"/>
        <w:right w:val="none" w:sz="0" w:space="0" w:color="auto"/>
      </w:divBdr>
    </w:div>
    <w:div w:id="1431051277">
      <w:bodyDiv w:val="1"/>
      <w:marLeft w:val="0"/>
      <w:marRight w:val="0"/>
      <w:marTop w:val="0"/>
      <w:marBottom w:val="0"/>
      <w:divBdr>
        <w:top w:val="none" w:sz="0" w:space="0" w:color="auto"/>
        <w:left w:val="none" w:sz="0" w:space="0" w:color="auto"/>
        <w:bottom w:val="none" w:sz="0" w:space="0" w:color="auto"/>
        <w:right w:val="none" w:sz="0" w:space="0" w:color="auto"/>
      </w:divBdr>
    </w:div>
    <w:div w:id="1432583378">
      <w:bodyDiv w:val="1"/>
      <w:marLeft w:val="0"/>
      <w:marRight w:val="0"/>
      <w:marTop w:val="0"/>
      <w:marBottom w:val="0"/>
      <w:divBdr>
        <w:top w:val="none" w:sz="0" w:space="0" w:color="auto"/>
        <w:left w:val="none" w:sz="0" w:space="0" w:color="auto"/>
        <w:bottom w:val="none" w:sz="0" w:space="0" w:color="auto"/>
        <w:right w:val="none" w:sz="0" w:space="0" w:color="auto"/>
      </w:divBdr>
    </w:div>
    <w:div w:id="1433621298">
      <w:bodyDiv w:val="1"/>
      <w:marLeft w:val="0"/>
      <w:marRight w:val="0"/>
      <w:marTop w:val="0"/>
      <w:marBottom w:val="0"/>
      <w:divBdr>
        <w:top w:val="none" w:sz="0" w:space="0" w:color="auto"/>
        <w:left w:val="none" w:sz="0" w:space="0" w:color="auto"/>
        <w:bottom w:val="none" w:sz="0" w:space="0" w:color="auto"/>
        <w:right w:val="none" w:sz="0" w:space="0" w:color="auto"/>
      </w:divBdr>
    </w:div>
    <w:div w:id="1434470689">
      <w:bodyDiv w:val="1"/>
      <w:marLeft w:val="0"/>
      <w:marRight w:val="0"/>
      <w:marTop w:val="0"/>
      <w:marBottom w:val="0"/>
      <w:divBdr>
        <w:top w:val="none" w:sz="0" w:space="0" w:color="auto"/>
        <w:left w:val="none" w:sz="0" w:space="0" w:color="auto"/>
        <w:bottom w:val="none" w:sz="0" w:space="0" w:color="auto"/>
        <w:right w:val="none" w:sz="0" w:space="0" w:color="auto"/>
      </w:divBdr>
    </w:div>
    <w:div w:id="1436711229">
      <w:bodyDiv w:val="1"/>
      <w:marLeft w:val="0"/>
      <w:marRight w:val="0"/>
      <w:marTop w:val="0"/>
      <w:marBottom w:val="0"/>
      <w:divBdr>
        <w:top w:val="none" w:sz="0" w:space="0" w:color="auto"/>
        <w:left w:val="none" w:sz="0" w:space="0" w:color="auto"/>
        <w:bottom w:val="none" w:sz="0" w:space="0" w:color="auto"/>
        <w:right w:val="none" w:sz="0" w:space="0" w:color="auto"/>
      </w:divBdr>
    </w:div>
    <w:div w:id="1438988736">
      <w:bodyDiv w:val="1"/>
      <w:marLeft w:val="0"/>
      <w:marRight w:val="0"/>
      <w:marTop w:val="0"/>
      <w:marBottom w:val="0"/>
      <w:divBdr>
        <w:top w:val="none" w:sz="0" w:space="0" w:color="auto"/>
        <w:left w:val="none" w:sz="0" w:space="0" w:color="auto"/>
        <w:bottom w:val="none" w:sz="0" w:space="0" w:color="auto"/>
        <w:right w:val="none" w:sz="0" w:space="0" w:color="auto"/>
      </w:divBdr>
    </w:div>
    <w:div w:id="1448617168">
      <w:bodyDiv w:val="1"/>
      <w:marLeft w:val="0"/>
      <w:marRight w:val="0"/>
      <w:marTop w:val="0"/>
      <w:marBottom w:val="0"/>
      <w:divBdr>
        <w:top w:val="none" w:sz="0" w:space="0" w:color="auto"/>
        <w:left w:val="none" w:sz="0" w:space="0" w:color="auto"/>
        <w:bottom w:val="none" w:sz="0" w:space="0" w:color="auto"/>
        <w:right w:val="none" w:sz="0" w:space="0" w:color="auto"/>
      </w:divBdr>
    </w:div>
    <w:div w:id="1449474477">
      <w:bodyDiv w:val="1"/>
      <w:marLeft w:val="0"/>
      <w:marRight w:val="0"/>
      <w:marTop w:val="0"/>
      <w:marBottom w:val="0"/>
      <w:divBdr>
        <w:top w:val="none" w:sz="0" w:space="0" w:color="auto"/>
        <w:left w:val="none" w:sz="0" w:space="0" w:color="auto"/>
        <w:bottom w:val="none" w:sz="0" w:space="0" w:color="auto"/>
        <w:right w:val="none" w:sz="0" w:space="0" w:color="auto"/>
      </w:divBdr>
    </w:div>
    <w:div w:id="1452431846">
      <w:bodyDiv w:val="1"/>
      <w:marLeft w:val="0"/>
      <w:marRight w:val="0"/>
      <w:marTop w:val="0"/>
      <w:marBottom w:val="0"/>
      <w:divBdr>
        <w:top w:val="none" w:sz="0" w:space="0" w:color="auto"/>
        <w:left w:val="none" w:sz="0" w:space="0" w:color="auto"/>
        <w:bottom w:val="none" w:sz="0" w:space="0" w:color="auto"/>
        <w:right w:val="none" w:sz="0" w:space="0" w:color="auto"/>
      </w:divBdr>
    </w:div>
    <w:div w:id="1452750675">
      <w:bodyDiv w:val="1"/>
      <w:marLeft w:val="0"/>
      <w:marRight w:val="0"/>
      <w:marTop w:val="0"/>
      <w:marBottom w:val="0"/>
      <w:divBdr>
        <w:top w:val="none" w:sz="0" w:space="0" w:color="auto"/>
        <w:left w:val="none" w:sz="0" w:space="0" w:color="auto"/>
        <w:bottom w:val="none" w:sz="0" w:space="0" w:color="auto"/>
        <w:right w:val="none" w:sz="0" w:space="0" w:color="auto"/>
      </w:divBdr>
    </w:div>
    <w:div w:id="1455293707">
      <w:bodyDiv w:val="1"/>
      <w:marLeft w:val="0"/>
      <w:marRight w:val="0"/>
      <w:marTop w:val="0"/>
      <w:marBottom w:val="0"/>
      <w:divBdr>
        <w:top w:val="none" w:sz="0" w:space="0" w:color="auto"/>
        <w:left w:val="none" w:sz="0" w:space="0" w:color="auto"/>
        <w:bottom w:val="none" w:sz="0" w:space="0" w:color="auto"/>
        <w:right w:val="none" w:sz="0" w:space="0" w:color="auto"/>
      </w:divBdr>
    </w:div>
    <w:div w:id="1462260595">
      <w:bodyDiv w:val="1"/>
      <w:marLeft w:val="0"/>
      <w:marRight w:val="0"/>
      <w:marTop w:val="0"/>
      <w:marBottom w:val="0"/>
      <w:divBdr>
        <w:top w:val="none" w:sz="0" w:space="0" w:color="auto"/>
        <w:left w:val="none" w:sz="0" w:space="0" w:color="auto"/>
        <w:bottom w:val="none" w:sz="0" w:space="0" w:color="auto"/>
        <w:right w:val="none" w:sz="0" w:space="0" w:color="auto"/>
      </w:divBdr>
    </w:div>
    <w:div w:id="1464929904">
      <w:bodyDiv w:val="1"/>
      <w:marLeft w:val="0"/>
      <w:marRight w:val="0"/>
      <w:marTop w:val="0"/>
      <w:marBottom w:val="0"/>
      <w:divBdr>
        <w:top w:val="none" w:sz="0" w:space="0" w:color="auto"/>
        <w:left w:val="none" w:sz="0" w:space="0" w:color="auto"/>
        <w:bottom w:val="none" w:sz="0" w:space="0" w:color="auto"/>
        <w:right w:val="none" w:sz="0" w:space="0" w:color="auto"/>
      </w:divBdr>
    </w:div>
    <w:div w:id="1467622558">
      <w:bodyDiv w:val="1"/>
      <w:marLeft w:val="0"/>
      <w:marRight w:val="0"/>
      <w:marTop w:val="0"/>
      <w:marBottom w:val="0"/>
      <w:divBdr>
        <w:top w:val="none" w:sz="0" w:space="0" w:color="auto"/>
        <w:left w:val="none" w:sz="0" w:space="0" w:color="auto"/>
        <w:bottom w:val="none" w:sz="0" w:space="0" w:color="auto"/>
        <w:right w:val="none" w:sz="0" w:space="0" w:color="auto"/>
      </w:divBdr>
    </w:div>
    <w:div w:id="1468470614">
      <w:bodyDiv w:val="1"/>
      <w:marLeft w:val="0"/>
      <w:marRight w:val="0"/>
      <w:marTop w:val="0"/>
      <w:marBottom w:val="0"/>
      <w:divBdr>
        <w:top w:val="none" w:sz="0" w:space="0" w:color="auto"/>
        <w:left w:val="none" w:sz="0" w:space="0" w:color="auto"/>
        <w:bottom w:val="none" w:sz="0" w:space="0" w:color="auto"/>
        <w:right w:val="none" w:sz="0" w:space="0" w:color="auto"/>
      </w:divBdr>
    </w:div>
    <w:div w:id="1468815295">
      <w:bodyDiv w:val="1"/>
      <w:marLeft w:val="0"/>
      <w:marRight w:val="0"/>
      <w:marTop w:val="0"/>
      <w:marBottom w:val="0"/>
      <w:divBdr>
        <w:top w:val="none" w:sz="0" w:space="0" w:color="auto"/>
        <w:left w:val="none" w:sz="0" w:space="0" w:color="auto"/>
        <w:bottom w:val="none" w:sz="0" w:space="0" w:color="auto"/>
        <w:right w:val="none" w:sz="0" w:space="0" w:color="auto"/>
      </w:divBdr>
    </w:div>
    <w:div w:id="1471480176">
      <w:bodyDiv w:val="1"/>
      <w:marLeft w:val="0"/>
      <w:marRight w:val="0"/>
      <w:marTop w:val="0"/>
      <w:marBottom w:val="0"/>
      <w:divBdr>
        <w:top w:val="none" w:sz="0" w:space="0" w:color="auto"/>
        <w:left w:val="none" w:sz="0" w:space="0" w:color="auto"/>
        <w:bottom w:val="none" w:sz="0" w:space="0" w:color="auto"/>
        <w:right w:val="none" w:sz="0" w:space="0" w:color="auto"/>
      </w:divBdr>
    </w:div>
    <w:div w:id="1472095448">
      <w:bodyDiv w:val="1"/>
      <w:marLeft w:val="0"/>
      <w:marRight w:val="0"/>
      <w:marTop w:val="0"/>
      <w:marBottom w:val="0"/>
      <w:divBdr>
        <w:top w:val="none" w:sz="0" w:space="0" w:color="auto"/>
        <w:left w:val="none" w:sz="0" w:space="0" w:color="auto"/>
        <w:bottom w:val="none" w:sz="0" w:space="0" w:color="auto"/>
        <w:right w:val="none" w:sz="0" w:space="0" w:color="auto"/>
      </w:divBdr>
    </w:div>
    <w:div w:id="1472404898">
      <w:bodyDiv w:val="1"/>
      <w:marLeft w:val="0"/>
      <w:marRight w:val="0"/>
      <w:marTop w:val="0"/>
      <w:marBottom w:val="0"/>
      <w:divBdr>
        <w:top w:val="none" w:sz="0" w:space="0" w:color="auto"/>
        <w:left w:val="none" w:sz="0" w:space="0" w:color="auto"/>
        <w:bottom w:val="none" w:sz="0" w:space="0" w:color="auto"/>
        <w:right w:val="none" w:sz="0" w:space="0" w:color="auto"/>
      </w:divBdr>
    </w:div>
    <w:div w:id="1475415846">
      <w:bodyDiv w:val="1"/>
      <w:marLeft w:val="0"/>
      <w:marRight w:val="0"/>
      <w:marTop w:val="0"/>
      <w:marBottom w:val="0"/>
      <w:divBdr>
        <w:top w:val="none" w:sz="0" w:space="0" w:color="auto"/>
        <w:left w:val="none" w:sz="0" w:space="0" w:color="auto"/>
        <w:bottom w:val="none" w:sz="0" w:space="0" w:color="auto"/>
        <w:right w:val="none" w:sz="0" w:space="0" w:color="auto"/>
      </w:divBdr>
    </w:div>
    <w:div w:id="1475558212">
      <w:bodyDiv w:val="1"/>
      <w:marLeft w:val="0"/>
      <w:marRight w:val="0"/>
      <w:marTop w:val="0"/>
      <w:marBottom w:val="0"/>
      <w:divBdr>
        <w:top w:val="none" w:sz="0" w:space="0" w:color="auto"/>
        <w:left w:val="none" w:sz="0" w:space="0" w:color="auto"/>
        <w:bottom w:val="none" w:sz="0" w:space="0" w:color="auto"/>
        <w:right w:val="none" w:sz="0" w:space="0" w:color="auto"/>
      </w:divBdr>
    </w:div>
    <w:div w:id="1487016467">
      <w:bodyDiv w:val="1"/>
      <w:marLeft w:val="0"/>
      <w:marRight w:val="0"/>
      <w:marTop w:val="0"/>
      <w:marBottom w:val="0"/>
      <w:divBdr>
        <w:top w:val="none" w:sz="0" w:space="0" w:color="auto"/>
        <w:left w:val="none" w:sz="0" w:space="0" w:color="auto"/>
        <w:bottom w:val="none" w:sz="0" w:space="0" w:color="auto"/>
        <w:right w:val="none" w:sz="0" w:space="0" w:color="auto"/>
      </w:divBdr>
    </w:div>
    <w:div w:id="1487354703">
      <w:bodyDiv w:val="1"/>
      <w:marLeft w:val="0"/>
      <w:marRight w:val="0"/>
      <w:marTop w:val="0"/>
      <w:marBottom w:val="0"/>
      <w:divBdr>
        <w:top w:val="none" w:sz="0" w:space="0" w:color="auto"/>
        <w:left w:val="none" w:sz="0" w:space="0" w:color="auto"/>
        <w:bottom w:val="none" w:sz="0" w:space="0" w:color="auto"/>
        <w:right w:val="none" w:sz="0" w:space="0" w:color="auto"/>
      </w:divBdr>
    </w:div>
    <w:div w:id="1489176231">
      <w:bodyDiv w:val="1"/>
      <w:marLeft w:val="0"/>
      <w:marRight w:val="0"/>
      <w:marTop w:val="0"/>
      <w:marBottom w:val="0"/>
      <w:divBdr>
        <w:top w:val="none" w:sz="0" w:space="0" w:color="auto"/>
        <w:left w:val="none" w:sz="0" w:space="0" w:color="auto"/>
        <w:bottom w:val="none" w:sz="0" w:space="0" w:color="auto"/>
        <w:right w:val="none" w:sz="0" w:space="0" w:color="auto"/>
      </w:divBdr>
    </w:div>
    <w:div w:id="1490292683">
      <w:bodyDiv w:val="1"/>
      <w:marLeft w:val="0"/>
      <w:marRight w:val="0"/>
      <w:marTop w:val="0"/>
      <w:marBottom w:val="0"/>
      <w:divBdr>
        <w:top w:val="none" w:sz="0" w:space="0" w:color="auto"/>
        <w:left w:val="none" w:sz="0" w:space="0" w:color="auto"/>
        <w:bottom w:val="none" w:sz="0" w:space="0" w:color="auto"/>
        <w:right w:val="none" w:sz="0" w:space="0" w:color="auto"/>
      </w:divBdr>
    </w:div>
    <w:div w:id="1490559131">
      <w:bodyDiv w:val="1"/>
      <w:marLeft w:val="0"/>
      <w:marRight w:val="0"/>
      <w:marTop w:val="0"/>
      <w:marBottom w:val="0"/>
      <w:divBdr>
        <w:top w:val="none" w:sz="0" w:space="0" w:color="auto"/>
        <w:left w:val="none" w:sz="0" w:space="0" w:color="auto"/>
        <w:bottom w:val="none" w:sz="0" w:space="0" w:color="auto"/>
        <w:right w:val="none" w:sz="0" w:space="0" w:color="auto"/>
      </w:divBdr>
    </w:div>
    <w:div w:id="1490636899">
      <w:bodyDiv w:val="1"/>
      <w:marLeft w:val="0"/>
      <w:marRight w:val="0"/>
      <w:marTop w:val="0"/>
      <w:marBottom w:val="0"/>
      <w:divBdr>
        <w:top w:val="none" w:sz="0" w:space="0" w:color="auto"/>
        <w:left w:val="none" w:sz="0" w:space="0" w:color="auto"/>
        <w:bottom w:val="none" w:sz="0" w:space="0" w:color="auto"/>
        <w:right w:val="none" w:sz="0" w:space="0" w:color="auto"/>
      </w:divBdr>
    </w:div>
    <w:div w:id="1498225840">
      <w:bodyDiv w:val="1"/>
      <w:marLeft w:val="0"/>
      <w:marRight w:val="0"/>
      <w:marTop w:val="0"/>
      <w:marBottom w:val="0"/>
      <w:divBdr>
        <w:top w:val="none" w:sz="0" w:space="0" w:color="auto"/>
        <w:left w:val="none" w:sz="0" w:space="0" w:color="auto"/>
        <w:bottom w:val="none" w:sz="0" w:space="0" w:color="auto"/>
        <w:right w:val="none" w:sz="0" w:space="0" w:color="auto"/>
      </w:divBdr>
    </w:div>
    <w:div w:id="1499538750">
      <w:bodyDiv w:val="1"/>
      <w:marLeft w:val="0"/>
      <w:marRight w:val="0"/>
      <w:marTop w:val="0"/>
      <w:marBottom w:val="0"/>
      <w:divBdr>
        <w:top w:val="none" w:sz="0" w:space="0" w:color="auto"/>
        <w:left w:val="none" w:sz="0" w:space="0" w:color="auto"/>
        <w:bottom w:val="none" w:sz="0" w:space="0" w:color="auto"/>
        <w:right w:val="none" w:sz="0" w:space="0" w:color="auto"/>
      </w:divBdr>
    </w:div>
    <w:div w:id="1500653214">
      <w:bodyDiv w:val="1"/>
      <w:marLeft w:val="0"/>
      <w:marRight w:val="0"/>
      <w:marTop w:val="0"/>
      <w:marBottom w:val="0"/>
      <w:divBdr>
        <w:top w:val="none" w:sz="0" w:space="0" w:color="auto"/>
        <w:left w:val="none" w:sz="0" w:space="0" w:color="auto"/>
        <w:bottom w:val="none" w:sz="0" w:space="0" w:color="auto"/>
        <w:right w:val="none" w:sz="0" w:space="0" w:color="auto"/>
      </w:divBdr>
    </w:div>
    <w:div w:id="1501431491">
      <w:bodyDiv w:val="1"/>
      <w:marLeft w:val="0"/>
      <w:marRight w:val="0"/>
      <w:marTop w:val="0"/>
      <w:marBottom w:val="0"/>
      <w:divBdr>
        <w:top w:val="none" w:sz="0" w:space="0" w:color="auto"/>
        <w:left w:val="none" w:sz="0" w:space="0" w:color="auto"/>
        <w:bottom w:val="none" w:sz="0" w:space="0" w:color="auto"/>
        <w:right w:val="none" w:sz="0" w:space="0" w:color="auto"/>
      </w:divBdr>
    </w:div>
    <w:div w:id="1502502661">
      <w:bodyDiv w:val="1"/>
      <w:marLeft w:val="0"/>
      <w:marRight w:val="0"/>
      <w:marTop w:val="0"/>
      <w:marBottom w:val="0"/>
      <w:divBdr>
        <w:top w:val="none" w:sz="0" w:space="0" w:color="auto"/>
        <w:left w:val="none" w:sz="0" w:space="0" w:color="auto"/>
        <w:bottom w:val="none" w:sz="0" w:space="0" w:color="auto"/>
        <w:right w:val="none" w:sz="0" w:space="0" w:color="auto"/>
      </w:divBdr>
    </w:div>
    <w:div w:id="1504130970">
      <w:bodyDiv w:val="1"/>
      <w:marLeft w:val="0"/>
      <w:marRight w:val="0"/>
      <w:marTop w:val="0"/>
      <w:marBottom w:val="0"/>
      <w:divBdr>
        <w:top w:val="none" w:sz="0" w:space="0" w:color="auto"/>
        <w:left w:val="none" w:sz="0" w:space="0" w:color="auto"/>
        <w:bottom w:val="none" w:sz="0" w:space="0" w:color="auto"/>
        <w:right w:val="none" w:sz="0" w:space="0" w:color="auto"/>
      </w:divBdr>
    </w:div>
    <w:div w:id="1505584351">
      <w:bodyDiv w:val="1"/>
      <w:marLeft w:val="0"/>
      <w:marRight w:val="0"/>
      <w:marTop w:val="0"/>
      <w:marBottom w:val="0"/>
      <w:divBdr>
        <w:top w:val="none" w:sz="0" w:space="0" w:color="auto"/>
        <w:left w:val="none" w:sz="0" w:space="0" w:color="auto"/>
        <w:bottom w:val="none" w:sz="0" w:space="0" w:color="auto"/>
        <w:right w:val="none" w:sz="0" w:space="0" w:color="auto"/>
      </w:divBdr>
    </w:div>
    <w:div w:id="1506506519">
      <w:bodyDiv w:val="1"/>
      <w:marLeft w:val="0"/>
      <w:marRight w:val="0"/>
      <w:marTop w:val="0"/>
      <w:marBottom w:val="0"/>
      <w:divBdr>
        <w:top w:val="none" w:sz="0" w:space="0" w:color="auto"/>
        <w:left w:val="none" w:sz="0" w:space="0" w:color="auto"/>
        <w:bottom w:val="none" w:sz="0" w:space="0" w:color="auto"/>
        <w:right w:val="none" w:sz="0" w:space="0" w:color="auto"/>
      </w:divBdr>
    </w:div>
    <w:div w:id="1508910148">
      <w:bodyDiv w:val="1"/>
      <w:marLeft w:val="0"/>
      <w:marRight w:val="0"/>
      <w:marTop w:val="0"/>
      <w:marBottom w:val="0"/>
      <w:divBdr>
        <w:top w:val="none" w:sz="0" w:space="0" w:color="auto"/>
        <w:left w:val="none" w:sz="0" w:space="0" w:color="auto"/>
        <w:bottom w:val="none" w:sz="0" w:space="0" w:color="auto"/>
        <w:right w:val="none" w:sz="0" w:space="0" w:color="auto"/>
      </w:divBdr>
    </w:div>
    <w:div w:id="1509520553">
      <w:bodyDiv w:val="1"/>
      <w:marLeft w:val="0"/>
      <w:marRight w:val="0"/>
      <w:marTop w:val="0"/>
      <w:marBottom w:val="0"/>
      <w:divBdr>
        <w:top w:val="none" w:sz="0" w:space="0" w:color="auto"/>
        <w:left w:val="none" w:sz="0" w:space="0" w:color="auto"/>
        <w:bottom w:val="none" w:sz="0" w:space="0" w:color="auto"/>
        <w:right w:val="none" w:sz="0" w:space="0" w:color="auto"/>
      </w:divBdr>
    </w:div>
    <w:div w:id="1514488332">
      <w:bodyDiv w:val="1"/>
      <w:marLeft w:val="0"/>
      <w:marRight w:val="0"/>
      <w:marTop w:val="0"/>
      <w:marBottom w:val="0"/>
      <w:divBdr>
        <w:top w:val="none" w:sz="0" w:space="0" w:color="auto"/>
        <w:left w:val="none" w:sz="0" w:space="0" w:color="auto"/>
        <w:bottom w:val="none" w:sz="0" w:space="0" w:color="auto"/>
        <w:right w:val="none" w:sz="0" w:space="0" w:color="auto"/>
      </w:divBdr>
    </w:div>
    <w:div w:id="1515344613">
      <w:bodyDiv w:val="1"/>
      <w:marLeft w:val="0"/>
      <w:marRight w:val="0"/>
      <w:marTop w:val="0"/>
      <w:marBottom w:val="0"/>
      <w:divBdr>
        <w:top w:val="none" w:sz="0" w:space="0" w:color="auto"/>
        <w:left w:val="none" w:sz="0" w:space="0" w:color="auto"/>
        <w:bottom w:val="none" w:sz="0" w:space="0" w:color="auto"/>
        <w:right w:val="none" w:sz="0" w:space="0" w:color="auto"/>
      </w:divBdr>
    </w:div>
    <w:div w:id="1518083268">
      <w:bodyDiv w:val="1"/>
      <w:marLeft w:val="0"/>
      <w:marRight w:val="0"/>
      <w:marTop w:val="0"/>
      <w:marBottom w:val="0"/>
      <w:divBdr>
        <w:top w:val="none" w:sz="0" w:space="0" w:color="auto"/>
        <w:left w:val="none" w:sz="0" w:space="0" w:color="auto"/>
        <w:bottom w:val="none" w:sz="0" w:space="0" w:color="auto"/>
        <w:right w:val="none" w:sz="0" w:space="0" w:color="auto"/>
      </w:divBdr>
    </w:div>
    <w:div w:id="1518883094">
      <w:bodyDiv w:val="1"/>
      <w:marLeft w:val="0"/>
      <w:marRight w:val="0"/>
      <w:marTop w:val="0"/>
      <w:marBottom w:val="0"/>
      <w:divBdr>
        <w:top w:val="none" w:sz="0" w:space="0" w:color="auto"/>
        <w:left w:val="none" w:sz="0" w:space="0" w:color="auto"/>
        <w:bottom w:val="none" w:sz="0" w:space="0" w:color="auto"/>
        <w:right w:val="none" w:sz="0" w:space="0" w:color="auto"/>
      </w:divBdr>
    </w:div>
    <w:div w:id="1527140740">
      <w:bodyDiv w:val="1"/>
      <w:marLeft w:val="0"/>
      <w:marRight w:val="0"/>
      <w:marTop w:val="0"/>
      <w:marBottom w:val="0"/>
      <w:divBdr>
        <w:top w:val="none" w:sz="0" w:space="0" w:color="auto"/>
        <w:left w:val="none" w:sz="0" w:space="0" w:color="auto"/>
        <w:bottom w:val="none" w:sz="0" w:space="0" w:color="auto"/>
        <w:right w:val="none" w:sz="0" w:space="0" w:color="auto"/>
      </w:divBdr>
    </w:div>
    <w:div w:id="1531145059">
      <w:bodyDiv w:val="1"/>
      <w:marLeft w:val="0"/>
      <w:marRight w:val="0"/>
      <w:marTop w:val="0"/>
      <w:marBottom w:val="0"/>
      <w:divBdr>
        <w:top w:val="none" w:sz="0" w:space="0" w:color="auto"/>
        <w:left w:val="none" w:sz="0" w:space="0" w:color="auto"/>
        <w:bottom w:val="none" w:sz="0" w:space="0" w:color="auto"/>
        <w:right w:val="none" w:sz="0" w:space="0" w:color="auto"/>
      </w:divBdr>
    </w:div>
    <w:div w:id="1531723962">
      <w:bodyDiv w:val="1"/>
      <w:marLeft w:val="0"/>
      <w:marRight w:val="0"/>
      <w:marTop w:val="0"/>
      <w:marBottom w:val="0"/>
      <w:divBdr>
        <w:top w:val="none" w:sz="0" w:space="0" w:color="auto"/>
        <w:left w:val="none" w:sz="0" w:space="0" w:color="auto"/>
        <w:bottom w:val="none" w:sz="0" w:space="0" w:color="auto"/>
        <w:right w:val="none" w:sz="0" w:space="0" w:color="auto"/>
      </w:divBdr>
    </w:div>
    <w:div w:id="1532646339">
      <w:bodyDiv w:val="1"/>
      <w:marLeft w:val="0"/>
      <w:marRight w:val="0"/>
      <w:marTop w:val="0"/>
      <w:marBottom w:val="0"/>
      <w:divBdr>
        <w:top w:val="none" w:sz="0" w:space="0" w:color="auto"/>
        <w:left w:val="none" w:sz="0" w:space="0" w:color="auto"/>
        <w:bottom w:val="none" w:sz="0" w:space="0" w:color="auto"/>
        <w:right w:val="none" w:sz="0" w:space="0" w:color="auto"/>
      </w:divBdr>
    </w:div>
    <w:div w:id="1534223802">
      <w:bodyDiv w:val="1"/>
      <w:marLeft w:val="0"/>
      <w:marRight w:val="0"/>
      <w:marTop w:val="0"/>
      <w:marBottom w:val="0"/>
      <w:divBdr>
        <w:top w:val="none" w:sz="0" w:space="0" w:color="auto"/>
        <w:left w:val="none" w:sz="0" w:space="0" w:color="auto"/>
        <w:bottom w:val="none" w:sz="0" w:space="0" w:color="auto"/>
        <w:right w:val="none" w:sz="0" w:space="0" w:color="auto"/>
      </w:divBdr>
    </w:div>
    <w:div w:id="1536653311">
      <w:bodyDiv w:val="1"/>
      <w:marLeft w:val="0"/>
      <w:marRight w:val="0"/>
      <w:marTop w:val="0"/>
      <w:marBottom w:val="0"/>
      <w:divBdr>
        <w:top w:val="none" w:sz="0" w:space="0" w:color="auto"/>
        <w:left w:val="none" w:sz="0" w:space="0" w:color="auto"/>
        <w:bottom w:val="none" w:sz="0" w:space="0" w:color="auto"/>
        <w:right w:val="none" w:sz="0" w:space="0" w:color="auto"/>
      </w:divBdr>
    </w:div>
    <w:div w:id="1537305555">
      <w:bodyDiv w:val="1"/>
      <w:marLeft w:val="0"/>
      <w:marRight w:val="0"/>
      <w:marTop w:val="0"/>
      <w:marBottom w:val="0"/>
      <w:divBdr>
        <w:top w:val="none" w:sz="0" w:space="0" w:color="auto"/>
        <w:left w:val="none" w:sz="0" w:space="0" w:color="auto"/>
        <w:bottom w:val="none" w:sz="0" w:space="0" w:color="auto"/>
        <w:right w:val="none" w:sz="0" w:space="0" w:color="auto"/>
      </w:divBdr>
    </w:div>
    <w:div w:id="1540969592">
      <w:bodyDiv w:val="1"/>
      <w:marLeft w:val="0"/>
      <w:marRight w:val="0"/>
      <w:marTop w:val="0"/>
      <w:marBottom w:val="0"/>
      <w:divBdr>
        <w:top w:val="none" w:sz="0" w:space="0" w:color="auto"/>
        <w:left w:val="none" w:sz="0" w:space="0" w:color="auto"/>
        <w:bottom w:val="none" w:sz="0" w:space="0" w:color="auto"/>
        <w:right w:val="none" w:sz="0" w:space="0" w:color="auto"/>
      </w:divBdr>
    </w:div>
    <w:div w:id="1541438489">
      <w:bodyDiv w:val="1"/>
      <w:marLeft w:val="0"/>
      <w:marRight w:val="0"/>
      <w:marTop w:val="0"/>
      <w:marBottom w:val="0"/>
      <w:divBdr>
        <w:top w:val="none" w:sz="0" w:space="0" w:color="auto"/>
        <w:left w:val="none" w:sz="0" w:space="0" w:color="auto"/>
        <w:bottom w:val="none" w:sz="0" w:space="0" w:color="auto"/>
        <w:right w:val="none" w:sz="0" w:space="0" w:color="auto"/>
      </w:divBdr>
    </w:div>
    <w:div w:id="1542132668">
      <w:bodyDiv w:val="1"/>
      <w:marLeft w:val="0"/>
      <w:marRight w:val="0"/>
      <w:marTop w:val="0"/>
      <w:marBottom w:val="0"/>
      <w:divBdr>
        <w:top w:val="none" w:sz="0" w:space="0" w:color="auto"/>
        <w:left w:val="none" w:sz="0" w:space="0" w:color="auto"/>
        <w:bottom w:val="none" w:sz="0" w:space="0" w:color="auto"/>
        <w:right w:val="none" w:sz="0" w:space="0" w:color="auto"/>
      </w:divBdr>
    </w:div>
    <w:div w:id="1544976885">
      <w:bodyDiv w:val="1"/>
      <w:marLeft w:val="0"/>
      <w:marRight w:val="0"/>
      <w:marTop w:val="0"/>
      <w:marBottom w:val="0"/>
      <w:divBdr>
        <w:top w:val="none" w:sz="0" w:space="0" w:color="auto"/>
        <w:left w:val="none" w:sz="0" w:space="0" w:color="auto"/>
        <w:bottom w:val="none" w:sz="0" w:space="0" w:color="auto"/>
        <w:right w:val="none" w:sz="0" w:space="0" w:color="auto"/>
      </w:divBdr>
    </w:div>
    <w:div w:id="1545560075">
      <w:bodyDiv w:val="1"/>
      <w:marLeft w:val="0"/>
      <w:marRight w:val="0"/>
      <w:marTop w:val="0"/>
      <w:marBottom w:val="0"/>
      <w:divBdr>
        <w:top w:val="none" w:sz="0" w:space="0" w:color="auto"/>
        <w:left w:val="none" w:sz="0" w:space="0" w:color="auto"/>
        <w:bottom w:val="none" w:sz="0" w:space="0" w:color="auto"/>
        <w:right w:val="none" w:sz="0" w:space="0" w:color="auto"/>
      </w:divBdr>
    </w:div>
    <w:div w:id="1549030868">
      <w:bodyDiv w:val="1"/>
      <w:marLeft w:val="0"/>
      <w:marRight w:val="0"/>
      <w:marTop w:val="0"/>
      <w:marBottom w:val="0"/>
      <w:divBdr>
        <w:top w:val="none" w:sz="0" w:space="0" w:color="auto"/>
        <w:left w:val="none" w:sz="0" w:space="0" w:color="auto"/>
        <w:bottom w:val="none" w:sz="0" w:space="0" w:color="auto"/>
        <w:right w:val="none" w:sz="0" w:space="0" w:color="auto"/>
      </w:divBdr>
    </w:div>
    <w:div w:id="1551266396">
      <w:bodyDiv w:val="1"/>
      <w:marLeft w:val="0"/>
      <w:marRight w:val="0"/>
      <w:marTop w:val="0"/>
      <w:marBottom w:val="0"/>
      <w:divBdr>
        <w:top w:val="none" w:sz="0" w:space="0" w:color="auto"/>
        <w:left w:val="none" w:sz="0" w:space="0" w:color="auto"/>
        <w:bottom w:val="none" w:sz="0" w:space="0" w:color="auto"/>
        <w:right w:val="none" w:sz="0" w:space="0" w:color="auto"/>
      </w:divBdr>
    </w:div>
    <w:div w:id="1552112539">
      <w:bodyDiv w:val="1"/>
      <w:marLeft w:val="0"/>
      <w:marRight w:val="0"/>
      <w:marTop w:val="0"/>
      <w:marBottom w:val="0"/>
      <w:divBdr>
        <w:top w:val="none" w:sz="0" w:space="0" w:color="auto"/>
        <w:left w:val="none" w:sz="0" w:space="0" w:color="auto"/>
        <w:bottom w:val="none" w:sz="0" w:space="0" w:color="auto"/>
        <w:right w:val="none" w:sz="0" w:space="0" w:color="auto"/>
      </w:divBdr>
    </w:div>
    <w:div w:id="1554387183">
      <w:bodyDiv w:val="1"/>
      <w:marLeft w:val="0"/>
      <w:marRight w:val="0"/>
      <w:marTop w:val="0"/>
      <w:marBottom w:val="0"/>
      <w:divBdr>
        <w:top w:val="none" w:sz="0" w:space="0" w:color="auto"/>
        <w:left w:val="none" w:sz="0" w:space="0" w:color="auto"/>
        <w:bottom w:val="none" w:sz="0" w:space="0" w:color="auto"/>
        <w:right w:val="none" w:sz="0" w:space="0" w:color="auto"/>
      </w:divBdr>
    </w:div>
    <w:div w:id="1555308634">
      <w:bodyDiv w:val="1"/>
      <w:marLeft w:val="0"/>
      <w:marRight w:val="0"/>
      <w:marTop w:val="0"/>
      <w:marBottom w:val="0"/>
      <w:divBdr>
        <w:top w:val="none" w:sz="0" w:space="0" w:color="auto"/>
        <w:left w:val="none" w:sz="0" w:space="0" w:color="auto"/>
        <w:bottom w:val="none" w:sz="0" w:space="0" w:color="auto"/>
        <w:right w:val="none" w:sz="0" w:space="0" w:color="auto"/>
      </w:divBdr>
    </w:div>
    <w:div w:id="1558740979">
      <w:bodyDiv w:val="1"/>
      <w:marLeft w:val="0"/>
      <w:marRight w:val="0"/>
      <w:marTop w:val="0"/>
      <w:marBottom w:val="0"/>
      <w:divBdr>
        <w:top w:val="none" w:sz="0" w:space="0" w:color="auto"/>
        <w:left w:val="none" w:sz="0" w:space="0" w:color="auto"/>
        <w:bottom w:val="none" w:sz="0" w:space="0" w:color="auto"/>
        <w:right w:val="none" w:sz="0" w:space="0" w:color="auto"/>
      </w:divBdr>
    </w:div>
    <w:div w:id="1559437473">
      <w:bodyDiv w:val="1"/>
      <w:marLeft w:val="0"/>
      <w:marRight w:val="0"/>
      <w:marTop w:val="0"/>
      <w:marBottom w:val="0"/>
      <w:divBdr>
        <w:top w:val="none" w:sz="0" w:space="0" w:color="auto"/>
        <w:left w:val="none" w:sz="0" w:space="0" w:color="auto"/>
        <w:bottom w:val="none" w:sz="0" w:space="0" w:color="auto"/>
        <w:right w:val="none" w:sz="0" w:space="0" w:color="auto"/>
      </w:divBdr>
    </w:div>
    <w:div w:id="1560943955">
      <w:bodyDiv w:val="1"/>
      <w:marLeft w:val="0"/>
      <w:marRight w:val="0"/>
      <w:marTop w:val="0"/>
      <w:marBottom w:val="0"/>
      <w:divBdr>
        <w:top w:val="none" w:sz="0" w:space="0" w:color="auto"/>
        <w:left w:val="none" w:sz="0" w:space="0" w:color="auto"/>
        <w:bottom w:val="none" w:sz="0" w:space="0" w:color="auto"/>
        <w:right w:val="none" w:sz="0" w:space="0" w:color="auto"/>
      </w:divBdr>
    </w:div>
    <w:div w:id="1563171646">
      <w:bodyDiv w:val="1"/>
      <w:marLeft w:val="0"/>
      <w:marRight w:val="0"/>
      <w:marTop w:val="0"/>
      <w:marBottom w:val="0"/>
      <w:divBdr>
        <w:top w:val="none" w:sz="0" w:space="0" w:color="auto"/>
        <w:left w:val="none" w:sz="0" w:space="0" w:color="auto"/>
        <w:bottom w:val="none" w:sz="0" w:space="0" w:color="auto"/>
        <w:right w:val="none" w:sz="0" w:space="0" w:color="auto"/>
      </w:divBdr>
    </w:div>
    <w:div w:id="1563523538">
      <w:bodyDiv w:val="1"/>
      <w:marLeft w:val="0"/>
      <w:marRight w:val="0"/>
      <w:marTop w:val="0"/>
      <w:marBottom w:val="0"/>
      <w:divBdr>
        <w:top w:val="none" w:sz="0" w:space="0" w:color="auto"/>
        <w:left w:val="none" w:sz="0" w:space="0" w:color="auto"/>
        <w:bottom w:val="none" w:sz="0" w:space="0" w:color="auto"/>
        <w:right w:val="none" w:sz="0" w:space="0" w:color="auto"/>
      </w:divBdr>
    </w:div>
    <w:div w:id="1563833822">
      <w:bodyDiv w:val="1"/>
      <w:marLeft w:val="0"/>
      <w:marRight w:val="0"/>
      <w:marTop w:val="0"/>
      <w:marBottom w:val="0"/>
      <w:divBdr>
        <w:top w:val="none" w:sz="0" w:space="0" w:color="auto"/>
        <w:left w:val="none" w:sz="0" w:space="0" w:color="auto"/>
        <w:bottom w:val="none" w:sz="0" w:space="0" w:color="auto"/>
        <w:right w:val="none" w:sz="0" w:space="0" w:color="auto"/>
      </w:divBdr>
    </w:div>
    <w:div w:id="1564290007">
      <w:bodyDiv w:val="1"/>
      <w:marLeft w:val="0"/>
      <w:marRight w:val="0"/>
      <w:marTop w:val="0"/>
      <w:marBottom w:val="0"/>
      <w:divBdr>
        <w:top w:val="none" w:sz="0" w:space="0" w:color="auto"/>
        <w:left w:val="none" w:sz="0" w:space="0" w:color="auto"/>
        <w:bottom w:val="none" w:sz="0" w:space="0" w:color="auto"/>
        <w:right w:val="none" w:sz="0" w:space="0" w:color="auto"/>
      </w:divBdr>
    </w:div>
    <w:div w:id="1565145206">
      <w:bodyDiv w:val="1"/>
      <w:marLeft w:val="0"/>
      <w:marRight w:val="0"/>
      <w:marTop w:val="0"/>
      <w:marBottom w:val="0"/>
      <w:divBdr>
        <w:top w:val="none" w:sz="0" w:space="0" w:color="auto"/>
        <w:left w:val="none" w:sz="0" w:space="0" w:color="auto"/>
        <w:bottom w:val="none" w:sz="0" w:space="0" w:color="auto"/>
        <w:right w:val="none" w:sz="0" w:space="0" w:color="auto"/>
      </w:divBdr>
    </w:div>
    <w:div w:id="1569995750">
      <w:bodyDiv w:val="1"/>
      <w:marLeft w:val="0"/>
      <w:marRight w:val="0"/>
      <w:marTop w:val="0"/>
      <w:marBottom w:val="0"/>
      <w:divBdr>
        <w:top w:val="none" w:sz="0" w:space="0" w:color="auto"/>
        <w:left w:val="none" w:sz="0" w:space="0" w:color="auto"/>
        <w:bottom w:val="none" w:sz="0" w:space="0" w:color="auto"/>
        <w:right w:val="none" w:sz="0" w:space="0" w:color="auto"/>
      </w:divBdr>
    </w:div>
    <w:div w:id="1570993802">
      <w:bodyDiv w:val="1"/>
      <w:marLeft w:val="0"/>
      <w:marRight w:val="0"/>
      <w:marTop w:val="0"/>
      <w:marBottom w:val="0"/>
      <w:divBdr>
        <w:top w:val="none" w:sz="0" w:space="0" w:color="auto"/>
        <w:left w:val="none" w:sz="0" w:space="0" w:color="auto"/>
        <w:bottom w:val="none" w:sz="0" w:space="0" w:color="auto"/>
        <w:right w:val="none" w:sz="0" w:space="0" w:color="auto"/>
      </w:divBdr>
    </w:div>
    <w:div w:id="1576361303">
      <w:bodyDiv w:val="1"/>
      <w:marLeft w:val="0"/>
      <w:marRight w:val="0"/>
      <w:marTop w:val="0"/>
      <w:marBottom w:val="0"/>
      <w:divBdr>
        <w:top w:val="none" w:sz="0" w:space="0" w:color="auto"/>
        <w:left w:val="none" w:sz="0" w:space="0" w:color="auto"/>
        <w:bottom w:val="none" w:sz="0" w:space="0" w:color="auto"/>
        <w:right w:val="none" w:sz="0" w:space="0" w:color="auto"/>
      </w:divBdr>
    </w:div>
    <w:div w:id="1576697716">
      <w:bodyDiv w:val="1"/>
      <w:marLeft w:val="0"/>
      <w:marRight w:val="0"/>
      <w:marTop w:val="0"/>
      <w:marBottom w:val="0"/>
      <w:divBdr>
        <w:top w:val="none" w:sz="0" w:space="0" w:color="auto"/>
        <w:left w:val="none" w:sz="0" w:space="0" w:color="auto"/>
        <w:bottom w:val="none" w:sz="0" w:space="0" w:color="auto"/>
        <w:right w:val="none" w:sz="0" w:space="0" w:color="auto"/>
      </w:divBdr>
    </w:div>
    <w:div w:id="1580291982">
      <w:bodyDiv w:val="1"/>
      <w:marLeft w:val="0"/>
      <w:marRight w:val="0"/>
      <w:marTop w:val="0"/>
      <w:marBottom w:val="0"/>
      <w:divBdr>
        <w:top w:val="none" w:sz="0" w:space="0" w:color="auto"/>
        <w:left w:val="none" w:sz="0" w:space="0" w:color="auto"/>
        <w:bottom w:val="none" w:sz="0" w:space="0" w:color="auto"/>
        <w:right w:val="none" w:sz="0" w:space="0" w:color="auto"/>
      </w:divBdr>
    </w:div>
    <w:div w:id="1582565432">
      <w:bodyDiv w:val="1"/>
      <w:marLeft w:val="0"/>
      <w:marRight w:val="0"/>
      <w:marTop w:val="0"/>
      <w:marBottom w:val="0"/>
      <w:divBdr>
        <w:top w:val="none" w:sz="0" w:space="0" w:color="auto"/>
        <w:left w:val="none" w:sz="0" w:space="0" w:color="auto"/>
        <w:bottom w:val="none" w:sz="0" w:space="0" w:color="auto"/>
        <w:right w:val="none" w:sz="0" w:space="0" w:color="auto"/>
      </w:divBdr>
    </w:div>
    <w:div w:id="1590196385">
      <w:bodyDiv w:val="1"/>
      <w:marLeft w:val="0"/>
      <w:marRight w:val="0"/>
      <w:marTop w:val="0"/>
      <w:marBottom w:val="0"/>
      <w:divBdr>
        <w:top w:val="none" w:sz="0" w:space="0" w:color="auto"/>
        <w:left w:val="none" w:sz="0" w:space="0" w:color="auto"/>
        <w:bottom w:val="none" w:sz="0" w:space="0" w:color="auto"/>
        <w:right w:val="none" w:sz="0" w:space="0" w:color="auto"/>
      </w:divBdr>
    </w:div>
    <w:div w:id="1592741421">
      <w:bodyDiv w:val="1"/>
      <w:marLeft w:val="0"/>
      <w:marRight w:val="0"/>
      <w:marTop w:val="0"/>
      <w:marBottom w:val="0"/>
      <w:divBdr>
        <w:top w:val="none" w:sz="0" w:space="0" w:color="auto"/>
        <w:left w:val="none" w:sz="0" w:space="0" w:color="auto"/>
        <w:bottom w:val="none" w:sz="0" w:space="0" w:color="auto"/>
        <w:right w:val="none" w:sz="0" w:space="0" w:color="auto"/>
      </w:divBdr>
    </w:div>
    <w:div w:id="1592935728">
      <w:bodyDiv w:val="1"/>
      <w:marLeft w:val="0"/>
      <w:marRight w:val="0"/>
      <w:marTop w:val="0"/>
      <w:marBottom w:val="0"/>
      <w:divBdr>
        <w:top w:val="none" w:sz="0" w:space="0" w:color="auto"/>
        <w:left w:val="none" w:sz="0" w:space="0" w:color="auto"/>
        <w:bottom w:val="none" w:sz="0" w:space="0" w:color="auto"/>
        <w:right w:val="none" w:sz="0" w:space="0" w:color="auto"/>
      </w:divBdr>
    </w:div>
    <w:div w:id="1593473156">
      <w:bodyDiv w:val="1"/>
      <w:marLeft w:val="0"/>
      <w:marRight w:val="0"/>
      <w:marTop w:val="0"/>
      <w:marBottom w:val="0"/>
      <w:divBdr>
        <w:top w:val="none" w:sz="0" w:space="0" w:color="auto"/>
        <w:left w:val="none" w:sz="0" w:space="0" w:color="auto"/>
        <w:bottom w:val="none" w:sz="0" w:space="0" w:color="auto"/>
        <w:right w:val="none" w:sz="0" w:space="0" w:color="auto"/>
      </w:divBdr>
    </w:div>
    <w:div w:id="1604000483">
      <w:bodyDiv w:val="1"/>
      <w:marLeft w:val="0"/>
      <w:marRight w:val="0"/>
      <w:marTop w:val="0"/>
      <w:marBottom w:val="0"/>
      <w:divBdr>
        <w:top w:val="none" w:sz="0" w:space="0" w:color="auto"/>
        <w:left w:val="none" w:sz="0" w:space="0" w:color="auto"/>
        <w:bottom w:val="none" w:sz="0" w:space="0" w:color="auto"/>
        <w:right w:val="none" w:sz="0" w:space="0" w:color="auto"/>
      </w:divBdr>
    </w:div>
    <w:div w:id="1607735542">
      <w:bodyDiv w:val="1"/>
      <w:marLeft w:val="0"/>
      <w:marRight w:val="0"/>
      <w:marTop w:val="0"/>
      <w:marBottom w:val="0"/>
      <w:divBdr>
        <w:top w:val="none" w:sz="0" w:space="0" w:color="auto"/>
        <w:left w:val="none" w:sz="0" w:space="0" w:color="auto"/>
        <w:bottom w:val="none" w:sz="0" w:space="0" w:color="auto"/>
        <w:right w:val="none" w:sz="0" w:space="0" w:color="auto"/>
      </w:divBdr>
    </w:div>
    <w:div w:id="1609123332">
      <w:bodyDiv w:val="1"/>
      <w:marLeft w:val="0"/>
      <w:marRight w:val="0"/>
      <w:marTop w:val="0"/>
      <w:marBottom w:val="0"/>
      <w:divBdr>
        <w:top w:val="none" w:sz="0" w:space="0" w:color="auto"/>
        <w:left w:val="none" w:sz="0" w:space="0" w:color="auto"/>
        <w:bottom w:val="none" w:sz="0" w:space="0" w:color="auto"/>
        <w:right w:val="none" w:sz="0" w:space="0" w:color="auto"/>
      </w:divBdr>
    </w:div>
    <w:div w:id="1612129874">
      <w:bodyDiv w:val="1"/>
      <w:marLeft w:val="0"/>
      <w:marRight w:val="0"/>
      <w:marTop w:val="0"/>
      <w:marBottom w:val="0"/>
      <w:divBdr>
        <w:top w:val="none" w:sz="0" w:space="0" w:color="auto"/>
        <w:left w:val="none" w:sz="0" w:space="0" w:color="auto"/>
        <w:bottom w:val="none" w:sz="0" w:space="0" w:color="auto"/>
        <w:right w:val="none" w:sz="0" w:space="0" w:color="auto"/>
      </w:divBdr>
    </w:div>
    <w:div w:id="1612668177">
      <w:bodyDiv w:val="1"/>
      <w:marLeft w:val="0"/>
      <w:marRight w:val="0"/>
      <w:marTop w:val="0"/>
      <w:marBottom w:val="0"/>
      <w:divBdr>
        <w:top w:val="none" w:sz="0" w:space="0" w:color="auto"/>
        <w:left w:val="none" w:sz="0" w:space="0" w:color="auto"/>
        <w:bottom w:val="none" w:sz="0" w:space="0" w:color="auto"/>
        <w:right w:val="none" w:sz="0" w:space="0" w:color="auto"/>
      </w:divBdr>
    </w:div>
    <w:div w:id="1613901400">
      <w:bodyDiv w:val="1"/>
      <w:marLeft w:val="0"/>
      <w:marRight w:val="0"/>
      <w:marTop w:val="0"/>
      <w:marBottom w:val="0"/>
      <w:divBdr>
        <w:top w:val="none" w:sz="0" w:space="0" w:color="auto"/>
        <w:left w:val="none" w:sz="0" w:space="0" w:color="auto"/>
        <w:bottom w:val="none" w:sz="0" w:space="0" w:color="auto"/>
        <w:right w:val="none" w:sz="0" w:space="0" w:color="auto"/>
      </w:divBdr>
    </w:div>
    <w:div w:id="1615215484">
      <w:bodyDiv w:val="1"/>
      <w:marLeft w:val="0"/>
      <w:marRight w:val="0"/>
      <w:marTop w:val="0"/>
      <w:marBottom w:val="0"/>
      <w:divBdr>
        <w:top w:val="none" w:sz="0" w:space="0" w:color="auto"/>
        <w:left w:val="none" w:sz="0" w:space="0" w:color="auto"/>
        <w:bottom w:val="none" w:sz="0" w:space="0" w:color="auto"/>
        <w:right w:val="none" w:sz="0" w:space="0" w:color="auto"/>
      </w:divBdr>
    </w:div>
    <w:div w:id="1619216535">
      <w:bodyDiv w:val="1"/>
      <w:marLeft w:val="0"/>
      <w:marRight w:val="0"/>
      <w:marTop w:val="0"/>
      <w:marBottom w:val="0"/>
      <w:divBdr>
        <w:top w:val="none" w:sz="0" w:space="0" w:color="auto"/>
        <w:left w:val="none" w:sz="0" w:space="0" w:color="auto"/>
        <w:bottom w:val="none" w:sz="0" w:space="0" w:color="auto"/>
        <w:right w:val="none" w:sz="0" w:space="0" w:color="auto"/>
      </w:divBdr>
    </w:div>
    <w:div w:id="1621255970">
      <w:bodyDiv w:val="1"/>
      <w:marLeft w:val="0"/>
      <w:marRight w:val="0"/>
      <w:marTop w:val="0"/>
      <w:marBottom w:val="0"/>
      <w:divBdr>
        <w:top w:val="none" w:sz="0" w:space="0" w:color="auto"/>
        <w:left w:val="none" w:sz="0" w:space="0" w:color="auto"/>
        <w:bottom w:val="none" w:sz="0" w:space="0" w:color="auto"/>
        <w:right w:val="none" w:sz="0" w:space="0" w:color="auto"/>
      </w:divBdr>
    </w:div>
    <w:div w:id="1621909539">
      <w:bodyDiv w:val="1"/>
      <w:marLeft w:val="0"/>
      <w:marRight w:val="0"/>
      <w:marTop w:val="0"/>
      <w:marBottom w:val="0"/>
      <w:divBdr>
        <w:top w:val="none" w:sz="0" w:space="0" w:color="auto"/>
        <w:left w:val="none" w:sz="0" w:space="0" w:color="auto"/>
        <w:bottom w:val="none" w:sz="0" w:space="0" w:color="auto"/>
        <w:right w:val="none" w:sz="0" w:space="0" w:color="auto"/>
      </w:divBdr>
    </w:div>
    <w:div w:id="1624457344">
      <w:bodyDiv w:val="1"/>
      <w:marLeft w:val="0"/>
      <w:marRight w:val="0"/>
      <w:marTop w:val="0"/>
      <w:marBottom w:val="0"/>
      <w:divBdr>
        <w:top w:val="none" w:sz="0" w:space="0" w:color="auto"/>
        <w:left w:val="none" w:sz="0" w:space="0" w:color="auto"/>
        <w:bottom w:val="none" w:sz="0" w:space="0" w:color="auto"/>
        <w:right w:val="none" w:sz="0" w:space="0" w:color="auto"/>
      </w:divBdr>
    </w:div>
    <w:div w:id="1625767838">
      <w:bodyDiv w:val="1"/>
      <w:marLeft w:val="0"/>
      <w:marRight w:val="0"/>
      <w:marTop w:val="0"/>
      <w:marBottom w:val="0"/>
      <w:divBdr>
        <w:top w:val="none" w:sz="0" w:space="0" w:color="auto"/>
        <w:left w:val="none" w:sz="0" w:space="0" w:color="auto"/>
        <w:bottom w:val="none" w:sz="0" w:space="0" w:color="auto"/>
        <w:right w:val="none" w:sz="0" w:space="0" w:color="auto"/>
      </w:divBdr>
    </w:div>
    <w:div w:id="1626696512">
      <w:bodyDiv w:val="1"/>
      <w:marLeft w:val="0"/>
      <w:marRight w:val="0"/>
      <w:marTop w:val="0"/>
      <w:marBottom w:val="0"/>
      <w:divBdr>
        <w:top w:val="none" w:sz="0" w:space="0" w:color="auto"/>
        <w:left w:val="none" w:sz="0" w:space="0" w:color="auto"/>
        <w:bottom w:val="none" w:sz="0" w:space="0" w:color="auto"/>
        <w:right w:val="none" w:sz="0" w:space="0" w:color="auto"/>
      </w:divBdr>
    </w:div>
    <w:div w:id="1631983151">
      <w:bodyDiv w:val="1"/>
      <w:marLeft w:val="0"/>
      <w:marRight w:val="0"/>
      <w:marTop w:val="0"/>
      <w:marBottom w:val="0"/>
      <w:divBdr>
        <w:top w:val="none" w:sz="0" w:space="0" w:color="auto"/>
        <w:left w:val="none" w:sz="0" w:space="0" w:color="auto"/>
        <w:bottom w:val="none" w:sz="0" w:space="0" w:color="auto"/>
        <w:right w:val="none" w:sz="0" w:space="0" w:color="auto"/>
      </w:divBdr>
    </w:div>
    <w:div w:id="1632594655">
      <w:bodyDiv w:val="1"/>
      <w:marLeft w:val="0"/>
      <w:marRight w:val="0"/>
      <w:marTop w:val="0"/>
      <w:marBottom w:val="0"/>
      <w:divBdr>
        <w:top w:val="none" w:sz="0" w:space="0" w:color="auto"/>
        <w:left w:val="none" w:sz="0" w:space="0" w:color="auto"/>
        <w:bottom w:val="none" w:sz="0" w:space="0" w:color="auto"/>
        <w:right w:val="none" w:sz="0" w:space="0" w:color="auto"/>
      </w:divBdr>
    </w:div>
    <w:div w:id="1632714093">
      <w:bodyDiv w:val="1"/>
      <w:marLeft w:val="0"/>
      <w:marRight w:val="0"/>
      <w:marTop w:val="0"/>
      <w:marBottom w:val="0"/>
      <w:divBdr>
        <w:top w:val="none" w:sz="0" w:space="0" w:color="auto"/>
        <w:left w:val="none" w:sz="0" w:space="0" w:color="auto"/>
        <w:bottom w:val="none" w:sz="0" w:space="0" w:color="auto"/>
        <w:right w:val="none" w:sz="0" w:space="0" w:color="auto"/>
      </w:divBdr>
    </w:div>
    <w:div w:id="1640068380">
      <w:bodyDiv w:val="1"/>
      <w:marLeft w:val="0"/>
      <w:marRight w:val="0"/>
      <w:marTop w:val="0"/>
      <w:marBottom w:val="0"/>
      <w:divBdr>
        <w:top w:val="none" w:sz="0" w:space="0" w:color="auto"/>
        <w:left w:val="none" w:sz="0" w:space="0" w:color="auto"/>
        <w:bottom w:val="none" w:sz="0" w:space="0" w:color="auto"/>
        <w:right w:val="none" w:sz="0" w:space="0" w:color="auto"/>
      </w:divBdr>
    </w:div>
    <w:div w:id="1641107164">
      <w:bodyDiv w:val="1"/>
      <w:marLeft w:val="0"/>
      <w:marRight w:val="0"/>
      <w:marTop w:val="0"/>
      <w:marBottom w:val="0"/>
      <w:divBdr>
        <w:top w:val="none" w:sz="0" w:space="0" w:color="auto"/>
        <w:left w:val="none" w:sz="0" w:space="0" w:color="auto"/>
        <w:bottom w:val="none" w:sz="0" w:space="0" w:color="auto"/>
        <w:right w:val="none" w:sz="0" w:space="0" w:color="auto"/>
      </w:divBdr>
    </w:div>
    <w:div w:id="1641576151">
      <w:bodyDiv w:val="1"/>
      <w:marLeft w:val="0"/>
      <w:marRight w:val="0"/>
      <w:marTop w:val="0"/>
      <w:marBottom w:val="0"/>
      <w:divBdr>
        <w:top w:val="none" w:sz="0" w:space="0" w:color="auto"/>
        <w:left w:val="none" w:sz="0" w:space="0" w:color="auto"/>
        <w:bottom w:val="none" w:sz="0" w:space="0" w:color="auto"/>
        <w:right w:val="none" w:sz="0" w:space="0" w:color="auto"/>
      </w:divBdr>
    </w:div>
    <w:div w:id="1645698258">
      <w:bodyDiv w:val="1"/>
      <w:marLeft w:val="0"/>
      <w:marRight w:val="0"/>
      <w:marTop w:val="0"/>
      <w:marBottom w:val="0"/>
      <w:divBdr>
        <w:top w:val="none" w:sz="0" w:space="0" w:color="auto"/>
        <w:left w:val="none" w:sz="0" w:space="0" w:color="auto"/>
        <w:bottom w:val="none" w:sz="0" w:space="0" w:color="auto"/>
        <w:right w:val="none" w:sz="0" w:space="0" w:color="auto"/>
      </w:divBdr>
    </w:div>
    <w:div w:id="1646004984">
      <w:bodyDiv w:val="1"/>
      <w:marLeft w:val="0"/>
      <w:marRight w:val="0"/>
      <w:marTop w:val="0"/>
      <w:marBottom w:val="0"/>
      <w:divBdr>
        <w:top w:val="none" w:sz="0" w:space="0" w:color="auto"/>
        <w:left w:val="none" w:sz="0" w:space="0" w:color="auto"/>
        <w:bottom w:val="none" w:sz="0" w:space="0" w:color="auto"/>
        <w:right w:val="none" w:sz="0" w:space="0" w:color="auto"/>
      </w:divBdr>
    </w:div>
    <w:div w:id="1649163294">
      <w:bodyDiv w:val="1"/>
      <w:marLeft w:val="0"/>
      <w:marRight w:val="0"/>
      <w:marTop w:val="0"/>
      <w:marBottom w:val="0"/>
      <w:divBdr>
        <w:top w:val="none" w:sz="0" w:space="0" w:color="auto"/>
        <w:left w:val="none" w:sz="0" w:space="0" w:color="auto"/>
        <w:bottom w:val="none" w:sz="0" w:space="0" w:color="auto"/>
        <w:right w:val="none" w:sz="0" w:space="0" w:color="auto"/>
      </w:divBdr>
    </w:div>
    <w:div w:id="1650405574">
      <w:bodyDiv w:val="1"/>
      <w:marLeft w:val="0"/>
      <w:marRight w:val="0"/>
      <w:marTop w:val="0"/>
      <w:marBottom w:val="0"/>
      <w:divBdr>
        <w:top w:val="none" w:sz="0" w:space="0" w:color="auto"/>
        <w:left w:val="none" w:sz="0" w:space="0" w:color="auto"/>
        <w:bottom w:val="none" w:sz="0" w:space="0" w:color="auto"/>
        <w:right w:val="none" w:sz="0" w:space="0" w:color="auto"/>
      </w:divBdr>
    </w:div>
    <w:div w:id="1651597929">
      <w:bodyDiv w:val="1"/>
      <w:marLeft w:val="0"/>
      <w:marRight w:val="0"/>
      <w:marTop w:val="0"/>
      <w:marBottom w:val="0"/>
      <w:divBdr>
        <w:top w:val="none" w:sz="0" w:space="0" w:color="auto"/>
        <w:left w:val="none" w:sz="0" w:space="0" w:color="auto"/>
        <w:bottom w:val="none" w:sz="0" w:space="0" w:color="auto"/>
        <w:right w:val="none" w:sz="0" w:space="0" w:color="auto"/>
      </w:divBdr>
    </w:div>
    <w:div w:id="1653290121">
      <w:bodyDiv w:val="1"/>
      <w:marLeft w:val="0"/>
      <w:marRight w:val="0"/>
      <w:marTop w:val="0"/>
      <w:marBottom w:val="0"/>
      <w:divBdr>
        <w:top w:val="none" w:sz="0" w:space="0" w:color="auto"/>
        <w:left w:val="none" w:sz="0" w:space="0" w:color="auto"/>
        <w:bottom w:val="none" w:sz="0" w:space="0" w:color="auto"/>
        <w:right w:val="none" w:sz="0" w:space="0" w:color="auto"/>
      </w:divBdr>
    </w:div>
    <w:div w:id="1654328806">
      <w:bodyDiv w:val="1"/>
      <w:marLeft w:val="0"/>
      <w:marRight w:val="0"/>
      <w:marTop w:val="0"/>
      <w:marBottom w:val="0"/>
      <w:divBdr>
        <w:top w:val="none" w:sz="0" w:space="0" w:color="auto"/>
        <w:left w:val="none" w:sz="0" w:space="0" w:color="auto"/>
        <w:bottom w:val="none" w:sz="0" w:space="0" w:color="auto"/>
        <w:right w:val="none" w:sz="0" w:space="0" w:color="auto"/>
      </w:divBdr>
    </w:div>
    <w:div w:id="1655991267">
      <w:bodyDiv w:val="1"/>
      <w:marLeft w:val="0"/>
      <w:marRight w:val="0"/>
      <w:marTop w:val="0"/>
      <w:marBottom w:val="0"/>
      <w:divBdr>
        <w:top w:val="none" w:sz="0" w:space="0" w:color="auto"/>
        <w:left w:val="none" w:sz="0" w:space="0" w:color="auto"/>
        <w:bottom w:val="none" w:sz="0" w:space="0" w:color="auto"/>
        <w:right w:val="none" w:sz="0" w:space="0" w:color="auto"/>
      </w:divBdr>
    </w:div>
    <w:div w:id="1656030129">
      <w:bodyDiv w:val="1"/>
      <w:marLeft w:val="0"/>
      <w:marRight w:val="0"/>
      <w:marTop w:val="0"/>
      <w:marBottom w:val="0"/>
      <w:divBdr>
        <w:top w:val="none" w:sz="0" w:space="0" w:color="auto"/>
        <w:left w:val="none" w:sz="0" w:space="0" w:color="auto"/>
        <w:bottom w:val="none" w:sz="0" w:space="0" w:color="auto"/>
        <w:right w:val="none" w:sz="0" w:space="0" w:color="auto"/>
      </w:divBdr>
    </w:div>
    <w:div w:id="1656376869">
      <w:bodyDiv w:val="1"/>
      <w:marLeft w:val="0"/>
      <w:marRight w:val="0"/>
      <w:marTop w:val="0"/>
      <w:marBottom w:val="0"/>
      <w:divBdr>
        <w:top w:val="none" w:sz="0" w:space="0" w:color="auto"/>
        <w:left w:val="none" w:sz="0" w:space="0" w:color="auto"/>
        <w:bottom w:val="none" w:sz="0" w:space="0" w:color="auto"/>
        <w:right w:val="none" w:sz="0" w:space="0" w:color="auto"/>
      </w:divBdr>
    </w:div>
    <w:div w:id="1656641777">
      <w:bodyDiv w:val="1"/>
      <w:marLeft w:val="0"/>
      <w:marRight w:val="0"/>
      <w:marTop w:val="0"/>
      <w:marBottom w:val="0"/>
      <w:divBdr>
        <w:top w:val="none" w:sz="0" w:space="0" w:color="auto"/>
        <w:left w:val="none" w:sz="0" w:space="0" w:color="auto"/>
        <w:bottom w:val="none" w:sz="0" w:space="0" w:color="auto"/>
        <w:right w:val="none" w:sz="0" w:space="0" w:color="auto"/>
      </w:divBdr>
    </w:div>
    <w:div w:id="1659336859">
      <w:bodyDiv w:val="1"/>
      <w:marLeft w:val="0"/>
      <w:marRight w:val="0"/>
      <w:marTop w:val="0"/>
      <w:marBottom w:val="0"/>
      <w:divBdr>
        <w:top w:val="none" w:sz="0" w:space="0" w:color="auto"/>
        <w:left w:val="none" w:sz="0" w:space="0" w:color="auto"/>
        <w:bottom w:val="none" w:sz="0" w:space="0" w:color="auto"/>
        <w:right w:val="none" w:sz="0" w:space="0" w:color="auto"/>
      </w:divBdr>
    </w:div>
    <w:div w:id="1663511784">
      <w:bodyDiv w:val="1"/>
      <w:marLeft w:val="0"/>
      <w:marRight w:val="0"/>
      <w:marTop w:val="0"/>
      <w:marBottom w:val="0"/>
      <w:divBdr>
        <w:top w:val="none" w:sz="0" w:space="0" w:color="auto"/>
        <w:left w:val="none" w:sz="0" w:space="0" w:color="auto"/>
        <w:bottom w:val="none" w:sz="0" w:space="0" w:color="auto"/>
        <w:right w:val="none" w:sz="0" w:space="0" w:color="auto"/>
      </w:divBdr>
    </w:div>
    <w:div w:id="1666400130">
      <w:bodyDiv w:val="1"/>
      <w:marLeft w:val="0"/>
      <w:marRight w:val="0"/>
      <w:marTop w:val="0"/>
      <w:marBottom w:val="0"/>
      <w:divBdr>
        <w:top w:val="none" w:sz="0" w:space="0" w:color="auto"/>
        <w:left w:val="none" w:sz="0" w:space="0" w:color="auto"/>
        <w:bottom w:val="none" w:sz="0" w:space="0" w:color="auto"/>
        <w:right w:val="none" w:sz="0" w:space="0" w:color="auto"/>
      </w:divBdr>
    </w:div>
    <w:div w:id="1666858741">
      <w:bodyDiv w:val="1"/>
      <w:marLeft w:val="0"/>
      <w:marRight w:val="0"/>
      <w:marTop w:val="0"/>
      <w:marBottom w:val="0"/>
      <w:divBdr>
        <w:top w:val="none" w:sz="0" w:space="0" w:color="auto"/>
        <w:left w:val="none" w:sz="0" w:space="0" w:color="auto"/>
        <w:bottom w:val="none" w:sz="0" w:space="0" w:color="auto"/>
        <w:right w:val="none" w:sz="0" w:space="0" w:color="auto"/>
      </w:divBdr>
    </w:div>
    <w:div w:id="1669213207">
      <w:bodyDiv w:val="1"/>
      <w:marLeft w:val="0"/>
      <w:marRight w:val="0"/>
      <w:marTop w:val="0"/>
      <w:marBottom w:val="0"/>
      <w:divBdr>
        <w:top w:val="none" w:sz="0" w:space="0" w:color="auto"/>
        <w:left w:val="none" w:sz="0" w:space="0" w:color="auto"/>
        <w:bottom w:val="none" w:sz="0" w:space="0" w:color="auto"/>
        <w:right w:val="none" w:sz="0" w:space="0" w:color="auto"/>
      </w:divBdr>
    </w:div>
    <w:div w:id="1672833434">
      <w:bodyDiv w:val="1"/>
      <w:marLeft w:val="0"/>
      <w:marRight w:val="0"/>
      <w:marTop w:val="0"/>
      <w:marBottom w:val="0"/>
      <w:divBdr>
        <w:top w:val="none" w:sz="0" w:space="0" w:color="auto"/>
        <w:left w:val="none" w:sz="0" w:space="0" w:color="auto"/>
        <w:bottom w:val="none" w:sz="0" w:space="0" w:color="auto"/>
        <w:right w:val="none" w:sz="0" w:space="0" w:color="auto"/>
      </w:divBdr>
    </w:div>
    <w:div w:id="1673992477">
      <w:bodyDiv w:val="1"/>
      <w:marLeft w:val="0"/>
      <w:marRight w:val="0"/>
      <w:marTop w:val="0"/>
      <w:marBottom w:val="0"/>
      <w:divBdr>
        <w:top w:val="none" w:sz="0" w:space="0" w:color="auto"/>
        <w:left w:val="none" w:sz="0" w:space="0" w:color="auto"/>
        <w:bottom w:val="none" w:sz="0" w:space="0" w:color="auto"/>
        <w:right w:val="none" w:sz="0" w:space="0" w:color="auto"/>
      </w:divBdr>
    </w:div>
    <w:div w:id="1676032796">
      <w:bodyDiv w:val="1"/>
      <w:marLeft w:val="0"/>
      <w:marRight w:val="0"/>
      <w:marTop w:val="0"/>
      <w:marBottom w:val="0"/>
      <w:divBdr>
        <w:top w:val="none" w:sz="0" w:space="0" w:color="auto"/>
        <w:left w:val="none" w:sz="0" w:space="0" w:color="auto"/>
        <w:bottom w:val="none" w:sz="0" w:space="0" w:color="auto"/>
        <w:right w:val="none" w:sz="0" w:space="0" w:color="auto"/>
      </w:divBdr>
    </w:div>
    <w:div w:id="1676223911">
      <w:bodyDiv w:val="1"/>
      <w:marLeft w:val="0"/>
      <w:marRight w:val="0"/>
      <w:marTop w:val="0"/>
      <w:marBottom w:val="0"/>
      <w:divBdr>
        <w:top w:val="none" w:sz="0" w:space="0" w:color="auto"/>
        <w:left w:val="none" w:sz="0" w:space="0" w:color="auto"/>
        <w:bottom w:val="none" w:sz="0" w:space="0" w:color="auto"/>
        <w:right w:val="none" w:sz="0" w:space="0" w:color="auto"/>
      </w:divBdr>
    </w:div>
    <w:div w:id="1676375252">
      <w:bodyDiv w:val="1"/>
      <w:marLeft w:val="0"/>
      <w:marRight w:val="0"/>
      <w:marTop w:val="0"/>
      <w:marBottom w:val="0"/>
      <w:divBdr>
        <w:top w:val="none" w:sz="0" w:space="0" w:color="auto"/>
        <w:left w:val="none" w:sz="0" w:space="0" w:color="auto"/>
        <w:bottom w:val="none" w:sz="0" w:space="0" w:color="auto"/>
        <w:right w:val="none" w:sz="0" w:space="0" w:color="auto"/>
      </w:divBdr>
    </w:div>
    <w:div w:id="1678534405">
      <w:bodyDiv w:val="1"/>
      <w:marLeft w:val="0"/>
      <w:marRight w:val="0"/>
      <w:marTop w:val="0"/>
      <w:marBottom w:val="0"/>
      <w:divBdr>
        <w:top w:val="none" w:sz="0" w:space="0" w:color="auto"/>
        <w:left w:val="none" w:sz="0" w:space="0" w:color="auto"/>
        <w:bottom w:val="none" w:sz="0" w:space="0" w:color="auto"/>
        <w:right w:val="none" w:sz="0" w:space="0" w:color="auto"/>
      </w:divBdr>
    </w:div>
    <w:div w:id="1678537742">
      <w:bodyDiv w:val="1"/>
      <w:marLeft w:val="0"/>
      <w:marRight w:val="0"/>
      <w:marTop w:val="0"/>
      <w:marBottom w:val="0"/>
      <w:divBdr>
        <w:top w:val="none" w:sz="0" w:space="0" w:color="auto"/>
        <w:left w:val="none" w:sz="0" w:space="0" w:color="auto"/>
        <w:bottom w:val="none" w:sz="0" w:space="0" w:color="auto"/>
        <w:right w:val="none" w:sz="0" w:space="0" w:color="auto"/>
      </w:divBdr>
    </w:div>
    <w:div w:id="1683816961">
      <w:bodyDiv w:val="1"/>
      <w:marLeft w:val="0"/>
      <w:marRight w:val="0"/>
      <w:marTop w:val="0"/>
      <w:marBottom w:val="0"/>
      <w:divBdr>
        <w:top w:val="none" w:sz="0" w:space="0" w:color="auto"/>
        <w:left w:val="none" w:sz="0" w:space="0" w:color="auto"/>
        <w:bottom w:val="none" w:sz="0" w:space="0" w:color="auto"/>
        <w:right w:val="none" w:sz="0" w:space="0" w:color="auto"/>
      </w:divBdr>
    </w:div>
    <w:div w:id="1684824333">
      <w:bodyDiv w:val="1"/>
      <w:marLeft w:val="0"/>
      <w:marRight w:val="0"/>
      <w:marTop w:val="0"/>
      <w:marBottom w:val="0"/>
      <w:divBdr>
        <w:top w:val="none" w:sz="0" w:space="0" w:color="auto"/>
        <w:left w:val="none" w:sz="0" w:space="0" w:color="auto"/>
        <w:bottom w:val="none" w:sz="0" w:space="0" w:color="auto"/>
        <w:right w:val="none" w:sz="0" w:space="0" w:color="auto"/>
      </w:divBdr>
    </w:div>
    <w:div w:id="1685211229">
      <w:bodyDiv w:val="1"/>
      <w:marLeft w:val="0"/>
      <w:marRight w:val="0"/>
      <w:marTop w:val="0"/>
      <w:marBottom w:val="0"/>
      <w:divBdr>
        <w:top w:val="none" w:sz="0" w:space="0" w:color="auto"/>
        <w:left w:val="none" w:sz="0" w:space="0" w:color="auto"/>
        <w:bottom w:val="none" w:sz="0" w:space="0" w:color="auto"/>
        <w:right w:val="none" w:sz="0" w:space="0" w:color="auto"/>
      </w:divBdr>
    </w:div>
    <w:div w:id="1690906779">
      <w:bodyDiv w:val="1"/>
      <w:marLeft w:val="0"/>
      <w:marRight w:val="0"/>
      <w:marTop w:val="0"/>
      <w:marBottom w:val="0"/>
      <w:divBdr>
        <w:top w:val="none" w:sz="0" w:space="0" w:color="auto"/>
        <w:left w:val="none" w:sz="0" w:space="0" w:color="auto"/>
        <w:bottom w:val="none" w:sz="0" w:space="0" w:color="auto"/>
        <w:right w:val="none" w:sz="0" w:space="0" w:color="auto"/>
      </w:divBdr>
    </w:div>
    <w:div w:id="1691567188">
      <w:bodyDiv w:val="1"/>
      <w:marLeft w:val="0"/>
      <w:marRight w:val="0"/>
      <w:marTop w:val="0"/>
      <w:marBottom w:val="0"/>
      <w:divBdr>
        <w:top w:val="none" w:sz="0" w:space="0" w:color="auto"/>
        <w:left w:val="none" w:sz="0" w:space="0" w:color="auto"/>
        <w:bottom w:val="none" w:sz="0" w:space="0" w:color="auto"/>
        <w:right w:val="none" w:sz="0" w:space="0" w:color="auto"/>
      </w:divBdr>
    </w:div>
    <w:div w:id="1693526835">
      <w:bodyDiv w:val="1"/>
      <w:marLeft w:val="0"/>
      <w:marRight w:val="0"/>
      <w:marTop w:val="0"/>
      <w:marBottom w:val="0"/>
      <w:divBdr>
        <w:top w:val="none" w:sz="0" w:space="0" w:color="auto"/>
        <w:left w:val="none" w:sz="0" w:space="0" w:color="auto"/>
        <w:bottom w:val="none" w:sz="0" w:space="0" w:color="auto"/>
        <w:right w:val="none" w:sz="0" w:space="0" w:color="auto"/>
      </w:divBdr>
    </w:div>
    <w:div w:id="1693532405">
      <w:bodyDiv w:val="1"/>
      <w:marLeft w:val="0"/>
      <w:marRight w:val="0"/>
      <w:marTop w:val="0"/>
      <w:marBottom w:val="0"/>
      <w:divBdr>
        <w:top w:val="none" w:sz="0" w:space="0" w:color="auto"/>
        <w:left w:val="none" w:sz="0" w:space="0" w:color="auto"/>
        <w:bottom w:val="none" w:sz="0" w:space="0" w:color="auto"/>
        <w:right w:val="none" w:sz="0" w:space="0" w:color="auto"/>
      </w:divBdr>
    </w:div>
    <w:div w:id="1695645191">
      <w:bodyDiv w:val="1"/>
      <w:marLeft w:val="0"/>
      <w:marRight w:val="0"/>
      <w:marTop w:val="0"/>
      <w:marBottom w:val="0"/>
      <w:divBdr>
        <w:top w:val="none" w:sz="0" w:space="0" w:color="auto"/>
        <w:left w:val="none" w:sz="0" w:space="0" w:color="auto"/>
        <w:bottom w:val="none" w:sz="0" w:space="0" w:color="auto"/>
        <w:right w:val="none" w:sz="0" w:space="0" w:color="auto"/>
      </w:divBdr>
    </w:div>
    <w:div w:id="1700280197">
      <w:bodyDiv w:val="1"/>
      <w:marLeft w:val="0"/>
      <w:marRight w:val="0"/>
      <w:marTop w:val="0"/>
      <w:marBottom w:val="0"/>
      <w:divBdr>
        <w:top w:val="none" w:sz="0" w:space="0" w:color="auto"/>
        <w:left w:val="none" w:sz="0" w:space="0" w:color="auto"/>
        <w:bottom w:val="none" w:sz="0" w:space="0" w:color="auto"/>
        <w:right w:val="none" w:sz="0" w:space="0" w:color="auto"/>
      </w:divBdr>
    </w:div>
    <w:div w:id="1701929800">
      <w:bodyDiv w:val="1"/>
      <w:marLeft w:val="0"/>
      <w:marRight w:val="0"/>
      <w:marTop w:val="0"/>
      <w:marBottom w:val="0"/>
      <w:divBdr>
        <w:top w:val="none" w:sz="0" w:space="0" w:color="auto"/>
        <w:left w:val="none" w:sz="0" w:space="0" w:color="auto"/>
        <w:bottom w:val="none" w:sz="0" w:space="0" w:color="auto"/>
        <w:right w:val="none" w:sz="0" w:space="0" w:color="auto"/>
      </w:divBdr>
    </w:div>
    <w:div w:id="1702047636">
      <w:bodyDiv w:val="1"/>
      <w:marLeft w:val="0"/>
      <w:marRight w:val="0"/>
      <w:marTop w:val="0"/>
      <w:marBottom w:val="0"/>
      <w:divBdr>
        <w:top w:val="none" w:sz="0" w:space="0" w:color="auto"/>
        <w:left w:val="none" w:sz="0" w:space="0" w:color="auto"/>
        <w:bottom w:val="none" w:sz="0" w:space="0" w:color="auto"/>
        <w:right w:val="none" w:sz="0" w:space="0" w:color="auto"/>
      </w:divBdr>
    </w:div>
    <w:div w:id="1704863298">
      <w:bodyDiv w:val="1"/>
      <w:marLeft w:val="0"/>
      <w:marRight w:val="0"/>
      <w:marTop w:val="0"/>
      <w:marBottom w:val="0"/>
      <w:divBdr>
        <w:top w:val="none" w:sz="0" w:space="0" w:color="auto"/>
        <w:left w:val="none" w:sz="0" w:space="0" w:color="auto"/>
        <w:bottom w:val="none" w:sz="0" w:space="0" w:color="auto"/>
        <w:right w:val="none" w:sz="0" w:space="0" w:color="auto"/>
      </w:divBdr>
    </w:div>
    <w:div w:id="1706559211">
      <w:bodyDiv w:val="1"/>
      <w:marLeft w:val="0"/>
      <w:marRight w:val="0"/>
      <w:marTop w:val="0"/>
      <w:marBottom w:val="0"/>
      <w:divBdr>
        <w:top w:val="none" w:sz="0" w:space="0" w:color="auto"/>
        <w:left w:val="none" w:sz="0" w:space="0" w:color="auto"/>
        <w:bottom w:val="none" w:sz="0" w:space="0" w:color="auto"/>
        <w:right w:val="none" w:sz="0" w:space="0" w:color="auto"/>
      </w:divBdr>
    </w:div>
    <w:div w:id="1707096006">
      <w:bodyDiv w:val="1"/>
      <w:marLeft w:val="0"/>
      <w:marRight w:val="0"/>
      <w:marTop w:val="0"/>
      <w:marBottom w:val="0"/>
      <w:divBdr>
        <w:top w:val="none" w:sz="0" w:space="0" w:color="auto"/>
        <w:left w:val="none" w:sz="0" w:space="0" w:color="auto"/>
        <w:bottom w:val="none" w:sz="0" w:space="0" w:color="auto"/>
        <w:right w:val="none" w:sz="0" w:space="0" w:color="auto"/>
      </w:divBdr>
    </w:div>
    <w:div w:id="1714235310">
      <w:bodyDiv w:val="1"/>
      <w:marLeft w:val="0"/>
      <w:marRight w:val="0"/>
      <w:marTop w:val="0"/>
      <w:marBottom w:val="0"/>
      <w:divBdr>
        <w:top w:val="none" w:sz="0" w:space="0" w:color="auto"/>
        <w:left w:val="none" w:sz="0" w:space="0" w:color="auto"/>
        <w:bottom w:val="none" w:sz="0" w:space="0" w:color="auto"/>
        <w:right w:val="none" w:sz="0" w:space="0" w:color="auto"/>
      </w:divBdr>
    </w:div>
    <w:div w:id="1714697299">
      <w:bodyDiv w:val="1"/>
      <w:marLeft w:val="0"/>
      <w:marRight w:val="0"/>
      <w:marTop w:val="0"/>
      <w:marBottom w:val="0"/>
      <w:divBdr>
        <w:top w:val="none" w:sz="0" w:space="0" w:color="auto"/>
        <w:left w:val="none" w:sz="0" w:space="0" w:color="auto"/>
        <w:bottom w:val="none" w:sz="0" w:space="0" w:color="auto"/>
        <w:right w:val="none" w:sz="0" w:space="0" w:color="auto"/>
      </w:divBdr>
    </w:div>
    <w:div w:id="1719012770">
      <w:bodyDiv w:val="1"/>
      <w:marLeft w:val="0"/>
      <w:marRight w:val="0"/>
      <w:marTop w:val="0"/>
      <w:marBottom w:val="0"/>
      <w:divBdr>
        <w:top w:val="none" w:sz="0" w:space="0" w:color="auto"/>
        <w:left w:val="none" w:sz="0" w:space="0" w:color="auto"/>
        <w:bottom w:val="none" w:sz="0" w:space="0" w:color="auto"/>
        <w:right w:val="none" w:sz="0" w:space="0" w:color="auto"/>
      </w:divBdr>
    </w:div>
    <w:div w:id="1723023248">
      <w:bodyDiv w:val="1"/>
      <w:marLeft w:val="0"/>
      <w:marRight w:val="0"/>
      <w:marTop w:val="0"/>
      <w:marBottom w:val="0"/>
      <w:divBdr>
        <w:top w:val="none" w:sz="0" w:space="0" w:color="auto"/>
        <w:left w:val="none" w:sz="0" w:space="0" w:color="auto"/>
        <w:bottom w:val="none" w:sz="0" w:space="0" w:color="auto"/>
        <w:right w:val="none" w:sz="0" w:space="0" w:color="auto"/>
      </w:divBdr>
    </w:div>
    <w:div w:id="1723408637">
      <w:bodyDiv w:val="1"/>
      <w:marLeft w:val="0"/>
      <w:marRight w:val="0"/>
      <w:marTop w:val="0"/>
      <w:marBottom w:val="0"/>
      <w:divBdr>
        <w:top w:val="none" w:sz="0" w:space="0" w:color="auto"/>
        <w:left w:val="none" w:sz="0" w:space="0" w:color="auto"/>
        <w:bottom w:val="none" w:sz="0" w:space="0" w:color="auto"/>
        <w:right w:val="none" w:sz="0" w:space="0" w:color="auto"/>
      </w:divBdr>
    </w:div>
    <w:div w:id="1724645440">
      <w:bodyDiv w:val="1"/>
      <w:marLeft w:val="0"/>
      <w:marRight w:val="0"/>
      <w:marTop w:val="0"/>
      <w:marBottom w:val="0"/>
      <w:divBdr>
        <w:top w:val="none" w:sz="0" w:space="0" w:color="auto"/>
        <w:left w:val="none" w:sz="0" w:space="0" w:color="auto"/>
        <w:bottom w:val="none" w:sz="0" w:space="0" w:color="auto"/>
        <w:right w:val="none" w:sz="0" w:space="0" w:color="auto"/>
      </w:divBdr>
    </w:div>
    <w:div w:id="1727336135">
      <w:bodyDiv w:val="1"/>
      <w:marLeft w:val="0"/>
      <w:marRight w:val="0"/>
      <w:marTop w:val="0"/>
      <w:marBottom w:val="0"/>
      <w:divBdr>
        <w:top w:val="none" w:sz="0" w:space="0" w:color="auto"/>
        <w:left w:val="none" w:sz="0" w:space="0" w:color="auto"/>
        <w:bottom w:val="none" w:sz="0" w:space="0" w:color="auto"/>
        <w:right w:val="none" w:sz="0" w:space="0" w:color="auto"/>
      </w:divBdr>
    </w:div>
    <w:div w:id="1727491936">
      <w:bodyDiv w:val="1"/>
      <w:marLeft w:val="0"/>
      <w:marRight w:val="0"/>
      <w:marTop w:val="0"/>
      <w:marBottom w:val="0"/>
      <w:divBdr>
        <w:top w:val="none" w:sz="0" w:space="0" w:color="auto"/>
        <w:left w:val="none" w:sz="0" w:space="0" w:color="auto"/>
        <w:bottom w:val="none" w:sz="0" w:space="0" w:color="auto"/>
        <w:right w:val="none" w:sz="0" w:space="0" w:color="auto"/>
      </w:divBdr>
    </w:div>
    <w:div w:id="1735545904">
      <w:bodyDiv w:val="1"/>
      <w:marLeft w:val="0"/>
      <w:marRight w:val="0"/>
      <w:marTop w:val="0"/>
      <w:marBottom w:val="0"/>
      <w:divBdr>
        <w:top w:val="none" w:sz="0" w:space="0" w:color="auto"/>
        <w:left w:val="none" w:sz="0" w:space="0" w:color="auto"/>
        <w:bottom w:val="none" w:sz="0" w:space="0" w:color="auto"/>
        <w:right w:val="none" w:sz="0" w:space="0" w:color="auto"/>
      </w:divBdr>
    </w:div>
    <w:div w:id="1737587020">
      <w:bodyDiv w:val="1"/>
      <w:marLeft w:val="0"/>
      <w:marRight w:val="0"/>
      <w:marTop w:val="0"/>
      <w:marBottom w:val="0"/>
      <w:divBdr>
        <w:top w:val="none" w:sz="0" w:space="0" w:color="auto"/>
        <w:left w:val="none" w:sz="0" w:space="0" w:color="auto"/>
        <w:bottom w:val="none" w:sz="0" w:space="0" w:color="auto"/>
        <w:right w:val="none" w:sz="0" w:space="0" w:color="auto"/>
      </w:divBdr>
    </w:div>
    <w:div w:id="1740640468">
      <w:bodyDiv w:val="1"/>
      <w:marLeft w:val="0"/>
      <w:marRight w:val="0"/>
      <w:marTop w:val="0"/>
      <w:marBottom w:val="0"/>
      <w:divBdr>
        <w:top w:val="none" w:sz="0" w:space="0" w:color="auto"/>
        <w:left w:val="none" w:sz="0" w:space="0" w:color="auto"/>
        <w:bottom w:val="none" w:sz="0" w:space="0" w:color="auto"/>
        <w:right w:val="none" w:sz="0" w:space="0" w:color="auto"/>
      </w:divBdr>
    </w:div>
    <w:div w:id="1740899600">
      <w:bodyDiv w:val="1"/>
      <w:marLeft w:val="0"/>
      <w:marRight w:val="0"/>
      <w:marTop w:val="0"/>
      <w:marBottom w:val="0"/>
      <w:divBdr>
        <w:top w:val="none" w:sz="0" w:space="0" w:color="auto"/>
        <w:left w:val="none" w:sz="0" w:space="0" w:color="auto"/>
        <w:bottom w:val="none" w:sz="0" w:space="0" w:color="auto"/>
        <w:right w:val="none" w:sz="0" w:space="0" w:color="auto"/>
      </w:divBdr>
    </w:div>
    <w:div w:id="1742292588">
      <w:bodyDiv w:val="1"/>
      <w:marLeft w:val="0"/>
      <w:marRight w:val="0"/>
      <w:marTop w:val="0"/>
      <w:marBottom w:val="0"/>
      <w:divBdr>
        <w:top w:val="none" w:sz="0" w:space="0" w:color="auto"/>
        <w:left w:val="none" w:sz="0" w:space="0" w:color="auto"/>
        <w:bottom w:val="none" w:sz="0" w:space="0" w:color="auto"/>
        <w:right w:val="none" w:sz="0" w:space="0" w:color="auto"/>
      </w:divBdr>
    </w:div>
    <w:div w:id="1750343059">
      <w:bodyDiv w:val="1"/>
      <w:marLeft w:val="0"/>
      <w:marRight w:val="0"/>
      <w:marTop w:val="0"/>
      <w:marBottom w:val="0"/>
      <w:divBdr>
        <w:top w:val="none" w:sz="0" w:space="0" w:color="auto"/>
        <w:left w:val="none" w:sz="0" w:space="0" w:color="auto"/>
        <w:bottom w:val="none" w:sz="0" w:space="0" w:color="auto"/>
        <w:right w:val="none" w:sz="0" w:space="0" w:color="auto"/>
      </w:divBdr>
    </w:div>
    <w:div w:id="1750887059">
      <w:bodyDiv w:val="1"/>
      <w:marLeft w:val="0"/>
      <w:marRight w:val="0"/>
      <w:marTop w:val="0"/>
      <w:marBottom w:val="0"/>
      <w:divBdr>
        <w:top w:val="none" w:sz="0" w:space="0" w:color="auto"/>
        <w:left w:val="none" w:sz="0" w:space="0" w:color="auto"/>
        <w:bottom w:val="none" w:sz="0" w:space="0" w:color="auto"/>
        <w:right w:val="none" w:sz="0" w:space="0" w:color="auto"/>
      </w:divBdr>
    </w:div>
    <w:div w:id="1759254610">
      <w:bodyDiv w:val="1"/>
      <w:marLeft w:val="0"/>
      <w:marRight w:val="0"/>
      <w:marTop w:val="0"/>
      <w:marBottom w:val="0"/>
      <w:divBdr>
        <w:top w:val="none" w:sz="0" w:space="0" w:color="auto"/>
        <w:left w:val="none" w:sz="0" w:space="0" w:color="auto"/>
        <w:bottom w:val="none" w:sz="0" w:space="0" w:color="auto"/>
        <w:right w:val="none" w:sz="0" w:space="0" w:color="auto"/>
      </w:divBdr>
    </w:div>
    <w:div w:id="1759405014">
      <w:bodyDiv w:val="1"/>
      <w:marLeft w:val="0"/>
      <w:marRight w:val="0"/>
      <w:marTop w:val="0"/>
      <w:marBottom w:val="0"/>
      <w:divBdr>
        <w:top w:val="none" w:sz="0" w:space="0" w:color="auto"/>
        <w:left w:val="none" w:sz="0" w:space="0" w:color="auto"/>
        <w:bottom w:val="none" w:sz="0" w:space="0" w:color="auto"/>
        <w:right w:val="none" w:sz="0" w:space="0" w:color="auto"/>
      </w:divBdr>
    </w:div>
    <w:div w:id="1759474203">
      <w:bodyDiv w:val="1"/>
      <w:marLeft w:val="0"/>
      <w:marRight w:val="0"/>
      <w:marTop w:val="0"/>
      <w:marBottom w:val="0"/>
      <w:divBdr>
        <w:top w:val="none" w:sz="0" w:space="0" w:color="auto"/>
        <w:left w:val="none" w:sz="0" w:space="0" w:color="auto"/>
        <w:bottom w:val="none" w:sz="0" w:space="0" w:color="auto"/>
        <w:right w:val="none" w:sz="0" w:space="0" w:color="auto"/>
      </w:divBdr>
    </w:div>
    <w:div w:id="1764492279">
      <w:bodyDiv w:val="1"/>
      <w:marLeft w:val="0"/>
      <w:marRight w:val="0"/>
      <w:marTop w:val="0"/>
      <w:marBottom w:val="0"/>
      <w:divBdr>
        <w:top w:val="none" w:sz="0" w:space="0" w:color="auto"/>
        <w:left w:val="none" w:sz="0" w:space="0" w:color="auto"/>
        <w:bottom w:val="none" w:sz="0" w:space="0" w:color="auto"/>
        <w:right w:val="none" w:sz="0" w:space="0" w:color="auto"/>
      </w:divBdr>
    </w:div>
    <w:div w:id="1765878216">
      <w:bodyDiv w:val="1"/>
      <w:marLeft w:val="0"/>
      <w:marRight w:val="0"/>
      <w:marTop w:val="0"/>
      <w:marBottom w:val="0"/>
      <w:divBdr>
        <w:top w:val="none" w:sz="0" w:space="0" w:color="auto"/>
        <w:left w:val="none" w:sz="0" w:space="0" w:color="auto"/>
        <w:bottom w:val="none" w:sz="0" w:space="0" w:color="auto"/>
        <w:right w:val="none" w:sz="0" w:space="0" w:color="auto"/>
      </w:divBdr>
    </w:div>
    <w:div w:id="1766460853">
      <w:bodyDiv w:val="1"/>
      <w:marLeft w:val="0"/>
      <w:marRight w:val="0"/>
      <w:marTop w:val="0"/>
      <w:marBottom w:val="0"/>
      <w:divBdr>
        <w:top w:val="none" w:sz="0" w:space="0" w:color="auto"/>
        <w:left w:val="none" w:sz="0" w:space="0" w:color="auto"/>
        <w:bottom w:val="none" w:sz="0" w:space="0" w:color="auto"/>
        <w:right w:val="none" w:sz="0" w:space="0" w:color="auto"/>
      </w:divBdr>
    </w:div>
    <w:div w:id="1771003483">
      <w:bodyDiv w:val="1"/>
      <w:marLeft w:val="0"/>
      <w:marRight w:val="0"/>
      <w:marTop w:val="0"/>
      <w:marBottom w:val="0"/>
      <w:divBdr>
        <w:top w:val="none" w:sz="0" w:space="0" w:color="auto"/>
        <w:left w:val="none" w:sz="0" w:space="0" w:color="auto"/>
        <w:bottom w:val="none" w:sz="0" w:space="0" w:color="auto"/>
        <w:right w:val="none" w:sz="0" w:space="0" w:color="auto"/>
      </w:divBdr>
    </w:div>
    <w:div w:id="1772236704">
      <w:bodyDiv w:val="1"/>
      <w:marLeft w:val="0"/>
      <w:marRight w:val="0"/>
      <w:marTop w:val="0"/>
      <w:marBottom w:val="0"/>
      <w:divBdr>
        <w:top w:val="none" w:sz="0" w:space="0" w:color="auto"/>
        <w:left w:val="none" w:sz="0" w:space="0" w:color="auto"/>
        <w:bottom w:val="none" w:sz="0" w:space="0" w:color="auto"/>
        <w:right w:val="none" w:sz="0" w:space="0" w:color="auto"/>
      </w:divBdr>
    </w:div>
    <w:div w:id="1774278553">
      <w:bodyDiv w:val="1"/>
      <w:marLeft w:val="0"/>
      <w:marRight w:val="0"/>
      <w:marTop w:val="0"/>
      <w:marBottom w:val="0"/>
      <w:divBdr>
        <w:top w:val="none" w:sz="0" w:space="0" w:color="auto"/>
        <w:left w:val="none" w:sz="0" w:space="0" w:color="auto"/>
        <w:bottom w:val="none" w:sz="0" w:space="0" w:color="auto"/>
        <w:right w:val="none" w:sz="0" w:space="0" w:color="auto"/>
      </w:divBdr>
    </w:div>
    <w:div w:id="1777169151">
      <w:bodyDiv w:val="1"/>
      <w:marLeft w:val="0"/>
      <w:marRight w:val="0"/>
      <w:marTop w:val="0"/>
      <w:marBottom w:val="0"/>
      <w:divBdr>
        <w:top w:val="none" w:sz="0" w:space="0" w:color="auto"/>
        <w:left w:val="none" w:sz="0" w:space="0" w:color="auto"/>
        <w:bottom w:val="none" w:sz="0" w:space="0" w:color="auto"/>
        <w:right w:val="none" w:sz="0" w:space="0" w:color="auto"/>
      </w:divBdr>
    </w:div>
    <w:div w:id="1778594580">
      <w:bodyDiv w:val="1"/>
      <w:marLeft w:val="0"/>
      <w:marRight w:val="0"/>
      <w:marTop w:val="0"/>
      <w:marBottom w:val="0"/>
      <w:divBdr>
        <w:top w:val="none" w:sz="0" w:space="0" w:color="auto"/>
        <w:left w:val="none" w:sz="0" w:space="0" w:color="auto"/>
        <w:bottom w:val="none" w:sz="0" w:space="0" w:color="auto"/>
        <w:right w:val="none" w:sz="0" w:space="0" w:color="auto"/>
      </w:divBdr>
    </w:div>
    <w:div w:id="1781025737">
      <w:bodyDiv w:val="1"/>
      <w:marLeft w:val="0"/>
      <w:marRight w:val="0"/>
      <w:marTop w:val="0"/>
      <w:marBottom w:val="0"/>
      <w:divBdr>
        <w:top w:val="none" w:sz="0" w:space="0" w:color="auto"/>
        <w:left w:val="none" w:sz="0" w:space="0" w:color="auto"/>
        <w:bottom w:val="none" w:sz="0" w:space="0" w:color="auto"/>
        <w:right w:val="none" w:sz="0" w:space="0" w:color="auto"/>
      </w:divBdr>
    </w:div>
    <w:div w:id="1781873997">
      <w:bodyDiv w:val="1"/>
      <w:marLeft w:val="0"/>
      <w:marRight w:val="0"/>
      <w:marTop w:val="0"/>
      <w:marBottom w:val="0"/>
      <w:divBdr>
        <w:top w:val="none" w:sz="0" w:space="0" w:color="auto"/>
        <w:left w:val="none" w:sz="0" w:space="0" w:color="auto"/>
        <w:bottom w:val="none" w:sz="0" w:space="0" w:color="auto"/>
        <w:right w:val="none" w:sz="0" w:space="0" w:color="auto"/>
      </w:divBdr>
      <w:divsChild>
        <w:div w:id="94325234">
          <w:marLeft w:val="0"/>
          <w:marRight w:val="0"/>
          <w:marTop w:val="0"/>
          <w:marBottom w:val="0"/>
          <w:divBdr>
            <w:top w:val="none" w:sz="0" w:space="0" w:color="auto"/>
            <w:left w:val="none" w:sz="0" w:space="0" w:color="auto"/>
            <w:bottom w:val="none" w:sz="0" w:space="0" w:color="auto"/>
            <w:right w:val="none" w:sz="0" w:space="0" w:color="auto"/>
          </w:divBdr>
          <w:divsChild>
            <w:div w:id="1819421486">
              <w:marLeft w:val="0"/>
              <w:marRight w:val="0"/>
              <w:marTop w:val="0"/>
              <w:marBottom w:val="0"/>
              <w:divBdr>
                <w:top w:val="none" w:sz="0" w:space="0" w:color="auto"/>
                <w:left w:val="none" w:sz="0" w:space="0" w:color="auto"/>
                <w:bottom w:val="none" w:sz="0" w:space="0" w:color="auto"/>
                <w:right w:val="none" w:sz="0" w:space="0" w:color="auto"/>
              </w:divBdr>
              <w:divsChild>
                <w:div w:id="2009668619">
                  <w:marLeft w:val="0"/>
                  <w:marRight w:val="0"/>
                  <w:marTop w:val="0"/>
                  <w:marBottom w:val="0"/>
                  <w:divBdr>
                    <w:top w:val="none" w:sz="0" w:space="0" w:color="auto"/>
                    <w:left w:val="none" w:sz="0" w:space="0" w:color="auto"/>
                    <w:bottom w:val="none" w:sz="0" w:space="0" w:color="auto"/>
                    <w:right w:val="none" w:sz="0" w:space="0" w:color="auto"/>
                  </w:divBdr>
                  <w:divsChild>
                    <w:div w:id="229854900">
                      <w:marLeft w:val="0"/>
                      <w:marRight w:val="0"/>
                      <w:marTop w:val="0"/>
                      <w:marBottom w:val="0"/>
                      <w:divBdr>
                        <w:top w:val="none" w:sz="0" w:space="0" w:color="auto"/>
                        <w:left w:val="none" w:sz="0" w:space="0" w:color="auto"/>
                        <w:bottom w:val="none" w:sz="0" w:space="0" w:color="auto"/>
                        <w:right w:val="none" w:sz="0" w:space="0" w:color="auto"/>
                      </w:divBdr>
                      <w:divsChild>
                        <w:div w:id="1321692525">
                          <w:marLeft w:val="0"/>
                          <w:marRight w:val="0"/>
                          <w:marTop w:val="0"/>
                          <w:marBottom w:val="0"/>
                          <w:divBdr>
                            <w:top w:val="none" w:sz="0" w:space="0" w:color="auto"/>
                            <w:left w:val="none" w:sz="0" w:space="0" w:color="auto"/>
                            <w:bottom w:val="none" w:sz="0" w:space="0" w:color="auto"/>
                            <w:right w:val="none" w:sz="0" w:space="0" w:color="auto"/>
                          </w:divBdr>
                          <w:divsChild>
                            <w:div w:id="1356687119">
                              <w:marLeft w:val="0"/>
                              <w:marRight w:val="0"/>
                              <w:marTop w:val="0"/>
                              <w:marBottom w:val="0"/>
                              <w:divBdr>
                                <w:top w:val="none" w:sz="0" w:space="0" w:color="auto"/>
                                <w:left w:val="none" w:sz="0" w:space="0" w:color="auto"/>
                                <w:bottom w:val="none" w:sz="0" w:space="0" w:color="auto"/>
                                <w:right w:val="none" w:sz="0" w:space="0" w:color="auto"/>
                              </w:divBdr>
                              <w:divsChild>
                                <w:div w:id="2067559561">
                                  <w:marLeft w:val="0"/>
                                  <w:marRight w:val="0"/>
                                  <w:marTop w:val="0"/>
                                  <w:marBottom w:val="0"/>
                                  <w:divBdr>
                                    <w:top w:val="none" w:sz="0" w:space="0" w:color="auto"/>
                                    <w:left w:val="none" w:sz="0" w:space="0" w:color="auto"/>
                                    <w:bottom w:val="none" w:sz="0" w:space="0" w:color="auto"/>
                                    <w:right w:val="none" w:sz="0" w:space="0" w:color="auto"/>
                                  </w:divBdr>
                                  <w:divsChild>
                                    <w:div w:id="1486583993">
                                      <w:marLeft w:val="0"/>
                                      <w:marRight w:val="0"/>
                                      <w:marTop w:val="0"/>
                                      <w:marBottom w:val="0"/>
                                      <w:divBdr>
                                        <w:top w:val="single" w:sz="4" w:space="0" w:color="F5F5F5"/>
                                        <w:left w:val="single" w:sz="4" w:space="0" w:color="F5F5F5"/>
                                        <w:bottom w:val="single" w:sz="4" w:space="0" w:color="F5F5F5"/>
                                        <w:right w:val="single" w:sz="4" w:space="0" w:color="F5F5F5"/>
                                      </w:divBdr>
                                      <w:divsChild>
                                        <w:div w:id="1641305740">
                                          <w:marLeft w:val="0"/>
                                          <w:marRight w:val="0"/>
                                          <w:marTop w:val="0"/>
                                          <w:marBottom w:val="0"/>
                                          <w:divBdr>
                                            <w:top w:val="none" w:sz="0" w:space="0" w:color="auto"/>
                                            <w:left w:val="none" w:sz="0" w:space="0" w:color="auto"/>
                                            <w:bottom w:val="none" w:sz="0" w:space="0" w:color="auto"/>
                                            <w:right w:val="none" w:sz="0" w:space="0" w:color="auto"/>
                                          </w:divBdr>
                                          <w:divsChild>
                                            <w:div w:id="4096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527447">
      <w:bodyDiv w:val="1"/>
      <w:marLeft w:val="0"/>
      <w:marRight w:val="0"/>
      <w:marTop w:val="0"/>
      <w:marBottom w:val="0"/>
      <w:divBdr>
        <w:top w:val="none" w:sz="0" w:space="0" w:color="auto"/>
        <w:left w:val="none" w:sz="0" w:space="0" w:color="auto"/>
        <w:bottom w:val="none" w:sz="0" w:space="0" w:color="auto"/>
        <w:right w:val="none" w:sz="0" w:space="0" w:color="auto"/>
      </w:divBdr>
    </w:div>
    <w:div w:id="1784228110">
      <w:bodyDiv w:val="1"/>
      <w:marLeft w:val="0"/>
      <w:marRight w:val="0"/>
      <w:marTop w:val="0"/>
      <w:marBottom w:val="0"/>
      <w:divBdr>
        <w:top w:val="none" w:sz="0" w:space="0" w:color="auto"/>
        <w:left w:val="none" w:sz="0" w:space="0" w:color="auto"/>
        <w:bottom w:val="none" w:sz="0" w:space="0" w:color="auto"/>
        <w:right w:val="none" w:sz="0" w:space="0" w:color="auto"/>
      </w:divBdr>
    </w:div>
    <w:div w:id="1785491283">
      <w:bodyDiv w:val="1"/>
      <w:marLeft w:val="0"/>
      <w:marRight w:val="0"/>
      <w:marTop w:val="0"/>
      <w:marBottom w:val="0"/>
      <w:divBdr>
        <w:top w:val="none" w:sz="0" w:space="0" w:color="auto"/>
        <w:left w:val="none" w:sz="0" w:space="0" w:color="auto"/>
        <w:bottom w:val="none" w:sz="0" w:space="0" w:color="auto"/>
        <w:right w:val="none" w:sz="0" w:space="0" w:color="auto"/>
      </w:divBdr>
    </w:div>
    <w:div w:id="1785492142">
      <w:bodyDiv w:val="1"/>
      <w:marLeft w:val="0"/>
      <w:marRight w:val="0"/>
      <w:marTop w:val="0"/>
      <w:marBottom w:val="0"/>
      <w:divBdr>
        <w:top w:val="none" w:sz="0" w:space="0" w:color="auto"/>
        <w:left w:val="none" w:sz="0" w:space="0" w:color="auto"/>
        <w:bottom w:val="none" w:sz="0" w:space="0" w:color="auto"/>
        <w:right w:val="none" w:sz="0" w:space="0" w:color="auto"/>
      </w:divBdr>
    </w:div>
    <w:div w:id="1786847864">
      <w:bodyDiv w:val="1"/>
      <w:marLeft w:val="0"/>
      <w:marRight w:val="0"/>
      <w:marTop w:val="0"/>
      <w:marBottom w:val="0"/>
      <w:divBdr>
        <w:top w:val="none" w:sz="0" w:space="0" w:color="auto"/>
        <w:left w:val="none" w:sz="0" w:space="0" w:color="auto"/>
        <w:bottom w:val="none" w:sz="0" w:space="0" w:color="auto"/>
        <w:right w:val="none" w:sz="0" w:space="0" w:color="auto"/>
      </w:divBdr>
    </w:div>
    <w:div w:id="1786926426">
      <w:bodyDiv w:val="1"/>
      <w:marLeft w:val="0"/>
      <w:marRight w:val="0"/>
      <w:marTop w:val="0"/>
      <w:marBottom w:val="0"/>
      <w:divBdr>
        <w:top w:val="none" w:sz="0" w:space="0" w:color="auto"/>
        <w:left w:val="none" w:sz="0" w:space="0" w:color="auto"/>
        <w:bottom w:val="none" w:sz="0" w:space="0" w:color="auto"/>
        <w:right w:val="none" w:sz="0" w:space="0" w:color="auto"/>
      </w:divBdr>
    </w:div>
    <w:div w:id="1787191239">
      <w:bodyDiv w:val="1"/>
      <w:marLeft w:val="0"/>
      <w:marRight w:val="0"/>
      <w:marTop w:val="0"/>
      <w:marBottom w:val="0"/>
      <w:divBdr>
        <w:top w:val="none" w:sz="0" w:space="0" w:color="auto"/>
        <w:left w:val="none" w:sz="0" w:space="0" w:color="auto"/>
        <w:bottom w:val="none" w:sz="0" w:space="0" w:color="auto"/>
        <w:right w:val="none" w:sz="0" w:space="0" w:color="auto"/>
      </w:divBdr>
    </w:div>
    <w:div w:id="1788044599">
      <w:bodyDiv w:val="1"/>
      <w:marLeft w:val="0"/>
      <w:marRight w:val="0"/>
      <w:marTop w:val="0"/>
      <w:marBottom w:val="0"/>
      <w:divBdr>
        <w:top w:val="none" w:sz="0" w:space="0" w:color="auto"/>
        <w:left w:val="none" w:sz="0" w:space="0" w:color="auto"/>
        <w:bottom w:val="none" w:sz="0" w:space="0" w:color="auto"/>
        <w:right w:val="none" w:sz="0" w:space="0" w:color="auto"/>
      </w:divBdr>
    </w:div>
    <w:div w:id="1788814118">
      <w:bodyDiv w:val="1"/>
      <w:marLeft w:val="0"/>
      <w:marRight w:val="0"/>
      <w:marTop w:val="0"/>
      <w:marBottom w:val="0"/>
      <w:divBdr>
        <w:top w:val="none" w:sz="0" w:space="0" w:color="auto"/>
        <w:left w:val="none" w:sz="0" w:space="0" w:color="auto"/>
        <w:bottom w:val="none" w:sz="0" w:space="0" w:color="auto"/>
        <w:right w:val="none" w:sz="0" w:space="0" w:color="auto"/>
      </w:divBdr>
    </w:div>
    <w:div w:id="1791388239">
      <w:bodyDiv w:val="1"/>
      <w:marLeft w:val="0"/>
      <w:marRight w:val="0"/>
      <w:marTop w:val="0"/>
      <w:marBottom w:val="0"/>
      <w:divBdr>
        <w:top w:val="none" w:sz="0" w:space="0" w:color="auto"/>
        <w:left w:val="none" w:sz="0" w:space="0" w:color="auto"/>
        <w:bottom w:val="none" w:sz="0" w:space="0" w:color="auto"/>
        <w:right w:val="none" w:sz="0" w:space="0" w:color="auto"/>
      </w:divBdr>
    </w:div>
    <w:div w:id="1793405212">
      <w:bodyDiv w:val="1"/>
      <w:marLeft w:val="0"/>
      <w:marRight w:val="0"/>
      <w:marTop w:val="0"/>
      <w:marBottom w:val="0"/>
      <w:divBdr>
        <w:top w:val="none" w:sz="0" w:space="0" w:color="auto"/>
        <w:left w:val="none" w:sz="0" w:space="0" w:color="auto"/>
        <w:bottom w:val="none" w:sz="0" w:space="0" w:color="auto"/>
        <w:right w:val="none" w:sz="0" w:space="0" w:color="auto"/>
      </w:divBdr>
    </w:div>
    <w:div w:id="1794253143">
      <w:bodyDiv w:val="1"/>
      <w:marLeft w:val="0"/>
      <w:marRight w:val="0"/>
      <w:marTop w:val="0"/>
      <w:marBottom w:val="0"/>
      <w:divBdr>
        <w:top w:val="none" w:sz="0" w:space="0" w:color="auto"/>
        <w:left w:val="none" w:sz="0" w:space="0" w:color="auto"/>
        <w:bottom w:val="none" w:sz="0" w:space="0" w:color="auto"/>
        <w:right w:val="none" w:sz="0" w:space="0" w:color="auto"/>
      </w:divBdr>
    </w:div>
    <w:div w:id="1796096380">
      <w:bodyDiv w:val="1"/>
      <w:marLeft w:val="0"/>
      <w:marRight w:val="0"/>
      <w:marTop w:val="0"/>
      <w:marBottom w:val="0"/>
      <w:divBdr>
        <w:top w:val="none" w:sz="0" w:space="0" w:color="auto"/>
        <w:left w:val="none" w:sz="0" w:space="0" w:color="auto"/>
        <w:bottom w:val="none" w:sz="0" w:space="0" w:color="auto"/>
        <w:right w:val="none" w:sz="0" w:space="0" w:color="auto"/>
      </w:divBdr>
    </w:div>
    <w:div w:id="1798333981">
      <w:bodyDiv w:val="1"/>
      <w:marLeft w:val="0"/>
      <w:marRight w:val="0"/>
      <w:marTop w:val="0"/>
      <w:marBottom w:val="0"/>
      <w:divBdr>
        <w:top w:val="none" w:sz="0" w:space="0" w:color="auto"/>
        <w:left w:val="none" w:sz="0" w:space="0" w:color="auto"/>
        <w:bottom w:val="none" w:sz="0" w:space="0" w:color="auto"/>
        <w:right w:val="none" w:sz="0" w:space="0" w:color="auto"/>
      </w:divBdr>
    </w:div>
    <w:div w:id="1799567205">
      <w:bodyDiv w:val="1"/>
      <w:marLeft w:val="0"/>
      <w:marRight w:val="0"/>
      <w:marTop w:val="0"/>
      <w:marBottom w:val="0"/>
      <w:divBdr>
        <w:top w:val="none" w:sz="0" w:space="0" w:color="auto"/>
        <w:left w:val="none" w:sz="0" w:space="0" w:color="auto"/>
        <w:bottom w:val="none" w:sz="0" w:space="0" w:color="auto"/>
        <w:right w:val="none" w:sz="0" w:space="0" w:color="auto"/>
      </w:divBdr>
    </w:div>
    <w:div w:id="1801994785">
      <w:bodyDiv w:val="1"/>
      <w:marLeft w:val="0"/>
      <w:marRight w:val="0"/>
      <w:marTop w:val="0"/>
      <w:marBottom w:val="0"/>
      <w:divBdr>
        <w:top w:val="none" w:sz="0" w:space="0" w:color="auto"/>
        <w:left w:val="none" w:sz="0" w:space="0" w:color="auto"/>
        <w:bottom w:val="none" w:sz="0" w:space="0" w:color="auto"/>
        <w:right w:val="none" w:sz="0" w:space="0" w:color="auto"/>
      </w:divBdr>
    </w:div>
    <w:div w:id="1802531723">
      <w:bodyDiv w:val="1"/>
      <w:marLeft w:val="0"/>
      <w:marRight w:val="0"/>
      <w:marTop w:val="0"/>
      <w:marBottom w:val="0"/>
      <w:divBdr>
        <w:top w:val="none" w:sz="0" w:space="0" w:color="auto"/>
        <w:left w:val="none" w:sz="0" w:space="0" w:color="auto"/>
        <w:bottom w:val="none" w:sz="0" w:space="0" w:color="auto"/>
        <w:right w:val="none" w:sz="0" w:space="0" w:color="auto"/>
      </w:divBdr>
    </w:div>
    <w:div w:id="1804927060">
      <w:bodyDiv w:val="1"/>
      <w:marLeft w:val="0"/>
      <w:marRight w:val="0"/>
      <w:marTop w:val="0"/>
      <w:marBottom w:val="0"/>
      <w:divBdr>
        <w:top w:val="none" w:sz="0" w:space="0" w:color="auto"/>
        <w:left w:val="none" w:sz="0" w:space="0" w:color="auto"/>
        <w:bottom w:val="none" w:sz="0" w:space="0" w:color="auto"/>
        <w:right w:val="none" w:sz="0" w:space="0" w:color="auto"/>
      </w:divBdr>
    </w:div>
    <w:div w:id="1807427104">
      <w:bodyDiv w:val="1"/>
      <w:marLeft w:val="0"/>
      <w:marRight w:val="0"/>
      <w:marTop w:val="0"/>
      <w:marBottom w:val="0"/>
      <w:divBdr>
        <w:top w:val="none" w:sz="0" w:space="0" w:color="auto"/>
        <w:left w:val="none" w:sz="0" w:space="0" w:color="auto"/>
        <w:bottom w:val="none" w:sz="0" w:space="0" w:color="auto"/>
        <w:right w:val="none" w:sz="0" w:space="0" w:color="auto"/>
      </w:divBdr>
    </w:div>
    <w:div w:id="1808695022">
      <w:bodyDiv w:val="1"/>
      <w:marLeft w:val="0"/>
      <w:marRight w:val="0"/>
      <w:marTop w:val="0"/>
      <w:marBottom w:val="0"/>
      <w:divBdr>
        <w:top w:val="none" w:sz="0" w:space="0" w:color="auto"/>
        <w:left w:val="none" w:sz="0" w:space="0" w:color="auto"/>
        <w:bottom w:val="none" w:sz="0" w:space="0" w:color="auto"/>
        <w:right w:val="none" w:sz="0" w:space="0" w:color="auto"/>
      </w:divBdr>
    </w:div>
    <w:div w:id="1809005538">
      <w:bodyDiv w:val="1"/>
      <w:marLeft w:val="0"/>
      <w:marRight w:val="0"/>
      <w:marTop w:val="0"/>
      <w:marBottom w:val="0"/>
      <w:divBdr>
        <w:top w:val="none" w:sz="0" w:space="0" w:color="auto"/>
        <w:left w:val="none" w:sz="0" w:space="0" w:color="auto"/>
        <w:bottom w:val="none" w:sz="0" w:space="0" w:color="auto"/>
        <w:right w:val="none" w:sz="0" w:space="0" w:color="auto"/>
      </w:divBdr>
    </w:div>
    <w:div w:id="1809586343">
      <w:bodyDiv w:val="1"/>
      <w:marLeft w:val="0"/>
      <w:marRight w:val="0"/>
      <w:marTop w:val="0"/>
      <w:marBottom w:val="0"/>
      <w:divBdr>
        <w:top w:val="none" w:sz="0" w:space="0" w:color="auto"/>
        <w:left w:val="none" w:sz="0" w:space="0" w:color="auto"/>
        <w:bottom w:val="none" w:sz="0" w:space="0" w:color="auto"/>
        <w:right w:val="none" w:sz="0" w:space="0" w:color="auto"/>
      </w:divBdr>
    </w:div>
    <w:div w:id="1811820793">
      <w:bodyDiv w:val="1"/>
      <w:marLeft w:val="0"/>
      <w:marRight w:val="0"/>
      <w:marTop w:val="0"/>
      <w:marBottom w:val="0"/>
      <w:divBdr>
        <w:top w:val="none" w:sz="0" w:space="0" w:color="auto"/>
        <w:left w:val="none" w:sz="0" w:space="0" w:color="auto"/>
        <w:bottom w:val="none" w:sz="0" w:space="0" w:color="auto"/>
        <w:right w:val="none" w:sz="0" w:space="0" w:color="auto"/>
      </w:divBdr>
    </w:div>
    <w:div w:id="1815876829">
      <w:bodyDiv w:val="1"/>
      <w:marLeft w:val="0"/>
      <w:marRight w:val="0"/>
      <w:marTop w:val="0"/>
      <w:marBottom w:val="0"/>
      <w:divBdr>
        <w:top w:val="none" w:sz="0" w:space="0" w:color="auto"/>
        <w:left w:val="none" w:sz="0" w:space="0" w:color="auto"/>
        <w:bottom w:val="none" w:sz="0" w:space="0" w:color="auto"/>
        <w:right w:val="none" w:sz="0" w:space="0" w:color="auto"/>
      </w:divBdr>
    </w:div>
    <w:div w:id="1818764851">
      <w:bodyDiv w:val="1"/>
      <w:marLeft w:val="0"/>
      <w:marRight w:val="0"/>
      <w:marTop w:val="0"/>
      <w:marBottom w:val="0"/>
      <w:divBdr>
        <w:top w:val="none" w:sz="0" w:space="0" w:color="auto"/>
        <w:left w:val="none" w:sz="0" w:space="0" w:color="auto"/>
        <w:bottom w:val="none" w:sz="0" w:space="0" w:color="auto"/>
        <w:right w:val="none" w:sz="0" w:space="0" w:color="auto"/>
      </w:divBdr>
    </w:div>
    <w:div w:id="1819303141">
      <w:bodyDiv w:val="1"/>
      <w:marLeft w:val="0"/>
      <w:marRight w:val="0"/>
      <w:marTop w:val="0"/>
      <w:marBottom w:val="0"/>
      <w:divBdr>
        <w:top w:val="none" w:sz="0" w:space="0" w:color="auto"/>
        <w:left w:val="none" w:sz="0" w:space="0" w:color="auto"/>
        <w:bottom w:val="none" w:sz="0" w:space="0" w:color="auto"/>
        <w:right w:val="none" w:sz="0" w:space="0" w:color="auto"/>
      </w:divBdr>
    </w:div>
    <w:div w:id="1819415824">
      <w:bodyDiv w:val="1"/>
      <w:marLeft w:val="0"/>
      <w:marRight w:val="0"/>
      <w:marTop w:val="0"/>
      <w:marBottom w:val="0"/>
      <w:divBdr>
        <w:top w:val="none" w:sz="0" w:space="0" w:color="auto"/>
        <w:left w:val="none" w:sz="0" w:space="0" w:color="auto"/>
        <w:bottom w:val="none" w:sz="0" w:space="0" w:color="auto"/>
        <w:right w:val="none" w:sz="0" w:space="0" w:color="auto"/>
      </w:divBdr>
    </w:div>
    <w:div w:id="1820609544">
      <w:bodyDiv w:val="1"/>
      <w:marLeft w:val="0"/>
      <w:marRight w:val="0"/>
      <w:marTop w:val="0"/>
      <w:marBottom w:val="0"/>
      <w:divBdr>
        <w:top w:val="none" w:sz="0" w:space="0" w:color="auto"/>
        <w:left w:val="none" w:sz="0" w:space="0" w:color="auto"/>
        <w:bottom w:val="none" w:sz="0" w:space="0" w:color="auto"/>
        <w:right w:val="none" w:sz="0" w:space="0" w:color="auto"/>
      </w:divBdr>
    </w:div>
    <w:div w:id="1824085444">
      <w:bodyDiv w:val="1"/>
      <w:marLeft w:val="0"/>
      <w:marRight w:val="0"/>
      <w:marTop w:val="0"/>
      <w:marBottom w:val="0"/>
      <w:divBdr>
        <w:top w:val="none" w:sz="0" w:space="0" w:color="auto"/>
        <w:left w:val="none" w:sz="0" w:space="0" w:color="auto"/>
        <w:bottom w:val="none" w:sz="0" w:space="0" w:color="auto"/>
        <w:right w:val="none" w:sz="0" w:space="0" w:color="auto"/>
      </w:divBdr>
    </w:div>
    <w:div w:id="1825315303">
      <w:bodyDiv w:val="1"/>
      <w:marLeft w:val="0"/>
      <w:marRight w:val="0"/>
      <w:marTop w:val="0"/>
      <w:marBottom w:val="0"/>
      <w:divBdr>
        <w:top w:val="none" w:sz="0" w:space="0" w:color="auto"/>
        <w:left w:val="none" w:sz="0" w:space="0" w:color="auto"/>
        <w:bottom w:val="none" w:sz="0" w:space="0" w:color="auto"/>
        <w:right w:val="none" w:sz="0" w:space="0" w:color="auto"/>
      </w:divBdr>
    </w:div>
    <w:div w:id="1825508095">
      <w:bodyDiv w:val="1"/>
      <w:marLeft w:val="0"/>
      <w:marRight w:val="0"/>
      <w:marTop w:val="0"/>
      <w:marBottom w:val="0"/>
      <w:divBdr>
        <w:top w:val="none" w:sz="0" w:space="0" w:color="auto"/>
        <w:left w:val="none" w:sz="0" w:space="0" w:color="auto"/>
        <w:bottom w:val="none" w:sz="0" w:space="0" w:color="auto"/>
        <w:right w:val="none" w:sz="0" w:space="0" w:color="auto"/>
      </w:divBdr>
    </w:div>
    <w:div w:id="1826504010">
      <w:bodyDiv w:val="1"/>
      <w:marLeft w:val="0"/>
      <w:marRight w:val="0"/>
      <w:marTop w:val="0"/>
      <w:marBottom w:val="0"/>
      <w:divBdr>
        <w:top w:val="none" w:sz="0" w:space="0" w:color="auto"/>
        <w:left w:val="none" w:sz="0" w:space="0" w:color="auto"/>
        <w:bottom w:val="none" w:sz="0" w:space="0" w:color="auto"/>
        <w:right w:val="none" w:sz="0" w:space="0" w:color="auto"/>
      </w:divBdr>
    </w:div>
    <w:div w:id="1827479213">
      <w:bodyDiv w:val="1"/>
      <w:marLeft w:val="0"/>
      <w:marRight w:val="0"/>
      <w:marTop w:val="0"/>
      <w:marBottom w:val="0"/>
      <w:divBdr>
        <w:top w:val="none" w:sz="0" w:space="0" w:color="auto"/>
        <w:left w:val="none" w:sz="0" w:space="0" w:color="auto"/>
        <w:bottom w:val="none" w:sz="0" w:space="0" w:color="auto"/>
        <w:right w:val="none" w:sz="0" w:space="0" w:color="auto"/>
      </w:divBdr>
    </w:div>
    <w:div w:id="1829401076">
      <w:bodyDiv w:val="1"/>
      <w:marLeft w:val="0"/>
      <w:marRight w:val="0"/>
      <w:marTop w:val="0"/>
      <w:marBottom w:val="0"/>
      <w:divBdr>
        <w:top w:val="none" w:sz="0" w:space="0" w:color="auto"/>
        <w:left w:val="none" w:sz="0" w:space="0" w:color="auto"/>
        <w:bottom w:val="none" w:sz="0" w:space="0" w:color="auto"/>
        <w:right w:val="none" w:sz="0" w:space="0" w:color="auto"/>
      </w:divBdr>
    </w:div>
    <w:div w:id="1832208337">
      <w:bodyDiv w:val="1"/>
      <w:marLeft w:val="0"/>
      <w:marRight w:val="0"/>
      <w:marTop w:val="0"/>
      <w:marBottom w:val="0"/>
      <w:divBdr>
        <w:top w:val="none" w:sz="0" w:space="0" w:color="auto"/>
        <w:left w:val="none" w:sz="0" w:space="0" w:color="auto"/>
        <w:bottom w:val="none" w:sz="0" w:space="0" w:color="auto"/>
        <w:right w:val="none" w:sz="0" w:space="0" w:color="auto"/>
      </w:divBdr>
    </w:div>
    <w:div w:id="1833793597">
      <w:bodyDiv w:val="1"/>
      <w:marLeft w:val="0"/>
      <w:marRight w:val="0"/>
      <w:marTop w:val="0"/>
      <w:marBottom w:val="0"/>
      <w:divBdr>
        <w:top w:val="none" w:sz="0" w:space="0" w:color="auto"/>
        <w:left w:val="none" w:sz="0" w:space="0" w:color="auto"/>
        <w:bottom w:val="none" w:sz="0" w:space="0" w:color="auto"/>
        <w:right w:val="none" w:sz="0" w:space="0" w:color="auto"/>
      </w:divBdr>
    </w:div>
    <w:div w:id="1840610002">
      <w:bodyDiv w:val="1"/>
      <w:marLeft w:val="0"/>
      <w:marRight w:val="0"/>
      <w:marTop w:val="0"/>
      <w:marBottom w:val="0"/>
      <w:divBdr>
        <w:top w:val="none" w:sz="0" w:space="0" w:color="auto"/>
        <w:left w:val="none" w:sz="0" w:space="0" w:color="auto"/>
        <w:bottom w:val="none" w:sz="0" w:space="0" w:color="auto"/>
        <w:right w:val="none" w:sz="0" w:space="0" w:color="auto"/>
      </w:divBdr>
    </w:div>
    <w:div w:id="1842310327">
      <w:bodyDiv w:val="1"/>
      <w:marLeft w:val="0"/>
      <w:marRight w:val="0"/>
      <w:marTop w:val="0"/>
      <w:marBottom w:val="0"/>
      <w:divBdr>
        <w:top w:val="none" w:sz="0" w:space="0" w:color="auto"/>
        <w:left w:val="none" w:sz="0" w:space="0" w:color="auto"/>
        <w:bottom w:val="none" w:sz="0" w:space="0" w:color="auto"/>
        <w:right w:val="none" w:sz="0" w:space="0" w:color="auto"/>
      </w:divBdr>
    </w:div>
    <w:div w:id="1842506767">
      <w:bodyDiv w:val="1"/>
      <w:marLeft w:val="0"/>
      <w:marRight w:val="0"/>
      <w:marTop w:val="0"/>
      <w:marBottom w:val="0"/>
      <w:divBdr>
        <w:top w:val="none" w:sz="0" w:space="0" w:color="auto"/>
        <w:left w:val="none" w:sz="0" w:space="0" w:color="auto"/>
        <w:bottom w:val="none" w:sz="0" w:space="0" w:color="auto"/>
        <w:right w:val="none" w:sz="0" w:space="0" w:color="auto"/>
      </w:divBdr>
    </w:div>
    <w:div w:id="1848716659">
      <w:bodyDiv w:val="1"/>
      <w:marLeft w:val="0"/>
      <w:marRight w:val="0"/>
      <w:marTop w:val="0"/>
      <w:marBottom w:val="0"/>
      <w:divBdr>
        <w:top w:val="none" w:sz="0" w:space="0" w:color="auto"/>
        <w:left w:val="none" w:sz="0" w:space="0" w:color="auto"/>
        <w:bottom w:val="none" w:sz="0" w:space="0" w:color="auto"/>
        <w:right w:val="none" w:sz="0" w:space="0" w:color="auto"/>
      </w:divBdr>
    </w:div>
    <w:div w:id="1850832372">
      <w:bodyDiv w:val="1"/>
      <w:marLeft w:val="0"/>
      <w:marRight w:val="0"/>
      <w:marTop w:val="0"/>
      <w:marBottom w:val="0"/>
      <w:divBdr>
        <w:top w:val="none" w:sz="0" w:space="0" w:color="auto"/>
        <w:left w:val="none" w:sz="0" w:space="0" w:color="auto"/>
        <w:bottom w:val="none" w:sz="0" w:space="0" w:color="auto"/>
        <w:right w:val="none" w:sz="0" w:space="0" w:color="auto"/>
      </w:divBdr>
    </w:div>
    <w:div w:id="1856723542">
      <w:bodyDiv w:val="1"/>
      <w:marLeft w:val="0"/>
      <w:marRight w:val="0"/>
      <w:marTop w:val="0"/>
      <w:marBottom w:val="0"/>
      <w:divBdr>
        <w:top w:val="none" w:sz="0" w:space="0" w:color="auto"/>
        <w:left w:val="none" w:sz="0" w:space="0" w:color="auto"/>
        <w:bottom w:val="none" w:sz="0" w:space="0" w:color="auto"/>
        <w:right w:val="none" w:sz="0" w:space="0" w:color="auto"/>
      </w:divBdr>
    </w:div>
    <w:div w:id="1861167088">
      <w:bodyDiv w:val="1"/>
      <w:marLeft w:val="0"/>
      <w:marRight w:val="0"/>
      <w:marTop w:val="0"/>
      <w:marBottom w:val="0"/>
      <w:divBdr>
        <w:top w:val="none" w:sz="0" w:space="0" w:color="auto"/>
        <w:left w:val="none" w:sz="0" w:space="0" w:color="auto"/>
        <w:bottom w:val="none" w:sz="0" w:space="0" w:color="auto"/>
        <w:right w:val="none" w:sz="0" w:space="0" w:color="auto"/>
      </w:divBdr>
    </w:div>
    <w:div w:id="1862091173">
      <w:bodyDiv w:val="1"/>
      <w:marLeft w:val="0"/>
      <w:marRight w:val="0"/>
      <w:marTop w:val="0"/>
      <w:marBottom w:val="0"/>
      <w:divBdr>
        <w:top w:val="none" w:sz="0" w:space="0" w:color="auto"/>
        <w:left w:val="none" w:sz="0" w:space="0" w:color="auto"/>
        <w:bottom w:val="none" w:sz="0" w:space="0" w:color="auto"/>
        <w:right w:val="none" w:sz="0" w:space="0" w:color="auto"/>
      </w:divBdr>
    </w:div>
    <w:div w:id="1862625310">
      <w:bodyDiv w:val="1"/>
      <w:marLeft w:val="0"/>
      <w:marRight w:val="0"/>
      <w:marTop w:val="0"/>
      <w:marBottom w:val="0"/>
      <w:divBdr>
        <w:top w:val="none" w:sz="0" w:space="0" w:color="auto"/>
        <w:left w:val="none" w:sz="0" w:space="0" w:color="auto"/>
        <w:bottom w:val="none" w:sz="0" w:space="0" w:color="auto"/>
        <w:right w:val="none" w:sz="0" w:space="0" w:color="auto"/>
      </w:divBdr>
    </w:div>
    <w:div w:id="1867718543">
      <w:bodyDiv w:val="1"/>
      <w:marLeft w:val="0"/>
      <w:marRight w:val="0"/>
      <w:marTop w:val="0"/>
      <w:marBottom w:val="0"/>
      <w:divBdr>
        <w:top w:val="none" w:sz="0" w:space="0" w:color="auto"/>
        <w:left w:val="none" w:sz="0" w:space="0" w:color="auto"/>
        <w:bottom w:val="none" w:sz="0" w:space="0" w:color="auto"/>
        <w:right w:val="none" w:sz="0" w:space="0" w:color="auto"/>
      </w:divBdr>
      <w:divsChild>
        <w:div w:id="299582165">
          <w:marLeft w:val="0"/>
          <w:marRight w:val="0"/>
          <w:marTop w:val="0"/>
          <w:marBottom w:val="0"/>
          <w:divBdr>
            <w:top w:val="none" w:sz="0" w:space="0" w:color="auto"/>
            <w:left w:val="none" w:sz="0" w:space="0" w:color="auto"/>
            <w:bottom w:val="none" w:sz="0" w:space="0" w:color="auto"/>
            <w:right w:val="none" w:sz="0" w:space="0" w:color="auto"/>
          </w:divBdr>
          <w:divsChild>
            <w:div w:id="870612037">
              <w:marLeft w:val="0"/>
              <w:marRight w:val="0"/>
              <w:marTop w:val="0"/>
              <w:marBottom w:val="0"/>
              <w:divBdr>
                <w:top w:val="single" w:sz="24" w:space="0" w:color="EB8C00"/>
                <w:left w:val="none" w:sz="0" w:space="0" w:color="auto"/>
                <w:bottom w:val="none" w:sz="0" w:space="0" w:color="auto"/>
                <w:right w:val="none" w:sz="0" w:space="0" w:color="auto"/>
              </w:divBdr>
              <w:divsChild>
                <w:div w:id="1649089966">
                  <w:marLeft w:val="0"/>
                  <w:marRight w:val="0"/>
                  <w:marTop w:val="0"/>
                  <w:marBottom w:val="0"/>
                  <w:divBdr>
                    <w:top w:val="none" w:sz="0" w:space="0" w:color="auto"/>
                    <w:left w:val="none" w:sz="0" w:space="0" w:color="auto"/>
                    <w:bottom w:val="none" w:sz="0" w:space="0" w:color="auto"/>
                    <w:right w:val="none" w:sz="0" w:space="0" w:color="auto"/>
                  </w:divBdr>
                  <w:divsChild>
                    <w:div w:id="97065481">
                      <w:marLeft w:val="0"/>
                      <w:marRight w:val="0"/>
                      <w:marTop w:val="0"/>
                      <w:marBottom w:val="0"/>
                      <w:divBdr>
                        <w:top w:val="none" w:sz="0" w:space="0" w:color="auto"/>
                        <w:left w:val="none" w:sz="0" w:space="0" w:color="auto"/>
                        <w:bottom w:val="none" w:sz="0" w:space="0" w:color="auto"/>
                        <w:right w:val="none" w:sz="0" w:space="0" w:color="auto"/>
                      </w:divBdr>
                      <w:divsChild>
                        <w:div w:id="2049597166">
                          <w:marLeft w:val="0"/>
                          <w:marRight w:val="0"/>
                          <w:marTop w:val="0"/>
                          <w:marBottom w:val="0"/>
                          <w:divBdr>
                            <w:top w:val="none" w:sz="0" w:space="0" w:color="auto"/>
                            <w:left w:val="none" w:sz="0" w:space="0" w:color="auto"/>
                            <w:bottom w:val="none" w:sz="0" w:space="0" w:color="auto"/>
                            <w:right w:val="none" w:sz="0" w:space="0" w:color="auto"/>
                          </w:divBdr>
                          <w:divsChild>
                            <w:div w:id="1790052876">
                              <w:marLeft w:val="0"/>
                              <w:marRight w:val="0"/>
                              <w:marTop w:val="0"/>
                              <w:marBottom w:val="240"/>
                              <w:divBdr>
                                <w:top w:val="none" w:sz="0" w:space="0" w:color="auto"/>
                                <w:left w:val="none" w:sz="0" w:space="0" w:color="auto"/>
                                <w:bottom w:val="none" w:sz="0" w:space="0" w:color="auto"/>
                                <w:right w:val="none" w:sz="0" w:space="0" w:color="auto"/>
                              </w:divBdr>
                              <w:divsChild>
                                <w:div w:id="187730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186380">
      <w:bodyDiv w:val="1"/>
      <w:marLeft w:val="0"/>
      <w:marRight w:val="0"/>
      <w:marTop w:val="0"/>
      <w:marBottom w:val="0"/>
      <w:divBdr>
        <w:top w:val="none" w:sz="0" w:space="0" w:color="auto"/>
        <w:left w:val="none" w:sz="0" w:space="0" w:color="auto"/>
        <w:bottom w:val="none" w:sz="0" w:space="0" w:color="auto"/>
        <w:right w:val="none" w:sz="0" w:space="0" w:color="auto"/>
      </w:divBdr>
    </w:div>
    <w:div w:id="1871842797">
      <w:bodyDiv w:val="1"/>
      <w:marLeft w:val="0"/>
      <w:marRight w:val="0"/>
      <w:marTop w:val="0"/>
      <w:marBottom w:val="0"/>
      <w:divBdr>
        <w:top w:val="none" w:sz="0" w:space="0" w:color="auto"/>
        <w:left w:val="none" w:sz="0" w:space="0" w:color="auto"/>
        <w:bottom w:val="none" w:sz="0" w:space="0" w:color="auto"/>
        <w:right w:val="none" w:sz="0" w:space="0" w:color="auto"/>
      </w:divBdr>
    </w:div>
    <w:div w:id="1873230362">
      <w:bodyDiv w:val="1"/>
      <w:marLeft w:val="0"/>
      <w:marRight w:val="0"/>
      <w:marTop w:val="0"/>
      <w:marBottom w:val="0"/>
      <w:divBdr>
        <w:top w:val="none" w:sz="0" w:space="0" w:color="auto"/>
        <w:left w:val="none" w:sz="0" w:space="0" w:color="auto"/>
        <w:bottom w:val="none" w:sz="0" w:space="0" w:color="auto"/>
        <w:right w:val="none" w:sz="0" w:space="0" w:color="auto"/>
      </w:divBdr>
    </w:div>
    <w:div w:id="1874071414">
      <w:bodyDiv w:val="1"/>
      <w:marLeft w:val="0"/>
      <w:marRight w:val="0"/>
      <w:marTop w:val="0"/>
      <w:marBottom w:val="0"/>
      <w:divBdr>
        <w:top w:val="none" w:sz="0" w:space="0" w:color="auto"/>
        <w:left w:val="none" w:sz="0" w:space="0" w:color="auto"/>
        <w:bottom w:val="none" w:sz="0" w:space="0" w:color="auto"/>
        <w:right w:val="none" w:sz="0" w:space="0" w:color="auto"/>
      </w:divBdr>
    </w:div>
    <w:div w:id="1874922840">
      <w:bodyDiv w:val="1"/>
      <w:marLeft w:val="0"/>
      <w:marRight w:val="0"/>
      <w:marTop w:val="0"/>
      <w:marBottom w:val="0"/>
      <w:divBdr>
        <w:top w:val="none" w:sz="0" w:space="0" w:color="auto"/>
        <w:left w:val="none" w:sz="0" w:space="0" w:color="auto"/>
        <w:bottom w:val="none" w:sz="0" w:space="0" w:color="auto"/>
        <w:right w:val="none" w:sz="0" w:space="0" w:color="auto"/>
      </w:divBdr>
    </w:div>
    <w:div w:id="1877351266">
      <w:bodyDiv w:val="1"/>
      <w:marLeft w:val="0"/>
      <w:marRight w:val="0"/>
      <w:marTop w:val="0"/>
      <w:marBottom w:val="0"/>
      <w:divBdr>
        <w:top w:val="none" w:sz="0" w:space="0" w:color="auto"/>
        <w:left w:val="none" w:sz="0" w:space="0" w:color="auto"/>
        <w:bottom w:val="none" w:sz="0" w:space="0" w:color="auto"/>
        <w:right w:val="none" w:sz="0" w:space="0" w:color="auto"/>
      </w:divBdr>
    </w:div>
    <w:div w:id="1880973414">
      <w:bodyDiv w:val="1"/>
      <w:marLeft w:val="0"/>
      <w:marRight w:val="0"/>
      <w:marTop w:val="0"/>
      <w:marBottom w:val="0"/>
      <w:divBdr>
        <w:top w:val="none" w:sz="0" w:space="0" w:color="auto"/>
        <w:left w:val="none" w:sz="0" w:space="0" w:color="auto"/>
        <w:bottom w:val="none" w:sz="0" w:space="0" w:color="auto"/>
        <w:right w:val="none" w:sz="0" w:space="0" w:color="auto"/>
      </w:divBdr>
    </w:div>
    <w:div w:id="1881479959">
      <w:bodyDiv w:val="1"/>
      <w:marLeft w:val="0"/>
      <w:marRight w:val="0"/>
      <w:marTop w:val="0"/>
      <w:marBottom w:val="0"/>
      <w:divBdr>
        <w:top w:val="none" w:sz="0" w:space="0" w:color="auto"/>
        <w:left w:val="none" w:sz="0" w:space="0" w:color="auto"/>
        <w:bottom w:val="none" w:sz="0" w:space="0" w:color="auto"/>
        <w:right w:val="none" w:sz="0" w:space="0" w:color="auto"/>
      </w:divBdr>
    </w:div>
    <w:div w:id="1883126424">
      <w:bodyDiv w:val="1"/>
      <w:marLeft w:val="0"/>
      <w:marRight w:val="0"/>
      <w:marTop w:val="0"/>
      <w:marBottom w:val="0"/>
      <w:divBdr>
        <w:top w:val="none" w:sz="0" w:space="0" w:color="auto"/>
        <w:left w:val="none" w:sz="0" w:space="0" w:color="auto"/>
        <w:bottom w:val="none" w:sz="0" w:space="0" w:color="auto"/>
        <w:right w:val="none" w:sz="0" w:space="0" w:color="auto"/>
      </w:divBdr>
    </w:div>
    <w:div w:id="1885678679">
      <w:bodyDiv w:val="1"/>
      <w:marLeft w:val="0"/>
      <w:marRight w:val="0"/>
      <w:marTop w:val="0"/>
      <w:marBottom w:val="0"/>
      <w:divBdr>
        <w:top w:val="none" w:sz="0" w:space="0" w:color="auto"/>
        <w:left w:val="none" w:sz="0" w:space="0" w:color="auto"/>
        <w:bottom w:val="none" w:sz="0" w:space="0" w:color="auto"/>
        <w:right w:val="none" w:sz="0" w:space="0" w:color="auto"/>
      </w:divBdr>
    </w:div>
    <w:div w:id="1886213066">
      <w:bodyDiv w:val="1"/>
      <w:marLeft w:val="0"/>
      <w:marRight w:val="0"/>
      <w:marTop w:val="0"/>
      <w:marBottom w:val="0"/>
      <w:divBdr>
        <w:top w:val="none" w:sz="0" w:space="0" w:color="auto"/>
        <w:left w:val="none" w:sz="0" w:space="0" w:color="auto"/>
        <w:bottom w:val="none" w:sz="0" w:space="0" w:color="auto"/>
        <w:right w:val="none" w:sz="0" w:space="0" w:color="auto"/>
      </w:divBdr>
    </w:div>
    <w:div w:id="1888880830">
      <w:bodyDiv w:val="1"/>
      <w:marLeft w:val="0"/>
      <w:marRight w:val="0"/>
      <w:marTop w:val="0"/>
      <w:marBottom w:val="0"/>
      <w:divBdr>
        <w:top w:val="none" w:sz="0" w:space="0" w:color="auto"/>
        <w:left w:val="none" w:sz="0" w:space="0" w:color="auto"/>
        <w:bottom w:val="none" w:sz="0" w:space="0" w:color="auto"/>
        <w:right w:val="none" w:sz="0" w:space="0" w:color="auto"/>
      </w:divBdr>
    </w:div>
    <w:div w:id="1889370070">
      <w:bodyDiv w:val="1"/>
      <w:marLeft w:val="0"/>
      <w:marRight w:val="0"/>
      <w:marTop w:val="0"/>
      <w:marBottom w:val="0"/>
      <w:divBdr>
        <w:top w:val="none" w:sz="0" w:space="0" w:color="auto"/>
        <w:left w:val="none" w:sz="0" w:space="0" w:color="auto"/>
        <w:bottom w:val="none" w:sz="0" w:space="0" w:color="auto"/>
        <w:right w:val="none" w:sz="0" w:space="0" w:color="auto"/>
      </w:divBdr>
    </w:div>
    <w:div w:id="1894930127">
      <w:bodyDiv w:val="1"/>
      <w:marLeft w:val="0"/>
      <w:marRight w:val="0"/>
      <w:marTop w:val="0"/>
      <w:marBottom w:val="0"/>
      <w:divBdr>
        <w:top w:val="none" w:sz="0" w:space="0" w:color="auto"/>
        <w:left w:val="none" w:sz="0" w:space="0" w:color="auto"/>
        <w:bottom w:val="none" w:sz="0" w:space="0" w:color="auto"/>
        <w:right w:val="none" w:sz="0" w:space="0" w:color="auto"/>
      </w:divBdr>
    </w:div>
    <w:div w:id="1896156073">
      <w:bodyDiv w:val="1"/>
      <w:marLeft w:val="0"/>
      <w:marRight w:val="0"/>
      <w:marTop w:val="0"/>
      <w:marBottom w:val="0"/>
      <w:divBdr>
        <w:top w:val="none" w:sz="0" w:space="0" w:color="auto"/>
        <w:left w:val="none" w:sz="0" w:space="0" w:color="auto"/>
        <w:bottom w:val="none" w:sz="0" w:space="0" w:color="auto"/>
        <w:right w:val="none" w:sz="0" w:space="0" w:color="auto"/>
      </w:divBdr>
      <w:divsChild>
        <w:div w:id="1301111424">
          <w:marLeft w:val="0"/>
          <w:marRight w:val="0"/>
          <w:marTop w:val="0"/>
          <w:marBottom w:val="0"/>
          <w:divBdr>
            <w:top w:val="none" w:sz="0" w:space="0" w:color="auto"/>
            <w:left w:val="none" w:sz="0" w:space="0" w:color="auto"/>
            <w:bottom w:val="none" w:sz="0" w:space="0" w:color="auto"/>
            <w:right w:val="none" w:sz="0" w:space="0" w:color="auto"/>
          </w:divBdr>
          <w:divsChild>
            <w:div w:id="745226019">
              <w:marLeft w:val="0"/>
              <w:marRight w:val="0"/>
              <w:marTop w:val="0"/>
              <w:marBottom w:val="0"/>
              <w:divBdr>
                <w:top w:val="none" w:sz="0" w:space="0" w:color="auto"/>
                <w:left w:val="none" w:sz="0" w:space="0" w:color="auto"/>
                <w:bottom w:val="none" w:sz="0" w:space="0" w:color="auto"/>
                <w:right w:val="none" w:sz="0" w:space="0" w:color="auto"/>
              </w:divBdr>
              <w:divsChild>
                <w:div w:id="750858458">
                  <w:marLeft w:val="0"/>
                  <w:marRight w:val="0"/>
                  <w:marTop w:val="0"/>
                  <w:marBottom w:val="0"/>
                  <w:divBdr>
                    <w:top w:val="none" w:sz="0" w:space="0" w:color="auto"/>
                    <w:left w:val="none" w:sz="0" w:space="0" w:color="auto"/>
                    <w:bottom w:val="none" w:sz="0" w:space="0" w:color="auto"/>
                    <w:right w:val="none" w:sz="0" w:space="0" w:color="auto"/>
                  </w:divBdr>
                  <w:divsChild>
                    <w:div w:id="1745911648">
                      <w:marLeft w:val="0"/>
                      <w:marRight w:val="0"/>
                      <w:marTop w:val="0"/>
                      <w:marBottom w:val="0"/>
                      <w:divBdr>
                        <w:top w:val="none" w:sz="0" w:space="0" w:color="auto"/>
                        <w:left w:val="none" w:sz="0" w:space="0" w:color="auto"/>
                        <w:bottom w:val="none" w:sz="0" w:space="0" w:color="auto"/>
                        <w:right w:val="none" w:sz="0" w:space="0" w:color="auto"/>
                      </w:divBdr>
                      <w:divsChild>
                        <w:div w:id="884565912">
                          <w:marLeft w:val="0"/>
                          <w:marRight w:val="0"/>
                          <w:marTop w:val="0"/>
                          <w:marBottom w:val="0"/>
                          <w:divBdr>
                            <w:top w:val="none" w:sz="0" w:space="0" w:color="auto"/>
                            <w:left w:val="none" w:sz="0" w:space="0" w:color="auto"/>
                            <w:bottom w:val="none" w:sz="0" w:space="0" w:color="auto"/>
                            <w:right w:val="none" w:sz="0" w:space="0" w:color="auto"/>
                          </w:divBdr>
                          <w:divsChild>
                            <w:div w:id="1799252217">
                              <w:marLeft w:val="0"/>
                              <w:marRight w:val="0"/>
                              <w:marTop w:val="0"/>
                              <w:marBottom w:val="0"/>
                              <w:divBdr>
                                <w:top w:val="none" w:sz="0" w:space="0" w:color="auto"/>
                                <w:left w:val="none" w:sz="0" w:space="0" w:color="auto"/>
                                <w:bottom w:val="none" w:sz="0" w:space="0" w:color="auto"/>
                                <w:right w:val="none" w:sz="0" w:space="0" w:color="auto"/>
                              </w:divBdr>
                              <w:divsChild>
                                <w:div w:id="1446733710">
                                  <w:marLeft w:val="0"/>
                                  <w:marRight w:val="0"/>
                                  <w:marTop w:val="0"/>
                                  <w:marBottom w:val="0"/>
                                  <w:divBdr>
                                    <w:top w:val="none" w:sz="0" w:space="0" w:color="auto"/>
                                    <w:left w:val="none" w:sz="0" w:space="0" w:color="auto"/>
                                    <w:bottom w:val="none" w:sz="0" w:space="0" w:color="auto"/>
                                    <w:right w:val="none" w:sz="0" w:space="0" w:color="auto"/>
                                  </w:divBdr>
                                  <w:divsChild>
                                    <w:div w:id="905530482">
                                      <w:marLeft w:val="0"/>
                                      <w:marRight w:val="0"/>
                                      <w:marTop w:val="0"/>
                                      <w:marBottom w:val="0"/>
                                      <w:divBdr>
                                        <w:top w:val="single" w:sz="4" w:space="0" w:color="F5F5F5"/>
                                        <w:left w:val="single" w:sz="4" w:space="0" w:color="F5F5F5"/>
                                        <w:bottom w:val="single" w:sz="4" w:space="0" w:color="F5F5F5"/>
                                        <w:right w:val="single" w:sz="4" w:space="0" w:color="F5F5F5"/>
                                      </w:divBdr>
                                      <w:divsChild>
                                        <w:div w:id="1541474609">
                                          <w:marLeft w:val="0"/>
                                          <w:marRight w:val="0"/>
                                          <w:marTop w:val="0"/>
                                          <w:marBottom w:val="0"/>
                                          <w:divBdr>
                                            <w:top w:val="none" w:sz="0" w:space="0" w:color="auto"/>
                                            <w:left w:val="none" w:sz="0" w:space="0" w:color="auto"/>
                                            <w:bottom w:val="none" w:sz="0" w:space="0" w:color="auto"/>
                                            <w:right w:val="none" w:sz="0" w:space="0" w:color="auto"/>
                                          </w:divBdr>
                                          <w:divsChild>
                                            <w:div w:id="9211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273076">
      <w:bodyDiv w:val="1"/>
      <w:marLeft w:val="0"/>
      <w:marRight w:val="0"/>
      <w:marTop w:val="0"/>
      <w:marBottom w:val="0"/>
      <w:divBdr>
        <w:top w:val="none" w:sz="0" w:space="0" w:color="auto"/>
        <w:left w:val="none" w:sz="0" w:space="0" w:color="auto"/>
        <w:bottom w:val="none" w:sz="0" w:space="0" w:color="auto"/>
        <w:right w:val="none" w:sz="0" w:space="0" w:color="auto"/>
      </w:divBdr>
    </w:div>
    <w:div w:id="1898012658">
      <w:bodyDiv w:val="1"/>
      <w:marLeft w:val="0"/>
      <w:marRight w:val="0"/>
      <w:marTop w:val="0"/>
      <w:marBottom w:val="0"/>
      <w:divBdr>
        <w:top w:val="none" w:sz="0" w:space="0" w:color="auto"/>
        <w:left w:val="none" w:sz="0" w:space="0" w:color="auto"/>
        <w:bottom w:val="none" w:sz="0" w:space="0" w:color="auto"/>
        <w:right w:val="none" w:sz="0" w:space="0" w:color="auto"/>
      </w:divBdr>
    </w:div>
    <w:div w:id="1899584886">
      <w:bodyDiv w:val="1"/>
      <w:marLeft w:val="0"/>
      <w:marRight w:val="0"/>
      <w:marTop w:val="0"/>
      <w:marBottom w:val="0"/>
      <w:divBdr>
        <w:top w:val="none" w:sz="0" w:space="0" w:color="auto"/>
        <w:left w:val="none" w:sz="0" w:space="0" w:color="auto"/>
        <w:bottom w:val="none" w:sz="0" w:space="0" w:color="auto"/>
        <w:right w:val="none" w:sz="0" w:space="0" w:color="auto"/>
      </w:divBdr>
    </w:div>
    <w:div w:id="1900167740">
      <w:bodyDiv w:val="1"/>
      <w:marLeft w:val="0"/>
      <w:marRight w:val="0"/>
      <w:marTop w:val="0"/>
      <w:marBottom w:val="0"/>
      <w:divBdr>
        <w:top w:val="none" w:sz="0" w:space="0" w:color="auto"/>
        <w:left w:val="none" w:sz="0" w:space="0" w:color="auto"/>
        <w:bottom w:val="none" w:sz="0" w:space="0" w:color="auto"/>
        <w:right w:val="none" w:sz="0" w:space="0" w:color="auto"/>
      </w:divBdr>
    </w:div>
    <w:div w:id="1905294422">
      <w:bodyDiv w:val="1"/>
      <w:marLeft w:val="0"/>
      <w:marRight w:val="0"/>
      <w:marTop w:val="0"/>
      <w:marBottom w:val="0"/>
      <w:divBdr>
        <w:top w:val="none" w:sz="0" w:space="0" w:color="auto"/>
        <w:left w:val="none" w:sz="0" w:space="0" w:color="auto"/>
        <w:bottom w:val="none" w:sz="0" w:space="0" w:color="auto"/>
        <w:right w:val="none" w:sz="0" w:space="0" w:color="auto"/>
      </w:divBdr>
    </w:div>
    <w:div w:id="1905751957">
      <w:bodyDiv w:val="1"/>
      <w:marLeft w:val="0"/>
      <w:marRight w:val="0"/>
      <w:marTop w:val="0"/>
      <w:marBottom w:val="0"/>
      <w:divBdr>
        <w:top w:val="none" w:sz="0" w:space="0" w:color="auto"/>
        <w:left w:val="none" w:sz="0" w:space="0" w:color="auto"/>
        <w:bottom w:val="none" w:sz="0" w:space="0" w:color="auto"/>
        <w:right w:val="none" w:sz="0" w:space="0" w:color="auto"/>
      </w:divBdr>
    </w:div>
    <w:div w:id="1906377905">
      <w:bodyDiv w:val="1"/>
      <w:marLeft w:val="0"/>
      <w:marRight w:val="0"/>
      <w:marTop w:val="0"/>
      <w:marBottom w:val="0"/>
      <w:divBdr>
        <w:top w:val="none" w:sz="0" w:space="0" w:color="auto"/>
        <w:left w:val="none" w:sz="0" w:space="0" w:color="auto"/>
        <w:bottom w:val="none" w:sz="0" w:space="0" w:color="auto"/>
        <w:right w:val="none" w:sz="0" w:space="0" w:color="auto"/>
      </w:divBdr>
    </w:div>
    <w:div w:id="1906379215">
      <w:bodyDiv w:val="1"/>
      <w:marLeft w:val="0"/>
      <w:marRight w:val="0"/>
      <w:marTop w:val="0"/>
      <w:marBottom w:val="0"/>
      <w:divBdr>
        <w:top w:val="none" w:sz="0" w:space="0" w:color="auto"/>
        <w:left w:val="none" w:sz="0" w:space="0" w:color="auto"/>
        <w:bottom w:val="none" w:sz="0" w:space="0" w:color="auto"/>
        <w:right w:val="none" w:sz="0" w:space="0" w:color="auto"/>
      </w:divBdr>
    </w:div>
    <w:div w:id="1906909357">
      <w:bodyDiv w:val="1"/>
      <w:marLeft w:val="0"/>
      <w:marRight w:val="0"/>
      <w:marTop w:val="0"/>
      <w:marBottom w:val="0"/>
      <w:divBdr>
        <w:top w:val="none" w:sz="0" w:space="0" w:color="auto"/>
        <w:left w:val="none" w:sz="0" w:space="0" w:color="auto"/>
        <w:bottom w:val="none" w:sz="0" w:space="0" w:color="auto"/>
        <w:right w:val="none" w:sz="0" w:space="0" w:color="auto"/>
      </w:divBdr>
    </w:div>
    <w:div w:id="1909606261">
      <w:bodyDiv w:val="1"/>
      <w:marLeft w:val="0"/>
      <w:marRight w:val="0"/>
      <w:marTop w:val="0"/>
      <w:marBottom w:val="0"/>
      <w:divBdr>
        <w:top w:val="none" w:sz="0" w:space="0" w:color="auto"/>
        <w:left w:val="none" w:sz="0" w:space="0" w:color="auto"/>
        <w:bottom w:val="none" w:sz="0" w:space="0" w:color="auto"/>
        <w:right w:val="none" w:sz="0" w:space="0" w:color="auto"/>
      </w:divBdr>
    </w:div>
    <w:div w:id="1912497811">
      <w:bodyDiv w:val="1"/>
      <w:marLeft w:val="0"/>
      <w:marRight w:val="0"/>
      <w:marTop w:val="0"/>
      <w:marBottom w:val="0"/>
      <w:divBdr>
        <w:top w:val="none" w:sz="0" w:space="0" w:color="auto"/>
        <w:left w:val="none" w:sz="0" w:space="0" w:color="auto"/>
        <w:bottom w:val="none" w:sz="0" w:space="0" w:color="auto"/>
        <w:right w:val="none" w:sz="0" w:space="0" w:color="auto"/>
      </w:divBdr>
    </w:div>
    <w:div w:id="1916234431">
      <w:bodyDiv w:val="1"/>
      <w:marLeft w:val="0"/>
      <w:marRight w:val="0"/>
      <w:marTop w:val="0"/>
      <w:marBottom w:val="0"/>
      <w:divBdr>
        <w:top w:val="none" w:sz="0" w:space="0" w:color="auto"/>
        <w:left w:val="none" w:sz="0" w:space="0" w:color="auto"/>
        <w:bottom w:val="none" w:sz="0" w:space="0" w:color="auto"/>
        <w:right w:val="none" w:sz="0" w:space="0" w:color="auto"/>
      </w:divBdr>
    </w:div>
    <w:div w:id="1916357825">
      <w:bodyDiv w:val="1"/>
      <w:marLeft w:val="0"/>
      <w:marRight w:val="0"/>
      <w:marTop w:val="0"/>
      <w:marBottom w:val="0"/>
      <w:divBdr>
        <w:top w:val="none" w:sz="0" w:space="0" w:color="auto"/>
        <w:left w:val="none" w:sz="0" w:space="0" w:color="auto"/>
        <w:bottom w:val="none" w:sz="0" w:space="0" w:color="auto"/>
        <w:right w:val="none" w:sz="0" w:space="0" w:color="auto"/>
      </w:divBdr>
      <w:divsChild>
        <w:div w:id="990408962">
          <w:marLeft w:val="0"/>
          <w:marRight w:val="0"/>
          <w:marTop w:val="0"/>
          <w:marBottom w:val="0"/>
          <w:divBdr>
            <w:top w:val="none" w:sz="0" w:space="0" w:color="auto"/>
            <w:left w:val="none" w:sz="0" w:space="0" w:color="auto"/>
            <w:bottom w:val="none" w:sz="0" w:space="0" w:color="auto"/>
            <w:right w:val="none" w:sz="0" w:space="0" w:color="auto"/>
          </w:divBdr>
          <w:divsChild>
            <w:div w:id="1606619462">
              <w:marLeft w:val="0"/>
              <w:marRight w:val="0"/>
              <w:marTop w:val="0"/>
              <w:marBottom w:val="0"/>
              <w:divBdr>
                <w:top w:val="none" w:sz="0" w:space="0" w:color="auto"/>
                <w:left w:val="none" w:sz="0" w:space="0" w:color="auto"/>
                <w:bottom w:val="none" w:sz="0" w:space="0" w:color="auto"/>
                <w:right w:val="none" w:sz="0" w:space="0" w:color="auto"/>
              </w:divBdr>
              <w:divsChild>
                <w:div w:id="425271718">
                  <w:marLeft w:val="0"/>
                  <w:marRight w:val="0"/>
                  <w:marTop w:val="0"/>
                  <w:marBottom w:val="0"/>
                  <w:divBdr>
                    <w:top w:val="none" w:sz="0" w:space="0" w:color="auto"/>
                    <w:left w:val="none" w:sz="0" w:space="0" w:color="auto"/>
                    <w:bottom w:val="none" w:sz="0" w:space="0" w:color="auto"/>
                    <w:right w:val="none" w:sz="0" w:space="0" w:color="auto"/>
                  </w:divBdr>
                  <w:divsChild>
                    <w:div w:id="1122767644">
                      <w:marLeft w:val="0"/>
                      <w:marRight w:val="0"/>
                      <w:marTop w:val="0"/>
                      <w:marBottom w:val="0"/>
                      <w:divBdr>
                        <w:top w:val="none" w:sz="0" w:space="0" w:color="auto"/>
                        <w:left w:val="none" w:sz="0" w:space="0" w:color="auto"/>
                        <w:bottom w:val="none" w:sz="0" w:space="0" w:color="auto"/>
                        <w:right w:val="none" w:sz="0" w:space="0" w:color="auto"/>
                      </w:divBdr>
                      <w:divsChild>
                        <w:div w:id="2102099515">
                          <w:marLeft w:val="0"/>
                          <w:marRight w:val="0"/>
                          <w:marTop w:val="0"/>
                          <w:marBottom w:val="0"/>
                          <w:divBdr>
                            <w:top w:val="none" w:sz="0" w:space="0" w:color="auto"/>
                            <w:left w:val="none" w:sz="0" w:space="0" w:color="auto"/>
                            <w:bottom w:val="none" w:sz="0" w:space="0" w:color="auto"/>
                            <w:right w:val="none" w:sz="0" w:space="0" w:color="auto"/>
                          </w:divBdr>
                          <w:divsChild>
                            <w:div w:id="441807733">
                              <w:marLeft w:val="0"/>
                              <w:marRight w:val="0"/>
                              <w:marTop w:val="0"/>
                              <w:marBottom w:val="0"/>
                              <w:divBdr>
                                <w:top w:val="none" w:sz="0" w:space="0" w:color="auto"/>
                                <w:left w:val="none" w:sz="0" w:space="0" w:color="auto"/>
                                <w:bottom w:val="none" w:sz="0" w:space="0" w:color="auto"/>
                                <w:right w:val="none" w:sz="0" w:space="0" w:color="auto"/>
                              </w:divBdr>
                              <w:divsChild>
                                <w:div w:id="1978559159">
                                  <w:marLeft w:val="0"/>
                                  <w:marRight w:val="0"/>
                                  <w:marTop w:val="0"/>
                                  <w:marBottom w:val="0"/>
                                  <w:divBdr>
                                    <w:top w:val="none" w:sz="0" w:space="0" w:color="auto"/>
                                    <w:left w:val="none" w:sz="0" w:space="0" w:color="auto"/>
                                    <w:bottom w:val="none" w:sz="0" w:space="0" w:color="auto"/>
                                    <w:right w:val="none" w:sz="0" w:space="0" w:color="auto"/>
                                  </w:divBdr>
                                  <w:divsChild>
                                    <w:div w:id="256326623">
                                      <w:marLeft w:val="0"/>
                                      <w:marRight w:val="0"/>
                                      <w:marTop w:val="0"/>
                                      <w:marBottom w:val="0"/>
                                      <w:divBdr>
                                        <w:top w:val="single" w:sz="4" w:space="0" w:color="F5F5F5"/>
                                        <w:left w:val="single" w:sz="4" w:space="0" w:color="F5F5F5"/>
                                        <w:bottom w:val="single" w:sz="4" w:space="0" w:color="F5F5F5"/>
                                        <w:right w:val="single" w:sz="4" w:space="0" w:color="F5F5F5"/>
                                      </w:divBdr>
                                      <w:divsChild>
                                        <w:div w:id="1500386369">
                                          <w:marLeft w:val="0"/>
                                          <w:marRight w:val="0"/>
                                          <w:marTop w:val="0"/>
                                          <w:marBottom w:val="0"/>
                                          <w:divBdr>
                                            <w:top w:val="none" w:sz="0" w:space="0" w:color="auto"/>
                                            <w:left w:val="none" w:sz="0" w:space="0" w:color="auto"/>
                                            <w:bottom w:val="none" w:sz="0" w:space="0" w:color="auto"/>
                                            <w:right w:val="none" w:sz="0" w:space="0" w:color="auto"/>
                                          </w:divBdr>
                                          <w:divsChild>
                                            <w:div w:id="3548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428565">
      <w:bodyDiv w:val="1"/>
      <w:marLeft w:val="0"/>
      <w:marRight w:val="0"/>
      <w:marTop w:val="0"/>
      <w:marBottom w:val="0"/>
      <w:divBdr>
        <w:top w:val="none" w:sz="0" w:space="0" w:color="auto"/>
        <w:left w:val="none" w:sz="0" w:space="0" w:color="auto"/>
        <w:bottom w:val="none" w:sz="0" w:space="0" w:color="auto"/>
        <w:right w:val="none" w:sz="0" w:space="0" w:color="auto"/>
      </w:divBdr>
    </w:div>
    <w:div w:id="1918128497">
      <w:bodyDiv w:val="1"/>
      <w:marLeft w:val="0"/>
      <w:marRight w:val="0"/>
      <w:marTop w:val="0"/>
      <w:marBottom w:val="0"/>
      <w:divBdr>
        <w:top w:val="none" w:sz="0" w:space="0" w:color="auto"/>
        <w:left w:val="none" w:sz="0" w:space="0" w:color="auto"/>
        <w:bottom w:val="none" w:sz="0" w:space="0" w:color="auto"/>
        <w:right w:val="none" w:sz="0" w:space="0" w:color="auto"/>
      </w:divBdr>
    </w:div>
    <w:div w:id="1918396774">
      <w:bodyDiv w:val="1"/>
      <w:marLeft w:val="0"/>
      <w:marRight w:val="0"/>
      <w:marTop w:val="0"/>
      <w:marBottom w:val="0"/>
      <w:divBdr>
        <w:top w:val="none" w:sz="0" w:space="0" w:color="auto"/>
        <w:left w:val="none" w:sz="0" w:space="0" w:color="auto"/>
        <w:bottom w:val="none" w:sz="0" w:space="0" w:color="auto"/>
        <w:right w:val="none" w:sz="0" w:space="0" w:color="auto"/>
      </w:divBdr>
    </w:div>
    <w:div w:id="1922564543">
      <w:bodyDiv w:val="1"/>
      <w:marLeft w:val="0"/>
      <w:marRight w:val="0"/>
      <w:marTop w:val="0"/>
      <w:marBottom w:val="0"/>
      <w:divBdr>
        <w:top w:val="none" w:sz="0" w:space="0" w:color="auto"/>
        <w:left w:val="none" w:sz="0" w:space="0" w:color="auto"/>
        <w:bottom w:val="none" w:sz="0" w:space="0" w:color="auto"/>
        <w:right w:val="none" w:sz="0" w:space="0" w:color="auto"/>
      </w:divBdr>
    </w:div>
    <w:div w:id="1925264481">
      <w:bodyDiv w:val="1"/>
      <w:marLeft w:val="0"/>
      <w:marRight w:val="0"/>
      <w:marTop w:val="0"/>
      <w:marBottom w:val="0"/>
      <w:divBdr>
        <w:top w:val="none" w:sz="0" w:space="0" w:color="auto"/>
        <w:left w:val="none" w:sz="0" w:space="0" w:color="auto"/>
        <w:bottom w:val="none" w:sz="0" w:space="0" w:color="auto"/>
        <w:right w:val="none" w:sz="0" w:space="0" w:color="auto"/>
      </w:divBdr>
    </w:div>
    <w:div w:id="1925798947">
      <w:bodyDiv w:val="1"/>
      <w:marLeft w:val="0"/>
      <w:marRight w:val="0"/>
      <w:marTop w:val="0"/>
      <w:marBottom w:val="0"/>
      <w:divBdr>
        <w:top w:val="none" w:sz="0" w:space="0" w:color="auto"/>
        <w:left w:val="none" w:sz="0" w:space="0" w:color="auto"/>
        <w:bottom w:val="none" w:sz="0" w:space="0" w:color="auto"/>
        <w:right w:val="none" w:sz="0" w:space="0" w:color="auto"/>
      </w:divBdr>
    </w:div>
    <w:div w:id="1926189528">
      <w:bodyDiv w:val="1"/>
      <w:marLeft w:val="0"/>
      <w:marRight w:val="0"/>
      <w:marTop w:val="0"/>
      <w:marBottom w:val="0"/>
      <w:divBdr>
        <w:top w:val="none" w:sz="0" w:space="0" w:color="auto"/>
        <w:left w:val="none" w:sz="0" w:space="0" w:color="auto"/>
        <w:bottom w:val="none" w:sz="0" w:space="0" w:color="auto"/>
        <w:right w:val="none" w:sz="0" w:space="0" w:color="auto"/>
      </w:divBdr>
    </w:div>
    <w:div w:id="1928079503">
      <w:bodyDiv w:val="1"/>
      <w:marLeft w:val="0"/>
      <w:marRight w:val="0"/>
      <w:marTop w:val="0"/>
      <w:marBottom w:val="0"/>
      <w:divBdr>
        <w:top w:val="none" w:sz="0" w:space="0" w:color="auto"/>
        <w:left w:val="none" w:sz="0" w:space="0" w:color="auto"/>
        <w:bottom w:val="none" w:sz="0" w:space="0" w:color="auto"/>
        <w:right w:val="none" w:sz="0" w:space="0" w:color="auto"/>
      </w:divBdr>
    </w:div>
    <w:div w:id="1928297318">
      <w:bodyDiv w:val="1"/>
      <w:marLeft w:val="0"/>
      <w:marRight w:val="0"/>
      <w:marTop w:val="0"/>
      <w:marBottom w:val="0"/>
      <w:divBdr>
        <w:top w:val="none" w:sz="0" w:space="0" w:color="auto"/>
        <w:left w:val="none" w:sz="0" w:space="0" w:color="auto"/>
        <w:bottom w:val="none" w:sz="0" w:space="0" w:color="auto"/>
        <w:right w:val="none" w:sz="0" w:space="0" w:color="auto"/>
      </w:divBdr>
    </w:div>
    <w:div w:id="1930112786">
      <w:bodyDiv w:val="1"/>
      <w:marLeft w:val="0"/>
      <w:marRight w:val="0"/>
      <w:marTop w:val="0"/>
      <w:marBottom w:val="0"/>
      <w:divBdr>
        <w:top w:val="none" w:sz="0" w:space="0" w:color="auto"/>
        <w:left w:val="none" w:sz="0" w:space="0" w:color="auto"/>
        <w:bottom w:val="none" w:sz="0" w:space="0" w:color="auto"/>
        <w:right w:val="none" w:sz="0" w:space="0" w:color="auto"/>
      </w:divBdr>
    </w:div>
    <w:div w:id="1934509605">
      <w:bodyDiv w:val="1"/>
      <w:marLeft w:val="0"/>
      <w:marRight w:val="0"/>
      <w:marTop w:val="0"/>
      <w:marBottom w:val="0"/>
      <w:divBdr>
        <w:top w:val="none" w:sz="0" w:space="0" w:color="auto"/>
        <w:left w:val="none" w:sz="0" w:space="0" w:color="auto"/>
        <w:bottom w:val="none" w:sz="0" w:space="0" w:color="auto"/>
        <w:right w:val="none" w:sz="0" w:space="0" w:color="auto"/>
      </w:divBdr>
    </w:div>
    <w:div w:id="1936671089">
      <w:bodyDiv w:val="1"/>
      <w:marLeft w:val="0"/>
      <w:marRight w:val="0"/>
      <w:marTop w:val="0"/>
      <w:marBottom w:val="0"/>
      <w:divBdr>
        <w:top w:val="none" w:sz="0" w:space="0" w:color="auto"/>
        <w:left w:val="none" w:sz="0" w:space="0" w:color="auto"/>
        <w:bottom w:val="none" w:sz="0" w:space="0" w:color="auto"/>
        <w:right w:val="none" w:sz="0" w:space="0" w:color="auto"/>
      </w:divBdr>
    </w:div>
    <w:div w:id="1936748491">
      <w:bodyDiv w:val="1"/>
      <w:marLeft w:val="0"/>
      <w:marRight w:val="0"/>
      <w:marTop w:val="0"/>
      <w:marBottom w:val="0"/>
      <w:divBdr>
        <w:top w:val="none" w:sz="0" w:space="0" w:color="auto"/>
        <w:left w:val="none" w:sz="0" w:space="0" w:color="auto"/>
        <w:bottom w:val="none" w:sz="0" w:space="0" w:color="auto"/>
        <w:right w:val="none" w:sz="0" w:space="0" w:color="auto"/>
      </w:divBdr>
    </w:div>
    <w:div w:id="1937785815">
      <w:bodyDiv w:val="1"/>
      <w:marLeft w:val="0"/>
      <w:marRight w:val="0"/>
      <w:marTop w:val="0"/>
      <w:marBottom w:val="0"/>
      <w:divBdr>
        <w:top w:val="none" w:sz="0" w:space="0" w:color="auto"/>
        <w:left w:val="none" w:sz="0" w:space="0" w:color="auto"/>
        <w:bottom w:val="none" w:sz="0" w:space="0" w:color="auto"/>
        <w:right w:val="none" w:sz="0" w:space="0" w:color="auto"/>
      </w:divBdr>
    </w:div>
    <w:div w:id="1941257397">
      <w:bodyDiv w:val="1"/>
      <w:marLeft w:val="0"/>
      <w:marRight w:val="0"/>
      <w:marTop w:val="0"/>
      <w:marBottom w:val="0"/>
      <w:divBdr>
        <w:top w:val="none" w:sz="0" w:space="0" w:color="auto"/>
        <w:left w:val="none" w:sz="0" w:space="0" w:color="auto"/>
        <w:bottom w:val="none" w:sz="0" w:space="0" w:color="auto"/>
        <w:right w:val="none" w:sz="0" w:space="0" w:color="auto"/>
      </w:divBdr>
    </w:div>
    <w:div w:id="1941374315">
      <w:bodyDiv w:val="1"/>
      <w:marLeft w:val="0"/>
      <w:marRight w:val="0"/>
      <w:marTop w:val="0"/>
      <w:marBottom w:val="0"/>
      <w:divBdr>
        <w:top w:val="none" w:sz="0" w:space="0" w:color="auto"/>
        <w:left w:val="none" w:sz="0" w:space="0" w:color="auto"/>
        <w:bottom w:val="none" w:sz="0" w:space="0" w:color="auto"/>
        <w:right w:val="none" w:sz="0" w:space="0" w:color="auto"/>
      </w:divBdr>
    </w:div>
    <w:div w:id="1942447454">
      <w:bodyDiv w:val="1"/>
      <w:marLeft w:val="0"/>
      <w:marRight w:val="0"/>
      <w:marTop w:val="0"/>
      <w:marBottom w:val="0"/>
      <w:divBdr>
        <w:top w:val="none" w:sz="0" w:space="0" w:color="auto"/>
        <w:left w:val="none" w:sz="0" w:space="0" w:color="auto"/>
        <w:bottom w:val="none" w:sz="0" w:space="0" w:color="auto"/>
        <w:right w:val="none" w:sz="0" w:space="0" w:color="auto"/>
      </w:divBdr>
    </w:div>
    <w:div w:id="1948072759">
      <w:bodyDiv w:val="1"/>
      <w:marLeft w:val="0"/>
      <w:marRight w:val="0"/>
      <w:marTop w:val="0"/>
      <w:marBottom w:val="0"/>
      <w:divBdr>
        <w:top w:val="none" w:sz="0" w:space="0" w:color="auto"/>
        <w:left w:val="none" w:sz="0" w:space="0" w:color="auto"/>
        <w:bottom w:val="none" w:sz="0" w:space="0" w:color="auto"/>
        <w:right w:val="none" w:sz="0" w:space="0" w:color="auto"/>
      </w:divBdr>
    </w:div>
    <w:div w:id="1949042666">
      <w:bodyDiv w:val="1"/>
      <w:marLeft w:val="0"/>
      <w:marRight w:val="0"/>
      <w:marTop w:val="0"/>
      <w:marBottom w:val="0"/>
      <w:divBdr>
        <w:top w:val="none" w:sz="0" w:space="0" w:color="auto"/>
        <w:left w:val="none" w:sz="0" w:space="0" w:color="auto"/>
        <w:bottom w:val="none" w:sz="0" w:space="0" w:color="auto"/>
        <w:right w:val="none" w:sz="0" w:space="0" w:color="auto"/>
      </w:divBdr>
    </w:div>
    <w:div w:id="1953439992">
      <w:bodyDiv w:val="1"/>
      <w:marLeft w:val="0"/>
      <w:marRight w:val="0"/>
      <w:marTop w:val="0"/>
      <w:marBottom w:val="0"/>
      <w:divBdr>
        <w:top w:val="none" w:sz="0" w:space="0" w:color="auto"/>
        <w:left w:val="none" w:sz="0" w:space="0" w:color="auto"/>
        <w:bottom w:val="none" w:sz="0" w:space="0" w:color="auto"/>
        <w:right w:val="none" w:sz="0" w:space="0" w:color="auto"/>
      </w:divBdr>
    </w:div>
    <w:div w:id="1960839855">
      <w:bodyDiv w:val="1"/>
      <w:marLeft w:val="0"/>
      <w:marRight w:val="0"/>
      <w:marTop w:val="0"/>
      <w:marBottom w:val="0"/>
      <w:divBdr>
        <w:top w:val="none" w:sz="0" w:space="0" w:color="auto"/>
        <w:left w:val="none" w:sz="0" w:space="0" w:color="auto"/>
        <w:bottom w:val="none" w:sz="0" w:space="0" w:color="auto"/>
        <w:right w:val="none" w:sz="0" w:space="0" w:color="auto"/>
      </w:divBdr>
    </w:div>
    <w:div w:id="1961380443">
      <w:bodyDiv w:val="1"/>
      <w:marLeft w:val="0"/>
      <w:marRight w:val="0"/>
      <w:marTop w:val="0"/>
      <w:marBottom w:val="0"/>
      <w:divBdr>
        <w:top w:val="none" w:sz="0" w:space="0" w:color="auto"/>
        <w:left w:val="none" w:sz="0" w:space="0" w:color="auto"/>
        <w:bottom w:val="none" w:sz="0" w:space="0" w:color="auto"/>
        <w:right w:val="none" w:sz="0" w:space="0" w:color="auto"/>
      </w:divBdr>
    </w:div>
    <w:div w:id="1962690126">
      <w:bodyDiv w:val="1"/>
      <w:marLeft w:val="0"/>
      <w:marRight w:val="0"/>
      <w:marTop w:val="0"/>
      <w:marBottom w:val="0"/>
      <w:divBdr>
        <w:top w:val="none" w:sz="0" w:space="0" w:color="auto"/>
        <w:left w:val="none" w:sz="0" w:space="0" w:color="auto"/>
        <w:bottom w:val="none" w:sz="0" w:space="0" w:color="auto"/>
        <w:right w:val="none" w:sz="0" w:space="0" w:color="auto"/>
      </w:divBdr>
    </w:div>
    <w:div w:id="1965310982">
      <w:bodyDiv w:val="1"/>
      <w:marLeft w:val="0"/>
      <w:marRight w:val="0"/>
      <w:marTop w:val="0"/>
      <w:marBottom w:val="0"/>
      <w:divBdr>
        <w:top w:val="none" w:sz="0" w:space="0" w:color="auto"/>
        <w:left w:val="none" w:sz="0" w:space="0" w:color="auto"/>
        <w:bottom w:val="none" w:sz="0" w:space="0" w:color="auto"/>
        <w:right w:val="none" w:sz="0" w:space="0" w:color="auto"/>
      </w:divBdr>
    </w:div>
    <w:div w:id="1966152807">
      <w:bodyDiv w:val="1"/>
      <w:marLeft w:val="0"/>
      <w:marRight w:val="0"/>
      <w:marTop w:val="0"/>
      <w:marBottom w:val="0"/>
      <w:divBdr>
        <w:top w:val="none" w:sz="0" w:space="0" w:color="auto"/>
        <w:left w:val="none" w:sz="0" w:space="0" w:color="auto"/>
        <w:bottom w:val="none" w:sz="0" w:space="0" w:color="auto"/>
        <w:right w:val="none" w:sz="0" w:space="0" w:color="auto"/>
      </w:divBdr>
    </w:div>
    <w:div w:id="1967392170">
      <w:bodyDiv w:val="1"/>
      <w:marLeft w:val="0"/>
      <w:marRight w:val="0"/>
      <w:marTop w:val="0"/>
      <w:marBottom w:val="0"/>
      <w:divBdr>
        <w:top w:val="none" w:sz="0" w:space="0" w:color="auto"/>
        <w:left w:val="none" w:sz="0" w:space="0" w:color="auto"/>
        <w:bottom w:val="none" w:sz="0" w:space="0" w:color="auto"/>
        <w:right w:val="none" w:sz="0" w:space="0" w:color="auto"/>
      </w:divBdr>
    </w:div>
    <w:div w:id="1970626613">
      <w:bodyDiv w:val="1"/>
      <w:marLeft w:val="0"/>
      <w:marRight w:val="0"/>
      <w:marTop w:val="0"/>
      <w:marBottom w:val="0"/>
      <w:divBdr>
        <w:top w:val="none" w:sz="0" w:space="0" w:color="auto"/>
        <w:left w:val="none" w:sz="0" w:space="0" w:color="auto"/>
        <w:bottom w:val="none" w:sz="0" w:space="0" w:color="auto"/>
        <w:right w:val="none" w:sz="0" w:space="0" w:color="auto"/>
      </w:divBdr>
    </w:div>
    <w:div w:id="1970667606">
      <w:bodyDiv w:val="1"/>
      <w:marLeft w:val="0"/>
      <w:marRight w:val="0"/>
      <w:marTop w:val="0"/>
      <w:marBottom w:val="0"/>
      <w:divBdr>
        <w:top w:val="none" w:sz="0" w:space="0" w:color="auto"/>
        <w:left w:val="none" w:sz="0" w:space="0" w:color="auto"/>
        <w:bottom w:val="none" w:sz="0" w:space="0" w:color="auto"/>
        <w:right w:val="none" w:sz="0" w:space="0" w:color="auto"/>
      </w:divBdr>
    </w:div>
    <w:div w:id="1971591912">
      <w:bodyDiv w:val="1"/>
      <w:marLeft w:val="0"/>
      <w:marRight w:val="0"/>
      <w:marTop w:val="0"/>
      <w:marBottom w:val="0"/>
      <w:divBdr>
        <w:top w:val="none" w:sz="0" w:space="0" w:color="auto"/>
        <w:left w:val="none" w:sz="0" w:space="0" w:color="auto"/>
        <w:bottom w:val="none" w:sz="0" w:space="0" w:color="auto"/>
        <w:right w:val="none" w:sz="0" w:space="0" w:color="auto"/>
      </w:divBdr>
    </w:div>
    <w:div w:id="1973169241">
      <w:bodyDiv w:val="1"/>
      <w:marLeft w:val="0"/>
      <w:marRight w:val="0"/>
      <w:marTop w:val="0"/>
      <w:marBottom w:val="0"/>
      <w:divBdr>
        <w:top w:val="none" w:sz="0" w:space="0" w:color="auto"/>
        <w:left w:val="none" w:sz="0" w:space="0" w:color="auto"/>
        <w:bottom w:val="none" w:sz="0" w:space="0" w:color="auto"/>
        <w:right w:val="none" w:sz="0" w:space="0" w:color="auto"/>
      </w:divBdr>
    </w:div>
    <w:div w:id="1976369182">
      <w:bodyDiv w:val="1"/>
      <w:marLeft w:val="0"/>
      <w:marRight w:val="0"/>
      <w:marTop w:val="0"/>
      <w:marBottom w:val="0"/>
      <w:divBdr>
        <w:top w:val="none" w:sz="0" w:space="0" w:color="auto"/>
        <w:left w:val="none" w:sz="0" w:space="0" w:color="auto"/>
        <w:bottom w:val="none" w:sz="0" w:space="0" w:color="auto"/>
        <w:right w:val="none" w:sz="0" w:space="0" w:color="auto"/>
      </w:divBdr>
    </w:div>
    <w:div w:id="1977298071">
      <w:bodyDiv w:val="1"/>
      <w:marLeft w:val="0"/>
      <w:marRight w:val="0"/>
      <w:marTop w:val="0"/>
      <w:marBottom w:val="0"/>
      <w:divBdr>
        <w:top w:val="none" w:sz="0" w:space="0" w:color="auto"/>
        <w:left w:val="none" w:sz="0" w:space="0" w:color="auto"/>
        <w:bottom w:val="none" w:sz="0" w:space="0" w:color="auto"/>
        <w:right w:val="none" w:sz="0" w:space="0" w:color="auto"/>
      </w:divBdr>
    </w:div>
    <w:div w:id="1978140696">
      <w:bodyDiv w:val="1"/>
      <w:marLeft w:val="0"/>
      <w:marRight w:val="0"/>
      <w:marTop w:val="0"/>
      <w:marBottom w:val="0"/>
      <w:divBdr>
        <w:top w:val="none" w:sz="0" w:space="0" w:color="auto"/>
        <w:left w:val="none" w:sz="0" w:space="0" w:color="auto"/>
        <w:bottom w:val="none" w:sz="0" w:space="0" w:color="auto"/>
        <w:right w:val="none" w:sz="0" w:space="0" w:color="auto"/>
      </w:divBdr>
    </w:div>
    <w:div w:id="1978994824">
      <w:bodyDiv w:val="1"/>
      <w:marLeft w:val="0"/>
      <w:marRight w:val="0"/>
      <w:marTop w:val="0"/>
      <w:marBottom w:val="0"/>
      <w:divBdr>
        <w:top w:val="none" w:sz="0" w:space="0" w:color="auto"/>
        <w:left w:val="none" w:sz="0" w:space="0" w:color="auto"/>
        <w:bottom w:val="none" w:sz="0" w:space="0" w:color="auto"/>
        <w:right w:val="none" w:sz="0" w:space="0" w:color="auto"/>
      </w:divBdr>
    </w:div>
    <w:div w:id="1981307501">
      <w:bodyDiv w:val="1"/>
      <w:marLeft w:val="0"/>
      <w:marRight w:val="0"/>
      <w:marTop w:val="0"/>
      <w:marBottom w:val="0"/>
      <w:divBdr>
        <w:top w:val="none" w:sz="0" w:space="0" w:color="auto"/>
        <w:left w:val="none" w:sz="0" w:space="0" w:color="auto"/>
        <w:bottom w:val="none" w:sz="0" w:space="0" w:color="auto"/>
        <w:right w:val="none" w:sz="0" w:space="0" w:color="auto"/>
      </w:divBdr>
    </w:div>
    <w:div w:id="1983192167">
      <w:bodyDiv w:val="1"/>
      <w:marLeft w:val="0"/>
      <w:marRight w:val="0"/>
      <w:marTop w:val="0"/>
      <w:marBottom w:val="0"/>
      <w:divBdr>
        <w:top w:val="none" w:sz="0" w:space="0" w:color="auto"/>
        <w:left w:val="none" w:sz="0" w:space="0" w:color="auto"/>
        <w:bottom w:val="none" w:sz="0" w:space="0" w:color="auto"/>
        <w:right w:val="none" w:sz="0" w:space="0" w:color="auto"/>
      </w:divBdr>
    </w:div>
    <w:div w:id="1987583605">
      <w:bodyDiv w:val="1"/>
      <w:marLeft w:val="0"/>
      <w:marRight w:val="0"/>
      <w:marTop w:val="0"/>
      <w:marBottom w:val="0"/>
      <w:divBdr>
        <w:top w:val="none" w:sz="0" w:space="0" w:color="auto"/>
        <w:left w:val="none" w:sz="0" w:space="0" w:color="auto"/>
        <w:bottom w:val="none" w:sz="0" w:space="0" w:color="auto"/>
        <w:right w:val="none" w:sz="0" w:space="0" w:color="auto"/>
      </w:divBdr>
    </w:div>
    <w:div w:id="1990282901">
      <w:bodyDiv w:val="1"/>
      <w:marLeft w:val="0"/>
      <w:marRight w:val="0"/>
      <w:marTop w:val="0"/>
      <w:marBottom w:val="0"/>
      <w:divBdr>
        <w:top w:val="none" w:sz="0" w:space="0" w:color="auto"/>
        <w:left w:val="none" w:sz="0" w:space="0" w:color="auto"/>
        <w:bottom w:val="none" w:sz="0" w:space="0" w:color="auto"/>
        <w:right w:val="none" w:sz="0" w:space="0" w:color="auto"/>
      </w:divBdr>
    </w:div>
    <w:div w:id="1991060087">
      <w:bodyDiv w:val="1"/>
      <w:marLeft w:val="0"/>
      <w:marRight w:val="0"/>
      <w:marTop w:val="0"/>
      <w:marBottom w:val="0"/>
      <w:divBdr>
        <w:top w:val="none" w:sz="0" w:space="0" w:color="auto"/>
        <w:left w:val="none" w:sz="0" w:space="0" w:color="auto"/>
        <w:bottom w:val="none" w:sz="0" w:space="0" w:color="auto"/>
        <w:right w:val="none" w:sz="0" w:space="0" w:color="auto"/>
      </w:divBdr>
      <w:divsChild>
        <w:div w:id="1072043923">
          <w:marLeft w:val="0"/>
          <w:marRight w:val="0"/>
          <w:marTop w:val="0"/>
          <w:marBottom w:val="0"/>
          <w:divBdr>
            <w:top w:val="none" w:sz="0" w:space="0" w:color="auto"/>
            <w:left w:val="none" w:sz="0" w:space="0" w:color="auto"/>
            <w:bottom w:val="none" w:sz="0" w:space="0" w:color="auto"/>
            <w:right w:val="none" w:sz="0" w:space="0" w:color="auto"/>
          </w:divBdr>
          <w:divsChild>
            <w:div w:id="2039886830">
              <w:marLeft w:val="0"/>
              <w:marRight w:val="0"/>
              <w:marTop w:val="0"/>
              <w:marBottom w:val="0"/>
              <w:divBdr>
                <w:top w:val="none" w:sz="0" w:space="0" w:color="auto"/>
                <w:left w:val="none" w:sz="0" w:space="0" w:color="auto"/>
                <w:bottom w:val="none" w:sz="0" w:space="0" w:color="auto"/>
                <w:right w:val="none" w:sz="0" w:space="0" w:color="auto"/>
              </w:divBdr>
              <w:divsChild>
                <w:div w:id="636573291">
                  <w:marLeft w:val="0"/>
                  <w:marRight w:val="0"/>
                  <w:marTop w:val="0"/>
                  <w:marBottom w:val="0"/>
                  <w:divBdr>
                    <w:top w:val="none" w:sz="0" w:space="0" w:color="auto"/>
                    <w:left w:val="none" w:sz="0" w:space="0" w:color="auto"/>
                    <w:bottom w:val="none" w:sz="0" w:space="0" w:color="auto"/>
                    <w:right w:val="none" w:sz="0" w:space="0" w:color="auto"/>
                  </w:divBdr>
                  <w:divsChild>
                    <w:div w:id="164128973">
                      <w:marLeft w:val="0"/>
                      <w:marRight w:val="0"/>
                      <w:marTop w:val="0"/>
                      <w:marBottom w:val="0"/>
                      <w:divBdr>
                        <w:top w:val="none" w:sz="0" w:space="0" w:color="auto"/>
                        <w:left w:val="none" w:sz="0" w:space="0" w:color="auto"/>
                        <w:bottom w:val="none" w:sz="0" w:space="0" w:color="auto"/>
                        <w:right w:val="none" w:sz="0" w:space="0" w:color="auto"/>
                      </w:divBdr>
                      <w:divsChild>
                        <w:div w:id="1852912550">
                          <w:marLeft w:val="0"/>
                          <w:marRight w:val="0"/>
                          <w:marTop w:val="0"/>
                          <w:marBottom w:val="0"/>
                          <w:divBdr>
                            <w:top w:val="none" w:sz="0" w:space="0" w:color="auto"/>
                            <w:left w:val="none" w:sz="0" w:space="0" w:color="auto"/>
                            <w:bottom w:val="none" w:sz="0" w:space="0" w:color="auto"/>
                            <w:right w:val="none" w:sz="0" w:space="0" w:color="auto"/>
                          </w:divBdr>
                          <w:divsChild>
                            <w:div w:id="1952662656">
                              <w:marLeft w:val="0"/>
                              <w:marRight w:val="0"/>
                              <w:marTop w:val="0"/>
                              <w:marBottom w:val="0"/>
                              <w:divBdr>
                                <w:top w:val="none" w:sz="0" w:space="0" w:color="auto"/>
                                <w:left w:val="none" w:sz="0" w:space="0" w:color="auto"/>
                                <w:bottom w:val="none" w:sz="0" w:space="0" w:color="auto"/>
                                <w:right w:val="none" w:sz="0" w:space="0" w:color="auto"/>
                              </w:divBdr>
                              <w:divsChild>
                                <w:div w:id="852190411">
                                  <w:marLeft w:val="0"/>
                                  <w:marRight w:val="0"/>
                                  <w:marTop w:val="0"/>
                                  <w:marBottom w:val="0"/>
                                  <w:divBdr>
                                    <w:top w:val="none" w:sz="0" w:space="0" w:color="auto"/>
                                    <w:left w:val="none" w:sz="0" w:space="0" w:color="auto"/>
                                    <w:bottom w:val="none" w:sz="0" w:space="0" w:color="auto"/>
                                    <w:right w:val="none" w:sz="0" w:space="0" w:color="auto"/>
                                  </w:divBdr>
                                  <w:divsChild>
                                    <w:div w:id="2085254874">
                                      <w:marLeft w:val="0"/>
                                      <w:marRight w:val="0"/>
                                      <w:marTop w:val="0"/>
                                      <w:marBottom w:val="0"/>
                                      <w:divBdr>
                                        <w:top w:val="single" w:sz="4" w:space="0" w:color="F5F5F5"/>
                                        <w:left w:val="single" w:sz="4" w:space="0" w:color="F5F5F5"/>
                                        <w:bottom w:val="single" w:sz="4" w:space="0" w:color="F5F5F5"/>
                                        <w:right w:val="single" w:sz="4" w:space="0" w:color="F5F5F5"/>
                                      </w:divBdr>
                                      <w:divsChild>
                                        <w:div w:id="58674972">
                                          <w:marLeft w:val="0"/>
                                          <w:marRight w:val="0"/>
                                          <w:marTop w:val="0"/>
                                          <w:marBottom w:val="0"/>
                                          <w:divBdr>
                                            <w:top w:val="none" w:sz="0" w:space="0" w:color="auto"/>
                                            <w:left w:val="none" w:sz="0" w:space="0" w:color="auto"/>
                                            <w:bottom w:val="none" w:sz="0" w:space="0" w:color="auto"/>
                                            <w:right w:val="none" w:sz="0" w:space="0" w:color="auto"/>
                                          </w:divBdr>
                                          <w:divsChild>
                                            <w:div w:id="13060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2830055">
      <w:bodyDiv w:val="1"/>
      <w:marLeft w:val="0"/>
      <w:marRight w:val="0"/>
      <w:marTop w:val="0"/>
      <w:marBottom w:val="0"/>
      <w:divBdr>
        <w:top w:val="none" w:sz="0" w:space="0" w:color="auto"/>
        <w:left w:val="none" w:sz="0" w:space="0" w:color="auto"/>
        <w:bottom w:val="none" w:sz="0" w:space="0" w:color="auto"/>
        <w:right w:val="none" w:sz="0" w:space="0" w:color="auto"/>
      </w:divBdr>
    </w:div>
    <w:div w:id="1997608344">
      <w:bodyDiv w:val="1"/>
      <w:marLeft w:val="0"/>
      <w:marRight w:val="0"/>
      <w:marTop w:val="0"/>
      <w:marBottom w:val="0"/>
      <w:divBdr>
        <w:top w:val="none" w:sz="0" w:space="0" w:color="auto"/>
        <w:left w:val="none" w:sz="0" w:space="0" w:color="auto"/>
        <w:bottom w:val="none" w:sz="0" w:space="0" w:color="auto"/>
        <w:right w:val="none" w:sz="0" w:space="0" w:color="auto"/>
      </w:divBdr>
    </w:div>
    <w:div w:id="1998028666">
      <w:bodyDiv w:val="1"/>
      <w:marLeft w:val="0"/>
      <w:marRight w:val="0"/>
      <w:marTop w:val="0"/>
      <w:marBottom w:val="0"/>
      <w:divBdr>
        <w:top w:val="none" w:sz="0" w:space="0" w:color="auto"/>
        <w:left w:val="none" w:sz="0" w:space="0" w:color="auto"/>
        <w:bottom w:val="none" w:sz="0" w:space="0" w:color="auto"/>
        <w:right w:val="none" w:sz="0" w:space="0" w:color="auto"/>
      </w:divBdr>
    </w:div>
    <w:div w:id="2000503300">
      <w:bodyDiv w:val="1"/>
      <w:marLeft w:val="0"/>
      <w:marRight w:val="0"/>
      <w:marTop w:val="0"/>
      <w:marBottom w:val="0"/>
      <w:divBdr>
        <w:top w:val="none" w:sz="0" w:space="0" w:color="auto"/>
        <w:left w:val="none" w:sz="0" w:space="0" w:color="auto"/>
        <w:bottom w:val="none" w:sz="0" w:space="0" w:color="auto"/>
        <w:right w:val="none" w:sz="0" w:space="0" w:color="auto"/>
      </w:divBdr>
    </w:div>
    <w:div w:id="2001931401">
      <w:bodyDiv w:val="1"/>
      <w:marLeft w:val="0"/>
      <w:marRight w:val="0"/>
      <w:marTop w:val="0"/>
      <w:marBottom w:val="0"/>
      <w:divBdr>
        <w:top w:val="none" w:sz="0" w:space="0" w:color="auto"/>
        <w:left w:val="none" w:sz="0" w:space="0" w:color="auto"/>
        <w:bottom w:val="none" w:sz="0" w:space="0" w:color="auto"/>
        <w:right w:val="none" w:sz="0" w:space="0" w:color="auto"/>
      </w:divBdr>
    </w:div>
    <w:div w:id="2006277717">
      <w:bodyDiv w:val="1"/>
      <w:marLeft w:val="0"/>
      <w:marRight w:val="0"/>
      <w:marTop w:val="0"/>
      <w:marBottom w:val="0"/>
      <w:divBdr>
        <w:top w:val="none" w:sz="0" w:space="0" w:color="auto"/>
        <w:left w:val="none" w:sz="0" w:space="0" w:color="auto"/>
        <w:bottom w:val="none" w:sz="0" w:space="0" w:color="auto"/>
        <w:right w:val="none" w:sz="0" w:space="0" w:color="auto"/>
      </w:divBdr>
    </w:div>
    <w:div w:id="2014994597">
      <w:bodyDiv w:val="1"/>
      <w:marLeft w:val="0"/>
      <w:marRight w:val="0"/>
      <w:marTop w:val="0"/>
      <w:marBottom w:val="0"/>
      <w:divBdr>
        <w:top w:val="none" w:sz="0" w:space="0" w:color="auto"/>
        <w:left w:val="none" w:sz="0" w:space="0" w:color="auto"/>
        <w:bottom w:val="none" w:sz="0" w:space="0" w:color="auto"/>
        <w:right w:val="none" w:sz="0" w:space="0" w:color="auto"/>
      </w:divBdr>
    </w:div>
    <w:div w:id="2015036626">
      <w:bodyDiv w:val="1"/>
      <w:marLeft w:val="0"/>
      <w:marRight w:val="0"/>
      <w:marTop w:val="0"/>
      <w:marBottom w:val="0"/>
      <w:divBdr>
        <w:top w:val="none" w:sz="0" w:space="0" w:color="auto"/>
        <w:left w:val="none" w:sz="0" w:space="0" w:color="auto"/>
        <w:bottom w:val="none" w:sz="0" w:space="0" w:color="auto"/>
        <w:right w:val="none" w:sz="0" w:space="0" w:color="auto"/>
      </w:divBdr>
    </w:div>
    <w:div w:id="2016492464">
      <w:bodyDiv w:val="1"/>
      <w:marLeft w:val="0"/>
      <w:marRight w:val="0"/>
      <w:marTop w:val="0"/>
      <w:marBottom w:val="0"/>
      <w:divBdr>
        <w:top w:val="none" w:sz="0" w:space="0" w:color="auto"/>
        <w:left w:val="none" w:sz="0" w:space="0" w:color="auto"/>
        <w:bottom w:val="none" w:sz="0" w:space="0" w:color="auto"/>
        <w:right w:val="none" w:sz="0" w:space="0" w:color="auto"/>
      </w:divBdr>
    </w:div>
    <w:div w:id="2021077776">
      <w:bodyDiv w:val="1"/>
      <w:marLeft w:val="0"/>
      <w:marRight w:val="0"/>
      <w:marTop w:val="0"/>
      <w:marBottom w:val="0"/>
      <w:divBdr>
        <w:top w:val="none" w:sz="0" w:space="0" w:color="auto"/>
        <w:left w:val="none" w:sz="0" w:space="0" w:color="auto"/>
        <w:bottom w:val="none" w:sz="0" w:space="0" w:color="auto"/>
        <w:right w:val="none" w:sz="0" w:space="0" w:color="auto"/>
      </w:divBdr>
    </w:div>
    <w:div w:id="2021662459">
      <w:bodyDiv w:val="1"/>
      <w:marLeft w:val="0"/>
      <w:marRight w:val="0"/>
      <w:marTop w:val="0"/>
      <w:marBottom w:val="0"/>
      <w:divBdr>
        <w:top w:val="none" w:sz="0" w:space="0" w:color="auto"/>
        <w:left w:val="none" w:sz="0" w:space="0" w:color="auto"/>
        <w:bottom w:val="none" w:sz="0" w:space="0" w:color="auto"/>
        <w:right w:val="none" w:sz="0" w:space="0" w:color="auto"/>
      </w:divBdr>
    </w:div>
    <w:div w:id="2023623904">
      <w:bodyDiv w:val="1"/>
      <w:marLeft w:val="0"/>
      <w:marRight w:val="0"/>
      <w:marTop w:val="0"/>
      <w:marBottom w:val="0"/>
      <w:divBdr>
        <w:top w:val="none" w:sz="0" w:space="0" w:color="auto"/>
        <w:left w:val="none" w:sz="0" w:space="0" w:color="auto"/>
        <w:bottom w:val="none" w:sz="0" w:space="0" w:color="auto"/>
        <w:right w:val="none" w:sz="0" w:space="0" w:color="auto"/>
      </w:divBdr>
    </w:div>
    <w:div w:id="2026203891">
      <w:bodyDiv w:val="1"/>
      <w:marLeft w:val="0"/>
      <w:marRight w:val="0"/>
      <w:marTop w:val="0"/>
      <w:marBottom w:val="0"/>
      <w:divBdr>
        <w:top w:val="none" w:sz="0" w:space="0" w:color="auto"/>
        <w:left w:val="none" w:sz="0" w:space="0" w:color="auto"/>
        <w:bottom w:val="none" w:sz="0" w:space="0" w:color="auto"/>
        <w:right w:val="none" w:sz="0" w:space="0" w:color="auto"/>
      </w:divBdr>
    </w:div>
    <w:div w:id="2026780656">
      <w:bodyDiv w:val="1"/>
      <w:marLeft w:val="0"/>
      <w:marRight w:val="0"/>
      <w:marTop w:val="0"/>
      <w:marBottom w:val="0"/>
      <w:divBdr>
        <w:top w:val="none" w:sz="0" w:space="0" w:color="auto"/>
        <w:left w:val="none" w:sz="0" w:space="0" w:color="auto"/>
        <w:bottom w:val="none" w:sz="0" w:space="0" w:color="auto"/>
        <w:right w:val="none" w:sz="0" w:space="0" w:color="auto"/>
      </w:divBdr>
    </w:div>
    <w:div w:id="2026901865">
      <w:bodyDiv w:val="1"/>
      <w:marLeft w:val="0"/>
      <w:marRight w:val="0"/>
      <w:marTop w:val="0"/>
      <w:marBottom w:val="0"/>
      <w:divBdr>
        <w:top w:val="none" w:sz="0" w:space="0" w:color="auto"/>
        <w:left w:val="none" w:sz="0" w:space="0" w:color="auto"/>
        <w:bottom w:val="none" w:sz="0" w:space="0" w:color="auto"/>
        <w:right w:val="none" w:sz="0" w:space="0" w:color="auto"/>
      </w:divBdr>
    </w:div>
    <w:div w:id="2027829994">
      <w:bodyDiv w:val="1"/>
      <w:marLeft w:val="0"/>
      <w:marRight w:val="0"/>
      <w:marTop w:val="0"/>
      <w:marBottom w:val="0"/>
      <w:divBdr>
        <w:top w:val="none" w:sz="0" w:space="0" w:color="auto"/>
        <w:left w:val="none" w:sz="0" w:space="0" w:color="auto"/>
        <w:bottom w:val="none" w:sz="0" w:space="0" w:color="auto"/>
        <w:right w:val="none" w:sz="0" w:space="0" w:color="auto"/>
      </w:divBdr>
    </w:div>
    <w:div w:id="2028947856">
      <w:bodyDiv w:val="1"/>
      <w:marLeft w:val="0"/>
      <w:marRight w:val="0"/>
      <w:marTop w:val="0"/>
      <w:marBottom w:val="0"/>
      <w:divBdr>
        <w:top w:val="none" w:sz="0" w:space="0" w:color="auto"/>
        <w:left w:val="none" w:sz="0" w:space="0" w:color="auto"/>
        <w:bottom w:val="none" w:sz="0" w:space="0" w:color="auto"/>
        <w:right w:val="none" w:sz="0" w:space="0" w:color="auto"/>
      </w:divBdr>
    </w:div>
    <w:div w:id="2029789323">
      <w:bodyDiv w:val="1"/>
      <w:marLeft w:val="0"/>
      <w:marRight w:val="0"/>
      <w:marTop w:val="0"/>
      <w:marBottom w:val="0"/>
      <w:divBdr>
        <w:top w:val="none" w:sz="0" w:space="0" w:color="auto"/>
        <w:left w:val="none" w:sz="0" w:space="0" w:color="auto"/>
        <w:bottom w:val="none" w:sz="0" w:space="0" w:color="auto"/>
        <w:right w:val="none" w:sz="0" w:space="0" w:color="auto"/>
      </w:divBdr>
    </w:div>
    <w:div w:id="2030140417">
      <w:bodyDiv w:val="1"/>
      <w:marLeft w:val="0"/>
      <w:marRight w:val="0"/>
      <w:marTop w:val="0"/>
      <w:marBottom w:val="0"/>
      <w:divBdr>
        <w:top w:val="none" w:sz="0" w:space="0" w:color="auto"/>
        <w:left w:val="none" w:sz="0" w:space="0" w:color="auto"/>
        <w:bottom w:val="none" w:sz="0" w:space="0" w:color="auto"/>
        <w:right w:val="none" w:sz="0" w:space="0" w:color="auto"/>
      </w:divBdr>
    </w:div>
    <w:div w:id="2032798948">
      <w:bodyDiv w:val="1"/>
      <w:marLeft w:val="0"/>
      <w:marRight w:val="0"/>
      <w:marTop w:val="0"/>
      <w:marBottom w:val="0"/>
      <w:divBdr>
        <w:top w:val="none" w:sz="0" w:space="0" w:color="auto"/>
        <w:left w:val="none" w:sz="0" w:space="0" w:color="auto"/>
        <w:bottom w:val="none" w:sz="0" w:space="0" w:color="auto"/>
        <w:right w:val="none" w:sz="0" w:space="0" w:color="auto"/>
      </w:divBdr>
    </w:div>
    <w:div w:id="2038196267">
      <w:bodyDiv w:val="1"/>
      <w:marLeft w:val="0"/>
      <w:marRight w:val="0"/>
      <w:marTop w:val="0"/>
      <w:marBottom w:val="0"/>
      <w:divBdr>
        <w:top w:val="none" w:sz="0" w:space="0" w:color="auto"/>
        <w:left w:val="none" w:sz="0" w:space="0" w:color="auto"/>
        <w:bottom w:val="none" w:sz="0" w:space="0" w:color="auto"/>
        <w:right w:val="none" w:sz="0" w:space="0" w:color="auto"/>
      </w:divBdr>
    </w:div>
    <w:div w:id="2038307172">
      <w:bodyDiv w:val="1"/>
      <w:marLeft w:val="0"/>
      <w:marRight w:val="0"/>
      <w:marTop w:val="0"/>
      <w:marBottom w:val="0"/>
      <w:divBdr>
        <w:top w:val="none" w:sz="0" w:space="0" w:color="auto"/>
        <w:left w:val="none" w:sz="0" w:space="0" w:color="auto"/>
        <w:bottom w:val="none" w:sz="0" w:space="0" w:color="auto"/>
        <w:right w:val="none" w:sz="0" w:space="0" w:color="auto"/>
      </w:divBdr>
    </w:div>
    <w:div w:id="2039431713">
      <w:bodyDiv w:val="1"/>
      <w:marLeft w:val="0"/>
      <w:marRight w:val="0"/>
      <w:marTop w:val="0"/>
      <w:marBottom w:val="0"/>
      <w:divBdr>
        <w:top w:val="none" w:sz="0" w:space="0" w:color="auto"/>
        <w:left w:val="none" w:sz="0" w:space="0" w:color="auto"/>
        <w:bottom w:val="none" w:sz="0" w:space="0" w:color="auto"/>
        <w:right w:val="none" w:sz="0" w:space="0" w:color="auto"/>
      </w:divBdr>
    </w:div>
    <w:div w:id="2044166058">
      <w:bodyDiv w:val="1"/>
      <w:marLeft w:val="0"/>
      <w:marRight w:val="0"/>
      <w:marTop w:val="0"/>
      <w:marBottom w:val="0"/>
      <w:divBdr>
        <w:top w:val="none" w:sz="0" w:space="0" w:color="auto"/>
        <w:left w:val="none" w:sz="0" w:space="0" w:color="auto"/>
        <w:bottom w:val="none" w:sz="0" w:space="0" w:color="auto"/>
        <w:right w:val="none" w:sz="0" w:space="0" w:color="auto"/>
      </w:divBdr>
    </w:div>
    <w:div w:id="2048329316">
      <w:bodyDiv w:val="1"/>
      <w:marLeft w:val="0"/>
      <w:marRight w:val="0"/>
      <w:marTop w:val="0"/>
      <w:marBottom w:val="0"/>
      <w:divBdr>
        <w:top w:val="none" w:sz="0" w:space="0" w:color="auto"/>
        <w:left w:val="none" w:sz="0" w:space="0" w:color="auto"/>
        <w:bottom w:val="none" w:sz="0" w:space="0" w:color="auto"/>
        <w:right w:val="none" w:sz="0" w:space="0" w:color="auto"/>
      </w:divBdr>
    </w:div>
    <w:div w:id="2051833258">
      <w:bodyDiv w:val="1"/>
      <w:marLeft w:val="0"/>
      <w:marRight w:val="0"/>
      <w:marTop w:val="0"/>
      <w:marBottom w:val="0"/>
      <w:divBdr>
        <w:top w:val="none" w:sz="0" w:space="0" w:color="auto"/>
        <w:left w:val="none" w:sz="0" w:space="0" w:color="auto"/>
        <w:bottom w:val="none" w:sz="0" w:space="0" w:color="auto"/>
        <w:right w:val="none" w:sz="0" w:space="0" w:color="auto"/>
      </w:divBdr>
    </w:div>
    <w:div w:id="2052800705">
      <w:bodyDiv w:val="1"/>
      <w:marLeft w:val="0"/>
      <w:marRight w:val="0"/>
      <w:marTop w:val="0"/>
      <w:marBottom w:val="0"/>
      <w:divBdr>
        <w:top w:val="none" w:sz="0" w:space="0" w:color="auto"/>
        <w:left w:val="none" w:sz="0" w:space="0" w:color="auto"/>
        <w:bottom w:val="none" w:sz="0" w:space="0" w:color="auto"/>
        <w:right w:val="none" w:sz="0" w:space="0" w:color="auto"/>
      </w:divBdr>
    </w:div>
    <w:div w:id="2056926531">
      <w:bodyDiv w:val="1"/>
      <w:marLeft w:val="0"/>
      <w:marRight w:val="0"/>
      <w:marTop w:val="0"/>
      <w:marBottom w:val="0"/>
      <w:divBdr>
        <w:top w:val="none" w:sz="0" w:space="0" w:color="auto"/>
        <w:left w:val="none" w:sz="0" w:space="0" w:color="auto"/>
        <w:bottom w:val="none" w:sz="0" w:space="0" w:color="auto"/>
        <w:right w:val="none" w:sz="0" w:space="0" w:color="auto"/>
      </w:divBdr>
    </w:div>
    <w:div w:id="2059668296">
      <w:bodyDiv w:val="1"/>
      <w:marLeft w:val="0"/>
      <w:marRight w:val="0"/>
      <w:marTop w:val="0"/>
      <w:marBottom w:val="0"/>
      <w:divBdr>
        <w:top w:val="none" w:sz="0" w:space="0" w:color="auto"/>
        <w:left w:val="none" w:sz="0" w:space="0" w:color="auto"/>
        <w:bottom w:val="none" w:sz="0" w:space="0" w:color="auto"/>
        <w:right w:val="none" w:sz="0" w:space="0" w:color="auto"/>
      </w:divBdr>
    </w:div>
    <w:div w:id="2059934828">
      <w:bodyDiv w:val="1"/>
      <w:marLeft w:val="0"/>
      <w:marRight w:val="0"/>
      <w:marTop w:val="0"/>
      <w:marBottom w:val="0"/>
      <w:divBdr>
        <w:top w:val="none" w:sz="0" w:space="0" w:color="auto"/>
        <w:left w:val="none" w:sz="0" w:space="0" w:color="auto"/>
        <w:bottom w:val="none" w:sz="0" w:space="0" w:color="auto"/>
        <w:right w:val="none" w:sz="0" w:space="0" w:color="auto"/>
      </w:divBdr>
    </w:div>
    <w:div w:id="2064400959">
      <w:bodyDiv w:val="1"/>
      <w:marLeft w:val="0"/>
      <w:marRight w:val="0"/>
      <w:marTop w:val="0"/>
      <w:marBottom w:val="0"/>
      <w:divBdr>
        <w:top w:val="none" w:sz="0" w:space="0" w:color="auto"/>
        <w:left w:val="none" w:sz="0" w:space="0" w:color="auto"/>
        <w:bottom w:val="none" w:sz="0" w:space="0" w:color="auto"/>
        <w:right w:val="none" w:sz="0" w:space="0" w:color="auto"/>
      </w:divBdr>
    </w:div>
    <w:div w:id="2065061255">
      <w:bodyDiv w:val="1"/>
      <w:marLeft w:val="0"/>
      <w:marRight w:val="0"/>
      <w:marTop w:val="0"/>
      <w:marBottom w:val="0"/>
      <w:divBdr>
        <w:top w:val="none" w:sz="0" w:space="0" w:color="auto"/>
        <w:left w:val="none" w:sz="0" w:space="0" w:color="auto"/>
        <w:bottom w:val="none" w:sz="0" w:space="0" w:color="auto"/>
        <w:right w:val="none" w:sz="0" w:space="0" w:color="auto"/>
      </w:divBdr>
    </w:div>
    <w:div w:id="2065522937">
      <w:bodyDiv w:val="1"/>
      <w:marLeft w:val="0"/>
      <w:marRight w:val="0"/>
      <w:marTop w:val="0"/>
      <w:marBottom w:val="0"/>
      <w:divBdr>
        <w:top w:val="none" w:sz="0" w:space="0" w:color="auto"/>
        <w:left w:val="none" w:sz="0" w:space="0" w:color="auto"/>
        <w:bottom w:val="none" w:sz="0" w:space="0" w:color="auto"/>
        <w:right w:val="none" w:sz="0" w:space="0" w:color="auto"/>
      </w:divBdr>
    </w:div>
    <w:div w:id="2065835214">
      <w:bodyDiv w:val="1"/>
      <w:marLeft w:val="0"/>
      <w:marRight w:val="0"/>
      <w:marTop w:val="0"/>
      <w:marBottom w:val="0"/>
      <w:divBdr>
        <w:top w:val="none" w:sz="0" w:space="0" w:color="auto"/>
        <w:left w:val="none" w:sz="0" w:space="0" w:color="auto"/>
        <w:bottom w:val="none" w:sz="0" w:space="0" w:color="auto"/>
        <w:right w:val="none" w:sz="0" w:space="0" w:color="auto"/>
      </w:divBdr>
    </w:div>
    <w:div w:id="2067339208">
      <w:bodyDiv w:val="1"/>
      <w:marLeft w:val="0"/>
      <w:marRight w:val="0"/>
      <w:marTop w:val="0"/>
      <w:marBottom w:val="0"/>
      <w:divBdr>
        <w:top w:val="none" w:sz="0" w:space="0" w:color="auto"/>
        <w:left w:val="none" w:sz="0" w:space="0" w:color="auto"/>
        <w:bottom w:val="none" w:sz="0" w:space="0" w:color="auto"/>
        <w:right w:val="none" w:sz="0" w:space="0" w:color="auto"/>
      </w:divBdr>
    </w:div>
    <w:div w:id="2074112035">
      <w:bodyDiv w:val="1"/>
      <w:marLeft w:val="0"/>
      <w:marRight w:val="0"/>
      <w:marTop w:val="0"/>
      <w:marBottom w:val="0"/>
      <w:divBdr>
        <w:top w:val="none" w:sz="0" w:space="0" w:color="auto"/>
        <w:left w:val="none" w:sz="0" w:space="0" w:color="auto"/>
        <w:bottom w:val="none" w:sz="0" w:space="0" w:color="auto"/>
        <w:right w:val="none" w:sz="0" w:space="0" w:color="auto"/>
      </w:divBdr>
    </w:div>
    <w:div w:id="2074965682">
      <w:bodyDiv w:val="1"/>
      <w:marLeft w:val="0"/>
      <w:marRight w:val="0"/>
      <w:marTop w:val="0"/>
      <w:marBottom w:val="0"/>
      <w:divBdr>
        <w:top w:val="none" w:sz="0" w:space="0" w:color="auto"/>
        <w:left w:val="none" w:sz="0" w:space="0" w:color="auto"/>
        <w:bottom w:val="none" w:sz="0" w:space="0" w:color="auto"/>
        <w:right w:val="none" w:sz="0" w:space="0" w:color="auto"/>
      </w:divBdr>
    </w:div>
    <w:div w:id="2078087232">
      <w:bodyDiv w:val="1"/>
      <w:marLeft w:val="0"/>
      <w:marRight w:val="0"/>
      <w:marTop w:val="0"/>
      <w:marBottom w:val="0"/>
      <w:divBdr>
        <w:top w:val="none" w:sz="0" w:space="0" w:color="auto"/>
        <w:left w:val="none" w:sz="0" w:space="0" w:color="auto"/>
        <w:bottom w:val="none" w:sz="0" w:space="0" w:color="auto"/>
        <w:right w:val="none" w:sz="0" w:space="0" w:color="auto"/>
      </w:divBdr>
    </w:div>
    <w:div w:id="2080783327">
      <w:bodyDiv w:val="1"/>
      <w:marLeft w:val="0"/>
      <w:marRight w:val="0"/>
      <w:marTop w:val="0"/>
      <w:marBottom w:val="0"/>
      <w:divBdr>
        <w:top w:val="none" w:sz="0" w:space="0" w:color="auto"/>
        <w:left w:val="none" w:sz="0" w:space="0" w:color="auto"/>
        <w:bottom w:val="none" w:sz="0" w:space="0" w:color="auto"/>
        <w:right w:val="none" w:sz="0" w:space="0" w:color="auto"/>
      </w:divBdr>
    </w:div>
    <w:div w:id="2084832775">
      <w:bodyDiv w:val="1"/>
      <w:marLeft w:val="0"/>
      <w:marRight w:val="0"/>
      <w:marTop w:val="0"/>
      <w:marBottom w:val="0"/>
      <w:divBdr>
        <w:top w:val="none" w:sz="0" w:space="0" w:color="auto"/>
        <w:left w:val="none" w:sz="0" w:space="0" w:color="auto"/>
        <w:bottom w:val="none" w:sz="0" w:space="0" w:color="auto"/>
        <w:right w:val="none" w:sz="0" w:space="0" w:color="auto"/>
      </w:divBdr>
    </w:div>
    <w:div w:id="2085492063">
      <w:bodyDiv w:val="1"/>
      <w:marLeft w:val="0"/>
      <w:marRight w:val="0"/>
      <w:marTop w:val="0"/>
      <w:marBottom w:val="0"/>
      <w:divBdr>
        <w:top w:val="none" w:sz="0" w:space="0" w:color="auto"/>
        <w:left w:val="none" w:sz="0" w:space="0" w:color="auto"/>
        <w:bottom w:val="none" w:sz="0" w:space="0" w:color="auto"/>
        <w:right w:val="none" w:sz="0" w:space="0" w:color="auto"/>
      </w:divBdr>
    </w:div>
    <w:div w:id="2087729332">
      <w:bodyDiv w:val="1"/>
      <w:marLeft w:val="0"/>
      <w:marRight w:val="0"/>
      <w:marTop w:val="0"/>
      <w:marBottom w:val="0"/>
      <w:divBdr>
        <w:top w:val="none" w:sz="0" w:space="0" w:color="auto"/>
        <w:left w:val="none" w:sz="0" w:space="0" w:color="auto"/>
        <w:bottom w:val="none" w:sz="0" w:space="0" w:color="auto"/>
        <w:right w:val="none" w:sz="0" w:space="0" w:color="auto"/>
      </w:divBdr>
    </w:div>
    <w:div w:id="2088183353">
      <w:bodyDiv w:val="1"/>
      <w:marLeft w:val="0"/>
      <w:marRight w:val="0"/>
      <w:marTop w:val="0"/>
      <w:marBottom w:val="0"/>
      <w:divBdr>
        <w:top w:val="none" w:sz="0" w:space="0" w:color="auto"/>
        <w:left w:val="none" w:sz="0" w:space="0" w:color="auto"/>
        <w:bottom w:val="none" w:sz="0" w:space="0" w:color="auto"/>
        <w:right w:val="none" w:sz="0" w:space="0" w:color="auto"/>
      </w:divBdr>
    </w:div>
    <w:div w:id="2089037632">
      <w:bodyDiv w:val="1"/>
      <w:marLeft w:val="0"/>
      <w:marRight w:val="0"/>
      <w:marTop w:val="0"/>
      <w:marBottom w:val="0"/>
      <w:divBdr>
        <w:top w:val="none" w:sz="0" w:space="0" w:color="auto"/>
        <w:left w:val="none" w:sz="0" w:space="0" w:color="auto"/>
        <w:bottom w:val="none" w:sz="0" w:space="0" w:color="auto"/>
        <w:right w:val="none" w:sz="0" w:space="0" w:color="auto"/>
      </w:divBdr>
    </w:div>
    <w:div w:id="2089377492">
      <w:bodyDiv w:val="1"/>
      <w:marLeft w:val="0"/>
      <w:marRight w:val="0"/>
      <w:marTop w:val="0"/>
      <w:marBottom w:val="0"/>
      <w:divBdr>
        <w:top w:val="none" w:sz="0" w:space="0" w:color="auto"/>
        <w:left w:val="none" w:sz="0" w:space="0" w:color="auto"/>
        <w:bottom w:val="none" w:sz="0" w:space="0" w:color="auto"/>
        <w:right w:val="none" w:sz="0" w:space="0" w:color="auto"/>
      </w:divBdr>
    </w:div>
    <w:div w:id="2089956174">
      <w:bodyDiv w:val="1"/>
      <w:marLeft w:val="0"/>
      <w:marRight w:val="0"/>
      <w:marTop w:val="0"/>
      <w:marBottom w:val="0"/>
      <w:divBdr>
        <w:top w:val="none" w:sz="0" w:space="0" w:color="auto"/>
        <w:left w:val="none" w:sz="0" w:space="0" w:color="auto"/>
        <w:bottom w:val="none" w:sz="0" w:space="0" w:color="auto"/>
        <w:right w:val="none" w:sz="0" w:space="0" w:color="auto"/>
      </w:divBdr>
    </w:div>
    <w:div w:id="2092506682">
      <w:bodyDiv w:val="1"/>
      <w:marLeft w:val="0"/>
      <w:marRight w:val="0"/>
      <w:marTop w:val="0"/>
      <w:marBottom w:val="0"/>
      <w:divBdr>
        <w:top w:val="none" w:sz="0" w:space="0" w:color="auto"/>
        <w:left w:val="none" w:sz="0" w:space="0" w:color="auto"/>
        <w:bottom w:val="none" w:sz="0" w:space="0" w:color="auto"/>
        <w:right w:val="none" w:sz="0" w:space="0" w:color="auto"/>
      </w:divBdr>
    </w:div>
    <w:div w:id="2093886925">
      <w:bodyDiv w:val="1"/>
      <w:marLeft w:val="0"/>
      <w:marRight w:val="0"/>
      <w:marTop w:val="0"/>
      <w:marBottom w:val="0"/>
      <w:divBdr>
        <w:top w:val="none" w:sz="0" w:space="0" w:color="auto"/>
        <w:left w:val="none" w:sz="0" w:space="0" w:color="auto"/>
        <w:bottom w:val="none" w:sz="0" w:space="0" w:color="auto"/>
        <w:right w:val="none" w:sz="0" w:space="0" w:color="auto"/>
      </w:divBdr>
    </w:div>
    <w:div w:id="2093961917">
      <w:bodyDiv w:val="1"/>
      <w:marLeft w:val="0"/>
      <w:marRight w:val="0"/>
      <w:marTop w:val="0"/>
      <w:marBottom w:val="0"/>
      <w:divBdr>
        <w:top w:val="none" w:sz="0" w:space="0" w:color="auto"/>
        <w:left w:val="none" w:sz="0" w:space="0" w:color="auto"/>
        <w:bottom w:val="none" w:sz="0" w:space="0" w:color="auto"/>
        <w:right w:val="none" w:sz="0" w:space="0" w:color="auto"/>
      </w:divBdr>
    </w:div>
    <w:div w:id="2098208347">
      <w:bodyDiv w:val="1"/>
      <w:marLeft w:val="0"/>
      <w:marRight w:val="0"/>
      <w:marTop w:val="0"/>
      <w:marBottom w:val="0"/>
      <w:divBdr>
        <w:top w:val="none" w:sz="0" w:space="0" w:color="auto"/>
        <w:left w:val="none" w:sz="0" w:space="0" w:color="auto"/>
        <w:bottom w:val="none" w:sz="0" w:space="0" w:color="auto"/>
        <w:right w:val="none" w:sz="0" w:space="0" w:color="auto"/>
      </w:divBdr>
    </w:div>
    <w:div w:id="2100055773">
      <w:bodyDiv w:val="1"/>
      <w:marLeft w:val="0"/>
      <w:marRight w:val="0"/>
      <w:marTop w:val="0"/>
      <w:marBottom w:val="0"/>
      <w:divBdr>
        <w:top w:val="none" w:sz="0" w:space="0" w:color="auto"/>
        <w:left w:val="none" w:sz="0" w:space="0" w:color="auto"/>
        <w:bottom w:val="none" w:sz="0" w:space="0" w:color="auto"/>
        <w:right w:val="none" w:sz="0" w:space="0" w:color="auto"/>
      </w:divBdr>
    </w:div>
    <w:div w:id="2100369100">
      <w:bodyDiv w:val="1"/>
      <w:marLeft w:val="0"/>
      <w:marRight w:val="0"/>
      <w:marTop w:val="0"/>
      <w:marBottom w:val="0"/>
      <w:divBdr>
        <w:top w:val="none" w:sz="0" w:space="0" w:color="auto"/>
        <w:left w:val="none" w:sz="0" w:space="0" w:color="auto"/>
        <w:bottom w:val="none" w:sz="0" w:space="0" w:color="auto"/>
        <w:right w:val="none" w:sz="0" w:space="0" w:color="auto"/>
      </w:divBdr>
    </w:div>
    <w:div w:id="2100829501">
      <w:bodyDiv w:val="1"/>
      <w:marLeft w:val="0"/>
      <w:marRight w:val="0"/>
      <w:marTop w:val="0"/>
      <w:marBottom w:val="0"/>
      <w:divBdr>
        <w:top w:val="none" w:sz="0" w:space="0" w:color="auto"/>
        <w:left w:val="none" w:sz="0" w:space="0" w:color="auto"/>
        <w:bottom w:val="none" w:sz="0" w:space="0" w:color="auto"/>
        <w:right w:val="none" w:sz="0" w:space="0" w:color="auto"/>
      </w:divBdr>
    </w:div>
    <w:div w:id="2101562944">
      <w:bodyDiv w:val="1"/>
      <w:marLeft w:val="0"/>
      <w:marRight w:val="0"/>
      <w:marTop w:val="0"/>
      <w:marBottom w:val="0"/>
      <w:divBdr>
        <w:top w:val="none" w:sz="0" w:space="0" w:color="auto"/>
        <w:left w:val="none" w:sz="0" w:space="0" w:color="auto"/>
        <w:bottom w:val="none" w:sz="0" w:space="0" w:color="auto"/>
        <w:right w:val="none" w:sz="0" w:space="0" w:color="auto"/>
      </w:divBdr>
    </w:div>
    <w:div w:id="2103185236">
      <w:bodyDiv w:val="1"/>
      <w:marLeft w:val="0"/>
      <w:marRight w:val="0"/>
      <w:marTop w:val="0"/>
      <w:marBottom w:val="0"/>
      <w:divBdr>
        <w:top w:val="none" w:sz="0" w:space="0" w:color="auto"/>
        <w:left w:val="none" w:sz="0" w:space="0" w:color="auto"/>
        <w:bottom w:val="none" w:sz="0" w:space="0" w:color="auto"/>
        <w:right w:val="none" w:sz="0" w:space="0" w:color="auto"/>
      </w:divBdr>
    </w:div>
    <w:div w:id="210429559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66697">
      <w:bodyDiv w:val="1"/>
      <w:marLeft w:val="0"/>
      <w:marRight w:val="0"/>
      <w:marTop w:val="0"/>
      <w:marBottom w:val="0"/>
      <w:divBdr>
        <w:top w:val="none" w:sz="0" w:space="0" w:color="auto"/>
        <w:left w:val="none" w:sz="0" w:space="0" w:color="auto"/>
        <w:bottom w:val="none" w:sz="0" w:space="0" w:color="auto"/>
        <w:right w:val="none" w:sz="0" w:space="0" w:color="auto"/>
      </w:divBdr>
    </w:div>
    <w:div w:id="2106925679">
      <w:bodyDiv w:val="1"/>
      <w:marLeft w:val="0"/>
      <w:marRight w:val="0"/>
      <w:marTop w:val="0"/>
      <w:marBottom w:val="0"/>
      <w:divBdr>
        <w:top w:val="none" w:sz="0" w:space="0" w:color="auto"/>
        <w:left w:val="none" w:sz="0" w:space="0" w:color="auto"/>
        <w:bottom w:val="none" w:sz="0" w:space="0" w:color="auto"/>
        <w:right w:val="none" w:sz="0" w:space="0" w:color="auto"/>
      </w:divBdr>
    </w:div>
    <w:div w:id="2115636792">
      <w:bodyDiv w:val="1"/>
      <w:marLeft w:val="0"/>
      <w:marRight w:val="0"/>
      <w:marTop w:val="0"/>
      <w:marBottom w:val="0"/>
      <w:divBdr>
        <w:top w:val="none" w:sz="0" w:space="0" w:color="auto"/>
        <w:left w:val="none" w:sz="0" w:space="0" w:color="auto"/>
        <w:bottom w:val="none" w:sz="0" w:space="0" w:color="auto"/>
        <w:right w:val="none" w:sz="0" w:space="0" w:color="auto"/>
      </w:divBdr>
    </w:div>
    <w:div w:id="2117170090">
      <w:bodyDiv w:val="1"/>
      <w:marLeft w:val="0"/>
      <w:marRight w:val="0"/>
      <w:marTop w:val="0"/>
      <w:marBottom w:val="0"/>
      <w:divBdr>
        <w:top w:val="none" w:sz="0" w:space="0" w:color="auto"/>
        <w:left w:val="none" w:sz="0" w:space="0" w:color="auto"/>
        <w:bottom w:val="none" w:sz="0" w:space="0" w:color="auto"/>
        <w:right w:val="none" w:sz="0" w:space="0" w:color="auto"/>
      </w:divBdr>
    </w:div>
    <w:div w:id="2117404088">
      <w:bodyDiv w:val="1"/>
      <w:marLeft w:val="0"/>
      <w:marRight w:val="0"/>
      <w:marTop w:val="0"/>
      <w:marBottom w:val="0"/>
      <w:divBdr>
        <w:top w:val="none" w:sz="0" w:space="0" w:color="auto"/>
        <w:left w:val="none" w:sz="0" w:space="0" w:color="auto"/>
        <w:bottom w:val="none" w:sz="0" w:space="0" w:color="auto"/>
        <w:right w:val="none" w:sz="0" w:space="0" w:color="auto"/>
      </w:divBdr>
    </w:div>
    <w:div w:id="2117865054">
      <w:bodyDiv w:val="1"/>
      <w:marLeft w:val="0"/>
      <w:marRight w:val="0"/>
      <w:marTop w:val="0"/>
      <w:marBottom w:val="0"/>
      <w:divBdr>
        <w:top w:val="none" w:sz="0" w:space="0" w:color="auto"/>
        <w:left w:val="none" w:sz="0" w:space="0" w:color="auto"/>
        <w:bottom w:val="none" w:sz="0" w:space="0" w:color="auto"/>
        <w:right w:val="none" w:sz="0" w:space="0" w:color="auto"/>
      </w:divBdr>
    </w:div>
    <w:div w:id="2118019163">
      <w:bodyDiv w:val="1"/>
      <w:marLeft w:val="0"/>
      <w:marRight w:val="0"/>
      <w:marTop w:val="0"/>
      <w:marBottom w:val="0"/>
      <w:divBdr>
        <w:top w:val="none" w:sz="0" w:space="0" w:color="auto"/>
        <w:left w:val="none" w:sz="0" w:space="0" w:color="auto"/>
        <w:bottom w:val="none" w:sz="0" w:space="0" w:color="auto"/>
        <w:right w:val="none" w:sz="0" w:space="0" w:color="auto"/>
      </w:divBdr>
    </w:div>
    <w:div w:id="2118794569">
      <w:bodyDiv w:val="1"/>
      <w:marLeft w:val="0"/>
      <w:marRight w:val="0"/>
      <w:marTop w:val="0"/>
      <w:marBottom w:val="0"/>
      <w:divBdr>
        <w:top w:val="none" w:sz="0" w:space="0" w:color="auto"/>
        <w:left w:val="none" w:sz="0" w:space="0" w:color="auto"/>
        <w:bottom w:val="none" w:sz="0" w:space="0" w:color="auto"/>
        <w:right w:val="none" w:sz="0" w:space="0" w:color="auto"/>
      </w:divBdr>
    </w:div>
    <w:div w:id="2124107143">
      <w:bodyDiv w:val="1"/>
      <w:marLeft w:val="0"/>
      <w:marRight w:val="0"/>
      <w:marTop w:val="0"/>
      <w:marBottom w:val="0"/>
      <w:divBdr>
        <w:top w:val="none" w:sz="0" w:space="0" w:color="auto"/>
        <w:left w:val="none" w:sz="0" w:space="0" w:color="auto"/>
        <w:bottom w:val="none" w:sz="0" w:space="0" w:color="auto"/>
        <w:right w:val="none" w:sz="0" w:space="0" w:color="auto"/>
      </w:divBdr>
    </w:div>
    <w:div w:id="2127306035">
      <w:bodyDiv w:val="1"/>
      <w:marLeft w:val="0"/>
      <w:marRight w:val="0"/>
      <w:marTop w:val="0"/>
      <w:marBottom w:val="0"/>
      <w:divBdr>
        <w:top w:val="none" w:sz="0" w:space="0" w:color="auto"/>
        <w:left w:val="none" w:sz="0" w:space="0" w:color="auto"/>
        <w:bottom w:val="none" w:sz="0" w:space="0" w:color="auto"/>
        <w:right w:val="none" w:sz="0" w:space="0" w:color="auto"/>
      </w:divBdr>
    </w:div>
    <w:div w:id="2135978410">
      <w:bodyDiv w:val="1"/>
      <w:marLeft w:val="0"/>
      <w:marRight w:val="0"/>
      <w:marTop w:val="0"/>
      <w:marBottom w:val="0"/>
      <w:divBdr>
        <w:top w:val="none" w:sz="0" w:space="0" w:color="auto"/>
        <w:left w:val="none" w:sz="0" w:space="0" w:color="auto"/>
        <w:bottom w:val="none" w:sz="0" w:space="0" w:color="auto"/>
        <w:right w:val="none" w:sz="0" w:space="0" w:color="auto"/>
      </w:divBdr>
    </w:div>
    <w:div w:id="2141336553">
      <w:bodyDiv w:val="1"/>
      <w:marLeft w:val="0"/>
      <w:marRight w:val="0"/>
      <w:marTop w:val="0"/>
      <w:marBottom w:val="0"/>
      <w:divBdr>
        <w:top w:val="none" w:sz="0" w:space="0" w:color="auto"/>
        <w:left w:val="none" w:sz="0" w:space="0" w:color="auto"/>
        <w:bottom w:val="none" w:sz="0" w:space="0" w:color="auto"/>
        <w:right w:val="none" w:sz="0" w:space="0" w:color="auto"/>
      </w:divBdr>
    </w:div>
    <w:div w:id="214592338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AA41889D71304D8DE2904FC7E6ABA1" ma:contentTypeVersion="0" ma:contentTypeDescription="Create a new document." ma:contentTypeScope="" ma:versionID="604a05262a4554e664889ce409ccd8df">
  <xsd:schema xmlns:xsd="http://www.w3.org/2001/XMLSchema" xmlns:xs="http://www.w3.org/2001/XMLSchema" xmlns:p="http://schemas.microsoft.com/office/2006/metadata/properties" targetNamespace="http://schemas.microsoft.com/office/2006/metadata/properties" ma:root="true" ma:fieldsID="9e81bd327e4501541f271c2355c003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2DEA5-FA21-4E89-AE67-43C671224E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6FDF3E-CDAC-4FEA-949A-8882BF0E429C}">
  <ds:schemaRefs>
    <ds:schemaRef ds:uri="http://schemas.microsoft.com/sharepoint/v3/contenttype/forms"/>
  </ds:schemaRefs>
</ds:datastoreItem>
</file>

<file path=customXml/itemProps3.xml><?xml version="1.0" encoding="utf-8"?>
<ds:datastoreItem xmlns:ds="http://schemas.openxmlformats.org/officeDocument/2006/customXml" ds:itemID="{F9F52139-6C5D-4F7B-B89C-16AD47C10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892729-05F4-44AF-980B-EA48AED0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21408</Words>
  <Characters>122029</Characters>
  <Application>Microsoft Office Word</Application>
  <DocSecurity>0</DocSecurity>
  <Lines>1016</Lines>
  <Paragraphs>286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Slovenské telekomunikácie</Company>
  <LinksUpToDate>false</LinksUpToDate>
  <CharactersWithSpaces>143151</CharactersWithSpaces>
  <SharedDoc>false</SharedDoc>
  <HLinks>
    <vt:vector size="372" baseType="variant">
      <vt:variant>
        <vt:i4>1179702</vt:i4>
      </vt:variant>
      <vt:variant>
        <vt:i4>368</vt:i4>
      </vt:variant>
      <vt:variant>
        <vt:i4>0</vt:i4>
      </vt:variant>
      <vt:variant>
        <vt:i4>5</vt:i4>
      </vt:variant>
      <vt:variant>
        <vt:lpwstr/>
      </vt:variant>
      <vt:variant>
        <vt:lpwstr>_Toc237333068</vt:lpwstr>
      </vt:variant>
      <vt:variant>
        <vt:i4>1179702</vt:i4>
      </vt:variant>
      <vt:variant>
        <vt:i4>362</vt:i4>
      </vt:variant>
      <vt:variant>
        <vt:i4>0</vt:i4>
      </vt:variant>
      <vt:variant>
        <vt:i4>5</vt:i4>
      </vt:variant>
      <vt:variant>
        <vt:lpwstr/>
      </vt:variant>
      <vt:variant>
        <vt:lpwstr>_Toc237333067</vt:lpwstr>
      </vt:variant>
      <vt:variant>
        <vt:i4>1179702</vt:i4>
      </vt:variant>
      <vt:variant>
        <vt:i4>356</vt:i4>
      </vt:variant>
      <vt:variant>
        <vt:i4>0</vt:i4>
      </vt:variant>
      <vt:variant>
        <vt:i4>5</vt:i4>
      </vt:variant>
      <vt:variant>
        <vt:lpwstr/>
      </vt:variant>
      <vt:variant>
        <vt:lpwstr>_Toc237333066</vt:lpwstr>
      </vt:variant>
      <vt:variant>
        <vt:i4>1179702</vt:i4>
      </vt:variant>
      <vt:variant>
        <vt:i4>350</vt:i4>
      </vt:variant>
      <vt:variant>
        <vt:i4>0</vt:i4>
      </vt:variant>
      <vt:variant>
        <vt:i4>5</vt:i4>
      </vt:variant>
      <vt:variant>
        <vt:lpwstr/>
      </vt:variant>
      <vt:variant>
        <vt:lpwstr>_Toc237333065</vt:lpwstr>
      </vt:variant>
      <vt:variant>
        <vt:i4>1179702</vt:i4>
      </vt:variant>
      <vt:variant>
        <vt:i4>344</vt:i4>
      </vt:variant>
      <vt:variant>
        <vt:i4>0</vt:i4>
      </vt:variant>
      <vt:variant>
        <vt:i4>5</vt:i4>
      </vt:variant>
      <vt:variant>
        <vt:lpwstr/>
      </vt:variant>
      <vt:variant>
        <vt:lpwstr>_Toc237333064</vt:lpwstr>
      </vt:variant>
      <vt:variant>
        <vt:i4>1179702</vt:i4>
      </vt:variant>
      <vt:variant>
        <vt:i4>338</vt:i4>
      </vt:variant>
      <vt:variant>
        <vt:i4>0</vt:i4>
      </vt:variant>
      <vt:variant>
        <vt:i4>5</vt:i4>
      </vt:variant>
      <vt:variant>
        <vt:lpwstr/>
      </vt:variant>
      <vt:variant>
        <vt:lpwstr>_Toc237333063</vt:lpwstr>
      </vt:variant>
      <vt:variant>
        <vt:i4>1179702</vt:i4>
      </vt:variant>
      <vt:variant>
        <vt:i4>332</vt:i4>
      </vt:variant>
      <vt:variant>
        <vt:i4>0</vt:i4>
      </vt:variant>
      <vt:variant>
        <vt:i4>5</vt:i4>
      </vt:variant>
      <vt:variant>
        <vt:lpwstr/>
      </vt:variant>
      <vt:variant>
        <vt:lpwstr>_Toc237333062</vt:lpwstr>
      </vt:variant>
      <vt:variant>
        <vt:i4>1179702</vt:i4>
      </vt:variant>
      <vt:variant>
        <vt:i4>326</vt:i4>
      </vt:variant>
      <vt:variant>
        <vt:i4>0</vt:i4>
      </vt:variant>
      <vt:variant>
        <vt:i4>5</vt:i4>
      </vt:variant>
      <vt:variant>
        <vt:lpwstr/>
      </vt:variant>
      <vt:variant>
        <vt:lpwstr>_Toc237333061</vt:lpwstr>
      </vt:variant>
      <vt:variant>
        <vt:i4>1179702</vt:i4>
      </vt:variant>
      <vt:variant>
        <vt:i4>320</vt:i4>
      </vt:variant>
      <vt:variant>
        <vt:i4>0</vt:i4>
      </vt:variant>
      <vt:variant>
        <vt:i4>5</vt:i4>
      </vt:variant>
      <vt:variant>
        <vt:lpwstr/>
      </vt:variant>
      <vt:variant>
        <vt:lpwstr>_Toc237333060</vt:lpwstr>
      </vt:variant>
      <vt:variant>
        <vt:i4>1114166</vt:i4>
      </vt:variant>
      <vt:variant>
        <vt:i4>314</vt:i4>
      </vt:variant>
      <vt:variant>
        <vt:i4>0</vt:i4>
      </vt:variant>
      <vt:variant>
        <vt:i4>5</vt:i4>
      </vt:variant>
      <vt:variant>
        <vt:lpwstr/>
      </vt:variant>
      <vt:variant>
        <vt:lpwstr>_Toc237333059</vt:lpwstr>
      </vt:variant>
      <vt:variant>
        <vt:i4>1114166</vt:i4>
      </vt:variant>
      <vt:variant>
        <vt:i4>308</vt:i4>
      </vt:variant>
      <vt:variant>
        <vt:i4>0</vt:i4>
      </vt:variant>
      <vt:variant>
        <vt:i4>5</vt:i4>
      </vt:variant>
      <vt:variant>
        <vt:lpwstr/>
      </vt:variant>
      <vt:variant>
        <vt:lpwstr>_Toc237333058</vt:lpwstr>
      </vt:variant>
      <vt:variant>
        <vt:i4>1114166</vt:i4>
      </vt:variant>
      <vt:variant>
        <vt:i4>302</vt:i4>
      </vt:variant>
      <vt:variant>
        <vt:i4>0</vt:i4>
      </vt:variant>
      <vt:variant>
        <vt:i4>5</vt:i4>
      </vt:variant>
      <vt:variant>
        <vt:lpwstr/>
      </vt:variant>
      <vt:variant>
        <vt:lpwstr>_Toc237333057</vt:lpwstr>
      </vt:variant>
      <vt:variant>
        <vt:i4>1114166</vt:i4>
      </vt:variant>
      <vt:variant>
        <vt:i4>296</vt:i4>
      </vt:variant>
      <vt:variant>
        <vt:i4>0</vt:i4>
      </vt:variant>
      <vt:variant>
        <vt:i4>5</vt:i4>
      </vt:variant>
      <vt:variant>
        <vt:lpwstr/>
      </vt:variant>
      <vt:variant>
        <vt:lpwstr>_Toc237333056</vt:lpwstr>
      </vt:variant>
      <vt:variant>
        <vt:i4>1114166</vt:i4>
      </vt:variant>
      <vt:variant>
        <vt:i4>290</vt:i4>
      </vt:variant>
      <vt:variant>
        <vt:i4>0</vt:i4>
      </vt:variant>
      <vt:variant>
        <vt:i4>5</vt:i4>
      </vt:variant>
      <vt:variant>
        <vt:lpwstr/>
      </vt:variant>
      <vt:variant>
        <vt:lpwstr>_Toc237333055</vt:lpwstr>
      </vt:variant>
      <vt:variant>
        <vt:i4>1114166</vt:i4>
      </vt:variant>
      <vt:variant>
        <vt:i4>284</vt:i4>
      </vt:variant>
      <vt:variant>
        <vt:i4>0</vt:i4>
      </vt:variant>
      <vt:variant>
        <vt:i4>5</vt:i4>
      </vt:variant>
      <vt:variant>
        <vt:lpwstr/>
      </vt:variant>
      <vt:variant>
        <vt:lpwstr>_Toc237333054</vt:lpwstr>
      </vt:variant>
      <vt:variant>
        <vt:i4>1114166</vt:i4>
      </vt:variant>
      <vt:variant>
        <vt:i4>278</vt:i4>
      </vt:variant>
      <vt:variant>
        <vt:i4>0</vt:i4>
      </vt:variant>
      <vt:variant>
        <vt:i4>5</vt:i4>
      </vt:variant>
      <vt:variant>
        <vt:lpwstr/>
      </vt:variant>
      <vt:variant>
        <vt:lpwstr>_Toc237333053</vt:lpwstr>
      </vt:variant>
      <vt:variant>
        <vt:i4>1114166</vt:i4>
      </vt:variant>
      <vt:variant>
        <vt:i4>272</vt:i4>
      </vt:variant>
      <vt:variant>
        <vt:i4>0</vt:i4>
      </vt:variant>
      <vt:variant>
        <vt:i4>5</vt:i4>
      </vt:variant>
      <vt:variant>
        <vt:lpwstr/>
      </vt:variant>
      <vt:variant>
        <vt:lpwstr>_Toc237333052</vt:lpwstr>
      </vt:variant>
      <vt:variant>
        <vt:i4>1114166</vt:i4>
      </vt:variant>
      <vt:variant>
        <vt:i4>266</vt:i4>
      </vt:variant>
      <vt:variant>
        <vt:i4>0</vt:i4>
      </vt:variant>
      <vt:variant>
        <vt:i4>5</vt:i4>
      </vt:variant>
      <vt:variant>
        <vt:lpwstr/>
      </vt:variant>
      <vt:variant>
        <vt:lpwstr>_Toc237333051</vt:lpwstr>
      </vt:variant>
      <vt:variant>
        <vt:i4>1114166</vt:i4>
      </vt:variant>
      <vt:variant>
        <vt:i4>260</vt:i4>
      </vt:variant>
      <vt:variant>
        <vt:i4>0</vt:i4>
      </vt:variant>
      <vt:variant>
        <vt:i4>5</vt:i4>
      </vt:variant>
      <vt:variant>
        <vt:lpwstr/>
      </vt:variant>
      <vt:variant>
        <vt:lpwstr>_Toc237333050</vt:lpwstr>
      </vt:variant>
      <vt:variant>
        <vt:i4>1048630</vt:i4>
      </vt:variant>
      <vt:variant>
        <vt:i4>254</vt:i4>
      </vt:variant>
      <vt:variant>
        <vt:i4>0</vt:i4>
      </vt:variant>
      <vt:variant>
        <vt:i4>5</vt:i4>
      </vt:variant>
      <vt:variant>
        <vt:lpwstr/>
      </vt:variant>
      <vt:variant>
        <vt:lpwstr>_Toc237333049</vt:lpwstr>
      </vt:variant>
      <vt:variant>
        <vt:i4>1048630</vt:i4>
      </vt:variant>
      <vt:variant>
        <vt:i4>248</vt:i4>
      </vt:variant>
      <vt:variant>
        <vt:i4>0</vt:i4>
      </vt:variant>
      <vt:variant>
        <vt:i4>5</vt:i4>
      </vt:variant>
      <vt:variant>
        <vt:lpwstr/>
      </vt:variant>
      <vt:variant>
        <vt:lpwstr>_Toc237333048</vt:lpwstr>
      </vt:variant>
      <vt:variant>
        <vt:i4>1048630</vt:i4>
      </vt:variant>
      <vt:variant>
        <vt:i4>242</vt:i4>
      </vt:variant>
      <vt:variant>
        <vt:i4>0</vt:i4>
      </vt:variant>
      <vt:variant>
        <vt:i4>5</vt:i4>
      </vt:variant>
      <vt:variant>
        <vt:lpwstr/>
      </vt:variant>
      <vt:variant>
        <vt:lpwstr>_Toc237333047</vt:lpwstr>
      </vt:variant>
      <vt:variant>
        <vt:i4>1048630</vt:i4>
      </vt:variant>
      <vt:variant>
        <vt:i4>236</vt:i4>
      </vt:variant>
      <vt:variant>
        <vt:i4>0</vt:i4>
      </vt:variant>
      <vt:variant>
        <vt:i4>5</vt:i4>
      </vt:variant>
      <vt:variant>
        <vt:lpwstr/>
      </vt:variant>
      <vt:variant>
        <vt:lpwstr>_Toc237333046</vt:lpwstr>
      </vt:variant>
      <vt:variant>
        <vt:i4>1048630</vt:i4>
      </vt:variant>
      <vt:variant>
        <vt:i4>230</vt:i4>
      </vt:variant>
      <vt:variant>
        <vt:i4>0</vt:i4>
      </vt:variant>
      <vt:variant>
        <vt:i4>5</vt:i4>
      </vt:variant>
      <vt:variant>
        <vt:lpwstr/>
      </vt:variant>
      <vt:variant>
        <vt:lpwstr>_Toc237333045</vt:lpwstr>
      </vt:variant>
      <vt:variant>
        <vt:i4>1048630</vt:i4>
      </vt:variant>
      <vt:variant>
        <vt:i4>224</vt:i4>
      </vt:variant>
      <vt:variant>
        <vt:i4>0</vt:i4>
      </vt:variant>
      <vt:variant>
        <vt:i4>5</vt:i4>
      </vt:variant>
      <vt:variant>
        <vt:lpwstr/>
      </vt:variant>
      <vt:variant>
        <vt:lpwstr>_Toc237333044</vt:lpwstr>
      </vt:variant>
      <vt:variant>
        <vt:i4>1048630</vt:i4>
      </vt:variant>
      <vt:variant>
        <vt:i4>218</vt:i4>
      </vt:variant>
      <vt:variant>
        <vt:i4>0</vt:i4>
      </vt:variant>
      <vt:variant>
        <vt:i4>5</vt:i4>
      </vt:variant>
      <vt:variant>
        <vt:lpwstr/>
      </vt:variant>
      <vt:variant>
        <vt:lpwstr>_Toc237333043</vt:lpwstr>
      </vt:variant>
      <vt:variant>
        <vt:i4>1048630</vt:i4>
      </vt:variant>
      <vt:variant>
        <vt:i4>212</vt:i4>
      </vt:variant>
      <vt:variant>
        <vt:i4>0</vt:i4>
      </vt:variant>
      <vt:variant>
        <vt:i4>5</vt:i4>
      </vt:variant>
      <vt:variant>
        <vt:lpwstr/>
      </vt:variant>
      <vt:variant>
        <vt:lpwstr>_Toc237333042</vt:lpwstr>
      </vt:variant>
      <vt:variant>
        <vt:i4>1048630</vt:i4>
      </vt:variant>
      <vt:variant>
        <vt:i4>206</vt:i4>
      </vt:variant>
      <vt:variant>
        <vt:i4>0</vt:i4>
      </vt:variant>
      <vt:variant>
        <vt:i4>5</vt:i4>
      </vt:variant>
      <vt:variant>
        <vt:lpwstr/>
      </vt:variant>
      <vt:variant>
        <vt:lpwstr>_Toc237333041</vt:lpwstr>
      </vt:variant>
      <vt:variant>
        <vt:i4>1048630</vt:i4>
      </vt:variant>
      <vt:variant>
        <vt:i4>200</vt:i4>
      </vt:variant>
      <vt:variant>
        <vt:i4>0</vt:i4>
      </vt:variant>
      <vt:variant>
        <vt:i4>5</vt:i4>
      </vt:variant>
      <vt:variant>
        <vt:lpwstr/>
      </vt:variant>
      <vt:variant>
        <vt:lpwstr>_Toc237333040</vt:lpwstr>
      </vt:variant>
      <vt:variant>
        <vt:i4>1507382</vt:i4>
      </vt:variant>
      <vt:variant>
        <vt:i4>194</vt:i4>
      </vt:variant>
      <vt:variant>
        <vt:i4>0</vt:i4>
      </vt:variant>
      <vt:variant>
        <vt:i4>5</vt:i4>
      </vt:variant>
      <vt:variant>
        <vt:lpwstr/>
      </vt:variant>
      <vt:variant>
        <vt:lpwstr>_Toc237333039</vt:lpwstr>
      </vt:variant>
      <vt:variant>
        <vt:i4>1507382</vt:i4>
      </vt:variant>
      <vt:variant>
        <vt:i4>188</vt:i4>
      </vt:variant>
      <vt:variant>
        <vt:i4>0</vt:i4>
      </vt:variant>
      <vt:variant>
        <vt:i4>5</vt:i4>
      </vt:variant>
      <vt:variant>
        <vt:lpwstr/>
      </vt:variant>
      <vt:variant>
        <vt:lpwstr>_Toc237333038</vt:lpwstr>
      </vt:variant>
      <vt:variant>
        <vt:i4>1507382</vt:i4>
      </vt:variant>
      <vt:variant>
        <vt:i4>182</vt:i4>
      </vt:variant>
      <vt:variant>
        <vt:i4>0</vt:i4>
      </vt:variant>
      <vt:variant>
        <vt:i4>5</vt:i4>
      </vt:variant>
      <vt:variant>
        <vt:lpwstr/>
      </vt:variant>
      <vt:variant>
        <vt:lpwstr>_Toc237333037</vt:lpwstr>
      </vt:variant>
      <vt:variant>
        <vt:i4>1507382</vt:i4>
      </vt:variant>
      <vt:variant>
        <vt:i4>176</vt:i4>
      </vt:variant>
      <vt:variant>
        <vt:i4>0</vt:i4>
      </vt:variant>
      <vt:variant>
        <vt:i4>5</vt:i4>
      </vt:variant>
      <vt:variant>
        <vt:lpwstr/>
      </vt:variant>
      <vt:variant>
        <vt:lpwstr>_Toc237333036</vt:lpwstr>
      </vt:variant>
      <vt:variant>
        <vt:i4>1507382</vt:i4>
      </vt:variant>
      <vt:variant>
        <vt:i4>170</vt:i4>
      </vt:variant>
      <vt:variant>
        <vt:i4>0</vt:i4>
      </vt:variant>
      <vt:variant>
        <vt:i4>5</vt:i4>
      </vt:variant>
      <vt:variant>
        <vt:lpwstr/>
      </vt:variant>
      <vt:variant>
        <vt:lpwstr>_Toc237333035</vt:lpwstr>
      </vt:variant>
      <vt:variant>
        <vt:i4>1507382</vt:i4>
      </vt:variant>
      <vt:variant>
        <vt:i4>164</vt:i4>
      </vt:variant>
      <vt:variant>
        <vt:i4>0</vt:i4>
      </vt:variant>
      <vt:variant>
        <vt:i4>5</vt:i4>
      </vt:variant>
      <vt:variant>
        <vt:lpwstr/>
      </vt:variant>
      <vt:variant>
        <vt:lpwstr>_Toc237333034</vt:lpwstr>
      </vt:variant>
      <vt:variant>
        <vt:i4>1507382</vt:i4>
      </vt:variant>
      <vt:variant>
        <vt:i4>158</vt:i4>
      </vt:variant>
      <vt:variant>
        <vt:i4>0</vt:i4>
      </vt:variant>
      <vt:variant>
        <vt:i4>5</vt:i4>
      </vt:variant>
      <vt:variant>
        <vt:lpwstr/>
      </vt:variant>
      <vt:variant>
        <vt:lpwstr>_Toc237333033</vt:lpwstr>
      </vt:variant>
      <vt:variant>
        <vt:i4>1507382</vt:i4>
      </vt:variant>
      <vt:variant>
        <vt:i4>152</vt:i4>
      </vt:variant>
      <vt:variant>
        <vt:i4>0</vt:i4>
      </vt:variant>
      <vt:variant>
        <vt:i4>5</vt:i4>
      </vt:variant>
      <vt:variant>
        <vt:lpwstr/>
      </vt:variant>
      <vt:variant>
        <vt:lpwstr>_Toc237333032</vt:lpwstr>
      </vt:variant>
      <vt:variant>
        <vt:i4>1507382</vt:i4>
      </vt:variant>
      <vt:variant>
        <vt:i4>146</vt:i4>
      </vt:variant>
      <vt:variant>
        <vt:i4>0</vt:i4>
      </vt:variant>
      <vt:variant>
        <vt:i4>5</vt:i4>
      </vt:variant>
      <vt:variant>
        <vt:lpwstr/>
      </vt:variant>
      <vt:variant>
        <vt:lpwstr>_Toc237333031</vt:lpwstr>
      </vt:variant>
      <vt:variant>
        <vt:i4>1507382</vt:i4>
      </vt:variant>
      <vt:variant>
        <vt:i4>140</vt:i4>
      </vt:variant>
      <vt:variant>
        <vt:i4>0</vt:i4>
      </vt:variant>
      <vt:variant>
        <vt:i4>5</vt:i4>
      </vt:variant>
      <vt:variant>
        <vt:lpwstr/>
      </vt:variant>
      <vt:variant>
        <vt:lpwstr>_Toc237333030</vt:lpwstr>
      </vt:variant>
      <vt:variant>
        <vt:i4>1441846</vt:i4>
      </vt:variant>
      <vt:variant>
        <vt:i4>134</vt:i4>
      </vt:variant>
      <vt:variant>
        <vt:i4>0</vt:i4>
      </vt:variant>
      <vt:variant>
        <vt:i4>5</vt:i4>
      </vt:variant>
      <vt:variant>
        <vt:lpwstr/>
      </vt:variant>
      <vt:variant>
        <vt:lpwstr>_Toc237333029</vt:lpwstr>
      </vt:variant>
      <vt:variant>
        <vt:i4>1441846</vt:i4>
      </vt:variant>
      <vt:variant>
        <vt:i4>128</vt:i4>
      </vt:variant>
      <vt:variant>
        <vt:i4>0</vt:i4>
      </vt:variant>
      <vt:variant>
        <vt:i4>5</vt:i4>
      </vt:variant>
      <vt:variant>
        <vt:lpwstr/>
      </vt:variant>
      <vt:variant>
        <vt:lpwstr>_Toc237333028</vt:lpwstr>
      </vt:variant>
      <vt:variant>
        <vt:i4>1441846</vt:i4>
      </vt:variant>
      <vt:variant>
        <vt:i4>122</vt:i4>
      </vt:variant>
      <vt:variant>
        <vt:i4>0</vt:i4>
      </vt:variant>
      <vt:variant>
        <vt:i4>5</vt:i4>
      </vt:variant>
      <vt:variant>
        <vt:lpwstr/>
      </vt:variant>
      <vt:variant>
        <vt:lpwstr>_Toc237333027</vt:lpwstr>
      </vt:variant>
      <vt:variant>
        <vt:i4>1441846</vt:i4>
      </vt:variant>
      <vt:variant>
        <vt:i4>116</vt:i4>
      </vt:variant>
      <vt:variant>
        <vt:i4>0</vt:i4>
      </vt:variant>
      <vt:variant>
        <vt:i4>5</vt:i4>
      </vt:variant>
      <vt:variant>
        <vt:lpwstr/>
      </vt:variant>
      <vt:variant>
        <vt:lpwstr>_Toc237333026</vt:lpwstr>
      </vt:variant>
      <vt:variant>
        <vt:i4>1441846</vt:i4>
      </vt:variant>
      <vt:variant>
        <vt:i4>110</vt:i4>
      </vt:variant>
      <vt:variant>
        <vt:i4>0</vt:i4>
      </vt:variant>
      <vt:variant>
        <vt:i4>5</vt:i4>
      </vt:variant>
      <vt:variant>
        <vt:lpwstr/>
      </vt:variant>
      <vt:variant>
        <vt:lpwstr>_Toc237333025</vt:lpwstr>
      </vt:variant>
      <vt:variant>
        <vt:i4>1441846</vt:i4>
      </vt:variant>
      <vt:variant>
        <vt:i4>104</vt:i4>
      </vt:variant>
      <vt:variant>
        <vt:i4>0</vt:i4>
      </vt:variant>
      <vt:variant>
        <vt:i4>5</vt:i4>
      </vt:variant>
      <vt:variant>
        <vt:lpwstr/>
      </vt:variant>
      <vt:variant>
        <vt:lpwstr>_Toc237333024</vt:lpwstr>
      </vt:variant>
      <vt:variant>
        <vt:i4>1441846</vt:i4>
      </vt:variant>
      <vt:variant>
        <vt:i4>98</vt:i4>
      </vt:variant>
      <vt:variant>
        <vt:i4>0</vt:i4>
      </vt:variant>
      <vt:variant>
        <vt:i4>5</vt:i4>
      </vt:variant>
      <vt:variant>
        <vt:lpwstr/>
      </vt:variant>
      <vt:variant>
        <vt:lpwstr>_Toc237333023</vt:lpwstr>
      </vt:variant>
      <vt:variant>
        <vt:i4>1441846</vt:i4>
      </vt:variant>
      <vt:variant>
        <vt:i4>92</vt:i4>
      </vt:variant>
      <vt:variant>
        <vt:i4>0</vt:i4>
      </vt:variant>
      <vt:variant>
        <vt:i4>5</vt:i4>
      </vt:variant>
      <vt:variant>
        <vt:lpwstr/>
      </vt:variant>
      <vt:variant>
        <vt:lpwstr>_Toc237333022</vt:lpwstr>
      </vt:variant>
      <vt:variant>
        <vt:i4>1441846</vt:i4>
      </vt:variant>
      <vt:variant>
        <vt:i4>86</vt:i4>
      </vt:variant>
      <vt:variant>
        <vt:i4>0</vt:i4>
      </vt:variant>
      <vt:variant>
        <vt:i4>5</vt:i4>
      </vt:variant>
      <vt:variant>
        <vt:lpwstr/>
      </vt:variant>
      <vt:variant>
        <vt:lpwstr>_Toc237333021</vt:lpwstr>
      </vt:variant>
      <vt:variant>
        <vt:i4>1441846</vt:i4>
      </vt:variant>
      <vt:variant>
        <vt:i4>80</vt:i4>
      </vt:variant>
      <vt:variant>
        <vt:i4>0</vt:i4>
      </vt:variant>
      <vt:variant>
        <vt:i4>5</vt:i4>
      </vt:variant>
      <vt:variant>
        <vt:lpwstr/>
      </vt:variant>
      <vt:variant>
        <vt:lpwstr>_Toc237333020</vt:lpwstr>
      </vt:variant>
      <vt:variant>
        <vt:i4>1376310</vt:i4>
      </vt:variant>
      <vt:variant>
        <vt:i4>74</vt:i4>
      </vt:variant>
      <vt:variant>
        <vt:i4>0</vt:i4>
      </vt:variant>
      <vt:variant>
        <vt:i4>5</vt:i4>
      </vt:variant>
      <vt:variant>
        <vt:lpwstr/>
      </vt:variant>
      <vt:variant>
        <vt:lpwstr>_Toc237333019</vt:lpwstr>
      </vt:variant>
      <vt:variant>
        <vt:i4>1376310</vt:i4>
      </vt:variant>
      <vt:variant>
        <vt:i4>68</vt:i4>
      </vt:variant>
      <vt:variant>
        <vt:i4>0</vt:i4>
      </vt:variant>
      <vt:variant>
        <vt:i4>5</vt:i4>
      </vt:variant>
      <vt:variant>
        <vt:lpwstr/>
      </vt:variant>
      <vt:variant>
        <vt:lpwstr>_Toc237333018</vt:lpwstr>
      </vt:variant>
      <vt:variant>
        <vt:i4>1376310</vt:i4>
      </vt:variant>
      <vt:variant>
        <vt:i4>62</vt:i4>
      </vt:variant>
      <vt:variant>
        <vt:i4>0</vt:i4>
      </vt:variant>
      <vt:variant>
        <vt:i4>5</vt:i4>
      </vt:variant>
      <vt:variant>
        <vt:lpwstr/>
      </vt:variant>
      <vt:variant>
        <vt:lpwstr>_Toc237333017</vt:lpwstr>
      </vt:variant>
      <vt:variant>
        <vt:i4>1376310</vt:i4>
      </vt:variant>
      <vt:variant>
        <vt:i4>56</vt:i4>
      </vt:variant>
      <vt:variant>
        <vt:i4>0</vt:i4>
      </vt:variant>
      <vt:variant>
        <vt:i4>5</vt:i4>
      </vt:variant>
      <vt:variant>
        <vt:lpwstr/>
      </vt:variant>
      <vt:variant>
        <vt:lpwstr>_Toc237333016</vt:lpwstr>
      </vt:variant>
      <vt:variant>
        <vt:i4>1376310</vt:i4>
      </vt:variant>
      <vt:variant>
        <vt:i4>50</vt:i4>
      </vt:variant>
      <vt:variant>
        <vt:i4>0</vt:i4>
      </vt:variant>
      <vt:variant>
        <vt:i4>5</vt:i4>
      </vt:variant>
      <vt:variant>
        <vt:lpwstr/>
      </vt:variant>
      <vt:variant>
        <vt:lpwstr>_Toc237333015</vt:lpwstr>
      </vt:variant>
      <vt:variant>
        <vt:i4>1376310</vt:i4>
      </vt:variant>
      <vt:variant>
        <vt:i4>44</vt:i4>
      </vt:variant>
      <vt:variant>
        <vt:i4>0</vt:i4>
      </vt:variant>
      <vt:variant>
        <vt:i4>5</vt:i4>
      </vt:variant>
      <vt:variant>
        <vt:lpwstr/>
      </vt:variant>
      <vt:variant>
        <vt:lpwstr>_Toc237333014</vt:lpwstr>
      </vt:variant>
      <vt:variant>
        <vt:i4>1376310</vt:i4>
      </vt:variant>
      <vt:variant>
        <vt:i4>38</vt:i4>
      </vt:variant>
      <vt:variant>
        <vt:i4>0</vt:i4>
      </vt:variant>
      <vt:variant>
        <vt:i4>5</vt:i4>
      </vt:variant>
      <vt:variant>
        <vt:lpwstr/>
      </vt:variant>
      <vt:variant>
        <vt:lpwstr>_Toc237333013</vt:lpwstr>
      </vt:variant>
      <vt:variant>
        <vt:i4>1376310</vt:i4>
      </vt:variant>
      <vt:variant>
        <vt:i4>32</vt:i4>
      </vt:variant>
      <vt:variant>
        <vt:i4>0</vt:i4>
      </vt:variant>
      <vt:variant>
        <vt:i4>5</vt:i4>
      </vt:variant>
      <vt:variant>
        <vt:lpwstr/>
      </vt:variant>
      <vt:variant>
        <vt:lpwstr>_Toc237333012</vt:lpwstr>
      </vt:variant>
      <vt:variant>
        <vt:i4>1376310</vt:i4>
      </vt:variant>
      <vt:variant>
        <vt:i4>26</vt:i4>
      </vt:variant>
      <vt:variant>
        <vt:i4>0</vt:i4>
      </vt:variant>
      <vt:variant>
        <vt:i4>5</vt:i4>
      </vt:variant>
      <vt:variant>
        <vt:lpwstr/>
      </vt:variant>
      <vt:variant>
        <vt:lpwstr>_Toc237333011</vt:lpwstr>
      </vt:variant>
      <vt:variant>
        <vt:i4>1376310</vt:i4>
      </vt:variant>
      <vt:variant>
        <vt:i4>20</vt:i4>
      </vt:variant>
      <vt:variant>
        <vt:i4>0</vt:i4>
      </vt:variant>
      <vt:variant>
        <vt:i4>5</vt:i4>
      </vt:variant>
      <vt:variant>
        <vt:lpwstr/>
      </vt:variant>
      <vt:variant>
        <vt:lpwstr>_Toc237333010</vt:lpwstr>
      </vt:variant>
      <vt:variant>
        <vt:i4>1310774</vt:i4>
      </vt:variant>
      <vt:variant>
        <vt:i4>14</vt:i4>
      </vt:variant>
      <vt:variant>
        <vt:i4>0</vt:i4>
      </vt:variant>
      <vt:variant>
        <vt:i4>5</vt:i4>
      </vt:variant>
      <vt:variant>
        <vt:lpwstr/>
      </vt:variant>
      <vt:variant>
        <vt:lpwstr>_Toc237333009</vt:lpwstr>
      </vt:variant>
      <vt:variant>
        <vt:i4>1310774</vt:i4>
      </vt:variant>
      <vt:variant>
        <vt:i4>8</vt:i4>
      </vt:variant>
      <vt:variant>
        <vt:i4>0</vt:i4>
      </vt:variant>
      <vt:variant>
        <vt:i4>5</vt:i4>
      </vt:variant>
      <vt:variant>
        <vt:lpwstr/>
      </vt:variant>
      <vt:variant>
        <vt:lpwstr>_Toc237333008</vt:lpwstr>
      </vt:variant>
      <vt:variant>
        <vt:i4>1310774</vt:i4>
      </vt:variant>
      <vt:variant>
        <vt:i4>2</vt:i4>
      </vt:variant>
      <vt:variant>
        <vt:i4>0</vt:i4>
      </vt:variant>
      <vt:variant>
        <vt:i4>5</vt:i4>
      </vt:variant>
      <vt:variant>
        <vt:lpwstr/>
      </vt:variant>
      <vt:variant>
        <vt:lpwstr>_Toc237333007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kbergmann</dc:creator>
  <cp:keywords/>
  <dc:description/>
  <cp:lastModifiedBy>Pénzešová Miroslava</cp:lastModifiedBy>
  <cp:revision>2</cp:revision>
  <cp:lastPrinted>2019-12-05T12:15:00Z</cp:lastPrinted>
  <dcterms:created xsi:type="dcterms:W3CDTF">2020-07-23T10:49:00Z</dcterms:created>
  <dcterms:modified xsi:type="dcterms:W3CDTF">2020-07-23T10:49:00Z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0x0101000EAA41889D71304D8DE2904FC7E6ABA1</vt:lpwstr>
  </property>
</Properties>
</file>