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81E592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ind w:left="417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ÚČTOVNEJ JEDNOTKE </w:t>
      </w:r>
    </w:p>
    <w:p w14:paraId="7D51092C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Založenie spoločnosti </w:t>
      </w:r>
    </w:p>
    <w:p w14:paraId="28D9D5D8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</w:t>
      </w:r>
      <w:r w:rsidR="00243E85">
        <w:rPr>
          <w:sz w:val="22"/>
          <w:szCs w:val="22"/>
        </w:rPr>
        <w:t>LUK. company</w:t>
      </w:r>
      <w:r w:rsidRPr="008B3CAC">
        <w:rPr>
          <w:sz w:val="22"/>
          <w:szCs w:val="22"/>
        </w:rPr>
        <w:t>, s.r.o.</w:t>
      </w:r>
      <w:r w:rsidR="00243E85">
        <w:rPr>
          <w:sz w:val="22"/>
          <w:szCs w:val="22"/>
        </w:rPr>
        <w:t xml:space="preserve"> </w:t>
      </w:r>
      <w:r w:rsidRPr="008B3CAC">
        <w:rPr>
          <w:sz w:val="22"/>
          <w:szCs w:val="22"/>
        </w:rPr>
        <w:t xml:space="preserve">(ďalej len Spoločnosť), bola založená </w:t>
      </w:r>
      <w:r w:rsidR="00243E85">
        <w:rPr>
          <w:sz w:val="22"/>
          <w:szCs w:val="22"/>
        </w:rPr>
        <w:t>12</w:t>
      </w:r>
      <w:r>
        <w:rPr>
          <w:sz w:val="22"/>
          <w:szCs w:val="22"/>
        </w:rPr>
        <w:t>.0</w:t>
      </w:r>
      <w:r w:rsidR="00243E85">
        <w:rPr>
          <w:sz w:val="22"/>
          <w:szCs w:val="22"/>
        </w:rPr>
        <w:t>3</w:t>
      </w:r>
      <w:r>
        <w:rPr>
          <w:sz w:val="22"/>
          <w:szCs w:val="22"/>
        </w:rPr>
        <w:t>.201</w:t>
      </w:r>
      <w:r w:rsidR="00243E85">
        <w:rPr>
          <w:sz w:val="22"/>
          <w:szCs w:val="22"/>
        </w:rPr>
        <w:t>5</w:t>
      </w:r>
      <w:r w:rsidRPr="008B3CAC">
        <w:rPr>
          <w:sz w:val="22"/>
          <w:szCs w:val="22"/>
        </w:rPr>
        <w:t xml:space="preserve"> a do obc</w:t>
      </w:r>
      <w:r>
        <w:rPr>
          <w:sz w:val="22"/>
          <w:szCs w:val="22"/>
        </w:rPr>
        <w:t xml:space="preserve">hodného registra bola zapísaná </w:t>
      </w:r>
      <w:r w:rsidR="00243E85">
        <w:rPr>
          <w:sz w:val="22"/>
          <w:szCs w:val="22"/>
        </w:rPr>
        <w:t>27.03.2015</w:t>
      </w:r>
      <w:r w:rsidRPr="008B3CAC">
        <w:rPr>
          <w:sz w:val="22"/>
          <w:szCs w:val="22"/>
        </w:rPr>
        <w:t xml:space="preserve"> (Obchodný register Okresného súdu Bratislava I v Bratislave, oddiel</w:t>
      </w:r>
      <w:r>
        <w:rPr>
          <w:sz w:val="22"/>
          <w:szCs w:val="22"/>
        </w:rPr>
        <w:t xml:space="preserve"> Sro</w:t>
      </w:r>
      <w:r w:rsidRPr="008B3CAC">
        <w:rPr>
          <w:sz w:val="22"/>
          <w:szCs w:val="22"/>
        </w:rPr>
        <w:t xml:space="preserve">, vložka </w:t>
      </w:r>
      <w:r w:rsidR="00243E85" w:rsidRPr="00243E85">
        <w:rPr>
          <w:sz w:val="22"/>
          <w:szCs w:val="22"/>
        </w:rPr>
        <w:t>10322</w:t>
      </w:r>
      <w:r w:rsidR="00243E85">
        <w:rPr>
          <w:sz w:val="22"/>
          <w:szCs w:val="22"/>
        </w:rPr>
        <w:t>8</w:t>
      </w:r>
      <w:r w:rsidRPr="008B3CAC">
        <w:rPr>
          <w:sz w:val="22"/>
          <w:szCs w:val="22"/>
        </w:rPr>
        <w:t xml:space="preserve">/B). </w:t>
      </w:r>
    </w:p>
    <w:p w14:paraId="47ED98DC" w14:textId="77777777" w:rsid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Hlavnými činnosťami Spoločnosti sú: </w:t>
      </w:r>
    </w:p>
    <w:p w14:paraId="010DFE27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Odevná výroba </w:t>
      </w:r>
    </w:p>
    <w:p w14:paraId="10DBC38F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Kúpa tovaru na účely jeho predaja konečnému spotrebiteľovi (maloobchod) alebo iným prevádzkovateľom živnosti (veľkoobchod) </w:t>
      </w:r>
    </w:p>
    <w:p w14:paraId="59EA10ED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Sprostredkovateľská činnosť v oblasti obchodu </w:t>
      </w:r>
    </w:p>
    <w:p w14:paraId="0398407C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Sprostredkovateľská činnosť v oblasti </w:t>
      </w:r>
    </w:p>
    <w:p w14:paraId="02EE91E5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Sprostredkovateľská činnosť v oblasti výroby </w:t>
      </w:r>
    </w:p>
    <w:p w14:paraId="155F9E30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Vydavateľská činnosť </w:t>
      </w:r>
    </w:p>
    <w:p w14:paraId="1044606C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Prenájom nehnuteľností spojený s poskytovaním iných než základných služieb spojených s prenájmom </w:t>
      </w:r>
    </w:p>
    <w:p w14:paraId="2A33D691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Prenájom hnuteľných vecí </w:t>
      </w:r>
    </w:p>
    <w:p w14:paraId="21BB4F85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Činnosť podnikateľských, organizačných a ekonomických poradcov </w:t>
      </w:r>
    </w:p>
    <w:p w14:paraId="29E668CD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Prevádzkovanie kultúrnych, spoločenských a zábavných zariadení </w:t>
      </w:r>
    </w:p>
    <w:p w14:paraId="074F3EE4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Organizovanie kultúrnych a iných spoločenských podujatí </w:t>
      </w:r>
    </w:p>
    <w:p w14:paraId="062C7012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Reklamné a marketingové služby </w:t>
      </w:r>
    </w:p>
    <w:p w14:paraId="71D421B3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Fotografické služby </w:t>
      </w:r>
    </w:p>
    <w:p w14:paraId="721DD4F3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Služby súvisiace so skrášľovaním tela </w:t>
      </w:r>
    </w:p>
    <w:p w14:paraId="7D7F511B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Služby súvisiace s produkciou filmov alebo videozáznamov </w:t>
      </w:r>
    </w:p>
    <w:p w14:paraId="18576921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Ozvučovanie a osvetľovanie kultúrnych, spoločenských a športových </w:t>
      </w:r>
    </w:p>
    <w:p w14:paraId="6C68D540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Prevádzkovanie zariadení slúžiacich na regeneráciu a rekondíciu </w:t>
      </w:r>
    </w:p>
    <w:p w14:paraId="0CC9F648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Vykonávanie mimoškolskej vzdelávacej činnosti </w:t>
      </w:r>
    </w:p>
    <w:p w14:paraId="3AF9EFB7" w14:textId="77777777" w:rsidR="00243E85" w:rsidRPr="00243E85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 xml:space="preserve">Poskytovanie obslužných služieb pri kultúrnych a iných spoločenských podujatiach </w:t>
      </w:r>
    </w:p>
    <w:p w14:paraId="216E04DE" w14:textId="77777777" w:rsidR="008B3CAC" w:rsidRPr="008B3CAC" w:rsidRDefault="00243E85" w:rsidP="00243E8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243E85">
        <w:rPr>
          <w:sz w:val="22"/>
          <w:szCs w:val="22"/>
        </w:rPr>
        <w:t>Vyučovanie v odbore umenia - tanec</w:t>
      </w:r>
      <w:r w:rsidR="008B3CAC" w:rsidRPr="008B3CAC">
        <w:rPr>
          <w:sz w:val="22"/>
          <w:szCs w:val="22"/>
        </w:rPr>
        <w:t xml:space="preserve">. </w:t>
      </w:r>
    </w:p>
    <w:p w14:paraId="14BD73C5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Údaje o neobmedzenom ručení </w:t>
      </w:r>
    </w:p>
    <w:p w14:paraId="430F0C1B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nie je neobmedzene ručiacim spoločníkom v iných spoločnostiach podľa § 56 ods. 5 Obchodného zákonníka. </w:t>
      </w:r>
    </w:p>
    <w:p w14:paraId="335042D9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Právny dôvod na zostavenie účtovnej závierky </w:t>
      </w:r>
    </w:p>
    <w:p w14:paraId="29214CE9" w14:textId="0CF83861" w:rsidR="008B3CAC" w:rsidRPr="008B3CAC" w:rsidRDefault="008B3CAC" w:rsidP="00BA7EA3">
      <w:pPr>
        <w:pStyle w:val="Default"/>
        <w:spacing w:line="276" w:lineRule="auto"/>
        <w:ind w:left="360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Účtovná závierka Spoločnosti k 31. decembru </w:t>
      </w:r>
      <w:r w:rsidR="00B82172">
        <w:rPr>
          <w:sz w:val="22"/>
          <w:szCs w:val="22"/>
        </w:rPr>
        <w:t>201</w:t>
      </w:r>
      <w:r w:rsidR="00DC2822">
        <w:rPr>
          <w:sz w:val="22"/>
          <w:szCs w:val="22"/>
        </w:rPr>
        <w:t>9</w:t>
      </w:r>
      <w:r w:rsidRPr="008B3CAC">
        <w:rPr>
          <w:sz w:val="22"/>
          <w:szCs w:val="22"/>
        </w:rPr>
        <w:t xml:space="preserve"> je zostavená ako riadna účtovná závierka podľa § 17 ods. 6 zákona NR SR č. 431/2002 Z. z. o účtovníctve za účtovné obdobie od 1. januára </w:t>
      </w:r>
      <w:r w:rsidR="00B82172">
        <w:rPr>
          <w:sz w:val="22"/>
          <w:szCs w:val="22"/>
        </w:rPr>
        <w:t>201</w:t>
      </w:r>
      <w:r w:rsidR="00DC2822">
        <w:rPr>
          <w:sz w:val="22"/>
          <w:szCs w:val="22"/>
        </w:rPr>
        <w:t>9</w:t>
      </w:r>
      <w:r w:rsidRPr="008B3CAC">
        <w:rPr>
          <w:sz w:val="22"/>
          <w:szCs w:val="22"/>
        </w:rPr>
        <w:t xml:space="preserve"> do 31. decembra </w:t>
      </w:r>
      <w:r w:rsidR="00B82172">
        <w:rPr>
          <w:sz w:val="22"/>
          <w:szCs w:val="22"/>
        </w:rPr>
        <w:t>201</w:t>
      </w:r>
      <w:r w:rsidR="00DC2822">
        <w:rPr>
          <w:sz w:val="22"/>
          <w:szCs w:val="22"/>
        </w:rPr>
        <w:t>9</w:t>
      </w:r>
      <w:r w:rsidRPr="008B3CAC">
        <w:rPr>
          <w:sz w:val="22"/>
          <w:szCs w:val="22"/>
        </w:rPr>
        <w:t xml:space="preserve">. </w:t>
      </w:r>
    </w:p>
    <w:p w14:paraId="7D904475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ÚČTOVNÝCH ZÁSADÁCH A ÚČTOVNÝCH METÓDACH </w:t>
      </w:r>
    </w:p>
    <w:p w14:paraId="229F3717" w14:textId="77777777" w:rsidR="008B3CAC" w:rsidRPr="008B3CAC" w:rsidRDefault="008B3CAC" w:rsidP="00BA7EA3">
      <w:pPr>
        <w:pStyle w:val="Default"/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(a) Východiská pre zostavenie účtovnej závierky </w:t>
      </w:r>
    </w:p>
    <w:p w14:paraId="51112720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Účtovná závierka bola zostavená za predpokladu nepretržitého trvania Spoločnosti (going concern). </w:t>
      </w:r>
    </w:p>
    <w:p w14:paraId="1A16D231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Účtovné metódy a všeobecné účtovné zásady boli účtovnou jednotkou konzistentne aplikované s premietnutím zmien do vykázania predchádzajúceho obdobia na porovnanie. </w:t>
      </w:r>
    </w:p>
    <w:p w14:paraId="788A53ED" w14:textId="77777777" w:rsidR="001E67B4" w:rsidRDefault="001E67B4" w:rsidP="00BA7EA3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6DC298CA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(b) Dlhodobý nehmotný majetok a dlhodobý hmotný majetok </w:t>
      </w:r>
    </w:p>
    <w:p w14:paraId="5D6C7A96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25A7BA6A" w14:textId="77777777" w:rsid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2EA739E5" w14:textId="77777777" w:rsidR="001E67B4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14:paraId="6064C14F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458D99B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Súčasťou obstarávacej ceny dlhodobého nehmotného majetku nie sú od 1. júla 2010 úroky z cudzích zdrojov, ktoré vznikli do momentu zaradenia dlhodobého nehmotného majetku do používania. </w:t>
      </w:r>
    </w:p>
    <w:p w14:paraId="2FA0C3FC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458B689F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0397FF2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 </w:t>
      </w:r>
    </w:p>
    <w:p w14:paraId="08EE14C6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309FA9B3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783E1396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0082605A" w14:textId="77777777" w:rsidR="005C4E5F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4B6FDBE" w14:textId="77777777" w:rsidR="00A371C5" w:rsidRDefault="00A371C5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B311979" w14:textId="77777777" w:rsidR="001E67B4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(c)</w:t>
      </w:r>
      <w:r>
        <w:rPr>
          <w:b/>
          <w:sz w:val="22"/>
          <w:szCs w:val="22"/>
        </w:rPr>
        <w:t xml:space="preserve"> </w:t>
      </w:r>
      <w:r w:rsidR="001E67B4" w:rsidRPr="00A371C5">
        <w:rPr>
          <w:b/>
          <w:sz w:val="22"/>
          <w:szCs w:val="22"/>
        </w:rPr>
        <w:t>Zásoby</w:t>
      </w:r>
    </w:p>
    <w:p w14:paraId="45AB05D2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Zásoby sa oceňujú nižšou z nasledujúcich hodnôt: obstarávacou cenou (nakupované zásoby) alebo vlastnými nákladmi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(zásoby vytvorené vlastnou činnosťou) alebo čistou realizačnou hodnotou.</w:t>
      </w:r>
    </w:p>
    <w:p w14:paraId="4D0B16BA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Obstarávacia cena zahŕňa cenu zásob a náklady súvisiace s obstaraním (clo, prepravu, poistné, provízie, skonto a pod.).</w:t>
      </w:r>
    </w:p>
    <w:p w14:paraId="3D73C007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Úroky z cudzích zdrojov nie sú súčasťou obstarávacej ceny. Nakupované zásoby sa oceňujú váženým aritmetickým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priemerom z obstarávacích cien.</w:t>
      </w:r>
    </w:p>
    <w:p w14:paraId="1C9A99F2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Vlastné náklady zahŕňajú priame náklady (priamy materiál, priame mzdy a ostatné priame náklady) a časť nepriamych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nákladov bezprostredne súvisiacich s vytvorením zásob vlastnou činnosťou (výrobná réžia). Výrobná réžia sa do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vlastných nákladov zahŕňa v závislosti od stupňa rozpracovanosti týchto zásob. Správna réžia a odbytové náklady nie sú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súčasťou vlastných nákladov. Súčasťou vlastných nákladov nie sú úroky z cudzích zdrojov.</w:t>
      </w:r>
    </w:p>
    <w:p w14:paraId="7210A4BD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Čistá realizačná hodnota je predpokladaná predajná cena znížená o predpokladané náklady na ich dokončenie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a o predpokladané náklady súvisiace s ich predajom.</w:t>
      </w:r>
    </w:p>
    <w:p w14:paraId="038CDFF9" w14:textId="77777777" w:rsidR="00A371C5" w:rsidRPr="00A371C5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Zníženie hodnoty zásob sa upravuje vytvorením opravnej položky.</w:t>
      </w:r>
    </w:p>
    <w:p w14:paraId="4E7909EE" w14:textId="77777777" w:rsidR="000009D7" w:rsidRDefault="000009D7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</w:p>
    <w:p w14:paraId="147ECB53" w14:textId="77777777" w:rsidR="000009D7" w:rsidRDefault="000009D7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</w:p>
    <w:p w14:paraId="5F4AFD27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(d) Pohľadávky</w:t>
      </w:r>
    </w:p>
    <w:p w14:paraId="5ADE9E61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Pohľadávky pri ich vzniku sa oceňujú ich menovitou hodnotou; postúpené pohľadávky a pohľadávky nadobudnuté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vkladom do základného imania sa oceňujú obstarávacou cenou vrátane nákladov súvisiacich s obstaraním. Toto ocenenie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sa znižuje o pochybné a nevymožiteľné pohľadávky.</w:t>
      </w:r>
    </w:p>
    <w:p w14:paraId="296EC795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9EB5887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(e) Peňažné prostriedky a ceniny</w:t>
      </w:r>
    </w:p>
    <w:p w14:paraId="74AFEBC3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Peňažné prostriedky a ceniny sa oceňujú ich menovitou hodnotou. Zníženie ich hodnoty sa vyjadruje opravnou položkou.</w:t>
      </w:r>
    </w:p>
    <w:p w14:paraId="1BF484F0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0E9CB0A6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(f) Náklady budúcich období a príjmy budúcich období</w:t>
      </w:r>
    </w:p>
    <w:p w14:paraId="2C319265" w14:textId="77777777" w:rsidR="00BA7EA3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Náklady budúcich období a príjmy budúcich období sa vykazujú vo výške, ktorá je potrebná na dodržanie zásady vecnej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a časovej súvislosti s účtovným obdobím</w:t>
      </w:r>
      <w:r w:rsidR="00A371C5">
        <w:rPr>
          <w:sz w:val="22"/>
          <w:szCs w:val="22"/>
        </w:rPr>
        <w:t>.</w:t>
      </w:r>
    </w:p>
    <w:p w14:paraId="04C9E81D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0DA5595" w14:textId="77777777" w:rsidR="00A371C5" w:rsidRPr="00BA7EA3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b/>
          <w:sz w:val="22"/>
          <w:szCs w:val="22"/>
        </w:rPr>
        <w:t>(g) Rezervy</w:t>
      </w:r>
    </w:p>
    <w:p w14:paraId="6312260B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Rezervy sú záväzky s neurčitým časovým vymedzením alebo výškou; tvoria sa na krytie známych rizík alebo strát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 podnikania. Oceňujú sa v očakávanej výške záväzku.</w:t>
      </w:r>
    </w:p>
    <w:p w14:paraId="4A4A69EF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23CECBEB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(h) Záväzky</w:t>
      </w:r>
    </w:p>
    <w:p w14:paraId="4F71C4E5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Záväzky pri ich vzniku sa oceňujú menovitou hodnotou. Záväzky pri ich prevzatí sa oceňujú obstarávacou cenou.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Ak sa pri inventarizácii zistí, že suma záväzkov je iná ako ich výška v účtovníctve, uvedú sa záväzky v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účtovníctve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v účtovnej závierke v tomto zistenom ocenení.</w:t>
      </w:r>
    </w:p>
    <w:p w14:paraId="5A9B6CD1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7AA6FC9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(i) Výdavky budúcich období a výnosy budúcich období</w:t>
      </w:r>
    </w:p>
    <w:p w14:paraId="008F2E0B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Výdavky budúcich období a výnosy budúcich období sa vykazujú vo výške, ktorá je potrebná na dodržanie zásady vecnej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časovej súvislosti s účtovným obdobím.</w:t>
      </w:r>
    </w:p>
    <w:p w14:paraId="0FE5FC12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0503E821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(j) Prenájom (lízing)</w:t>
      </w:r>
    </w:p>
    <w:p w14:paraId="01ECF1B4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Operatívny prenájom. Majetok prenajatý na základe operatívneho prenájmu vykazuje ako svoj majetok jeho vlastník, nie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nájomca.</w:t>
      </w:r>
    </w:p>
    <w:p w14:paraId="7A012898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Finančný prenájom (s kúpnou opciou; bez kúpnej opcie je považovaný za operatívny prenájom). Majetok prenajatý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základe zmluvy uzatvorenej do 31. decembra 2003 vykazuje ako svoj majetok jeho vlastník, nie nájomca. Majetok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prenajatý na základe zmluvy uzatvorenej 1. januára 2004 a neskôr vykazuje ako svoj majetok jeho nájomca, nie vlastník.</w:t>
      </w:r>
    </w:p>
    <w:p w14:paraId="197F3923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40BFA17F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(k) Cudzia mena</w:t>
      </w:r>
    </w:p>
    <w:p w14:paraId="12A35E4E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sa ku dňu uskutočnenia účtovného prípadu prepočítavajú na menu euro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referenčným výmenným kurzom určeným a vyhláseným Európskou centrálnou bankou alebo Národnou bankou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Slovenska v deň predchádzajúci dňu uskutočnenia účtovného prípadu.</w:t>
      </w:r>
    </w:p>
    <w:p w14:paraId="20658FA9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344F825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(okrem prijatých a poskytnutých preddavkov) sa ku dňu, ku ktorému sa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zostavuje účtovná závierka, prepočítavajú na menu euro referenčným výmenným kurzom určeným a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vyhláseným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Európskou centrálnou bankou alebo Národnou bankou Slovenska v deň, ku ktorému sa zostavuje účtovná závierka,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účtujú sa s vplyvom na výsledok hospodárenia.</w:t>
      </w:r>
    </w:p>
    <w:p w14:paraId="37F094A9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v cudzej mene prostredníctvom účtu vedeného v tejto cudzej mene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referenčným výmenným kurzom určeným a vyhláseným Európskou centrálnou bankou alebo Národnou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bankou Slovenska v deň predchádzajúci dňu uskutočnenia účtovného prípadu.</w:t>
      </w:r>
    </w:p>
    <w:p w14:paraId="2383DC8E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4B1002A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v cudzej mene na účet zriadený v eurách a z účtu zriadeného v eurách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kurzom, za ktorý boli tieto hodnoty nakúpené alebo predané.</w:t>
      </w:r>
    </w:p>
    <w:p w14:paraId="65601729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sa ku dňu, ku ktorému sa zostavuje účtovná závierka, na menu euro už neprepočítavajú.</w:t>
      </w:r>
    </w:p>
    <w:p w14:paraId="326559CF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53332D6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(l) Výnosy</w:t>
      </w:r>
    </w:p>
    <w:p w14:paraId="48323760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Tržby za vlastné výkony a tovar neobsahujú daň z pridanej hodnoty. Sú tiež znížené o zľavy a zrážky (rabaty, bonusy,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skontá, dobropisy a pod.), bez ohľadu na to, či zákazník mal vopred na zľavu nárok, alebo či ide o dodatočne uznanú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zľavu.</w:t>
      </w:r>
    </w:p>
    <w:p w14:paraId="49832CA0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4853CC4B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(m) Daň z príjmov</w:t>
      </w:r>
    </w:p>
    <w:p w14:paraId="51D12EBD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Náklad na daň z príjmov sa počíta pomocou platnej daňovej sadzby z účtovného zisku upraveného o trvalé alebo dočasne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daňovo neuznateľné náklady a nezdaňované výnosy.</w:t>
      </w:r>
    </w:p>
    <w:p w14:paraId="60FAEC2A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542E97E" w14:textId="77777777" w:rsidR="00A371C5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INFORMÁCIE O ÚDAJOCH NA PODSÚVAHOVÝCH ÚČTOCH </w:t>
      </w:r>
    </w:p>
    <w:p w14:paraId="43043F45" w14:textId="3764BFD3" w:rsidR="00A371C5" w:rsidRDefault="00A371C5" w:rsidP="00BA7EA3">
      <w:pPr>
        <w:pStyle w:val="Default"/>
        <w:spacing w:line="276" w:lineRule="auto"/>
        <w:ind w:firstLine="360"/>
        <w:jc w:val="both"/>
        <w:rPr>
          <w:sz w:val="18"/>
          <w:szCs w:val="18"/>
        </w:rPr>
      </w:pPr>
      <w:r>
        <w:rPr>
          <w:sz w:val="18"/>
          <w:szCs w:val="18"/>
        </w:rPr>
        <w:t>Spoločnosť k 31.12.</w:t>
      </w:r>
      <w:r w:rsidR="00B82172">
        <w:rPr>
          <w:sz w:val="18"/>
          <w:szCs w:val="18"/>
        </w:rPr>
        <w:t>201</w:t>
      </w:r>
      <w:r w:rsidR="00DC2822">
        <w:rPr>
          <w:sz w:val="18"/>
          <w:szCs w:val="18"/>
        </w:rPr>
        <w:t>9</w:t>
      </w:r>
      <w:r>
        <w:rPr>
          <w:sz w:val="18"/>
          <w:szCs w:val="18"/>
        </w:rPr>
        <w:t xml:space="preserve"> a ani za bezprostredne predchádzajúce obdobie neeviduje žiadne podsúvahové účty. </w:t>
      </w:r>
    </w:p>
    <w:p w14:paraId="14FC1243" w14:textId="77777777" w:rsidR="00A371C5" w:rsidRDefault="00A371C5" w:rsidP="00BA7EA3">
      <w:pPr>
        <w:pStyle w:val="Default"/>
        <w:spacing w:line="276" w:lineRule="auto"/>
        <w:ind w:firstLine="360"/>
        <w:jc w:val="both"/>
        <w:rPr>
          <w:sz w:val="18"/>
          <w:szCs w:val="18"/>
        </w:rPr>
      </w:pPr>
    </w:p>
    <w:p w14:paraId="25553FCD" w14:textId="77777777" w:rsidR="00A371C5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INFORMÁCIE O INÝCH AKTÍVACH A INÝCH PASÍVACH </w:t>
      </w:r>
    </w:p>
    <w:p w14:paraId="527D5C6F" w14:textId="7484BED2" w:rsidR="00A371C5" w:rsidRDefault="00A371C5" w:rsidP="00BA7EA3">
      <w:pPr>
        <w:pStyle w:val="Default"/>
        <w:spacing w:line="276" w:lineRule="auto"/>
        <w:ind w:firstLine="3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Spoločnosť k 31.12. </w:t>
      </w:r>
      <w:r w:rsidR="00B82172">
        <w:rPr>
          <w:sz w:val="18"/>
          <w:szCs w:val="18"/>
        </w:rPr>
        <w:t>201</w:t>
      </w:r>
      <w:r w:rsidR="00DC2822">
        <w:rPr>
          <w:sz w:val="18"/>
          <w:szCs w:val="18"/>
        </w:rPr>
        <w:t>9</w:t>
      </w:r>
      <w:r>
        <w:rPr>
          <w:sz w:val="18"/>
          <w:szCs w:val="18"/>
        </w:rPr>
        <w:t xml:space="preserve"> a ani za bezprostredne predchádzajúce obdobie neeviduje žiadne iné aktíva a iné pasíva.</w:t>
      </w:r>
    </w:p>
    <w:p w14:paraId="2E4FFAAC" w14:textId="77777777" w:rsidR="00A371C5" w:rsidRDefault="00A371C5" w:rsidP="00BA7EA3">
      <w:pPr>
        <w:pStyle w:val="Default"/>
        <w:spacing w:line="276" w:lineRule="auto"/>
        <w:ind w:firstLine="36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14:paraId="4D5064FC" w14:textId="77777777" w:rsidR="00A371C5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INFORMÁCIE O SKUTOČNOSTIACH, KTORÉ NASTALI PO DNI, KU KTORÉMU SA ZOSTAVUJE ÚČTOVNÁ ZÁVIERKA, DO DŇA ZOSTAVENIA ÚČTOVNEJ ZÁVIERKY </w:t>
      </w:r>
    </w:p>
    <w:p w14:paraId="203F02D9" w14:textId="5279BAD0" w:rsidR="00A371C5" w:rsidRPr="008B3CAC" w:rsidRDefault="00A371C5" w:rsidP="00BA7EA3">
      <w:pPr>
        <w:pStyle w:val="Default"/>
        <w:spacing w:line="276" w:lineRule="auto"/>
        <w:ind w:left="360"/>
        <w:jc w:val="both"/>
        <w:rPr>
          <w:sz w:val="22"/>
          <w:szCs w:val="22"/>
        </w:rPr>
      </w:pPr>
      <w:r>
        <w:rPr>
          <w:sz w:val="18"/>
          <w:szCs w:val="18"/>
        </w:rPr>
        <w:t xml:space="preserve">Po 31. decembri </w:t>
      </w:r>
      <w:r w:rsidR="00B82172">
        <w:rPr>
          <w:sz w:val="18"/>
          <w:szCs w:val="18"/>
        </w:rPr>
        <w:t>201</w:t>
      </w:r>
      <w:r w:rsidR="00DC2822">
        <w:rPr>
          <w:sz w:val="18"/>
          <w:szCs w:val="18"/>
        </w:rPr>
        <w:t>9</w:t>
      </w:r>
      <w:r>
        <w:rPr>
          <w:sz w:val="18"/>
          <w:szCs w:val="18"/>
        </w:rPr>
        <w:t xml:space="preserve"> nenastali žiadne udalosti majúce významný vplyv na verné zobrazenie skutočností, ktoré sú predmetom účtovníctva.</w:t>
      </w:r>
    </w:p>
    <w:sectPr w:rsidR="00A371C5" w:rsidRPr="008B3CAC" w:rsidSect="00A371C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737637" w14:textId="77777777" w:rsidR="00A21D08" w:rsidRDefault="00A21D08" w:rsidP="008B3CAC">
      <w:pPr>
        <w:spacing w:after="0" w:line="240" w:lineRule="auto"/>
      </w:pPr>
      <w:r>
        <w:separator/>
      </w:r>
    </w:p>
  </w:endnote>
  <w:endnote w:type="continuationSeparator" w:id="0">
    <w:p w14:paraId="749C9F32" w14:textId="77777777" w:rsidR="00A21D08" w:rsidRDefault="00A21D08" w:rsidP="008B3C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78A54AF" w14:textId="77777777" w:rsidR="00A21D08" w:rsidRDefault="00A21D08" w:rsidP="008B3CAC">
      <w:pPr>
        <w:spacing w:after="0" w:line="240" w:lineRule="auto"/>
      </w:pPr>
      <w:r>
        <w:separator/>
      </w:r>
    </w:p>
  </w:footnote>
  <w:footnote w:type="continuationSeparator" w:id="0">
    <w:p w14:paraId="609A82D2" w14:textId="77777777" w:rsidR="00A21D08" w:rsidRDefault="00A21D08" w:rsidP="008B3C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0764FD" w14:textId="77777777" w:rsidR="008B3CAC" w:rsidRPr="008B3CAC" w:rsidRDefault="00243E85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r>
      <w:rPr>
        <w:rFonts w:ascii="Times New Roman" w:hAnsi="Times New Roman" w:cs="Times New Roman"/>
        <w:b/>
        <w:bCs/>
        <w:sz w:val="20"/>
        <w:szCs w:val="20"/>
      </w:rPr>
      <w:t>LUK. company</w:t>
    </w:r>
    <w:r w:rsidR="008B3CAC" w:rsidRPr="008B3CAC">
      <w:rPr>
        <w:rFonts w:ascii="Times New Roman" w:hAnsi="Times New Roman" w:cs="Times New Roman"/>
        <w:b/>
        <w:bCs/>
        <w:sz w:val="20"/>
        <w:szCs w:val="20"/>
      </w:rPr>
      <w:t xml:space="preserve">, s.ro. </w:t>
    </w:r>
  </w:p>
  <w:p w14:paraId="21BA1F3F" w14:textId="77777777" w:rsidR="008B3CAC" w:rsidRPr="008B3CAC" w:rsidRDefault="008B3CAC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r w:rsidRPr="008B3CAC">
      <w:rPr>
        <w:rFonts w:ascii="Times New Roman" w:hAnsi="Times New Roman" w:cs="Times New Roman"/>
        <w:b/>
        <w:bCs/>
        <w:sz w:val="20"/>
        <w:szCs w:val="20"/>
      </w:rPr>
      <w:t>Poznámky Úč MÚJ</w:t>
    </w:r>
    <w:r w:rsidRPr="008B3CAC">
      <w:rPr>
        <w:rFonts w:ascii="Times New Roman" w:hAnsi="Times New Roman" w:cs="Times New Roman"/>
        <w:b/>
        <w:bCs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ab/>
      <w:t xml:space="preserve">IČO: </w:t>
    </w:r>
    <w:r w:rsidR="00243E85">
      <w:rPr>
        <w:rFonts w:ascii="Times New Roman" w:hAnsi="Times New Roman" w:cs="Times New Roman"/>
        <w:b/>
        <w:bCs/>
        <w:sz w:val="20"/>
        <w:szCs w:val="20"/>
      </w:rPr>
      <w:t>48103420</w:t>
    </w:r>
  </w:p>
  <w:p w14:paraId="7C4D657C" w14:textId="1E48C890" w:rsidR="008B3CAC" w:rsidRPr="008B3CAC" w:rsidRDefault="008B3CAC" w:rsidP="008B3CAC">
    <w:pPr>
      <w:pStyle w:val="Hlavika"/>
      <w:rPr>
        <w:rFonts w:ascii="Times New Roman" w:hAnsi="Times New Roman" w:cs="Times New Roman"/>
        <w:sz w:val="20"/>
        <w:szCs w:val="20"/>
      </w:rPr>
    </w:pPr>
    <w:r w:rsidRPr="008B3CAC">
      <w:rPr>
        <w:rFonts w:ascii="Times New Roman" w:hAnsi="Times New Roman" w:cs="Times New Roman"/>
        <w:sz w:val="20"/>
        <w:szCs w:val="20"/>
      </w:rPr>
      <w:t xml:space="preserve">individuálnej účtovnej závierky zostavenej k 31. decembru </w:t>
    </w:r>
    <w:r w:rsidR="00B82172">
      <w:rPr>
        <w:rFonts w:ascii="Times New Roman" w:hAnsi="Times New Roman" w:cs="Times New Roman"/>
        <w:sz w:val="20"/>
        <w:szCs w:val="20"/>
      </w:rPr>
      <w:t>201</w:t>
    </w:r>
    <w:r w:rsidR="00DC2822">
      <w:rPr>
        <w:rFonts w:ascii="Times New Roman" w:hAnsi="Times New Roman" w:cs="Times New Roman"/>
        <w:sz w:val="20"/>
        <w:szCs w:val="20"/>
      </w:rPr>
      <w:t>9</w:t>
    </w:r>
    <w:r w:rsidRPr="008B3CAC">
      <w:rPr>
        <w:rFonts w:ascii="Times New Roman" w:hAnsi="Times New Roman" w:cs="Times New Roman"/>
        <w:sz w:val="20"/>
        <w:szCs w:val="20"/>
      </w:rPr>
      <w:t xml:space="preserve"> </w:t>
    </w:r>
    <w:r w:rsidRPr="008B3CAC">
      <w:rPr>
        <w:rFonts w:ascii="Times New Roman" w:hAnsi="Times New Roman" w:cs="Times New Roman"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>DIČO: 2</w:t>
    </w:r>
    <w:r w:rsidR="00243E85">
      <w:rPr>
        <w:rFonts w:ascii="Times New Roman" w:hAnsi="Times New Roman" w:cs="Times New Roman"/>
        <w:b/>
        <w:bCs/>
        <w:sz w:val="20"/>
        <w:szCs w:val="20"/>
      </w:rPr>
      <w:t>120044135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0B596F"/>
    <w:multiLevelType w:val="hybridMultilevel"/>
    <w:tmpl w:val="8B40825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7696C"/>
    <w:multiLevelType w:val="hybridMultilevel"/>
    <w:tmpl w:val="32703F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DC52D7"/>
    <w:multiLevelType w:val="hybridMultilevel"/>
    <w:tmpl w:val="6EE27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D42C99"/>
    <w:multiLevelType w:val="hybridMultilevel"/>
    <w:tmpl w:val="877C3AD0"/>
    <w:lvl w:ilvl="0" w:tplc="DA8008AA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E5C0314"/>
    <w:multiLevelType w:val="hybridMultilevel"/>
    <w:tmpl w:val="73F6427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FA7789"/>
    <w:multiLevelType w:val="hybridMultilevel"/>
    <w:tmpl w:val="261A37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FD6C63"/>
    <w:multiLevelType w:val="hybridMultilevel"/>
    <w:tmpl w:val="DBB07B9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CA6CB7"/>
    <w:multiLevelType w:val="hybridMultilevel"/>
    <w:tmpl w:val="951E1F76"/>
    <w:lvl w:ilvl="0" w:tplc="B41C266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2E1B46"/>
    <w:multiLevelType w:val="hybridMultilevel"/>
    <w:tmpl w:val="FA66E00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D1594C"/>
    <w:multiLevelType w:val="hybridMultilevel"/>
    <w:tmpl w:val="EDD008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10447F"/>
    <w:multiLevelType w:val="hybridMultilevel"/>
    <w:tmpl w:val="F312C0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70331A"/>
    <w:multiLevelType w:val="hybridMultilevel"/>
    <w:tmpl w:val="634E1D88"/>
    <w:lvl w:ilvl="0" w:tplc="528295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513E41"/>
    <w:multiLevelType w:val="hybridMultilevel"/>
    <w:tmpl w:val="08B8E60E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7"/>
  </w:num>
  <w:num w:numId="5">
    <w:abstractNumId w:val="11"/>
  </w:num>
  <w:num w:numId="6">
    <w:abstractNumId w:val="9"/>
  </w:num>
  <w:num w:numId="7">
    <w:abstractNumId w:val="5"/>
  </w:num>
  <w:num w:numId="8">
    <w:abstractNumId w:val="2"/>
  </w:num>
  <w:num w:numId="9">
    <w:abstractNumId w:val="10"/>
  </w:num>
  <w:num w:numId="10">
    <w:abstractNumId w:val="1"/>
  </w:num>
  <w:num w:numId="11">
    <w:abstractNumId w:val="8"/>
  </w:num>
  <w:num w:numId="12">
    <w:abstractNumId w:val="12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1E87"/>
    <w:rsid w:val="000009D7"/>
    <w:rsid w:val="00146DDA"/>
    <w:rsid w:val="001E67B4"/>
    <w:rsid w:val="00243E85"/>
    <w:rsid w:val="003A1E87"/>
    <w:rsid w:val="005C4E5F"/>
    <w:rsid w:val="006F6D98"/>
    <w:rsid w:val="007C743C"/>
    <w:rsid w:val="008B3CAC"/>
    <w:rsid w:val="008C62FF"/>
    <w:rsid w:val="00A21D08"/>
    <w:rsid w:val="00A371C5"/>
    <w:rsid w:val="00B82172"/>
    <w:rsid w:val="00BA7EA3"/>
    <w:rsid w:val="00DC2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D7E4A"/>
  <w15:chartTrackingRefBased/>
  <w15:docId w15:val="{0237ADE2-DCFC-4990-8782-793ABDB92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B3CA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B3CAC"/>
  </w:style>
  <w:style w:type="paragraph" w:styleId="Pta">
    <w:name w:val="footer"/>
    <w:basedOn w:val="Normlny"/>
    <w:link w:val="Pt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B3CAC"/>
  </w:style>
  <w:style w:type="table" w:styleId="Mriekatabuky">
    <w:name w:val="Table Grid"/>
    <w:basedOn w:val="Normlnatabuka"/>
    <w:uiPriority w:val="39"/>
    <w:rsid w:val="001E67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byajntabuka2">
    <w:name w:val="Plain Table 2"/>
    <w:basedOn w:val="Normlnatabuka"/>
    <w:uiPriority w:val="42"/>
    <w:rsid w:val="001E67B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628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4</Pages>
  <Words>1403</Words>
  <Characters>8002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NB</dc:creator>
  <cp:keywords/>
  <dc:description/>
  <cp:lastModifiedBy>Lukas Onufer</cp:lastModifiedBy>
  <cp:revision>6</cp:revision>
  <dcterms:created xsi:type="dcterms:W3CDTF">2018-06-24T11:45:00Z</dcterms:created>
  <dcterms:modified xsi:type="dcterms:W3CDTF">2020-06-27T07:11:00Z</dcterms:modified>
</cp:coreProperties>
</file>