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wmf" ContentType="image/x-wm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</w:t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Všeobecné informácie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b/>
          <w:b/>
          <w:sz w:val="24"/>
        </w:rPr>
      </w:pPr>
      <w:r>
        <w:rPr>
          <w:b/>
          <w:sz w:val="24"/>
        </w:rPr>
        <w:t xml:space="preserve">1. </w:t>
      </w:r>
      <w:r>
        <w:rPr>
          <w:b/>
          <w:sz w:val="22"/>
          <w:szCs w:val="22"/>
        </w:rPr>
        <w:t>Názov a sídlo právnickej osoby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2"/>
        </w:rPr>
      </w:pPr>
      <w:r>
        <w:rPr>
          <w:sz w:val="22"/>
        </w:rPr>
        <w:tab/>
        <w:tab/>
        <w:t xml:space="preserve">                                                     </w:t>
      </w:r>
      <w:r>
        <w:rPr>
          <w:b/>
          <w:sz w:val="22"/>
        </w:rPr>
        <w:t>MURAT CK ,  s. r. o.</w:t>
      </w:r>
      <w:r>
        <w:rPr>
          <w:sz w:val="22"/>
        </w:rPr>
        <w:tab/>
      </w:r>
    </w:p>
    <w:p>
      <w:pPr>
        <w:pStyle w:val="Normal"/>
        <w:ind w:left="3540" w:firstLine="708"/>
        <w:jc w:val="both"/>
        <w:rPr>
          <w:sz w:val="22"/>
        </w:rPr>
      </w:pPr>
      <w:r>
        <w:rPr>
          <w:sz w:val="22"/>
        </w:rPr>
        <w:t xml:space="preserve">  </w:t>
      </w:r>
      <w:r>
        <w:rPr>
          <w:sz w:val="22"/>
        </w:rPr>
        <w:t>Jiráskova cesta 12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ab/>
        <w:tab/>
        <w:tab/>
        <w:tab/>
        <w:tab/>
        <w:tab/>
        <w:t xml:space="preserve"> 984 01  Lučenec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>
          <w:sz w:val="22"/>
        </w:rPr>
      </w:pPr>
      <w:r>
        <w:rPr>
          <w:b/>
          <w:sz w:val="22"/>
        </w:rPr>
        <w:t xml:space="preserve">    </w:t>
      </w:r>
      <w:r>
        <w:rPr>
          <w:b/>
          <w:sz w:val="22"/>
        </w:rPr>
        <w:t>opis hospodárskej činnosti</w:t>
      </w:r>
      <w:r>
        <w:rPr>
          <w:sz w:val="22"/>
        </w:rPr>
        <w:t xml:space="preserve">: </w:t>
        <w:tab/>
        <w:tab/>
        <w:tab/>
        <w:t xml:space="preserve">hlavným predmetom činnosti je veľkoobchod </w:t>
      </w:r>
    </w:p>
    <w:p>
      <w:pPr>
        <w:pStyle w:val="Normal"/>
        <w:ind w:left="3540" w:firstLine="708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 xml:space="preserve">s káblami a elektroinštalačným  tovarom; </w:t>
      </w:r>
    </w:p>
    <w:p>
      <w:pPr>
        <w:pStyle w:val="Normal"/>
        <w:ind w:left="3540" w:firstLine="708"/>
        <w:jc w:val="both"/>
        <w:rPr>
          <w:sz w:val="22"/>
        </w:rPr>
      </w:pPr>
      <w:r>
        <w:rPr>
          <w:sz w:val="22"/>
        </w:rPr>
      </w:r>
    </w:p>
    <w:p>
      <w:pPr>
        <w:pStyle w:val="Normal"/>
        <w:ind w:left="3540" w:firstLine="708"/>
        <w:jc w:val="both"/>
        <w:rPr>
          <w:sz w:val="22"/>
        </w:rPr>
      </w:pPr>
      <w:r>
        <w:rPr>
          <w:sz w:val="22"/>
        </w:rPr>
      </w:r>
    </w:p>
    <w:p>
      <w:pPr>
        <w:pStyle w:val="Normal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Činnosť je v súlade s predmetom činnosti uvedeným v obchodnom registri a so živnostenským oprávnením.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(2) Dátum schválenia účtovnej závierky za bezprostredne predchádzajúce účtovné obdobie   príslušným orgánom účtovnej jednotky</w:t>
      </w:r>
      <w:r>
        <w:rPr>
          <w:color w:val="00000A"/>
          <w:sz w:val="22"/>
          <w:szCs w:val="22"/>
        </w:rPr>
        <w:t>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/>
      </w:pPr>
      <w:r>
        <w:rPr>
          <w:color w:val="00000A"/>
          <w:sz w:val="22"/>
          <w:szCs w:val="22"/>
        </w:rPr>
        <w:t xml:space="preserve">     </w:t>
      </w:r>
      <w:r>
        <w:rPr>
          <w:color w:val="00000A"/>
          <w:sz w:val="22"/>
          <w:szCs w:val="22"/>
        </w:rPr>
        <w:t>Účtovná závierka za rok 2018 schválená VZ  17.06.2019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(3) Právny dôvod na zostavenie účtovnej závierky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zostavuje účtovnú závierku ako riadnu k poslednému dňu účtovného obdobia, ktorým je </w:t>
      </w:r>
    </w:p>
    <w:p>
      <w:pPr>
        <w:pStyle w:val="Normal"/>
        <w:jc w:val="both"/>
        <w:rPr/>
      </w:pPr>
      <w:r>
        <w:rPr>
          <w:sz w:val="22"/>
          <w:szCs w:val="22"/>
        </w:rPr>
        <w:t>31.12.2019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>(4) Údaje o skupine</w:t>
      </w:r>
      <w:r>
        <w:rPr>
          <w:sz w:val="22"/>
          <w:szCs w:val="22"/>
        </w:rPr>
        <w:t xml:space="preserve">,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>MURAT, s.r.o.</w:t>
      </w:r>
      <w:r>
        <w:rPr>
          <w:sz w:val="22"/>
          <w:szCs w:val="22"/>
        </w:rPr>
        <w:t xml:space="preserve"> -      materská spoločnosť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Dcérske spoločnosti 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>MURAT- CK</w:t>
      </w:r>
      <w:r>
        <w:rPr>
          <w:sz w:val="22"/>
          <w:szCs w:val="22"/>
        </w:rPr>
        <w:t xml:space="preserve"> , s.r.o Lučenec   </w:t>
      </w:r>
    </w:p>
    <w:p>
      <w:pPr>
        <w:pStyle w:val="Normal"/>
        <w:jc w:val="both"/>
        <w:rPr>
          <w:rStyle w:val="Appleconvertedspace"/>
          <w:rFonts w:ascii="Arial CE" w:hAnsi="Arial CE" w:cs="Arial CE"/>
          <w:bCs/>
          <w:color w:val="000000"/>
          <w:highlight w:val="white"/>
        </w:rPr>
      </w:pPr>
      <w:r>
        <w:rPr>
          <w:rStyle w:val="Ra"/>
          <w:rFonts w:cs="Arial CE" w:ascii="Arial CE" w:hAnsi="Arial CE"/>
          <w:bCs/>
          <w:color w:val="000000"/>
          <w:shd w:fill="FFFFFF" w:val="clear"/>
        </w:rPr>
        <w:t>Jiráskova cesta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12,</w:t>
      </w:r>
      <w:r>
        <w:rPr>
          <w:rFonts w:cs="Arial CE" w:ascii="Arial CE" w:hAnsi="Arial CE"/>
          <w:bCs/>
          <w:color w:val="000000"/>
          <w:shd w:fill="FFFFFF" w:val="clear"/>
        </w:rPr>
        <w:t xml:space="preserve"> 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Lučenec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984 01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</w:p>
    <w:p>
      <w:pPr>
        <w:pStyle w:val="Normal"/>
        <w:jc w:val="both"/>
        <w:rPr>
          <w:rStyle w:val="Appleconvertedspace"/>
          <w:rFonts w:ascii="Arial CE" w:hAnsi="Arial CE" w:cs="Arial CE"/>
          <w:bCs/>
          <w:color w:val="000000"/>
          <w:shd w:fill="FFFFFF" w:val="clear"/>
        </w:rPr>
      </w:pPr>
      <w:r>
        <w:rPr>
          <w:rFonts w:cs="Arial CE" w:ascii="Arial CE" w:hAnsi="Arial CE"/>
          <w:bCs/>
          <w:color w:val="000000"/>
          <w:shd w:fill="FFFFFF" w:val="clear"/>
        </w:rPr>
      </w:r>
    </w:p>
    <w:p>
      <w:pPr>
        <w:pStyle w:val="Normal"/>
        <w:jc w:val="both"/>
        <w:rPr>
          <w:rStyle w:val="Appleconvertedspace"/>
          <w:rFonts w:ascii="Arial CE" w:hAnsi="Arial CE" w:cs="Arial CE"/>
          <w:b/>
          <w:b/>
          <w:bCs/>
          <w:color w:val="000000"/>
          <w:sz w:val="23"/>
          <w:szCs w:val="23"/>
          <w:highlight w:val="white"/>
        </w:rPr>
      </w:pPr>
      <w:r>
        <w:rPr>
          <w:rFonts w:cs="Arial CE" w:ascii="Arial CE" w:hAnsi="Arial CE"/>
          <w:b/>
          <w:bCs/>
          <w:color w:val="000000"/>
          <w:sz w:val="23"/>
          <w:szCs w:val="23"/>
          <w:shd w:fill="FFFFFF" w:val="clear"/>
        </w:rPr>
        <w:t>SLOVMONT, akciová spoločnosť</w:t>
      </w:r>
      <w:r>
        <w:rPr>
          <w:rStyle w:val="Appleconvertedspace"/>
          <w:rFonts w:cs="Arial CE" w:ascii="Arial CE" w:hAnsi="Arial CE"/>
          <w:b/>
          <w:bCs/>
          <w:color w:val="000000"/>
          <w:sz w:val="23"/>
          <w:szCs w:val="23"/>
          <w:shd w:fill="FFFFFF" w:val="clear"/>
        </w:rPr>
        <w:t> </w:t>
      </w:r>
    </w:p>
    <w:p>
      <w:pPr>
        <w:pStyle w:val="Normal"/>
        <w:jc w:val="both"/>
        <w:rPr>
          <w:sz w:val="22"/>
        </w:rPr>
      </w:pPr>
      <w:r>
        <w:rPr>
          <w:rStyle w:val="Ra"/>
          <w:rFonts w:cs="Arial CE" w:ascii="Arial CE" w:hAnsi="Arial CE"/>
          <w:bCs/>
          <w:color w:val="000000"/>
          <w:shd w:fill="FFFFFF" w:val="clear"/>
        </w:rPr>
        <w:t>Bratislavská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87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,</w:t>
      </w:r>
      <w:r>
        <w:rPr>
          <w:sz w:val="22"/>
        </w:rPr>
        <w:t xml:space="preserve"> 902 01  Pezinok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>
          <w:rStyle w:val="Appleconvertedspace"/>
          <w:rFonts w:ascii="Arial CE" w:hAnsi="Arial CE" w:cs="Arial CE"/>
          <w:b/>
          <w:b/>
          <w:bCs/>
          <w:color w:val="000000"/>
          <w:sz w:val="23"/>
          <w:szCs w:val="23"/>
          <w:highlight w:val="white"/>
        </w:rPr>
      </w:pPr>
      <w:r>
        <w:rPr>
          <w:rFonts w:cs="Arial CE" w:ascii="Arial CE" w:hAnsi="Arial CE"/>
          <w:b/>
          <w:bCs/>
          <w:color w:val="000000"/>
          <w:sz w:val="23"/>
          <w:szCs w:val="23"/>
          <w:shd w:fill="FFFFFF" w:val="clear"/>
        </w:rPr>
        <w:t>LEONARD TV PRODUCTIONS s.r.o.</w:t>
      </w:r>
      <w:r>
        <w:rPr>
          <w:rStyle w:val="Appleconvertedspace"/>
          <w:rFonts w:cs="Arial CE" w:ascii="Arial CE" w:hAnsi="Arial CE"/>
          <w:b/>
          <w:bCs/>
          <w:color w:val="000000"/>
          <w:sz w:val="23"/>
          <w:szCs w:val="23"/>
          <w:shd w:fill="FFFFFF" w:val="clear"/>
        </w:rPr>
        <w:t> </w:t>
      </w:r>
    </w:p>
    <w:p>
      <w:pPr>
        <w:pStyle w:val="Normal"/>
        <w:jc w:val="both"/>
        <w:rPr>
          <w:rStyle w:val="Ra"/>
          <w:rFonts w:ascii="Arial CE" w:hAnsi="Arial CE" w:cs="Arial CE"/>
          <w:bCs/>
          <w:color w:val="000000"/>
          <w:highlight w:val="white"/>
        </w:rPr>
      </w:pPr>
      <w:r>
        <w:rPr>
          <w:rStyle w:val="Ra"/>
          <w:rFonts w:cs="Arial CE" w:ascii="Arial CE" w:hAnsi="Arial CE"/>
          <w:bCs/>
          <w:color w:val="000000"/>
          <w:shd w:fill="FFFFFF" w:val="clear"/>
        </w:rPr>
        <w:t>Partizánska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46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,</w:t>
      </w:r>
      <w:r>
        <w:rPr>
          <w:rFonts w:cs="Arial CE" w:ascii="Arial CE" w:hAnsi="Arial CE"/>
          <w:bCs/>
          <w:color w:val="000000"/>
          <w:shd w:fill="FFFFFF" w:val="clear"/>
        </w:rPr>
        <w:t xml:space="preserve"> 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Zvolen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960 01</w:t>
      </w:r>
    </w:p>
    <w:p>
      <w:pPr>
        <w:pStyle w:val="Normal"/>
        <w:jc w:val="both"/>
        <w:rPr>
          <w:rStyle w:val="Ra"/>
          <w:rFonts w:ascii="Arial CE" w:hAnsi="Arial CE" w:cs="Arial CE"/>
          <w:bCs/>
          <w:color w:val="000000"/>
          <w:shd w:fill="FFFFFF" w:val="clear"/>
        </w:rPr>
      </w:pPr>
      <w:r>
        <w:rPr>
          <w:rFonts w:cs="Arial CE" w:ascii="Arial CE" w:hAnsi="Arial CE"/>
          <w:bCs/>
          <w:color w:val="000000"/>
          <w:shd w:fill="FFFFFF" w:val="clear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Účtovná závierka celej skupiny  je oslobodená od povinnosti zostaviť konsolidovanú účtovnú závierku a konsolidovanú výročnú správu podľa § 22 zákona ods. 10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(5) Počty  zamestnancov účtovnej jednotky :</w:t>
      </w:r>
    </w:p>
    <w:p>
      <w:pPr>
        <w:pStyle w:val="Default"/>
        <w:jc w:val="center"/>
        <w:rPr>
          <w:b/>
          <w:b/>
          <w:color w:val="00000A"/>
          <w:sz w:val="22"/>
          <w:szCs w:val="22"/>
        </w:rPr>
      </w:pPr>
      <w:r>
        <w:rPr/>
        <w:drawing>
          <wp:inline distT="0" distB="0" distL="0" distR="0">
            <wp:extent cx="5276850" cy="1704975"/>
            <wp:effectExtent l="0" t="0" r="0" b="0"/>
            <wp:docPr id="1" name="Obrázo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bookmarkStart w:id="0" w:name="_GoBack"/>
      <w:bookmarkStart w:id="1" w:name="_GoBack"/>
      <w:bookmarkEnd w:id="1"/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Čl. II</w:t>
      </w:r>
    </w:p>
    <w:p>
      <w:pPr>
        <w:pStyle w:val="Normal"/>
        <w:jc w:val="center"/>
        <w:rPr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Informácie o orgánoch spoločnosti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Informácie o  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a) výške jednotlivých druhov záruk alebo iných zabezpečení poskytnutých pre členov štatutárneho orgánu, dozorného orgánu a iného orgánu účtovnej jednotky,: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neposkytla orgánom spoločnosti žiadne záruky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b) pôžičkách poskytnutých členom štatutárneho orgánu, dozorného orgánu a iného orgánu účtovnej jednotky, a to o </w:t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1. celkovej sume poskytnutých pôžičiek k poslednému dňu účtovného obdobia v členení za jednotlivé orgány, 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2. celkovej sume splatených pôžičiek k poslednému dňu účtovného obdobia v členení za jednotlivé orgány, 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Normal"/>
        <w:rPr/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Spoločnosť k 31.12.2019 neeviduje pôžičky voči  štatutárnemu orgánu pôžičky 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údaje neaktuálne nakoľko spoločnosť neposkytovala záruky ani pôžičky štatutárovi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III</w:t>
      </w:r>
    </w:p>
    <w:p>
      <w:pPr>
        <w:pStyle w:val="Default"/>
        <w:jc w:val="center"/>
        <w:rPr>
          <w:b/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Informácie o prijatých postupoch</w:t>
      </w:r>
    </w:p>
    <w:p>
      <w:pPr>
        <w:pStyle w:val="Default"/>
        <w:rPr>
          <w:b/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</w:r>
    </w:p>
    <w:p>
      <w:pPr>
        <w:pStyle w:val="Default"/>
        <w:rPr>
          <w:b/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</w:r>
    </w:p>
    <w:p>
      <w:pPr>
        <w:pStyle w:val="Default"/>
        <w:rPr/>
      </w:pPr>
      <w:r>
        <w:rPr>
          <w:color w:val="00000A"/>
          <w:sz w:val="22"/>
          <w:szCs w:val="22"/>
        </w:rPr>
        <w:t>(1) Účtovná závierka je  zostavená za splnenia predpokladu, že účtovná jednotka bude nepretržite pokračovať vo svojej činnosti.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Normal"/>
        <w:spacing w:before="0" w:after="14"/>
        <w:contextualSpacing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spacing w:before="0" w:after="14"/>
        <w:contextualSpacing/>
        <w:rPr/>
      </w:pPr>
      <w:r>
        <w:rPr>
          <w:rFonts w:ascii="Arial" w:hAnsi="Arial"/>
          <w:sz w:val="22"/>
        </w:rPr>
        <w:t xml:space="preserve">Na konci roka 2019 sa prvýkrát objavili správy z Číny týkajúce sa COVID-19 /Coronavirus/.  </w:t>
      </w:r>
    </w:p>
    <w:p>
      <w:pPr>
        <w:pStyle w:val="Normal"/>
        <w:jc w:val="left"/>
        <w:rPr/>
      </w:pPr>
      <w:r>
        <w:rPr>
          <w:rFonts w:ascii="Arial" w:hAnsi="Arial"/>
          <w:sz w:val="22"/>
        </w:rPr>
        <w:t>V prvých mesiacoch roku 2020 sa vírus rozšíril do celého sveta a negatívne ovplyvnil mnoho krajín.</w:t>
      </w:r>
    </w:p>
    <w:p>
      <w:pPr>
        <w:pStyle w:val="Normal"/>
        <w:jc w:val="left"/>
        <w:rPr>
          <w:sz w:val="22"/>
        </w:rPr>
      </w:pPr>
      <w:r>
        <w:rPr>
          <w:sz w:val="22"/>
        </w:rPr>
      </w:r>
    </w:p>
    <w:p>
      <w:pPr>
        <w:pStyle w:val="Normal"/>
        <w:jc w:val="left"/>
        <w:rPr/>
      </w:pPr>
      <w:r>
        <w:rPr>
          <w:rFonts w:ascii="Arial" w:hAnsi="Arial"/>
          <w:sz w:val="22"/>
        </w:rPr>
        <w:t>V čase zverejnenia tejto účtovnej závierky, vedenie účtovnej jednotky zaznamenalo, pokles tržieb oproti rovnakému obdobiu, predchádzajúceho roku : za mesiac marec o 11,7%, za mesiac apríl o 16,6%, za mesiac máj o 23,1%. Spoločnosť získala za uvedené mesiace podporu na udržanie zamestnanosti od štátu vo výške 2.250€. Nakoľko sa však situácia stále mení, preto nemožno predvídať budúce účinky/dopady.</w:t>
      </w:r>
    </w:p>
    <w:p>
      <w:pPr>
        <w:pStyle w:val="Normal"/>
        <w:jc w:val="left"/>
        <w:rPr>
          <w:sz w:val="22"/>
        </w:rPr>
      </w:pPr>
      <w:r>
        <w:rPr>
          <w:sz w:val="22"/>
        </w:rPr>
      </w:r>
    </w:p>
    <w:p>
      <w:pPr>
        <w:pStyle w:val="Normal"/>
        <w:jc w:val="left"/>
        <w:rPr/>
      </w:pPr>
      <w:r>
        <w:rPr>
          <w:rFonts w:ascii="Arial" w:hAnsi="Arial"/>
          <w:sz w:val="22"/>
        </w:rPr>
        <w:t>Manažment bude pokračovať v monitorovaní potenciálneho dopadu a podnikne všetky možné kroky na zmiernenie akýchkoľvek účinkov na spoločnosť a jej zamestnancov.</w:t>
      </w:r>
    </w:p>
    <w:p>
      <w:pPr>
        <w:pStyle w:val="Normal"/>
        <w:spacing w:before="0" w:after="14"/>
        <w:contextualSpacing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/>
      </w:pPr>
      <w:r>
        <w:rPr>
          <w:color w:val="00000A"/>
          <w:sz w:val="22"/>
          <w:szCs w:val="22"/>
        </w:rPr>
        <w:t>Účtovná jednotka aplikuje  účtovné zásady a dôležité na posúdenie majetku, záväzkov, finančnej situácie a výsledku hospodárenia výlučne v súlade so zákonom o účtovníctve a v roku 2019 neaplikovala žiadnu zmenu oproti roku 2018.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Nie sú žiadne transakcie účtovnej jednotky neuvedené v súvahe.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(4) Spôsob a určenie ocenenia majetku a záväzkov vrátane určenia rozhodujúcich účtovných odhadov a predpokladov, pričom sa zohľadňuje zásada významnosti.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oceňovala majetok a záväzky vždy ku dňu vzniku účtovného prípadu.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a/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Obstarávacia cena obsahuje cenu obstarania a</w:t>
      </w:r>
      <w:r>
        <w:rPr>
          <w:i/>
          <w:sz w:val="22"/>
          <w:szCs w:val="22"/>
        </w:rPr>
        <w:t xml:space="preserve"> náklady súvisiace s obstaraním</w:t>
      </w:r>
      <w:r>
        <w:rPr>
          <w:sz w:val="22"/>
          <w:szCs w:val="22"/>
        </w:rPr>
        <w:t xml:space="preserve">, najmä v prípade zásob tovaru. Patria sem predovšetkým náklady na dopravu a rôzne poplatky /clo, poistné a pod./, </w:t>
      </w:r>
    </w:p>
    <w:p>
      <w:pPr>
        <w:pStyle w:val="Normal"/>
        <w:jc w:val="both"/>
        <w:rPr>
          <w:sz w:val="22"/>
          <w:szCs w:val="22"/>
        </w:rPr>
      </w:pPr>
      <w:r>
        <w:rPr>
          <w:i/>
          <w:sz w:val="22"/>
          <w:szCs w:val="22"/>
        </w:rPr>
        <w:t>Obstarávacou cenou</w:t>
      </w:r>
      <w:r>
        <w:rPr>
          <w:sz w:val="22"/>
          <w:szCs w:val="22"/>
        </w:rPr>
        <w:t xml:space="preserve">  ku dňu uskutočnenia účtovného prípadu boli oceňované: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dlhodobý nehmotný majetok obstaraný kúpou;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dlhodobý hmotný majetok obstaraný kúpou;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zásoby obstarané kúpou;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pohľadávky pri odplatnom nadobudnutí;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záväzky pri ich prevzatí;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krátkodobý finančný majetok obstaraný kúpou  /ceniny/;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Menovitou hodnotou </w:t>
      </w:r>
      <w:r>
        <w:rPr>
          <w:sz w:val="22"/>
          <w:szCs w:val="22"/>
        </w:rPr>
        <w:t xml:space="preserve"> boli oceňované:  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záväzky pri ich vzniku;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vzniku.</w:t>
      </w:r>
    </w:p>
    <w:p>
      <w:pPr>
        <w:pStyle w:val="Normal"/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b</w:t>
      </w:r>
      <w:r>
        <w:rPr>
          <w:b/>
          <w:color w:val="00000A"/>
          <w:sz w:val="22"/>
          <w:szCs w:val="22"/>
        </w:rPr>
        <w:t xml:space="preserve">) určenie odhadu zníženia hodnoty majetku a tvorba opravnej položky k majetku,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   </w:t>
      </w:r>
      <w:r>
        <w:rPr>
          <w:color w:val="00000A"/>
          <w:sz w:val="22"/>
          <w:szCs w:val="22"/>
        </w:rPr>
        <w:t xml:space="preserve">OP sa určujú na základe predpokladanej hodnoty za ktorú by bol majetok realizovaný,   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    </w:t>
      </w:r>
      <w:r>
        <w:rPr>
          <w:color w:val="00000A"/>
          <w:sz w:val="22"/>
          <w:szCs w:val="22"/>
        </w:rPr>
        <w:t>resp. dosiahnutý výťažok z predaja majetku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c) určenie ocenenia záväzkov, stanovenie odhadu ocenenia rezerv, </w:t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     </w:t>
      </w:r>
      <w:r>
        <w:rPr>
          <w:color w:val="00000A"/>
          <w:sz w:val="22"/>
          <w:szCs w:val="22"/>
        </w:rPr>
        <w:t xml:space="preserve">záväzky sú ocenené menovitou hodnotou, rezervy sa oceňujú  na základe očakávanej menovitej hodnoty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</w:t>
      </w:r>
      <w:r>
        <w:rPr>
          <w:color w:val="00000A"/>
          <w:sz w:val="22"/>
          <w:szCs w:val="22"/>
        </w:rPr>
        <w:t>účtovná jednotka nemá obsahovú náplň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e) určenie ocenenia finančných nástrojov pri oceňovaní obstarávacou cenou alebo vlastnými nákladmi, a to: </w:t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1. pre každý druh derivátových finančných nástrojov sa uvádza reálna hodnota týchto finančných nástrojov, ak sa môže spoľahlivo určiť ako trhová cena a informácia o rozsahu a charaktere týchto nástrojov</w:t>
      </w:r>
      <w:r>
        <w:rPr>
          <w:color w:val="00000A"/>
          <w:sz w:val="22"/>
          <w:szCs w:val="22"/>
        </w:rPr>
        <w:t xml:space="preserve">, 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2. pri dlhodobom finančnom majetku, ktorý sa vykazuje vo vyššej hodnote ako je jeho reálna hodnota, sa uvádza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f) tvorba odpisového plánu pre dlhodobý majetok, pričom sa uvádza doba odpisovania, sadzby odpisov a odpisové metódy pre účtovné odpisy,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Nehmotný</w:t>
      </w:r>
      <w:r>
        <w:rPr>
          <w:sz w:val="22"/>
          <w:szCs w:val="22"/>
        </w:rPr>
        <w:t xml:space="preserve"> majetok v hodnote obstarávacej ceny do 170,00 € sa účtuje do nákladov  518  – služby . </w:t>
      </w:r>
      <w:r>
        <w:rPr>
          <w:sz w:val="22"/>
          <w:szCs w:val="22"/>
          <w:u w:val="single"/>
        </w:rPr>
        <w:t>Dlhodobý nehmotný</w:t>
      </w:r>
      <w:r>
        <w:rPr>
          <w:sz w:val="22"/>
          <w:szCs w:val="22"/>
        </w:rPr>
        <w:t xml:space="preserve"> majetok v hodnote 170,00€ až 2 400,00 € je účtovaný na zásoby a pri jeho zaradení do používania  sa zaeviduje do majetku spoločnosti a zúčtuje na účet 013 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Odpisuje sa najviac 13 mesiacov.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ab/>
        <w:t>Nehmotný majetok v hodnote obstarávacej ceny nad 2 400,00 €  je pri zaradení do používania účtovaný na účte 013  . Odpisuje sa podľa predpokladanej doby použitia max 5 rokov.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ab/>
        <w:t>Hmotný majetok, ktorého cena obstarania je nižšia ako 170,00 € sa účtuje pri zaradení do používania do materiálových nákladov účet 501  .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  <w:t>Dlhodobý hmotný majetok v hodnote ceny obstarania od  170,00 € do 1 700,00 €  je evidovaný v  majetku spoločnosti. Pri jeho zakúpení je účtovaný na obstaranie DHM a pri  zaradení do používania sa neúčtuje v plnom rozsahu do nákladov, ale sa uplatňuje odpisovanie 13 mesiacov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Hmotný majetok v cene obstarania nad 1 700,00 €  je evidovaný v majetku spoločnosti a na jednotlivých analytických účtoch  podľa druhov majetku. Odpisuje sa rovnomerne alebo  zrýchlene v úrovni zodpovedajúcej zákonu o dani z príjmov. V menšom rozsahu bol uplatnený rovnomerný spôsob odpisovania . Počas celého obdobia odpisovania sa však u jedného majetku uplatňuje zásadne rovnaká metóda.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Spoločnosť používa nasledovné odpisové skupiny: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4580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top w:w="0" w:type="dxa"/>
          <w:left w:w="45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180"/>
        <w:gridCol w:w="2399"/>
      </w:tblGrid>
      <w:tr>
        <w:trPr>
          <w:trHeight w:val="510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b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Verdana" w:hAnsi="Verdana"/>
                <w:b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Počet rokov odpisovania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45" w:type="dxa"/>
            </w:tcMar>
            <w:vAlign w:val="bottom"/>
          </w:tcPr>
          <w:p>
            <w:pPr>
              <w:pStyle w:val="Normal"/>
              <w:jc w:val="center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2.odpisová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3.odpisová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5.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6.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45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7.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</w:t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Prvých 6 odpisových skupín zodpovedá z pohľadu zaradenia a doby odpisovania zákonu o dani z príjmov , skupina 7 je  určená na odpisovanie majetku, ktorého obstarávacia cena je nižšia ako 1 700 eur.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Majetok je do odpisových skupín zaraďovaný na základe predpokladanej doby životnosti. Na základe rozhodnutia je odpisovaný rovnomerne, alebo zrýchlene.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g) informácia o poskytnutých dotáciách a pri dotáciách na obstaranie majetku sa uvedú zložky majetku a ich ocenenie</w:t>
      </w:r>
      <w:r>
        <w:rPr>
          <w:color w:val="00000A"/>
          <w:sz w:val="22"/>
          <w:szCs w:val="22"/>
        </w:rPr>
        <w:t xml:space="preserve">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Spoločnosť nemá dotácie na  obstaranie majetku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5) Informácia o oprave významných chýb minulých účtovných období účtovaných v bežnom účtovnom období s uvedením sumy vplyvu na nerozdelený zisk minulých rokov alebo na neuhradenú stratu minulých rokov.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Default"/>
        <w:rPr/>
      </w:pPr>
      <w:r>
        <w:rPr>
          <w:color w:val="00000A"/>
          <w:sz w:val="22"/>
          <w:szCs w:val="22"/>
        </w:rPr>
        <w:t>V účtovnom období 2019 neboli účtované významné chyby minulých období.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IV</w:t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Informácie, ktoré vysvetľujú a doplňujú položky súvahy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K dlhodobému nehmotnému majetku, ktorým je goodwill alebo záporný goodwill sa uvádza dôvod jeho vzniku, spôsob výpočtu a prehodnotenie opodstatnenosti jeho výšky a odpisu jeho hodnoty. </w:t>
      </w:r>
    </w:p>
    <w:p>
      <w:pPr>
        <w:pStyle w:val="Normal"/>
        <w:ind w:left="360" w:hanging="0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 </w:t>
      </w:r>
    </w:p>
    <w:p>
      <w:pPr>
        <w:pStyle w:val="Normal"/>
        <w:ind w:left="360" w:hanging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Spoločnosť neúčtovala a ani neeviduje goodwill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  <w:t>Spoločnosť neúčtovala o derivátoch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(3) Informácie o záväzkoch, a to o </w:t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a) celkovej sume záväzkov so zostatkovou dobou splatnosti dlhšou ako päť rokov,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spacing w:before="0" w:after="14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  <w:t>spoločnosť neeviduje záväzky s dobou splatnosti dlhšou ako 5 rokov.</w:t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b) celkovej sume zabezpečených záväzkov, opise a spôsoboch zabezpečenia záväzkov. </w:t>
      </w:r>
    </w:p>
    <w:p>
      <w:pPr>
        <w:pStyle w:val="Normal"/>
        <w:rPr>
          <w:rFonts w:ascii="Arial" w:hAnsi="Arial" w:cs="Arial"/>
          <w:b/>
          <w:b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  <w:t>Spoločnosť nemá zabezpečené záväzky</w:t>
      </w:r>
    </w:p>
    <w:p>
      <w:pPr>
        <w:pStyle w:val="Normal"/>
        <w:rPr>
          <w:rFonts w:ascii="Arial" w:hAnsi="Arial" w:cs="Arial"/>
          <w:b/>
          <w:b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(</w:t>
      </w: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4) Informácie o vlastných akciách, a to o </w:t>
      </w:r>
    </w:p>
    <w:p>
      <w:pPr>
        <w:pStyle w:val="Normal"/>
        <w:rPr>
          <w:rFonts w:ascii="Arial" w:hAnsi="Arial" w:cs="Arial"/>
          <w:b/>
          <w:b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cs="Arial" w:ascii="Arial" w:hAnsi="Arial"/>
          <w:color w:val="000000"/>
          <w:sz w:val="24"/>
          <w:szCs w:val="24"/>
          <w:lang w:eastAsia="sk-SK"/>
        </w:rPr>
        <w:t>Spoločnosť nevlastní vlastné akcie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  <w:t>Spoločnosť neeviduje výnimočné resp. mimoriadne výnosy ani náklady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Čl. V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Informácie o iných aktívach a iných pasívach</w:t>
      </w:r>
    </w:p>
    <w:p>
      <w:pPr>
        <w:pStyle w:val="Normal"/>
        <w:rPr>
          <w:rFonts w:ascii="Arial" w:hAnsi="Arial" w:cs="Arial"/>
          <w:b/>
          <w:b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</w:r>
    </w:p>
    <w:p>
      <w:pPr>
        <w:pStyle w:val="Normal"/>
        <w:ind w:left="360" w:hanging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ind w:left="360" w:hanging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(1</w:t>
      </w: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) K iným aktívam a iným pasívam sa uvádzajú tieto informácie: </w:t>
      </w:r>
    </w:p>
    <w:p>
      <w:pPr>
        <w:pStyle w:val="Normal"/>
        <w:rPr>
          <w:rFonts w:ascii="Arial" w:hAnsi="Arial" w:cs="Arial"/>
          <w:b/>
          <w:b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3"/>
        </w:numPr>
        <w:spacing w:before="0" w:after="14"/>
        <w:contextualSpacing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ListParagraph"/>
        <w:spacing w:before="0" w:after="14"/>
        <w:contextualSpacing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spoločnosť neeviduje podmienený majetok</w:t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b) </w:t>
      </w: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>
      <w:pPr>
        <w:pStyle w:val="Normal"/>
        <w:spacing w:before="0" w:after="14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b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  <w:lang w:eastAsia="sk-SK"/>
        </w:rPr>
        <w:t>spoločnosť neeviduje podmienené záväzky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>
      <w:pPr>
        <w:pStyle w:val="Normal"/>
        <w:ind w:left="360" w:hanging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ind w:left="360" w:hanging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Pre túto oblasť nemá účtovná jednotka obsahovú náplň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Skutočnosti sledované na podsúvahových účtoch </w:t>
      </w:r>
    </w:p>
    <w:p>
      <w:pPr>
        <w:pStyle w:val="ListParagraph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Spoločnosť nemá evidovaný majetok na podsúvahových účtoch.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Čl. VI</w:t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rFonts w:eastAsia="Times New Roman"/>
          <w:b/>
          <w:bCs/>
          <w:sz w:val="22"/>
          <w:szCs w:val="22"/>
          <w:lang w:eastAsia="sk-SK"/>
        </w:rPr>
        <w:t>Udalosti, ktoré nastali po dni, ku ktorému sa zostavuje účtovná závierka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Ku dňu zostavenia účtovnej závierky nedošlo k</w:t>
      </w:r>
    </w:p>
    <w:p>
      <w:pPr>
        <w:pStyle w:val="ListParagraph"/>
        <w:numPr>
          <w:ilvl w:val="0"/>
          <w:numId w:val="4"/>
        </w:numPr>
        <w:spacing w:before="0" w:after="14"/>
        <w:contextualSpacing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poklesu alebo zvýšeniu trhovej ceny finančného majetku ako dôsledku udalostí, ktoré nastali po dni, ku ktorému sa zostavuje účtovná závierka do dňa zostavenia účtovnej závierky, s uvedením dôvodu týchto zmien,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b) nenastali dôvody pre zmenu výšky rezerv a opravných položiek, ktoré nastali v dôsledku udalostí po dni, ku ktorému sa zostavuje účtovná závierka do dňa zostavenia účtovnej závierky,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c) nedošlo k zmene spoločníkov účtovnej jednotky,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d) nebolo prijaté   rozhodnutie o predaji účtovnej jednotky alebo jej časti,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e) nenastali významné zmeny zmenách významných položiek dlhodobého finančného majetku,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f) neuvažuje sa o začatí alebo ukončení činnosti časti účtovnej jednotky,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g) neboli vydané dlhopisy alebo iné   cenné papiere,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h) nedošlo k  zlúčeniu, splynutiu, rozdeleniu a zmene právnej formy účtovnej jednotky, </w:t>
      </w:r>
    </w:p>
    <w:p>
      <w:pPr>
        <w:pStyle w:val="Normal"/>
        <w:spacing w:before="0" w:after="14"/>
        <w:rPr/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i) nastali  udalosti, ktoré </w:t>
      </w:r>
      <w:r>
        <w:rPr>
          <w:rFonts w:cs="Arial" w:ascii="Arial" w:hAnsi="Arial"/>
          <w:color w:val="000000"/>
          <w:sz w:val="22"/>
          <w:szCs w:val="22"/>
          <w:lang w:eastAsia="sk-SK"/>
        </w:rPr>
        <w:t>začali ovplyvňovať</w:t>
      </w: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 hospodárenie účtovnej jednotky,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spacing w:before="0" w:after="14"/>
        <w:contextualSpacing/>
        <w:rPr/>
      </w:pPr>
      <w:r>
        <w:rPr>
          <w:rFonts w:ascii="Arial" w:hAnsi="Arial"/>
          <w:sz w:val="22"/>
        </w:rPr>
        <w:t xml:space="preserve">Na konci roka 2019 sa prvýkrát objavili správy z Číny týkajúce sa COVID-19 /Coronavirus/.  </w:t>
      </w:r>
    </w:p>
    <w:p>
      <w:pPr>
        <w:pStyle w:val="Normal"/>
        <w:jc w:val="left"/>
        <w:rPr/>
      </w:pPr>
      <w:r>
        <w:rPr>
          <w:rFonts w:ascii="Arial" w:hAnsi="Arial"/>
          <w:sz w:val="22"/>
        </w:rPr>
        <w:t>V prvých mesiacoch roku 2020 sa vírus rozšíril do celého sveta a negatívne ovplyvnil mnoho krajín.</w:t>
      </w:r>
    </w:p>
    <w:p>
      <w:pPr>
        <w:pStyle w:val="Normal"/>
        <w:jc w:val="left"/>
        <w:rPr>
          <w:sz w:val="22"/>
        </w:rPr>
      </w:pPr>
      <w:r>
        <w:rPr>
          <w:sz w:val="22"/>
        </w:rPr>
      </w:r>
    </w:p>
    <w:p>
      <w:pPr>
        <w:pStyle w:val="Normal"/>
        <w:jc w:val="left"/>
        <w:rPr/>
      </w:pPr>
      <w:r>
        <w:rPr>
          <w:rFonts w:ascii="Arial" w:hAnsi="Arial"/>
          <w:sz w:val="22"/>
        </w:rPr>
        <w:t>V čase zverejnenia tejto účtovnej závierky, vedenie účtovnej jednotky, zaznamenalo pokles tržieb, oproti rovnakému obdobiu, predchádzajúceho roku : za mesiac marec o 11,7%, za mesiac apríl o 16,6%, za mesiac máj o 23,1%. Spoločnosť získala, za uvedené mesiace, podporu na udržanie zamestnanosti od štátu vo výške 2.250€. Nakoľko sa však situácia stále mení, preto nemožno predvídať budúce účinky/dopady.</w:t>
      </w:r>
    </w:p>
    <w:p>
      <w:pPr>
        <w:pStyle w:val="Normal"/>
        <w:jc w:val="left"/>
        <w:rPr>
          <w:sz w:val="22"/>
        </w:rPr>
      </w:pPr>
      <w:r>
        <w:rPr>
          <w:sz w:val="22"/>
        </w:rPr>
      </w:r>
    </w:p>
    <w:p>
      <w:pPr>
        <w:pStyle w:val="Normal"/>
        <w:jc w:val="left"/>
        <w:rPr/>
      </w:pPr>
      <w:r>
        <w:rPr>
          <w:rFonts w:ascii="Arial" w:hAnsi="Arial"/>
          <w:sz w:val="22"/>
        </w:rPr>
        <w:t>Manažment bude pokračovať v monitorovaní potenciálneho dopadu a podnikne všetky možné kroky na zmiernenie akýchkoľvek účinkov na spoločnosť a jej zamestnancov.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 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j) nebola získaná ani  odobratá licencia alebo iné povolenia významné pre činnosť účtovnej jednotky  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Čl. VII</w:t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Ostatné informácie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5"/>
        </w:numPr>
        <w:spacing w:before="0" w:after="14"/>
        <w:contextualSpacing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Spoločnosti neboli udelené  výlučné práva alebo osobitné práva  poskytovať služby vo verejnom záujme, </w:t>
      </w:r>
    </w:p>
    <w:p>
      <w:pPr>
        <w:pStyle w:val="Normal"/>
        <w:ind w:left="360" w:hanging="0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Na účtovnú jednotku sa nevzťahuje § 23d ods. 6 zákona, a jej činnosť nie je zaradená do kategórie priemyselnej výroby podľa osobitného predpisu</w:t>
      </w:r>
      <w:r>
        <w:rPr>
          <w:rFonts w:cs="Arial" w:ascii="Arial" w:hAnsi="Arial"/>
          <w:color w:val="000000"/>
          <w:sz w:val="14"/>
          <w:szCs w:val="14"/>
          <w:lang w:eastAsia="sk-SK"/>
        </w:rPr>
        <w:t xml:space="preserve">23) </w:t>
      </w: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a jej čistý obrat za bezprostredne predchádzajúce účtovné obdobie nebol väčší ako 250 000 000 eur,  </w:t>
      </w:r>
    </w:p>
    <w:p>
      <w:pPr>
        <w:pStyle w:val="ListParagraph"/>
        <w:spacing w:before="0" w:after="14"/>
        <w:contextualSpacing/>
        <w:rPr/>
      </w:pPr>
      <w:r>
        <w:rPr/>
      </w:r>
    </w:p>
    <w:p>
      <w:pPr>
        <w:pStyle w:val="ListParagraph"/>
        <w:spacing w:before="0" w:after="14"/>
        <w:contextualSpacing/>
        <w:rPr/>
      </w:pPr>
      <w:r>
        <w:rPr/>
      </w:r>
    </w:p>
    <w:p>
      <w:pPr>
        <w:pStyle w:val="Normal"/>
        <w:spacing w:before="0" w:after="14"/>
        <w:contextualSpacing/>
        <w:rPr>
          <w:rFonts w:ascii="Arial" w:hAnsi="Arial"/>
        </w:rPr>
      </w:pPr>
      <w:bookmarkStart w:id="2" w:name="__DdeLink__296_1741728147"/>
      <w:bookmarkEnd w:id="2"/>
      <w:r>
        <w:rPr>
          <w:rFonts w:ascii="Arial" w:hAnsi="Arial"/>
          <w:sz w:val="22"/>
        </w:rPr>
        <w:t xml:space="preserve">Na konci roka 2019 sa prvýkrát objavili správy z Číny týkajúce sa COVID-19 /Coronavirus/.  </w:t>
      </w:r>
    </w:p>
    <w:p>
      <w:pPr>
        <w:pStyle w:val="Normal"/>
        <w:jc w:val="left"/>
        <w:rPr>
          <w:rFonts w:ascii="Arial" w:hAnsi="Arial"/>
        </w:rPr>
      </w:pPr>
      <w:r>
        <w:rPr>
          <w:rFonts w:ascii="Arial" w:hAnsi="Arial"/>
          <w:sz w:val="22"/>
        </w:rPr>
        <w:t>V prvých mesiacoch roku 2020 sa vírus rozšíril do celého sveta a negatívne ovplyvnil mnoho krajín.</w:t>
      </w:r>
    </w:p>
    <w:p>
      <w:pPr>
        <w:pStyle w:val="Normal"/>
        <w:jc w:val="left"/>
        <w:rPr>
          <w:sz w:val="22"/>
        </w:rPr>
      </w:pPr>
      <w:r>
        <w:rPr>
          <w:sz w:val="22"/>
        </w:rPr>
      </w:r>
    </w:p>
    <w:p>
      <w:pPr>
        <w:pStyle w:val="Normal"/>
        <w:jc w:val="left"/>
        <w:rPr/>
      </w:pPr>
      <w:r>
        <w:rPr>
          <w:rFonts w:ascii="Arial" w:hAnsi="Arial"/>
          <w:sz w:val="22"/>
        </w:rPr>
        <w:t>V čase zverejnenia tejto účtovnej závierky, vedenie účtovnej jednotky zaznamenalo pokles tržieb, oproti rovnakému obdobiu predchádzajúceho roku : za mesiac marec o 11,7%, za mesiac apríl o 16,6%, za mesiac máj o 23,1%. Spoločnosť získala za uvedené mesiace podporu na udržanie zamestnanosti od štátu vo výške 2.250€. Nakoľko sa však situácia stále mení, preto nemožno predvídať budúce účinky/dopady.</w:t>
      </w:r>
    </w:p>
    <w:p>
      <w:pPr>
        <w:pStyle w:val="Normal"/>
        <w:jc w:val="left"/>
        <w:rPr>
          <w:sz w:val="22"/>
        </w:rPr>
      </w:pPr>
      <w:r>
        <w:rPr>
          <w:sz w:val="22"/>
        </w:rPr>
      </w:r>
    </w:p>
    <w:p>
      <w:pPr>
        <w:pStyle w:val="Normal"/>
        <w:jc w:val="left"/>
        <w:rPr>
          <w:rFonts w:ascii="Arial" w:hAnsi="Arial"/>
        </w:rPr>
      </w:pPr>
      <w:r>
        <w:rPr>
          <w:rFonts w:ascii="Arial" w:hAnsi="Arial"/>
          <w:sz w:val="22"/>
        </w:rPr>
        <w:t>Manažment bude pokračovať v monitorovaní potenciálneho dopadu a podnikne všetky možné kroky na zmiernenie akýchkoľvek účinkov na spoločnosť a jej zamestnancov.</w:t>
      </w:r>
    </w:p>
    <w:p>
      <w:pPr>
        <w:pStyle w:val="Normal"/>
        <w:spacing w:before="0" w:after="14"/>
        <w:contextualSpacing/>
        <w:rPr>
          <w:sz w:val="22"/>
        </w:rPr>
      </w:pPr>
      <w:bookmarkStart w:id="3" w:name="__DdeLink__296_17417281471"/>
      <w:bookmarkStart w:id="4" w:name="__DdeLink__296_17417281471"/>
      <w:bookmarkEnd w:id="4"/>
      <w:r>
        <w:rPr>
          <w:sz w:val="22"/>
        </w:rPr>
      </w:r>
    </w:p>
    <w:p>
      <w:pPr>
        <w:pStyle w:val="ListParagraph"/>
        <w:spacing w:before="0" w:after="14"/>
        <w:contextualSpacing/>
        <w:rPr/>
      </w:pPr>
      <w:r>
        <w:rPr/>
      </w:r>
    </w:p>
    <w:sectPr>
      <w:headerReference w:type="default" r:id="rId3"/>
      <w:headerReference w:type="first" r:id="rId4"/>
      <w:footerReference w:type="default" r:id="rId5"/>
      <w:type w:val="nextPage"/>
      <w:pgSz w:w="11906" w:h="16838"/>
      <w:pgMar w:left="1417" w:right="1417" w:header="708" w:top="993" w:footer="708" w:bottom="1417" w:gutter="0"/>
      <w:pgNumType w:fmt="decimal"/>
      <w:formProt w:val="false"/>
      <w:titlePg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 CE"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675" cy="292735"/>
              <wp:effectExtent l="0" t="0" r="0" b="0"/>
              <wp:wrapSquare wrapText="largest"/>
              <wp:docPr id="2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80" cy="29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stroked="f" style="position:absolute;margin-left:224.2pt;margin-top:0.05pt;width:5.15pt;height:22.95pt;mso-position-horizontal:center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t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  <w:t>Poznámky Úč PODV 3-01                                                                          IČO: 31599 061   DIČ:2020465128</w:t>
    </w:r>
  </w:p>
  <w:p>
    <w:pPr>
      <w:pStyle w:val="Hlavi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  <w:t>Poznámky Úč PODV 3-01                                                                          IČO: 31599 061   DIČ:2020465128</w:t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</w:latentStyles>
  <w:style w:type="paragraph" w:styleId="Normal" w:default="1">
    <w:name w:val="Normal"/>
    <w:qFormat/>
    <w:rsid w:val="007a187a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sk-SK" w:eastAsia="cs-CZ" w:bidi="ar-SA"/>
    </w:rPr>
  </w:style>
  <w:style w:type="paragraph" w:styleId="Nadpis1">
    <w:name w:val="Nadpis 1"/>
    <w:basedOn w:val="Normal"/>
    <w:link w:val="Nadpis1Char"/>
    <w:qFormat/>
    <w:rsid w:val="007a187a"/>
    <w:pPr>
      <w:keepNext/>
      <w:jc w:val="center"/>
      <w:outlineLvl w:val="0"/>
    </w:pPr>
    <w:rPr>
      <w:b/>
      <w:sz w:val="28"/>
    </w:rPr>
  </w:style>
  <w:style w:type="paragraph" w:styleId="Nadpis2">
    <w:name w:val="Nadpis 2"/>
    <w:basedOn w:val="Normal"/>
    <w:link w:val="Nadpis2Char"/>
    <w:qFormat/>
    <w:rsid w:val="007a187a"/>
    <w:pPr>
      <w:keepNext/>
      <w:jc w:val="center"/>
      <w:outlineLvl w:val="1"/>
    </w:pPr>
    <w:rPr>
      <w:b/>
      <w:sz w:val="24"/>
    </w:rPr>
  </w:style>
  <w:style w:type="paragraph" w:styleId="Nadpis4">
    <w:name w:val="Nadpis 4"/>
    <w:basedOn w:val="Normal"/>
    <w:link w:val="Nadpis4Char"/>
    <w:qFormat/>
    <w:rsid w:val="007a187a"/>
    <w:pPr>
      <w:keepNext/>
      <w:outlineLvl w:val="3"/>
    </w:pPr>
    <w:rPr>
      <w:b/>
      <w:sz w:val="24"/>
    </w:rPr>
  </w:style>
  <w:style w:type="paragraph" w:styleId="Nadpis6">
    <w:name w:val="Nadpis 6"/>
    <w:basedOn w:val="Normal"/>
    <w:qFormat/>
    <w:rsid w:val="007a187a"/>
    <w:pPr>
      <w:keepNext/>
      <w:outlineLvl w:val="5"/>
    </w:pPr>
    <w:rPr>
      <w:b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basedOn w:val="DefaultParagraphFont"/>
    <w:semiHidden/>
    <w:qFormat/>
    <w:rsid w:val="00a403f7"/>
    <w:rPr>
      <w:vertAlign w:val="superscript"/>
    </w:rPr>
  </w:style>
  <w:style w:type="character" w:styleId="Nadpis1Char" w:customStyle="1">
    <w:name w:val="Nadpis 1 Char"/>
    <w:basedOn w:val="DefaultParagraphFont"/>
    <w:link w:val="Nadpis1"/>
    <w:qFormat/>
    <w:rsid w:val="003a436d"/>
    <w:rPr>
      <w:b/>
      <w:sz w:val="28"/>
      <w:lang w:val="sk-SK" w:eastAsia="cs-CZ" w:bidi="ar-SA"/>
    </w:rPr>
  </w:style>
  <w:style w:type="character" w:styleId="Nadpis2Char" w:customStyle="1">
    <w:name w:val="Nadpis 2 Char"/>
    <w:basedOn w:val="DefaultParagraphFont"/>
    <w:link w:val="Nadpis2"/>
    <w:qFormat/>
    <w:rsid w:val="003a436d"/>
    <w:rPr>
      <w:b/>
      <w:sz w:val="24"/>
      <w:lang w:val="sk-SK" w:eastAsia="cs-CZ" w:bidi="ar-SA"/>
    </w:rPr>
  </w:style>
  <w:style w:type="character" w:styleId="Nadpis4Char" w:customStyle="1">
    <w:name w:val="Nadpis 4 Char"/>
    <w:basedOn w:val="DefaultParagraphFont"/>
    <w:link w:val="Nadpis4"/>
    <w:qFormat/>
    <w:rsid w:val="003a436d"/>
    <w:rPr>
      <w:b/>
      <w:sz w:val="24"/>
      <w:lang w:val="sk-SK" w:eastAsia="cs-CZ" w:bidi="ar-SA"/>
    </w:rPr>
  </w:style>
  <w:style w:type="character" w:styleId="Pagenumber">
    <w:name w:val="page number"/>
    <w:basedOn w:val="DefaultParagraphFont"/>
    <w:qFormat/>
    <w:rsid w:val="00a30faa"/>
    <w:rPr/>
  </w:style>
  <w:style w:type="character" w:styleId="TextbublinyChar" w:customStyle="1">
    <w:name w:val="Text bubliny Char"/>
    <w:basedOn w:val="DefaultParagraphFont"/>
    <w:link w:val="Textbubliny"/>
    <w:qFormat/>
    <w:rsid w:val="00bb4478"/>
    <w:rPr>
      <w:rFonts w:ascii="Tahoma" w:hAnsi="Tahoma" w:cs="Tahoma"/>
      <w:sz w:val="16"/>
      <w:szCs w:val="16"/>
      <w:lang w:eastAsia="cs-CZ"/>
    </w:rPr>
  </w:style>
  <w:style w:type="character" w:styleId="Ra" w:customStyle="1">
    <w:name w:val="ra"/>
    <w:basedOn w:val="DefaultParagraphFont"/>
    <w:qFormat/>
    <w:rsid w:val="00602a1d"/>
    <w:rPr/>
  </w:style>
  <w:style w:type="character" w:styleId="Appleconvertedspace" w:customStyle="1">
    <w:name w:val="apple-converted-space"/>
    <w:basedOn w:val="DefaultParagraphFont"/>
    <w:qFormat/>
    <w:rsid w:val="00602a1d"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0115da"/>
    <w:rPr>
      <w:lang w:eastAsia="cs-CZ"/>
    </w:rPr>
  </w:style>
  <w:style w:type="character" w:styleId="ListLabel1">
    <w:name w:val="ListLabel 1"/>
    <w:qFormat/>
    <w:rPr>
      <w:rFonts w:eastAsia="Times New Roman" w:cs="Times New Roman"/>
      <w:sz w:val="22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b/>
    </w:rPr>
  </w:style>
  <w:style w:type="character" w:styleId="ListLabel4">
    <w:name w:val="ListLabel 4"/>
    <w:qFormat/>
    <w:rPr>
      <w:rFonts w:cs="Times New Roman"/>
      <w:sz w:val="22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Times New Roman"/>
      <w:sz w:val="22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Times New Roman"/>
      <w:sz w:val="22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Wingdings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Times New Roman"/>
      <w:sz w:val="22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rsid w:val="007a187a"/>
    <w:pPr/>
    <w:rPr>
      <w:sz w:val="18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qFormat/>
    <w:rsid w:val="00ce44ea"/>
    <w:pPr>
      <w:spacing w:lineRule="auto" w:line="480" w:before="0" w:after="120"/>
      <w:ind w:left="283" w:hanging="0"/>
    </w:pPr>
    <w:rPr/>
  </w:style>
  <w:style w:type="paragraph" w:styleId="Footnotetext">
    <w:name w:val="footnote text"/>
    <w:basedOn w:val="Normal"/>
    <w:semiHidden/>
    <w:qFormat/>
    <w:rsid w:val="00a403f7"/>
    <w:pPr/>
    <w:rPr/>
  </w:style>
  <w:style w:type="paragraph" w:styleId="Zkladntext1" w:customStyle="1">
    <w:name w:val="Základní text1"/>
    <w:basedOn w:val="Normal"/>
    <w:qFormat/>
    <w:rsid w:val="009b41d1"/>
    <w:pPr>
      <w:widowControl w:val="false"/>
    </w:pPr>
    <w:rPr>
      <w:sz w:val="24"/>
    </w:rPr>
  </w:style>
  <w:style w:type="paragraph" w:styleId="Odstavecseseznamem" w:customStyle="1">
    <w:name w:val="Odstavec se seznamem"/>
    <w:basedOn w:val="Normal"/>
    <w:qFormat/>
    <w:rsid w:val="003a436d"/>
    <w:pPr>
      <w:spacing w:before="0" w:after="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rsid w:val="00a30faa"/>
    <w:pPr>
      <w:tabs>
        <w:tab w:val="center" w:pos="4536" w:leader="none"/>
        <w:tab w:val="right" w:pos="9072" w:leader="none"/>
      </w:tabs>
    </w:pPr>
    <w:rPr/>
  </w:style>
  <w:style w:type="paragraph" w:styleId="Pta">
    <w:name w:val="Päta"/>
    <w:basedOn w:val="Normal"/>
    <w:rsid w:val="00a30faa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qFormat/>
    <w:rsid w:val="00bb4478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e430c9"/>
    <w:pPr>
      <w:widowControl/>
      <w:bidi w:val="0"/>
      <w:jc w:val="left"/>
    </w:pPr>
    <w:rPr>
      <w:rFonts w:ascii="Arial" w:hAnsi="Arial" w:eastAsia="Calibri" w:cs="Arial" w:eastAsiaTheme="minorHAnsi"/>
      <w:color w:val="000000"/>
      <w:sz w:val="24"/>
      <w:szCs w:val="24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b10e22"/>
    <w:pPr>
      <w:spacing w:before="0" w:after="0"/>
      <w:ind w:left="720" w:hanging="0"/>
      <w:contextualSpacing/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385b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LibreOffice/5.0.3.2$Windows_X86_64 LibreOffice_project/e5f16313668ac592c1bfb310f4390624e3dbfb75</Application>
  <Paragraphs>169</Paragraphs>
  <Company>MURAT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2017-02-14T11:47:00Z</dcterms:created>
  <dc:creator>senka</dc:creator>
  <dc:language>sk-SK</dc:language>
  <cp:lastPrinted>2016-03-17T14:19:00Z</cp:lastPrinted>
  <dcterms:modified xsi:type="dcterms:W3CDTF">2020-07-22T11:49:52Z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MURAT s.r.o.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