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wmf" ContentType="image/x-wmf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Normal"/>
        <w:ind w:firstLine="708"/>
        <w:jc w:val="both"/>
        <w:rPr>
          <w:sz w:val="24"/>
        </w:rPr>
      </w:pPr>
      <w:r>
        <w:rPr>
          <w:sz w:val="24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Všeobecné informácie</w:t>
      </w:r>
    </w:p>
    <w:p>
      <w:pPr>
        <w:pStyle w:val="Normal"/>
        <w:jc w:val="center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b/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z w:val="22"/>
          <w:szCs w:val="22"/>
        </w:rPr>
        <w:t>Názov a sídlo právnickej osoby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  <w:tab/>
        <w:tab/>
        <w:t xml:space="preserve">                                                     </w:t>
      </w:r>
      <w:r>
        <w:rPr>
          <w:b/>
          <w:sz w:val="22"/>
        </w:rPr>
        <w:t>MURAT CK ,  s. r. o.</w:t>
      </w:r>
      <w:r>
        <w:rPr>
          <w:sz w:val="22"/>
        </w:rPr>
        <w:tab/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  <w:t xml:space="preserve">  </w:t>
      </w:r>
      <w:r>
        <w:rPr>
          <w:sz w:val="22"/>
        </w:rPr>
        <w:t>Jiráskova cesta 12</w:t>
      </w:r>
    </w:p>
    <w:p>
      <w:pPr>
        <w:pStyle w:val="Normal"/>
        <w:jc w:val="both"/>
        <w:rPr>
          <w:sz w:val="22"/>
        </w:rPr>
      </w:pPr>
      <w:r>
        <w:rPr>
          <w:sz w:val="22"/>
        </w:rPr>
        <w:tab/>
        <w:tab/>
        <w:tab/>
        <w:tab/>
        <w:tab/>
        <w:tab/>
        <w:t xml:space="preserve"> 984 01  Lučenec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sz w:val="22"/>
        </w:rPr>
      </w:pPr>
      <w:r>
        <w:rPr>
          <w:b/>
          <w:sz w:val="22"/>
        </w:rPr>
        <w:t xml:space="preserve">    </w:t>
      </w:r>
      <w:r>
        <w:rPr>
          <w:b/>
          <w:sz w:val="22"/>
        </w:rPr>
        <w:t>opis hospodárskej činnosti</w:t>
      </w:r>
      <w:r>
        <w:rPr>
          <w:sz w:val="22"/>
        </w:rPr>
        <w:t xml:space="preserve">: </w:t>
        <w:tab/>
        <w:tab/>
        <w:tab/>
        <w:t xml:space="preserve">hlavným predmetom činnosti je veľkoobchod </w:t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  <w:t xml:space="preserve"> </w:t>
      </w:r>
      <w:r>
        <w:rPr>
          <w:sz w:val="22"/>
        </w:rPr>
        <w:t xml:space="preserve">s káblami a elektroinštalačným  tovarom; </w:t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</w:r>
    </w:p>
    <w:p>
      <w:pPr>
        <w:pStyle w:val="Normal"/>
        <w:ind w:left="3540" w:firstLine="708"/>
        <w:jc w:val="both"/>
        <w:rPr>
          <w:sz w:val="22"/>
        </w:rPr>
      </w:pPr>
      <w:r>
        <w:rPr>
          <w:sz w:val="22"/>
        </w:rPr>
      </w:r>
    </w:p>
    <w:p>
      <w:pPr>
        <w:pStyle w:val="Normal"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ab/>
        <w:t>Činnosť je v súlade s predmetom činnosti uvedeným v obchodnom registri a so živnostenským oprávnením.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(2) Dátum schválenia účtovnej závierky za bezprostredne predchádzajúce účtovné obdobie   príslušným orgánom účtovnej jednotky</w:t>
      </w:r>
      <w:r>
        <w:rPr>
          <w:color w:val="00000A"/>
          <w:sz w:val="22"/>
          <w:szCs w:val="22"/>
        </w:rPr>
        <w:t>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>Účtovná závierka za rok 2018 schválená VZ  17.06.2019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(3) Právny dôvod na zostavenie účtovnej závierky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zostavuje účtovnú závierku ako riadnu k poslednému dňu účtovného obdobia, ktorým je </w:t>
      </w:r>
    </w:p>
    <w:p>
      <w:pPr>
        <w:pStyle w:val="Normal"/>
        <w:jc w:val="both"/>
        <w:rPr/>
      </w:pPr>
      <w:r>
        <w:rPr>
          <w:sz w:val="22"/>
          <w:szCs w:val="22"/>
        </w:rPr>
        <w:t>31.12.2019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(4) Údaje o skupine</w:t>
      </w:r>
      <w:r>
        <w:rPr>
          <w:sz w:val="22"/>
          <w:szCs w:val="22"/>
        </w:rPr>
        <w:t xml:space="preserve">,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MURAT, s.r.o.</w:t>
      </w:r>
      <w:r>
        <w:rPr>
          <w:sz w:val="22"/>
          <w:szCs w:val="22"/>
        </w:rPr>
        <w:t xml:space="preserve"> -      materská spoločnosť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s.r.o Lučenec   </w:t>
      </w:r>
    </w:p>
    <w:p>
      <w:pPr>
        <w:pStyle w:val="Normal"/>
        <w:jc w:val="both"/>
        <w:rPr>
          <w:rStyle w:val="Appleconvertedspace"/>
          <w:rFonts w:ascii="Arial CE" w:hAnsi="Arial CE" w:cs="Arial CE"/>
          <w:bCs/>
          <w:color w:val="000000"/>
          <w:highlight w:val="white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Jiráskova cesta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12,</w:t>
      </w:r>
      <w:r>
        <w:rPr>
          <w:rFonts w:cs="Arial CE" w:ascii="Arial CE" w:hAnsi="Arial CE"/>
          <w:bCs/>
          <w:color w:val="000000"/>
          <w:shd w:fill="FFFFFF" w:val="clear"/>
        </w:rPr>
        <w:t xml:space="preserve"> 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Lučenec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984 01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</w:p>
    <w:p>
      <w:pPr>
        <w:pStyle w:val="Normal"/>
        <w:jc w:val="both"/>
        <w:rPr>
          <w:rStyle w:val="Appleconvertedspace"/>
          <w:rFonts w:ascii="Arial CE" w:hAnsi="Arial CE" w:cs="Arial CE"/>
          <w:bCs/>
          <w:color w:val="000000"/>
          <w:shd w:fill="FFFFFF" w:val="clear"/>
        </w:rPr>
      </w:pPr>
      <w:r>
        <w:rPr>
          <w:rFonts w:cs="Arial CE" w:ascii="Arial CE" w:hAnsi="Arial CE"/>
          <w:bCs/>
          <w:color w:val="000000"/>
          <w:shd w:fill="FFFFFF" w:val="clear"/>
        </w:rPr>
      </w:r>
    </w:p>
    <w:p>
      <w:pPr>
        <w:pStyle w:val="Normal"/>
        <w:jc w:val="both"/>
        <w:rPr>
          <w:rStyle w:val="Appleconvertedspace"/>
          <w:rFonts w:ascii="Arial CE" w:hAnsi="Arial CE" w:cs="Arial CE"/>
          <w:b/>
          <w:b/>
          <w:bCs/>
          <w:color w:val="000000"/>
          <w:sz w:val="23"/>
          <w:szCs w:val="23"/>
          <w:highlight w:val="white"/>
        </w:rPr>
      </w:pPr>
      <w:r>
        <w:rPr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SLOVMONT, akciová spoločnosť</w:t>
      </w:r>
      <w:r>
        <w:rPr>
          <w:rStyle w:val="Appleconvertedspace"/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 </w:t>
      </w:r>
    </w:p>
    <w:p>
      <w:pPr>
        <w:pStyle w:val="Normal"/>
        <w:jc w:val="both"/>
        <w:rPr>
          <w:sz w:val="22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Bratislavská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87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,</w:t>
      </w:r>
      <w:r>
        <w:rPr>
          <w:sz w:val="22"/>
        </w:rPr>
        <w:t xml:space="preserve"> 902 01  Pezinok</w:t>
      </w:r>
    </w:p>
    <w:p>
      <w:pPr>
        <w:pStyle w:val="Normal"/>
        <w:jc w:val="both"/>
        <w:rPr>
          <w:sz w:val="22"/>
        </w:rPr>
      </w:pPr>
      <w:r>
        <w:rPr>
          <w:sz w:val="22"/>
        </w:rPr>
      </w:r>
    </w:p>
    <w:p>
      <w:pPr>
        <w:pStyle w:val="Normal"/>
        <w:jc w:val="both"/>
        <w:rPr>
          <w:rStyle w:val="Appleconvertedspace"/>
          <w:rFonts w:ascii="Arial CE" w:hAnsi="Arial CE" w:cs="Arial CE"/>
          <w:b/>
          <w:b/>
          <w:bCs/>
          <w:color w:val="000000"/>
          <w:sz w:val="23"/>
          <w:szCs w:val="23"/>
          <w:highlight w:val="white"/>
        </w:rPr>
      </w:pPr>
      <w:r>
        <w:rPr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LEONARD TV PRODUCTIONS s.r.o.</w:t>
      </w:r>
      <w:r>
        <w:rPr>
          <w:rStyle w:val="Appleconvertedspace"/>
          <w:rFonts w:cs="Arial CE" w:ascii="Arial CE" w:hAnsi="Arial CE"/>
          <w:b/>
          <w:bCs/>
          <w:color w:val="000000"/>
          <w:sz w:val="23"/>
          <w:szCs w:val="23"/>
          <w:shd w:fill="FFFFFF" w:val="clear"/>
        </w:rPr>
        <w:t> </w:t>
      </w:r>
    </w:p>
    <w:p>
      <w:pPr>
        <w:pStyle w:val="Normal"/>
        <w:jc w:val="both"/>
        <w:rPr>
          <w:rStyle w:val="Ra"/>
          <w:rFonts w:ascii="Arial CE" w:hAnsi="Arial CE" w:cs="Arial CE"/>
          <w:bCs/>
          <w:color w:val="000000"/>
          <w:highlight w:val="white"/>
        </w:rPr>
      </w:pPr>
      <w:r>
        <w:rPr>
          <w:rStyle w:val="Ra"/>
          <w:rFonts w:cs="Arial CE" w:ascii="Arial CE" w:hAnsi="Arial CE"/>
          <w:bCs/>
          <w:color w:val="000000"/>
          <w:shd w:fill="FFFFFF" w:val="clear"/>
        </w:rPr>
        <w:t>Partizánska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46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,</w:t>
      </w:r>
      <w:r>
        <w:rPr>
          <w:rFonts w:cs="Arial CE" w:ascii="Arial CE" w:hAnsi="Arial CE"/>
          <w:bCs/>
          <w:color w:val="000000"/>
          <w:shd w:fill="FFFFFF" w:val="clear"/>
        </w:rPr>
        <w:t xml:space="preserve"> 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Zvolen</w:t>
      </w:r>
      <w:r>
        <w:rPr>
          <w:rStyle w:val="Appleconvertedspace"/>
          <w:rFonts w:cs="Arial CE" w:ascii="Arial CE" w:hAnsi="Arial CE"/>
          <w:bCs/>
          <w:color w:val="000000"/>
          <w:shd w:fill="FFFFFF" w:val="clear"/>
        </w:rPr>
        <w:t> </w:t>
      </w:r>
      <w:r>
        <w:rPr>
          <w:rStyle w:val="Ra"/>
          <w:rFonts w:cs="Arial CE" w:ascii="Arial CE" w:hAnsi="Arial CE"/>
          <w:bCs/>
          <w:color w:val="000000"/>
          <w:shd w:fill="FFFFFF" w:val="clear"/>
        </w:rPr>
        <w:t>960 01</w:t>
      </w:r>
    </w:p>
    <w:p>
      <w:pPr>
        <w:pStyle w:val="Normal"/>
        <w:jc w:val="both"/>
        <w:rPr>
          <w:rStyle w:val="Ra"/>
          <w:rFonts w:ascii="Arial CE" w:hAnsi="Arial CE" w:cs="Arial CE"/>
          <w:bCs/>
          <w:color w:val="000000"/>
          <w:shd w:fill="FFFFFF" w:val="clear"/>
        </w:rPr>
      </w:pPr>
      <w:r>
        <w:rPr>
          <w:rFonts w:cs="Arial CE" w:ascii="Arial CE" w:hAnsi="Arial CE"/>
          <w:bCs/>
          <w:color w:val="000000"/>
          <w:shd w:fill="FFFFFF" w:val="clear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Účtovná závierka celej skupiny  je oslobodená od povinnosti zostaviť konsolidovanú účtovnú závierku a konsolidovanú výročnú správu podľa § 22 zákona ods. 10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(5) Počty  zamestnancov účtovnej jednotky :</w:t>
      </w:r>
    </w:p>
    <w:p>
      <w:pPr>
        <w:pStyle w:val="Default"/>
        <w:jc w:val="center"/>
        <w:rPr>
          <w:b/>
          <w:b/>
          <w:color w:val="00000A"/>
          <w:sz w:val="22"/>
          <w:szCs w:val="22"/>
        </w:rPr>
      </w:pPr>
      <w:r>
        <w:rPr/>
        <w:drawing>
          <wp:inline distT="0" distB="0" distL="0" distR="0">
            <wp:extent cx="5276850" cy="1704975"/>
            <wp:effectExtent l="0" t="0" r="0" b="0"/>
            <wp:docPr id="1" name="Obrázok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bookmarkStart w:id="0" w:name="_GoBack"/>
      <w:bookmarkStart w:id="1" w:name="_GoBack"/>
      <w:bookmarkEnd w:id="1"/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II</w:t>
      </w:r>
    </w:p>
    <w:p>
      <w:pPr>
        <w:pStyle w:val="Normal"/>
        <w:jc w:val="center"/>
        <w:rPr>
          <w:sz w:val="22"/>
          <w:szCs w:val="22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Informácie o orgánoch spoločnosti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Informácie o 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a) výške jednotlivých druhov záruk alebo iných zabezpečení poskytnutých pre členov štatutárneho orgánu, dozorného orgánu a iného orgánu účtovnej jednotky,: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b) pôžičkách poskytnutých členom štatutárneho orgánu, dozorného orgánu a iného orgánu účtovnej jednotky, a to o 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2. celkovej sume splatených pôžičiek k poslednému dňu účtovného obdobia v členení za jednotlivé orgány,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/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Spoločnosť k 31.12.2019 neeviduje pôžičky voči  štatutárnemu orgánu pôžičky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údaje neaktuálne nakoľko spoločnosť neposkytovala záruky ani pôžičky štatutárovi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III</w:t>
      </w:r>
    </w:p>
    <w:p>
      <w:pPr>
        <w:pStyle w:val="Default"/>
        <w:jc w:val="center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 o prijatých postupoch</w:t>
      </w:r>
    </w:p>
    <w:p>
      <w:pPr>
        <w:pStyle w:val="Default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</w:r>
    </w:p>
    <w:p>
      <w:pPr>
        <w:pStyle w:val="Default"/>
        <w:rPr>
          <w:b/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>(1) Účtovná závierka je  zostavená za splnenia predpokladu, že účtovná jednotka bude nepretržite pokračovať vo svojej činnosti.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spacing w:before="0" w:after="14"/>
        <w:contextualSpacing/>
        <w:rPr>
          <w:rFonts w:ascii="Arial" w:hAnsi="Arial"/>
          <w:sz w:val="22"/>
        </w:rPr>
      </w:pPr>
      <w:r>
        <w:rPr>
          <w:rFonts w:ascii="Arial" w:hAnsi="Arial"/>
          <w:sz w:val="22"/>
        </w:rPr>
      </w:r>
    </w:p>
    <w:p>
      <w:pPr>
        <w:pStyle w:val="Normal"/>
        <w:spacing w:before="0" w:after="14"/>
        <w:contextualSpacing/>
        <w:rPr/>
      </w:pPr>
      <w:r>
        <w:rPr>
          <w:rFonts w:ascii="Arial" w:hAnsi="Arial"/>
          <w:sz w:val="22"/>
        </w:rPr>
        <w:t xml:space="preserve">Na konci roka 2019 sa prvýkrát objavili správy z Číny týkajúce sa COVID-19 /Coronavirus/.  </w:t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V prvých mesiacoch roku 2020 sa vírus rozšíril do celého sveta a negatívne ovplyvnil mnoho krajín.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V čase zverejnenia tejto účtovnej závierky, vedenie účtovnej jednotky zaznamenalo, pokles tržieb oproti rovnakému obdobiu, predchádzajúceho roku : za mesiac marec o 11,7%, za mesiac apríl o 16,6%, za mesiac máj o 23,1%. Spoločnosť získala za uvedené mesiace podporu na udržanie zamestnanosti od štátu vo výške 2.250€. Nakoľko sa však situácia stále mení, preto nemožno predvídať budúce účinky/dopady.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Manažment bude pokračovať v monitorovaní potenciálneho dopadu a podnikne všetky možné kroky na zmiernenie akýchkoľvek účinkov na spoločnosť a jej zamestnancov.</w:t>
      </w:r>
    </w:p>
    <w:p>
      <w:pPr>
        <w:pStyle w:val="Normal"/>
        <w:spacing w:before="0" w:after="14"/>
        <w:contextualSpacing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2019 neaplikovala žiadnu zmenu oproti roku 2018.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Nie sú žiadne transakcie účtovnej jednotky neuvedené v súvahe.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oceňovala majetok a záväzky vždy ku dňu vzniku účtovného prípadu.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a/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Obstarávacia cena obsahuje cenu obstarania a</w:t>
      </w:r>
      <w:r>
        <w:rPr>
          <w:i/>
          <w:sz w:val="22"/>
          <w:szCs w:val="22"/>
        </w:rPr>
        <w:t xml:space="preserve"> náklady súvisiace s obstaraním</w:t>
      </w:r>
      <w:r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>
      <w:pPr>
        <w:pStyle w:val="Normal"/>
        <w:jc w:val="both"/>
        <w:rPr>
          <w:sz w:val="22"/>
          <w:szCs w:val="22"/>
        </w:rPr>
      </w:pPr>
      <w:r>
        <w:rPr>
          <w:i/>
          <w:sz w:val="22"/>
          <w:szCs w:val="22"/>
        </w:rPr>
        <w:t>Obstarávacou cenou</w:t>
      </w:r>
      <w:r>
        <w:rPr>
          <w:sz w:val="22"/>
          <w:szCs w:val="22"/>
        </w:rPr>
        <w:t xml:space="preserve">  ku dňu uskutočnenia účtovného prípadu boli oceňované: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nehmotný majetok obstaraný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majetok obstaraný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zásoby obstarané kúpou;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odplatnom nadobudnutí;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prevzatí;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krátkodobý finančný majetok obstaraný kúpou  /ceniny/;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Menovitou hodnotou </w:t>
      </w:r>
      <w:r>
        <w:rPr>
          <w:sz w:val="22"/>
          <w:szCs w:val="22"/>
        </w:rPr>
        <w:t xml:space="preserve"> boli oceňované:  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vzniku;</w:t>
      </w:r>
    </w:p>
    <w:p>
      <w:pPr>
        <w:pStyle w:val="Normal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vzniku.</w:t>
      </w:r>
    </w:p>
    <w:p>
      <w:pPr>
        <w:pStyle w:val="Normal"/>
        <w:jc w:val="both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b</w:t>
      </w:r>
      <w:r>
        <w:rPr>
          <w:b/>
          <w:color w:val="00000A"/>
          <w:sz w:val="22"/>
          <w:szCs w:val="22"/>
        </w:rPr>
        <w:t xml:space="preserve">) určenie odhadu zníženia hodnoty majetku a tvorba opravnej položky k majetku,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OP sa určujú na základe predpokladanej hodnoty za ktorú by bol majetok realizovaný,   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 </w:t>
      </w:r>
      <w:r>
        <w:rPr>
          <w:color w:val="00000A"/>
          <w:sz w:val="22"/>
          <w:szCs w:val="22"/>
        </w:rPr>
        <w:t>resp. dosiahnutý výťažok z predaja majetku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c) určenie ocenenia záväzkov, stanovenie odhadu ocenenia rezerv, </w:t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záväzky sú ocenené menovitou hodnotou, rezervy sa oceňujú  na základe očakávanej menovitej hodnoty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e) určenie ocenenia finančných nástrojov pri oceňovaní obstarávacou cenou alebo vlastnými nákladmi, a to: </w:t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00000A"/>
          <w:sz w:val="22"/>
          <w:szCs w:val="22"/>
        </w:rPr>
        <w:t xml:space="preserve">, 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2. pri dlhodobom finančnom majetku, ktorý sa vykazuje vo vyššej hodnote ako je jeho reálna hodnota, sa uvádza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Nehmotný</w:t>
      </w:r>
      <w:r>
        <w:rPr>
          <w:sz w:val="22"/>
          <w:szCs w:val="22"/>
        </w:rPr>
        <w:t xml:space="preserve"> majetok v hodnote obstarávacej ceny do 170,00 € sa účtuje do nákladov  518  – služby . </w:t>
      </w:r>
      <w:r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až 2 400,00 € je účtovaný na zásoby a pri jeho zaradení do používania  sa zaeviduje do majetku spoločnosti a zúčtuje na účet 013 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ab/>
        <w:t>Nehmotný majetok v hodnote obstarávacej ceny nad 2 400,00 €  je pri zaradení do používania účtovaný na účte 013  . Odpisuje sa podľa predpokladanej doby použitia max 5 rokov.</w:t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ab/>
        <w:t>Hmotný majetok, ktorého cena obstarania je nižšia ako 170,00 € sa účtuje pri zaradení do používania do materiálových nákladov účet 501  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  <w:t>Dlhodobý hmotný majetok v hodnote ceny obstarania od  170,00 € do 1 700,00 €  je evidovaný v  majetku spoločnosti. Pri jeho zakúpení je účtovaný na obstaranie DHM a pri  zaradení do používania sa neúčtuje v plnom rozsahu do nákladov, ale sa uplatňuje odpisovanie 13 mesiacov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Hmotný majetok v cene obstarania nad 1 700,00 €  je evidovaný v majetku spoločnosti a na jednotlivých analytických účtoch  podľa druhov majetku. Odpisuje sa rovnomerne alebo  zrýchlene v úrovni zodpovedajúcej zákonu o dani z príjmov. V menšom rozsahu bol uplatnený rovnomerný spôsob odpisovania . Počas celého obdobia odpisovania sa však u jedného majetku uplatňuje zásadne rovnaká metóda. 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4580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A"/>
          <w:right w:val="single" w:sz="4" w:space="0" w:color="000001"/>
          <w:insideH w:val="single" w:sz="4" w:space="0" w:color="00000A"/>
          <w:insideV w:val="single" w:sz="4" w:space="0" w:color="000001"/>
        </w:tblBorders>
        <w:tblCellMar>
          <w:top w:w="0" w:type="dxa"/>
          <w:left w:w="45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180"/>
        <w:gridCol w:w="2399"/>
      </w:tblGrid>
      <w:tr>
        <w:trPr>
          <w:trHeight w:val="510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b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rPr>
                <w:rFonts w:ascii="Verdana" w:hAnsi="Verdana"/>
                <w:b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jc w:val="center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>
        <w:trPr>
          <w:trHeight w:val="255" w:hRule="atLeast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tcMar>
              <w:left w:w="45" w:type="dxa"/>
            </w:tcMar>
            <w:vAlign w:val="bottom"/>
          </w:tcPr>
          <w:p>
            <w:pPr>
              <w:pStyle w:val="Normal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color="auto" w:fill="auto" w:val="clear"/>
            <w:vAlign w:val="bottom"/>
          </w:tcPr>
          <w:p>
            <w:pPr>
              <w:pStyle w:val="Normal"/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g) informácia o poskytnutých dotáciách a pri dotáciách na obstaranie majetku sa uvedú zložky majetku a ich ocenenie</w:t>
      </w:r>
      <w:r>
        <w:rPr>
          <w:color w:val="00000A"/>
          <w:sz w:val="22"/>
          <w:szCs w:val="22"/>
        </w:rPr>
        <w:t xml:space="preserve">. 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dotácie na  obstaranie majetku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/>
      </w:pPr>
      <w:r>
        <w:rPr>
          <w:color w:val="00000A"/>
          <w:sz w:val="22"/>
          <w:szCs w:val="22"/>
        </w:rPr>
        <w:t>V účtovnom období 2019 neboli účtované významné chyby minulých období.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IV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Informácie, ktoré vysvetľujú a doplňujú položky súvahy</w:t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>
      <w:pPr>
        <w:pStyle w:val="Normal"/>
        <w:ind w:left="360" w:hanging="0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 </w:t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Spoločnosť neúčtovala a ani neeviduje goodwill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neúčtovala o derivátoch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nemá zabezpečené záväzky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(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cs="Arial" w:ascii="Arial" w:hAnsi="Arial"/>
          <w:color w:val="000000"/>
          <w:sz w:val="24"/>
          <w:szCs w:val="24"/>
          <w:lang w:eastAsia="sk-SK"/>
        </w:rPr>
        <w:t>Spoločnosť nevlastní vlastné akcie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(5)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  <w:t>Spoločnosť neeviduje výnimočné resp. mimoriadne výnosy ani náklady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</w:t>
      </w:r>
    </w:p>
    <w:p>
      <w:pPr>
        <w:pStyle w:val="Normal"/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(1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>
      <w:pPr>
        <w:pStyle w:val="Normal"/>
        <w:rPr>
          <w:rFonts w:ascii="Arial" w:hAnsi="Arial" w:cs="Arial"/>
          <w:b/>
          <w:b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3"/>
        </w:numPr>
        <w:spacing w:before="0" w:after="14"/>
        <w:contextualSpacing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spacing w:before="0" w:after="14"/>
        <w:contextualSpacing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spoločnosť neeviduje podmienený majetok</w:t>
      </w:r>
    </w:p>
    <w:p>
      <w:pPr>
        <w:pStyle w:val="Normal"/>
        <w:spacing w:before="0" w:after="14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b) </w:t>
      </w: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>
      <w:pPr>
        <w:pStyle w:val="Normal"/>
        <w:spacing w:before="0" w:after="14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>spoločnosť neeviduje podmienené záväzky</w:t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ind w:left="360" w:hanging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Pre túto oblasť nemá účtovná jednotka obsahovú náplň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ListParagraph"/>
        <w:numPr>
          <w:ilvl w:val="0"/>
          <w:numId w:val="2"/>
        </w:numPr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  <w:t xml:space="preserve">Skutočnosti sledované na podsúvahových účtoch </w:t>
      </w:r>
    </w:p>
    <w:p>
      <w:pPr>
        <w:pStyle w:val="ListParagraph"/>
        <w:rPr>
          <w:rFonts w:ascii="Arial" w:hAnsi="Arial" w:cs="Arial"/>
          <w:b/>
          <w:b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color w:val="000000"/>
          <w:sz w:val="22"/>
          <w:szCs w:val="22"/>
          <w:lang w:eastAsia="sk-SK"/>
        </w:rPr>
      </w:r>
    </w:p>
    <w:p>
      <w:pPr>
        <w:pStyle w:val="Default"/>
        <w:rPr>
          <w:b/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evidovaný majetok na podsúvahových účtoch.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VI</w:t>
      </w:r>
    </w:p>
    <w:p>
      <w:pPr>
        <w:pStyle w:val="Default"/>
        <w:jc w:val="center"/>
        <w:rPr>
          <w:color w:val="00000A"/>
          <w:sz w:val="22"/>
          <w:szCs w:val="22"/>
        </w:rPr>
      </w:pPr>
      <w:r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Ku dňu zostavenia účtovnej závierky nedošlo k</w:t>
      </w:r>
    </w:p>
    <w:p>
      <w:pPr>
        <w:pStyle w:val="ListParagraph"/>
        <w:numPr>
          <w:ilvl w:val="0"/>
          <w:numId w:val="4"/>
        </w:numPr>
        <w:spacing w:before="0" w:after="14"/>
        <w:contextualSpacing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b) nenastali dôvody pre zmenu výšky rezerv a opravných položiek, ktoré nastali v dôsledku udalostí po dni, ku ktorému sa zostavuje účtovná závierka do dňa zostavenia účtovnej závierky,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c) nedošlo k zmene spoločníkov účtovnej jednotky,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d) nebolo prijaté   rozhodnutie o predaji účtovnej jednotky alebo jej časti,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e) nenastali významné zmeny zmenách významných položiek dlhodobého finančného majetku,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f) neuvažuje sa o začatí alebo ukončení činnosti časti účtovnej jednotky,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g) neboli vydané dlhopisy alebo iné   cenné papiere, 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h) nedošlo k  zlúčeniu, splynutiu, rozdeleniu a zmene právnej formy účtovnej jednotky, </w:t>
      </w:r>
    </w:p>
    <w:p>
      <w:pPr>
        <w:pStyle w:val="Normal"/>
        <w:spacing w:before="0" w:after="14"/>
        <w:rPr/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i) nastali  udalosti, ktoré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>začali ovplyvňovať</w:t>
      </w: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 hospodárenie účtovnej jednotky,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spacing w:before="0" w:after="14"/>
        <w:contextualSpacing/>
        <w:rPr/>
      </w:pPr>
      <w:r>
        <w:rPr>
          <w:rFonts w:ascii="Arial" w:hAnsi="Arial"/>
          <w:sz w:val="22"/>
        </w:rPr>
        <w:t xml:space="preserve">Na konci roka 2019 sa prvýkrát objavili správy z Číny týkajúce sa COVID-19 /Coronavirus/.  </w:t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V prvých mesiacoch roku 2020 sa vírus rozšíril do celého sveta a negatívne ovplyvnil mnoho krajín.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V čase zverejnenia tejto účtovnej závierky, vedenie účtovnej jednotky, zaznamenalo pokles tržieb, oproti rovnakému obdobiu, predchádzajúceho roku : za mesiac marec o 11,7%, za mesiac apríl o 16,6%, za mesiac máj o 23,1%. Spoločnosť získala, za uvedené mesiace, podporu na udržanie zamestnanosti od štátu vo výške 2.250€. Nakoľko sa však situácia stále mení, preto nemožno predvídať budúce účinky/dopady.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Manažment bude pokračovať v monitorovaní potenciálneho dopadu a podnikne všetky možné kroky na zmiernenie akýchkoľvek účinkov na spoločnosť a jej zamestnancov.</w:t>
      </w:r>
    </w:p>
    <w:p>
      <w:pPr>
        <w:pStyle w:val="Normal"/>
        <w:spacing w:before="0"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j) nebola získaná ani  odobratá licencia alebo iné povolenia významné pre činnosť účtovnej jednotky  </w:t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Čl. VII</w:t>
      </w:r>
    </w:p>
    <w:p>
      <w:pPr>
        <w:pStyle w:val="Normal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b/>
          <w:bCs/>
          <w:color w:val="000000"/>
          <w:sz w:val="22"/>
          <w:szCs w:val="22"/>
          <w:lang w:eastAsia="sk-SK"/>
        </w:rPr>
        <w:t>Ostatné informácie</w:t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</w:r>
    </w:p>
    <w:p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>
      <w:pPr>
        <w:pStyle w:val="Normal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5"/>
        </w:numPr>
        <w:spacing w:before="0" w:after="14"/>
        <w:contextualSpacing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Spoločnosti neboli udelené  výlučné práva alebo osobitné práva  poskytovať služby vo verejnom záujme, </w:t>
      </w:r>
    </w:p>
    <w:p>
      <w:pPr>
        <w:pStyle w:val="Normal"/>
        <w:ind w:left="360" w:hanging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cs="Arial" w:ascii="Arial" w:hAnsi="Arial"/>
          <w:color w:val="000000"/>
          <w:sz w:val="24"/>
          <w:szCs w:val="24"/>
          <w:lang w:eastAsia="sk-SK"/>
        </w:rPr>
      </w:r>
    </w:p>
    <w:p>
      <w:pPr>
        <w:pStyle w:val="ListParagraph"/>
        <w:numPr>
          <w:ilvl w:val="0"/>
          <w:numId w:val="5"/>
        </w:num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cs="Arial" w:ascii="Arial" w:hAnsi="Arial"/>
          <w:color w:val="000000"/>
          <w:sz w:val="22"/>
          <w:szCs w:val="22"/>
          <w:lang w:eastAsia="sk-SK"/>
        </w:rPr>
        <w:t>Na účtovnú jednotku sa nevzťahuje § 23d ods. 6 zákona, a jej činnosť nie je zaradená do kategórie priemyselnej výroby podľa osobitného predpisu</w:t>
      </w:r>
      <w:r>
        <w:rPr>
          <w:rFonts w:cs="Arial" w:ascii="Arial" w:hAnsi="Arial"/>
          <w:color w:val="000000"/>
          <w:sz w:val="14"/>
          <w:szCs w:val="14"/>
          <w:lang w:eastAsia="sk-SK"/>
        </w:rPr>
        <w:t xml:space="preserve">23) </w:t>
      </w:r>
      <w:r>
        <w:rPr>
          <w:rFonts w:cs="Arial" w:ascii="Arial" w:hAnsi="Arial"/>
          <w:color w:val="000000"/>
          <w:sz w:val="22"/>
          <w:szCs w:val="22"/>
          <w:lang w:eastAsia="sk-SK"/>
        </w:rPr>
        <w:t xml:space="preserve">a jej čistý obrat za bezprostredne predchádzajúce účtovné obdobie nebol väčší ako 250 000 000 eur,  </w:t>
      </w:r>
    </w:p>
    <w:p>
      <w:pPr>
        <w:pStyle w:val="ListParagraph"/>
        <w:spacing w:before="0" w:after="14"/>
        <w:contextualSpacing/>
        <w:rPr/>
      </w:pPr>
      <w:r>
        <w:rPr/>
      </w:r>
    </w:p>
    <w:p>
      <w:pPr>
        <w:pStyle w:val="ListParagraph"/>
        <w:spacing w:before="0" w:after="14"/>
        <w:contextualSpacing/>
        <w:rPr/>
      </w:pPr>
      <w:r>
        <w:rPr/>
      </w:r>
    </w:p>
    <w:p>
      <w:pPr>
        <w:pStyle w:val="Normal"/>
        <w:spacing w:before="0" w:after="14"/>
        <w:contextualSpacing/>
        <w:rPr>
          <w:rFonts w:ascii="Arial" w:hAnsi="Arial"/>
        </w:rPr>
      </w:pPr>
      <w:bookmarkStart w:id="2" w:name="__DdeLink__296_1741728147"/>
      <w:bookmarkEnd w:id="2"/>
      <w:r>
        <w:rPr>
          <w:rFonts w:ascii="Arial" w:hAnsi="Arial"/>
          <w:sz w:val="22"/>
        </w:rPr>
        <w:t xml:space="preserve">Na konci roka 2019 sa prvýkrát objavili správy z Číny týkajúce sa COVID-19 /Coronavirus/.  </w:t>
      </w:r>
    </w:p>
    <w:p>
      <w:pPr>
        <w:pStyle w:val="Normal"/>
        <w:jc w:val="left"/>
        <w:rPr>
          <w:rFonts w:ascii="Arial" w:hAnsi="Arial"/>
        </w:rPr>
      </w:pPr>
      <w:r>
        <w:rPr>
          <w:rFonts w:ascii="Arial" w:hAnsi="Arial"/>
          <w:sz w:val="22"/>
        </w:rPr>
        <w:t>V prvých mesiacoch roku 2020 sa vírus rozšíril do celého sveta a negatívne ovplyvnil mnoho krajín.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/>
      </w:pPr>
      <w:r>
        <w:rPr>
          <w:rFonts w:ascii="Arial" w:hAnsi="Arial"/>
          <w:sz w:val="22"/>
        </w:rPr>
        <w:t>V čase zverejnenia tejto účtovnej závierky, vedenie účtovnej jednotky zaznamenalo pokles tržieb, oproti rovnakému obdobiu predchádzajúceho roku : za mesiac marec o 11,7%, za mesiac apríl o 16,6%, za mesiac máj o 23,1%. Spoločnosť získala za uvedené mesiace podporu na udržanie zamestnanosti od štátu vo výške 2.250€. Nakoľko sa však situácia stále mení, preto nemožno predvídať budúce účinky/dopady.</w:t>
      </w:r>
    </w:p>
    <w:p>
      <w:pPr>
        <w:pStyle w:val="Normal"/>
        <w:jc w:val="left"/>
        <w:rPr>
          <w:sz w:val="22"/>
        </w:rPr>
      </w:pPr>
      <w:r>
        <w:rPr>
          <w:sz w:val="22"/>
        </w:rPr>
      </w:r>
    </w:p>
    <w:p>
      <w:pPr>
        <w:pStyle w:val="Normal"/>
        <w:jc w:val="left"/>
        <w:rPr>
          <w:rFonts w:ascii="Arial" w:hAnsi="Arial"/>
        </w:rPr>
      </w:pPr>
      <w:r>
        <w:rPr>
          <w:rFonts w:ascii="Arial" w:hAnsi="Arial"/>
          <w:sz w:val="22"/>
        </w:rPr>
        <w:t>Manažment bude pokračovať v monitorovaní potenciálneho dopadu a podnikne všetky možné kroky na zmiernenie akýchkoľvek účinkov na spoločnosť a jej zamestnancov.</w:t>
      </w:r>
    </w:p>
    <w:p>
      <w:pPr>
        <w:pStyle w:val="Normal"/>
        <w:spacing w:before="0" w:after="14"/>
        <w:contextualSpacing/>
        <w:rPr>
          <w:sz w:val="22"/>
        </w:rPr>
      </w:pPr>
      <w:bookmarkStart w:id="3" w:name="__DdeLink__296_17417281471"/>
      <w:bookmarkStart w:id="4" w:name="__DdeLink__296_17417281471"/>
      <w:bookmarkEnd w:id="4"/>
      <w:r>
        <w:rPr>
          <w:sz w:val="22"/>
        </w:rPr>
      </w:r>
    </w:p>
    <w:p>
      <w:pPr>
        <w:pStyle w:val="ListParagraph"/>
        <w:spacing w:before="0" w:after="14"/>
        <w:contextualSpacing/>
        <w:rPr/>
      </w:pPr>
      <w:r>
        <w:rPr/>
      </w:r>
    </w:p>
    <w:sectPr>
      <w:headerReference w:type="default" r:id="rId3"/>
      <w:headerReference w:type="first" r:id="rId4"/>
      <w:footerReference w:type="default" r:id="rId5"/>
      <w:type w:val="nextPage"/>
      <w:pgSz w:w="11906" w:h="16838"/>
      <w:pgMar w:left="1417" w:right="1417" w:header="708" w:top="993" w:footer="708" w:bottom="1417" w:gutter="0"/>
      <w:pgNumType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Arial CE">
    <w:charset w:val="ee"/>
    <w:family w:val="roman"/>
    <w:pitch w:val="variable"/>
  </w:font>
  <w:font w:name="Verdana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6675" cy="292735"/>
              <wp:effectExtent l="0" t="0" r="0" b="0"/>
              <wp:wrapSquare wrapText="largest"/>
              <wp:docPr id="2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8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224.2pt;margin-top:0.05pt;width:5.15pt;height:22.95pt;mso-position-horizontal:center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PODV 3-01                                                                          IČO: 31599 061   DIČ:2020465128</w:t>
    </w:r>
  </w:p>
  <w:p>
    <w:pPr>
      <w:pStyle w:val="Hlavik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>Poznámky Úč PODV 3-01                                                                          IČO: 31599 061   DIČ:2020465128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</w:latentStyles>
  <w:style w:type="paragraph" w:styleId="Normal" w:default="1">
    <w:name w:val="Normal"/>
    <w:qFormat/>
    <w:rsid w:val="007a187a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sz w:val="20"/>
      <w:szCs w:val="20"/>
      <w:lang w:val="sk-SK" w:eastAsia="cs-CZ" w:bidi="ar-SA"/>
    </w:rPr>
  </w:style>
  <w:style w:type="paragraph" w:styleId="Nadpis1">
    <w:name w:val="Nadpis 1"/>
    <w:basedOn w:val="Normal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Nadpis 2"/>
    <w:basedOn w:val="Normal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Nadpis 4"/>
    <w:basedOn w:val="Normal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Nadpis 6"/>
    <w:basedOn w:val="Normal"/>
    <w:qFormat/>
    <w:rsid w:val="007a187a"/>
    <w:pPr>
      <w:keepNext/>
      <w:outlineLvl w:val="5"/>
    </w:pPr>
    <w:rPr>
      <w:b/>
      <w:sz w:val="1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basedOn w:val="DefaultParagraphFont"/>
    <w:semiHidden/>
    <w:qFormat/>
    <w:rsid w:val="00a403f7"/>
    <w:rPr>
      <w:vertAlign w:val="superscript"/>
    </w:rPr>
  </w:style>
  <w:style w:type="character" w:styleId="Nadpis1Char" w:customStyle="1">
    <w:name w:val="Nadpis 1 Char"/>
    <w:basedOn w:val="DefaultParagraphFont"/>
    <w:link w:val="Nadpis1"/>
    <w:qFormat/>
    <w:rsid w:val="003a436d"/>
    <w:rPr>
      <w:b/>
      <w:sz w:val="28"/>
      <w:lang w:val="sk-SK" w:eastAsia="cs-CZ" w:bidi="ar-SA"/>
    </w:rPr>
  </w:style>
  <w:style w:type="character" w:styleId="Nadpis2Char" w:customStyle="1">
    <w:name w:val="Nadpis 2 Char"/>
    <w:basedOn w:val="DefaultParagraphFont"/>
    <w:link w:val="Nadpis2"/>
    <w:qFormat/>
    <w:rsid w:val="003a436d"/>
    <w:rPr>
      <w:b/>
      <w:sz w:val="24"/>
      <w:lang w:val="sk-SK" w:eastAsia="cs-CZ" w:bidi="ar-SA"/>
    </w:rPr>
  </w:style>
  <w:style w:type="character" w:styleId="Nadpis4Char" w:customStyle="1">
    <w:name w:val="Nadpis 4 Char"/>
    <w:basedOn w:val="DefaultParagraphFont"/>
    <w:link w:val="Nadpis4"/>
    <w:qFormat/>
    <w:rsid w:val="003a436d"/>
    <w:rPr>
      <w:b/>
      <w:sz w:val="24"/>
      <w:lang w:val="sk-SK" w:eastAsia="cs-CZ" w:bidi="ar-SA"/>
    </w:rPr>
  </w:style>
  <w:style w:type="character" w:styleId="Pagenumber">
    <w:name w:val="page number"/>
    <w:basedOn w:val="DefaultParagraphFont"/>
    <w:qFormat/>
    <w:rsid w:val="00a30faa"/>
    <w:rPr/>
  </w:style>
  <w:style w:type="character" w:styleId="TextbublinyChar" w:customStyle="1">
    <w:name w:val="Text bubliny Char"/>
    <w:basedOn w:val="DefaultParagraphFont"/>
    <w:link w:val="Textbubliny"/>
    <w:qFormat/>
    <w:rsid w:val="00bb4478"/>
    <w:rPr>
      <w:rFonts w:ascii="Tahoma" w:hAnsi="Tahoma" w:cs="Tahoma"/>
      <w:sz w:val="16"/>
      <w:szCs w:val="16"/>
      <w:lang w:eastAsia="cs-CZ"/>
    </w:rPr>
  </w:style>
  <w:style w:type="character" w:styleId="Ra" w:customStyle="1">
    <w:name w:val="ra"/>
    <w:basedOn w:val="DefaultParagraphFont"/>
    <w:qFormat/>
    <w:rsid w:val="00602a1d"/>
    <w:rPr/>
  </w:style>
  <w:style w:type="character" w:styleId="Appleconvertedspace" w:customStyle="1">
    <w:name w:val="apple-converted-space"/>
    <w:basedOn w:val="DefaultParagraphFont"/>
    <w:qFormat/>
    <w:rsid w:val="00602a1d"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0115da"/>
    <w:rPr>
      <w:lang w:eastAsia="cs-CZ"/>
    </w:rPr>
  </w:style>
  <w:style w:type="character" w:styleId="ListLabel1">
    <w:name w:val="ListLabel 1"/>
    <w:qFormat/>
    <w:rPr>
      <w:rFonts w:eastAsia="Times New Roman" w:cs="Times New Roman"/>
      <w:sz w:val="22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rFonts w:cs="Times New Roman"/>
      <w:sz w:val="22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Times New Roman"/>
      <w:sz w:val="22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Symbol"/>
    </w:rPr>
  </w:style>
  <w:style w:type="character" w:styleId="ListLabel12">
    <w:name w:val="ListLabel 12"/>
    <w:qFormat/>
    <w:rPr>
      <w:rFonts w:cs="Times New Roman"/>
      <w:sz w:val="22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Wingdings"/>
    </w:rPr>
  </w:style>
  <w:style w:type="character" w:styleId="ListLabel15">
    <w:name w:val="ListLabel 15"/>
    <w:qFormat/>
    <w:rPr>
      <w:rFonts w:cs="Symbol"/>
    </w:rPr>
  </w:style>
  <w:style w:type="character" w:styleId="ListLabel16">
    <w:name w:val="ListLabel 16"/>
    <w:qFormat/>
    <w:rPr>
      <w:rFonts w:cs="Times New Roman"/>
      <w:sz w:val="22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Wingdings"/>
    </w:rPr>
  </w:style>
  <w:style w:type="character" w:styleId="ListLabel19">
    <w:name w:val="ListLabel 19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rsid w:val="007a187a"/>
    <w:pPr/>
    <w:rPr>
      <w:sz w:val="18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odyTextIndent2">
    <w:name w:val="Body Text Indent 2"/>
    <w:basedOn w:val="Normal"/>
    <w:qFormat/>
    <w:rsid w:val="00ce44ea"/>
    <w:pPr>
      <w:spacing w:lineRule="auto" w:line="480" w:before="0" w:after="120"/>
      <w:ind w:left="283" w:hanging="0"/>
    </w:pPr>
    <w:rPr/>
  </w:style>
  <w:style w:type="paragraph" w:styleId="Footnotetext">
    <w:name w:val="footnote text"/>
    <w:basedOn w:val="Normal"/>
    <w:semiHidden/>
    <w:qFormat/>
    <w:rsid w:val="00a403f7"/>
    <w:pPr/>
    <w:rPr/>
  </w:style>
  <w:style w:type="paragraph" w:styleId="Zkladntext1" w:customStyle="1">
    <w:name w:val="Základní text1"/>
    <w:basedOn w:val="Normal"/>
    <w:qFormat/>
    <w:rsid w:val="009b41d1"/>
    <w:pPr>
      <w:widowControl w:val="false"/>
    </w:pPr>
    <w:rPr>
      <w:sz w:val="24"/>
    </w:rPr>
  </w:style>
  <w:style w:type="paragraph" w:styleId="Odstavecseseznamem" w:customStyle="1">
    <w:name w:val="Odstavec se seznamem"/>
    <w:basedOn w:val="Normal"/>
    <w:qFormat/>
    <w:rsid w:val="003a436d"/>
    <w:pPr>
      <w:spacing w:before="0" w:after="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rsid w:val="00a30faa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rsid w:val="00a30faa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qFormat/>
    <w:rsid w:val="00bb4478"/>
    <w:pPr/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rsid w:val="00e430c9"/>
    <w:pPr>
      <w:widowControl/>
      <w:bidi w:val="0"/>
      <w:jc w:val="left"/>
    </w:pPr>
    <w:rPr>
      <w:rFonts w:ascii="Arial" w:hAnsi="Arial" w:eastAsia="Calibri" w:cs="Arial" w:eastAsiaTheme="minorHAnsi"/>
      <w:color w:val="000000"/>
      <w:sz w:val="24"/>
      <w:szCs w:val="24"/>
      <w:lang w:val="sk-SK" w:eastAsia="en-US" w:bidi="ar-SA"/>
    </w:rPr>
  </w:style>
  <w:style w:type="paragraph" w:styleId="ListParagraph">
    <w:name w:val="List Paragraph"/>
    <w:basedOn w:val="Normal"/>
    <w:uiPriority w:val="34"/>
    <w:qFormat/>
    <w:rsid w:val="00b10e22"/>
    <w:pPr>
      <w:spacing w:before="0" w:after="0"/>
      <w:ind w:left="720" w:hanging="0"/>
      <w:contextualSpacing/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385bb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wmf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Application>LibreOffice/5.0.3.2$Windows_X86_64 LibreOffice_project/e5f16313668ac592c1bfb310f4390624e3dbfb75</Application>
  <Paragraphs>169</Paragraphs>
  <Company>MURAT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2017-02-14T11:47:00Z</dcterms:created>
  <dc:creator>senka</dc:creator>
  <dc:language>sk-SK</dc:language>
  <cp:lastPrinted>2016-03-17T14:19:00Z</cp:lastPrinted>
  <dcterms:modified xsi:type="dcterms:W3CDTF">2020-07-22T11:49:52Z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MURAT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