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rPr>
          <w:rFonts w:ascii="Times New Roman" w:hAnsi="Times New Roman" w:eastAsia="Calibri" w:cs="Times New Roman"/>
          <w:color w:val="000000"/>
          <w:sz w:val="24"/>
          <w:szCs w:val="24"/>
          <w:lang w:val="sk-SK" w:eastAsia="en-US" w:bidi="ar-SA"/>
        </w:rPr>
      </w:pPr>
      <w:r>
        <w:rPr>
          <w:rFonts w:eastAsia="Calibri" w:cs="Times New Roman"/>
          <w:color w:val="000000"/>
          <w:sz w:val="24"/>
          <w:szCs w:val="24"/>
          <w:lang w:val="sk-SK" w:eastAsia="en-US" w:bidi="ar-SA"/>
        </w:rPr>
      </w:r>
    </w:p>
    <w:p>
      <w:pPr>
        <w:pStyle w:val="Default"/>
        <w:rPr>
          <w:rFonts w:ascii="Times New Roman" w:hAnsi="Times New Roman" w:eastAsia="Calibri" w:cs="Times New Roman"/>
          <w:b/>
          <w:b/>
          <w:bCs/>
          <w:color w:val="00000A"/>
          <w:sz w:val="28"/>
          <w:szCs w:val="28"/>
          <w:lang w:val="sk-SK" w:eastAsia="en-US" w:bidi="ar-SA"/>
        </w:rPr>
      </w:pPr>
      <w:r>
        <w:rPr>
          <w:rFonts w:eastAsia="Calibri" w:cs="Times New Roman"/>
          <w:b/>
          <w:bCs/>
          <w:color w:val="00000A"/>
          <w:sz w:val="28"/>
          <w:szCs w:val="28"/>
          <w:lang w:val="sk-SK" w:eastAsia="en-US" w:bidi="ar-SA"/>
        </w:rPr>
        <w:t>Poznámky k Účtovnej závierke 2014 MK ProConsult s.r.o.</w:t>
      </w:r>
    </w:p>
    <w:p>
      <w:pPr>
        <w:pStyle w:val="Default"/>
        <w:rPr>
          <w:rFonts w:ascii="Times New Roman" w:hAnsi="Times New Roman" w:eastAsia="Calibri" w:cs="Times New Roman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/>
          <w:color w:val="00000A"/>
          <w:sz w:val="24"/>
          <w:szCs w:val="24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</w:rPr>
        <w:t xml:space="preserve"> </w:t>
      </w:r>
      <w:r>
        <w:rPr>
          <w:b/>
          <w:bCs/>
          <w:color w:val="00000A"/>
          <w:sz w:val="23"/>
          <w:szCs w:val="23"/>
        </w:rPr>
        <w:t xml:space="preserve">Čl. I </w:t>
      </w:r>
    </w:p>
    <w:p>
      <w:pPr>
        <w:pStyle w:val="Default"/>
        <w:jc w:val="both"/>
        <w:rPr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rFonts w:ascii="Times New Roman" w:hAnsi="Times New Roman" w:eastAsia="Calibri" w:cs="Times New Roman"/>
          <w:b/>
          <w:b/>
          <w:bCs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b/>
          <w:bCs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(1)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Názov právnickej osoby: MK ProConsult s.r.o. (ďalej len „Spoločnosť“)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Sídlo: Liptovská 1249/42, 821 09 Bratislava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Účtovná závierka Spoločnosti bola zostavená podľ</w:t>
      </w: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  <w:t xml:space="preserve">a Opatrenie Ministerstva financií Slovenskej republiky z 31. marca 2003 č. </w:t>
      </w:r>
      <w:r>
        <w:rPr>
          <w:rStyle w:val="StrongEmphasis"/>
          <w:rFonts w:eastAsia="Calibri" w:cs="Times New Roman"/>
          <w:color w:val="00000A"/>
          <w:sz w:val="23"/>
          <w:szCs w:val="23"/>
          <w:lang w:val="sk-SK" w:eastAsia="en-US" w:bidi="ar-SA"/>
        </w:rPr>
        <w:t xml:space="preserve">4455/2003-9 </w:t>
      </w: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  <w:t>a schválená z</w:t>
      </w:r>
      <w:r>
        <w:rPr>
          <w:color w:val="00000A"/>
          <w:sz w:val="23"/>
          <w:szCs w:val="23"/>
        </w:rPr>
        <w:t xml:space="preserve">odpovednými orgánmi spoločnosti dňa </w:t>
      </w:r>
      <w:r>
        <w:rPr>
          <w:color w:val="00000A"/>
          <w:sz w:val="23"/>
          <w:szCs w:val="23"/>
        </w:rPr>
        <w:t>29.2</w:t>
      </w:r>
      <w:r>
        <w:rPr>
          <w:color w:val="00000A"/>
          <w:sz w:val="23"/>
          <w:szCs w:val="23"/>
        </w:rPr>
        <w:t>.201</w:t>
      </w:r>
      <w:r>
        <w:rPr>
          <w:color w:val="00000A"/>
          <w:sz w:val="23"/>
          <w:szCs w:val="23"/>
        </w:rPr>
        <w:t>5</w:t>
      </w:r>
      <w:r>
        <w:rPr>
          <w:color w:val="00000A"/>
          <w:sz w:val="23"/>
          <w:szCs w:val="23"/>
        </w:rPr>
        <w:t>. Vzhľadom k tomu, že Spoločnosť je mikro-účtovná jednotka súčasťou závierky sú i nasledovné Poznámky.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(2)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(3)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Spoločnosť nemá a ani nemala v roku 201</w:t>
      </w:r>
      <w:r>
        <w:rPr>
          <w:color w:val="00000A"/>
          <w:sz w:val="23"/>
          <w:szCs w:val="23"/>
        </w:rPr>
        <w:t>5</w:t>
      </w:r>
      <w:r>
        <w:rPr>
          <w:color w:val="00000A"/>
          <w:sz w:val="23"/>
          <w:szCs w:val="23"/>
        </w:rPr>
        <w:t xml:space="preserve"> zamestnancov. 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b/>
          <w:bCs/>
          <w:color w:val="00000A"/>
          <w:sz w:val="23"/>
          <w:szCs w:val="23"/>
        </w:rPr>
        <w:t xml:space="preserve">Čl. II </w:t>
      </w:r>
    </w:p>
    <w:p>
      <w:pPr>
        <w:pStyle w:val="Default"/>
        <w:jc w:val="both"/>
        <w:rPr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rFonts w:ascii="Times New Roman" w:hAnsi="Times New Roman" w:eastAsia="Calibri" w:cs="Times New Roman"/>
          <w:b/>
          <w:b/>
          <w:bCs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b/>
          <w:bCs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(1)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(2)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výrobu alebo inú činnosť.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Zníženie hodnoty zásob sa upravuje vytvorením opravnej položky,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c) pohľadávok: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d) krátkodobého finančného majetku: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Zníženie ich hodnoty sa vyjadruje opravnou položkou.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súvisiacich s obstaraním,   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e) záväzkov vrátane rezerv, dlhopisov, pôžičiek a úverov: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cenou. Ak sa pri inventarizácii zistí, že suma záväzkov je iná ako ich výška v účtovníctve, uvedú sa záväzky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strát z podnikania. Oceňujú sa v očakávanej výške záväzku,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f) derivátových operácií: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Deriváty sa oceňujú reálnou hodnotou.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priamo do vlastného imania.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s vplyvom na výsledok hospodárenia.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imania.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(3)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0"/>
          <w:sz w:val="24"/>
          <w:szCs w:val="24"/>
          <w:lang w:val="sk-SK" w:eastAsia="en-US" w:bidi="ar-SA"/>
        </w:rPr>
      </w:pPr>
      <w:r>
        <w:rPr>
          <w:rFonts w:eastAsia="Calibri" w:cs="Times New Roman"/>
          <w:color w:val="000000"/>
          <w:sz w:val="24"/>
          <w:szCs w:val="24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(4)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(5)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>
      <w:pPr>
        <w:pStyle w:val="Default"/>
        <w:jc w:val="both"/>
        <w:rPr/>
      </w:pPr>
      <w:r>
        <w:rPr>
          <w:color w:val="00000A"/>
          <w:sz w:val="22"/>
          <w:szCs w:val="22"/>
        </w:rPr>
        <w:t>Spoločnosť v priebehu roka nezískala žiadne dotácie.</w:t>
      </w:r>
      <w:r>
        <w:rPr>
          <w:color w:val="00000A"/>
          <w:sz w:val="23"/>
          <w:szCs w:val="23"/>
        </w:rPr>
        <w:t xml:space="preserve">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2"/>
          <w:szCs w:val="22"/>
          <w:lang w:val="sk-SK" w:eastAsia="en-US" w:bidi="ar-SA"/>
        </w:rPr>
      </w:pPr>
      <w:r>
        <w:rPr>
          <w:rFonts w:eastAsia="Calibri" w:cs="Times New Roman"/>
          <w:color w:val="00000A"/>
          <w:sz w:val="22"/>
          <w:szCs w:val="22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(6)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Spoločnosť </w:t>
      </w:r>
      <w:r>
        <w:rPr>
          <w:color w:val="00000A"/>
          <w:sz w:val="23"/>
          <w:szCs w:val="23"/>
        </w:rPr>
        <w:t xml:space="preserve">neeviduje žiadne významné ani iné opravy chýb </w:t>
      </w:r>
      <w:r>
        <w:rPr>
          <w:color w:val="00000A"/>
          <w:sz w:val="23"/>
          <w:szCs w:val="23"/>
        </w:rPr>
        <w:t>minulých účtovných období v bežnom účtovnom období s uvedením vplyvu na nerozdelený zisk minulých rokov alebo neuhradenú stratu minulých rokov a pod.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/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b/>
          <w:bCs/>
          <w:color w:val="00000A"/>
          <w:sz w:val="23"/>
          <w:szCs w:val="23"/>
        </w:rPr>
        <w:t xml:space="preserve">Čl. III </w:t>
      </w:r>
    </w:p>
    <w:p>
      <w:pPr>
        <w:pStyle w:val="Default"/>
        <w:jc w:val="both"/>
        <w:rPr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jc w:val="both"/>
        <w:rPr>
          <w:rFonts w:ascii="Times New Roman" w:hAnsi="Times New Roman" w:eastAsia="Calibri" w:cs="Times New Roman"/>
          <w:b/>
          <w:b/>
          <w:bCs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b/>
          <w:bCs/>
          <w:color w:val="00000A"/>
          <w:sz w:val="23"/>
          <w:szCs w:val="23"/>
          <w:lang w:val="sk-SK" w:eastAsia="en-US" w:bidi="ar-SA"/>
        </w:rPr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>(1)</w:t>
      </w:r>
    </w:p>
    <w:p>
      <w:pPr>
        <w:pStyle w:val="Default"/>
        <w:jc w:val="both"/>
        <w:rPr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(2)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Spoločnosť k 31.12.201</w:t>
      </w:r>
      <w:r>
        <w:rPr>
          <w:color w:val="00000A"/>
          <w:sz w:val="23"/>
          <w:szCs w:val="23"/>
        </w:rPr>
        <w:t>5</w:t>
      </w:r>
      <w:r>
        <w:rPr>
          <w:color w:val="00000A"/>
          <w:sz w:val="23"/>
          <w:szCs w:val="23"/>
        </w:rPr>
        <w:t xml:space="preserve"> neeviduje žiadne záväzky. 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8"/>
        <w:jc w:val="both"/>
        <w:rPr/>
      </w:pPr>
      <w:r>
        <w:rPr>
          <w:color w:val="00000A"/>
          <w:sz w:val="23"/>
          <w:szCs w:val="23"/>
        </w:rPr>
        <w:t>(3)</w:t>
      </w:r>
    </w:p>
    <w:p>
      <w:pPr>
        <w:pStyle w:val="Default"/>
        <w:spacing w:before="0" w:after="28"/>
        <w:jc w:val="both"/>
        <w:rPr/>
      </w:pPr>
      <w:r>
        <w:rPr>
          <w:color w:val="00000A"/>
          <w:sz w:val="23"/>
          <w:szCs w:val="23"/>
        </w:rPr>
        <w:t>Spoločnosť nenadobudla žiadne vlastné akcie.</w:t>
      </w:r>
    </w:p>
    <w:p>
      <w:pPr>
        <w:pStyle w:val="Default"/>
        <w:spacing w:before="0" w:after="28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(4)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Spoločnosť neposkytla žiadne záruky alebo iné zabezpečenie, či požičky pre členov štatutárnych orgánu, dozorného orgánu ani iného orgánu Spoločnosti.</w:t>
      </w:r>
    </w:p>
    <w:p>
      <w:pPr>
        <w:pStyle w:val="Default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(5)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Spoločnosť neeviduje žiadne finančné povinnosti, ktoré nie su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>
      <w:pPr>
        <w:pStyle w:val="Default"/>
        <w:spacing w:before="0" w:after="27"/>
        <w:jc w:val="both"/>
        <w:rPr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>
      <w:pPr>
        <w:pStyle w:val="Default"/>
        <w:spacing w:before="0" w:after="27"/>
        <w:jc w:val="both"/>
        <w:rPr>
          <w:rFonts w:ascii="Times New Roman" w:hAnsi="Times New Roman" w:eastAsia="Calibri" w:cs="Times New Roman"/>
          <w:color w:val="00000A"/>
          <w:sz w:val="23"/>
          <w:szCs w:val="23"/>
          <w:lang w:val="sk-SK" w:eastAsia="en-US" w:bidi="ar-SA"/>
        </w:rPr>
      </w:pPr>
      <w:r>
        <w:rPr>
          <w:rFonts w:eastAsia="Calibri" w:cs="Times New Roman"/>
          <w:color w:val="00000A"/>
          <w:sz w:val="23"/>
          <w:szCs w:val="23"/>
          <w:lang w:val="sk-SK" w:eastAsia="en-US" w:bidi="ar-SA"/>
        </w:rPr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7340"/>
      <w:pgMar w:left="791" w:right="843" w:header="993" w:top="2365" w:footer="505" w:bottom="106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Liberation Sans">
    <w:altName w:val="Arial"/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spacing w:before="0" w:after="20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>
        <w:rFonts w:ascii="Times New Roman" w:hAnsi="Times New Roman" w:eastAsia="Calibri" w:cs="Times New Roman"/>
        <w:color w:val="00000A"/>
        <w:sz w:val="24"/>
        <w:szCs w:val="22"/>
        <w:lang w:val="sk-SK" w:eastAsia="en-US" w:bidi="ar-SA"/>
      </w:rPr>
    </w:pPr>
    <w:r>
      <w:rPr>
        <w:rFonts w:eastAsia="Calibri" w:cs="Times New Roman"/>
        <w:color w:val="00000A"/>
        <w:sz w:val="24"/>
        <w:szCs w:val="22"/>
        <w:lang w:val="sk-SK" w:eastAsia="en-US" w:bidi="ar-SA"/>
      </w:rPr>
    </w:r>
  </w:p>
  <w:tbl>
    <w:tblPr>
      <w:tblStyle w:val="TableGrid"/>
      <w:tblW w:w="10373" w:type="dxa"/>
      <w:jc w:val="left"/>
      <w:tblInd w:w="-25" w:type="dxa"/>
      <w:tblCellMar>
        <w:top w:w="0" w:type="dxa"/>
        <w:left w:w="83" w:type="dxa"/>
        <w:bottom w:w="0" w:type="dxa"/>
        <w:right w:w="108" w:type="dxa"/>
      </w:tblCellMar>
    </w:tblPr>
    <w:tblGrid>
      <w:gridCol w:w="2967"/>
      <w:gridCol w:w="1080"/>
      <w:gridCol w:w="270"/>
      <w:gridCol w:w="360"/>
      <w:gridCol w:w="342"/>
      <w:gridCol w:w="374"/>
      <w:gridCol w:w="359"/>
      <w:gridCol w:w="359"/>
      <w:gridCol w:w="360"/>
      <w:gridCol w:w="270"/>
      <w:gridCol w:w="859"/>
      <w:gridCol w:w="281"/>
      <w:gridCol w:w="281"/>
      <w:gridCol w:w="281"/>
      <w:gridCol w:w="281"/>
      <w:gridCol w:w="281"/>
      <w:gridCol w:w="281"/>
      <w:gridCol w:w="283"/>
      <w:gridCol w:w="281"/>
      <w:gridCol w:w="247"/>
      <w:gridCol w:w="273"/>
    </w:tblGrid>
    <w:tr>
      <w:trPr/>
      <w:tc>
        <w:tcPr>
          <w:tcW w:w="2967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/>
            <w:t xml:space="preserve"> </w:t>
          </w: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  <w:insideH w:val="nil"/>
          </w:tcBorders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sz w:val="23"/>
              <w:szCs w:val="23"/>
            </w:rPr>
            <w:t xml:space="preserve">        </w:t>
          </w: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4</w:t>
          </w:r>
        </w:p>
      </w:tc>
      <w:tc>
        <w:tcPr>
          <w:tcW w:w="360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7</w:t>
          </w:r>
        </w:p>
      </w:tc>
      <w:tc>
        <w:tcPr>
          <w:tcW w:w="342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5</w:t>
          </w:r>
        </w:p>
      </w:tc>
      <w:tc>
        <w:tcPr>
          <w:tcW w:w="374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7</w:t>
          </w:r>
        </w:p>
      </w:tc>
      <w:tc>
        <w:tcPr>
          <w:tcW w:w="359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5</w:t>
          </w:r>
        </w:p>
      </w:tc>
      <w:tc>
        <w:tcPr>
          <w:tcW w:w="359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3</w:t>
          </w:r>
        </w:p>
      </w:tc>
      <w:tc>
        <w:tcPr>
          <w:tcW w:w="360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5</w:t>
          </w:r>
        </w:p>
      </w:tc>
      <w:tc>
        <w:tcPr>
          <w:tcW w:w="270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2</w:t>
          </w:r>
        </w:p>
      </w:tc>
      <w:tc>
        <w:tcPr>
          <w:tcW w:w="859" w:type="dxa"/>
          <w:tcBorders>
            <w:top w:val="nil"/>
            <w:bottom w:val="nil"/>
            <w:insideH w:val="nil"/>
          </w:tcBorders>
          <w:shd w:fill="auto" w:val="clear"/>
          <w:tcMar>
            <w:left w:w="83" w:type="dxa"/>
          </w:tcMar>
        </w:tcPr>
        <w:p>
          <w:pPr>
            <w:pStyle w:val="Default"/>
            <w:widowControl/>
            <w:suppressAutoHyphens w:val="true"/>
            <w:bidi w:val="0"/>
            <w:spacing w:lineRule="auto" w:line="240" w:before="0" w:after="0"/>
            <w:ind w:left="180" w:right="0" w:hanging="0"/>
            <w:jc w:val="left"/>
            <w:rPr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2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0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2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4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0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1</w:t>
          </w:r>
        </w:p>
      </w:tc>
      <w:tc>
        <w:tcPr>
          <w:tcW w:w="283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0</w:t>
          </w:r>
        </w:p>
      </w:tc>
      <w:tc>
        <w:tcPr>
          <w:tcW w:w="281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2</w:t>
          </w:r>
        </w:p>
      </w:tc>
      <w:tc>
        <w:tcPr>
          <w:tcW w:w="247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9</w:t>
          </w:r>
        </w:p>
      </w:tc>
      <w:tc>
        <w:tcPr>
          <w:tcW w:w="273" w:type="dxa"/>
          <w:tcBorders/>
          <w:shd w:fill="auto" w:val="clear"/>
          <w:tcMar>
            <w:left w:w="83" w:type="dxa"/>
          </w:tcMar>
        </w:tcPr>
        <w:p>
          <w:pPr>
            <w:pStyle w:val="Default"/>
            <w:spacing w:lineRule="auto" w:line="240" w:before="0" w:after="0"/>
            <w:rPr/>
          </w:pPr>
          <w:r>
            <w:rPr>
              <w:rFonts w:cs="Times New Roman"/>
              <w:color w:val="00000A"/>
              <w:sz w:val="24"/>
              <w:szCs w:val="24"/>
            </w:rPr>
            <w:t>6</w:t>
          </w:r>
        </w:p>
      </w:tc>
    </w:tr>
  </w:tbl>
  <w:p>
    <w:pPr>
      <w:pStyle w:val="Normal"/>
      <w:spacing w:before="0" w:after="200"/>
      <w:rPr>
        <w:rFonts w:ascii="Times New Roman" w:hAnsi="Times New Roman" w:eastAsia="Calibri" w:cs="Times New Roman"/>
        <w:color w:val="00000A"/>
        <w:sz w:val="24"/>
        <w:szCs w:val="22"/>
        <w:lang w:val="sk-SK" w:eastAsia="en-US" w:bidi="ar-SA"/>
      </w:rPr>
    </w:pPr>
    <w:r>
      <w:rPr>
        <w:rFonts w:eastAsia="Calibri" w:cs="Times New Roman"/>
        <w:color w:val="00000A"/>
        <w:sz w:val="24"/>
        <w:szCs w:val="22"/>
        <w:lang w:val="sk-SK" w:eastAsia="en-US" w:bidi="ar-SA"/>
      </w:rPr>
    </w:r>
  </w:p>
</w:hdr>
</file>

<file path=word/settings.xml><?xml version="1.0" encoding="utf-8"?>
<w:settings xmlns:w="http://schemas.openxmlformats.org/wordprocessingml/2006/main">
  <w:zoom w:percent="95"/>
  <w:defaultTabStop w:val="708"/>
  <w:autoHyphenation w:val="false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Calibri" w:cs="Times New Roman"/>
      <w:color w:val="00000A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Emphasis">
    <w:name w:val="Strong Emphasis"/>
    <w:rPr>
      <w:b/>
      <w:bCs/>
    </w:rPr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Droid Sans Fallback" w:cs="Lohit Hindi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ascii="Calibri" w:hAnsi="Calibri" w:cs="Lohit Hind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Lohit Hind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cs="Lohit Hindi"/>
    </w:rPr>
  </w:style>
  <w:style w:type="paragraph" w:styleId="Default" w:customStyle="1">
    <w:name w:val="Default"/>
    <w:qFormat/>
    <w:rsid w:val="005d536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paragraph" w:styleId="TableContents">
    <w:name w:val="Table Contents"/>
    <w:basedOn w:val="Normal"/>
    <w:qFormat/>
    <w:pPr/>
    <w:rPr/>
  </w:style>
  <w:style w:type="paragraph" w:styleId="TableHeading">
    <w:name w:val="Table Heading"/>
    <w:basedOn w:val="TableContents"/>
    <w:qFormat/>
    <w:pPr/>
    <w:rPr/>
  </w:style>
  <w:style w:type="paragraph" w:styleId="Header">
    <w:name w:val="Header"/>
    <w:basedOn w:val="Normal"/>
    <w:pPr/>
    <w:rPr/>
  </w:style>
  <w:style w:type="paragraph" w:styleId="Footer">
    <w:name w:val="Footer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13558</TotalTime>
  <Application>LibreOffice/5.0.5.2$Linux_x86 LibreOffice_project/00m0$Build-2</Application>
  <Paragraphs>108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language>en-US</dc:language>
  <dcterms:modified xsi:type="dcterms:W3CDTF">2016-02-29T10:30:48Z</dcterms:modified>
  <cp:revision>12</cp:revision>
</cp:coreProperties>
</file>