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4DA" w:rsidRDefault="00A66D91">
      <w:pPr>
        <w:pStyle w:val="Default"/>
        <w:rPr>
          <w:b/>
          <w:bCs/>
          <w:color w:val="00000A"/>
          <w:sz w:val="28"/>
          <w:szCs w:val="28"/>
        </w:rPr>
      </w:pPr>
      <w:r>
        <w:rPr>
          <w:b/>
          <w:bCs/>
          <w:color w:val="00000A"/>
          <w:sz w:val="28"/>
          <w:szCs w:val="28"/>
        </w:rPr>
        <w:t>P</w:t>
      </w:r>
      <w:r w:rsidR="00225796">
        <w:rPr>
          <w:b/>
          <w:bCs/>
          <w:color w:val="00000A"/>
          <w:sz w:val="28"/>
          <w:szCs w:val="28"/>
        </w:rPr>
        <w:t>oznámky k Účtovnej závierke 201</w:t>
      </w:r>
      <w:r w:rsidR="00C13757">
        <w:rPr>
          <w:b/>
          <w:bCs/>
          <w:color w:val="00000A"/>
          <w:sz w:val="28"/>
          <w:szCs w:val="28"/>
          <w:lang w:val="en-US"/>
        </w:rPr>
        <w:t>9</w:t>
      </w:r>
      <w:r>
        <w:rPr>
          <w:b/>
          <w:bCs/>
          <w:color w:val="00000A"/>
          <w:sz w:val="28"/>
          <w:szCs w:val="28"/>
        </w:rPr>
        <w:t xml:space="preserve"> MK </w:t>
      </w:r>
      <w:proofErr w:type="spellStart"/>
      <w:r>
        <w:rPr>
          <w:b/>
          <w:bCs/>
          <w:color w:val="00000A"/>
          <w:sz w:val="28"/>
          <w:szCs w:val="28"/>
        </w:rPr>
        <w:t>ProConsult</w:t>
      </w:r>
      <w:proofErr w:type="spellEnd"/>
      <w:r>
        <w:rPr>
          <w:b/>
          <w:bCs/>
          <w:color w:val="00000A"/>
          <w:sz w:val="28"/>
          <w:szCs w:val="28"/>
        </w:rPr>
        <w:t xml:space="preserve"> s.r.o.</w:t>
      </w:r>
    </w:p>
    <w:p w:rsidR="002134DA" w:rsidRDefault="002134DA">
      <w:pPr>
        <w:pStyle w:val="Default"/>
        <w:rPr>
          <w:color w:val="00000A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Všeobecné údaje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(1)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Názov právnickej osoby: MK </w:t>
      </w:r>
      <w:proofErr w:type="spellStart"/>
      <w:r>
        <w:rPr>
          <w:color w:val="00000A"/>
          <w:sz w:val="23"/>
          <w:szCs w:val="23"/>
        </w:rPr>
        <w:t>ProConsult</w:t>
      </w:r>
      <w:proofErr w:type="spellEnd"/>
      <w:r>
        <w:rPr>
          <w:color w:val="00000A"/>
          <w:sz w:val="23"/>
          <w:szCs w:val="23"/>
        </w:rPr>
        <w:t xml:space="preserve"> s.r.o. (ďalej len „Spoločnosť“)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Sídlo: Liptovská 1249/42, 821 09 Bratislava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Účtovná závierka Spoločnosti bola zostavená</w:t>
      </w:r>
      <w:r w:rsidR="007B165F">
        <w:rPr>
          <w:color w:val="00000A"/>
          <w:sz w:val="23"/>
          <w:szCs w:val="23"/>
        </w:rPr>
        <w:t xml:space="preserve"> dňa </w:t>
      </w:r>
      <w:r w:rsidR="002157D1">
        <w:rPr>
          <w:color w:val="00000A"/>
          <w:sz w:val="23"/>
          <w:szCs w:val="23"/>
        </w:rPr>
        <w:t>28</w:t>
      </w:r>
      <w:r w:rsidR="007B165F">
        <w:rPr>
          <w:color w:val="00000A"/>
          <w:sz w:val="23"/>
          <w:szCs w:val="23"/>
        </w:rPr>
        <w:t>.</w:t>
      </w:r>
      <w:r w:rsidR="002157D1">
        <w:rPr>
          <w:color w:val="00000A"/>
          <w:sz w:val="23"/>
          <w:szCs w:val="23"/>
        </w:rPr>
        <w:t>02</w:t>
      </w:r>
      <w:r w:rsidR="007B165F">
        <w:rPr>
          <w:color w:val="00000A"/>
          <w:sz w:val="23"/>
          <w:szCs w:val="23"/>
        </w:rPr>
        <w:t>.20</w:t>
      </w:r>
      <w:r w:rsidR="002157D1">
        <w:rPr>
          <w:color w:val="00000A"/>
          <w:sz w:val="23"/>
          <w:szCs w:val="23"/>
        </w:rPr>
        <w:t>20</w:t>
      </w:r>
      <w:r w:rsidR="000B0B12">
        <w:rPr>
          <w:color w:val="00000A"/>
          <w:sz w:val="23"/>
          <w:szCs w:val="23"/>
        </w:rPr>
        <w:t>,</w:t>
      </w:r>
      <w:r>
        <w:rPr>
          <w:color w:val="00000A"/>
          <w:sz w:val="23"/>
          <w:szCs w:val="23"/>
        </w:rPr>
        <w:t xml:space="preserve"> podľa Opatrenie Ministerstva financií Slovenskej republiky z 31. marca 2003 č. </w:t>
      </w:r>
      <w:r>
        <w:rPr>
          <w:rStyle w:val="StrongEmphasis"/>
          <w:color w:val="00000A"/>
          <w:sz w:val="23"/>
          <w:szCs w:val="23"/>
        </w:rPr>
        <w:t>4455/2003-9</w:t>
      </w:r>
      <w:r w:rsidR="000B0B12">
        <w:rPr>
          <w:rStyle w:val="StrongEmphasis"/>
          <w:color w:val="00000A"/>
          <w:sz w:val="23"/>
          <w:szCs w:val="23"/>
        </w:rPr>
        <w:t>,</w:t>
      </w:r>
      <w:r>
        <w:rPr>
          <w:rStyle w:val="StrongEmphasis"/>
          <w:color w:val="00000A"/>
          <w:sz w:val="23"/>
          <w:szCs w:val="23"/>
        </w:rPr>
        <w:t xml:space="preserve"> </w:t>
      </w:r>
      <w:r>
        <w:rPr>
          <w:color w:val="00000A"/>
          <w:sz w:val="23"/>
          <w:szCs w:val="23"/>
        </w:rPr>
        <w:t>a schválená zodpove</w:t>
      </w:r>
      <w:r w:rsidR="009D0317">
        <w:rPr>
          <w:color w:val="00000A"/>
          <w:sz w:val="23"/>
          <w:szCs w:val="23"/>
        </w:rPr>
        <w:t xml:space="preserve">dnými orgánmi spoločnosti dňa </w:t>
      </w:r>
      <w:r w:rsidR="002157D1">
        <w:rPr>
          <w:color w:val="00000A"/>
          <w:sz w:val="23"/>
          <w:szCs w:val="23"/>
        </w:rPr>
        <w:t>28.02.2020</w:t>
      </w:r>
      <w:r>
        <w:rPr>
          <w:color w:val="00000A"/>
          <w:sz w:val="23"/>
          <w:szCs w:val="23"/>
        </w:rPr>
        <w:t xml:space="preserve">. Vzhľadom k tomu, že Spoločnosť je </w:t>
      </w:r>
      <w:proofErr w:type="spellStart"/>
      <w:r>
        <w:rPr>
          <w:color w:val="00000A"/>
          <w:sz w:val="23"/>
          <w:szCs w:val="23"/>
        </w:rPr>
        <w:t>mikro</w:t>
      </w:r>
      <w:proofErr w:type="spellEnd"/>
      <w:r>
        <w:rPr>
          <w:color w:val="00000A"/>
          <w:sz w:val="23"/>
          <w:szCs w:val="23"/>
        </w:rPr>
        <w:t>-účtovná jednotka súčasťou závierky sú i nasledovné Poznámky.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nie je súčasťou konsolidovaného celku, ani nie je materskou účtovnou jednotkou.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</w:t>
      </w:r>
      <w:r w:rsidR="007B165F">
        <w:rPr>
          <w:color w:val="00000A"/>
          <w:sz w:val="23"/>
          <w:szCs w:val="23"/>
        </w:rPr>
        <w:t>sť nemá a ani nemala v roku 201</w:t>
      </w:r>
      <w:r w:rsidR="002157D1">
        <w:rPr>
          <w:color w:val="00000A"/>
          <w:sz w:val="23"/>
          <w:szCs w:val="23"/>
        </w:rPr>
        <w:t>9</w:t>
      </w:r>
      <w:r>
        <w:rPr>
          <w:color w:val="00000A"/>
          <w:sz w:val="23"/>
          <w:szCs w:val="23"/>
        </w:rPr>
        <w:t xml:space="preserve"> zamestnancov. 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 o prijatých postupoch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Účtovná závierka bola zostavená za predpokladu, že Spoločnosť bude nepretržite pokračovať vo svojej činnosti.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Spôsob oceňovania jednotlivých položiek majetku a záväzkov: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a) dlhodobého nehmotného majetku, dlhodobého hmotného majetku a dlhodobého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nakupovaný sa oceňuje obstarávacou cenou, ktorá zahŕňa cenu obstarania a náklady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súvisiace s obstaraním (clo, prepravu, montáž, poistné a pod.).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Dlhodobý majetok vytvorený vlastnou činnosťou sa oceňuje vlastnými nákladmi. Vlastnými nákladmi sú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všetky priame náklady vynaložené na výrobu alebo inú činnosť a nepriame náklady, ktoré sa vzťahujú na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výrobu alebo inú činnosť.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Cenné papiere a podiely sa oceňujú obstarávacími cenami vrátane nákladov súvisiacich s obstaraním,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b) zásob obstaraných kúpou, zásob vytvorených vlastnou činnosťou: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Zásoby sa oceňujú nižšou z nasledujúcich hodnôt: obstarávacia cena (nakupované zásoby)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vlastné náklady (zásoby vytvorené vlastnou činnosťou) alebo čistá realizačná hodnota.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Nakupované zásoby sa oceňujú váženým aritmetickým priemerom z obstarávacích cien.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hodnoty zásob sa upravuje vytvorením opravnej položky,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c) pohľadávok: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Pohľadávky pri ich vzniku sa oceňujú ich menovitou hodnotou; postúpené pohľadávky a pohľadávky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nadobudnuté vkladom do základného imania sa oceňujú obstarávacou cenou vrátane nákladov súvisiacich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 obstaraním. Toto ocenenie sa znižuje o pochybné a nevymožiteľné pohľadávky,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d) krátkodobého finančného majetku: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Peňažné prostriedky a ceniny sa oceňujú ich menovitou hodnotou.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Zníženie ich hodnoty sa vyjadruje opravnou položkou.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Cenné papiere, dlhové cenná papiere na obchodovanie sa oceňujú obstarávacími cenami vrátane nákladov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súvisiacich s obstaraním,    </w:t>
      </w:r>
      <w:bookmarkStart w:id="0" w:name="_GoBack"/>
      <w:bookmarkEnd w:id="0"/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e) záväzkov vrátane rezerv, dlhopisov, pôžičiek a úverov: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Záväzky pri ich vzniku sa oceňujú menovitou hodnotou. Záväzky pri ich prevzatí sa oceňujú obstarávacou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cenou. Ak sa pri inventarizácii zistí, že suma záväzkov je iná ako ich výška v účtovníctve, uvedú sa záväzky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v účtovníctve a v účtovnej závierke v tomto zistenom ocenení.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Rezervy sú záväzky s neurčitým časovým vymedzením alebo výškou; tvoria sa na krytie známych rizík alebo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strát z podnikania. Oceňujú sa v očakávanej výške záväzku,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f) derivátových operácií: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Deriváty sa oceňujú reálnou hodnotou.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Zmena reálnej hodnoty zabezpečovacích derivátov sa účtuje bez vplyvu na výsledok hospodárenia,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priamo do vlastného imania.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Zmena reálnej hodnoty derivátov určených na obchodovanie na burze alebo verejnom trhu sa účtuje s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 vplyvom na výsledok hospodárenia.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Majetok a záväzky zabezpečené derivátmi sa oceňujú reálnou hodnotou. Zmeny reálnych hodnôt majetku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a záväzkov zabezpečených derivátmi sa účtujú bez vplyvu na výsledok hospodárenia, priamo do vlastného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imania.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Spôsob zostavenia odpisového plánu pre jednotlivé druhy dlhodobého hmotného majetku a dlhodobého nehmotného majetku a odpisové metódy: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Odpisy dlhodobého nehmotného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nehmotný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2400 EUR a nižšia, sa odpisuje jednorazovo pri uvedení do používania.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Odpisy dlhodobého hmotného majetku sú stanovené vychádzajúc z predpokladanej doby jeho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používania a predpokladaného priebehu jeho opotrebenia. Odpisovať sa začína prvým dňom mesiaca 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uvedenia dlhodobého majetku do používania. Drobný dlhodobý hmotný majetok, ktorého obstarávacia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cena (resp. vlastné náklady) je  1700 EUR a nižšia, sa odpisuje jednorazovo pri uvedení do používania. </w:t>
      </w:r>
    </w:p>
    <w:p w:rsidR="002134DA" w:rsidRDefault="002134DA">
      <w:pPr>
        <w:pStyle w:val="Default"/>
        <w:jc w:val="both"/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V priebehu účtovného obdobia Spoločnosť nevykonala žiadne zmeny účtovných zásad, či zmeny účtovných metód.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Informácie o dotáciách a ich oceňovanie v účtovníctve</w:t>
      </w:r>
      <w:r>
        <w:rPr>
          <w:color w:val="00000A"/>
          <w:sz w:val="22"/>
          <w:szCs w:val="22"/>
        </w:rPr>
        <w:t>: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Dotácie na hospodársku činnosť  sa  vykazujú ako výnosy budúcich období a do výkazu ziskov a strát sa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rozpúšťajú ako výnosy z hospodárskej činnosti v časovej a vecnej súvislosti s vynaložením nákladov na 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príslušný účel.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2134DA" w:rsidRDefault="00A66D91">
      <w:pPr>
        <w:pStyle w:val="Default"/>
        <w:jc w:val="both"/>
      </w:pPr>
      <w:r>
        <w:rPr>
          <w:color w:val="00000A"/>
          <w:sz w:val="22"/>
          <w:szCs w:val="22"/>
        </w:rPr>
        <w:t>Spoločnosť v priebehu roka nezískala žiadne dotácie.</w:t>
      </w:r>
    </w:p>
    <w:p w:rsidR="002134DA" w:rsidRDefault="002134DA">
      <w:pPr>
        <w:pStyle w:val="Default"/>
        <w:jc w:val="both"/>
        <w:rPr>
          <w:color w:val="00000A"/>
          <w:sz w:val="22"/>
          <w:szCs w:val="22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(6)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Spoločnosť neeviduje žiadne významné ani iné opravy chýb minulých účtovných období v bežnom účtovnom období s uvedením vplyvu na nerozdelený zisk minulých rokov alebo neuhradenú stratu minulých rokov a pod.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131AD2" w:rsidRDefault="00131AD2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7B165F" w:rsidRDefault="007B165F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Čl. III </w:t>
      </w:r>
    </w:p>
    <w:p w:rsidR="002134DA" w:rsidRDefault="00A66D91">
      <w:pPr>
        <w:pStyle w:val="Default"/>
        <w:jc w:val="both"/>
      </w:pPr>
      <w:r>
        <w:rPr>
          <w:b/>
          <w:bCs/>
          <w:color w:val="00000A"/>
          <w:sz w:val="23"/>
          <w:szCs w:val="23"/>
        </w:rPr>
        <w:t xml:space="preserve">Informácie, ktoré vysvetľujú a dopĺňajú súvahu a výkaz ziskov a strát </w:t>
      </w:r>
    </w:p>
    <w:p w:rsidR="002134DA" w:rsidRDefault="002134DA">
      <w:pPr>
        <w:pStyle w:val="Default"/>
        <w:jc w:val="both"/>
        <w:rPr>
          <w:b/>
          <w:bCs/>
          <w:color w:val="00000A"/>
          <w:sz w:val="23"/>
          <w:szCs w:val="23"/>
        </w:rPr>
      </w:pP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>(1)</w:t>
      </w:r>
    </w:p>
    <w:p w:rsidR="002134DA" w:rsidRDefault="00A66D91">
      <w:pPr>
        <w:pStyle w:val="Default"/>
        <w:jc w:val="both"/>
      </w:pPr>
      <w:r>
        <w:rPr>
          <w:color w:val="00000A"/>
          <w:sz w:val="23"/>
          <w:szCs w:val="23"/>
        </w:rPr>
        <w:t xml:space="preserve">Spoločnosť neúčtovala o žiadnych nákladoch alebo výnosoch, ktoré majú výnimočný rozsah alebo výskyt, napríklad výnosy z predaja podniku alebo časti podniku, náklady z dôvodu predaja podniku alebo časti podniku, škody z dôvodu živelných pohrôm. 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(2)</w:t>
      </w:r>
    </w:p>
    <w:p w:rsidR="00AF21B8" w:rsidRDefault="00131AD2">
      <w:pPr>
        <w:pStyle w:val="Default"/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Spoloč</w:t>
      </w:r>
      <w:r w:rsidR="007B165F">
        <w:rPr>
          <w:color w:val="00000A"/>
          <w:sz w:val="23"/>
          <w:szCs w:val="23"/>
        </w:rPr>
        <w:t>nosť k 31.12.201</w:t>
      </w:r>
      <w:r w:rsidR="002157D1">
        <w:rPr>
          <w:color w:val="00000A"/>
          <w:sz w:val="23"/>
          <w:szCs w:val="23"/>
        </w:rPr>
        <w:t>9</w:t>
      </w:r>
      <w:r>
        <w:rPr>
          <w:color w:val="00000A"/>
          <w:sz w:val="23"/>
          <w:szCs w:val="23"/>
        </w:rPr>
        <w:t xml:space="preserve"> eviduje</w:t>
      </w:r>
      <w:r w:rsidR="00AF21B8">
        <w:rPr>
          <w:color w:val="00000A"/>
          <w:sz w:val="23"/>
          <w:szCs w:val="23"/>
        </w:rPr>
        <w:t xml:space="preserve"> neuhradené</w:t>
      </w:r>
      <w:r>
        <w:rPr>
          <w:color w:val="00000A"/>
          <w:sz w:val="23"/>
          <w:szCs w:val="23"/>
        </w:rPr>
        <w:t xml:space="preserve"> krátkodobé</w:t>
      </w:r>
      <w:r w:rsidR="00A66D91">
        <w:rPr>
          <w:color w:val="00000A"/>
          <w:sz w:val="23"/>
          <w:szCs w:val="23"/>
        </w:rPr>
        <w:t xml:space="preserve"> záväzky</w:t>
      </w:r>
      <w:r>
        <w:rPr>
          <w:color w:val="00000A"/>
          <w:sz w:val="23"/>
          <w:szCs w:val="23"/>
        </w:rPr>
        <w:t xml:space="preserve"> z obchodného styku</w:t>
      </w:r>
      <w:r w:rsidR="00AF21B8">
        <w:rPr>
          <w:color w:val="00000A"/>
          <w:sz w:val="23"/>
          <w:szCs w:val="23"/>
        </w:rPr>
        <w:t>:</w:t>
      </w:r>
    </w:p>
    <w:p w:rsidR="003526F8" w:rsidRDefault="003526F8" w:rsidP="003526F8">
      <w:pPr>
        <w:pStyle w:val="Default"/>
        <w:numPr>
          <w:ilvl w:val="0"/>
          <w:numId w:val="1"/>
        </w:numPr>
        <w:spacing w:after="27"/>
        <w:jc w:val="both"/>
        <w:rPr>
          <w:color w:val="00000A"/>
          <w:sz w:val="23"/>
          <w:szCs w:val="23"/>
        </w:rPr>
      </w:pPr>
      <w:r>
        <w:rPr>
          <w:color w:val="00000A"/>
          <w:sz w:val="23"/>
          <w:szCs w:val="23"/>
        </w:rPr>
        <w:t>Neuhradená faktúra dodávateľ HOUR spol. s </w:t>
      </w:r>
      <w:proofErr w:type="spellStart"/>
      <w:r>
        <w:rPr>
          <w:color w:val="00000A"/>
          <w:sz w:val="23"/>
          <w:szCs w:val="23"/>
        </w:rPr>
        <w:t>r.o</w:t>
      </w:r>
      <w:proofErr w:type="spellEnd"/>
      <w:r>
        <w:rPr>
          <w:color w:val="00000A"/>
          <w:sz w:val="23"/>
          <w:szCs w:val="23"/>
        </w:rPr>
        <w:t xml:space="preserve">. – </w:t>
      </w:r>
      <w:proofErr w:type="spellStart"/>
      <w:r>
        <w:rPr>
          <w:color w:val="00000A"/>
          <w:sz w:val="23"/>
          <w:szCs w:val="23"/>
        </w:rPr>
        <w:t>Úžívanie</w:t>
      </w:r>
      <w:proofErr w:type="spellEnd"/>
      <w:r>
        <w:rPr>
          <w:color w:val="00000A"/>
          <w:sz w:val="23"/>
          <w:szCs w:val="23"/>
        </w:rPr>
        <w:t xml:space="preserve"> SW,  Rok 201</w:t>
      </w:r>
      <w:r w:rsidR="002157D1">
        <w:rPr>
          <w:color w:val="00000A"/>
          <w:sz w:val="23"/>
          <w:szCs w:val="23"/>
        </w:rPr>
        <w:t>9</w:t>
      </w:r>
      <w:r>
        <w:rPr>
          <w:color w:val="00000A"/>
          <w:sz w:val="23"/>
          <w:szCs w:val="23"/>
        </w:rPr>
        <w:t xml:space="preserve"> - v sume </w:t>
      </w:r>
      <w:r w:rsidR="002157D1">
        <w:rPr>
          <w:color w:val="00000A"/>
          <w:sz w:val="23"/>
          <w:szCs w:val="23"/>
        </w:rPr>
        <w:t>3,64</w:t>
      </w:r>
      <w:r>
        <w:rPr>
          <w:color w:val="00000A"/>
          <w:sz w:val="23"/>
          <w:szCs w:val="23"/>
        </w:rPr>
        <w:t xml:space="preserve"> Eur</w:t>
      </w:r>
    </w:p>
    <w:p w:rsidR="003526F8" w:rsidRDefault="003526F8" w:rsidP="003526F8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(3)</w:t>
      </w:r>
    </w:p>
    <w:p w:rsidR="002134DA" w:rsidRDefault="00A66D91">
      <w:pPr>
        <w:pStyle w:val="Default"/>
        <w:spacing w:after="28"/>
        <w:jc w:val="both"/>
      </w:pPr>
      <w:r>
        <w:rPr>
          <w:color w:val="00000A"/>
          <w:sz w:val="23"/>
          <w:szCs w:val="23"/>
        </w:rPr>
        <w:t>Spoločnosť nenadobudla žiadne vlastné akcie.</w:t>
      </w:r>
    </w:p>
    <w:p w:rsidR="002134DA" w:rsidRDefault="002134DA">
      <w:pPr>
        <w:pStyle w:val="Default"/>
        <w:spacing w:after="28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(4)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neposkytla žiadne záruky alebo iné zabezpečenie, či p</w:t>
      </w:r>
      <w:r w:rsidR="00131AD2">
        <w:rPr>
          <w:color w:val="00000A"/>
          <w:sz w:val="23"/>
          <w:szCs w:val="23"/>
        </w:rPr>
        <w:t>ô</w:t>
      </w:r>
      <w:r>
        <w:rPr>
          <w:color w:val="00000A"/>
          <w:sz w:val="23"/>
          <w:szCs w:val="23"/>
        </w:rPr>
        <w:t>žičky pre členov štatutárnych orgánu, dozorného orgánu ani iného orgánu Spoločnosti.</w:t>
      </w:r>
    </w:p>
    <w:p w:rsidR="002134DA" w:rsidRDefault="002134DA">
      <w:pPr>
        <w:pStyle w:val="Default"/>
        <w:jc w:val="both"/>
        <w:rPr>
          <w:color w:val="00000A"/>
          <w:sz w:val="23"/>
          <w:szCs w:val="23"/>
        </w:rPr>
      </w:pP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(5)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 xml:space="preserve">Spoločnosť neeviduje žiadne finančné povinnosti, ktoré nie </w:t>
      </w:r>
      <w:r w:rsidR="000B0B12">
        <w:rPr>
          <w:color w:val="00000A"/>
          <w:sz w:val="23"/>
          <w:szCs w:val="23"/>
        </w:rPr>
        <w:t>sú</w:t>
      </w:r>
      <w:r>
        <w:rPr>
          <w:color w:val="00000A"/>
          <w:sz w:val="23"/>
          <w:szCs w:val="23"/>
        </w:rPr>
        <w:t xml:space="preserve"> vykázané v súvahe, ale boli by významné na posúdenie finančnej situácie Spoločnosti (ako napr.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a pod.).</w:t>
      </w:r>
    </w:p>
    <w:p w:rsidR="002134DA" w:rsidRDefault="00A66D91">
      <w:pPr>
        <w:pStyle w:val="Default"/>
        <w:spacing w:after="27"/>
        <w:jc w:val="both"/>
      </w:pPr>
      <w:r>
        <w:rPr>
          <w:color w:val="00000A"/>
          <w:sz w:val="23"/>
          <w:szCs w:val="23"/>
        </w:rPr>
        <w:t>Spoločnosť taktiež neeviduje ani akékoľvek podmienené záväzky.</w:t>
      </w:r>
    </w:p>
    <w:p w:rsidR="002134DA" w:rsidRDefault="002134DA">
      <w:pPr>
        <w:pStyle w:val="Default"/>
        <w:spacing w:after="27"/>
        <w:jc w:val="both"/>
        <w:rPr>
          <w:color w:val="00000A"/>
          <w:sz w:val="23"/>
          <w:szCs w:val="23"/>
        </w:rPr>
      </w:pPr>
    </w:p>
    <w:p w:rsidR="002134DA" w:rsidRDefault="002134DA">
      <w:pPr>
        <w:jc w:val="both"/>
      </w:pPr>
    </w:p>
    <w:sectPr w:rsidR="002134DA" w:rsidSect="002134DA">
      <w:headerReference w:type="default" r:id="rId7"/>
      <w:footerReference w:type="default" r:id="rId8"/>
      <w:pgSz w:w="11906" w:h="17340"/>
      <w:pgMar w:top="2365" w:right="843" w:bottom="1064" w:left="791" w:header="993" w:footer="505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50B7" w:rsidRDefault="009C50B7" w:rsidP="002134DA">
      <w:pPr>
        <w:spacing w:after="0" w:line="240" w:lineRule="auto"/>
      </w:pPr>
      <w:r>
        <w:separator/>
      </w:r>
    </w:p>
  </w:endnote>
  <w:endnote w:type="continuationSeparator" w:id="0">
    <w:p w:rsidR="009C50B7" w:rsidRDefault="009C50B7" w:rsidP="00213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01"/>
    <w:family w:val="swiss"/>
    <w:pitch w:val="default"/>
  </w:font>
  <w:font w:name="Droid Sans Fallback">
    <w:panose1 w:val="00000000000000000000"/>
    <w:charset w:val="00"/>
    <w:family w:val="roman"/>
    <w:notTrueType/>
    <w:pitch w:val="default"/>
  </w:font>
  <w:font w:name="Lohit Hind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83651A">
    <w:pPr>
      <w:pStyle w:val="Pta1"/>
      <w:jc w:val="right"/>
    </w:pPr>
    <w:r>
      <w:fldChar w:fldCharType="begin"/>
    </w:r>
    <w:r w:rsidR="00A66D91">
      <w:instrText>PAGE</w:instrText>
    </w:r>
    <w:r>
      <w:fldChar w:fldCharType="separate"/>
    </w:r>
    <w:r w:rsidR="007B165F">
      <w:rPr>
        <w:noProof/>
      </w:rP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50B7" w:rsidRDefault="009C50B7" w:rsidP="002134DA">
      <w:pPr>
        <w:spacing w:after="0" w:line="240" w:lineRule="auto"/>
      </w:pPr>
      <w:r>
        <w:separator/>
      </w:r>
    </w:p>
  </w:footnote>
  <w:footnote w:type="continuationSeparator" w:id="0">
    <w:p w:rsidR="009C50B7" w:rsidRDefault="009C50B7" w:rsidP="002134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34DA" w:rsidRDefault="002134DA">
    <w:pPr>
      <w:pStyle w:val="Hlavika1"/>
    </w:pPr>
  </w:p>
  <w:tbl>
    <w:tblPr>
      <w:tblStyle w:val="Mriekatabuky"/>
      <w:tblW w:w="10373" w:type="dxa"/>
      <w:tblInd w:w="-25" w:type="dxa"/>
      <w:tblCellMar>
        <w:left w:w="83" w:type="dxa"/>
      </w:tblCellMar>
      <w:tblLook w:val="04A0" w:firstRow="1" w:lastRow="0" w:firstColumn="1" w:lastColumn="0" w:noHBand="0" w:noVBand="1"/>
    </w:tblPr>
    <w:tblGrid>
      <w:gridCol w:w="2685"/>
      <w:gridCol w:w="1004"/>
      <w:gridCol w:w="311"/>
      <w:gridCol w:w="352"/>
      <w:gridCol w:w="337"/>
      <w:gridCol w:w="364"/>
      <w:gridCol w:w="351"/>
      <w:gridCol w:w="351"/>
      <w:gridCol w:w="352"/>
      <w:gridCol w:w="311"/>
      <w:gridCol w:w="845"/>
      <w:gridCol w:w="311"/>
      <w:gridCol w:w="311"/>
      <w:gridCol w:w="311"/>
      <w:gridCol w:w="311"/>
      <w:gridCol w:w="311"/>
      <w:gridCol w:w="311"/>
      <w:gridCol w:w="311"/>
      <w:gridCol w:w="311"/>
      <w:gridCol w:w="311"/>
      <w:gridCol w:w="311"/>
    </w:tblGrid>
    <w:tr w:rsidR="002134DA">
      <w:tc>
        <w:tcPr>
          <w:tcW w:w="296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Poznámky Úč MÚJ 3 – 01</w:t>
          </w:r>
        </w:p>
      </w:tc>
      <w:tc>
        <w:tcPr>
          <w:tcW w:w="1080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sz w:val="23"/>
              <w:szCs w:val="23"/>
            </w:rPr>
            <w:t>IČO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42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74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7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359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3</w:t>
          </w:r>
        </w:p>
      </w:tc>
      <w:tc>
        <w:tcPr>
          <w:tcW w:w="36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5</w:t>
          </w:r>
        </w:p>
      </w:tc>
      <w:tc>
        <w:tcPr>
          <w:tcW w:w="270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859" w:type="dxa"/>
          <w:tcBorders>
            <w:top w:val="nil"/>
            <w:bottom w:val="nil"/>
          </w:tcBorders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  <w:ind w:left="180"/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4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1</w:t>
          </w:r>
        </w:p>
      </w:tc>
      <w:tc>
        <w:tcPr>
          <w:tcW w:w="28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0</w:t>
          </w:r>
        </w:p>
      </w:tc>
      <w:tc>
        <w:tcPr>
          <w:tcW w:w="281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2</w:t>
          </w:r>
        </w:p>
      </w:tc>
      <w:tc>
        <w:tcPr>
          <w:tcW w:w="247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9</w:t>
          </w:r>
        </w:p>
      </w:tc>
      <w:tc>
        <w:tcPr>
          <w:tcW w:w="273" w:type="dxa"/>
          <w:shd w:val="clear" w:color="auto" w:fill="auto"/>
          <w:tcMar>
            <w:left w:w="83" w:type="dxa"/>
          </w:tcMar>
        </w:tcPr>
        <w:p w:rsidR="002134DA" w:rsidRDefault="00A66D91">
          <w:pPr>
            <w:pStyle w:val="Default"/>
          </w:pPr>
          <w:r>
            <w:rPr>
              <w:color w:val="00000A"/>
            </w:rPr>
            <w:t>6</w:t>
          </w:r>
        </w:p>
      </w:tc>
    </w:tr>
  </w:tbl>
  <w:p w:rsidR="002134DA" w:rsidRDefault="002134D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95DF7"/>
    <w:multiLevelType w:val="hybridMultilevel"/>
    <w:tmpl w:val="C3F42482"/>
    <w:lvl w:ilvl="0" w:tplc="9588F4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34DA"/>
    <w:rsid w:val="000B0B12"/>
    <w:rsid w:val="00131AD2"/>
    <w:rsid w:val="002134DA"/>
    <w:rsid w:val="002157D1"/>
    <w:rsid w:val="00225796"/>
    <w:rsid w:val="003526F8"/>
    <w:rsid w:val="00395DA5"/>
    <w:rsid w:val="004F4FCA"/>
    <w:rsid w:val="00543D10"/>
    <w:rsid w:val="006225C2"/>
    <w:rsid w:val="007B165F"/>
    <w:rsid w:val="0083651A"/>
    <w:rsid w:val="00904664"/>
    <w:rsid w:val="009C50B7"/>
    <w:rsid w:val="009D0317"/>
    <w:rsid w:val="00A021BA"/>
    <w:rsid w:val="00A66D91"/>
    <w:rsid w:val="00AF21B8"/>
    <w:rsid w:val="00C13757"/>
    <w:rsid w:val="00F95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29A13"/>
  <w15:docId w15:val="{EE7BCCF4-B302-46C6-A980-DC9C6CD2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104CBE"/>
    <w:pPr>
      <w:suppressAutoHyphens/>
      <w:spacing w:after="200"/>
    </w:pPr>
    <w:rPr>
      <w:rFonts w:ascii="Times New Roman" w:hAnsi="Times New Roman" w:cs="Times New Roman"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trongEmphasis">
    <w:name w:val="Strong Emphasis"/>
    <w:rsid w:val="002134DA"/>
    <w:rPr>
      <w:b/>
      <w:bCs/>
    </w:rPr>
  </w:style>
  <w:style w:type="paragraph" w:customStyle="1" w:styleId="Heading">
    <w:name w:val="Heading"/>
    <w:basedOn w:val="Normlny"/>
    <w:next w:val="TextBody"/>
    <w:qFormat/>
    <w:rsid w:val="002134DA"/>
    <w:pPr>
      <w:keepNext/>
      <w:spacing w:before="240" w:after="120"/>
    </w:pPr>
    <w:rPr>
      <w:rFonts w:ascii="Liberation Sans" w:eastAsia="Droid Sans Fallback" w:hAnsi="Liberation Sans" w:cs="Lohit Hindi"/>
      <w:sz w:val="28"/>
      <w:szCs w:val="28"/>
    </w:rPr>
  </w:style>
  <w:style w:type="paragraph" w:customStyle="1" w:styleId="TextBody">
    <w:name w:val="Text Body"/>
    <w:basedOn w:val="Normlny"/>
    <w:rsid w:val="002134DA"/>
    <w:pPr>
      <w:spacing w:after="140" w:line="288" w:lineRule="auto"/>
    </w:pPr>
  </w:style>
  <w:style w:type="paragraph" w:styleId="Zoznam">
    <w:name w:val="List"/>
    <w:basedOn w:val="TextBody"/>
    <w:rsid w:val="002134DA"/>
    <w:rPr>
      <w:rFonts w:ascii="Calibri" w:hAnsi="Calibri" w:cs="Lohit Hindi"/>
    </w:rPr>
  </w:style>
  <w:style w:type="paragraph" w:customStyle="1" w:styleId="Popis1">
    <w:name w:val="Popis1"/>
    <w:basedOn w:val="Normlny"/>
    <w:qFormat/>
    <w:rsid w:val="002134DA"/>
    <w:pPr>
      <w:suppressLineNumbers/>
      <w:spacing w:before="120" w:after="120"/>
    </w:pPr>
    <w:rPr>
      <w:rFonts w:ascii="Calibri" w:hAnsi="Calibri" w:cs="Lohit Hindi"/>
      <w:i/>
      <w:iCs/>
      <w:szCs w:val="24"/>
    </w:rPr>
  </w:style>
  <w:style w:type="paragraph" w:customStyle="1" w:styleId="Index">
    <w:name w:val="Index"/>
    <w:basedOn w:val="Normlny"/>
    <w:qFormat/>
    <w:rsid w:val="002134DA"/>
    <w:pPr>
      <w:suppressLineNumbers/>
    </w:pPr>
    <w:rPr>
      <w:rFonts w:ascii="Calibri" w:hAnsi="Calibri" w:cs="Lohit Hindi"/>
    </w:rPr>
  </w:style>
  <w:style w:type="paragraph" w:customStyle="1" w:styleId="Default">
    <w:name w:val="Default"/>
    <w:qFormat/>
    <w:rsid w:val="005D536A"/>
    <w:pPr>
      <w:suppressAutoHyphens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Contents">
    <w:name w:val="Table Contents"/>
    <w:basedOn w:val="Normlny"/>
    <w:qFormat/>
    <w:rsid w:val="002134DA"/>
  </w:style>
  <w:style w:type="paragraph" w:customStyle="1" w:styleId="TableHeading">
    <w:name w:val="Table Heading"/>
    <w:basedOn w:val="TableContents"/>
    <w:qFormat/>
    <w:rsid w:val="002134DA"/>
  </w:style>
  <w:style w:type="paragraph" w:customStyle="1" w:styleId="Hlavika1">
    <w:name w:val="Hlavička1"/>
    <w:basedOn w:val="Normlny"/>
    <w:rsid w:val="002134DA"/>
  </w:style>
  <w:style w:type="paragraph" w:customStyle="1" w:styleId="Pta1">
    <w:name w:val="Päta1"/>
    <w:basedOn w:val="Normlny"/>
    <w:rsid w:val="002134DA"/>
  </w:style>
  <w:style w:type="table" w:styleId="Mriekatabuky">
    <w:name w:val="Table Grid"/>
    <w:basedOn w:val="Normlnatabuka"/>
    <w:uiPriority w:val="59"/>
    <w:rsid w:val="005D536A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977</Words>
  <Characters>5574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Matej Kolarovsky</cp:lastModifiedBy>
  <cp:revision>5</cp:revision>
  <dcterms:created xsi:type="dcterms:W3CDTF">2020-03-25T20:37:00Z</dcterms:created>
  <dcterms:modified xsi:type="dcterms:W3CDTF">2020-03-26T20:03:00Z</dcterms:modified>
  <dc:language>en-US</dc:language>
</cp:coreProperties>
</file>