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36"/>
          <w:shd w:fill="auto" w:val="clear"/>
        </w:rPr>
        <w:t xml:space="preserve">Poznámky k 31.12.2019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UŠAK, s.r.o.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Uho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ľná  148/14,  05401 Levoča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47207744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2023901044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DI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 DPH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Právny dôvod na zostavenie ú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X    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    mimoriadna 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2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Prípravné práce k realizácii stavby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9"/>
        </w:numPr>
        <w:tabs>
          <w:tab w:val="left" w:pos="284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8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Ušak Rastislav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Konate</w:t>
            </w:r>
            <w:r>
              <w:rPr>
                <w:rFonts w:ascii="Courier New" w:hAnsi="Courier New" w:cs="Courier New" w:eastAsia="Courier New"/>
                <w:color w:val="auto"/>
                <w:spacing w:val="0"/>
                <w:position w:val="0"/>
                <w:sz w:val="24"/>
                <w:shd w:fill="auto" w:val="clear"/>
              </w:rPr>
              <w:t xml:space="preserve">ľ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UŠAK   s.r.o,  Uho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ľná  148/14, 05401  levoča, vznikla zápisom do Obchodného registra dňa 12.10.2013 podľa § 8 odst. 1 zákona č.530/2003 Z.z. o Obchodnom registri a o zmene a doplnení niektorých zákonov.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Spolo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čnosť podľa tohto zákona vznikla ako spoločnosť s právnou subjektivitou a v roku 2015 začala evidenciu účtovníctva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Otvorenie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čtovných kníh a jeho účtovanie bolo vedené podľa  zákona o účtovnícve  431/2002  Z.z.  v sústave podvojného účtovníctva.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jednotka, UŠAK s.r.o., sa zatriedi do veľkostnej skupiny podľa vlastného rozhodnutia a zostáva v tejto veľkostnej skupine aj v bezprostredne nasledujúcom účtovnom období.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Zatriedenie:  ako  MIKRO 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pageBreakBefore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čtovných zasadách a účtovných metódach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00" w:after="10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čtovná jednotka účtuje v sústave podvojného účtovníctva podľa platných predpisov. Predmetom účtovníctva je účtovanie skutočností o:  </w:t>
        <w:br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stave a pohybe majetku,  </w:t>
        <w:br/>
        <w:t xml:space="preserve">- stave a pohybe záväzkov,  </w:t>
        <w:br/>
        <w:t xml:space="preserve">- rozdiele majetku a záväzkov,  </w:t>
        <w:br/>
        <w:t xml:space="preserve">- výnosoch,  </w:t>
        <w:br/>
        <w:t xml:space="preserve">- nákladoch,  </w:t>
        <w:br/>
        <w:t xml:space="preserve">- výsledku hospodárenia  </w:t>
      </w:r>
    </w:p>
    <w:p>
      <w:pPr>
        <w:spacing w:before="0" w:after="0" w:line="240"/>
        <w:ind w:right="0" w:left="0" w:firstLine="72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majetok</w:t>
        <w:tab/>
        <w:tab/>
        <w:tab/>
        <w:tab/>
        <w:tab/>
        <w:tab/>
        <w:t xml:space="preserve">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4906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Obežný majetok</w:t>
        <w:tab/>
        <w:tab/>
        <w:tab/>
        <w:tab/>
        <w:tab/>
        <w:tab/>
        <w:t xml:space="preserve">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4906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Krátkodobé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</w:t>
        <w:tab/>
        <w:tab/>
        <w:tab/>
        <w:tab/>
        <w:t xml:space="preserve">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poh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ľadávky z obchodného styku</w:t>
        <w:tab/>
        <w:tab/>
        <w:t xml:space="preserve">          0.-€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čné účty súčet</w:t>
        <w:tab/>
        <w:tab/>
        <w:tab/>
        <w:tab/>
        <w:tab/>
        <w:t xml:space="preserve">    4906.-€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Peniaze</w:t>
        <w:tab/>
        <w:tab/>
        <w:tab/>
        <w:tab/>
        <w:tab/>
        <w:tab/>
        <w:tab/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2590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-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čty v bankách                            2316.-E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pasív súvahy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1. Spolu vlastné imanie a záväzky</w:t>
        <w:tab/>
        <w:tab/>
        <w:tab/>
        <w:t xml:space="preserve">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4906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2. Vlastné imanie</w:t>
        <w:tab/>
        <w:tab/>
        <w:tab/>
        <w:tab/>
        <w:t xml:space="preserve">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4906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3. Výsledok hospodárenia za 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čtovné obdobie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po zdanení</w:t>
        <w:tab/>
        <w:tab/>
        <w:tab/>
        <w:tab/>
        <w:tab/>
        <w:tab/>
        <w:tab/>
        <w:t xml:space="preserve">     -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737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4. Záväzky</w:t>
        <w:tab/>
        <w:tab/>
        <w:tab/>
        <w:tab/>
        <w:tab/>
        <w:tab/>
        <w:tab/>
        <w:tab/>
        <w:t xml:space="preserve">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5. Dlhodobé rezervy</w:t>
        <w:tab/>
        <w:tab/>
        <w:tab/>
        <w:tab/>
        <w:tab/>
        <w:tab/>
        <w:t xml:space="preserve">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zákonné rezervy</w:t>
        <w:tab/>
        <w:tab/>
        <w:tab/>
        <w:tab/>
        <w:tab/>
        <w:tab/>
        <w:t xml:space="preserve">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6. Krátkodobé záväzky sú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čet</w:t>
        <w:tab/>
        <w:tab/>
        <w:tab/>
        <w:tab/>
        <w:t xml:space="preserve">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vo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 zamestnancom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záväzky zo sociálneho poistenia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ňové záväzky</w:t>
        <w:tab/>
        <w:tab/>
        <w:tab/>
        <w:tab/>
        <w:tab/>
        <w:t xml:space="preserve">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0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</w:t>
        <w:tab/>
        <w:tab/>
        <w:tab/>
        <w:tab/>
        <w:tab/>
        <w:tab/>
        <w:tab/>
        <w:tab/>
        <w:t xml:space="preserve">   25790.-</w:t>
        <w:tab/>
        <w:tab/>
        <w:tab/>
        <w:tab/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hospodárskej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činnosti</w:t>
        <w:tab/>
        <w:tab/>
        <w:tab/>
        <w:t xml:space="preserve">        25790.-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4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tržby za vlastné výrobky            </w:t>
        <w:tab/>
        <w:tab/>
        <w:t xml:space="preserve">   25790,-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/601/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- ostatné výnosy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/652/             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Výnosy z 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ab/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výnosové úroky</w:t>
        <w:tab/>
        <w:tab/>
        <w:tab/>
        <w:tab/>
        <w:tab/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výnosové úroky /662 /</w:t>
        <w:tab/>
        <w:tab/>
        <w:tab/>
        <w:tab/>
        <w:t xml:space="preserve">         0-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7"/>
        </w:numPr>
        <w:tabs>
          <w:tab w:val="left" w:pos="0" w:leader="none"/>
        </w:tabs>
        <w:suppressAutoHyphens w:val="true"/>
        <w:spacing w:before="0" w:after="0" w:line="240"/>
        <w:ind w:right="0" w:left="284" w:hanging="284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</w:t>
        <w:tab/>
        <w:tab/>
        <w:tab/>
        <w:tab/>
        <w:tab/>
        <w:t xml:space="preserve">                  26441.- €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hospodársku 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činnosť</w:t>
        <w:tab/>
        <w:tab/>
        <w:tab/>
        <w:t xml:space="preserve">        26441.-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60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spotreba materiálu, energie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a ostatných neskladovate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ľných dodávok</w:t>
        <w:tab/>
        <w:tab/>
        <w:t xml:space="preserve">     807.-€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/501, 502, 503/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                                       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služby /518,512/  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25161.-€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mzdové náklady /521/                         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473.-€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náklady na sociálne poistenie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5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24/                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dane a poplatky /531/</w:t>
        <w:tab/>
        <w:tab/>
        <w:tab/>
        <w:t xml:space="preserve">               166.-€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Náklady na finan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ab/>
        <w:tab/>
        <w:tab/>
        <w:tab/>
        <w:t xml:space="preserve">    86,-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- ostatné náklady na 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čnú činnosť</w:t>
        <w:tab/>
        <w:t xml:space="preserve">              86.- €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 /568/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8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-737.- €</w:t>
      </w:r>
    </w:p>
    <w:p>
      <w:pPr>
        <w:spacing w:before="0" w:after="0" w:line="240"/>
        <w:ind w:right="0" w:left="72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pred zdanením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hospodárskej 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činnosti  </w:t>
        <w:tab/>
        <w:t xml:space="preserve">    -737.- € 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Výsledok hospodárenia z finan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čnej činnosti</w:t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Da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ň z príjmov splatná</w:t>
        <w:tab/>
        <w:tab/>
        <w:tab/>
        <w:tab/>
        <w:tab/>
        <w:tab/>
        <w:t xml:space="preserve">         0.- €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1"/>
        </w:numPr>
        <w:tabs>
          <w:tab w:val="left" w:pos="0" w:leader="none"/>
        </w:tabs>
        <w:spacing w:before="0" w:after="0" w:line="240"/>
        <w:ind w:right="0" w:left="720" w:hanging="36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Výsledok hospodárenia za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čtovné obdobie</w:t>
        <w:tab/>
        <w:t xml:space="preserve">     -737.- </w:t>
      </w: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   po zdanení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ku ktorému sa zostavuje ú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čtovná závierka 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ourier New" w:hAnsi="Courier New" w:cs="Courier New" w:eastAsia="Courier New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20"/>
        <w:jc w:val="both"/>
        <w:rPr>
          <w:rFonts w:ascii="Courier New" w:hAnsi="Courier New" w:cs="Courier New" w:eastAsia="Courier New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Po 31. decembri 201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8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 nenastali také udalosti, ktoré by si vyžadovali zverejnenie alebo vykázanie v ú</w:t>
      </w:r>
      <w:r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  <w:t xml:space="preserve">čtovnej závierke za rok 2019.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abstractNum w:abstractNumId="25">
    <w:lvl w:ilvl="0">
      <w:start w:val="1"/>
      <w:numFmt w:val="decimal"/>
      <w:lvlText w:val="%1."/>
    </w:lvl>
  </w:abstractNum>
  <w:abstractNum w:abstractNumId="6">
    <w:lvl w:ilvl="0">
      <w:start w:val="1"/>
      <w:numFmt w:val="bullet"/>
      <w:lvlText w:val="•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num w:numId="5">
    <w:abstractNumId w:val="37"/>
  </w:num>
  <w:num w:numId="22">
    <w:abstractNumId w:val="31"/>
  </w:num>
  <w:num w:numId="29">
    <w:abstractNumId w:val="25"/>
  </w:num>
  <w:num w:numId="50">
    <w:abstractNumId w:val="19"/>
  </w:num>
  <w:num w:numId="54">
    <w:abstractNumId w:val="6"/>
  </w:num>
  <w:num w:numId="57">
    <w:abstractNumId w:val="13"/>
  </w:num>
  <w:num w:numId="60">
    <w:abstractNumId w:val="0"/>
  </w:num>
  <w:num w:numId="68">
    <w:abstractNumId w:val="7"/>
  </w:num>
  <w:num w:numId="71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