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D0101" w:rsidRPr="005877C7" w:rsidRDefault="00CD0101" w:rsidP="00CD0101">
      <w:pPr>
        <w:spacing w:after="0" w:line="276" w:lineRule="auto"/>
        <w:rPr>
          <w:rFonts w:ascii="Times New Roman" w:hAnsi="Times New Roman" w:cs="Times New Roman"/>
          <w:b/>
          <w:color w:val="4472C4" w:themeColor="accent1"/>
        </w:rPr>
      </w:pPr>
      <w:r w:rsidRPr="005877C7">
        <w:rPr>
          <w:rFonts w:ascii="Times New Roman" w:hAnsi="Times New Roman" w:cs="Times New Roman"/>
          <w:b/>
          <w:color w:val="4472C4" w:themeColor="accent1"/>
        </w:rPr>
        <w:t>Čl. I </w:t>
      </w:r>
      <w:r w:rsidRPr="005877C7">
        <w:rPr>
          <w:rFonts w:ascii="Times New Roman" w:hAnsi="Times New Roman" w:cs="Times New Roman"/>
          <w:b/>
          <w:color w:val="4472C4" w:themeColor="accent1"/>
        </w:rPr>
        <w:tab/>
        <w:t>Všeobecné informácie</w:t>
      </w:r>
    </w:p>
    <w:p w:rsidR="00CD0101" w:rsidRPr="002E2695" w:rsidRDefault="00CD0101" w:rsidP="00CD0101">
      <w:pPr>
        <w:spacing w:after="0" w:line="276" w:lineRule="auto"/>
        <w:jc w:val="center"/>
        <w:rPr>
          <w:rFonts w:ascii="Times New Roman" w:hAnsi="Times New Roman" w:cs="Times New Roman"/>
          <w:b/>
        </w:rPr>
      </w:pPr>
    </w:p>
    <w:p w:rsidR="00CD0101" w:rsidRPr="00F730ED" w:rsidRDefault="00CD0101" w:rsidP="00CD0101">
      <w:pPr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F730ED">
        <w:rPr>
          <w:rFonts w:ascii="Times New Roman" w:hAnsi="Times New Roman" w:cs="Times New Roman"/>
          <w:b/>
        </w:rPr>
        <w:t xml:space="preserve">I.1 </w:t>
      </w:r>
      <w:r w:rsidRPr="00F730ED">
        <w:rPr>
          <w:rFonts w:ascii="Times New Roman" w:hAnsi="Times New Roman" w:cs="Times New Roman"/>
          <w:b/>
        </w:rPr>
        <w:tab/>
        <w:t>Obchodné meno účtovnej jednotky:</w:t>
      </w:r>
    </w:p>
    <w:p w:rsidR="00CD0101" w:rsidRPr="00F730ED" w:rsidRDefault="00CD0101" w:rsidP="00CD0101">
      <w:pPr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F730ED">
        <w:rPr>
          <w:rFonts w:ascii="Times New Roman" w:hAnsi="Times New Roman" w:cs="Times New Roman"/>
          <w:b/>
        </w:rPr>
        <w:tab/>
      </w:r>
      <w:r w:rsidR="00A910FC">
        <w:rPr>
          <w:rFonts w:ascii="Times New Roman" w:hAnsi="Times New Roman" w:cs="Times New Roman"/>
        </w:rPr>
        <w:t>BELLA VITA Slovakia</w:t>
      </w:r>
      <w:r>
        <w:rPr>
          <w:rFonts w:ascii="Times New Roman" w:hAnsi="Times New Roman" w:cs="Times New Roman"/>
        </w:rPr>
        <w:t xml:space="preserve">  s.r.o.</w:t>
      </w:r>
    </w:p>
    <w:p w:rsidR="00CD0101" w:rsidRPr="00F730ED" w:rsidRDefault="00CD0101" w:rsidP="00CD0101">
      <w:pPr>
        <w:pStyle w:val="Odsekzoznamu"/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F730ED">
        <w:rPr>
          <w:rFonts w:ascii="Times New Roman" w:hAnsi="Times New Roman" w:cs="Times New Roman"/>
          <w:b/>
        </w:rPr>
        <w:t>Sídlo účtovnej jednotky:</w:t>
      </w:r>
    </w:p>
    <w:p w:rsidR="00CD0101" w:rsidRDefault="00A910FC" w:rsidP="00CD0101">
      <w:pPr>
        <w:pStyle w:val="Odsekzoznamu"/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Štvrť SNP 998/28</w:t>
      </w:r>
    </w:p>
    <w:p w:rsidR="00CD0101" w:rsidRDefault="00A910FC" w:rsidP="00CD0101">
      <w:pPr>
        <w:pStyle w:val="Odsekzoznamu"/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924 01 Galanta</w:t>
      </w:r>
    </w:p>
    <w:p w:rsidR="00CD0101" w:rsidRPr="00F730ED" w:rsidRDefault="00CD0101" w:rsidP="00CD0101">
      <w:pPr>
        <w:pStyle w:val="Odsekzoznamu"/>
        <w:spacing w:after="0" w:line="276" w:lineRule="auto"/>
        <w:jc w:val="both"/>
        <w:rPr>
          <w:rFonts w:ascii="Times New Roman" w:hAnsi="Times New Roman" w:cs="Times New Roman"/>
        </w:rPr>
      </w:pPr>
    </w:p>
    <w:p w:rsidR="00CD0101" w:rsidRPr="00F730ED" w:rsidRDefault="00CD0101" w:rsidP="00CD0101">
      <w:pPr>
        <w:pStyle w:val="Odsekzoznamu"/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F730ED">
        <w:rPr>
          <w:rFonts w:ascii="Times New Roman" w:hAnsi="Times New Roman" w:cs="Times New Roman"/>
          <w:b/>
        </w:rPr>
        <w:t>Opis hospodárskej činnosti účtovnej jednotky:</w:t>
      </w:r>
    </w:p>
    <w:p w:rsidR="00CD0101" w:rsidRDefault="00CD0101" w:rsidP="00CD0101">
      <w:pPr>
        <w:pStyle w:val="Odsekzoznamu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Sprostredkovateľská činnosť v oblasti </w:t>
      </w:r>
      <w:r w:rsidR="00A910FC">
        <w:rPr>
          <w:rFonts w:ascii="Times New Roman" w:hAnsi="Times New Roman" w:cs="Times New Roman"/>
        </w:rPr>
        <w:t>lužieb</w:t>
      </w:r>
    </w:p>
    <w:p w:rsidR="00CD0101" w:rsidRPr="00F730ED" w:rsidRDefault="00CD0101" w:rsidP="00CD0101">
      <w:pPr>
        <w:pStyle w:val="Odsekzoznamu"/>
        <w:spacing w:after="0" w:line="276" w:lineRule="auto"/>
        <w:ind w:left="0"/>
        <w:jc w:val="both"/>
        <w:rPr>
          <w:rFonts w:ascii="Times New Roman" w:hAnsi="Times New Roman" w:cs="Times New Roman"/>
          <w:b/>
        </w:rPr>
      </w:pPr>
    </w:p>
    <w:p w:rsidR="00CD0101" w:rsidRPr="00F730ED" w:rsidRDefault="00CD0101" w:rsidP="00CD0101">
      <w:pPr>
        <w:pStyle w:val="Odsekzoznamu"/>
        <w:spacing w:after="0" w:line="276" w:lineRule="auto"/>
        <w:ind w:left="0"/>
        <w:jc w:val="both"/>
        <w:rPr>
          <w:rFonts w:ascii="Times New Roman" w:hAnsi="Times New Roman" w:cs="Times New Roman"/>
          <w:b/>
        </w:rPr>
      </w:pPr>
    </w:p>
    <w:p w:rsidR="00CD0101" w:rsidRPr="00F730ED" w:rsidRDefault="00CD0101" w:rsidP="00CD0101">
      <w:pPr>
        <w:pStyle w:val="Odsekzoznamu"/>
        <w:spacing w:after="0" w:line="276" w:lineRule="auto"/>
        <w:ind w:left="0"/>
        <w:jc w:val="both"/>
        <w:rPr>
          <w:rFonts w:ascii="Times New Roman" w:hAnsi="Times New Roman" w:cs="Times New Roman"/>
          <w:b/>
        </w:rPr>
      </w:pPr>
      <w:r w:rsidRPr="00F730ED">
        <w:rPr>
          <w:rFonts w:ascii="Times New Roman" w:hAnsi="Times New Roman" w:cs="Times New Roman"/>
          <w:b/>
        </w:rPr>
        <w:t>I.2</w:t>
      </w:r>
      <w:r w:rsidRPr="00F730ED">
        <w:rPr>
          <w:rFonts w:ascii="Times New Roman" w:hAnsi="Times New Roman" w:cs="Times New Roman"/>
          <w:b/>
        </w:rPr>
        <w:tab/>
        <w:t>Dátum schválenia účtovnej závierky za bezprostredne predchádzajúce účtovné obdobie:</w:t>
      </w:r>
    </w:p>
    <w:p w:rsidR="00CD0101" w:rsidRPr="00F730ED" w:rsidRDefault="00CD0101" w:rsidP="00CD0101">
      <w:pPr>
        <w:pStyle w:val="Odsekzoznamu"/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Účtovná závierka Spoločnosti k 31. decembru 201</w:t>
      </w:r>
      <w:r w:rsidR="0071381C">
        <w:rPr>
          <w:rFonts w:ascii="Times New Roman" w:hAnsi="Times New Roman" w:cs="Times New Roman"/>
        </w:rPr>
        <w:t>8</w:t>
      </w:r>
      <w:r w:rsidRPr="00F730ED">
        <w:rPr>
          <w:rFonts w:ascii="Times New Roman" w:hAnsi="Times New Roman" w:cs="Times New Roman"/>
        </w:rPr>
        <w:t xml:space="preserve">, za predchádzajúce účtovné obdobie, bola schválená valným zhromaždením Spoločnosti dňa </w:t>
      </w:r>
      <w:r w:rsidR="0071381C">
        <w:rPr>
          <w:rFonts w:ascii="Times New Roman" w:hAnsi="Times New Roman" w:cs="Times New Roman"/>
        </w:rPr>
        <w:t>29.03.2019</w:t>
      </w:r>
      <w:r>
        <w:rPr>
          <w:rFonts w:ascii="Times New Roman" w:hAnsi="Times New Roman" w:cs="Times New Roman"/>
        </w:rPr>
        <w:t>.</w:t>
      </w:r>
    </w:p>
    <w:p w:rsidR="00CD0101" w:rsidRPr="00F730ED" w:rsidRDefault="00CD0101" w:rsidP="00CD0101">
      <w:pPr>
        <w:pStyle w:val="Odsekzoznamu"/>
        <w:spacing w:after="0" w:line="276" w:lineRule="auto"/>
        <w:jc w:val="both"/>
        <w:rPr>
          <w:rFonts w:ascii="Times New Roman" w:hAnsi="Times New Roman" w:cs="Times New Roman"/>
          <w:b/>
        </w:rPr>
      </w:pPr>
    </w:p>
    <w:p w:rsidR="00CD0101" w:rsidRPr="00F730ED" w:rsidRDefault="00CD0101" w:rsidP="00CD0101">
      <w:pPr>
        <w:pStyle w:val="Odsekzoznamu"/>
        <w:spacing w:after="0" w:line="276" w:lineRule="auto"/>
        <w:jc w:val="both"/>
        <w:rPr>
          <w:rFonts w:ascii="Times New Roman" w:hAnsi="Times New Roman" w:cs="Times New Roman"/>
          <w:b/>
        </w:rPr>
      </w:pPr>
    </w:p>
    <w:p w:rsidR="00CD0101" w:rsidRPr="00F730ED" w:rsidRDefault="00CD0101" w:rsidP="00CD0101">
      <w:pPr>
        <w:pStyle w:val="Odsekzoznamu"/>
        <w:spacing w:after="0" w:line="276" w:lineRule="auto"/>
        <w:ind w:left="0"/>
        <w:jc w:val="both"/>
        <w:rPr>
          <w:rFonts w:ascii="Times New Roman" w:hAnsi="Times New Roman" w:cs="Times New Roman"/>
          <w:b/>
        </w:rPr>
      </w:pPr>
      <w:r w:rsidRPr="00F730ED">
        <w:rPr>
          <w:rFonts w:ascii="Times New Roman" w:hAnsi="Times New Roman" w:cs="Times New Roman"/>
          <w:b/>
        </w:rPr>
        <w:t>I.3</w:t>
      </w:r>
      <w:r w:rsidRPr="00F730ED">
        <w:rPr>
          <w:rFonts w:ascii="Times New Roman" w:hAnsi="Times New Roman" w:cs="Times New Roman"/>
          <w:b/>
        </w:rPr>
        <w:tab/>
        <w:t>Právny dôvod na zostavenie účtovnej závierky:</w:t>
      </w:r>
    </w:p>
    <w:p w:rsidR="00CD0101" w:rsidRPr="00F730ED" w:rsidRDefault="00CD0101" w:rsidP="00CD0101">
      <w:pPr>
        <w:pStyle w:val="Odsekzoznamu"/>
        <w:spacing w:after="0" w:line="276" w:lineRule="auto"/>
        <w:ind w:left="0"/>
        <w:jc w:val="both"/>
        <w:rPr>
          <w:rFonts w:ascii="Times New Roman" w:hAnsi="Times New Roman" w:cs="Times New Roman"/>
          <w:b/>
        </w:rPr>
      </w:pPr>
    </w:p>
    <w:p w:rsidR="00CD0101" w:rsidRPr="00F730ED" w:rsidRDefault="00971CBF" w:rsidP="00CD0101">
      <w:pPr>
        <w:pStyle w:val="Odsekzoznamu"/>
        <w:tabs>
          <w:tab w:val="left" w:pos="1604"/>
          <w:tab w:val="left" w:pos="2815"/>
        </w:tabs>
        <w:spacing w:after="0" w:line="276" w:lineRule="auto"/>
        <w:ind w:left="0"/>
        <w:jc w:val="both"/>
        <w:rPr>
          <w:rFonts w:ascii="Times New Roman" w:hAnsi="Times New Roman" w:cs="Times New Roman"/>
        </w:rPr>
      </w:pP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523526714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CD0101" w:rsidRPr="00F730ED">
            <w:rPr>
              <w:rFonts w:ascii="Segoe UI Symbol" w:eastAsia="MS Gothic" w:hAnsi="Segoe UI Symbol" w:cs="Segoe UI Symbol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☒</w:t>
          </w:r>
        </w:sdtContent>
      </w:sdt>
      <w:r w:rsidR="00CD0101"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Riadna    </w:t>
      </w: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6938309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D0101" w:rsidRPr="00F730ED">
            <w:rPr>
              <w:rFonts w:ascii="Segoe UI Symbol" w:eastAsia="MS Gothic" w:hAnsi="Segoe UI Symbol" w:cs="Segoe UI Symbol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CD0101"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Mimoriadna</w:t>
      </w:r>
    </w:p>
    <w:p w:rsidR="00CD0101" w:rsidRPr="00F730ED" w:rsidRDefault="00CD0101" w:rsidP="00CD0101">
      <w:pPr>
        <w:pStyle w:val="Odsekzoznamu"/>
        <w:spacing w:after="0" w:line="276" w:lineRule="auto"/>
        <w:ind w:left="0"/>
        <w:jc w:val="both"/>
        <w:rPr>
          <w:rFonts w:ascii="Times New Roman" w:hAnsi="Times New Roman" w:cs="Times New Roman"/>
          <w:b/>
        </w:rPr>
      </w:pPr>
    </w:p>
    <w:p w:rsidR="00CD0101" w:rsidRPr="00F730ED" w:rsidRDefault="00CD0101" w:rsidP="00CD0101">
      <w:pPr>
        <w:pStyle w:val="Odsekzoznamu"/>
        <w:spacing w:after="0" w:line="276" w:lineRule="auto"/>
        <w:ind w:left="0"/>
        <w:jc w:val="both"/>
        <w:rPr>
          <w:rFonts w:ascii="Times New Roman" w:hAnsi="Times New Roman" w:cs="Times New Roman"/>
          <w:b/>
        </w:rPr>
      </w:pPr>
    </w:p>
    <w:p w:rsidR="00CD0101" w:rsidRDefault="00CD0101" w:rsidP="00CD0101">
      <w:pPr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F730ED">
        <w:rPr>
          <w:rFonts w:ascii="Times New Roman" w:hAnsi="Times New Roman" w:cs="Times New Roman"/>
          <w:b/>
        </w:rPr>
        <w:t xml:space="preserve">I.4 </w:t>
      </w:r>
      <w:r w:rsidRPr="00F730ED">
        <w:rPr>
          <w:rFonts w:ascii="Times New Roman" w:hAnsi="Times New Roman" w:cs="Times New Roman"/>
          <w:b/>
        </w:rPr>
        <w:tab/>
        <w:t>Informácie o skupine účtovných jednotiek</w:t>
      </w:r>
    </w:p>
    <w:p w:rsidR="00CD0101" w:rsidRPr="00CC0138" w:rsidRDefault="00CD0101" w:rsidP="00CD0101">
      <w:pPr>
        <w:spacing w:after="0" w:line="276" w:lineRule="auto"/>
        <w:jc w:val="both"/>
        <w:rPr>
          <w:rFonts w:ascii="Times New Roman" w:hAnsi="Times New Roman" w:cs="Times New Roman"/>
        </w:rPr>
      </w:pPr>
      <w:r w:rsidRPr="00CC0138">
        <w:rPr>
          <w:rFonts w:ascii="Times New Roman" w:hAnsi="Times New Roman" w:cs="Times New Roman"/>
        </w:rPr>
        <w:t xml:space="preserve">             Nie je - nemá</w:t>
      </w:r>
    </w:p>
    <w:p w:rsidR="00CD0101" w:rsidRDefault="00CD0101" w:rsidP="00CD0101">
      <w:pPr>
        <w:spacing w:after="0" w:line="276" w:lineRule="auto"/>
        <w:ind w:left="709" w:hanging="709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  <w:b/>
        </w:rPr>
        <w:tab/>
      </w:r>
    </w:p>
    <w:p w:rsidR="00CD0101" w:rsidRDefault="00CD0101" w:rsidP="00CD0101">
      <w:pPr>
        <w:spacing w:after="0" w:line="276" w:lineRule="auto"/>
        <w:ind w:left="709" w:hanging="709"/>
        <w:jc w:val="both"/>
        <w:rPr>
          <w:rFonts w:ascii="Times New Roman" w:hAnsi="Times New Roman" w:cs="Times New Roman"/>
        </w:rPr>
      </w:pPr>
    </w:p>
    <w:p w:rsidR="00CD0101" w:rsidRPr="00F730ED" w:rsidRDefault="00CD0101" w:rsidP="00CD0101">
      <w:pPr>
        <w:spacing w:after="0" w:line="276" w:lineRule="auto"/>
        <w:ind w:left="709" w:hanging="1"/>
        <w:jc w:val="both"/>
        <w:rPr>
          <w:rFonts w:ascii="Times New Roman" w:hAnsi="Times New Roman" w:cs="Times New Roman"/>
        </w:rPr>
      </w:pPr>
    </w:p>
    <w:p w:rsidR="00CD0101" w:rsidRPr="00F730ED" w:rsidRDefault="00CD0101" w:rsidP="00CD0101">
      <w:pPr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F730ED">
        <w:rPr>
          <w:rFonts w:ascii="Times New Roman" w:hAnsi="Times New Roman" w:cs="Times New Roman"/>
          <w:b/>
        </w:rPr>
        <w:t xml:space="preserve">I.5 </w:t>
      </w:r>
      <w:r w:rsidRPr="00F730ED">
        <w:rPr>
          <w:rFonts w:ascii="Times New Roman" w:hAnsi="Times New Roman" w:cs="Times New Roman"/>
          <w:b/>
        </w:rPr>
        <w:tab/>
        <w:t>Informácie o počte zamestnancov:</w:t>
      </w:r>
    </w:p>
    <w:tbl>
      <w:tblPr>
        <w:tblStyle w:val="Mriekatabuky"/>
        <w:tblpPr w:leftFromText="141" w:rightFromText="141" w:vertAnchor="text" w:horzAnchor="margin" w:tblpX="-45" w:tblpY="73"/>
        <w:tblW w:w="9324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2" w:space="0" w:color="auto"/>
        </w:tblBorders>
        <w:tblLook w:val="04A0" w:firstRow="1" w:lastRow="0" w:firstColumn="1" w:lastColumn="0" w:noHBand="0" w:noVBand="1"/>
      </w:tblPr>
      <w:tblGrid>
        <w:gridCol w:w="4126"/>
        <w:gridCol w:w="2410"/>
        <w:gridCol w:w="2788"/>
      </w:tblGrid>
      <w:tr w:rsidR="00CD0101" w:rsidRPr="00F730ED" w:rsidTr="008C4389">
        <w:tc>
          <w:tcPr>
            <w:tcW w:w="4126" w:type="dxa"/>
            <w:tcBorders>
              <w:top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CD0101" w:rsidRPr="00F730ED" w:rsidRDefault="00CD0101" w:rsidP="008C438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730ED">
              <w:rPr>
                <w:rFonts w:ascii="Times New Roman" w:hAnsi="Times New Roman" w:cs="Times New Roman"/>
                <w:b/>
              </w:rPr>
              <w:t>Názov položky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CD0101" w:rsidRPr="00F730ED" w:rsidRDefault="00CD0101" w:rsidP="008C438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730ED">
              <w:rPr>
                <w:rFonts w:ascii="Times New Roman" w:hAnsi="Times New Roman" w:cs="Times New Roman"/>
                <w:b/>
              </w:rPr>
              <w:t>Bežné účtovné obdobie</w:t>
            </w:r>
          </w:p>
        </w:tc>
        <w:tc>
          <w:tcPr>
            <w:tcW w:w="2788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</w:tcBorders>
          </w:tcPr>
          <w:p w:rsidR="00CD0101" w:rsidRPr="00F730ED" w:rsidRDefault="00CD0101" w:rsidP="008C438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730ED">
              <w:rPr>
                <w:rFonts w:ascii="Times New Roman" w:hAnsi="Times New Roman" w:cs="Times New Roman"/>
                <w:b/>
              </w:rPr>
              <w:t>Bezprostredne predchádzajúce účtovné obdobie</w:t>
            </w:r>
          </w:p>
        </w:tc>
      </w:tr>
      <w:tr w:rsidR="00CD0101" w:rsidRPr="00F730ED" w:rsidTr="008C4389">
        <w:trPr>
          <w:trHeight w:val="454"/>
        </w:trPr>
        <w:tc>
          <w:tcPr>
            <w:tcW w:w="4126" w:type="dxa"/>
            <w:tcBorders>
              <w:top w:val="single" w:sz="18" w:space="0" w:color="auto"/>
              <w:right w:val="single" w:sz="12" w:space="0" w:color="auto"/>
            </w:tcBorders>
          </w:tcPr>
          <w:p w:rsidR="00CD0101" w:rsidRPr="00F730ED" w:rsidRDefault="00CD0101" w:rsidP="008C4389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F730ED">
              <w:rPr>
                <w:rFonts w:ascii="Times New Roman" w:hAnsi="Times New Roman" w:cs="Times New Roman"/>
              </w:rPr>
              <w:t>Priemerný prepočítaný počet zamestnancov počas účtovného obdobia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CD0101" w:rsidRPr="00F730ED" w:rsidRDefault="00A910FC" w:rsidP="008C438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788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</w:tcBorders>
            <w:vAlign w:val="center"/>
          </w:tcPr>
          <w:p w:rsidR="00CD0101" w:rsidRPr="00F730ED" w:rsidRDefault="00A910FC" w:rsidP="008C438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</w:tr>
    </w:tbl>
    <w:p w:rsidR="00CD0101" w:rsidRDefault="00CD0101" w:rsidP="00CD0101">
      <w:pPr>
        <w:spacing w:after="0" w:line="276" w:lineRule="auto"/>
        <w:ind w:left="1418" w:hanging="709"/>
        <w:jc w:val="both"/>
        <w:rPr>
          <w:rFonts w:ascii="Times New Roman" w:hAnsi="Times New Roman" w:cs="Times New Roman"/>
        </w:rPr>
      </w:pPr>
    </w:p>
    <w:p w:rsidR="00CD0101" w:rsidRDefault="00CD0101" w:rsidP="00CD0101">
      <w:pPr>
        <w:spacing w:after="0" w:line="276" w:lineRule="auto"/>
        <w:ind w:left="1418" w:hanging="709"/>
        <w:jc w:val="both"/>
        <w:rPr>
          <w:rFonts w:ascii="Times New Roman" w:hAnsi="Times New Roman" w:cs="Times New Roman"/>
        </w:rPr>
      </w:pPr>
    </w:p>
    <w:p w:rsidR="00CD0101" w:rsidRDefault="00CD0101" w:rsidP="00CD0101">
      <w:pPr>
        <w:spacing w:after="0" w:line="276" w:lineRule="auto"/>
        <w:ind w:left="1418" w:hanging="709"/>
        <w:jc w:val="both"/>
        <w:rPr>
          <w:rFonts w:ascii="Times New Roman" w:hAnsi="Times New Roman" w:cs="Times New Roman"/>
        </w:rPr>
      </w:pPr>
    </w:p>
    <w:p w:rsidR="00CD0101" w:rsidRPr="00F730ED" w:rsidRDefault="00CD0101" w:rsidP="00CD0101">
      <w:pPr>
        <w:spacing w:after="0" w:line="276" w:lineRule="auto"/>
        <w:ind w:left="1418" w:hanging="709"/>
        <w:jc w:val="both"/>
        <w:rPr>
          <w:rFonts w:ascii="Times New Roman" w:hAnsi="Times New Roman" w:cs="Times New Roman"/>
        </w:rPr>
      </w:pPr>
    </w:p>
    <w:p w:rsidR="00CD0101" w:rsidRPr="00F730ED" w:rsidRDefault="00CD0101" w:rsidP="00CD0101">
      <w:pPr>
        <w:spacing w:after="0" w:line="276" w:lineRule="auto"/>
        <w:rPr>
          <w:rFonts w:ascii="Times New Roman" w:hAnsi="Times New Roman" w:cs="Times New Roman"/>
          <w:b/>
          <w:color w:val="4472C4" w:themeColor="accent1"/>
        </w:rPr>
      </w:pPr>
      <w:r w:rsidRPr="00F730ED">
        <w:rPr>
          <w:rFonts w:ascii="Times New Roman" w:hAnsi="Times New Roman" w:cs="Times New Roman"/>
          <w:b/>
          <w:color w:val="4472C4" w:themeColor="accent1"/>
        </w:rPr>
        <w:t>Čl. II</w:t>
      </w:r>
      <w:r w:rsidRPr="00F730ED">
        <w:rPr>
          <w:rFonts w:ascii="Times New Roman" w:hAnsi="Times New Roman" w:cs="Times New Roman"/>
          <w:b/>
          <w:color w:val="4472C4" w:themeColor="accent1"/>
        </w:rPr>
        <w:tab/>
        <w:t>Informácie o orgánoch spoločnosti</w:t>
      </w:r>
    </w:p>
    <w:p w:rsidR="00CD0101" w:rsidRDefault="00CD0101" w:rsidP="00CD0101">
      <w:pPr>
        <w:spacing w:after="0" w:line="276" w:lineRule="auto"/>
        <w:jc w:val="both"/>
        <w:rPr>
          <w:rFonts w:ascii="Times New Roman" w:hAnsi="Times New Roman" w:cs="Times New Roman"/>
        </w:rPr>
      </w:pPr>
    </w:p>
    <w:p w:rsidR="00CD0101" w:rsidRDefault="00CD0101" w:rsidP="00CD0101">
      <w:pPr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Členom štatutárneho orgánu, ani členom dozorných orgánov  neboli v roku 201</w:t>
      </w:r>
      <w:r>
        <w:rPr>
          <w:rFonts w:ascii="Times New Roman" w:hAnsi="Times New Roman" w:cs="Times New Roman"/>
        </w:rPr>
        <w:t>8</w:t>
      </w:r>
      <w:r w:rsidRPr="00F730ED">
        <w:rPr>
          <w:rFonts w:ascii="Times New Roman" w:hAnsi="Times New Roman" w:cs="Times New Roman"/>
        </w:rPr>
        <w:t xml:space="preserve"> poskytnuté žiadne pôžičky, záruky alebo iné formy zabezpečenia, ani finančné prostriedky alebo iné plnenia na súkromné účely členov, ktoré sa vyúčtovávajú (v roku 20</w:t>
      </w:r>
      <w:r>
        <w:rPr>
          <w:rFonts w:ascii="Times New Roman" w:hAnsi="Times New Roman" w:cs="Times New Roman"/>
        </w:rPr>
        <w:t>17</w:t>
      </w:r>
      <w:r w:rsidRPr="00F730ED">
        <w:rPr>
          <w:rFonts w:ascii="Times New Roman" w:hAnsi="Times New Roman" w:cs="Times New Roman"/>
        </w:rPr>
        <w:t>: žiadne).</w:t>
      </w:r>
    </w:p>
    <w:p w:rsidR="00CD0101" w:rsidRDefault="00CD0101" w:rsidP="00CD0101">
      <w:pPr>
        <w:spacing w:after="0" w:line="276" w:lineRule="auto"/>
        <w:jc w:val="both"/>
        <w:rPr>
          <w:rFonts w:ascii="Times New Roman" w:hAnsi="Times New Roman" w:cs="Times New Roman"/>
        </w:rPr>
      </w:pPr>
    </w:p>
    <w:p w:rsidR="00CD0101" w:rsidRPr="00F730ED" w:rsidRDefault="00CD0101" w:rsidP="00CD0101">
      <w:pPr>
        <w:spacing w:after="0" w:line="276" w:lineRule="auto"/>
        <w:jc w:val="both"/>
        <w:rPr>
          <w:rFonts w:ascii="Times New Roman" w:hAnsi="Times New Roman" w:cs="Times New Roman"/>
        </w:rPr>
      </w:pPr>
    </w:p>
    <w:p w:rsidR="00CD0101" w:rsidRDefault="00CD0101" w:rsidP="00CD0101">
      <w:pPr>
        <w:spacing w:after="0" w:line="276" w:lineRule="auto"/>
        <w:jc w:val="both"/>
        <w:rPr>
          <w:rFonts w:ascii="Times New Roman" w:hAnsi="Times New Roman" w:cs="Times New Roman"/>
          <w:b/>
        </w:rPr>
      </w:pPr>
    </w:p>
    <w:p w:rsidR="00CD0101" w:rsidRPr="00F730ED" w:rsidRDefault="00CD0101" w:rsidP="00CD0101">
      <w:pPr>
        <w:spacing w:after="0" w:line="276" w:lineRule="auto"/>
        <w:jc w:val="both"/>
        <w:rPr>
          <w:rFonts w:ascii="Times New Roman" w:hAnsi="Times New Roman" w:cs="Times New Roman"/>
          <w:b/>
        </w:rPr>
      </w:pPr>
    </w:p>
    <w:p w:rsidR="00CD0101" w:rsidRPr="00F730ED" w:rsidRDefault="00CD0101" w:rsidP="00CD0101">
      <w:pPr>
        <w:spacing w:after="0" w:line="276" w:lineRule="auto"/>
        <w:rPr>
          <w:rFonts w:ascii="Times New Roman" w:hAnsi="Times New Roman" w:cs="Times New Roman"/>
          <w:b/>
          <w:color w:val="4472C4" w:themeColor="accent1"/>
        </w:rPr>
      </w:pPr>
      <w:r w:rsidRPr="00F730ED">
        <w:rPr>
          <w:rFonts w:ascii="Times New Roman" w:hAnsi="Times New Roman" w:cs="Times New Roman"/>
          <w:b/>
          <w:color w:val="4472C4" w:themeColor="accent1"/>
        </w:rPr>
        <w:t>Čl. III</w:t>
      </w:r>
      <w:r w:rsidRPr="00F730ED">
        <w:rPr>
          <w:rFonts w:ascii="Times New Roman" w:hAnsi="Times New Roman" w:cs="Times New Roman"/>
          <w:b/>
          <w:color w:val="4472C4" w:themeColor="accent1"/>
        </w:rPr>
        <w:tab/>
        <w:t>Informácie o prijatých postupoch</w:t>
      </w:r>
    </w:p>
    <w:p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F730ED">
        <w:rPr>
          <w:rFonts w:ascii="Times New Roman" w:hAnsi="Times New Roman" w:cs="Times New Roman"/>
          <w:b/>
        </w:rPr>
        <w:lastRenderedPageBreak/>
        <w:t>III. 1</w:t>
      </w:r>
      <w:r w:rsidRPr="00F730ED">
        <w:rPr>
          <w:rFonts w:ascii="Times New Roman" w:hAnsi="Times New Roman" w:cs="Times New Roman"/>
          <w:b/>
        </w:rPr>
        <w:tab/>
        <w:t>Účtovná jednotka bude nepretržite pokračovať vo svojej činnosti:</w:t>
      </w:r>
    </w:p>
    <w:p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hAnsi="Times New Roman" w:cs="Times New Roman"/>
          <w:b/>
        </w:rPr>
        <w:tab/>
      </w:r>
      <w:sdt>
        <w:sdtPr>
          <w:rPr>
            <w:rFonts w:ascii="Times New Roman" w:eastAsia="MS Gothic" w:hAnsi="Times New Roman" w:cs="Times New Roman"/>
            <w:b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59470499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Pr="00F730ED">
            <w:rPr>
              <w:rFonts w:ascii="Segoe UI Symbol" w:eastAsia="MS Gothic" w:hAnsi="Segoe UI Symbol" w:cs="Segoe UI Symbol"/>
              <w:b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☒</w:t>
          </w:r>
        </w:sdtContent>
      </w:sdt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</w:t>
      </w: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áno 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sdt>
        <w:sdtPr>
          <w:rPr>
            <w:rFonts w:ascii="Times New Roman" w:eastAsia="MS Gothic" w:hAnsi="Times New Roman" w:cs="Times New Roman"/>
            <w:b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8803932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F730ED">
            <w:rPr>
              <w:rFonts w:ascii="Segoe UI Symbol" w:eastAsia="MS Gothic" w:hAnsi="Segoe UI Symbol" w:cs="Segoe UI Symbol"/>
              <w:b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</w:t>
      </w: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nie</w:t>
      </w:r>
    </w:p>
    <w:p w:rsidR="00CD0101" w:rsidRPr="00F730ED" w:rsidRDefault="00CD0101" w:rsidP="00CD0101">
      <w:pPr>
        <w:spacing w:after="0" w:line="276" w:lineRule="auto"/>
        <w:ind w:left="708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Účtovná závierka bola zostavená za predpokladu nepretržitého trvania Spoločnosti (going concern). Účtovné metódy a všeobecné účtovné zásady boli účtovnou jednotkou konzistentne aplikované.</w:t>
      </w:r>
    </w:p>
    <w:p w:rsidR="00CD0101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F730ED">
        <w:rPr>
          <w:rFonts w:ascii="Times New Roman" w:hAnsi="Times New Roman" w:cs="Times New Roman"/>
          <w:b/>
        </w:rPr>
        <w:t xml:space="preserve">III. 2  </w:t>
      </w:r>
      <w:r w:rsidRPr="00F730ED">
        <w:rPr>
          <w:rFonts w:ascii="Times New Roman" w:hAnsi="Times New Roman" w:cs="Times New Roman"/>
          <w:b/>
        </w:rPr>
        <w:tab/>
        <w:t>Dlhodobý nehmotný majetok a dlhodobý hmotný majetok</w:t>
      </w:r>
    </w:p>
    <w:p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</w:p>
    <w:p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 xml:space="preserve">Dlhodobý majetok nakupovaný sa oceňuje obstarávacou cenou, ktorá zahŕňa cenu obstarania a náklady súvisiace s obstaraním (clo, prepravu, montáž, poistné a pod.). </w:t>
      </w:r>
    </w:p>
    <w:p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</w:p>
    <w:p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Súčasťou obstarávacej ceny dlhodobého hmotného a nehmotného majetku nie sú úroky z cudzích zdrojov ani realizované kurzové rozdiely, ktoré vznikli do momentu uvedenia dlhodobého majetku do používania.</w:t>
      </w:r>
    </w:p>
    <w:p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</w:p>
    <w:p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 xml:space="preserve">Dlhodobý majetok vytvorený vlastnou činnosťou sa oceňuje vlastnými nákladmi. Vlastnými nákladmi sú všetky priame náklady vynaložené na výrobu alebo inú činnosť a nepriame náklady, ktoré sa vzťahujú na výrobu alebo inú činnosť. </w:t>
      </w:r>
    </w:p>
    <w:p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</w:p>
    <w:p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 xml:space="preserve">Odpisy dlhodobého nehmotného majetku sú stanovené vychádzajúc z predpokladanej doby jeho používania a predpokladaného priebehu jeho opotrebenia. Odpisovať sa začína prvým dňom mesiaca nasledujúceho po uvedení dlhodobého majetku do používania. Drobný dlhodobý nehmotný majetok, ktorého obstarávacia cena (resp. vlastné náklady) je 2 400 EUR a nižšia, sa odpisuje jednorazovo pri uvedení do používania. </w:t>
      </w:r>
    </w:p>
    <w:p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</w:p>
    <w:p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Odpisy dlhodobého hmotného majetku sú stanovené vychádzajúc z predpokladanej doby jeho používania a predpokladaného priebehu jeho opotrebenia. Odpisovať sa začína prvým dňom mesiaca nasledujúceho po uvedení dlhodobého majetku do používania. Drobný dlhodobý hmotný majetok, ktorého obstarávacia cena (resp. vlastné náklady) je 1 700 EUR a nižšia, sa odpisuje jednorazovo pri uvedení do používania. Pozemky sa neodpisujú. Predpokladaná doba používania, metóda odpisovania a odpisová sadzba sú uvedené v nasledujúcej tabuľke:</w:t>
      </w:r>
    </w:p>
    <w:p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2976"/>
        <w:gridCol w:w="142"/>
        <w:gridCol w:w="1985"/>
        <w:gridCol w:w="141"/>
        <w:gridCol w:w="1701"/>
        <w:gridCol w:w="142"/>
        <w:gridCol w:w="2269"/>
      </w:tblGrid>
      <w:tr w:rsidR="00CD0101" w:rsidRPr="00F730ED" w:rsidTr="008C4389">
        <w:trPr>
          <w:trHeight w:val="250"/>
        </w:trPr>
        <w:tc>
          <w:tcPr>
            <w:tcW w:w="3118" w:type="dxa"/>
            <w:gridSpan w:val="2"/>
          </w:tcPr>
          <w:p w:rsidR="00CD0101" w:rsidRPr="00F730ED" w:rsidRDefault="00CD0101" w:rsidP="008C4389">
            <w:pPr>
              <w:pStyle w:val="Tabulka"/>
              <w:spacing w:line="276" w:lineRule="auto"/>
              <w:rPr>
                <w:color w:val="auto"/>
                <w:sz w:val="22"/>
                <w:szCs w:val="22"/>
              </w:rPr>
            </w:pPr>
          </w:p>
        </w:tc>
        <w:tc>
          <w:tcPr>
            <w:tcW w:w="1985" w:type="dxa"/>
          </w:tcPr>
          <w:p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Predpokladaná</w:t>
            </w:r>
          </w:p>
        </w:tc>
        <w:tc>
          <w:tcPr>
            <w:tcW w:w="141" w:type="dxa"/>
          </w:tcPr>
          <w:p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</w:tcPr>
          <w:p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Metóda</w:t>
            </w:r>
          </w:p>
        </w:tc>
        <w:tc>
          <w:tcPr>
            <w:tcW w:w="142" w:type="dxa"/>
          </w:tcPr>
          <w:p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269" w:type="dxa"/>
          </w:tcPr>
          <w:p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Ročná odpisová</w:t>
            </w:r>
          </w:p>
        </w:tc>
      </w:tr>
      <w:tr w:rsidR="00CD0101" w:rsidRPr="00F730ED" w:rsidTr="008C4389">
        <w:trPr>
          <w:trHeight w:val="250"/>
        </w:trPr>
        <w:tc>
          <w:tcPr>
            <w:tcW w:w="2976" w:type="dxa"/>
            <w:tcBorders>
              <w:bottom w:val="single" w:sz="4" w:space="0" w:color="auto"/>
            </w:tcBorders>
          </w:tcPr>
          <w:p w:rsidR="00CD0101" w:rsidRPr="00F730ED" w:rsidRDefault="00CD0101" w:rsidP="008C4389">
            <w:pPr>
              <w:pStyle w:val="Tabulka"/>
              <w:spacing w:line="276" w:lineRule="auto"/>
              <w:rPr>
                <w:color w:val="auto"/>
                <w:sz w:val="22"/>
                <w:szCs w:val="22"/>
              </w:rPr>
            </w:pPr>
          </w:p>
        </w:tc>
        <w:tc>
          <w:tcPr>
            <w:tcW w:w="142" w:type="dxa"/>
            <w:tcBorders>
              <w:bottom w:val="single" w:sz="4" w:space="0" w:color="auto"/>
            </w:tcBorders>
          </w:tcPr>
          <w:p w:rsidR="00CD0101" w:rsidRPr="00F730ED" w:rsidRDefault="00CD0101" w:rsidP="008C4389">
            <w:pPr>
              <w:pStyle w:val="Tabulka"/>
              <w:spacing w:line="276" w:lineRule="auto"/>
              <w:rPr>
                <w:color w:val="auto"/>
                <w:sz w:val="22"/>
                <w:szCs w:val="22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doba používania v rokoch</w:t>
            </w:r>
          </w:p>
        </w:tc>
        <w:tc>
          <w:tcPr>
            <w:tcW w:w="141" w:type="dxa"/>
            <w:tcBorders>
              <w:bottom w:val="single" w:sz="4" w:space="0" w:color="auto"/>
            </w:tcBorders>
          </w:tcPr>
          <w:p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odpisovania</w:t>
            </w:r>
          </w:p>
        </w:tc>
        <w:tc>
          <w:tcPr>
            <w:tcW w:w="142" w:type="dxa"/>
            <w:tcBorders>
              <w:bottom w:val="single" w:sz="4" w:space="0" w:color="auto"/>
            </w:tcBorders>
          </w:tcPr>
          <w:p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269" w:type="dxa"/>
            <w:tcBorders>
              <w:bottom w:val="single" w:sz="4" w:space="0" w:color="auto"/>
            </w:tcBorders>
          </w:tcPr>
          <w:p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sadzba</w:t>
            </w:r>
          </w:p>
        </w:tc>
      </w:tr>
      <w:tr w:rsidR="00CD0101" w:rsidRPr="00F730ED" w:rsidTr="008C4389">
        <w:trPr>
          <w:trHeight w:val="250"/>
        </w:trPr>
        <w:tc>
          <w:tcPr>
            <w:tcW w:w="3118" w:type="dxa"/>
            <w:gridSpan w:val="2"/>
            <w:tcBorders>
              <w:top w:val="single" w:sz="4" w:space="0" w:color="auto"/>
            </w:tcBorders>
            <w:vAlign w:val="center"/>
          </w:tcPr>
          <w:p w:rsidR="00CD0101" w:rsidRPr="00F730ED" w:rsidRDefault="00CD0101" w:rsidP="008C4389">
            <w:pPr>
              <w:pStyle w:val="Tabulka"/>
              <w:spacing w:line="276" w:lineRule="auto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Stavby</w:t>
            </w:r>
            <w:r>
              <w:rPr>
                <w:color w:val="auto"/>
                <w:sz w:val="22"/>
                <w:szCs w:val="22"/>
              </w:rPr>
              <w:t xml:space="preserve"> - vlastné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vAlign w:val="center"/>
          </w:tcPr>
          <w:p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60</w:t>
            </w:r>
          </w:p>
        </w:tc>
        <w:tc>
          <w:tcPr>
            <w:tcW w:w="141" w:type="dxa"/>
            <w:tcBorders>
              <w:top w:val="single" w:sz="4" w:space="0" w:color="auto"/>
            </w:tcBorders>
            <w:vAlign w:val="center"/>
          </w:tcPr>
          <w:p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lineárna</w:t>
            </w:r>
          </w:p>
        </w:tc>
        <w:tc>
          <w:tcPr>
            <w:tcW w:w="142" w:type="dxa"/>
            <w:tcBorders>
              <w:top w:val="single" w:sz="4" w:space="0" w:color="auto"/>
            </w:tcBorders>
            <w:vAlign w:val="center"/>
          </w:tcPr>
          <w:p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269" w:type="dxa"/>
            <w:tcBorders>
              <w:top w:val="single" w:sz="4" w:space="0" w:color="auto"/>
            </w:tcBorders>
            <w:vAlign w:val="center"/>
          </w:tcPr>
          <w:p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1,6667</w:t>
            </w:r>
          </w:p>
        </w:tc>
      </w:tr>
      <w:tr w:rsidR="00CD0101" w:rsidRPr="00F730ED" w:rsidTr="008C4389">
        <w:trPr>
          <w:trHeight w:val="250"/>
        </w:trPr>
        <w:tc>
          <w:tcPr>
            <w:tcW w:w="3118" w:type="dxa"/>
            <w:gridSpan w:val="2"/>
            <w:vAlign w:val="center"/>
          </w:tcPr>
          <w:p w:rsidR="00CD0101" w:rsidRPr="00F730ED" w:rsidRDefault="00CD0101" w:rsidP="008C4389">
            <w:pPr>
              <w:pStyle w:val="Tabulka"/>
              <w:spacing w:line="276" w:lineRule="auto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Stavby - prenajaté a ich technické zhodnotenie</w:t>
            </w:r>
          </w:p>
        </w:tc>
        <w:tc>
          <w:tcPr>
            <w:tcW w:w="1985" w:type="dxa"/>
            <w:vAlign w:val="center"/>
          </w:tcPr>
          <w:p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20</w:t>
            </w:r>
          </w:p>
        </w:tc>
        <w:tc>
          <w:tcPr>
            <w:tcW w:w="141" w:type="dxa"/>
            <w:vAlign w:val="center"/>
          </w:tcPr>
          <w:p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lineárna</w:t>
            </w:r>
          </w:p>
        </w:tc>
        <w:tc>
          <w:tcPr>
            <w:tcW w:w="142" w:type="dxa"/>
            <w:vAlign w:val="center"/>
          </w:tcPr>
          <w:p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269" w:type="dxa"/>
            <w:vAlign w:val="center"/>
          </w:tcPr>
          <w:p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5</w:t>
            </w:r>
          </w:p>
        </w:tc>
      </w:tr>
      <w:tr w:rsidR="00CD0101" w:rsidRPr="00F730ED" w:rsidTr="008C4389">
        <w:trPr>
          <w:trHeight w:val="250"/>
        </w:trPr>
        <w:tc>
          <w:tcPr>
            <w:tcW w:w="3118" w:type="dxa"/>
            <w:gridSpan w:val="2"/>
            <w:vAlign w:val="center"/>
          </w:tcPr>
          <w:p w:rsidR="00CD0101" w:rsidRPr="00F730ED" w:rsidRDefault="00CD0101" w:rsidP="008C4389">
            <w:pPr>
              <w:pStyle w:val="Tabulka"/>
              <w:spacing w:line="276" w:lineRule="auto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Stroje, prístroje a zariadenia</w:t>
            </w:r>
          </w:p>
        </w:tc>
        <w:tc>
          <w:tcPr>
            <w:tcW w:w="1985" w:type="dxa"/>
            <w:vAlign w:val="center"/>
          </w:tcPr>
          <w:p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6 až 12</w:t>
            </w:r>
          </w:p>
        </w:tc>
        <w:tc>
          <w:tcPr>
            <w:tcW w:w="141" w:type="dxa"/>
            <w:vAlign w:val="center"/>
          </w:tcPr>
          <w:p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lineárna</w:t>
            </w:r>
          </w:p>
        </w:tc>
        <w:tc>
          <w:tcPr>
            <w:tcW w:w="142" w:type="dxa"/>
            <w:vAlign w:val="center"/>
          </w:tcPr>
          <w:p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269" w:type="dxa"/>
            <w:vAlign w:val="center"/>
          </w:tcPr>
          <w:p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16,6 až 8,3</w:t>
            </w:r>
          </w:p>
        </w:tc>
      </w:tr>
      <w:tr w:rsidR="00CD0101" w:rsidRPr="00F730ED" w:rsidTr="008C4389">
        <w:trPr>
          <w:trHeight w:val="250"/>
        </w:trPr>
        <w:tc>
          <w:tcPr>
            <w:tcW w:w="3118" w:type="dxa"/>
            <w:gridSpan w:val="2"/>
            <w:vAlign w:val="center"/>
          </w:tcPr>
          <w:p w:rsidR="00CD0101" w:rsidRPr="00F730ED" w:rsidRDefault="00CD0101" w:rsidP="008C4389">
            <w:pPr>
              <w:pStyle w:val="Tabulka"/>
              <w:spacing w:line="276" w:lineRule="auto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Dopravné prostriedky</w:t>
            </w:r>
          </w:p>
        </w:tc>
        <w:tc>
          <w:tcPr>
            <w:tcW w:w="1985" w:type="dxa"/>
            <w:vAlign w:val="center"/>
          </w:tcPr>
          <w:p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4 až 6</w:t>
            </w:r>
          </w:p>
        </w:tc>
        <w:tc>
          <w:tcPr>
            <w:tcW w:w="141" w:type="dxa"/>
            <w:vAlign w:val="center"/>
          </w:tcPr>
          <w:p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lineárna</w:t>
            </w:r>
          </w:p>
        </w:tc>
        <w:tc>
          <w:tcPr>
            <w:tcW w:w="142" w:type="dxa"/>
            <w:vAlign w:val="center"/>
          </w:tcPr>
          <w:p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269" w:type="dxa"/>
            <w:vAlign w:val="center"/>
          </w:tcPr>
          <w:p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25 až 16,6</w:t>
            </w:r>
          </w:p>
        </w:tc>
      </w:tr>
      <w:tr w:rsidR="00CD0101" w:rsidRPr="00F730ED" w:rsidTr="008C4389">
        <w:trPr>
          <w:trHeight w:val="250"/>
        </w:trPr>
        <w:tc>
          <w:tcPr>
            <w:tcW w:w="3118" w:type="dxa"/>
            <w:gridSpan w:val="2"/>
            <w:vAlign w:val="center"/>
          </w:tcPr>
          <w:p w:rsidR="00CD0101" w:rsidRPr="00F730ED" w:rsidRDefault="00CD0101" w:rsidP="008C4389">
            <w:pPr>
              <w:pStyle w:val="Tabulka"/>
              <w:spacing w:line="276" w:lineRule="auto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Drobný dlhodobý hmotný majetok</w:t>
            </w:r>
          </w:p>
        </w:tc>
        <w:tc>
          <w:tcPr>
            <w:tcW w:w="1985" w:type="dxa"/>
            <w:vAlign w:val="center"/>
          </w:tcPr>
          <w:p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41" w:type="dxa"/>
            <w:vAlign w:val="center"/>
          </w:tcPr>
          <w:p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jednorazový odpis</w:t>
            </w:r>
          </w:p>
        </w:tc>
        <w:tc>
          <w:tcPr>
            <w:tcW w:w="142" w:type="dxa"/>
            <w:vAlign w:val="center"/>
          </w:tcPr>
          <w:p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269" w:type="dxa"/>
            <w:vAlign w:val="center"/>
          </w:tcPr>
          <w:p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100</w:t>
            </w:r>
          </w:p>
        </w:tc>
      </w:tr>
    </w:tbl>
    <w:p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ab/>
      </w:r>
    </w:p>
    <w:p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Metódy odpisovania, doby použiteľnosti a zostatkové hodnoty sa prehodnocujú ku dňu, ku ktorému sa zostavuje účtovná závierka, a ak je potrebné urobia sa úpravy.</w:t>
      </w:r>
    </w:p>
    <w:p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</w:p>
    <w:p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  <w:b/>
          <w:i/>
        </w:rPr>
      </w:pPr>
      <w:r w:rsidRPr="00F730ED">
        <w:rPr>
          <w:rFonts w:ascii="Times New Roman" w:hAnsi="Times New Roman" w:cs="Times New Roman"/>
          <w:b/>
          <w:i/>
        </w:rPr>
        <w:t>Posúdenie zníženia hodnoty majetku</w:t>
      </w:r>
    </w:p>
    <w:p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Opravné položky sa tvoria na základe zásady opatrnosti, ak je opodstatnené predpokladať, že došlo k zníženiu hodnoty majetku oproti jeho oceneniu v účtovníctve. Opravná položka sa účtuje v sume opodstatneného predpokladu zníženia hodnoty majetku oproti jeho oceneniu v účtovníctve.</w:t>
      </w:r>
    </w:p>
    <w:p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</w:p>
    <w:p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lastRenderedPageBreak/>
        <w:t xml:space="preserve">Faktory, ktoré sú považované za dôležité pri  posudzovaní zníženia hodnoty majetku sú: </w:t>
      </w:r>
    </w:p>
    <w:p w:rsidR="00CD0101" w:rsidRPr="00F730ED" w:rsidRDefault="00CD0101" w:rsidP="00CD0101">
      <w:pPr>
        <w:tabs>
          <w:tab w:val="left" w:pos="426"/>
        </w:tabs>
        <w:spacing w:after="0" w:line="276" w:lineRule="auto"/>
        <w:ind w:left="426" w:hanging="426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•</w:t>
      </w:r>
      <w:r w:rsidRPr="00F730ED">
        <w:rPr>
          <w:rFonts w:ascii="Times New Roman" w:hAnsi="Times New Roman" w:cs="Times New Roman"/>
        </w:rPr>
        <w:tab/>
        <w:t>technologický pokrok,</w:t>
      </w:r>
    </w:p>
    <w:p w:rsidR="00CD0101" w:rsidRPr="00F730ED" w:rsidRDefault="00CD0101" w:rsidP="00CD0101">
      <w:pPr>
        <w:tabs>
          <w:tab w:val="left" w:pos="426"/>
        </w:tabs>
        <w:spacing w:after="0" w:line="276" w:lineRule="auto"/>
        <w:ind w:left="426" w:hanging="426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•</w:t>
      </w:r>
      <w:r w:rsidRPr="00F730ED">
        <w:rPr>
          <w:rFonts w:ascii="Times New Roman" w:hAnsi="Times New Roman" w:cs="Times New Roman"/>
        </w:rPr>
        <w:tab/>
        <w:t>významne nedostatočné prevádzkové výsledky v porovnaní s historickými alebo plánovanými prevádzkovými výsledkami,</w:t>
      </w:r>
    </w:p>
    <w:p w:rsidR="00CD0101" w:rsidRPr="00F730ED" w:rsidRDefault="00CD0101" w:rsidP="00CD0101">
      <w:pPr>
        <w:tabs>
          <w:tab w:val="left" w:pos="426"/>
        </w:tabs>
        <w:spacing w:after="0" w:line="276" w:lineRule="auto"/>
        <w:ind w:left="426" w:hanging="426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•</w:t>
      </w:r>
      <w:r w:rsidRPr="00F730ED">
        <w:rPr>
          <w:rFonts w:ascii="Times New Roman" w:hAnsi="Times New Roman" w:cs="Times New Roman"/>
        </w:rPr>
        <w:tab/>
        <w:t>významné zmeny v spôsobe použitia majetku Spoločnosti alebo celkovej zmeny stratégie Spoločnosti,</w:t>
      </w:r>
    </w:p>
    <w:p w:rsidR="00CD0101" w:rsidRPr="00F730ED" w:rsidRDefault="00CD0101" w:rsidP="00CD0101">
      <w:pPr>
        <w:tabs>
          <w:tab w:val="left" w:pos="426"/>
        </w:tabs>
        <w:spacing w:after="0" w:line="276" w:lineRule="auto"/>
        <w:ind w:left="426" w:hanging="426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•</w:t>
      </w:r>
      <w:r w:rsidRPr="00F730ED">
        <w:rPr>
          <w:rFonts w:ascii="Times New Roman" w:hAnsi="Times New Roman" w:cs="Times New Roman"/>
        </w:rPr>
        <w:tab/>
        <w:t>zastaralosť produktov.</w:t>
      </w:r>
    </w:p>
    <w:p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</w:p>
    <w:p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Ak Spoločnosť zistí, že na základe existencie jedného alebo viacerých indikátorov zníženia hodnoty majetku možno predpokladať, že došlo k zníženiu hodnoty majetku oproti jeho oceneniu v účtovníctve, vypočíta zníženie hodnoty majetku na základe odhadov projektovaných čistých diskontovaných peňažných tokov, ktoré sa očakávajú z daného majetku, vrátane jeho prípadného predaja. Odhadované zníženie hodnoty by sa mohlo preukázať ako nedostatočné, ak by analýzy nadhodnotili peňažné toky alebo ak sa zmenia podmienky.</w:t>
      </w:r>
    </w:p>
    <w:p w:rsidR="00CD0101" w:rsidRDefault="00CD0101" w:rsidP="00CD0101">
      <w:pPr>
        <w:spacing w:after="0" w:line="276" w:lineRule="auto"/>
        <w:jc w:val="both"/>
        <w:rPr>
          <w:rFonts w:ascii="Times New Roman" w:hAnsi="Times New Roman" w:cs="Times New Roman"/>
        </w:rPr>
      </w:pPr>
    </w:p>
    <w:p w:rsidR="00CD0101" w:rsidRPr="00F730ED" w:rsidRDefault="00CD0101" w:rsidP="00CD0101">
      <w:pPr>
        <w:spacing w:after="0" w:line="276" w:lineRule="auto"/>
        <w:jc w:val="both"/>
        <w:rPr>
          <w:rFonts w:ascii="Times New Roman" w:hAnsi="Times New Roman" w:cs="Times New Roman"/>
        </w:rPr>
      </w:pPr>
    </w:p>
    <w:p w:rsidR="00CD0101" w:rsidRDefault="00CD0101" w:rsidP="00CD0101">
      <w:pPr>
        <w:spacing w:after="0" w:line="276" w:lineRule="auto"/>
        <w:ind w:left="992" w:hanging="992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 2 b)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Dotácie poskytnuté na obstaranie majetku:</w:t>
      </w:r>
    </w:p>
    <w:p w:rsidR="00CD0101" w:rsidRPr="00CC0138" w:rsidRDefault="00CD0101" w:rsidP="00CD0101">
      <w:pPr>
        <w:pStyle w:val="Odsekzoznamu"/>
        <w:numPr>
          <w:ilvl w:val="0"/>
          <w:numId w:val="1"/>
        </w:numPr>
        <w:spacing w:after="0" w:line="276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C0138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žiadne</w:t>
      </w:r>
    </w:p>
    <w:p w:rsidR="00CD0101" w:rsidRPr="00F730ED" w:rsidRDefault="00CD0101" w:rsidP="00CD0101">
      <w:pPr>
        <w:spacing w:after="0" w:line="276" w:lineRule="auto"/>
        <w:ind w:left="992" w:hanging="992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D0101" w:rsidRDefault="00CD0101" w:rsidP="00CD0101">
      <w:pPr>
        <w:spacing w:after="0" w:line="276" w:lineRule="auto"/>
        <w:jc w:val="both"/>
        <w:rPr>
          <w:rFonts w:ascii="Times New Roman" w:hAnsi="Times New Roman" w:cs="Times New Roman"/>
          <w:b/>
        </w:rPr>
      </w:pPr>
    </w:p>
    <w:p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 3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Pohľadávky</w:t>
      </w:r>
    </w:p>
    <w:p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D0101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Pohľadávky pri ich vzniku sa oceňujú ich menovitou hodnotou; postúpené pohľadávky a pohľadávky nadobudnuté vkladom do základného imania sa oceňujú obstarávacou cenou vrátane nákladov súvisiacich s obstaraním. Toto ocenenie sa znižuje o pochybné a nevymožiteľné pohľadávky.</w:t>
      </w:r>
    </w:p>
    <w:p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 4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Finančné účty</w:t>
      </w:r>
    </w:p>
    <w:p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Finančné účty tvorí peňažná hotovosť, ceniny, zostatky na bankových účtoch a oceňujú sa menovitou hodnotou. Zníženie ich hodnoty sa vyjadruje opravnou položkou.</w:t>
      </w:r>
    </w:p>
    <w:p w:rsidR="00CD0101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III.5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Náklady budúcich období a príjmy budúcich období</w:t>
      </w:r>
    </w:p>
    <w:p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Náklady budúcich období a príjmy budúcich období sa vykazujú vo výške, ktorá je potrebná na dodržanie zásady vecnej a časovej súvislosti s účtovným obdobím.</w:t>
      </w:r>
    </w:p>
    <w:p w:rsidR="00CD0101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III.6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Rezervy</w:t>
      </w:r>
    </w:p>
    <w:p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Rezerva je záväzok predstavujúci existujúcu povinnosť Spoločnosti, ktorá vznikla z minulých udalostí a je pravdepodobné, že v budúcnosti zníži jej ekonomické úžitky. Rezervy sú záväzky s neurčitým časovým vymedzením alebo výškou a oceňujú sa odhadom v sume potrebnej na splnenie existujúcej povinnosti ku dňu, ku ktorému sa zostavuje účtovná závierka.</w:t>
      </w:r>
    </w:p>
    <w:p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Tvorba rezervy sa účtuje na vecne príslušný nákladový alebo majetkový účet, ku ktorému záväzok prislúcha. Použitie rezervy sa účtuje na ťarchu vecne príslušného účtu rezerv so súvzťažným zápisom v prospech vecne príslušného účtu záväzkov. Rozpustenie nepotrebnej rezervy alebo jej časti sa účtuje opačným účtovným zápisom ako sa účtovala tvorba rezervy. </w:t>
      </w:r>
    </w:p>
    <w:p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 xml:space="preserve">Tvorba rezervy na bonusy, rabaty, skontá a vrátenie kúpnej ceny pri reklamácii sa účtuje ako zníženie pôvodne dosiahnutých výnosov so súvzťažným zápisom v prospech účtu rezerv. </w:t>
      </w:r>
    </w:p>
    <w:p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Rezervy na nevyfakturované dodávky majetku sa nevykazujú s vplyvom na výsledok hospodárenia a oceňujú sa v odhadovanej výške záväzku.</w:t>
      </w:r>
    </w:p>
    <w:p w:rsidR="00CD0101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III.7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Záväzky</w:t>
      </w:r>
    </w:p>
    <w:p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Záväzky pri ich vzniku sa oceňujú menovitou hodnotou. Záväzky pri ich prevzatí sa oceňujú obstarávacou cenou. Ak sa pri inventarizácii zistí, že suma záväzkov je iná ako ich výška v účtovníctve, uvedú sa záväzky v účtovníctve a v účtovnej závierke v tomto zistenom ocenení.</w:t>
      </w:r>
    </w:p>
    <w:p w:rsidR="00CD0101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III.8 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Výdavky budúcich období a výnosy budúcich období</w:t>
      </w:r>
    </w:p>
    <w:p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Výdavky budúcich období a výnosy budúcich období sa vykazujú vo výške, ktorá je potrebná na dodržanie zásady vecnej a časovej súvislosti s účtovným obdobím.</w:t>
      </w:r>
    </w:p>
    <w:p w:rsidR="00CD0101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9 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Výnosy</w:t>
      </w:r>
    </w:p>
    <w:p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Tržby za vlastné výkony a tovar neobsahujú daň z pridanej hodnoty. Sú tiež znížené o zľavy a zrážky (rabaty, bonusy, skontá, dobropisy a pod.), bez ohľadu na to, či zákazník mal vopred na zľavu nárok, alebo či ide o dodatočne uznanú zľavu.</w:t>
      </w:r>
    </w:p>
    <w:p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Tržby z predaja výrobkov a tovaru sa vykazujú v deň splnenia dodávky podľa Obchodného zákonníka, podľa Incoterms alebo iných podmienok dohodnutých v zmluve. </w:t>
      </w:r>
    </w:p>
    <w:p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Tržby z predaja služieb sa vykazujú v účtovnom období, v ktorom boli služby poskytnuté.</w:t>
      </w:r>
    </w:p>
    <w:p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Výnosové úroky sa účtujú rovnomerne v účtovných obdobiach, ktorých sa vecne a časovo týkajú / na základe časového rozlíšenia metódou efektívnej úrokovej miery.</w:t>
      </w:r>
    </w:p>
    <w:p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Výnosy z dividend sa zaúčtujú v čase vzniku práva Spoločnosti na prijatie platby.</w:t>
      </w:r>
    </w:p>
    <w:p w:rsidR="00CD0101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10 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Porovnateľné údaje</w:t>
      </w:r>
    </w:p>
    <w:p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Ak v dôsledku zmeny účtovných metód a účtovných zásad nie sú hodnoty za bezprostredne predchádzajúce účtovné obdobie v jednotlivých súčastiach účtovnej závierky porovnateľné, uvádza sa vysvetlenie o neporovnateľných hodnotách v poznámkach. </w:t>
      </w:r>
    </w:p>
    <w:p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 dôsledku zmeny zákona o dani z príjmov je rezerva na overenie účtovnej závierky a zostavenie daňového priznania k 31. decembru 201</w:t>
      </w:r>
      <w:r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8</w:t>
      </w: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vykázaná ako krátkodobá ostatná rezerva, k 31. decembru 201</w:t>
      </w:r>
      <w:r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7</w:t>
      </w: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ako krátkodobá zákonná rezerva.</w:t>
      </w:r>
    </w:p>
    <w:p w:rsidR="00CD0101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D0101" w:rsidRPr="00F730ED" w:rsidRDefault="00CD0101" w:rsidP="00CD0101">
      <w:pPr>
        <w:spacing w:after="0" w:line="276" w:lineRule="auto"/>
        <w:jc w:val="center"/>
        <w:rPr>
          <w:rFonts w:ascii="Times New Roman" w:hAnsi="Times New Roman" w:cs="Times New Roman"/>
          <w:b/>
        </w:rPr>
      </w:pPr>
    </w:p>
    <w:p w:rsidR="00CD0101" w:rsidRPr="00F730ED" w:rsidRDefault="00CD0101" w:rsidP="00CD0101">
      <w:pPr>
        <w:spacing w:after="0" w:line="276" w:lineRule="auto"/>
        <w:ind w:left="992" w:hanging="992"/>
        <w:rPr>
          <w:rFonts w:ascii="Times New Roman" w:hAnsi="Times New Roman" w:cs="Times New Roman"/>
          <w:b/>
          <w:color w:val="4472C4" w:themeColor="accent1"/>
        </w:rPr>
      </w:pPr>
      <w:r w:rsidRPr="00F730ED">
        <w:rPr>
          <w:rFonts w:ascii="Times New Roman" w:hAnsi="Times New Roman" w:cs="Times New Roman"/>
          <w:b/>
          <w:color w:val="4472C4" w:themeColor="accent1"/>
        </w:rPr>
        <w:t>Čl. IV</w:t>
      </w:r>
      <w:r w:rsidRPr="00F730ED">
        <w:rPr>
          <w:rFonts w:ascii="Times New Roman" w:hAnsi="Times New Roman" w:cs="Times New Roman"/>
          <w:b/>
          <w:color w:val="4472C4" w:themeColor="accent1"/>
        </w:rPr>
        <w:tab/>
        <w:t>Informácie, ktoré vysvetľujú a dopĺňajú položky súvahy a výkazu ziskov a strát</w:t>
      </w:r>
    </w:p>
    <w:p w:rsidR="00CD0101" w:rsidRPr="00F730ED" w:rsidRDefault="00CD0101" w:rsidP="00CD0101">
      <w:pPr>
        <w:spacing w:after="0" w:line="276" w:lineRule="auto"/>
        <w:ind w:left="993" w:hanging="993"/>
        <w:rPr>
          <w:rFonts w:ascii="Times New Roman" w:hAnsi="Times New Roman" w:cs="Times New Roman"/>
          <w:b/>
        </w:rPr>
      </w:pPr>
    </w:p>
    <w:p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IV. 1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Informácie o záväzkoch </w:t>
      </w:r>
    </w:p>
    <w:p w:rsidR="00CD0101" w:rsidRDefault="00CD0101" w:rsidP="00CD0101">
      <w:pPr>
        <w:pStyle w:val="Zkladntext"/>
        <w:ind w:left="0"/>
        <w:rPr>
          <w:sz w:val="22"/>
          <w:szCs w:val="22"/>
        </w:rPr>
      </w:pPr>
    </w:p>
    <w:p w:rsidR="00CD0101" w:rsidRPr="00F730ED" w:rsidRDefault="00CD0101" w:rsidP="00CD0101">
      <w:pPr>
        <w:pStyle w:val="Zkladntext"/>
        <w:ind w:left="0"/>
        <w:rPr>
          <w:sz w:val="22"/>
          <w:szCs w:val="22"/>
        </w:rPr>
      </w:pPr>
      <w:r w:rsidRPr="00F730ED">
        <w:rPr>
          <w:sz w:val="22"/>
          <w:szCs w:val="22"/>
        </w:rPr>
        <w:lastRenderedPageBreak/>
        <w:t>Štruktúra záväzkov (okrem záväzkov zo sociálneho fondu a odloženého daňového záväzku) podľa zostatkovej doby splatnosti je uvedená v nasledujúcom prehľade:</w:t>
      </w:r>
    </w:p>
    <w:p w:rsidR="00CD0101" w:rsidRPr="00F730ED" w:rsidRDefault="00CD0101" w:rsidP="00CD0101">
      <w:pPr>
        <w:pStyle w:val="Zkladntext"/>
        <w:rPr>
          <w:sz w:val="22"/>
          <w:szCs w:val="22"/>
        </w:rPr>
      </w:pPr>
    </w:p>
    <w:bookmarkStart w:id="0" w:name="_MON_1450595791"/>
    <w:bookmarkEnd w:id="0"/>
    <w:p w:rsidR="00CD0101" w:rsidRPr="00F730ED" w:rsidRDefault="0071381C" w:rsidP="00CD0101">
      <w:pPr>
        <w:ind w:left="426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object w:dxaOrig="8972" w:dyaOrig="235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1" type="#_x0000_t75" style="width:440.15pt;height:129.05pt" o:ole="" o:preferrelative="f">
            <v:imagedata r:id="rId7" o:title=""/>
            <o:lock v:ext="edit" aspectratio="f"/>
          </v:shape>
          <o:OLEObject Type="Embed" ProgID="Excel.Sheet.12" ShapeID="_x0000_i1031" DrawAspect="Content" ObjectID="_1660036132" r:id="rId8"/>
        </w:object>
      </w:r>
    </w:p>
    <w:p w:rsidR="00CD0101" w:rsidRPr="00F730ED" w:rsidRDefault="00CD0101" w:rsidP="00A910FC">
      <w:pPr>
        <w:rPr>
          <w:rFonts w:ascii="Times New Roman" w:hAnsi="Times New Roman" w:cs="Times New Roman"/>
          <w:b/>
          <w:color w:val="4472C4" w:themeColor="accent1"/>
        </w:rPr>
      </w:pPr>
      <w:r w:rsidRPr="00F730ED">
        <w:rPr>
          <w:rFonts w:ascii="Times New Roman" w:hAnsi="Times New Roman" w:cs="Times New Roman"/>
          <w:b/>
          <w:color w:val="4472C4" w:themeColor="accent1"/>
        </w:rPr>
        <w:t>Čl. V</w:t>
      </w:r>
      <w:r w:rsidRPr="00F730ED">
        <w:rPr>
          <w:rFonts w:ascii="Times New Roman" w:hAnsi="Times New Roman" w:cs="Times New Roman"/>
          <w:b/>
          <w:color w:val="4472C4" w:themeColor="accent1"/>
        </w:rPr>
        <w:tab/>
        <w:t>Informácie o iných aktívach a iných pasívach</w:t>
      </w:r>
    </w:p>
    <w:p w:rsidR="00CD0101" w:rsidRPr="00F730ED" w:rsidRDefault="00CD0101" w:rsidP="00CD0101">
      <w:pPr>
        <w:spacing w:after="0" w:line="276" w:lineRule="auto"/>
        <w:ind w:left="993" w:hanging="993"/>
        <w:rPr>
          <w:rFonts w:ascii="Times New Roman" w:hAnsi="Times New Roman" w:cs="Times New Roman"/>
          <w:b/>
        </w:rPr>
      </w:pPr>
    </w:p>
    <w:p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V. 1 a)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podmienenom majetku</w:t>
      </w:r>
    </w:p>
    <w:p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Spoločnosť neeviduje podmienený majetok.</w:t>
      </w:r>
    </w:p>
    <w:p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V. 1 b)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podmienených záväzkoch</w:t>
      </w:r>
    </w:p>
    <w:p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Vzhľadom na to, že mnohé oblasti slovenského daňového práva doteraz neboli dostatočne overené praxou, existuje neistota v tom, ako ich budú daňové orgány aplikovať. Mieru tejto neistoty nie je možné kvantifikovať a zanikne až potom, keď budú k dispozícii právne precedensy, prípadne oficiálne interpretácie príslušných orgánov. Vedenie Spoločnosti si nie je vedomé žiadnych okolností, v dôsledku ktorých by jej vznikol významný náklad.</w:t>
      </w:r>
    </w:p>
    <w:p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V. 3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údajoch na podsúvahových účtoch</w:t>
      </w:r>
    </w:p>
    <w:p w:rsidR="00CD0101" w:rsidRPr="00CC0138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C0138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                - žiadne</w:t>
      </w:r>
    </w:p>
    <w:p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:b/>
          <w:color w:val="4472C4" w:themeColor="accent1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D0101" w:rsidRPr="00F730ED" w:rsidRDefault="00CD0101" w:rsidP="00CD0101">
      <w:pPr>
        <w:spacing w:after="0" w:line="276" w:lineRule="auto"/>
        <w:ind w:left="993" w:hanging="993"/>
        <w:rPr>
          <w:rFonts w:ascii="Times New Roman" w:hAnsi="Times New Roman" w:cs="Times New Roman"/>
          <w:b/>
          <w:color w:val="4472C4" w:themeColor="accent1"/>
        </w:rPr>
      </w:pPr>
      <w:r w:rsidRPr="00F730ED">
        <w:rPr>
          <w:rFonts w:ascii="Times New Roman" w:hAnsi="Times New Roman" w:cs="Times New Roman"/>
          <w:b/>
          <w:color w:val="4472C4" w:themeColor="accent1"/>
        </w:rPr>
        <w:t>Čl. VI</w:t>
      </w:r>
      <w:r w:rsidRPr="00F730ED">
        <w:rPr>
          <w:rFonts w:ascii="Times New Roman" w:hAnsi="Times New Roman" w:cs="Times New Roman"/>
          <w:b/>
          <w:color w:val="4472C4" w:themeColor="accent1"/>
        </w:rPr>
        <w:tab/>
        <w:t> Udalosti, ktoré nastali po dni, ku ktorému sa zostavuje účtovná závierka</w:t>
      </w:r>
    </w:p>
    <w:p w:rsidR="00CD0101" w:rsidRPr="00F730ED" w:rsidRDefault="00CD0101" w:rsidP="00CD0101">
      <w:pPr>
        <w:spacing w:after="0" w:line="276" w:lineRule="auto"/>
        <w:ind w:left="1134" w:hanging="1134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VI. a) – j)   Udalosti, ktoré nastali po dni, ku ktorému sa zostavuje účtovná závierka</w:t>
      </w:r>
    </w:p>
    <w:p w:rsidR="00CD0101" w:rsidRPr="00F730ED" w:rsidRDefault="00CD0101" w:rsidP="00CD0101">
      <w:pPr>
        <w:tabs>
          <w:tab w:val="left" w:pos="3150"/>
        </w:tabs>
        <w:spacing w:after="0" w:line="276" w:lineRule="auto"/>
        <w:rPr>
          <w:rFonts w:ascii="Times New Roman" w:eastAsia="MS Gothic" w:hAnsi="Times New Roman" w:cs="Times New Roman"/>
        </w:rPr>
      </w:pPr>
    </w:p>
    <w:p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Spoločnosť neidentifikovala žiadne skutočnosti medzi dňom, ku ktorému sa účtovná závierka zostavuje a dňom zostavenia účtovnej závierky, ktoré by mali významný vplyv na výsledok hospodárenia Spoločnosti prípadne na celkovú finančnú situáciu Spoločnosti za obdobie od 1. januára 201</w:t>
      </w:r>
      <w:r w:rsidR="0071381C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9</w:t>
      </w: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do 31. decembra 201</w:t>
      </w:r>
      <w:r w:rsidR="0071381C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9</w:t>
      </w:r>
      <w:bookmarkStart w:id="1" w:name="_GoBack"/>
      <w:bookmarkEnd w:id="1"/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</w:p>
    <w:p w:rsidR="00726BBB" w:rsidRDefault="00726BBB"/>
    <w:sectPr w:rsidR="00726BBB" w:rsidSect="00FB3281">
      <w:headerReference w:type="default" r:id="rId9"/>
      <w:footerReference w:type="default" r:id="rId10"/>
      <w:pgSz w:w="11906" w:h="16838"/>
      <w:pgMar w:top="1417" w:right="1133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71CBF" w:rsidRDefault="00971CBF">
      <w:pPr>
        <w:spacing w:after="0" w:line="240" w:lineRule="auto"/>
      </w:pPr>
      <w:r>
        <w:separator/>
      </w:r>
    </w:p>
  </w:endnote>
  <w:endnote w:type="continuationSeparator" w:id="0">
    <w:p w:rsidR="00971CBF" w:rsidRDefault="00971C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8325F" w:rsidRPr="00F17E37" w:rsidRDefault="00993620" w:rsidP="00195651">
    <w:pPr>
      <w:pStyle w:val="Pta"/>
      <w:jc w:val="center"/>
      <w:rPr>
        <w:rFonts w:ascii="Times New Roman" w:hAnsi="Times New Roman" w:cs="Times New Roman"/>
        <w:color w:val="808080" w:themeColor="background1" w:themeShade="80"/>
        <w:sz w:val="16"/>
        <w:szCs w:val="16"/>
      </w:rPr>
    </w:pPr>
    <w:r w:rsidRPr="00F17E37">
      <w:rPr>
        <w:rFonts w:ascii="Times New Roman" w:hAnsi="Times New Roman" w:cs="Times New Roman"/>
        <w:color w:val="808080" w:themeColor="background1" w:themeShade="80"/>
        <w:sz w:val="16"/>
        <w:szCs w:val="16"/>
      </w:rPr>
      <w:t xml:space="preserve">Strana </w:t>
    </w:r>
    <w:r w:rsidRPr="00F17E37">
      <w:rPr>
        <w:rFonts w:ascii="Times New Roman" w:hAnsi="Times New Roman" w:cs="Times New Roman"/>
        <w:b/>
        <w:bCs/>
        <w:color w:val="808080" w:themeColor="background1" w:themeShade="80"/>
        <w:sz w:val="16"/>
        <w:szCs w:val="16"/>
      </w:rPr>
      <w:fldChar w:fldCharType="begin"/>
    </w:r>
    <w:r w:rsidRPr="00F17E37">
      <w:rPr>
        <w:rFonts w:ascii="Times New Roman" w:hAnsi="Times New Roman" w:cs="Times New Roman"/>
        <w:b/>
        <w:bCs/>
        <w:color w:val="808080" w:themeColor="background1" w:themeShade="80"/>
        <w:sz w:val="16"/>
        <w:szCs w:val="16"/>
      </w:rPr>
      <w:instrText>PAGE  \* Arabic  \* MERGEFORMAT</w:instrText>
    </w:r>
    <w:r w:rsidRPr="00F17E37">
      <w:rPr>
        <w:rFonts w:ascii="Times New Roman" w:hAnsi="Times New Roman" w:cs="Times New Roman"/>
        <w:b/>
        <w:bCs/>
        <w:color w:val="808080" w:themeColor="background1" w:themeShade="80"/>
        <w:sz w:val="16"/>
        <w:szCs w:val="16"/>
      </w:rPr>
      <w:fldChar w:fldCharType="separate"/>
    </w:r>
    <w:r>
      <w:rPr>
        <w:rFonts w:ascii="Times New Roman" w:hAnsi="Times New Roman" w:cs="Times New Roman"/>
        <w:b/>
        <w:bCs/>
        <w:noProof/>
        <w:color w:val="808080" w:themeColor="background1" w:themeShade="80"/>
        <w:sz w:val="16"/>
        <w:szCs w:val="16"/>
      </w:rPr>
      <w:t>5</w:t>
    </w:r>
    <w:r w:rsidRPr="00F17E37">
      <w:rPr>
        <w:rFonts w:ascii="Times New Roman" w:hAnsi="Times New Roman" w:cs="Times New Roman"/>
        <w:b/>
        <w:bCs/>
        <w:color w:val="808080" w:themeColor="background1" w:themeShade="80"/>
        <w:sz w:val="16"/>
        <w:szCs w:val="16"/>
      </w:rPr>
      <w:fldChar w:fldCharType="end"/>
    </w:r>
    <w:r w:rsidRPr="00F17E37">
      <w:rPr>
        <w:rFonts w:ascii="Times New Roman" w:hAnsi="Times New Roman" w:cs="Times New Roman"/>
        <w:color w:val="808080" w:themeColor="background1" w:themeShade="80"/>
        <w:sz w:val="16"/>
        <w:szCs w:val="16"/>
      </w:rPr>
      <w:t xml:space="preserve"> z </w:t>
    </w:r>
    <w:r w:rsidRPr="00F17E37">
      <w:rPr>
        <w:rFonts w:ascii="Times New Roman" w:hAnsi="Times New Roman" w:cs="Times New Roman"/>
        <w:b/>
        <w:bCs/>
        <w:color w:val="808080" w:themeColor="background1" w:themeShade="80"/>
        <w:sz w:val="16"/>
        <w:szCs w:val="16"/>
      </w:rPr>
      <w:fldChar w:fldCharType="begin"/>
    </w:r>
    <w:r w:rsidRPr="00F17E37">
      <w:rPr>
        <w:rFonts w:ascii="Times New Roman" w:hAnsi="Times New Roman" w:cs="Times New Roman"/>
        <w:b/>
        <w:bCs/>
        <w:color w:val="808080" w:themeColor="background1" w:themeShade="80"/>
        <w:sz w:val="16"/>
        <w:szCs w:val="16"/>
      </w:rPr>
      <w:instrText>NUMPAGES  \* Arabic  \* MERGEFORMAT</w:instrText>
    </w:r>
    <w:r w:rsidRPr="00F17E37">
      <w:rPr>
        <w:rFonts w:ascii="Times New Roman" w:hAnsi="Times New Roman" w:cs="Times New Roman"/>
        <w:b/>
        <w:bCs/>
        <w:color w:val="808080" w:themeColor="background1" w:themeShade="80"/>
        <w:sz w:val="16"/>
        <w:szCs w:val="16"/>
      </w:rPr>
      <w:fldChar w:fldCharType="separate"/>
    </w:r>
    <w:r>
      <w:rPr>
        <w:rFonts w:ascii="Times New Roman" w:hAnsi="Times New Roman" w:cs="Times New Roman"/>
        <w:b/>
        <w:bCs/>
        <w:noProof/>
        <w:color w:val="808080" w:themeColor="background1" w:themeShade="80"/>
        <w:sz w:val="16"/>
        <w:szCs w:val="16"/>
      </w:rPr>
      <w:t>6</w:t>
    </w:r>
    <w:r w:rsidRPr="00F17E37">
      <w:rPr>
        <w:rFonts w:ascii="Times New Roman" w:hAnsi="Times New Roman" w:cs="Times New Roman"/>
        <w:b/>
        <w:bCs/>
        <w:color w:val="808080" w:themeColor="background1" w:themeShade="80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71CBF" w:rsidRDefault="00971CBF">
      <w:pPr>
        <w:spacing w:after="0" w:line="240" w:lineRule="auto"/>
      </w:pPr>
      <w:r>
        <w:separator/>
      </w:r>
    </w:p>
  </w:footnote>
  <w:footnote w:type="continuationSeparator" w:id="0">
    <w:p w:rsidR="00971CBF" w:rsidRDefault="00971C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Mriekatabuky"/>
      <w:tblW w:w="9614" w:type="dxa"/>
      <w:tblLayout w:type="fixed"/>
      <w:tblLook w:val="04A0" w:firstRow="1" w:lastRow="0" w:firstColumn="1" w:lastColumn="0" w:noHBand="0" w:noVBand="1"/>
    </w:tblPr>
    <w:tblGrid>
      <w:gridCol w:w="2694"/>
      <w:gridCol w:w="708"/>
      <w:gridCol w:w="297"/>
      <w:gridCol w:w="297"/>
      <w:gridCol w:w="297"/>
      <w:gridCol w:w="297"/>
      <w:gridCol w:w="297"/>
      <w:gridCol w:w="297"/>
      <w:gridCol w:w="297"/>
      <w:gridCol w:w="297"/>
      <w:gridCol w:w="866"/>
      <w:gridCol w:w="297"/>
      <w:gridCol w:w="297"/>
      <w:gridCol w:w="297"/>
      <w:gridCol w:w="297"/>
      <w:gridCol w:w="297"/>
      <w:gridCol w:w="297"/>
      <w:gridCol w:w="297"/>
      <w:gridCol w:w="297"/>
      <w:gridCol w:w="297"/>
      <w:gridCol w:w="297"/>
    </w:tblGrid>
    <w:tr w:rsidR="00B8325F" w:rsidTr="003B6528">
      <w:trPr>
        <w:trHeight w:val="138"/>
      </w:trPr>
      <w:tc>
        <w:tcPr>
          <w:tcW w:w="2694" w:type="dxa"/>
          <w:tcBorders>
            <w:top w:val="nil"/>
            <w:left w:val="nil"/>
            <w:bottom w:val="nil"/>
            <w:right w:val="nil"/>
          </w:tcBorders>
        </w:tcPr>
        <w:p w:rsidR="00B8325F" w:rsidRPr="0018540B" w:rsidRDefault="00993620" w:rsidP="003B6528">
          <w:pPr>
            <w:pStyle w:val="Hlavika"/>
            <w:tabs>
              <w:tab w:val="clear" w:pos="4536"/>
              <w:tab w:val="clear" w:pos="9072"/>
              <w:tab w:val="left" w:pos="5106"/>
            </w:tabs>
            <w:ind w:left="-108" w:right="-121"/>
            <w:rPr>
              <w:rFonts w:ascii="Times New Roman" w:hAnsi="Times New Roman" w:cs="Times New Roman"/>
              <w:szCs w:val="24"/>
            </w:rPr>
          </w:pPr>
          <w:r w:rsidRPr="0018540B">
            <w:rPr>
              <w:rFonts w:ascii="Times New Roman" w:hAnsi="Times New Roman" w:cs="Times New Roman"/>
              <w:szCs w:val="24"/>
            </w:rPr>
            <w:t>Poznámky Úč PODV 3 – 01</w:t>
          </w:r>
        </w:p>
      </w:tc>
      <w:tc>
        <w:tcPr>
          <w:tcW w:w="708" w:type="dxa"/>
          <w:tcBorders>
            <w:top w:val="nil"/>
            <w:left w:val="nil"/>
            <w:bottom w:val="nil"/>
            <w:right w:val="single" w:sz="4" w:space="0" w:color="auto"/>
          </w:tcBorders>
        </w:tcPr>
        <w:p w:rsidR="00B8325F" w:rsidRPr="0018540B" w:rsidRDefault="00993620" w:rsidP="003B6528">
          <w:pPr>
            <w:pStyle w:val="Hlavika"/>
            <w:tabs>
              <w:tab w:val="clear" w:pos="4536"/>
              <w:tab w:val="clear" w:pos="9072"/>
              <w:tab w:val="left" w:pos="5106"/>
            </w:tabs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IČO:</w:t>
          </w:r>
        </w:p>
      </w:tc>
      <w:tc>
        <w:tcPr>
          <w:tcW w:w="297" w:type="dxa"/>
          <w:tcBorders>
            <w:left w:val="single" w:sz="4" w:space="0" w:color="auto"/>
          </w:tcBorders>
        </w:tcPr>
        <w:p w:rsidR="00B8325F" w:rsidRPr="0018540B" w:rsidRDefault="00A910FC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5</w:t>
          </w:r>
        </w:p>
      </w:tc>
      <w:tc>
        <w:tcPr>
          <w:tcW w:w="297" w:type="dxa"/>
        </w:tcPr>
        <w:p w:rsidR="00B8325F" w:rsidRPr="0018540B" w:rsidRDefault="00A910FC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0</w:t>
          </w:r>
        </w:p>
      </w:tc>
      <w:tc>
        <w:tcPr>
          <w:tcW w:w="297" w:type="dxa"/>
        </w:tcPr>
        <w:p w:rsidR="00B8325F" w:rsidRPr="0018540B" w:rsidRDefault="00A910FC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2</w:t>
          </w:r>
        </w:p>
      </w:tc>
      <w:tc>
        <w:tcPr>
          <w:tcW w:w="297" w:type="dxa"/>
        </w:tcPr>
        <w:p w:rsidR="00B8325F" w:rsidRPr="0018540B" w:rsidRDefault="00A910FC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0</w:t>
          </w:r>
        </w:p>
      </w:tc>
      <w:tc>
        <w:tcPr>
          <w:tcW w:w="297" w:type="dxa"/>
        </w:tcPr>
        <w:p w:rsidR="00B8325F" w:rsidRPr="0018540B" w:rsidRDefault="00A910FC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6</w:t>
          </w:r>
        </w:p>
      </w:tc>
      <w:tc>
        <w:tcPr>
          <w:tcW w:w="297" w:type="dxa"/>
        </w:tcPr>
        <w:p w:rsidR="00B8325F" w:rsidRPr="0018540B" w:rsidRDefault="00A910FC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3</w:t>
          </w:r>
        </w:p>
      </w:tc>
      <w:tc>
        <w:tcPr>
          <w:tcW w:w="297" w:type="dxa"/>
        </w:tcPr>
        <w:p w:rsidR="00B8325F" w:rsidRPr="0018540B" w:rsidRDefault="00A910FC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1</w:t>
          </w:r>
        </w:p>
      </w:tc>
      <w:tc>
        <w:tcPr>
          <w:tcW w:w="297" w:type="dxa"/>
          <w:tcBorders>
            <w:right w:val="single" w:sz="4" w:space="0" w:color="auto"/>
          </w:tcBorders>
        </w:tcPr>
        <w:p w:rsidR="00B8325F" w:rsidRPr="0018540B" w:rsidRDefault="00A910FC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1</w:t>
          </w:r>
        </w:p>
      </w:tc>
      <w:tc>
        <w:tcPr>
          <w:tcW w:w="866" w:type="dxa"/>
          <w:tcBorders>
            <w:top w:val="nil"/>
            <w:left w:val="single" w:sz="4" w:space="0" w:color="auto"/>
            <w:bottom w:val="nil"/>
            <w:right w:val="single" w:sz="4" w:space="0" w:color="auto"/>
          </w:tcBorders>
        </w:tcPr>
        <w:p w:rsidR="00B8325F" w:rsidRPr="0018540B" w:rsidRDefault="00993620" w:rsidP="003B6528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 xml:space="preserve">  DIČ:</w:t>
          </w:r>
        </w:p>
      </w:tc>
      <w:tc>
        <w:tcPr>
          <w:tcW w:w="297" w:type="dxa"/>
          <w:tcBorders>
            <w:left w:val="single" w:sz="4" w:space="0" w:color="auto"/>
          </w:tcBorders>
        </w:tcPr>
        <w:p w:rsidR="00B8325F" w:rsidRPr="0018540B" w:rsidRDefault="00A910FC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2</w:t>
          </w:r>
        </w:p>
      </w:tc>
      <w:tc>
        <w:tcPr>
          <w:tcW w:w="297" w:type="dxa"/>
        </w:tcPr>
        <w:p w:rsidR="00B8325F" w:rsidRPr="0018540B" w:rsidRDefault="00A910FC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1</w:t>
          </w:r>
        </w:p>
      </w:tc>
      <w:tc>
        <w:tcPr>
          <w:tcW w:w="297" w:type="dxa"/>
        </w:tcPr>
        <w:p w:rsidR="00B8325F" w:rsidRPr="0018540B" w:rsidRDefault="00A910FC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2</w:t>
          </w:r>
        </w:p>
      </w:tc>
      <w:tc>
        <w:tcPr>
          <w:tcW w:w="297" w:type="dxa"/>
        </w:tcPr>
        <w:p w:rsidR="00B8325F" w:rsidRPr="0018540B" w:rsidRDefault="00A910FC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0</w:t>
          </w:r>
        </w:p>
      </w:tc>
      <w:tc>
        <w:tcPr>
          <w:tcW w:w="297" w:type="dxa"/>
        </w:tcPr>
        <w:p w:rsidR="00B8325F" w:rsidRPr="0018540B" w:rsidRDefault="00A910FC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2</w:t>
          </w:r>
        </w:p>
      </w:tc>
      <w:tc>
        <w:tcPr>
          <w:tcW w:w="297" w:type="dxa"/>
        </w:tcPr>
        <w:p w:rsidR="00B8325F" w:rsidRPr="0018540B" w:rsidRDefault="00A910FC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1</w:t>
          </w:r>
        </w:p>
      </w:tc>
      <w:tc>
        <w:tcPr>
          <w:tcW w:w="297" w:type="dxa"/>
        </w:tcPr>
        <w:p w:rsidR="00B8325F" w:rsidRPr="0018540B" w:rsidRDefault="00A910FC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0</w:t>
          </w:r>
        </w:p>
      </w:tc>
      <w:tc>
        <w:tcPr>
          <w:tcW w:w="297" w:type="dxa"/>
        </w:tcPr>
        <w:p w:rsidR="00B8325F" w:rsidRPr="0018540B" w:rsidRDefault="00A910FC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0</w:t>
          </w:r>
        </w:p>
      </w:tc>
      <w:tc>
        <w:tcPr>
          <w:tcW w:w="297" w:type="dxa"/>
        </w:tcPr>
        <w:p w:rsidR="00B8325F" w:rsidRPr="0018540B" w:rsidRDefault="00A910FC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9</w:t>
          </w:r>
        </w:p>
      </w:tc>
      <w:tc>
        <w:tcPr>
          <w:tcW w:w="297" w:type="dxa"/>
        </w:tcPr>
        <w:p w:rsidR="00B8325F" w:rsidRPr="0018540B" w:rsidRDefault="00A910FC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position w:val="2"/>
              <w:szCs w:val="24"/>
            </w:rPr>
          </w:pPr>
          <w:r>
            <w:rPr>
              <w:rFonts w:ascii="Times New Roman" w:hAnsi="Times New Roman" w:cs="Times New Roman"/>
              <w:position w:val="2"/>
              <w:szCs w:val="24"/>
            </w:rPr>
            <w:t>2</w:t>
          </w:r>
        </w:p>
      </w:tc>
    </w:tr>
  </w:tbl>
  <w:p w:rsidR="00B8325F" w:rsidRPr="00CE03EC" w:rsidRDefault="00971CBF" w:rsidP="00E84CA1">
    <w:pPr>
      <w:pStyle w:val="Hlavika"/>
      <w:tabs>
        <w:tab w:val="clear" w:pos="4536"/>
        <w:tab w:val="clear" w:pos="9072"/>
        <w:tab w:val="left" w:pos="5106"/>
      </w:tabs>
      <w:spacing w:before="80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A7E0AB7"/>
    <w:multiLevelType w:val="hybridMultilevel"/>
    <w:tmpl w:val="72D865A6"/>
    <w:lvl w:ilvl="0" w:tplc="B76671AC">
      <w:start w:val="1"/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101"/>
    <w:rsid w:val="002D1E37"/>
    <w:rsid w:val="004405D3"/>
    <w:rsid w:val="004E2FB5"/>
    <w:rsid w:val="0071381C"/>
    <w:rsid w:val="00726BBB"/>
    <w:rsid w:val="008F2CC3"/>
    <w:rsid w:val="00971CBF"/>
    <w:rsid w:val="00993620"/>
    <w:rsid w:val="00A910FC"/>
    <w:rsid w:val="00BB6843"/>
    <w:rsid w:val="00CD01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D2D091"/>
  <w15:chartTrackingRefBased/>
  <w15:docId w15:val="{1E98B808-7D31-40AB-8160-CFEF8BB48B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CD0101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CD0101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CD01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D0101"/>
  </w:style>
  <w:style w:type="paragraph" w:styleId="Pta">
    <w:name w:val="footer"/>
    <w:basedOn w:val="Normlny"/>
    <w:link w:val="PtaChar"/>
    <w:uiPriority w:val="99"/>
    <w:unhideWhenUsed/>
    <w:rsid w:val="00CD01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D0101"/>
  </w:style>
  <w:style w:type="table" w:styleId="Mriekatabuky">
    <w:name w:val="Table Grid"/>
    <w:basedOn w:val="Normlnatabuka"/>
    <w:uiPriority w:val="39"/>
    <w:rsid w:val="00CD01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ulka">
    <w:name w:val="Tabulka"/>
    <w:basedOn w:val="Normlny"/>
    <w:rsid w:val="00CD0101"/>
    <w:pPr>
      <w:spacing w:after="0" w:line="240" w:lineRule="auto"/>
    </w:pPr>
    <w:rPr>
      <w:rFonts w:ascii="Times New Roman" w:eastAsia="Times New Roman" w:hAnsi="Times New Roman" w:cs="Times New Roman"/>
      <w:color w:val="000000"/>
      <w:sz w:val="18"/>
      <w:szCs w:val="20"/>
    </w:rPr>
  </w:style>
  <w:style w:type="paragraph" w:styleId="Zkladntext">
    <w:name w:val="Body Text"/>
    <w:basedOn w:val="Normlny"/>
    <w:link w:val="ZkladntextChar"/>
    <w:rsid w:val="00CD0101"/>
    <w:pPr>
      <w:spacing w:after="0" w:line="240" w:lineRule="auto"/>
      <w:ind w:left="426"/>
      <w:jc w:val="both"/>
    </w:pPr>
    <w:rPr>
      <w:rFonts w:ascii="Times New Roman" w:eastAsia="Times New Roman" w:hAnsi="Times New Roman" w:cs="Times New Roman"/>
      <w:sz w:val="18"/>
      <w:szCs w:val="20"/>
    </w:rPr>
  </w:style>
  <w:style w:type="character" w:customStyle="1" w:styleId="ZkladntextChar">
    <w:name w:val="Základný text Char"/>
    <w:basedOn w:val="Predvolenpsmoodseku"/>
    <w:link w:val="Zkladntext"/>
    <w:rsid w:val="00CD0101"/>
    <w:rPr>
      <w:rFonts w:ascii="Times New Roman" w:eastAsia="Times New Roman" w:hAnsi="Times New Roman" w:cs="Times New Roman"/>
      <w:sz w:val="18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2D1E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2D1E3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package" Target="embeddings/Microsoft_Excel_Worksheet.xlsx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1459</Words>
  <Characters>8321</Characters>
  <Application>Microsoft Office Word</Application>
  <DocSecurity>0</DocSecurity>
  <Lines>69</Lines>
  <Paragraphs>19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Milena Miklošíková</dc:creator>
  <cp:keywords/>
  <dc:description/>
  <cp:lastModifiedBy>Milena Miklošíková</cp:lastModifiedBy>
  <cp:revision>4</cp:revision>
  <cp:lastPrinted>2019-03-20T13:29:00Z</cp:lastPrinted>
  <dcterms:created xsi:type="dcterms:W3CDTF">2019-04-01T11:21:00Z</dcterms:created>
  <dcterms:modified xsi:type="dcterms:W3CDTF">2020-08-27T10:22:00Z</dcterms:modified>
</cp:coreProperties>
</file>