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D234F">
        <w:rPr>
          <w:rFonts w:ascii="Arial Narrow" w:hAnsi="Arial Narrow"/>
          <w:b/>
        </w:rPr>
        <w:t>9</w:t>
      </w:r>
    </w:p>
    <w:p w:rsidR="003657F5" w:rsidRPr="00A55E63" w:rsidRDefault="00913435" w:rsidP="002D2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TIP TOP MARKET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Zákysučie 1491, 02302 Krásno nad Kysucou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D234F">
      <w:rPr>
        <w:rFonts w:ascii="Arial" w:hAnsi="Arial" w:cs="Arial"/>
        <w:sz w:val="22"/>
        <w:szCs w:val="22"/>
        <w:bdr w:val="single" w:sz="4" w:space="0" w:color="auto"/>
      </w:rPr>
      <w:t>36679291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D234F">
      <w:rPr>
        <w:rFonts w:ascii="Arial" w:hAnsi="Arial" w:cs="Arial"/>
        <w:sz w:val="22"/>
        <w:szCs w:val="22"/>
        <w:bdr w:val="single" w:sz="4" w:space="0" w:color="auto"/>
      </w:rPr>
      <w:t xml:space="preserve"> 2022271603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234F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40202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A2ACA7C"/>
  <w15:docId w15:val="{C31EA6FA-D511-4086-B1A4-2699926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2020-10-27T16:25:00Z</dcterms:created>
  <dcterms:modified xsi:type="dcterms:W3CDTF">2020-10-27T16:27:00Z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